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5AC3F" w14:textId="77777777" w:rsidR="00613C4E" w:rsidRPr="00190D29" w:rsidRDefault="00613C4E" w:rsidP="00613C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bookmarkStart w:id="0" w:name="_GoBack"/>
      <w:bookmarkEnd w:id="0"/>
      <w:r w:rsidRPr="00190D29">
        <w:rPr>
          <w:b/>
          <w:color w:val="000000"/>
        </w:rPr>
        <w:t>Second regular session 2016</w:t>
      </w:r>
    </w:p>
    <w:p w14:paraId="467DE645" w14:textId="77777777" w:rsidR="00613C4E" w:rsidRPr="00190D29" w:rsidRDefault="00613C4E" w:rsidP="00613C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190D29">
        <w:rPr>
          <w:color w:val="000000"/>
        </w:rPr>
        <w:t>6-9 and 13 September 2016, New York</w:t>
      </w:r>
    </w:p>
    <w:p w14:paraId="66F7C8CB" w14:textId="77777777" w:rsidR="00613C4E" w:rsidRPr="00190D29" w:rsidRDefault="00613C4E" w:rsidP="00613C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190D29">
        <w:rPr>
          <w:color w:val="000000"/>
        </w:rPr>
        <w:t>Item x of the provisional agenda</w:t>
      </w:r>
    </w:p>
    <w:p w14:paraId="4ADF0AE2" w14:textId="77777777" w:rsidR="00613C4E" w:rsidRPr="00190D29" w:rsidRDefault="00613C4E" w:rsidP="00613C4E">
      <w:pPr>
        <w:ind w:right="1260"/>
        <w:rPr>
          <w:b/>
          <w:color w:val="000000"/>
        </w:rPr>
      </w:pPr>
      <w:r w:rsidRPr="00190D29">
        <w:rPr>
          <w:b/>
          <w:color w:val="000000"/>
        </w:rPr>
        <w:t>Country programmes and related matters</w:t>
      </w:r>
    </w:p>
    <w:p w14:paraId="69B15298" w14:textId="77777777" w:rsidR="00613C4E" w:rsidRPr="00190D29" w:rsidRDefault="00613C4E" w:rsidP="00613C4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52BA90E5" w14:textId="77777777" w:rsidR="00613C4E" w:rsidRPr="00190D29" w:rsidRDefault="00613C4E" w:rsidP="00613C4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5A558ECF" w14:textId="77777777" w:rsidR="00613C4E" w:rsidRPr="00190D29" w:rsidRDefault="00613C4E" w:rsidP="00613C4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lang w:val="en-GB"/>
        </w:rPr>
      </w:pPr>
    </w:p>
    <w:p w14:paraId="1F549170" w14:textId="77777777" w:rsidR="00613C4E" w:rsidRPr="00190D29" w:rsidRDefault="00613C4E" w:rsidP="00613C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asciiTheme="minorHAnsi" w:hAnsiTheme="minorHAnsi"/>
          <w:b/>
          <w:color w:val="000000"/>
          <w:spacing w:val="-2"/>
          <w:w w:val="103"/>
          <w:kern w:val="14"/>
          <w:sz w:val="28"/>
          <w:lang w:val="en-GB"/>
        </w:rPr>
      </w:pPr>
    </w:p>
    <w:p w14:paraId="0A5C414B" w14:textId="58F99B58" w:rsidR="00613C4E" w:rsidRPr="00E06520" w:rsidRDefault="00613C4E" w:rsidP="00613C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color w:val="000000"/>
          <w:spacing w:val="-2"/>
          <w:w w:val="103"/>
          <w:kern w:val="14"/>
          <w:sz w:val="32"/>
          <w:szCs w:val="32"/>
          <w:lang w:val="en-GB"/>
        </w:rPr>
      </w:pPr>
      <w:r w:rsidRPr="004D4243">
        <w:rPr>
          <w:b/>
          <w:color w:val="000000"/>
          <w:spacing w:val="-2"/>
          <w:w w:val="103"/>
          <w:kern w:val="14"/>
          <w:sz w:val="32"/>
          <w:szCs w:val="32"/>
          <w:lang w:val="en-GB"/>
        </w:rPr>
        <w:t>Draft country programme document for Eritrea (2017-2021</w:t>
      </w:r>
      <w:r w:rsidRPr="00E06520">
        <w:rPr>
          <w:b/>
          <w:color w:val="000000"/>
          <w:spacing w:val="-2"/>
          <w:w w:val="103"/>
          <w:kern w:val="14"/>
          <w:sz w:val="32"/>
          <w:szCs w:val="32"/>
          <w:lang w:val="en-GB"/>
        </w:rPr>
        <w:t>)</w:t>
      </w:r>
    </w:p>
    <w:p w14:paraId="1041984A" w14:textId="77777777" w:rsidR="00613C4E" w:rsidRPr="00190D29" w:rsidRDefault="00613C4E" w:rsidP="00613C4E">
      <w:pPr>
        <w:rPr>
          <w:lang w:val="en-GB"/>
        </w:rPr>
      </w:pPr>
    </w:p>
    <w:p w14:paraId="3F7C11A5" w14:textId="77777777" w:rsidR="00613C4E" w:rsidRPr="0099643B" w:rsidRDefault="00613C4E" w:rsidP="00613C4E">
      <w:pPr>
        <w:tabs>
          <w:tab w:val="left" w:pos="1620"/>
        </w:tabs>
        <w:rPr>
          <w:lang w:val="en-GB"/>
        </w:rPr>
      </w:pPr>
    </w:p>
    <w:p w14:paraId="15BDBAB7" w14:textId="77777777" w:rsidR="00613C4E" w:rsidRPr="00190D29" w:rsidRDefault="00613C4E" w:rsidP="00613C4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190D29">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613C4E" w:rsidRPr="00190D29" w14:paraId="5CEB0517" w14:textId="77777777" w:rsidTr="00433AD0">
        <w:tc>
          <w:tcPr>
            <w:tcW w:w="1060" w:type="dxa"/>
            <w:shd w:val="clear" w:color="auto" w:fill="auto"/>
          </w:tcPr>
          <w:p w14:paraId="2AB0B4CE" w14:textId="77777777" w:rsidR="00613C4E" w:rsidRPr="00190D29" w:rsidRDefault="00613C4E" w:rsidP="00433AD0">
            <w:pPr>
              <w:tabs>
                <w:tab w:val="left" w:pos="1620"/>
              </w:tabs>
              <w:suppressAutoHyphens/>
              <w:spacing w:after="120"/>
              <w:jc w:val="right"/>
              <w:rPr>
                <w:i/>
                <w:spacing w:val="4"/>
                <w:w w:val="103"/>
                <w:kern w:val="14"/>
                <w:sz w:val="14"/>
                <w:lang w:val="en-GB"/>
              </w:rPr>
            </w:pPr>
          </w:p>
        </w:tc>
        <w:tc>
          <w:tcPr>
            <w:tcW w:w="8300" w:type="dxa"/>
            <w:shd w:val="clear" w:color="auto" w:fill="auto"/>
          </w:tcPr>
          <w:p w14:paraId="581510C3" w14:textId="77777777" w:rsidR="00613C4E" w:rsidRPr="00190D29" w:rsidRDefault="00613C4E" w:rsidP="00433AD0">
            <w:pPr>
              <w:tabs>
                <w:tab w:val="left" w:pos="1620"/>
              </w:tabs>
              <w:suppressAutoHyphens/>
              <w:spacing w:after="120"/>
              <w:rPr>
                <w:i/>
                <w:spacing w:val="4"/>
                <w:w w:val="103"/>
                <w:kern w:val="14"/>
                <w:sz w:val="14"/>
                <w:lang w:val="en-GB"/>
              </w:rPr>
            </w:pPr>
          </w:p>
        </w:tc>
        <w:tc>
          <w:tcPr>
            <w:tcW w:w="542" w:type="dxa"/>
            <w:gridSpan w:val="2"/>
            <w:shd w:val="clear" w:color="auto" w:fill="auto"/>
          </w:tcPr>
          <w:p w14:paraId="3B30DF15" w14:textId="77777777" w:rsidR="00613C4E" w:rsidRPr="00190D29" w:rsidRDefault="00613C4E" w:rsidP="00433AD0">
            <w:pPr>
              <w:tabs>
                <w:tab w:val="left" w:pos="1620"/>
              </w:tabs>
              <w:suppressAutoHyphens/>
              <w:spacing w:after="120"/>
              <w:jc w:val="right"/>
              <w:rPr>
                <w:i/>
                <w:spacing w:val="4"/>
                <w:w w:val="103"/>
                <w:kern w:val="14"/>
                <w:sz w:val="14"/>
                <w:lang w:val="en-GB"/>
              </w:rPr>
            </w:pPr>
            <w:r w:rsidRPr="00190D29">
              <w:rPr>
                <w:i/>
                <w:spacing w:val="4"/>
                <w:w w:val="103"/>
                <w:kern w:val="14"/>
                <w:sz w:val="14"/>
                <w:lang w:val="en-GB"/>
              </w:rPr>
              <w:t>Page</w:t>
            </w:r>
          </w:p>
        </w:tc>
      </w:tr>
      <w:tr w:rsidR="00613C4E" w:rsidRPr="00190D29" w14:paraId="3D2D0C95" w14:textId="77777777" w:rsidTr="00433AD0">
        <w:tc>
          <w:tcPr>
            <w:tcW w:w="9360" w:type="dxa"/>
            <w:gridSpan w:val="2"/>
            <w:shd w:val="clear" w:color="auto" w:fill="auto"/>
          </w:tcPr>
          <w:p w14:paraId="3F2F22BD" w14:textId="77777777" w:rsidR="00613C4E" w:rsidRPr="00190D29" w:rsidRDefault="00613C4E" w:rsidP="00613C4E">
            <w:pPr>
              <w:numPr>
                <w:ilvl w:val="0"/>
                <w:numId w:val="37"/>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190D29">
              <w:rPr>
                <w:spacing w:val="4"/>
                <w:w w:val="103"/>
                <w:kern w:val="14"/>
                <w:lang w:val="en-GB"/>
              </w:rPr>
              <w:tab/>
              <w:t>Programme rationale</w:t>
            </w:r>
            <w:r w:rsidRPr="00190D29">
              <w:rPr>
                <w:spacing w:val="60"/>
                <w:w w:val="103"/>
                <w:kern w:val="14"/>
                <w:sz w:val="17"/>
                <w:lang w:val="en-GB"/>
              </w:rPr>
              <w:tab/>
            </w:r>
          </w:p>
        </w:tc>
        <w:tc>
          <w:tcPr>
            <w:tcW w:w="542" w:type="dxa"/>
            <w:gridSpan w:val="2"/>
            <w:vMerge w:val="restart"/>
            <w:shd w:val="clear" w:color="auto" w:fill="auto"/>
            <w:vAlign w:val="bottom"/>
          </w:tcPr>
          <w:p w14:paraId="0E548F45" w14:textId="77777777" w:rsidR="00613C4E" w:rsidRPr="00190D29" w:rsidRDefault="00613C4E" w:rsidP="00433AD0">
            <w:pPr>
              <w:tabs>
                <w:tab w:val="left" w:pos="1620"/>
              </w:tabs>
              <w:suppressAutoHyphens/>
              <w:spacing w:after="120" w:line="240" w:lineRule="exact"/>
              <w:jc w:val="right"/>
              <w:rPr>
                <w:spacing w:val="4"/>
                <w:w w:val="103"/>
                <w:kern w:val="14"/>
                <w:lang w:val="en-GB"/>
              </w:rPr>
            </w:pPr>
            <w:r w:rsidRPr="00190D29">
              <w:rPr>
                <w:spacing w:val="4"/>
                <w:w w:val="103"/>
                <w:kern w:val="14"/>
                <w:lang w:val="en-GB"/>
              </w:rPr>
              <w:t>2</w:t>
            </w:r>
          </w:p>
          <w:p w14:paraId="5D08FF0A" w14:textId="6706F444" w:rsidR="00613C4E" w:rsidRPr="00190D29" w:rsidRDefault="005771AD" w:rsidP="00433AD0">
            <w:pPr>
              <w:tabs>
                <w:tab w:val="left" w:pos="1620"/>
              </w:tabs>
              <w:suppressAutoHyphens/>
              <w:spacing w:after="120" w:line="240" w:lineRule="exact"/>
              <w:jc w:val="right"/>
              <w:rPr>
                <w:spacing w:val="4"/>
                <w:w w:val="103"/>
                <w:kern w:val="14"/>
                <w:lang w:val="en-GB"/>
              </w:rPr>
            </w:pPr>
            <w:r>
              <w:rPr>
                <w:spacing w:val="4"/>
                <w:w w:val="103"/>
                <w:kern w:val="14"/>
                <w:lang w:val="en-GB"/>
              </w:rPr>
              <w:t>4</w:t>
            </w:r>
          </w:p>
        </w:tc>
      </w:tr>
      <w:tr w:rsidR="00613C4E" w:rsidRPr="00190D29" w14:paraId="361F0D8F" w14:textId="77777777" w:rsidTr="00433AD0">
        <w:tc>
          <w:tcPr>
            <w:tcW w:w="9360" w:type="dxa"/>
            <w:gridSpan w:val="2"/>
            <w:shd w:val="clear" w:color="auto" w:fill="auto"/>
          </w:tcPr>
          <w:p w14:paraId="044883D4" w14:textId="77777777" w:rsidR="00613C4E" w:rsidRPr="00190D29" w:rsidRDefault="00613C4E" w:rsidP="00613C4E">
            <w:pPr>
              <w:numPr>
                <w:ilvl w:val="0"/>
                <w:numId w:val="37"/>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190D29">
              <w:rPr>
                <w:spacing w:val="4"/>
                <w:w w:val="103"/>
                <w:kern w:val="14"/>
                <w:lang w:val="en-GB"/>
              </w:rPr>
              <w:tab/>
              <w:t>Programme priorities and partnerships</w:t>
            </w:r>
            <w:r w:rsidRPr="00190D29">
              <w:rPr>
                <w:spacing w:val="60"/>
                <w:w w:val="103"/>
                <w:kern w:val="14"/>
                <w:sz w:val="17"/>
                <w:lang w:val="en-GB"/>
              </w:rPr>
              <w:tab/>
            </w:r>
          </w:p>
        </w:tc>
        <w:tc>
          <w:tcPr>
            <w:tcW w:w="542" w:type="dxa"/>
            <w:gridSpan w:val="2"/>
            <w:vMerge/>
            <w:shd w:val="clear" w:color="auto" w:fill="auto"/>
            <w:vAlign w:val="bottom"/>
          </w:tcPr>
          <w:p w14:paraId="6CF60B5E" w14:textId="77777777" w:rsidR="00613C4E" w:rsidRPr="00190D29" w:rsidRDefault="00613C4E" w:rsidP="00433AD0">
            <w:pPr>
              <w:tabs>
                <w:tab w:val="left" w:pos="1620"/>
              </w:tabs>
              <w:suppressAutoHyphens/>
              <w:spacing w:after="120" w:line="240" w:lineRule="exact"/>
              <w:jc w:val="right"/>
              <w:rPr>
                <w:spacing w:val="4"/>
                <w:w w:val="103"/>
                <w:kern w:val="14"/>
                <w:lang w:val="en-GB"/>
              </w:rPr>
            </w:pPr>
          </w:p>
        </w:tc>
      </w:tr>
      <w:tr w:rsidR="00613C4E" w:rsidRPr="00190D29" w14:paraId="6B80C500" w14:textId="77777777" w:rsidTr="00433AD0">
        <w:tc>
          <w:tcPr>
            <w:tcW w:w="9360" w:type="dxa"/>
            <w:gridSpan w:val="2"/>
            <w:shd w:val="clear" w:color="auto" w:fill="auto"/>
          </w:tcPr>
          <w:p w14:paraId="6057FCE4" w14:textId="77777777" w:rsidR="00613C4E" w:rsidRPr="00190D29" w:rsidRDefault="00613C4E" w:rsidP="00613C4E">
            <w:pPr>
              <w:numPr>
                <w:ilvl w:val="0"/>
                <w:numId w:val="37"/>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190D29">
              <w:rPr>
                <w:spacing w:val="4"/>
                <w:w w:val="103"/>
                <w:kern w:val="14"/>
                <w:lang w:val="en-GB"/>
              </w:rPr>
              <w:tab/>
              <w:t>Programme and risk management</w:t>
            </w:r>
            <w:r w:rsidRPr="00190D29">
              <w:rPr>
                <w:spacing w:val="60"/>
                <w:w w:val="103"/>
                <w:kern w:val="14"/>
                <w:sz w:val="17"/>
                <w:lang w:val="en-GB"/>
              </w:rPr>
              <w:tab/>
            </w:r>
          </w:p>
        </w:tc>
        <w:tc>
          <w:tcPr>
            <w:tcW w:w="542" w:type="dxa"/>
            <w:gridSpan w:val="2"/>
            <w:vMerge w:val="restart"/>
            <w:shd w:val="clear" w:color="auto" w:fill="auto"/>
            <w:vAlign w:val="bottom"/>
          </w:tcPr>
          <w:p w14:paraId="2A8D9DC8" w14:textId="77777777" w:rsidR="00613C4E" w:rsidRPr="00190D29" w:rsidRDefault="00613C4E" w:rsidP="00433AD0">
            <w:pPr>
              <w:tabs>
                <w:tab w:val="left" w:pos="1620"/>
              </w:tabs>
              <w:suppressAutoHyphens/>
              <w:spacing w:after="120" w:line="240" w:lineRule="exact"/>
              <w:jc w:val="right"/>
              <w:rPr>
                <w:spacing w:val="4"/>
                <w:w w:val="103"/>
                <w:kern w:val="14"/>
                <w:lang w:val="en-GB"/>
              </w:rPr>
            </w:pPr>
            <w:r w:rsidRPr="00190D29">
              <w:rPr>
                <w:spacing w:val="4"/>
                <w:w w:val="103"/>
                <w:kern w:val="14"/>
                <w:lang w:val="en-GB"/>
              </w:rPr>
              <w:t>7</w:t>
            </w:r>
          </w:p>
          <w:p w14:paraId="15EACB2A" w14:textId="77777777" w:rsidR="00613C4E" w:rsidRPr="00190D29" w:rsidRDefault="00613C4E" w:rsidP="00433AD0">
            <w:pPr>
              <w:tabs>
                <w:tab w:val="left" w:pos="1620"/>
              </w:tabs>
              <w:suppressAutoHyphens/>
              <w:spacing w:after="120" w:line="240" w:lineRule="exact"/>
              <w:jc w:val="right"/>
              <w:rPr>
                <w:spacing w:val="4"/>
                <w:w w:val="103"/>
                <w:kern w:val="14"/>
                <w:lang w:val="en-GB"/>
              </w:rPr>
            </w:pPr>
            <w:r w:rsidRPr="00190D29">
              <w:rPr>
                <w:spacing w:val="4"/>
                <w:w w:val="103"/>
                <w:kern w:val="14"/>
                <w:lang w:val="en-GB"/>
              </w:rPr>
              <w:t xml:space="preserve">8 </w:t>
            </w:r>
          </w:p>
        </w:tc>
      </w:tr>
      <w:tr w:rsidR="00613C4E" w:rsidRPr="00190D29" w14:paraId="75CD13CF" w14:textId="77777777" w:rsidTr="00433AD0">
        <w:tc>
          <w:tcPr>
            <w:tcW w:w="9360" w:type="dxa"/>
            <w:gridSpan w:val="2"/>
            <w:shd w:val="clear" w:color="auto" w:fill="auto"/>
          </w:tcPr>
          <w:p w14:paraId="46127A6D" w14:textId="378D811B" w:rsidR="00613C4E" w:rsidRPr="00190D29" w:rsidRDefault="00613C4E" w:rsidP="00613C4E">
            <w:pPr>
              <w:numPr>
                <w:ilvl w:val="0"/>
                <w:numId w:val="37"/>
              </w:numPr>
              <w:tabs>
                <w:tab w:val="right" w:pos="1080"/>
                <w:tab w:val="left" w:pos="1296"/>
                <w:tab w:val="left" w:pos="1620"/>
                <w:tab w:val="left" w:pos="2160"/>
                <w:tab w:val="left" w:pos="2592"/>
                <w:tab w:val="left" w:pos="3024"/>
                <w:tab w:val="left" w:pos="3420"/>
                <w:tab w:val="left" w:pos="3456"/>
                <w:tab w:val="right" w:leader="dot" w:pos="8460"/>
              </w:tabs>
              <w:suppressAutoHyphens/>
              <w:spacing w:after="120" w:line="240" w:lineRule="exact"/>
              <w:jc w:val="both"/>
              <w:rPr>
                <w:spacing w:val="4"/>
                <w:w w:val="103"/>
                <w:kern w:val="14"/>
                <w:lang w:val="en-GB"/>
              </w:rPr>
            </w:pPr>
            <w:r w:rsidRPr="00190D29">
              <w:rPr>
                <w:spacing w:val="4"/>
                <w:w w:val="103"/>
                <w:kern w:val="14"/>
                <w:lang w:val="en-GB"/>
              </w:rPr>
              <w:tab/>
              <w:t>Monitoring and evaluation</w:t>
            </w:r>
            <w:r w:rsidRPr="00190D29">
              <w:rPr>
                <w:spacing w:val="60"/>
                <w:w w:val="103"/>
                <w:kern w:val="14"/>
                <w:sz w:val="17"/>
                <w:lang w:val="en-GB"/>
              </w:rPr>
              <w:tab/>
            </w:r>
          </w:p>
        </w:tc>
        <w:tc>
          <w:tcPr>
            <w:tcW w:w="542" w:type="dxa"/>
            <w:gridSpan w:val="2"/>
            <w:vMerge/>
            <w:shd w:val="clear" w:color="auto" w:fill="auto"/>
            <w:vAlign w:val="bottom"/>
          </w:tcPr>
          <w:p w14:paraId="4DEF70F4" w14:textId="77777777" w:rsidR="00613C4E" w:rsidRPr="00190D29" w:rsidRDefault="00613C4E" w:rsidP="00433AD0">
            <w:pPr>
              <w:tabs>
                <w:tab w:val="left" w:pos="1620"/>
              </w:tabs>
              <w:suppressAutoHyphens/>
              <w:spacing w:after="120" w:line="240" w:lineRule="exact"/>
              <w:jc w:val="right"/>
              <w:rPr>
                <w:spacing w:val="4"/>
                <w:w w:val="103"/>
                <w:kern w:val="14"/>
                <w:lang w:val="en-GB"/>
              </w:rPr>
            </w:pPr>
          </w:p>
        </w:tc>
      </w:tr>
      <w:tr w:rsidR="00613C4E" w:rsidRPr="00190D29" w14:paraId="51BAD5D4" w14:textId="77777777" w:rsidTr="00433AD0">
        <w:tc>
          <w:tcPr>
            <w:tcW w:w="9369" w:type="dxa"/>
            <w:gridSpan w:val="3"/>
            <w:shd w:val="clear" w:color="auto" w:fill="auto"/>
          </w:tcPr>
          <w:p w14:paraId="577DDDDD" w14:textId="77777777" w:rsidR="00613C4E" w:rsidRPr="00190D29" w:rsidRDefault="00613C4E" w:rsidP="00433AD0">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190D29">
              <w:rPr>
                <w:spacing w:val="4"/>
                <w:w w:val="103"/>
                <w:kern w:val="14"/>
                <w:lang w:val="en-GB"/>
              </w:rPr>
              <w:t xml:space="preserve">     Annex</w:t>
            </w:r>
          </w:p>
        </w:tc>
        <w:tc>
          <w:tcPr>
            <w:tcW w:w="533" w:type="dxa"/>
            <w:shd w:val="clear" w:color="auto" w:fill="auto"/>
            <w:vAlign w:val="bottom"/>
          </w:tcPr>
          <w:p w14:paraId="12B55642" w14:textId="77777777" w:rsidR="00613C4E" w:rsidRPr="00190D29" w:rsidRDefault="00613C4E" w:rsidP="00433AD0">
            <w:pPr>
              <w:tabs>
                <w:tab w:val="left" w:pos="1620"/>
              </w:tabs>
              <w:suppressAutoHyphens/>
              <w:spacing w:after="120" w:line="240" w:lineRule="exact"/>
              <w:jc w:val="right"/>
              <w:rPr>
                <w:spacing w:val="4"/>
                <w:w w:val="103"/>
                <w:kern w:val="14"/>
                <w:lang w:val="en-GB"/>
              </w:rPr>
            </w:pPr>
          </w:p>
        </w:tc>
      </w:tr>
      <w:tr w:rsidR="00613C4E" w:rsidRPr="00190D29" w14:paraId="54AF97E1" w14:textId="77777777" w:rsidTr="00433AD0">
        <w:tc>
          <w:tcPr>
            <w:tcW w:w="9369" w:type="dxa"/>
            <w:gridSpan w:val="3"/>
            <w:shd w:val="clear" w:color="auto" w:fill="auto"/>
          </w:tcPr>
          <w:p w14:paraId="07A9F42B" w14:textId="7FC86AF2" w:rsidR="00613C4E" w:rsidRPr="00190D29" w:rsidRDefault="00613C4E" w:rsidP="00613C4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5670"/>
                <w:tab w:val="left" w:pos="6048"/>
                <w:tab w:val="right" w:leader="dot" w:pos="9360"/>
              </w:tabs>
              <w:suppressAutoHyphens/>
              <w:spacing w:after="120" w:line="240" w:lineRule="exact"/>
              <w:ind w:left="1296"/>
              <w:rPr>
                <w:spacing w:val="60"/>
                <w:w w:val="103"/>
                <w:kern w:val="14"/>
                <w:sz w:val="17"/>
                <w:lang w:val="en-GB"/>
              </w:rPr>
            </w:pPr>
            <w:r w:rsidRPr="00190D29">
              <w:rPr>
                <w:spacing w:val="4"/>
                <w:w w:val="103"/>
                <w:kern w:val="14"/>
                <w:lang w:val="en-GB"/>
              </w:rPr>
              <w:t>Resu</w:t>
            </w:r>
            <w:r>
              <w:rPr>
                <w:spacing w:val="4"/>
                <w:w w:val="103"/>
                <w:kern w:val="14"/>
                <w:lang w:val="en-GB"/>
              </w:rPr>
              <w:t>lts and resources framework for Eritrea</w:t>
            </w:r>
            <w:r w:rsidRPr="00190D29">
              <w:rPr>
                <w:spacing w:val="4"/>
                <w:w w:val="103"/>
                <w:kern w:val="14"/>
                <w:lang w:val="en-GB"/>
              </w:rPr>
              <w:t xml:space="preserve"> (2017-202</w:t>
            </w:r>
            <w:r>
              <w:rPr>
                <w:spacing w:val="4"/>
                <w:w w:val="103"/>
                <w:kern w:val="14"/>
                <w:lang w:val="en-GB"/>
              </w:rPr>
              <w:t>1</w:t>
            </w:r>
            <w:r w:rsidRPr="00190D29">
              <w:rPr>
                <w:spacing w:val="4"/>
                <w:w w:val="103"/>
                <w:kern w:val="14"/>
                <w:lang w:val="en-GB"/>
              </w:rPr>
              <w:t>)</w:t>
            </w:r>
            <w:r w:rsidRPr="00190D29">
              <w:rPr>
                <w:spacing w:val="60"/>
                <w:w w:val="103"/>
                <w:kern w:val="14"/>
                <w:sz w:val="17"/>
                <w:lang w:val="en-GB"/>
              </w:rPr>
              <w:tab/>
            </w:r>
          </w:p>
        </w:tc>
        <w:tc>
          <w:tcPr>
            <w:tcW w:w="533" w:type="dxa"/>
            <w:shd w:val="clear" w:color="auto" w:fill="auto"/>
            <w:vAlign w:val="bottom"/>
          </w:tcPr>
          <w:p w14:paraId="1E08DA68" w14:textId="77777777" w:rsidR="00613C4E" w:rsidRPr="00190D29" w:rsidRDefault="00613C4E" w:rsidP="00433AD0">
            <w:pPr>
              <w:tabs>
                <w:tab w:val="left" w:pos="1620"/>
              </w:tabs>
              <w:suppressAutoHyphens/>
              <w:spacing w:after="120" w:line="240" w:lineRule="exact"/>
              <w:jc w:val="right"/>
              <w:rPr>
                <w:spacing w:val="4"/>
                <w:w w:val="103"/>
                <w:kern w:val="14"/>
                <w:lang w:val="en-GB"/>
              </w:rPr>
            </w:pPr>
            <w:r w:rsidRPr="00190D29">
              <w:rPr>
                <w:spacing w:val="4"/>
                <w:w w:val="103"/>
                <w:kern w:val="14"/>
                <w:lang w:val="en-GB"/>
              </w:rPr>
              <w:t>9</w:t>
            </w:r>
          </w:p>
        </w:tc>
      </w:tr>
    </w:tbl>
    <w:p w14:paraId="6F62733E" w14:textId="77777777" w:rsidR="00613C4E" w:rsidRPr="003C26C1" w:rsidRDefault="00613C4E" w:rsidP="00613C4E">
      <w:pPr>
        <w:rPr>
          <w:rFonts w:ascii="Arial" w:hAnsi="Arial"/>
          <w:color w:val="000000"/>
          <w:spacing w:val="-2"/>
        </w:rPr>
      </w:pPr>
    </w:p>
    <w:p w14:paraId="2EEC0FEE" w14:textId="77777777" w:rsidR="00613C4E" w:rsidRPr="003C26C1" w:rsidRDefault="00613C4E" w:rsidP="00613C4E">
      <w:pPr>
        <w:rPr>
          <w:color w:val="000000"/>
          <w:sz w:val="6"/>
        </w:rPr>
        <w:sectPr w:rsidR="00613C4E" w:rsidRPr="003C26C1"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2440D3D7" w14:textId="40888CE4" w:rsidR="00A918A7" w:rsidRPr="008E0DA5" w:rsidRDefault="0059112A" w:rsidP="00613C4E">
      <w:pPr>
        <w:pStyle w:val="Heading2"/>
        <w:numPr>
          <w:ilvl w:val="0"/>
          <w:numId w:val="38"/>
        </w:numPr>
        <w:ind w:left="720" w:right="720" w:hanging="360"/>
        <w:jc w:val="both"/>
        <w:rPr>
          <w:rFonts w:ascii="Times New Roman" w:hAnsi="Times New Roman"/>
          <w:bCs/>
          <w:color w:val="000000"/>
          <w:szCs w:val="28"/>
        </w:rPr>
      </w:pPr>
      <w:r w:rsidRPr="008E0DA5">
        <w:rPr>
          <w:rFonts w:ascii="Times New Roman" w:hAnsi="Times New Roman"/>
          <w:bCs/>
          <w:color w:val="000000"/>
          <w:szCs w:val="28"/>
        </w:rPr>
        <w:lastRenderedPageBreak/>
        <w:t xml:space="preserve">Programme </w:t>
      </w:r>
      <w:r w:rsidR="00613C4E" w:rsidRPr="008E0DA5">
        <w:rPr>
          <w:rFonts w:ascii="Times New Roman" w:hAnsi="Times New Roman"/>
          <w:bCs/>
          <w:color w:val="000000"/>
          <w:szCs w:val="28"/>
        </w:rPr>
        <w:t>r</w:t>
      </w:r>
      <w:r w:rsidRPr="008E0DA5">
        <w:rPr>
          <w:rFonts w:ascii="Times New Roman" w:hAnsi="Times New Roman"/>
          <w:bCs/>
          <w:color w:val="000000"/>
          <w:szCs w:val="28"/>
        </w:rPr>
        <w:t>ationale</w:t>
      </w:r>
      <w:r w:rsidR="00A113D7" w:rsidRPr="008E0DA5">
        <w:rPr>
          <w:rFonts w:ascii="Times New Roman" w:hAnsi="Times New Roman"/>
          <w:bCs/>
          <w:color w:val="000000"/>
          <w:szCs w:val="28"/>
        </w:rPr>
        <w:t xml:space="preserve"> </w:t>
      </w:r>
    </w:p>
    <w:p w14:paraId="14CF2E9E" w14:textId="77777777" w:rsidR="00144CE3" w:rsidRPr="00074F5C" w:rsidRDefault="00144CE3" w:rsidP="00613C4E">
      <w:pPr>
        <w:ind w:left="720" w:right="720"/>
        <w:jc w:val="both"/>
      </w:pPr>
    </w:p>
    <w:p w14:paraId="1F72279F" w14:textId="7024366C" w:rsidR="00D01B14" w:rsidRPr="00D01B14" w:rsidRDefault="00D01B14" w:rsidP="0099643B">
      <w:pPr>
        <w:widowControl w:val="0"/>
        <w:numPr>
          <w:ilvl w:val="0"/>
          <w:numId w:val="35"/>
        </w:numPr>
        <w:tabs>
          <w:tab w:val="left" w:pos="1080"/>
        </w:tabs>
        <w:adjustRightInd w:val="0"/>
        <w:spacing w:after="120"/>
        <w:ind w:left="720" w:right="720" w:firstLine="0"/>
        <w:jc w:val="both"/>
        <w:textAlignment w:val="baseline"/>
        <w:rPr>
          <w:lang w:val="en-ZW"/>
        </w:rPr>
      </w:pPr>
      <w:r w:rsidRPr="00361872">
        <w:rPr>
          <w:lang w:val="en-ZW"/>
        </w:rPr>
        <w:t xml:space="preserve">Since </w:t>
      </w:r>
      <w:r w:rsidR="0019172A">
        <w:rPr>
          <w:lang w:val="en-ZW"/>
        </w:rPr>
        <w:t>i</w:t>
      </w:r>
      <w:r w:rsidRPr="00361872">
        <w:rPr>
          <w:lang w:val="en-ZW"/>
        </w:rPr>
        <w:t>ndependence in 1991</w:t>
      </w:r>
      <w:r w:rsidR="0019172A">
        <w:rPr>
          <w:lang w:val="en-ZW"/>
        </w:rPr>
        <w:t>,</w:t>
      </w:r>
      <w:r w:rsidRPr="00361872">
        <w:rPr>
          <w:lang w:val="en-ZW"/>
        </w:rPr>
        <w:t xml:space="preserve"> the </w:t>
      </w:r>
      <w:r w:rsidR="0019172A">
        <w:rPr>
          <w:lang w:val="en-ZW"/>
        </w:rPr>
        <w:t xml:space="preserve">Eritrean </w:t>
      </w:r>
      <w:r w:rsidR="00DA5BAA">
        <w:rPr>
          <w:lang w:val="en-ZW"/>
        </w:rPr>
        <w:t>G</w:t>
      </w:r>
      <w:r w:rsidRPr="00361872">
        <w:rPr>
          <w:lang w:val="en-ZW"/>
        </w:rPr>
        <w:t xml:space="preserve">overnment </w:t>
      </w:r>
      <w:r w:rsidR="0019172A">
        <w:rPr>
          <w:lang w:val="en-ZW"/>
        </w:rPr>
        <w:t xml:space="preserve">has </w:t>
      </w:r>
      <w:r w:rsidRPr="00361872">
        <w:rPr>
          <w:lang w:val="en-ZW"/>
        </w:rPr>
        <w:t xml:space="preserve">underpinned its long-term development strategy on the principle of self-reliance to achieve rapid, balanced, home-grown and sustainable economic growth with social equity and justice. Eritrea’s GDP growth has been inconsistent, averaging 3.8 per cent annually, but </w:t>
      </w:r>
      <w:r>
        <w:rPr>
          <w:lang w:val="en-ZW"/>
        </w:rPr>
        <w:t>fluctuating</w:t>
      </w:r>
      <w:r w:rsidRPr="00361872">
        <w:rPr>
          <w:lang w:val="en-ZW"/>
        </w:rPr>
        <w:t xml:space="preserve"> between a peak of 21 per cent </w:t>
      </w:r>
      <w:r w:rsidR="007642A6">
        <w:rPr>
          <w:lang w:val="en-ZW"/>
        </w:rPr>
        <w:t xml:space="preserve">in </w:t>
      </w:r>
      <w:r w:rsidRPr="00361872">
        <w:rPr>
          <w:lang w:val="en-ZW"/>
        </w:rPr>
        <w:t xml:space="preserve">1994 and negative 9.8 per cent </w:t>
      </w:r>
      <w:r w:rsidR="007642A6">
        <w:rPr>
          <w:lang w:val="en-ZW"/>
        </w:rPr>
        <w:t xml:space="preserve">in </w:t>
      </w:r>
      <w:r w:rsidRPr="00361872">
        <w:rPr>
          <w:lang w:val="en-ZW"/>
        </w:rPr>
        <w:t>2008</w:t>
      </w:r>
      <w:r w:rsidR="007642A6">
        <w:rPr>
          <w:lang w:val="en-ZW"/>
        </w:rPr>
        <w:t>, according to World Bank indicators</w:t>
      </w:r>
      <w:r w:rsidRPr="00361872">
        <w:rPr>
          <w:lang w:val="en-ZW"/>
        </w:rPr>
        <w:t xml:space="preserve">. </w:t>
      </w:r>
      <w:r w:rsidR="00B359F3">
        <w:rPr>
          <w:lang w:val="en-ZW"/>
        </w:rPr>
        <w:t>According to the Eritrea Millennium Development Goals Report of 2015, p</w:t>
      </w:r>
      <w:r w:rsidRPr="00361872">
        <w:rPr>
          <w:lang w:val="en-ZW"/>
        </w:rPr>
        <w:t xml:space="preserve">overty rates </w:t>
      </w:r>
      <w:r w:rsidR="00B359F3">
        <w:rPr>
          <w:lang w:val="en-ZW"/>
        </w:rPr>
        <w:t>fell</w:t>
      </w:r>
      <w:r w:rsidRPr="00361872">
        <w:rPr>
          <w:lang w:val="en-ZW"/>
        </w:rPr>
        <w:t xml:space="preserve"> from 70 per cent in 1995 to 58 per cent in 2015, but the cycle of persistent poverty has not been broken. </w:t>
      </w:r>
      <w:r w:rsidR="004838D9">
        <w:rPr>
          <w:lang w:val="en"/>
        </w:rPr>
        <w:t xml:space="preserve">Strengthening the national statistics system, including its ability to generate </w:t>
      </w:r>
      <w:r w:rsidRPr="00361872">
        <w:rPr>
          <w:lang w:val="en"/>
        </w:rPr>
        <w:t xml:space="preserve">disaggregated data is </w:t>
      </w:r>
      <w:r w:rsidR="00803608">
        <w:rPr>
          <w:lang w:val="en"/>
        </w:rPr>
        <w:t xml:space="preserve">needed </w:t>
      </w:r>
      <w:r w:rsidRPr="00361872">
        <w:rPr>
          <w:lang w:val="en"/>
        </w:rPr>
        <w:t xml:space="preserve">to </w:t>
      </w:r>
      <w:r w:rsidR="00803608">
        <w:rPr>
          <w:lang w:val="en"/>
        </w:rPr>
        <w:t xml:space="preserve">accurately </w:t>
      </w:r>
      <w:r w:rsidRPr="00361872">
        <w:rPr>
          <w:lang w:val="en"/>
        </w:rPr>
        <w:t>target interventions to the most vulnerable</w:t>
      </w:r>
      <w:r w:rsidR="004838D9">
        <w:rPr>
          <w:lang w:val="en"/>
        </w:rPr>
        <w:t xml:space="preserve">, and </w:t>
      </w:r>
      <w:r w:rsidR="004838D9" w:rsidRPr="00361872">
        <w:rPr>
          <w:lang w:val="en"/>
        </w:rPr>
        <w:t>make reliable comparisons on the basis of global indicators,</w:t>
      </w:r>
      <w:r w:rsidR="004838D9">
        <w:rPr>
          <w:lang w:val="en"/>
        </w:rPr>
        <w:t xml:space="preserve"> which is</w:t>
      </w:r>
      <w:r w:rsidR="004838D9" w:rsidRPr="00361872">
        <w:rPr>
          <w:lang w:val="en"/>
        </w:rPr>
        <w:t xml:space="preserve"> </w:t>
      </w:r>
      <w:r w:rsidR="004838D9">
        <w:rPr>
          <w:lang w:val="en"/>
        </w:rPr>
        <w:t xml:space="preserve">especially </w:t>
      </w:r>
      <w:r w:rsidR="004838D9" w:rsidRPr="00361872">
        <w:rPr>
          <w:lang w:val="en"/>
        </w:rPr>
        <w:t xml:space="preserve">important </w:t>
      </w:r>
      <w:r w:rsidR="004838D9">
        <w:rPr>
          <w:lang w:val="en"/>
        </w:rPr>
        <w:t>for</w:t>
      </w:r>
      <w:r w:rsidR="004838D9" w:rsidRPr="00361872">
        <w:rPr>
          <w:lang w:val="en"/>
        </w:rPr>
        <w:t xml:space="preserve"> implement</w:t>
      </w:r>
      <w:r w:rsidR="004838D9">
        <w:rPr>
          <w:lang w:val="en"/>
        </w:rPr>
        <w:t>ing</w:t>
      </w:r>
      <w:r w:rsidR="004838D9" w:rsidRPr="00361872">
        <w:rPr>
          <w:lang w:val="en"/>
        </w:rPr>
        <w:t xml:space="preserve"> the Sustainable Development Goals. </w:t>
      </w:r>
      <w:r w:rsidR="00803608">
        <w:rPr>
          <w:lang w:val="en"/>
        </w:rPr>
        <w:t>D</w:t>
      </w:r>
      <w:r w:rsidR="006604EA">
        <w:rPr>
          <w:lang w:val="en"/>
        </w:rPr>
        <w:t xml:space="preserve">ata </w:t>
      </w:r>
      <w:r w:rsidRPr="00361872">
        <w:rPr>
          <w:lang w:val="en"/>
        </w:rPr>
        <w:t xml:space="preserve">availability </w:t>
      </w:r>
      <w:r w:rsidR="00803608">
        <w:rPr>
          <w:lang w:val="en"/>
        </w:rPr>
        <w:t xml:space="preserve">problems </w:t>
      </w:r>
      <w:r w:rsidRPr="00361872">
        <w:rPr>
          <w:lang w:val="en"/>
        </w:rPr>
        <w:t xml:space="preserve">negatively </w:t>
      </w:r>
      <w:r w:rsidR="006604EA">
        <w:rPr>
          <w:lang w:val="en"/>
        </w:rPr>
        <w:t xml:space="preserve">affect </w:t>
      </w:r>
      <w:r w:rsidRPr="00361872">
        <w:rPr>
          <w:lang w:val="en"/>
        </w:rPr>
        <w:t>partner programming and</w:t>
      </w:r>
      <w:r w:rsidR="00E55B72">
        <w:rPr>
          <w:lang w:val="en"/>
        </w:rPr>
        <w:t xml:space="preserve"> </w:t>
      </w:r>
      <w:r w:rsidRPr="00361872">
        <w:rPr>
          <w:lang w:val="en"/>
        </w:rPr>
        <w:t>government policy and decision-making processes.</w:t>
      </w:r>
    </w:p>
    <w:p w14:paraId="7966B3A8" w14:textId="6DB47249" w:rsidR="00D01B14" w:rsidRDefault="00D01B14" w:rsidP="0099643B">
      <w:pPr>
        <w:pStyle w:val="ListParagraph"/>
        <w:widowControl w:val="0"/>
        <w:numPr>
          <w:ilvl w:val="0"/>
          <w:numId w:val="35"/>
        </w:numPr>
        <w:tabs>
          <w:tab w:val="left" w:pos="1080"/>
        </w:tabs>
        <w:adjustRightInd w:val="0"/>
        <w:spacing w:after="120"/>
        <w:ind w:left="720" w:right="720" w:firstLine="0"/>
        <w:jc w:val="both"/>
        <w:textAlignment w:val="baseline"/>
        <w:rPr>
          <w:lang w:val="en-ZW"/>
        </w:rPr>
      </w:pPr>
      <w:r>
        <w:rPr>
          <w:lang w:val="en-ZW"/>
        </w:rPr>
        <w:t>The</w:t>
      </w:r>
      <w:r w:rsidRPr="00361872">
        <w:rPr>
          <w:lang w:val="en-ZW"/>
        </w:rPr>
        <w:t xml:space="preserve"> resumption of war with neighbouring Ethiopia (1998-2000) and </w:t>
      </w:r>
      <w:r w:rsidR="004838D9">
        <w:t>lack of progress in the implementation of the decision of the Eritrea-Ethiopia Boundary Commission</w:t>
      </w:r>
      <w:r w:rsidR="004838D9">
        <w:rPr>
          <w:rStyle w:val="FootnoteReference"/>
        </w:rPr>
        <w:footnoteReference w:id="1"/>
      </w:r>
      <w:r w:rsidR="004838D9">
        <w:t xml:space="preserve"> </w:t>
      </w:r>
      <w:r w:rsidRPr="00361872">
        <w:rPr>
          <w:lang w:val="en-ZW"/>
        </w:rPr>
        <w:t xml:space="preserve"> </w:t>
      </w:r>
      <w:r w:rsidR="00093623">
        <w:rPr>
          <w:lang w:val="en-ZW"/>
        </w:rPr>
        <w:t xml:space="preserve">has created </w:t>
      </w:r>
      <w:r w:rsidRPr="00361872">
        <w:rPr>
          <w:lang w:val="en-ZW"/>
        </w:rPr>
        <w:t xml:space="preserve">a situation of </w:t>
      </w:r>
      <w:r w:rsidR="00E72E7E">
        <w:rPr>
          <w:lang w:val="en-ZW"/>
        </w:rPr>
        <w:t>‘</w:t>
      </w:r>
      <w:r w:rsidRPr="00361872">
        <w:rPr>
          <w:lang w:val="en-ZW"/>
        </w:rPr>
        <w:t>no-peace-no-war</w:t>
      </w:r>
      <w:r w:rsidR="00E72E7E">
        <w:rPr>
          <w:lang w:val="en-ZW"/>
        </w:rPr>
        <w:t>’</w:t>
      </w:r>
      <w:r w:rsidRPr="00361872">
        <w:rPr>
          <w:lang w:val="en-ZW"/>
        </w:rPr>
        <w:t xml:space="preserve"> </w:t>
      </w:r>
      <w:r w:rsidR="000C314D">
        <w:rPr>
          <w:lang w:val="en-ZW"/>
        </w:rPr>
        <w:t xml:space="preserve">and </w:t>
      </w:r>
      <w:r w:rsidR="00093623">
        <w:rPr>
          <w:lang w:val="en-ZW"/>
        </w:rPr>
        <w:t>hampered</w:t>
      </w:r>
      <w:r w:rsidRPr="00361872">
        <w:rPr>
          <w:lang w:val="en-ZW"/>
        </w:rPr>
        <w:t xml:space="preserve"> economic growth and development</w:t>
      </w:r>
      <w:r w:rsidR="00093623">
        <w:rPr>
          <w:lang w:val="en-ZW"/>
        </w:rPr>
        <w:t>, with</w:t>
      </w:r>
      <w:r w:rsidRPr="00361872">
        <w:rPr>
          <w:lang w:val="en-ZW"/>
        </w:rPr>
        <w:t xml:space="preserve"> human and financial resources diverted to</w:t>
      </w:r>
      <w:r w:rsidR="00E72E7E">
        <w:rPr>
          <w:lang w:val="en-ZW"/>
        </w:rPr>
        <w:t>ward national</w:t>
      </w:r>
      <w:r w:rsidRPr="00361872">
        <w:rPr>
          <w:lang w:val="en-ZW"/>
        </w:rPr>
        <w:t xml:space="preserve"> defen</w:t>
      </w:r>
      <w:r w:rsidR="00E72E7E">
        <w:rPr>
          <w:lang w:val="en-ZW"/>
        </w:rPr>
        <w:t>se</w:t>
      </w:r>
      <w:r w:rsidRPr="00361872">
        <w:rPr>
          <w:lang w:val="en-ZW"/>
        </w:rPr>
        <w:t>. Th</w:t>
      </w:r>
      <w:r>
        <w:rPr>
          <w:lang w:val="en-ZW"/>
        </w:rPr>
        <w:t>is</w:t>
      </w:r>
      <w:r w:rsidRPr="00361872">
        <w:rPr>
          <w:lang w:val="en-ZW"/>
        </w:rPr>
        <w:t xml:space="preserve"> </w:t>
      </w:r>
      <w:r>
        <w:rPr>
          <w:lang w:val="en-ZW"/>
        </w:rPr>
        <w:t xml:space="preserve">situation </w:t>
      </w:r>
      <w:r w:rsidRPr="00361872">
        <w:rPr>
          <w:lang w:val="en-ZW"/>
        </w:rPr>
        <w:t>prompted a range of emergency measures, including regulated media</w:t>
      </w:r>
      <w:r w:rsidR="00B305F2">
        <w:rPr>
          <w:lang w:val="en-ZW"/>
        </w:rPr>
        <w:t xml:space="preserve"> and</w:t>
      </w:r>
      <w:r w:rsidR="00021539">
        <w:rPr>
          <w:lang w:val="en-ZW"/>
        </w:rPr>
        <w:t xml:space="preserve"> civil society</w:t>
      </w:r>
      <w:r w:rsidRPr="00361872">
        <w:rPr>
          <w:lang w:val="en-ZW"/>
        </w:rPr>
        <w:t xml:space="preserve">. </w:t>
      </w:r>
      <w:r w:rsidR="006604EA">
        <w:rPr>
          <w:lang w:val="en-ZW"/>
        </w:rPr>
        <w:t>Young Eritreans are</w:t>
      </w:r>
      <w:r w:rsidRPr="008A21F8">
        <w:rPr>
          <w:lang w:val="en-ZW"/>
        </w:rPr>
        <w:t xml:space="preserve"> particularly affected by the lack of economic opportunities</w:t>
      </w:r>
      <w:r w:rsidR="00021539">
        <w:rPr>
          <w:lang w:val="en-ZW"/>
        </w:rPr>
        <w:t>,</w:t>
      </w:r>
      <w:r w:rsidRPr="008A21F8">
        <w:rPr>
          <w:lang w:val="en-ZW"/>
        </w:rPr>
        <w:t xml:space="preserve"> </w:t>
      </w:r>
      <w:r w:rsidR="006604EA">
        <w:rPr>
          <w:lang w:val="en-ZW"/>
        </w:rPr>
        <w:t>resulting in out</w:t>
      </w:r>
      <w:r w:rsidRPr="008A21F8">
        <w:rPr>
          <w:lang w:val="en-ZW"/>
        </w:rPr>
        <w:t>migration which</w:t>
      </w:r>
      <w:r w:rsidR="002E3B61">
        <w:rPr>
          <w:lang w:val="en-ZW"/>
        </w:rPr>
        <w:t xml:space="preserve"> </w:t>
      </w:r>
      <w:r w:rsidRPr="008A21F8">
        <w:rPr>
          <w:lang w:val="en-ZW"/>
        </w:rPr>
        <w:t>has been significant</w:t>
      </w:r>
      <w:r w:rsidR="002E3B61">
        <w:rPr>
          <w:lang w:val="en-ZW"/>
        </w:rPr>
        <w:t xml:space="preserve"> over recent years</w:t>
      </w:r>
      <w:r>
        <w:rPr>
          <w:lang w:val="en-ZW"/>
        </w:rPr>
        <w:t>.</w:t>
      </w:r>
      <w:r w:rsidRPr="008A21F8">
        <w:rPr>
          <w:lang w:val="en-ZW"/>
        </w:rPr>
        <w:t xml:space="preserve"> </w:t>
      </w:r>
      <w:r w:rsidRPr="00361872">
        <w:rPr>
          <w:lang w:val="en-ZW"/>
        </w:rPr>
        <w:t xml:space="preserve"> </w:t>
      </w:r>
    </w:p>
    <w:p w14:paraId="74073D5F" w14:textId="76035FE9" w:rsidR="00D01B14" w:rsidRPr="00BA288F" w:rsidRDefault="00C210D6" w:rsidP="0099643B">
      <w:pPr>
        <w:pStyle w:val="ListParagraph"/>
        <w:widowControl w:val="0"/>
        <w:numPr>
          <w:ilvl w:val="0"/>
          <w:numId w:val="35"/>
        </w:numPr>
        <w:tabs>
          <w:tab w:val="left" w:pos="1080"/>
        </w:tabs>
        <w:adjustRightInd w:val="0"/>
        <w:spacing w:after="120"/>
        <w:ind w:left="720" w:right="720" w:firstLine="0"/>
        <w:jc w:val="both"/>
        <w:textAlignment w:val="baseline"/>
        <w:rPr>
          <w:lang w:val="en-ZW"/>
        </w:rPr>
      </w:pPr>
      <w:r w:rsidRPr="00BA288F">
        <w:rPr>
          <w:lang w:val="en-ZW"/>
        </w:rPr>
        <w:t>United Nations</w:t>
      </w:r>
      <w:r>
        <w:rPr>
          <w:lang w:val="en-ZW"/>
        </w:rPr>
        <w:t xml:space="preserve"> sanctions are in place that </w:t>
      </w:r>
      <w:r w:rsidRPr="00BA288F">
        <w:rPr>
          <w:lang w:val="en-ZW"/>
        </w:rPr>
        <w:t>negative</w:t>
      </w:r>
      <w:r w:rsidR="009D60E3">
        <w:rPr>
          <w:lang w:val="en-ZW"/>
        </w:rPr>
        <w:t>ly</w:t>
      </w:r>
      <w:r w:rsidRPr="00BA288F">
        <w:rPr>
          <w:lang w:val="en-ZW"/>
        </w:rPr>
        <w:t xml:space="preserve"> </w:t>
      </w:r>
      <w:r w:rsidR="009D60E3">
        <w:rPr>
          <w:lang w:val="en-ZW"/>
        </w:rPr>
        <w:t>a</w:t>
      </w:r>
      <w:r>
        <w:rPr>
          <w:lang w:val="en-ZW"/>
        </w:rPr>
        <w:t>ffect</w:t>
      </w:r>
      <w:r w:rsidRPr="00BA288F">
        <w:rPr>
          <w:lang w:val="en-ZW"/>
        </w:rPr>
        <w:t xml:space="preserve"> private sector development and the national economy. </w:t>
      </w:r>
      <w:r>
        <w:rPr>
          <w:lang w:val="en-ZW"/>
        </w:rPr>
        <w:t>F</w:t>
      </w:r>
      <w:r w:rsidR="00D01B14" w:rsidRPr="00BA288F">
        <w:rPr>
          <w:lang w:val="en-ZW"/>
        </w:rPr>
        <w:t>requent shortages of basic food items, water, fuel and energy are affecting the population. Over the past three years, the Government has demonstrated a clear commitment to re-engage with the international community and vice</w:t>
      </w:r>
      <w:r w:rsidR="00CC3FCA">
        <w:rPr>
          <w:lang w:val="en-ZW"/>
        </w:rPr>
        <w:t xml:space="preserve"> </w:t>
      </w:r>
      <w:r w:rsidR="00D01B14" w:rsidRPr="00BA288F">
        <w:rPr>
          <w:lang w:val="en-ZW"/>
        </w:rPr>
        <w:t xml:space="preserve">versa. UNDP, not least as the host of the </w:t>
      </w:r>
      <w:r w:rsidR="00AE30BE">
        <w:rPr>
          <w:lang w:val="en-ZW"/>
        </w:rPr>
        <w:t xml:space="preserve">United Nations </w:t>
      </w:r>
      <w:r w:rsidR="00D01B14" w:rsidRPr="00BA288F">
        <w:rPr>
          <w:lang w:val="en-ZW"/>
        </w:rPr>
        <w:t xml:space="preserve">Resident Coordinator function, has played an essential role </w:t>
      </w:r>
      <w:r w:rsidR="00AE30BE">
        <w:rPr>
          <w:lang w:val="en-ZW"/>
        </w:rPr>
        <w:t xml:space="preserve">in </w:t>
      </w:r>
      <w:r w:rsidR="00D01B14" w:rsidRPr="00BA288F">
        <w:rPr>
          <w:lang w:val="en-ZW"/>
        </w:rPr>
        <w:t>rebuild</w:t>
      </w:r>
      <w:r w:rsidR="00AE30BE">
        <w:rPr>
          <w:lang w:val="en-ZW"/>
        </w:rPr>
        <w:t>ing</w:t>
      </w:r>
      <w:r w:rsidR="00D01B14" w:rsidRPr="00BA288F">
        <w:rPr>
          <w:lang w:val="en-ZW"/>
        </w:rPr>
        <w:t xml:space="preserve"> trust and engag</w:t>
      </w:r>
      <w:r w:rsidR="00AE30BE">
        <w:rPr>
          <w:lang w:val="en-ZW"/>
        </w:rPr>
        <w:t>ing</w:t>
      </w:r>
      <w:r w:rsidR="00D01B14" w:rsidRPr="00BA288F">
        <w:rPr>
          <w:lang w:val="en-ZW"/>
        </w:rPr>
        <w:t xml:space="preserve"> development partners, international financial institutions and other parts of the United Nations to support development in Eritrea. Notwithstanding </w:t>
      </w:r>
      <w:r w:rsidR="00AE30BE">
        <w:rPr>
          <w:lang w:val="en-ZW"/>
        </w:rPr>
        <w:t xml:space="preserve">some </w:t>
      </w:r>
      <w:r w:rsidR="00D01B14" w:rsidRPr="00BA288F">
        <w:rPr>
          <w:lang w:val="en-ZW"/>
        </w:rPr>
        <w:t>challenges, th</w:t>
      </w:r>
      <w:r w:rsidR="00AE30BE">
        <w:rPr>
          <w:lang w:val="en-ZW"/>
        </w:rPr>
        <w:t>is</w:t>
      </w:r>
      <w:r w:rsidR="00D01B14" w:rsidRPr="00BA288F">
        <w:rPr>
          <w:lang w:val="en-ZW"/>
        </w:rPr>
        <w:t xml:space="preserve"> good relationship with the Government </w:t>
      </w:r>
      <w:r w:rsidR="00AE30BE">
        <w:rPr>
          <w:lang w:val="en-ZW"/>
        </w:rPr>
        <w:t xml:space="preserve">paved </w:t>
      </w:r>
      <w:r w:rsidR="00D01B14" w:rsidRPr="00BA288F">
        <w:rPr>
          <w:lang w:val="en-ZW"/>
        </w:rPr>
        <w:t xml:space="preserve">the way to streamline the Universal Periodic Review and implementation of 92 out of the 200 recommendations and facilitated multiple </w:t>
      </w:r>
      <w:r w:rsidR="00E02A38">
        <w:rPr>
          <w:lang w:val="en-ZW"/>
        </w:rPr>
        <w:t xml:space="preserve">missions of the </w:t>
      </w:r>
      <w:r w:rsidR="00FB3693" w:rsidRPr="00FB3693">
        <w:rPr>
          <w:lang w:val="en-ZW"/>
        </w:rPr>
        <w:t xml:space="preserve">Office of the </w:t>
      </w:r>
      <w:r w:rsidR="007D03B1">
        <w:rPr>
          <w:lang w:val="en-ZW"/>
        </w:rPr>
        <w:t xml:space="preserve">United Nations </w:t>
      </w:r>
      <w:r w:rsidR="00FB3693" w:rsidRPr="00FB3693">
        <w:rPr>
          <w:lang w:val="en-ZW"/>
        </w:rPr>
        <w:t>High Commissioner for Human Rights</w:t>
      </w:r>
      <w:r w:rsidR="007D03B1">
        <w:rPr>
          <w:lang w:val="en-ZW"/>
        </w:rPr>
        <w:t xml:space="preserve"> (OHCHR)</w:t>
      </w:r>
      <w:r w:rsidR="00D01B14" w:rsidRPr="00BA288F">
        <w:rPr>
          <w:lang w:val="en-ZW"/>
        </w:rPr>
        <w:t>.</w:t>
      </w:r>
    </w:p>
    <w:p w14:paraId="54CA63C4" w14:textId="03D8BAC5" w:rsidR="00D01B14" w:rsidRDefault="00D01B14" w:rsidP="0099643B">
      <w:pPr>
        <w:widowControl w:val="0"/>
        <w:numPr>
          <w:ilvl w:val="0"/>
          <w:numId w:val="35"/>
        </w:numPr>
        <w:tabs>
          <w:tab w:val="left" w:pos="1080"/>
        </w:tabs>
        <w:adjustRightInd w:val="0"/>
        <w:spacing w:after="120"/>
        <w:ind w:left="720" w:right="720" w:firstLine="0"/>
        <w:jc w:val="both"/>
        <w:textAlignment w:val="baseline"/>
        <w:rPr>
          <w:lang w:val="en-ZW"/>
        </w:rPr>
      </w:pPr>
      <w:r w:rsidRPr="00361872">
        <w:rPr>
          <w:lang w:val="en-ZW"/>
        </w:rPr>
        <w:t xml:space="preserve">On the surface, it may seem that economic growth is constrained by external factors such as the no-peace-no-war situation and the </w:t>
      </w:r>
      <w:r>
        <w:rPr>
          <w:lang w:val="en-ZW"/>
        </w:rPr>
        <w:t>U</w:t>
      </w:r>
      <w:r w:rsidR="00911274">
        <w:rPr>
          <w:lang w:val="en-ZW"/>
        </w:rPr>
        <w:t xml:space="preserve">nited </w:t>
      </w:r>
      <w:r w:rsidRPr="00361872">
        <w:rPr>
          <w:lang w:val="en-ZW"/>
        </w:rPr>
        <w:t>N</w:t>
      </w:r>
      <w:r w:rsidR="00911274">
        <w:rPr>
          <w:lang w:val="en-ZW"/>
        </w:rPr>
        <w:t>ations</w:t>
      </w:r>
      <w:r w:rsidRPr="00361872">
        <w:rPr>
          <w:lang w:val="en-ZW"/>
        </w:rPr>
        <w:t xml:space="preserve"> </w:t>
      </w:r>
      <w:r>
        <w:rPr>
          <w:lang w:val="en-ZW"/>
        </w:rPr>
        <w:t>s</w:t>
      </w:r>
      <w:r w:rsidRPr="00361872">
        <w:rPr>
          <w:lang w:val="en-ZW"/>
        </w:rPr>
        <w:t>anctions</w:t>
      </w:r>
      <w:r w:rsidR="004838D9">
        <w:rPr>
          <w:lang w:val="en-ZW"/>
        </w:rPr>
        <w:t>, which the government believes are unjustified</w:t>
      </w:r>
      <w:r w:rsidRPr="00361872">
        <w:rPr>
          <w:lang w:val="en-ZW"/>
        </w:rPr>
        <w:t>. Growth data from 2011 (8.7 per cent) and 2012 (7 per cent)</w:t>
      </w:r>
      <w:r w:rsidR="00830A9B">
        <w:rPr>
          <w:lang w:val="en-ZW"/>
        </w:rPr>
        <w:t xml:space="preserve"> </w:t>
      </w:r>
      <w:r w:rsidRPr="00361872">
        <w:rPr>
          <w:lang w:val="en-ZW"/>
        </w:rPr>
        <w:t>demonstrate th</w:t>
      </w:r>
      <w:r>
        <w:rPr>
          <w:lang w:val="en-ZW"/>
        </w:rPr>
        <w:t xml:space="preserve">at despite </w:t>
      </w:r>
      <w:r w:rsidRPr="0043047B">
        <w:rPr>
          <w:lang w:val="en-ZW"/>
        </w:rPr>
        <w:t xml:space="preserve">these factors, </w:t>
      </w:r>
      <w:r w:rsidR="00AA24CF" w:rsidRPr="0043047B">
        <w:rPr>
          <w:lang w:val="en-ZW"/>
        </w:rPr>
        <w:t xml:space="preserve">there has been </w:t>
      </w:r>
      <w:r w:rsidRPr="0043047B">
        <w:rPr>
          <w:lang w:val="en-ZW"/>
        </w:rPr>
        <w:t xml:space="preserve">growth, largely due to the opening of the mining sector to foreign investment. As such, it is evident that the right policies could lead to vibrant private sector growth and diversification. In other </w:t>
      </w:r>
      <w:r w:rsidR="003532AE" w:rsidRPr="0043047B">
        <w:rPr>
          <w:lang w:val="en-ZW"/>
        </w:rPr>
        <w:t xml:space="preserve">economic </w:t>
      </w:r>
      <w:r w:rsidRPr="0043047B">
        <w:rPr>
          <w:lang w:val="en-ZW"/>
        </w:rPr>
        <w:t>sectors</w:t>
      </w:r>
      <w:r w:rsidR="0000624F" w:rsidRPr="0043047B">
        <w:rPr>
          <w:lang w:val="en-ZW"/>
        </w:rPr>
        <w:t>,</w:t>
      </w:r>
      <w:r w:rsidRPr="0043047B">
        <w:rPr>
          <w:lang w:val="en-ZW"/>
        </w:rPr>
        <w:t xml:space="preserve"> growth is still constrained </w:t>
      </w:r>
      <w:r w:rsidR="0000624F" w:rsidRPr="0043047B">
        <w:rPr>
          <w:lang w:val="en-ZW"/>
        </w:rPr>
        <w:t>even though the national macro-economic policy and the Eritrean National Charter identify the need to develop a private sector driven economy. P</w:t>
      </w:r>
      <w:r w:rsidRPr="0043047B">
        <w:rPr>
          <w:lang w:val="en-ZW"/>
        </w:rPr>
        <w:t xml:space="preserve">rivate sector is </w:t>
      </w:r>
      <w:r w:rsidR="0000624F" w:rsidRPr="0043047B">
        <w:rPr>
          <w:lang w:val="en-ZW"/>
        </w:rPr>
        <w:t>generally small, and d</w:t>
      </w:r>
      <w:r w:rsidRPr="0043047B">
        <w:rPr>
          <w:lang w:val="en-ZW"/>
        </w:rPr>
        <w:t>ifficulties facing p</w:t>
      </w:r>
      <w:r w:rsidR="0000624F" w:rsidRPr="0043047B">
        <w:rPr>
          <w:lang w:val="en-ZW"/>
        </w:rPr>
        <w:t xml:space="preserve">rivate sector growth are </w:t>
      </w:r>
      <w:r w:rsidRPr="0043047B">
        <w:rPr>
          <w:lang w:val="en-ZW"/>
        </w:rPr>
        <w:t xml:space="preserve">evidenced by the World Bank Group’s </w:t>
      </w:r>
      <w:r w:rsidRPr="0043047B">
        <w:rPr>
          <w:i/>
          <w:lang w:val="en-ZW"/>
        </w:rPr>
        <w:t>Doing Business</w:t>
      </w:r>
      <w:r w:rsidRPr="0043047B">
        <w:rPr>
          <w:lang w:val="en-ZW"/>
        </w:rPr>
        <w:t xml:space="preserve"> reports. </w:t>
      </w:r>
    </w:p>
    <w:p w14:paraId="73623296" w14:textId="2E228E4E" w:rsidR="00D01B14" w:rsidRDefault="00D01B14" w:rsidP="0099643B">
      <w:pPr>
        <w:pStyle w:val="ListParagraph"/>
        <w:widowControl w:val="0"/>
        <w:numPr>
          <w:ilvl w:val="0"/>
          <w:numId w:val="35"/>
        </w:numPr>
        <w:tabs>
          <w:tab w:val="left" w:pos="1080"/>
        </w:tabs>
        <w:adjustRightInd w:val="0"/>
        <w:spacing w:after="120"/>
        <w:ind w:left="720" w:right="720" w:firstLine="0"/>
        <w:jc w:val="both"/>
        <w:textAlignment w:val="baseline"/>
        <w:rPr>
          <w:lang w:val="en-ZW"/>
        </w:rPr>
      </w:pPr>
      <w:r w:rsidRPr="00361872">
        <w:rPr>
          <w:lang w:val="en-ZW"/>
        </w:rPr>
        <w:t xml:space="preserve">Red Sea regional partnerships (e.g. Saudi Arabia and the Gulf States) have an increasingly important influence on socio-economic development </w:t>
      </w:r>
      <w:r>
        <w:rPr>
          <w:lang w:val="en-ZW"/>
        </w:rPr>
        <w:t>through</w:t>
      </w:r>
      <w:r w:rsidRPr="00361872">
        <w:rPr>
          <w:lang w:val="en-ZW"/>
        </w:rPr>
        <w:t xml:space="preserve"> significant economic investments. </w:t>
      </w:r>
      <w:r w:rsidR="00604013">
        <w:rPr>
          <w:lang w:val="en-ZW"/>
        </w:rPr>
        <w:t xml:space="preserve">Crisis in </w:t>
      </w:r>
      <w:r w:rsidRPr="00361872">
        <w:rPr>
          <w:lang w:val="en-ZW"/>
        </w:rPr>
        <w:t>Yemen, however, has exacerbated the economic situation in Eritrea, causing prices of goods imported from Yemen to rise dramatically.</w:t>
      </w:r>
      <w:r>
        <w:rPr>
          <w:lang w:val="en-ZW"/>
        </w:rPr>
        <w:t xml:space="preserve"> A November 2015 policy decision to </w:t>
      </w:r>
      <w:r w:rsidRPr="00361872">
        <w:rPr>
          <w:lang w:val="en-ZW"/>
        </w:rPr>
        <w:t>replace the old Nakfa currency</w:t>
      </w:r>
      <w:r>
        <w:rPr>
          <w:lang w:val="en-ZW"/>
        </w:rPr>
        <w:t xml:space="preserve"> </w:t>
      </w:r>
      <w:r w:rsidRPr="00361872">
        <w:rPr>
          <w:lang w:val="en-ZW"/>
        </w:rPr>
        <w:t xml:space="preserve">to bring the informal exchange rate closer to </w:t>
      </w:r>
      <w:r w:rsidR="00B537B5">
        <w:rPr>
          <w:lang w:val="en-ZW"/>
        </w:rPr>
        <w:t xml:space="preserve">the </w:t>
      </w:r>
      <w:r w:rsidRPr="00361872">
        <w:rPr>
          <w:lang w:val="en-ZW"/>
        </w:rPr>
        <w:t>official rate and curb illegal trade and trafficking</w:t>
      </w:r>
      <w:r>
        <w:rPr>
          <w:lang w:val="en-ZW"/>
        </w:rPr>
        <w:t xml:space="preserve"> had the unintended effect of further increasing import prices. </w:t>
      </w:r>
      <w:r w:rsidRPr="00361872">
        <w:rPr>
          <w:lang w:val="en-ZW"/>
        </w:rPr>
        <w:t>An important lesson is that UNDP efforts to promote employment need to be coupled with macro- and sectorial- economic policy formulation and implementation that will strengthen the private sector and provide opportunities in the economy.</w:t>
      </w:r>
    </w:p>
    <w:p w14:paraId="193BA346" w14:textId="07D4B7B8" w:rsidR="00D01B14" w:rsidRDefault="00CD083C" w:rsidP="0099643B">
      <w:pPr>
        <w:widowControl w:val="0"/>
        <w:numPr>
          <w:ilvl w:val="0"/>
          <w:numId w:val="35"/>
        </w:numPr>
        <w:tabs>
          <w:tab w:val="left" w:pos="1080"/>
        </w:tabs>
        <w:adjustRightInd w:val="0"/>
        <w:spacing w:after="120"/>
        <w:ind w:left="720" w:right="720" w:firstLine="0"/>
        <w:jc w:val="both"/>
        <w:textAlignment w:val="baseline"/>
        <w:rPr>
          <w:lang w:val="en-ZW"/>
        </w:rPr>
      </w:pPr>
      <w:r>
        <w:rPr>
          <w:lang w:val="en-ZW"/>
        </w:rPr>
        <w:t>A</w:t>
      </w:r>
      <w:r w:rsidR="00D01B14" w:rsidRPr="00361872">
        <w:rPr>
          <w:lang w:val="en-ZW"/>
        </w:rPr>
        <w:t xml:space="preserve"> large part of the population (80 per cent</w:t>
      </w:r>
      <w:r w:rsidR="00D01B14" w:rsidRPr="00361872">
        <w:rPr>
          <w:rStyle w:val="FootnoteReference"/>
          <w:lang w:val="en-ZW"/>
        </w:rPr>
        <w:footnoteReference w:id="2"/>
      </w:r>
      <w:r w:rsidR="00D01B14" w:rsidRPr="00361872">
        <w:rPr>
          <w:lang w:val="en-ZW"/>
        </w:rPr>
        <w:t>) depend</w:t>
      </w:r>
      <w:r>
        <w:rPr>
          <w:lang w:val="en-ZW"/>
        </w:rPr>
        <w:t>s</w:t>
      </w:r>
      <w:r w:rsidR="00D01B14" w:rsidRPr="00361872">
        <w:rPr>
          <w:lang w:val="en-ZW"/>
        </w:rPr>
        <w:t xml:space="preserve"> on subsistence agriculture and pastoralism, </w:t>
      </w:r>
      <w:r w:rsidR="00D01B14" w:rsidRPr="00361872">
        <w:rPr>
          <w:lang w:val="en-ZW"/>
        </w:rPr>
        <w:lastRenderedPageBreak/>
        <w:t xml:space="preserve">even though </w:t>
      </w:r>
      <w:r w:rsidR="009C30E6">
        <w:rPr>
          <w:lang w:val="en-ZW"/>
        </w:rPr>
        <w:t>these activities</w:t>
      </w:r>
      <w:r w:rsidR="009C30E6" w:rsidRPr="00361872">
        <w:rPr>
          <w:lang w:val="en-ZW"/>
        </w:rPr>
        <w:t xml:space="preserve"> </w:t>
      </w:r>
      <w:r w:rsidR="00D01B14" w:rsidRPr="00361872">
        <w:rPr>
          <w:lang w:val="en-ZW"/>
        </w:rPr>
        <w:t>only account for around 14</w:t>
      </w:r>
      <w:r w:rsidR="00A65E49">
        <w:rPr>
          <w:lang w:val="en-ZW"/>
        </w:rPr>
        <w:t xml:space="preserve"> per</w:t>
      </w:r>
      <w:r w:rsidR="00634DD8">
        <w:rPr>
          <w:lang w:val="en-ZW"/>
        </w:rPr>
        <w:t xml:space="preserve"> </w:t>
      </w:r>
      <w:r w:rsidR="00A65E49">
        <w:rPr>
          <w:lang w:val="en-ZW"/>
        </w:rPr>
        <w:t>cent</w:t>
      </w:r>
      <w:r w:rsidR="00D01B14" w:rsidRPr="00361872">
        <w:rPr>
          <w:lang w:val="en-ZW"/>
        </w:rPr>
        <w:t xml:space="preserve"> of GDP</w:t>
      </w:r>
      <w:r w:rsidR="009343A7">
        <w:rPr>
          <w:lang w:val="en-ZW"/>
        </w:rPr>
        <w:t xml:space="preserve"> and only 12 percent of the country’s land is arable</w:t>
      </w:r>
      <w:r w:rsidR="00D01B14" w:rsidRPr="00361872">
        <w:rPr>
          <w:lang w:val="en-ZW"/>
        </w:rPr>
        <w:t xml:space="preserve">. </w:t>
      </w:r>
      <w:r w:rsidR="00D01B14">
        <w:rPr>
          <w:lang w:val="en-ZW"/>
        </w:rPr>
        <w:t>I</w:t>
      </w:r>
      <w:r w:rsidR="00D01B14" w:rsidRPr="00361872">
        <w:rPr>
          <w:lang w:val="en-ZW"/>
        </w:rPr>
        <w:t>n the Red Sea coastal regions</w:t>
      </w:r>
      <w:r w:rsidR="00D01B14">
        <w:rPr>
          <w:lang w:val="en-ZW"/>
        </w:rPr>
        <w:t xml:space="preserve"> in particular</w:t>
      </w:r>
      <w:r w:rsidR="00D01B14" w:rsidRPr="00361872">
        <w:rPr>
          <w:lang w:val="en-ZW"/>
        </w:rPr>
        <w:t xml:space="preserve">, livelihoods are precarious and heavily reliant on pastoralism and limited subsistence crop farming, characterized by low productivity. </w:t>
      </w:r>
      <w:r w:rsidR="00D01B14">
        <w:rPr>
          <w:lang w:val="en-ZW"/>
        </w:rPr>
        <w:t>O</w:t>
      </w:r>
      <w:r w:rsidR="00D01B14" w:rsidRPr="00DE4379">
        <w:rPr>
          <w:lang w:val="en-ZW"/>
        </w:rPr>
        <w:t xml:space="preserve">ver-reliance on this sector carries a </w:t>
      </w:r>
      <w:r w:rsidR="00D01B14">
        <w:rPr>
          <w:lang w:val="en-ZW"/>
        </w:rPr>
        <w:t>significant</w:t>
      </w:r>
      <w:r w:rsidR="00D01B14" w:rsidRPr="00DE4379">
        <w:rPr>
          <w:lang w:val="en-ZW"/>
        </w:rPr>
        <w:t xml:space="preserve"> risk</w:t>
      </w:r>
      <w:r w:rsidR="002634D1">
        <w:rPr>
          <w:lang w:val="en-ZW"/>
        </w:rPr>
        <w:t>,</w:t>
      </w:r>
      <w:r w:rsidR="00D01B14" w:rsidRPr="00947A27" w:rsidDel="00DE4379">
        <w:rPr>
          <w:lang w:val="en-ZW"/>
        </w:rPr>
        <w:t xml:space="preserve"> </w:t>
      </w:r>
      <w:r w:rsidR="00D01B14" w:rsidRPr="00947A27">
        <w:rPr>
          <w:lang w:val="en-ZW"/>
        </w:rPr>
        <w:t xml:space="preserve">especially </w:t>
      </w:r>
      <w:r w:rsidR="00D01B14">
        <w:rPr>
          <w:lang w:val="en-ZW"/>
        </w:rPr>
        <w:t>given the high vulnerability to drought</w:t>
      </w:r>
      <w:r w:rsidR="00D01B14">
        <w:rPr>
          <w:rStyle w:val="FootnoteReference"/>
          <w:lang w:val="en-ZW"/>
        </w:rPr>
        <w:footnoteReference w:id="3"/>
      </w:r>
      <w:r w:rsidR="00D01B14" w:rsidRPr="00947A27">
        <w:rPr>
          <w:lang w:val="en-ZW"/>
        </w:rPr>
        <w:t xml:space="preserve"> </w:t>
      </w:r>
      <w:r w:rsidR="00D01B14">
        <w:rPr>
          <w:lang w:val="en-ZW"/>
        </w:rPr>
        <w:t>exacerbated by</w:t>
      </w:r>
      <w:r w:rsidR="00D01B14" w:rsidRPr="00DE4379">
        <w:rPr>
          <w:lang w:val="en-ZW"/>
        </w:rPr>
        <w:t xml:space="preserve"> more frequent and impactful El Niño weather events</w:t>
      </w:r>
      <w:r w:rsidR="00D01B14">
        <w:rPr>
          <w:lang w:val="en-ZW"/>
        </w:rPr>
        <w:t xml:space="preserve">. </w:t>
      </w:r>
      <w:r w:rsidR="00D01B14" w:rsidRPr="00361872">
        <w:rPr>
          <w:bCs/>
          <w:lang w:val="en-ZW"/>
        </w:rPr>
        <w:t>Environmental degradation and climate change have resulted in poor agricultural produc</w:t>
      </w:r>
      <w:r w:rsidR="009C30E6">
        <w:rPr>
          <w:bCs/>
          <w:lang w:val="en-ZW"/>
        </w:rPr>
        <w:t>tion</w:t>
      </w:r>
      <w:r w:rsidR="005D24FF">
        <w:rPr>
          <w:bCs/>
          <w:lang w:val="en-ZW"/>
        </w:rPr>
        <w:t xml:space="preserve">, </w:t>
      </w:r>
      <w:r w:rsidR="00D01B14" w:rsidRPr="00361872">
        <w:rPr>
          <w:bCs/>
          <w:lang w:val="en-ZW"/>
        </w:rPr>
        <w:t>negative</w:t>
      </w:r>
      <w:r w:rsidR="00633162">
        <w:rPr>
          <w:bCs/>
          <w:lang w:val="en-ZW"/>
        </w:rPr>
        <w:t>ly</w:t>
      </w:r>
      <w:r w:rsidR="005D24FF">
        <w:rPr>
          <w:bCs/>
          <w:lang w:val="en-ZW"/>
        </w:rPr>
        <w:t xml:space="preserve"> affecting</w:t>
      </w:r>
      <w:r w:rsidR="00D01B14" w:rsidRPr="00361872">
        <w:rPr>
          <w:bCs/>
          <w:lang w:val="en-ZW"/>
        </w:rPr>
        <w:t xml:space="preserve"> food security and livelihoods.</w:t>
      </w:r>
      <w:r w:rsidR="00D01B14" w:rsidRPr="00361872">
        <w:rPr>
          <w:lang w:val="en-ZW"/>
        </w:rPr>
        <w:t xml:space="preserve"> In addition, about a century ago, 30 per cent of Eritrea was covered by forest, which has now declined to less than </w:t>
      </w:r>
      <w:r w:rsidR="005D24FF">
        <w:rPr>
          <w:lang w:val="en-ZW"/>
        </w:rPr>
        <w:t>one</w:t>
      </w:r>
      <w:r w:rsidR="005D24FF" w:rsidRPr="00361872">
        <w:rPr>
          <w:lang w:val="en-ZW"/>
        </w:rPr>
        <w:t xml:space="preserve"> </w:t>
      </w:r>
      <w:r w:rsidR="00D01B14" w:rsidRPr="00361872">
        <w:rPr>
          <w:lang w:val="en-ZW"/>
        </w:rPr>
        <w:t>per cent</w:t>
      </w:r>
      <w:r w:rsidR="007505E8">
        <w:rPr>
          <w:lang w:val="en-ZW"/>
        </w:rPr>
        <w:t xml:space="preserve"> (further at risk by sale of wood for fuel and construction)</w:t>
      </w:r>
      <w:r w:rsidR="00356A98">
        <w:rPr>
          <w:lang w:val="en-ZW"/>
        </w:rPr>
        <w:t>. This has</w:t>
      </w:r>
      <w:r w:rsidR="007505E8">
        <w:rPr>
          <w:lang w:val="en-ZW"/>
        </w:rPr>
        <w:t xml:space="preserve"> clear effects on </w:t>
      </w:r>
      <w:r w:rsidR="00D01B14" w:rsidRPr="00361872">
        <w:rPr>
          <w:lang w:val="en-ZW"/>
        </w:rPr>
        <w:t>soil conservation</w:t>
      </w:r>
      <w:r w:rsidR="00D01B14">
        <w:rPr>
          <w:lang w:val="en-ZW"/>
        </w:rPr>
        <w:t>,</w:t>
      </w:r>
      <w:r w:rsidR="00D01B14" w:rsidRPr="00361872">
        <w:rPr>
          <w:lang w:val="en-ZW"/>
        </w:rPr>
        <w:t xml:space="preserve"> water harvesting</w:t>
      </w:r>
      <w:r w:rsidR="00D01B14">
        <w:rPr>
          <w:lang w:val="en-ZW"/>
        </w:rPr>
        <w:t xml:space="preserve"> and livelihoods </w:t>
      </w:r>
      <w:r w:rsidR="007505E8">
        <w:rPr>
          <w:lang w:val="en-ZW"/>
        </w:rPr>
        <w:t xml:space="preserve">and </w:t>
      </w:r>
      <w:r w:rsidR="00356A98">
        <w:rPr>
          <w:lang w:val="en-ZW"/>
        </w:rPr>
        <w:t>increases</w:t>
      </w:r>
      <w:r w:rsidR="007505E8">
        <w:rPr>
          <w:lang w:val="en-ZW"/>
        </w:rPr>
        <w:t xml:space="preserve"> vulnerability to climate change</w:t>
      </w:r>
      <w:r w:rsidR="00D01B14">
        <w:rPr>
          <w:lang w:val="en-ZW"/>
        </w:rPr>
        <w:t>.</w:t>
      </w:r>
    </w:p>
    <w:p w14:paraId="1FF374CC" w14:textId="0A16E26E" w:rsidR="00D01B14" w:rsidRPr="00D01B14" w:rsidRDefault="00D01B14" w:rsidP="0099643B">
      <w:pPr>
        <w:widowControl w:val="0"/>
        <w:numPr>
          <w:ilvl w:val="0"/>
          <w:numId w:val="35"/>
        </w:numPr>
        <w:tabs>
          <w:tab w:val="left" w:pos="1080"/>
        </w:tabs>
        <w:adjustRightInd w:val="0"/>
        <w:spacing w:after="120"/>
        <w:ind w:left="720" w:right="720" w:firstLine="0"/>
        <w:jc w:val="both"/>
        <w:textAlignment w:val="baseline"/>
        <w:rPr>
          <w:lang w:val="en-ZW"/>
        </w:rPr>
      </w:pPr>
      <w:r w:rsidRPr="00912074">
        <w:rPr>
          <w:lang w:val="en-ZW"/>
        </w:rPr>
        <w:t xml:space="preserve">Self-reliance </w:t>
      </w:r>
      <w:r w:rsidR="00E70D57" w:rsidRPr="00912074">
        <w:rPr>
          <w:lang w:val="en-ZW"/>
        </w:rPr>
        <w:t xml:space="preserve">has been </w:t>
      </w:r>
      <w:r w:rsidRPr="00912074">
        <w:rPr>
          <w:lang w:val="en-ZW"/>
        </w:rPr>
        <w:t xml:space="preserve">at the core of the </w:t>
      </w:r>
      <w:r w:rsidR="00E70D57" w:rsidRPr="00912074">
        <w:rPr>
          <w:lang w:val="en-ZW"/>
        </w:rPr>
        <w:t xml:space="preserve">country’s </w:t>
      </w:r>
      <w:r w:rsidRPr="00912074">
        <w:rPr>
          <w:lang w:val="en-ZW"/>
        </w:rPr>
        <w:t>long-term develop</w:t>
      </w:r>
      <w:r w:rsidR="00912074" w:rsidRPr="00912074">
        <w:rPr>
          <w:lang w:val="en-ZW"/>
        </w:rPr>
        <w:t>ment strategy.</w:t>
      </w:r>
      <w:r w:rsidRPr="00912074">
        <w:rPr>
          <w:lang w:val="en-ZW"/>
        </w:rPr>
        <w:t xml:space="preserve"> </w:t>
      </w:r>
      <w:r w:rsidR="00912074" w:rsidRPr="00912074">
        <w:rPr>
          <w:lang w:val="en-ZW"/>
        </w:rPr>
        <w:t>I</w:t>
      </w:r>
      <w:r w:rsidRPr="00912074">
        <w:rPr>
          <w:lang w:val="en-ZW"/>
        </w:rPr>
        <w:t>n recent years there has been a demonstrable shift in approach, including efforts to cultiva</w:t>
      </w:r>
      <w:r w:rsidRPr="00361872">
        <w:rPr>
          <w:lang w:val="en-ZW"/>
        </w:rPr>
        <w:t xml:space="preserve">te partnerships with countries in the region and the international community at large. Maintaining momentum in this direction will be fundamental to nurturing a sustainable future and attracting external </w:t>
      </w:r>
      <w:r>
        <w:rPr>
          <w:lang w:val="en-ZW"/>
        </w:rPr>
        <w:t>partnerships</w:t>
      </w:r>
      <w:r w:rsidRPr="00361872">
        <w:rPr>
          <w:lang w:val="en-ZW"/>
        </w:rPr>
        <w:t xml:space="preserve"> for advancing development and economic objectives. This will have to be coupled </w:t>
      </w:r>
      <w:r>
        <w:rPr>
          <w:lang w:val="en-ZW"/>
        </w:rPr>
        <w:t>with</w:t>
      </w:r>
      <w:r w:rsidRPr="00361872">
        <w:rPr>
          <w:lang w:val="en-ZW"/>
        </w:rPr>
        <w:t xml:space="preserve"> investments to improve service delivery and local communit</w:t>
      </w:r>
      <w:r w:rsidR="00E2104D">
        <w:rPr>
          <w:lang w:val="en-ZW"/>
        </w:rPr>
        <w:t>y</w:t>
      </w:r>
      <w:r w:rsidRPr="00361872">
        <w:rPr>
          <w:lang w:val="en-ZW"/>
        </w:rPr>
        <w:t xml:space="preserve"> </w:t>
      </w:r>
      <w:r w:rsidR="00E2104D" w:rsidRPr="00361872">
        <w:rPr>
          <w:lang w:val="en-ZW"/>
        </w:rPr>
        <w:t xml:space="preserve">participation </w:t>
      </w:r>
      <w:r w:rsidRPr="00361872">
        <w:rPr>
          <w:lang w:val="en-ZW"/>
        </w:rPr>
        <w:t xml:space="preserve">in local development planning. </w:t>
      </w:r>
      <w:r w:rsidRPr="00361872">
        <w:rPr>
          <w:lang w:val="en"/>
        </w:rPr>
        <w:t xml:space="preserve">The </w:t>
      </w:r>
      <w:r w:rsidR="00DA5BAA">
        <w:rPr>
          <w:lang w:val="en"/>
        </w:rPr>
        <w:t>G</w:t>
      </w:r>
      <w:r w:rsidRPr="00361872">
        <w:rPr>
          <w:lang w:val="en"/>
        </w:rPr>
        <w:t>overnment acknowledges this gap in the National Indicative D</w:t>
      </w:r>
      <w:r>
        <w:rPr>
          <w:lang w:val="en"/>
        </w:rPr>
        <w:t>evelopment Plan</w:t>
      </w:r>
      <w:r w:rsidR="00D4223E">
        <w:rPr>
          <w:lang w:val="en"/>
        </w:rPr>
        <w:t xml:space="preserve"> (NIDP)</w:t>
      </w:r>
      <w:r w:rsidR="006A2070">
        <w:rPr>
          <w:lang w:val="en"/>
        </w:rPr>
        <w:t xml:space="preserve"> (2014-2018)</w:t>
      </w:r>
      <w:r w:rsidRPr="00361872">
        <w:rPr>
          <w:lang w:val="en"/>
        </w:rPr>
        <w:t xml:space="preserve">, which places emphasis on human capital development and strong civil service as critical pre-requisites for planning and economic development.  </w:t>
      </w:r>
    </w:p>
    <w:p w14:paraId="59D46AB5" w14:textId="4EC2E754" w:rsidR="00D01B14" w:rsidRDefault="00D01B14" w:rsidP="0099643B">
      <w:pPr>
        <w:pStyle w:val="ListParagraph"/>
        <w:widowControl w:val="0"/>
        <w:numPr>
          <w:ilvl w:val="0"/>
          <w:numId w:val="35"/>
        </w:numPr>
        <w:tabs>
          <w:tab w:val="left" w:pos="1080"/>
        </w:tabs>
        <w:adjustRightInd w:val="0"/>
        <w:spacing w:after="120"/>
        <w:ind w:left="720" w:right="720" w:firstLine="0"/>
        <w:jc w:val="both"/>
        <w:textAlignment w:val="baseline"/>
        <w:rPr>
          <w:lang w:val="en-ZW" w:eastAsia="en-ZW"/>
        </w:rPr>
      </w:pPr>
      <w:r w:rsidRPr="00361872">
        <w:rPr>
          <w:lang w:val="en-ZW" w:eastAsia="en-ZW"/>
        </w:rPr>
        <w:t>Tackling the development challenges in Eritrea will not be possible without unlocking the potential capabilities and productivity of women. Women were a key force during the struggle f</w:t>
      </w:r>
      <w:r>
        <w:rPr>
          <w:lang w:val="en-ZW" w:eastAsia="en-ZW"/>
        </w:rPr>
        <w:t>or</w:t>
      </w:r>
      <w:r w:rsidRPr="00361872">
        <w:rPr>
          <w:lang w:val="en-ZW" w:eastAsia="en-ZW"/>
        </w:rPr>
        <w:t xml:space="preserve"> independence</w:t>
      </w:r>
      <w:r>
        <w:rPr>
          <w:lang w:val="en-ZW" w:eastAsia="en-ZW"/>
        </w:rPr>
        <w:t>,</w:t>
      </w:r>
      <w:r w:rsidRPr="00361872">
        <w:rPr>
          <w:lang w:val="en-ZW" w:eastAsia="en-ZW"/>
        </w:rPr>
        <w:t xml:space="preserve"> </w:t>
      </w:r>
      <w:r>
        <w:rPr>
          <w:lang w:val="en-ZW" w:eastAsia="en-ZW"/>
        </w:rPr>
        <w:t>constituting a</w:t>
      </w:r>
      <w:r w:rsidRPr="00361872">
        <w:rPr>
          <w:lang w:val="en-ZW" w:eastAsia="en-ZW"/>
        </w:rPr>
        <w:t>n estimated 25</w:t>
      </w:r>
      <w:r>
        <w:rPr>
          <w:lang w:val="en-ZW" w:eastAsia="en-ZW"/>
        </w:rPr>
        <w:t xml:space="preserve"> to </w:t>
      </w:r>
      <w:r w:rsidRPr="00361872">
        <w:rPr>
          <w:lang w:val="en-ZW" w:eastAsia="en-ZW"/>
        </w:rPr>
        <w:t>30</w:t>
      </w:r>
      <w:r>
        <w:rPr>
          <w:lang w:val="en-ZW" w:eastAsia="en-ZW"/>
        </w:rPr>
        <w:t xml:space="preserve"> per cent </w:t>
      </w:r>
      <w:r w:rsidRPr="00361872">
        <w:rPr>
          <w:lang w:val="en-ZW" w:eastAsia="en-ZW"/>
        </w:rPr>
        <w:t>of the fighting force</w:t>
      </w:r>
      <w:r w:rsidRPr="00361872">
        <w:rPr>
          <w:rStyle w:val="FootnoteReference"/>
          <w:lang w:val="en-ZW" w:eastAsia="en-ZW"/>
        </w:rPr>
        <w:footnoteReference w:id="4"/>
      </w:r>
      <w:r w:rsidRPr="00361872">
        <w:rPr>
          <w:lang w:val="en-ZW" w:eastAsia="en-ZW"/>
        </w:rPr>
        <w:t xml:space="preserve">. The Government is serious about gender equality, evidenced by </w:t>
      </w:r>
      <w:r>
        <w:rPr>
          <w:lang w:val="en-ZW" w:eastAsia="en-ZW"/>
        </w:rPr>
        <w:t>legislation</w:t>
      </w:r>
      <w:r w:rsidRPr="00361872">
        <w:rPr>
          <w:lang w:val="en-ZW" w:eastAsia="en-ZW"/>
        </w:rPr>
        <w:t xml:space="preserve"> </w:t>
      </w:r>
      <w:r>
        <w:rPr>
          <w:lang w:val="en-ZW" w:eastAsia="en-ZW"/>
        </w:rPr>
        <w:t>promoting gender equality,</w:t>
      </w:r>
      <w:r w:rsidRPr="00361872">
        <w:rPr>
          <w:lang w:val="en-ZW" w:eastAsia="en-ZW"/>
        </w:rPr>
        <w:t xml:space="preserve"> such as the </w:t>
      </w:r>
      <w:r>
        <w:rPr>
          <w:lang w:val="en-ZW" w:eastAsia="en-ZW"/>
        </w:rPr>
        <w:t>e</w:t>
      </w:r>
      <w:r w:rsidRPr="00361872">
        <w:rPr>
          <w:lang w:val="en-ZW" w:eastAsia="en-ZW"/>
        </w:rPr>
        <w:t xml:space="preserve">ducation </w:t>
      </w:r>
      <w:r>
        <w:rPr>
          <w:lang w:val="en-ZW" w:eastAsia="en-ZW"/>
        </w:rPr>
        <w:t>p</w:t>
      </w:r>
      <w:r w:rsidRPr="00361872">
        <w:rPr>
          <w:lang w:val="en-ZW" w:eastAsia="en-ZW"/>
        </w:rPr>
        <w:t>olicy, land legislation</w:t>
      </w:r>
      <w:r>
        <w:rPr>
          <w:lang w:val="en-ZW" w:eastAsia="en-ZW"/>
        </w:rPr>
        <w:t xml:space="preserve">, </w:t>
      </w:r>
      <w:r w:rsidRPr="00361872">
        <w:rPr>
          <w:lang w:val="en-ZW" w:eastAsia="en-ZW"/>
        </w:rPr>
        <w:t>political representation</w:t>
      </w:r>
      <w:r>
        <w:rPr>
          <w:lang w:val="en-ZW" w:eastAsia="en-ZW"/>
        </w:rPr>
        <w:t xml:space="preserve"> policy</w:t>
      </w:r>
      <w:r w:rsidRPr="00361872">
        <w:rPr>
          <w:lang w:val="en-ZW" w:eastAsia="en-ZW"/>
        </w:rPr>
        <w:t xml:space="preserve"> and the prohibition of </w:t>
      </w:r>
      <w:r>
        <w:rPr>
          <w:lang w:val="en-ZW" w:eastAsia="en-ZW"/>
        </w:rPr>
        <w:t xml:space="preserve">negative practices such as </w:t>
      </w:r>
      <w:r w:rsidRPr="00361872">
        <w:rPr>
          <w:lang w:val="en-ZW" w:eastAsia="en-ZW"/>
        </w:rPr>
        <w:t>female genital mutilation, child marriage</w:t>
      </w:r>
      <w:r>
        <w:rPr>
          <w:lang w:val="en-ZW" w:eastAsia="en-ZW"/>
        </w:rPr>
        <w:t xml:space="preserve"> and </w:t>
      </w:r>
      <w:r w:rsidRPr="00361872">
        <w:rPr>
          <w:lang w:val="en-ZW" w:eastAsia="en-ZW"/>
        </w:rPr>
        <w:t>gender</w:t>
      </w:r>
      <w:r w:rsidR="00D8569A">
        <w:rPr>
          <w:lang w:val="en-ZW" w:eastAsia="en-ZW"/>
        </w:rPr>
        <w:t>-</w:t>
      </w:r>
      <w:r w:rsidRPr="00361872">
        <w:rPr>
          <w:lang w:val="en-ZW" w:eastAsia="en-ZW"/>
        </w:rPr>
        <w:t>based violence</w:t>
      </w:r>
      <w:r>
        <w:rPr>
          <w:lang w:val="en-ZW" w:eastAsia="en-ZW"/>
        </w:rPr>
        <w:t>.</w:t>
      </w:r>
      <w:r w:rsidRPr="00361872">
        <w:rPr>
          <w:lang w:val="en-ZW" w:eastAsia="en-ZW"/>
        </w:rPr>
        <w:t xml:space="preserve"> </w:t>
      </w:r>
      <w:r>
        <w:rPr>
          <w:lang w:val="en-ZW" w:eastAsia="en-ZW"/>
        </w:rPr>
        <w:t>T</w:t>
      </w:r>
      <w:r w:rsidRPr="00361872">
        <w:rPr>
          <w:lang w:val="en-ZW" w:eastAsia="en-ZW"/>
        </w:rPr>
        <w:t>he National Union of Eritrean Women</w:t>
      </w:r>
      <w:r w:rsidR="00BA5FC7">
        <w:rPr>
          <w:lang w:val="en-ZW" w:eastAsia="en-ZW"/>
        </w:rPr>
        <w:t xml:space="preserve"> (NUEW)</w:t>
      </w:r>
      <w:r w:rsidR="00A57C62">
        <w:rPr>
          <w:lang w:val="en-ZW" w:eastAsia="en-ZW"/>
        </w:rPr>
        <w:t>,</w:t>
      </w:r>
      <w:r w:rsidRPr="00361872">
        <w:rPr>
          <w:lang w:val="en-ZW" w:eastAsia="en-ZW"/>
        </w:rPr>
        <w:t xml:space="preserve"> </w:t>
      </w:r>
      <w:r w:rsidR="00D8569A">
        <w:rPr>
          <w:lang w:val="en-ZW" w:eastAsia="en-ZW"/>
        </w:rPr>
        <w:t>a main</w:t>
      </w:r>
      <w:r w:rsidR="00A57C62">
        <w:rPr>
          <w:lang w:val="en-ZW" w:eastAsia="en-ZW"/>
        </w:rPr>
        <w:t xml:space="preserve"> </w:t>
      </w:r>
      <w:r w:rsidRPr="00361872">
        <w:rPr>
          <w:lang w:val="en-ZW" w:eastAsia="en-ZW"/>
        </w:rPr>
        <w:t>advocate behind the</w:t>
      </w:r>
      <w:r>
        <w:rPr>
          <w:lang w:val="en-ZW" w:eastAsia="en-ZW"/>
        </w:rPr>
        <w:t>se changes,</w:t>
      </w:r>
      <w:r w:rsidRPr="00361872">
        <w:rPr>
          <w:lang w:val="en-ZW" w:eastAsia="en-ZW"/>
        </w:rPr>
        <w:t xml:space="preserve"> is supporting women</w:t>
      </w:r>
      <w:r>
        <w:rPr>
          <w:lang w:val="en-ZW" w:eastAsia="en-ZW"/>
        </w:rPr>
        <w:t>’s</w:t>
      </w:r>
      <w:r w:rsidRPr="00361872">
        <w:rPr>
          <w:lang w:val="en-ZW" w:eastAsia="en-ZW"/>
        </w:rPr>
        <w:t xml:space="preserve"> economic independence through training and microcredits </w:t>
      </w:r>
      <w:r>
        <w:rPr>
          <w:lang w:val="en-ZW" w:eastAsia="en-ZW"/>
        </w:rPr>
        <w:t xml:space="preserve">and promotes </w:t>
      </w:r>
      <w:r w:rsidRPr="00361872">
        <w:rPr>
          <w:lang w:val="en-ZW" w:eastAsia="en-ZW"/>
        </w:rPr>
        <w:t>women</w:t>
      </w:r>
      <w:r>
        <w:rPr>
          <w:lang w:val="en-ZW" w:eastAsia="en-ZW"/>
        </w:rPr>
        <w:t>’s</w:t>
      </w:r>
      <w:r w:rsidRPr="00361872">
        <w:rPr>
          <w:lang w:val="en-ZW" w:eastAsia="en-ZW"/>
        </w:rPr>
        <w:t xml:space="preserve"> political participation at all levels. While many </w:t>
      </w:r>
      <w:r>
        <w:rPr>
          <w:lang w:val="en-ZW" w:eastAsia="en-ZW"/>
        </w:rPr>
        <w:t xml:space="preserve">gender </w:t>
      </w:r>
      <w:r w:rsidRPr="00361872">
        <w:rPr>
          <w:lang w:val="en-ZW" w:eastAsia="en-ZW"/>
        </w:rPr>
        <w:t xml:space="preserve">indicators improved significantly since </w:t>
      </w:r>
      <w:r>
        <w:rPr>
          <w:lang w:val="en-ZW" w:eastAsia="en-ZW"/>
        </w:rPr>
        <w:t>i</w:t>
      </w:r>
      <w:r w:rsidRPr="00361872">
        <w:rPr>
          <w:lang w:val="en-ZW" w:eastAsia="en-ZW"/>
        </w:rPr>
        <w:t>ndependence</w:t>
      </w:r>
      <w:r w:rsidRPr="00361872">
        <w:rPr>
          <w:rStyle w:val="FootnoteReference"/>
          <w:lang w:val="en-ZW" w:eastAsia="en-ZW"/>
        </w:rPr>
        <w:footnoteReference w:id="5"/>
      </w:r>
      <w:r w:rsidRPr="00361872">
        <w:rPr>
          <w:lang w:val="en-ZW" w:eastAsia="en-ZW"/>
        </w:rPr>
        <w:t>, disparities continue across sectors</w:t>
      </w:r>
      <w:r w:rsidR="0000662D">
        <w:rPr>
          <w:lang w:val="en-ZW" w:eastAsia="en-ZW"/>
        </w:rPr>
        <w:t>,</w:t>
      </w:r>
      <w:r w:rsidRPr="00361872">
        <w:rPr>
          <w:lang w:val="en-ZW" w:eastAsia="en-ZW"/>
        </w:rPr>
        <w:t xml:space="preserve"> including education, agriculture,</w:t>
      </w:r>
      <w:r w:rsidR="0000662D">
        <w:rPr>
          <w:lang w:val="en-ZW" w:eastAsia="en-ZW"/>
        </w:rPr>
        <w:t xml:space="preserve"> </w:t>
      </w:r>
      <w:r w:rsidRPr="00361872">
        <w:rPr>
          <w:lang w:val="en-ZW" w:eastAsia="en-ZW"/>
        </w:rPr>
        <w:t>health and food security. Gender equality goals face powerful challenges due to deeply rooted traditional values and practices. Women still lack decision-making power and face eco</w:t>
      </w:r>
      <w:r>
        <w:rPr>
          <w:lang w:val="en-ZW" w:eastAsia="en-ZW"/>
        </w:rPr>
        <w:t>nomic disempowerment and stigma</w:t>
      </w:r>
      <w:r w:rsidRPr="00361872">
        <w:rPr>
          <w:lang w:val="en-ZW" w:eastAsia="en-ZW"/>
        </w:rPr>
        <w:t>. Gender mainstreaming efforts suffer from limi</w:t>
      </w:r>
      <w:r>
        <w:rPr>
          <w:lang w:val="en-ZW" w:eastAsia="en-ZW"/>
        </w:rPr>
        <w:t>ted capacity and lack of gender-</w:t>
      </w:r>
      <w:r w:rsidRPr="00361872">
        <w:rPr>
          <w:lang w:val="en-ZW" w:eastAsia="en-ZW"/>
        </w:rPr>
        <w:t>specific da</w:t>
      </w:r>
      <w:r>
        <w:rPr>
          <w:lang w:val="en-ZW" w:eastAsia="en-ZW"/>
        </w:rPr>
        <w:t>ta</w:t>
      </w:r>
      <w:r w:rsidRPr="00361872">
        <w:rPr>
          <w:lang w:val="en-ZW" w:eastAsia="en-ZW"/>
        </w:rPr>
        <w:t>.</w:t>
      </w:r>
    </w:p>
    <w:p w14:paraId="450E8F39" w14:textId="59AE97F6" w:rsidR="00D01B14" w:rsidRPr="00D01B14" w:rsidRDefault="00D01B14" w:rsidP="0099643B">
      <w:pPr>
        <w:widowControl w:val="0"/>
        <w:numPr>
          <w:ilvl w:val="0"/>
          <w:numId w:val="35"/>
        </w:numPr>
        <w:tabs>
          <w:tab w:val="left" w:pos="1080"/>
        </w:tabs>
        <w:adjustRightInd w:val="0"/>
        <w:spacing w:after="120"/>
        <w:ind w:left="720" w:right="720" w:firstLine="0"/>
        <w:jc w:val="both"/>
        <w:textAlignment w:val="baseline"/>
        <w:rPr>
          <w:lang w:val="en" w:eastAsia="en-ZW"/>
        </w:rPr>
      </w:pPr>
      <w:r w:rsidRPr="00361872">
        <w:rPr>
          <w:lang w:val="en-ZW" w:eastAsia="en-ZW"/>
        </w:rPr>
        <w:t xml:space="preserve">The 2015 midterm review of the Strategic Partnership Cooperation Framework </w:t>
      </w:r>
      <w:r w:rsidR="00D770D9">
        <w:rPr>
          <w:lang w:val="en-ZW" w:eastAsia="en-ZW"/>
        </w:rPr>
        <w:t xml:space="preserve">(SPCF) </w:t>
      </w:r>
      <w:r>
        <w:rPr>
          <w:lang w:val="en-ZW" w:eastAsia="en-ZW"/>
        </w:rPr>
        <w:t xml:space="preserve">found that UNDP </w:t>
      </w:r>
      <w:r w:rsidRPr="00361872">
        <w:rPr>
          <w:lang w:val="en-ZW" w:eastAsia="en-ZW"/>
        </w:rPr>
        <w:t>offered programmes that were highly relevant and anchored in national development priorities. This review also identifie</w:t>
      </w:r>
      <w:r w:rsidR="0046141A">
        <w:rPr>
          <w:lang w:val="en-ZW" w:eastAsia="en-ZW"/>
        </w:rPr>
        <w:t>d</w:t>
      </w:r>
      <w:r w:rsidRPr="00361872">
        <w:rPr>
          <w:lang w:val="en-ZW" w:eastAsia="en-ZW"/>
        </w:rPr>
        <w:t xml:space="preserve"> a number of shortcomings</w:t>
      </w:r>
      <w:r>
        <w:rPr>
          <w:lang w:val="en-ZW" w:eastAsia="en-ZW"/>
        </w:rPr>
        <w:t>,</w:t>
      </w:r>
      <w:r w:rsidRPr="00361872">
        <w:rPr>
          <w:lang w:val="en-ZW" w:eastAsia="en-ZW"/>
        </w:rPr>
        <w:t xml:space="preserve"> which </w:t>
      </w:r>
      <w:r w:rsidR="006A0131">
        <w:rPr>
          <w:lang w:val="en-ZW" w:eastAsia="en-ZW"/>
        </w:rPr>
        <w:t xml:space="preserve">will be </w:t>
      </w:r>
      <w:r w:rsidRPr="00361872">
        <w:rPr>
          <w:lang w:val="en-ZW" w:eastAsia="en-ZW"/>
        </w:rPr>
        <w:t xml:space="preserve">addressed </w:t>
      </w:r>
      <w:r w:rsidR="006A0131">
        <w:rPr>
          <w:lang w:val="en-ZW" w:eastAsia="en-ZW"/>
        </w:rPr>
        <w:t>by</w:t>
      </w:r>
      <w:r w:rsidRPr="00361872">
        <w:rPr>
          <w:lang w:val="en-ZW" w:eastAsia="en-ZW"/>
        </w:rPr>
        <w:t xml:space="preserve"> the current programme. The review highlights that the effectiveness and sustainability of several outcomes would benefit from </w:t>
      </w:r>
      <w:r w:rsidR="00A57C62">
        <w:rPr>
          <w:lang w:val="en-ZW" w:eastAsia="en-ZW"/>
        </w:rPr>
        <w:t xml:space="preserve">greater </w:t>
      </w:r>
      <w:r w:rsidRPr="00361872">
        <w:rPr>
          <w:lang w:val="en-ZW" w:eastAsia="en-ZW"/>
        </w:rPr>
        <w:t xml:space="preserve">community participation. In particular, </w:t>
      </w:r>
      <w:r w:rsidR="00E2104D">
        <w:rPr>
          <w:lang w:val="en-ZW" w:eastAsia="en-ZW"/>
        </w:rPr>
        <w:t xml:space="preserve">women’s </w:t>
      </w:r>
      <w:r w:rsidRPr="00361872">
        <w:rPr>
          <w:lang w:val="en-ZW" w:eastAsia="en-ZW"/>
        </w:rPr>
        <w:t xml:space="preserve">participation has been effective </w:t>
      </w:r>
      <w:r w:rsidR="00E2104D">
        <w:rPr>
          <w:lang w:val="en-ZW" w:eastAsia="en-ZW"/>
        </w:rPr>
        <w:t>for</w:t>
      </w:r>
      <w:r w:rsidR="00E2104D" w:rsidRPr="00361872">
        <w:rPr>
          <w:lang w:val="en-ZW" w:eastAsia="en-ZW"/>
        </w:rPr>
        <w:t xml:space="preserve"> </w:t>
      </w:r>
      <w:r w:rsidRPr="00361872">
        <w:rPr>
          <w:lang w:val="en-ZW" w:eastAsia="en-ZW"/>
        </w:rPr>
        <w:t>improv</w:t>
      </w:r>
      <w:r w:rsidR="00E2104D">
        <w:rPr>
          <w:lang w:val="en-ZW" w:eastAsia="en-ZW"/>
        </w:rPr>
        <w:t>ing</w:t>
      </w:r>
      <w:r w:rsidRPr="00361872">
        <w:rPr>
          <w:lang w:val="en-ZW" w:eastAsia="en-ZW"/>
        </w:rPr>
        <w:t xml:space="preserve"> livelihoods and resilience </w:t>
      </w:r>
      <w:r w:rsidR="00E2104D">
        <w:rPr>
          <w:lang w:val="en-ZW" w:eastAsia="en-ZW"/>
        </w:rPr>
        <w:t>in</w:t>
      </w:r>
      <w:r w:rsidR="00E2104D" w:rsidRPr="00361872">
        <w:rPr>
          <w:lang w:val="en-ZW" w:eastAsia="en-ZW"/>
        </w:rPr>
        <w:t xml:space="preserve"> </w:t>
      </w:r>
      <w:r w:rsidRPr="00361872">
        <w:rPr>
          <w:lang w:val="en-ZW" w:eastAsia="en-ZW"/>
        </w:rPr>
        <w:t>female-headed households. Findings include a need to close the gap between planning and implementation</w:t>
      </w:r>
      <w:r w:rsidR="00E2104D">
        <w:rPr>
          <w:lang w:val="en-ZW" w:eastAsia="en-ZW"/>
        </w:rPr>
        <w:t>,</w:t>
      </w:r>
      <w:r w:rsidRPr="00361872">
        <w:rPr>
          <w:lang w:val="en-ZW" w:eastAsia="en-ZW"/>
        </w:rPr>
        <w:t xml:space="preserve"> </w:t>
      </w:r>
      <w:r>
        <w:rPr>
          <w:lang w:val="en-ZW" w:eastAsia="en-ZW"/>
        </w:rPr>
        <w:t xml:space="preserve">as well as </w:t>
      </w:r>
      <w:r w:rsidRPr="00361872">
        <w:rPr>
          <w:lang w:val="en-ZW" w:eastAsia="en-ZW"/>
        </w:rPr>
        <w:t xml:space="preserve">strengthening the enforcement of rules and laws in place (in particular in disaster risk reduction and natural resource management). </w:t>
      </w:r>
      <w:r>
        <w:rPr>
          <w:lang w:val="en-ZW" w:eastAsia="en-ZW"/>
        </w:rPr>
        <w:t>Findings from a 2014</w:t>
      </w:r>
      <w:r w:rsidRPr="00361872">
        <w:rPr>
          <w:lang w:val="en-ZW" w:eastAsia="en-ZW"/>
        </w:rPr>
        <w:t xml:space="preserve"> Country Portfolio Evaluation (1992–2012) commissioned by the Independent Evaluation Office of the Global Environment Facility</w:t>
      </w:r>
      <w:r w:rsidR="00AB218B">
        <w:rPr>
          <w:lang w:val="en-ZW" w:eastAsia="en-ZW"/>
        </w:rPr>
        <w:t xml:space="preserve"> (GEF)</w:t>
      </w:r>
      <w:r w:rsidRPr="00361872">
        <w:rPr>
          <w:lang w:val="en-ZW" w:eastAsia="en-ZW"/>
        </w:rPr>
        <w:t>, corroborate the</w:t>
      </w:r>
      <w:r>
        <w:rPr>
          <w:lang w:val="en-ZW" w:eastAsia="en-ZW"/>
        </w:rPr>
        <w:t>se finding</w:t>
      </w:r>
      <w:r w:rsidR="00B671EC">
        <w:rPr>
          <w:lang w:val="en-ZW" w:eastAsia="en-ZW"/>
        </w:rPr>
        <w:t>s</w:t>
      </w:r>
      <w:r w:rsidRPr="00361872">
        <w:rPr>
          <w:lang w:val="en-ZW" w:eastAsia="en-ZW"/>
        </w:rPr>
        <w:t xml:space="preserve">, highlighting that </w:t>
      </w:r>
      <w:r w:rsidR="00AB218B">
        <w:rPr>
          <w:lang w:val="en-ZW" w:eastAsia="en-ZW"/>
        </w:rPr>
        <w:t>GEF</w:t>
      </w:r>
      <w:r w:rsidRPr="00361872">
        <w:rPr>
          <w:lang w:val="en-ZW" w:eastAsia="en-ZW"/>
        </w:rPr>
        <w:t xml:space="preserve">-supported projects </w:t>
      </w:r>
      <w:r>
        <w:rPr>
          <w:lang w:val="en-ZW" w:eastAsia="en-ZW"/>
        </w:rPr>
        <w:t>produced</w:t>
      </w:r>
      <w:r w:rsidRPr="00361872">
        <w:rPr>
          <w:lang w:val="en-ZW" w:eastAsia="en-ZW"/>
        </w:rPr>
        <w:t xml:space="preserve"> satisfactory results through an integrated approach to tackling global environmental issues, enhanc</w:t>
      </w:r>
      <w:r>
        <w:rPr>
          <w:lang w:val="en-ZW" w:eastAsia="en-ZW"/>
        </w:rPr>
        <w:t>ing</w:t>
      </w:r>
      <w:r w:rsidRPr="00361872">
        <w:rPr>
          <w:lang w:val="en-ZW" w:eastAsia="en-ZW"/>
        </w:rPr>
        <w:t xml:space="preserve"> institutional and individual capacity at national and local levels and contribut</w:t>
      </w:r>
      <w:r>
        <w:rPr>
          <w:lang w:val="en-ZW" w:eastAsia="en-ZW"/>
        </w:rPr>
        <w:t>ing</w:t>
      </w:r>
      <w:r w:rsidRPr="00361872">
        <w:rPr>
          <w:lang w:val="en-ZW" w:eastAsia="en-ZW"/>
        </w:rPr>
        <w:t xml:space="preserve"> towards environmental benefits by fostering sustainable livelihood and community</w:t>
      </w:r>
      <w:r w:rsidR="001B1A2D">
        <w:rPr>
          <w:lang w:val="en-ZW" w:eastAsia="en-ZW"/>
        </w:rPr>
        <w:t>-</w:t>
      </w:r>
      <w:r w:rsidRPr="00361872">
        <w:rPr>
          <w:lang w:val="en-ZW" w:eastAsia="en-ZW"/>
        </w:rPr>
        <w:t>based approaches. Challenges include the need to address post-completion sustainability, improve environmental legislation</w:t>
      </w:r>
      <w:r w:rsidR="00E2104D">
        <w:rPr>
          <w:lang w:val="en-ZW" w:eastAsia="en-ZW"/>
        </w:rPr>
        <w:t xml:space="preserve"> implementation</w:t>
      </w:r>
      <w:r w:rsidRPr="00361872">
        <w:rPr>
          <w:lang w:val="en-ZW" w:eastAsia="en-ZW"/>
        </w:rPr>
        <w:t xml:space="preserve">, develop realistic project objectives and invest in monitoring and evaluation. </w:t>
      </w:r>
    </w:p>
    <w:p w14:paraId="5A996602" w14:textId="7F1962ED" w:rsidR="00D01B14" w:rsidRPr="00361872" w:rsidRDefault="00D01B14" w:rsidP="0099643B">
      <w:pPr>
        <w:widowControl w:val="0"/>
        <w:numPr>
          <w:ilvl w:val="0"/>
          <w:numId w:val="35"/>
        </w:numPr>
        <w:tabs>
          <w:tab w:val="left" w:pos="1080"/>
        </w:tabs>
        <w:adjustRightInd w:val="0"/>
        <w:ind w:left="720" w:right="720" w:firstLine="0"/>
        <w:jc w:val="both"/>
        <w:textAlignment w:val="baseline"/>
        <w:rPr>
          <w:lang w:val="en" w:eastAsia="en-ZW"/>
        </w:rPr>
      </w:pPr>
      <w:r w:rsidRPr="00361872">
        <w:rPr>
          <w:lang w:val="en-ZW" w:eastAsia="en-ZW"/>
        </w:rPr>
        <w:t xml:space="preserve">UNDP, through project evaluations, identified </w:t>
      </w:r>
      <w:r>
        <w:rPr>
          <w:lang w:val="en-ZW" w:eastAsia="en-ZW"/>
        </w:rPr>
        <w:t xml:space="preserve">additional </w:t>
      </w:r>
      <w:r w:rsidRPr="00361872">
        <w:rPr>
          <w:lang w:val="en-ZW" w:eastAsia="en-ZW"/>
        </w:rPr>
        <w:t>lessons</w:t>
      </w:r>
      <w:r w:rsidR="00A57C62">
        <w:rPr>
          <w:lang w:val="en-ZW" w:eastAsia="en-ZW"/>
        </w:rPr>
        <w:t>,</w:t>
      </w:r>
      <w:r w:rsidRPr="00361872">
        <w:rPr>
          <w:lang w:val="en-ZW" w:eastAsia="en-ZW"/>
        </w:rPr>
        <w:t xml:space="preserve"> including the need to focus </w:t>
      </w:r>
      <w:r w:rsidRPr="00361872">
        <w:rPr>
          <w:lang w:val="en-ZW" w:eastAsia="en-ZW"/>
        </w:rPr>
        <w:lastRenderedPageBreak/>
        <w:t xml:space="preserve">programmes in targeted geographical areas and </w:t>
      </w:r>
      <w:r w:rsidR="00A57C62">
        <w:rPr>
          <w:lang w:val="en-ZW" w:eastAsia="en-ZW"/>
        </w:rPr>
        <w:t>to increase</w:t>
      </w:r>
      <w:r w:rsidR="00A57C62" w:rsidRPr="00361872">
        <w:rPr>
          <w:lang w:val="en-ZW" w:eastAsia="en-ZW"/>
        </w:rPr>
        <w:t xml:space="preserve"> </w:t>
      </w:r>
      <w:r w:rsidRPr="00361872">
        <w:rPr>
          <w:lang w:val="en-ZW" w:eastAsia="en-ZW"/>
        </w:rPr>
        <w:t xml:space="preserve">resource mobilization </w:t>
      </w:r>
      <w:r w:rsidR="00A57C62">
        <w:rPr>
          <w:lang w:val="en-ZW" w:eastAsia="en-ZW"/>
        </w:rPr>
        <w:t xml:space="preserve">in order </w:t>
      </w:r>
      <w:r w:rsidRPr="00361872">
        <w:rPr>
          <w:lang w:val="en-ZW" w:eastAsia="en-ZW"/>
        </w:rPr>
        <w:t>to maintain and expand programmatic interventions, building on emerging opportunities through the re-engagement of development partners</w:t>
      </w:r>
      <w:r w:rsidRPr="00361872">
        <w:rPr>
          <w:iCs/>
          <w:lang w:eastAsia="en-ZW"/>
        </w:rPr>
        <w:t xml:space="preserve">. Other </w:t>
      </w:r>
      <w:r w:rsidR="00A57C62">
        <w:rPr>
          <w:iCs/>
          <w:lang w:eastAsia="en-ZW"/>
        </w:rPr>
        <w:t>impediments to</w:t>
      </w:r>
      <w:r w:rsidRPr="00361872">
        <w:rPr>
          <w:iCs/>
          <w:lang w:eastAsia="en-ZW"/>
        </w:rPr>
        <w:t xml:space="preserve"> implem</w:t>
      </w:r>
      <w:r w:rsidR="008D3EF4">
        <w:rPr>
          <w:iCs/>
          <w:lang w:eastAsia="en-ZW"/>
        </w:rPr>
        <w:t>en</w:t>
      </w:r>
      <w:r w:rsidRPr="00361872">
        <w:rPr>
          <w:iCs/>
          <w:lang w:eastAsia="en-ZW"/>
        </w:rPr>
        <w:t>ti</w:t>
      </w:r>
      <w:r w:rsidR="00A57C62">
        <w:rPr>
          <w:iCs/>
          <w:lang w:eastAsia="en-ZW"/>
        </w:rPr>
        <w:t>ng</w:t>
      </w:r>
      <w:r w:rsidRPr="00361872">
        <w:rPr>
          <w:iCs/>
          <w:lang w:eastAsia="en-ZW"/>
        </w:rPr>
        <w:t xml:space="preserve"> the previous programme include</w:t>
      </w:r>
      <w:r w:rsidR="008D3EF4">
        <w:rPr>
          <w:iCs/>
          <w:lang w:eastAsia="en-ZW"/>
        </w:rPr>
        <w:t>d</w:t>
      </w:r>
      <w:r w:rsidRPr="00361872">
        <w:rPr>
          <w:iCs/>
          <w:lang w:eastAsia="en-ZW"/>
        </w:rPr>
        <w:t xml:space="preserve"> </w:t>
      </w:r>
      <w:r>
        <w:rPr>
          <w:iCs/>
          <w:lang w:eastAsia="en-ZW"/>
        </w:rPr>
        <w:t xml:space="preserve">limited </w:t>
      </w:r>
      <w:r w:rsidR="00E2104D">
        <w:rPr>
          <w:iCs/>
          <w:lang w:eastAsia="en-ZW"/>
        </w:rPr>
        <w:t xml:space="preserve">data </w:t>
      </w:r>
      <w:r w:rsidRPr="00361872">
        <w:rPr>
          <w:iCs/>
          <w:lang w:eastAsia="en-ZW"/>
        </w:rPr>
        <w:t>availability and weak operational capacity</w:t>
      </w:r>
      <w:r>
        <w:rPr>
          <w:iCs/>
          <w:lang w:eastAsia="en-ZW"/>
        </w:rPr>
        <w:t xml:space="preserve"> of implementing partners. </w:t>
      </w:r>
    </w:p>
    <w:p w14:paraId="2440D3DF" w14:textId="77777777" w:rsidR="00BD76A4" w:rsidRPr="00E06520" w:rsidRDefault="00BD76A4" w:rsidP="00613C4E">
      <w:pPr>
        <w:pStyle w:val="Heading2"/>
        <w:ind w:left="720" w:right="720"/>
        <w:jc w:val="both"/>
        <w:rPr>
          <w:rFonts w:ascii="Times New Roman" w:hAnsi="Times New Roman"/>
          <w:b w:val="0"/>
          <w:bCs/>
          <w:color w:val="000000"/>
          <w:sz w:val="20"/>
        </w:rPr>
      </w:pPr>
    </w:p>
    <w:p w14:paraId="2440D3E0" w14:textId="461DC5C9" w:rsidR="004820B0" w:rsidRPr="00C1731A" w:rsidRDefault="00677F8A" w:rsidP="00613C4E">
      <w:pPr>
        <w:pStyle w:val="Heading2"/>
        <w:numPr>
          <w:ilvl w:val="0"/>
          <w:numId w:val="38"/>
        </w:numPr>
        <w:ind w:left="720" w:right="720" w:hanging="540"/>
        <w:jc w:val="both"/>
        <w:rPr>
          <w:rFonts w:ascii="Times New Roman" w:hAnsi="Times New Roman"/>
          <w:color w:val="000000"/>
          <w:spacing w:val="-3"/>
          <w:szCs w:val="28"/>
        </w:rPr>
      </w:pPr>
      <w:r w:rsidRPr="00C1731A">
        <w:rPr>
          <w:rFonts w:ascii="Times New Roman" w:hAnsi="Times New Roman"/>
          <w:bCs/>
          <w:color w:val="000000"/>
          <w:szCs w:val="28"/>
        </w:rPr>
        <w:t xml:space="preserve">Programme </w:t>
      </w:r>
      <w:r w:rsidR="00613C4E" w:rsidRPr="00C1731A">
        <w:rPr>
          <w:rFonts w:ascii="Times New Roman" w:hAnsi="Times New Roman"/>
          <w:bCs/>
          <w:color w:val="000000"/>
          <w:szCs w:val="28"/>
        </w:rPr>
        <w:t>p</w:t>
      </w:r>
      <w:r w:rsidRPr="00C1731A">
        <w:rPr>
          <w:rFonts w:ascii="Times New Roman" w:hAnsi="Times New Roman"/>
          <w:bCs/>
          <w:color w:val="000000"/>
          <w:szCs w:val="28"/>
        </w:rPr>
        <w:t>riorities</w:t>
      </w:r>
      <w:r w:rsidR="002B6341" w:rsidRPr="00C1731A">
        <w:rPr>
          <w:rFonts w:ascii="Times New Roman" w:hAnsi="Times New Roman"/>
          <w:bCs/>
          <w:color w:val="000000"/>
          <w:szCs w:val="28"/>
        </w:rPr>
        <w:t xml:space="preserve"> </w:t>
      </w:r>
      <w:r w:rsidR="004736BE" w:rsidRPr="00C1731A">
        <w:rPr>
          <w:rFonts w:ascii="Times New Roman" w:hAnsi="Times New Roman"/>
          <w:bCs/>
          <w:color w:val="000000"/>
          <w:szCs w:val="28"/>
        </w:rPr>
        <w:t xml:space="preserve">and </w:t>
      </w:r>
      <w:r w:rsidR="00613C4E" w:rsidRPr="00C1731A">
        <w:rPr>
          <w:rFonts w:ascii="Times New Roman" w:hAnsi="Times New Roman"/>
          <w:bCs/>
          <w:color w:val="000000"/>
          <w:szCs w:val="28"/>
        </w:rPr>
        <w:t>p</w:t>
      </w:r>
      <w:r w:rsidR="002B6341" w:rsidRPr="00C1731A">
        <w:rPr>
          <w:rFonts w:ascii="Times New Roman" w:hAnsi="Times New Roman"/>
          <w:bCs/>
          <w:color w:val="000000"/>
          <w:szCs w:val="28"/>
        </w:rPr>
        <w:t>artnerships</w:t>
      </w:r>
      <w:r w:rsidR="00074DB9" w:rsidRPr="00C1731A">
        <w:rPr>
          <w:rFonts w:ascii="Times New Roman" w:hAnsi="Times New Roman"/>
          <w:bCs/>
          <w:color w:val="000000"/>
          <w:szCs w:val="28"/>
        </w:rPr>
        <w:t xml:space="preserve"> </w:t>
      </w:r>
    </w:p>
    <w:p w14:paraId="2440D3E1" w14:textId="77777777" w:rsidR="00E42084" w:rsidRPr="003C26C1" w:rsidRDefault="00E42084" w:rsidP="00613C4E">
      <w:pPr>
        <w:ind w:left="720" w:right="720"/>
      </w:pPr>
    </w:p>
    <w:p w14:paraId="2C9E723B" w14:textId="0E2A2810" w:rsidR="00D01B14" w:rsidRDefault="00917CB6" w:rsidP="0099643B">
      <w:pPr>
        <w:pStyle w:val="ListParagraph"/>
        <w:widowControl w:val="0"/>
        <w:numPr>
          <w:ilvl w:val="0"/>
          <w:numId w:val="36"/>
        </w:numPr>
        <w:shd w:val="clear" w:color="auto" w:fill="FFFFFF"/>
        <w:tabs>
          <w:tab w:val="left" w:pos="1080"/>
        </w:tabs>
        <w:adjustRightInd w:val="0"/>
        <w:spacing w:after="120"/>
        <w:ind w:left="720" w:right="720" w:firstLine="0"/>
        <w:jc w:val="both"/>
        <w:textAlignment w:val="baseline"/>
        <w:rPr>
          <w:rFonts w:eastAsiaTheme="minorEastAsia"/>
          <w:lang w:val="en-ZW" w:eastAsia="en-ZA"/>
        </w:rPr>
      </w:pPr>
      <w:r>
        <w:rPr>
          <w:rFonts w:eastAsiaTheme="minorEastAsia"/>
          <w:lang w:val="en-ZW" w:eastAsia="en-ZA"/>
        </w:rPr>
        <w:t xml:space="preserve">To </w:t>
      </w:r>
      <w:r w:rsidR="00D01B14" w:rsidRPr="00361872">
        <w:rPr>
          <w:rFonts w:eastAsiaTheme="minorEastAsia"/>
          <w:lang w:val="en-ZW" w:eastAsia="en-ZA"/>
        </w:rPr>
        <w:t xml:space="preserve">support the </w:t>
      </w:r>
      <w:r>
        <w:rPr>
          <w:rFonts w:eastAsiaTheme="minorEastAsia"/>
          <w:lang w:val="en-ZW" w:eastAsia="en-ZA"/>
        </w:rPr>
        <w:t>g</w:t>
      </w:r>
      <w:r w:rsidR="00D01B14" w:rsidRPr="00361872">
        <w:rPr>
          <w:rFonts w:eastAsiaTheme="minorEastAsia"/>
          <w:lang w:val="en-ZW" w:eastAsia="en-ZA"/>
        </w:rPr>
        <w:t xml:space="preserve">overnment’s long-term development strategy, the overarching objective of this country programme is to promote a more inclusive economy and society benefiting from shared and sustainable economic growth, thereby breaking the cycle of persistent poverty and vulnerabilities to shocks. The developmental pathways that lead to this </w:t>
      </w:r>
      <w:r w:rsidR="00D01B14">
        <w:rPr>
          <w:rFonts w:eastAsiaTheme="minorEastAsia"/>
          <w:lang w:val="en-ZW" w:eastAsia="en-ZA"/>
        </w:rPr>
        <w:t>objective</w:t>
      </w:r>
      <w:r w:rsidR="00D01B14" w:rsidRPr="00361872">
        <w:rPr>
          <w:rFonts w:eastAsiaTheme="minorEastAsia"/>
          <w:lang w:val="en-ZW" w:eastAsia="en-ZA"/>
        </w:rPr>
        <w:t xml:space="preserve"> include one of inclusive growth policies (mid- to long-term), combined with simultaneous investments in livelihoods for at-risk populations</w:t>
      </w:r>
      <w:r w:rsidR="0063632A">
        <w:rPr>
          <w:rFonts w:eastAsiaTheme="minorEastAsia"/>
          <w:lang w:val="en-ZW" w:eastAsia="en-ZA"/>
        </w:rPr>
        <w:t>,</w:t>
      </w:r>
      <w:r w:rsidR="00D01B14">
        <w:rPr>
          <w:rFonts w:eastAsiaTheme="minorEastAsia"/>
          <w:lang w:val="en-ZW" w:eastAsia="en-ZA"/>
        </w:rPr>
        <w:t xml:space="preserve"> especially in the Red Sea coastal areas</w:t>
      </w:r>
      <w:r w:rsidR="00D01B14" w:rsidRPr="00361872">
        <w:rPr>
          <w:rFonts w:eastAsiaTheme="minorEastAsia"/>
          <w:lang w:val="en-ZW" w:eastAsia="en-ZA"/>
        </w:rPr>
        <w:t xml:space="preserve"> (immediate term). Due to the high reliance of the population on natural resources, this growth path will have to be accompanied by investments in sustainable natural resource management and disaster risk management to build resilience. Furthermore, it will be underpinned by a development pathway focused on public sector </w:t>
      </w:r>
      <w:r w:rsidR="00D01B14">
        <w:rPr>
          <w:rFonts w:eastAsiaTheme="minorEastAsia"/>
          <w:lang w:val="en-ZW" w:eastAsia="en-ZA"/>
        </w:rPr>
        <w:t>strengthening</w:t>
      </w:r>
      <w:r w:rsidR="00D01B14" w:rsidRPr="00361872">
        <w:rPr>
          <w:rFonts w:eastAsiaTheme="minorEastAsia"/>
          <w:lang w:val="en-ZW" w:eastAsia="en-ZA"/>
        </w:rPr>
        <w:t xml:space="preserve"> that will promote international engagement, strengthen</w:t>
      </w:r>
      <w:r>
        <w:rPr>
          <w:rFonts w:eastAsiaTheme="minorEastAsia"/>
          <w:lang w:val="en-ZW" w:eastAsia="en-ZA"/>
        </w:rPr>
        <w:t>ing</w:t>
      </w:r>
      <w:r w:rsidR="00D01B14" w:rsidRPr="00361872">
        <w:rPr>
          <w:rFonts w:eastAsiaTheme="minorEastAsia"/>
          <w:lang w:val="en-ZW" w:eastAsia="en-ZA"/>
        </w:rPr>
        <w:t xml:space="preserve"> </w:t>
      </w:r>
      <w:r>
        <w:rPr>
          <w:rFonts w:eastAsiaTheme="minorEastAsia"/>
          <w:lang w:val="en-ZW" w:eastAsia="en-ZA"/>
        </w:rPr>
        <w:t xml:space="preserve">community </w:t>
      </w:r>
      <w:r w:rsidR="00D01B14" w:rsidRPr="00361872">
        <w:rPr>
          <w:rFonts w:eastAsiaTheme="minorEastAsia"/>
          <w:lang w:val="en-ZW" w:eastAsia="en-ZA"/>
        </w:rPr>
        <w:t>participation in policy formulation and project implementation and improv</w:t>
      </w:r>
      <w:r>
        <w:rPr>
          <w:rFonts w:eastAsiaTheme="minorEastAsia"/>
          <w:lang w:val="en-ZW" w:eastAsia="en-ZA"/>
        </w:rPr>
        <w:t>ing</w:t>
      </w:r>
      <w:r w:rsidR="00D01B14" w:rsidRPr="00361872">
        <w:rPr>
          <w:rFonts w:eastAsiaTheme="minorEastAsia"/>
          <w:lang w:val="en-ZW" w:eastAsia="en-ZA"/>
        </w:rPr>
        <w:t xml:space="preserve"> service delivery.</w:t>
      </w:r>
    </w:p>
    <w:p w14:paraId="55910970" w14:textId="1895162E" w:rsidR="00D01B14" w:rsidRDefault="00D01B14" w:rsidP="0099643B">
      <w:pPr>
        <w:pStyle w:val="ListParagraph"/>
        <w:widowControl w:val="0"/>
        <w:numPr>
          <w:ilvl w:val="0"/>
          <w:numId w:val="36"/>
        </w:numPr>
        <w:shd w:val="clear" w:color="auto" w:fill="FFFFFF"/>
        <w:tabs>
          <w:tab w:val="left" w:pos="1080"/>
        </w:tabs>
        <w:adjustRightInd w:val="0"/>
        <w:spacing w:after="120"/>
        <w:ind w:left="720" w:right="720" w:firstLine="0"/>
        <w:jc w:val="both"/>
        <w:textAlignment w:val="baseline"/>
        <w:rPr>
          <w:rFonts w:eastAsiaTheme="minorEastAsia"/>
          <w:lang w:val="en-ZW" w:eastAsia="en-ZA"/>
        </w:rPr>
      </w:pPr>
      <w:r w:rsidRPr="00361872">
        <w:rPr>
          <w:rFonts w:eastAsiaTheme="minorEastAsia"/>
          <w:lang w:val="en-ZW" w:eastAsia="en-ZA"/>
        </w:rPr>
        <w:t>The programmatic strategy is dependent on interlinkages between the three pillars of the programme. For example, dependence on subsistence farming will be mitigated through diversification of the economy and vocational training</w:t>
      </w:r>
      <w:r>
        <w:rPr>
          <w:rFonts w:eastAsiaTheme="minorEastAsia"/>
          <w:lang w:val="en-ZW" w:eastAsia="en-ZA"/>
        </w:rPr>
        <w:t xml:space="preserve">, leading </w:t>
      </w:r>
      <w:r w:rsidRPr="00361872">
        <w:rPr>
          <w:rFonts w:eastAsiaTheme="minorEastAsia"/>
          <w:lang w:val="en-ZW" w:eastAsia="en-ZA"/>
        </w:rPr>
        <w:t xml:space="preserve">to more differentiated livelihoods, especially for youth who lack opportunities outside the agriculture sector. </w:t>
      </w:r>
      <w:r>
        <w:rPr>
          <w:rFonts w:eastAsiaTheme="minorEastAsia"/>
          <w:lang w:val="en-ZW" w:eastAsia="en-ZA"/>
        </w:rPr>
        <w:t>At the same time,</w:t>
      </w:r>
      <w:r w:rsidRPr="00361872">
        <w:rPr>
          <w:rFonts w:eastAsiaTheme="minorEastAsia"/>
          <w:lang w:val="en-ZW" w:eastAsia="en-ZA"/>
        </w:rPr>
        <w:t xml:space="preserve"> </w:t>
      </w:r>
      <w:r w:rsidR="00121FA8">
        <w:rPr>
          <w:rFonts w:eastAsiaTheme="minorEastAsia"/>
          <w:lang w:val="en-ZW" w:eastAsia="en-ZA"/>
        </w:rPr>
        <w:t xml:space="preserve">since </w:t>
      </w:r>
      <w:r w:rsidRPr="00361872">
        <w:rPr>
          <w:rFonts w:eastAsiaTheme="minorEastAsia"/>
          <w:lang w:val="en-ZW" w:eastAsia="en-ZA"/>
        </w:rPr>
        <w:t xml:space="preserve">agriculture will remain one of the main sources of livelihoods </w:t>
      </w:r>
      <w:r w:rsidR="00121FA8">
        <w:rPr>
          <w:rFonts w:eastAsiaTheme="minorEastAsia"/>
          <w:lang w:val="en-ZW" w:eastAsia="en-ZA"/>
        </w:rPr>
        <w:t>for</w:t>
      </w:r>
      <w:r w:rsidR="00121FA8" w:rsidRPr="00361872">
        <w:rPr>
          <w:rFonts w:eastAsiaTheme="minorEastAsia"/>
          <w:lang w:val="en-ZW" w:eastAsia="en-ZA"/>
        </w:rPr>
        <w:t xml:space="preserve"> </w:t>
      </w:r>
      <w:r w:rsidRPr="00361872">
        <w:rPr>
          <w:rFonts w:eastAsiaTheme="minorEastAsia"/>
          <w:lang w:val="en-ZW" w:eastAsia="en-ZA"/>
        </w:rPr>
        <w:t>the foreseeable future</w:t>
      </w:r>
      <w:r>
        <w:rPr>
          <w:rFonts w:eastAsiaTheme="minorEastAsia"/>
          <w:lang w:val="en-ZW" w:eastAsia="en-ZA"/>
        </w:rPr>
        <w:t xml:space="preserve">, </w:t>
      </w:r>
      <w:r w:rsidRPr="00361872">
        <w:rPr>
          <w:lang w:val="en-ZW"/>
        </w:rPr>
        <w:t xml:space="preserve">especially for </w:t>
      </w:r>
      <w:r w:rsidRPr="00361872">
        <w:t>about 70 per cent of women and children who reside in rural areas</w:t>
      </w:r>
      <w:r w:rsidR="00121FA8">
        <w:t>,</w:t>
      </w:r>
      <w:r w:rsidRPr="00361872">
        <w:rPr>
          <w:rFonts w:eastAsiaTheme="minorEastAsia"/>
          <w:lang w:val="en-ZW" w:eastAsia="en-ZA"/>
        </w:rPr>
        <w:t xml:space="preserve"> it is critical to invest in sustainable natural resource management to ensure resiliency and to safeguard these assets. As per the lessons from the independent GEF evaluation, such efforts will be underpinned by public sector </w:t>
      </w:r>
      <w:r>
        <w:rPr>
          <w:rFonts w:eastAsiaTheme="minorEastAsia"/>
          <w:lang w:val="en-ZW" w:eastAsia="en-ZA"/>
        </w:rPr>
        <w:t>capacity development</w:t>
      </w:r>
      <w:r w:rsidRPr="00361872">
        <w:rPr>
          <w:rFonts w:eastAsiaTheme="minorEastAsia"/>
          <w:lang w:val="en-ZW" w:eastAsia="en-ZA"/>
        </w:rPr>
        <w:t xml:space="preserve"> and increased community participation in natural resource management. </w:t>
      </w:r>
      <w:r w:rsidR="00152481">
        <w:rPr>
          <w:rFonts w:eastAsiaTheme="minorEastAsia"/>
          <w:lang w:val="en-ZW" w:eastAsia="en-ZA"/>
        </w:rPr>
        <w:t>T</w:t>
      </w:r>
      <w:r w:rsidRPr="00361872">
        <w:rPr>
          <w:rFonts w:eastAsiaTheme="minorEastAsia"/>
          <w:lang w:val="en-ZW" w:eastAsia="en-ZA"/>
        </w:rPr>
        <w:t xml:space="preserve">he strategy will prioritize enablers for successful implementation of programmatic interventions, </w:t>
      </w:r>
      <w:r w:rsidR="00152481">
        <w:rPr>
          <w:rFonts w:eastAsiaTheme="minorEastAsia"/>
          <w:lang w:val="en-ZW" w:eastAsia="en-ZA"/>
        </w:rPr>
        <w:t xml:space="preserve">which are </w:t>
      </w:r>
      <w:r w:rsidRPr="00361872">
        <w:rPr>
          <w:rFonts w:eastAsiaTheme="minorEastAsia"/>
          <w:lang w:val="en-ZW" w:eastAsia="en-ZA"/>
        </w:rPr>
        <w:t>mainly augmenting the capacity of the National Statistics Office</w:t>
      </w:r>
      <w:r>
        <w:rPr>
          <w:rFonts w:eastAsiaTheme="minorEastAsia"/>
          <w:lang w:val="en-ZW" w:eastAsia="en-ZA"/>
        </w:rPr>
        <w:t xml:space="preserve"> (data), Auditor General’s Office (accountability)</w:t>
      </w:r>
      <w:r w:rsidRPr="00361872">
        <w:rPr>
          <w:rFonts w:eastAsiaTheme="minorEastAsia"/>
          <w:lang w:val="en-ZW" w:eastAsia="en-ZA"/>
        </w:rPr>
        <w:t xml:space="preserve"> and the </w:t>
      </w:r>
      <w:r>
        <w:rPr>
          <w:rFonts w:eastAsiaTheme="minorEastAsia"/>
          <w:lang w:val="en-ZW" w:eastAsia="en-ZA"/>
        </w:rPr>
        <w:t xml:space="preserve">National Procurement Office of the </w:t>
      </w:r>
      <w:r w:rsidRPr="00361872">
        <w:rPr>
          <w:rFonts w:eastAsiaTheme="minorEastAsia"/>
          <w:lang w:val="en-ZW" w:eastAsia="en-ZA"/>
        </w:rPr>
        <w:t>Red Sea Corporation</w:t>
      </w:r>
      <w:r>
        <w:rPr>
          <w:rFonts w:eastAsiaTheme="minorEastAsia"/>
          <w:lang w:val="en-ZW" w:eastAsia="en-ZA"/>
        </w:rPr>
        <w:t xml:space="preserve"> (implementation)</w:t>
      </w:r>
      <w:r w:rsidR="00152481">
        <w:rPr>
          <w:rFonts w:eastAsiaTheme="minorEastAsia"/>
          <w:lang w:val="en-ZW" w:eastAsia="en-ZA"/>
        </w:rPr>
        <w:t xml:space="preserve">. Also important will be </w:t>
      </w:r>
      <w:r w:rsidRPr="00361872">
        <w:rPr>
          <w:rFonts w:eastAsiaTheme="minorEastAsia"/>
          <w:lang w:val="en-ZW" w:eastAsia="en-ZA"/>
        </w:rPr>
        <w:t xml:space="preserve">increasing engagement with the international community </w:t>
      </w:r>
      <w:r w:rsidR="00121FA8">
        <w:rPr>
          <w:rFonts w:eastAsiaTheme="minorEastAsia"/>
          <w:lang w:val="en-ZW" w:eastAsia="en-ZA"/>
        </w:rPr>
        <w:t xml:space="preserve">to </w:t>
      </w:r>
      <w:r w:rsidRPr="00361872">
        <w:rPr>
          <w:rFonts w:eastAsiaTheme="minorEastAsia"/>
          <w:lang w:val="en-ZW" w:eastAsia="en-ZA"/>
        </w:rPr>
        <w:t>rais</w:t>
      </w:r>
      <w:r w:rsidR="00121FA8">
        <w:rPr>
          <w:rFonts w:eastAsiaTheme="minorEastAsia"/>
          <w:lang w:val="en-ZW" w:eastAsia="en-ZA"/>
        </w:rPr>
        <w:t>e</w:t>
      </w:r>
      <w:r w:rsidRPr="00361872">
        <w:rPr>
          <w:rFonts w:eastAsiaTheme="minorEastAsia"/>
          <w:lang w:val="en-ZW" w:eastAsia="en-ZA"/>
        </w:rPr>
        <w:t xml:space="preserve"> additional resources for development and reintegrating </w:t>
      </w:r>
      <w:r w:rsidR="00C1731A">
        <w:rPr>
          <w:rFonts w:eastAsiaTheme="minorEastAsia"/>
          <w:lang w:val="en-ZW" w:eastAsia="en-ZA"/>
        </w:rPr>
        <w:t>of Eritrea</w:t>
      </w:r>
      <w:r w:rsidR="00152481">
        <w:rPr>
          <w:rFonts w:eastAsiaTheme="minorEastAsia"/>
          <w:lang w:val="en-ZW" w:eastAsia="en-ZA"/>
        </w:rPr>
        <w:t xml:space="preserve"> </w:t>
      </w:r>
      <w:r w:rsidRPr="00361872">
        <w:rPr>
          <w:rFonts w:eastAsiaTheme="minorEastAsia"/>
          <w:lang w:val="en-ZW" w:eastAsia="en-ZA"/>
        </w:rPr>
        <w:t>in regional fora.</w:t>
      </w:r>
    </w:p>
    <w:p w14:paraId="3823FCE2" w14:textId="5378789C" w:rsidR="00D01B14" w:rsidRPr="00361872" w:rsidRDefault="00D01B14" w:rsidP="0099643B">
      <w:pPr>
        <w:pStyle w:val="ListParagraph"/>
        <w:widowControl w:val="0"/>
        <w:numPr>
          <w:ilvl w:val="0"/>
          <w:numId w:val="36"/>
        </w:numPr>
        <w:shd w:val="clear" w:color="auto" w:fill="FFFFFF"/>
        <w:tabs>
          <w:tab w:val="left" w:pos="1080"/>
        </w:tabs>
        <w:adjustRightInd w:val="0"/>
        <w:spacing w:after="120"/>
        <w:ind w:left="720" w:right="720" w:firstLine="0"/>
        <w:jc w:val="both"/>
        <w:textAlignment w:val="baseline"/>
        <w:rPr>
          <w:lang w:val="en-ZW"/>
        </w:rPr>
      </w:pPr>
      <w:r w:rsidRPr="00361872">
        <w:rPr>
          <w:lang w:val="en-ZW"/>
        </w:rPr>
        <w:t xml:space="preserve">The focus areas are in line with the priorities of the </w:t>
      </w:r>
      <w:r w:rsidR="005A6FF2">
        <w:rPr>
          <w:lang w:val="en"/>
        </w:rPr>
        <w:t>NIDP</w:t>
      </w:r>
      <w:r w:rsidR="00A65E49">
        <w:rPr>
          <w:lang w:val="en"/>
        </w:rPr>
        <w:t xml:space="preserve"> (2014-2018)</w:t>
      </w:r>
      <w:r w:rsidRPr="00361872">
        <w:rPr>
          <w:lang w:val="en-ZW"/>
        </w:rPr>
        <w:t xml:space="preserve"> and anchored in the U</w:t>
      </w:r>
      <w:r w:rsidR="00A65E49">
        <w:rPr>
          <w:lang w:val="en-ZW"/>
        </w:rPr>
        <w:t xml:space="preserve">nited </w:t>
      </w:r>
      <w:r w:rsidRPr="00361872">
        <w:rPr>
          <w:lang w:val="en-ZW"/>
        </w:rPr>
        <w:t>N</w:t>
      </w:r>
      <w:r w:rsidR="00A65E49">
        <w:rPr>
          <w:lang w:val="en-ZW"/>
        </w:rPr>
        <w:t>ations</w:t>
      </w:r>
      <w:r w:rsidRPr="00361872">
        <w:rPr>
          <w:lang w:val="en-ZW"/>
        </w:rPr>
        <w:t xml:space="preserve">-Government SPCF </w:t>
      </w:r>
      <w:r>
        <w:rPr>
          <w:lang w:val="en-ZW"/>
        </w:rPr>
        <w:t xml:space="preserve">II </w:t>
      </w:r>
      <w:r w:rsidRPr="00361872">
        <w:rPr>
          <w:lang w:val="en-ZW"/>
        </w:rPr>
        <w:t xml:space="preserve">for 2017-2021. </w:t>
      </w:r>
      <w:r>
        <w:rPr>
          <w:lang w:val="en-ZW"/>
        </w:rPr>
        <w:t xml:space="preserve">As per the results and resources framework, development partner priorities have informed the programmatic approach and positioning. </w:t>
      </w:r>
      <w:r w:rsidRPr="00361872">
        <w:rPr>
          <w:lang w:val="en-ZW"/>
        </w:rPr>
        <w:t>The programme will support Eritrea in the implementation of Agenda 2030, the African Union Agenda 2063 and the roadmap for the Istanbul Plan of Action for Least Develop</w:t>
      </w:r>
      <w:r>
        <w:rPr>
          <w:lang w:val="en-ZW"/>
        </w:rPr>
        <w:t>ed</w:t>
      </w:r>
      <w:r w:rsidRPr="00361872">
        <w:rPr>
          <w:lang w:val="en-ZW"/>
        </w:rPr>
        <w:t xml:space="preserve"> Countries. Policy interventions will be applied for the entire country, but be built on experience and realities facing vulnerable populations, particularly in rural coastal areas</w:t>
      </w:r>
      <w:r>
        <w:rPr>
          <w:lang w:val="en-ZW"/>
        </w:rPr>
        <w:t xml:space="preserve"> (Northern </w:t>
      </w:r>
      <w:r w:rsidRPr="00361872">
        <w:rPr>
          <w:lang w:val="en-ZW"/>
        </w:rPr>
        <w:t>and Southern Red Sea) affected by harsh climatic conditions. Furthermore, do</w:t>
      </w:r>
      <w:r>
        <w:rPr>
          <w:lang w:val="en-ZW"/>
        </w:rPr>
        <w:t xml:space="preserve">wnstream interventions will be </w:t>
      </w:r>
      <w:r w:rsidRPr="00361872">
        <w:rPr>
          <w:lang w:val="en-ZW"/>
        </w:rPr>
        <w:t xml:space="preserve">targeted to support those same communities faced by the hardest vulnerabilities. </w:t>
      </w:r>
    </w:p>
    <w:p w14:paraId="57A932DB" w14:textId="77777777" w:rsidR="00D01B14" w:rsidRPr="00C1731A" w:rsidRDefault="00D01B14" w:rsidP="0099643B">
      <w:pPr>
        <w:shd w:val="clear" w:color="auto" w:fill="FFFFFF"/>
        <w:tabs>
          <w:tab w:val="left" w:pos="1080"/>
        </w:tabs>
        <w:spacing w:after="120"/>
        <w:ind w:left="720" w:right="720"/>
        <w:rPr>
          <w:rFonts w:eastAsiaTheme="minorEastAsia"/>
          <w:b/>
          <w:sz w:val="24"/>
          <w:szCs w:val="24"/>
          <w:lang w:val="en-ZW" w:eastAsia="en-ZA"/>
        </w:rPr>
      </w:pPr>
      <w:r w:rsidRPr="00C1731A">
        <w:rPr>
          <w:rFonts w:eastAsiaTheme="minorEastAsia"/>
          <w:b/>
          <w:sz w:val="24"/>
          <w:szCs w:val="24"/>
          <w:lang w:val="en-ZW" w:eastAsia="en-ZA"/>
        </w:rPr>
        <w:t>Pillar I. Inclusive growth and livelihoods</w:t>
      </w:r>
    </w:p>
    <w:p w14:paraId="1110E3B6" w14:textId="4FB7E3AB" w:rsidR="00D01B14" w:rsidRDefault="00D01B14" w:rsidP="0099643B">
      <w:pPr>
        <w:pStyle w:val="ListParagraph"/>
        <w:widowControl w:val="0"/>
        <w:numPr>
          <w:ilvl w:val="0"/>
          <w:numId w:val="36"/>
        </w:numPr>
        <w:shd w:val="clear" w:color="auto" w:fill="FFFFFF"/>
        <w:tabs>
          <w:tab w:val="left" w:pos="1080"/>
        </w:tabs>
        <w:adjustRightInd w:val="0"/>
        <w:spacing w:after="120"/>
        <w:ind w:left="720" w:right="720" w:firstLine="0"/>
        <w:jc w:val="both"/>
        <w:textAlignment w:val="baseline"/>
        <w:rPr>
          <w:lang w:val="en-ZW"/>
        </w:rPr>
      </w:pPr>
      <w:r w:rsidRPr="00361872">
        <w:rPr>
          <w:lang w:val="en-ZW"/>
        </w:rPr>
        <w:t xml:space="preserve">The long-term development strategy for Eritrea promotes rapid, balanced, home-grown and sustainable economic growth with social equity. UNDP will support this objective by providing upstream capacity building on policy formulation and implementation to enhance productive capacities and create a conducive environment for private sector investments. At the downstream level, UNDP </w:t>
      </w:r>
      <w:r>
        <w:rPr>
          <w:lang w:val="en-ZW"/>
        </w:rPr>
        <w:t>will support</w:t>
      </w:r>
      <w:r w:rsidRPr="00361872">
        <w:rPr>
          <w:lang w:val="en-ZW"/>
        </w:rPr>
        <w:t xml:space="preserve"> increasing livelihood opportunities for vulnerable groups, through vocational training, micro grants and job placement.</w:t>
      </w:r>
    </w:p>
    <w:p w14:paraId="4B30AF7E" w14:textId="7671EB2B" w:rsidR="00D01B14" w:rsidRPr="00361872" w:rsidRDefault="005D24FF" w:rsidP="0099643B">
      <w:pPr>
        <w:pStyle w:val="ListParagraph"/>
        <w:widowControl w:val="0"/>
        <w:numPr>
          <w:ilvl w:val="0"/>
          <w:numId w:val="36"/>
        </w:numPr>
        <w:shd w:val="clear" w:color="auto" w:fill="FFFFFF"/>
        <w:tabs>
          <w:tab w:val="left" w:pos="1080"/>
        </w:tabs>
        <w:adjustRightInd w:val="0"/>
        <w:spacing w:after="120"/>
        <w:ind w:left="720" w:right="720" w:firstLine="0"/>
        <w:jc w:val="both"/>
        <w:textAlignment w:val="baseline"/>
        <w:rPr>
          <w:lang w:val="en-ZW"/>
        </w:rPr>
      </w:pPr>
      <w:r>
        <w:rPr>
          <w:lang w:val="en-ZW"/>
        </w:rPr>
        <w:t>In</w:t>
      </w:r>
      <w:r w:rsidRPr="00361872">
        <w:rPr>
          <w:lang w:val="en-ZW"/>
        </w:rPr>
        <w:t xml:space="preserve"> </w:t>
      </w:r>
      <w:r w:rsidR="00D01B14" w:rsidRPr="00361872">
        <w:rPr>
          <w:lang w:val="en-ZW"/>
        </w:rPr>
        <w:t xml:space="preserve">its convening role, UNDP </w:t>
      </w:r>
      <w:r w:rsidR="00121FA8">
        <w:rPr>
          <w:lang w:val="en-ZW"/>
        </w:rPr>
        <w:t xml:space="preserve">analysed </w:t>
      </w:r>
      <w:r w:rsidR="00D01B14" w:rsidRPr="00361872">
        <w:rPr>
          <w:lang w:val="en-ZW"/>
        </w:rPr>
        <w:t xml:space="preserve">gaps in current and future capability requirements of </w:t>
      </w:r>
      <w:r w:rsidR="00C153DC">
        <w:rPr>
          <w:lang w:val="en-ZW"/>
        </w:rPr>
        <w:t>g</w:t>
      </w:r>
      <w:r w:rsidR="00D01B14" w:rsidRPr="00361872">
        <w:rPr>
          <w:lang w:val="en-ZW"/>
        </w:rPr>
        <w:t xml:space="preserve">overnment management information systems. The findings informed African Development Bank </w:t>
      </w:r>
      <w:r w:rsidR="00D01B14">
        <w:rPr>
          <w:lang w:val="en-ZW"/>
        </w:rPr>
        <w:t xml:space="preserve">and European Union </w:t>
      </w:r>
      <w:r w:rsidR="00121FA8">
        <w:rPr>
          <w:lang w:val="en-ZW"/>
        </w:rPr>
        <w:t xml:space="preserve">support </w:t>
      </w:r>
      <w:r w:rsidR="00D01B14" w:rsidRPr="00361872">
        <w:rPr>
          <w:lang w:val="en-ZW"/>
        </w:rPr>
        <w:t xml:space="preserve">to the Ministry of Finance to strengthen planning and treasury </w:t>
      </w:r>
      <w:r w:rsidR="00D01B14" w:rsidRPr="00361872">
        <w:rPr>
          <w:lang w:val="en-ZW"/>
        </w:rPr>
        <w:lastRenderedPageBreak/>
        <w:t xml:space="preserve">management frameworks and </w:t>
      </w:r>
      <w:r w:rsidR="00D01B14">
        <w:rPr>
          <w:lang w:val="en-ZW"/>
        </w:rPr>
        <w:t>s</w:t>
      </w:r>
      <w:r w:rsidR="00D01B14" w:rsidRPr="00361872">
        <w:rPr>
          <w:lang w:val="en-ZW"/>
        </w:rPr>
        <w:t>ystem</w:t>
      </w:r>
      <w:r w:rsidR="00D01B14">
        <w:rPr>
          <w:lang w:val="en-ZW"/>
        </w:rPr>
        <w:t>s</w:t>
      </w:r>
      <w:r w:rsidR="00D01B14" w:rsidRPr="00361872">
        <w:rPr>
          <w:lang w:val="en-ZW"/>
        </w:rPr>
        <w:t xml:space="preserve">. In the </w:t>
      </w:r>
      <w:r w:rsidR="007F2FFF">
        <w:rPr>
          <w:lang w:val="en-ZW"/>
        </w:rPr>
        <w:t xml:space="preserve">country </w:t>
      </w:r>
      <w:r w:rsidR="00D01B14" w:rsidRPr="00361872">
        <w:rPr>
          <w:lang w:val="en-ZW"/>
        </w:rPr>
        <w:t>programme, UNDP will continue upstream support by identifying capacity and policy gaps and engaging partners in a dialogue to unlock potential development resources. This same strategy will be applied to identify productive sectors that could provide sustainable livelihood opportunities to the population. The recent experience with the mining sector</w:t>
      </w:r>
      <w:r w:rsidR="00D01B14">
        <w:rPr>
          <w:lang w:val="en-ZW"/>
        </w:rPr>
        <w:t xml:space="preserve"> </w:t>
      </w:r>
      <w:r w:rsidR="00D01B14" w:rsidRPr="00361872">
        <w:rPr>
          <w:lang w:val="en-ZW"/>
        </w:rPr>
        <w:t>could be replicated in other sectors with h</w:t>
      </w:r>
      <w:r w:rsidR="00D01B14">
        <w:rPr>
          <w:lang w:val="en-ZW"/>
        </w:rPr>
        <w:t>igher job</w:t>
      </w:r>
      <w:r w:rsidR="00615D36">
        <w:rPr>
          <w:lang w:val="en-ZW"/>
        </w:rPr>
        <w:t xml:space="preserve"> </w:t>
      </w:r>
      <w:r w:rsidR="00D01B14">
        <w:rPr>
          <w:lang w:val="en-ZW"/>
        </w:rPr>
        <w:t>intensity</w:t>
      </w:r>
      <w:r w:rsidR="00D756F5">
        <w:rPr>
          <w:lang w:val="en-ZW"/>
        </w:rPr>
        <w:t>,</w:t>
      </w:r>
      <w:r w:rsidR="00D01B14">
        <w:rPr>
          <w:lang w:val="en-ZW"/>
        </w:rPr>
        <w:t xml:space="preserve"> such as </w:t>
      </w:r>
      <w:r w:rsidR="00D01B14" w:rsidRPr="00361872">
        <w:rPr>
          <w:lang w:val="en-ZW"/>
        </w:rPr>
        <w:t>manufacturing, food processing and tourism. As such, UNDP will continue to support the Government to expand</w:t>
      </w:r>
      <w:r w:rsidR="00D01B14">
        <w:rPr>
          <w:lang w:val="en-ZW"/>
        </w:rPr>
        <w:t xml:space="preserve">, </w:t>
      </w:r>
      <w:r w:rsidR="00D01B14" w:rsidRPr="00361872">
        <w:rPr>
          <w:lang w:val="en-ZW"/>
        </w:rPr>
        <w:t xml:space="preserve">diversify </w:t>
      </w:r>
      <w:r w:rsidR="00D01B14">
        <w:rPr>
          <w:lang w:val="en-ZW"/>
        </w:rPr>
        <w:t xml:space="preserve">and make more sustainable </w:t>
      </w:r>
      <w:r w:rsidR="00D01B14" w:rsidRPr="00361872">
        <w:rPr>
          <w:lang w:val="en-ZW"/>
        </w:rPr>
        <w:t xml:space="preserve">the productive base and engage the international community, including the </w:t>
      </w:r>
      <w:r w:rsidR="00C1328E" w:rsidRPr="00C1328E">
        <w:rPr>
          <w:lang w:val="en-ZW"/>
        </w:rPr>
        <w:t>African Development Bank</w:t>
      </w:r>
      <w:r w:rsidR="00C1328E">
        <w:rPr>
          <w:lang w:val="en-ZW"/>
        </w:rPr>
        <w:t>,</w:t>
      </w:r>
      <w:r w:rsidR="00C1328E" w:rsidRPr="00C1328E">
        <w:rPr>
          <w:lang w:val="en-ZW"/>
        </w:rPr>
        <w:t xml:space="preserve"> </w:t>
      </w:r>
      <w:r w:rsidR="00D01B14" w:rsidRPr="00361872">
        <w:rPr>
          <w:lang w:val="en-ZW"/>
        </w:rPr>
        <w:t>the World Bank and the International Monetary Fund to provide technical and monetary resources.</w:t>
      </w:r>
      <w:r w:rsidR="00613C4E" w:rsidRPr="00361872">
        <w:rPr>
          <w:lang w:val="en-ZW"/>
        </w:rPr>
        <w:t xml:space="preserve"> </w:t>
      </w:r>
    </w:p>
    <w:p w14:paraId="253B6914" w14:textId="7DE6519C" w:rsidR="00D01B14" w:rsidRDefault="00D01B14" w:rsidP="0099643B">
      <w:pPr>
        <w:pStyle w:val="ListParagraph"/>
        <w:widowControl w:val="0"/>
        <w:numPr>
          <w:ilvl w:val="0"/>
          <w:numId w:val="36"/>
        </w:numPr>
        <w:shd w:val="clear" w:color="auto" w:fill="FFFFFF"/>
        <w:tabs>
          <w:tab w:val="left" w:pos="1080"/>
        </w:tabs>
        <w:adjustRightInd w:val="0"/>
        <w:spacing w:after="120"/>
        <w:ind w:left="720" w:right="720" w:firstLine="0"/>
        <w:jc w:val="both"/>
        <w:textAlignment w:val="baseline"/>
        <w:rPr>
          <w:lang w:val="en-ZW"/>
        </w:rPr>
      </w:pPr>
      <w:r w:rsidRPr="00361872">
        <w:rPr>
          <w:lang w:val="en-ZW"/>
        </w:rPr>
        <w:t>In terms of downstream support, UNDP has been working on youth employment (Technical Vocational Education and Training) in collaboration with the National Union of Eritrean Youth and Students</w:t>
      </w:r>
      <w:r w:rsidR="008363B6">
        <w:rPr>
          <w:lang w:val="en-ZW"/>
        </w:rPr>
        <w:t xml:space="preserve"> (NUEYS)</w:t>
      </w:r>
      <w:r w:rsidRPr="00361872">
        <w:rPr>
          <w:lang w:val="en-ZW"/>
        </w:rPr>
        <w:t xml:space="preserve"> and </w:t>
      </w:r>
      <w:r w:rsidR="00CF45A7">
        <w:rPr>
          <w:lang w:val="en-ZW"/>
        </w:rPr>
        <w:t xml:space="preserve">the </w:t>
      </w:r>
      <w:r w:rsidR="00FF36A7" w:rsidRPr="00FF36A7">
        <w:rPr>
          <w:lang w:val="en-ZW"/>
        </w:rPr>
        <w:t>National Union of Eritrean Women</w:t>
      </w:r>
      <w:r w:rsidRPr="00361872">
        <w:rPr>
          <w:lang w:val="en-ZW"/>
        </w:rPr>
        <w:t xml:space="preserve"> to ensure targeting of youth and women. In 2015 alone,</w:t>
      </w:r>
      <w:r w:rsidRPr="00361872">
        <w:t xml:space="preserve"> </w:t>
      </w:r>
      <w:r w:rsidRPr="00361872">
        <w:rPr>
          <w:lang w:val="en-ZW"/>
        </w:rPr>
        <w:t>1</w:t>
      </w:r>
      <w:r>
        <w:rPr>
          <w:lang w:val="en-ZW"/>
        </w:rPr>
        <w:t>,</w:t>
      </w:r>
      <w:r w:rsidRPr="00361872">
        <w:rPr>
          <w:lang w:val="en-ZW"/>
        </w:rPr>
        <w:t xml:space="preserve">046 youths </w:t>
      </w:r>
      <w:r w:rsidRPr="00232E9E">
        <w:rPr>
          <w:lang w:val="en-ZW"/>
        </w:rPr>
        <w:t>(46</w:t>
      </w:r>
      <w:r w:rsidR="00901E49">
        <w:rPr>
          <w:lang w:val="en-ZW"/>
        </w:rPr>
        <w:t xml:space="preserve"> per</w:t>
      </w:r>
      <w:r w:rsidR="00634DD8">
        <w:rPr>
          <w:lang w:val="en-ZW"/>
        </w:rPr>
        <w:t xml:space="preserve"> </w:t>
      </w:r>
      <w:r w:rsidR="00901E49">
        <w:rPr>
          <w:lang w:val="en-ZW"/>
        </w:rPr>
        <w:t>cent</w:t>
      </w:r>
      <w:r w:rsidRPr="00232E9E">
        <w:rPr>
          <w:lang w:val="en-ZW"/>
        </w:rPr>
        <w:t xml:space="preserve"> female) </w:t>
      </w:r>
      <w:r w:rsidRPr="00361872">
        <w:rPr>
          <w:lang w:val="en-ZW"/>
        </w:rPr>
        <w:t xml:space="preserve">were </w:t>
      </w:r>
      <w:r w:rsidR="009960DE">
        <w:rPr>
          <w:lang w:val="en-ZW"/>
        </w:rPr>
        <w:t>trained in</w:t>
      </w:r>
      <w:r w:rsidRPr="00361872">
        <w:rPr>
          <w:lang w:val="en-ZW"/>
        </w:rPr>
        <w:t xml:space="preserve"> vocational and entrepreneurship skills in all six regions of Eritrea under </w:t>
      </w:r>
      <w:r w:rsidR="00C153DC">
        <w:rPr>
          <w:lang w:val="en-ZW"/>
        </w:rPr>
        <w:t xml:space="preserve">a </w:t>
      </w:r>
      <w:r w:rsidRPr="00361872">
        <w:rPr>
          <w:lang w:val="en-ZW"/>
        </w:rPr>
        <w:t>UNDP youth project</w:t>
      </w:r>
      <w:r>
        <w:rPr>
          <w:lang w:val="en-ZW"/>
        </w:rPr>
        <w:t>.</w:t>
      </w:r>
      <w:r w:rsidRPr="00361872">
        <w:rPr>
          <w:lang w:val="en-ZW"/>
        </w:rPr>
        <w:t xml:space="preserve"> Through a partnership with Japan and Norway, UNDP support to youth employment will be deepened</w:t>
      </w:r>
      <w:r w:rsidR="009960DE">
        <w:rPr>
          <w:lang w:val="en-ZW"/>
        </w:rPr>
        <w:t>,</w:t>
      </w:r>
      <w:r w:rsidRPr="00361872">
        <w:rPr>
          <w:lang w:val="en-ZW"/>
        </w:rPr>
        <w:t xml:space="preserve"> in collaboration with the International Labour Organization</w:t>
      </w:r>
      <w:r w:rsidR="00693212">
        <w:rPr>
          <w:lang w:val="en-ZW"/>
        </w:rPr>
        <w:t xml:space="preserve"> (ILO)</w:t>
      </w:r>
      <w:r w:rsidRPr="00361872">
        <w:rPr>
          <w:lang w:val="en-ZW"/>
        </w:rPr>
        <w:t xml:space="preserve"> </w:t>
      </w:r>
      <w:r>
        <w:rPr>
          <w:lang w:val="en-ZW"/>
        </w:rPr>
        <w:t>and</w:t>
      </w:r>
      <w:r w:rsidRPr="00361872">
        <w:rPr>
          <w:lang w:val="en-ZW"/>
        </w:rPr>
        <w:t xml:space="preserve"> United Nations Industrial Development Org</w:t>
      </w:r>
      <w:r>
        <w:rPr>
          <w:lang w:val="en-ZW"/>
        </w:rPr>
        <w:t>anization</w:t>
      </w:r>
      <w:r w:rsidR="00693212">
        <w:rPr>
          <w:lang w:val="en-ZW"/>
        </w:rPr>
        <w:t xml:space="preserve"> (UNIDO) </w:t>
      </w:r>
      <w:r>
        <w:rPr>
          <w:lang w:val="en-ZW"/>
        </w:rPr>
        <w:t>and in</w:t>
      </w:r>
      <w:r w:rsidRPr="00361872">
        <w:rPr>
          <w:lang w:val="en-ZW"/>
        </w:rPr>
        <w:t xml:space="preserve"> partnership with the Office of </w:t>
      </w:r>
      <w:r w:rsidR="00911274">
        <w:rPr>
          <w:lang w:val="en-ZW"/>
        </w:rPr>
        <w:t xml:space="preserve">the </w:t>
      </w:r>
      <w:r w:rsidRPr="00361872">
        <w:rPr>
          <w:lang w:val="en-ZW"/>
        </w:rPr>
        <w:t>U</w:t>
      </w:r>
      <w:r w:rsidR="00911274">
        <w:rPr>
          <w:lang w:val="en-ZW"/>
        </w:rPr>
        <w:t xml:space="preserve">nited </w:t>
      </w:r>
      <w:r w:rsidRPr="00361872">
        <w:rPr>
          <w:lang w:val="en-ZW"/>
        </w:rPr>
        <w:t>N</w:t>
      </w:r>
      <w:r w:rsidR="00911274">
        <w:rPr>
          <w:lang w:val="en-ZW"/>
        </w:rPr>
        <w:t>ations</w:t>
      </w:r>
      <w:r w:rsidRPr="00361872">
        <w:rPr>
          <w:lang w:val="en-ZW"/>
        </w:rPr>
        <w:t xml:space="preserve"> Secretary General’s Special Envoy on Youth. </w:t>
      </w:r>
      <w:r w:rsidR="00AB37C8">
        <w:rPr>
          <w:lang w:val="en-ZW"/>
        </w:rPr>
        <w:t xml:space="preserve">In </w:t>
      </w:r>
      <w:r w:rsidRPr="00361872">
        <w:rPr>
          <w:lang w:val="en-ZW"/>
        </w:rPr>
        <w:t xml:space="preserve">South-South </w:t>
      </w:r>
      <w:r w:rsidR="00AB37C8">
        <w:rPr>
          <w:lang w:val="en-ZW"/>
        </w:rPr>
        <w:t>c</w:t>
      </w:r>
      <w:r w:rsidRPr="00361872">
        <w:rPr>
          <w:lang w:val="en-ZW"/>
        </w:rPr>
        <w:t>ooperation</w:t>
      </w:r>
      <w:r w:rsidR="00AB37C8">
        <w:rPr>
          <w:lang w:val="en-ZW"/>
        </w:rPr>
        <w:t xml:space="preserve"> efforts</w:t>
      </w:r>
      <w:r w:rsidRPr="00361872">
        <w:rPr>
          <w:lang w:val="en-ZW"/>
        </w:rPr>
        <w:t>, UNDP will seek coordination and collaboration with Egypt, which is spending up to $ 1 million per annum in vocational</w:t>
      </w:r>
      <w:r>
        <w:rPr>
          <w:lang w:val="en-ZW"/>
        </w:rPr>
        <w:t xml:space="preserve"> training, and </w:t>
      </w:r>
      <w:r w:rsidR="006D3C92">
        <w:rPr>
          <w:lang w:val="en-ZW"/>
        </w:rPr>
        <w:t xml:space="preserve">China, </w:t>
      </w:r>
      <w:r w:rsidR="006D3C92" w:rsidRPr="00361872">
        <w:rPr>
          <w:lang w:val="en-ZW"/>
        </w:rPr>
        <w:t>Qatar</w:t>
      </w:r>
      <w:r w:rsidR="006D3C92">
        <w:rPr>
          <w:lang w:val="en-ZW"/>
        </w:rPr>
        <w:t xml:space="preserve">, </w:t>
      </w:r>
      <w:r>
        <w:rPr>
          <w:lang w:val="en-ZW"/>
        </w:rPr>
        <w:t>Saudi Arabia, South Africa</w:t>
      </w:r>
      <w:r w:rsidR="006D3C92" w:rsidRPr="006D3C92">
        <w:rPr>
          <w:lang w:val="en-ZW"/>
        </w:rPr>
        <w:t xml:space="preserve"> </w:t>
      </w:r>
      <w:r w:rsidR="006D3C92">
        <w:rPr>
          <w:lang w:val="en-ZW"/>
        </w:rPr>
        <w:t>and Turkey</w:t>
      </w:r>
      <w:r w:rsidRPr="00361872">
        <w:rPr>
          <w:lang w:val="en-ZW"/>
        </w:rPr>
        <w:t xml:space="preserve">, </w:t>
      </w:r>
      <w:r>
        <w:rPr>
          <w:lang w:val="en-ZW"/>
        </w:rPr>
        <w:t>which</w:t>
      </w:r>
      <w:r w:rsidRPr="00361872">
        <w:rPr>
          <w:lang w:val="en-ZW"/>
        </w:rPr>
        <w:t xml:space="preserve"> are already funding job creating investments</w:t>
      </w:r>
      <w:r w:rsidR="009960DE">
        <w:rPr>
          <w:lang w:val="en-ZW"/>
        </w:rPr>
        <w:t>,</w:t>
      </w:r>
      <w:r w:rsidRPr="00361872">
        <w:rPr>
          <w:lang w:val="en-ZW"/>
        </w:rPr>
        <w:t xml:space="preserve"> such as fish processing and water bottling factories. </w:t>
      </w:r>
    </w:p>
    <w:p w14:paraId="733AED51" w14:textId="62E204C1" w:rsidR="00D01B14" w:rsidRPr="00361872" w:rsidRDefault="00D01B14" w:rsidP="0099643B">
      <w:pPr>
        <w:pStyle w:val="ListParagraph"/>
        <w:widowControl w:val="0"/>
        <w:numPr>
          <w:ilvl w:val="0"/>
          <w:numId w:val="36"/>
        </w:numPr>
        <w:shd w:val="clear" w:color="auto" w:fill="FFFFFF"/>
        <w:tabs>
          <w:tab w:val="left" w:pos="1080"/>
        </w:tabs>
        <w:adjustRightInd w:val="0"/>
        <w:spacing w:after="120"/>
        <w:ind w:left="720" w:right="720" w:firstLine="0"/>
        <w:jc w:val="both"/>
        <w:textAlignment w:val="baseline"/>
        <w:rPr>
          <w:lang w:val="en-ZW"/>
        </w:rPr>
      </w:pPr>
      <w:r w:rsidRPr="00361872">
        <w:rPr>
          <w:lang w:val="en-ZW"/>
        </w:rPr>
        <w:t xml:space="preserve">This pillar is interlinked and </w:t>
      </w:r>
      <w:r>
        <w:rPr>
          <w:lang w:val="en-ZW"/>
        </w:rPr>
        <w:t>dependent</w:t>
      </w:r>
      <w:r w:rsidRPr="00361872">
        <w:rPr>
          <w:lang w:val="en-ZW"/>
        </w:rPr>
        <w:t xml:space="preserve"> on the other pillars for its effective implementation. For example, capacity building for the National Statistics Office </w:t>
      </w:r>
      <w:r>
        <w:rPr>
          <w:lang w:val="en-ZW"/>
        </w:rPr>
        <w:t>(</w:t>
      </w:r>
      <w:r w:rsidRPr="00361872">
        <w:rPr>
          <w:lang w:val="en-ZW"/>
        </w:rPr>
        <w:t xml:space="preserve">pillar </w:t>
      </w:r>
      <w:r>
        <w:rPr>
          <w:lang w:val="en-ZW"/>
        </w:rPr>
        <w:t xml:space="preserve">III) </w:t>
      </w:r>
      <w:r w:rsidRPr="00361872">
        <w:rPr>
          <w:lang w:val="en-ZW"/>
        </w:rPr>
        <w:t xml:space="preserve">is critical to provide needed regionalized unemployment data to better target interventions and to assess the impact of the support. Furthermore, policies focused on international engagement with foreign governments, multilateral organizations and the private sector will unlock potential technical and monetary resources for development. The sustainable resource management pillar </w:t>
      </w:r>
      <w:r w:rsidR="00A57C62">
        <w:rPr>
          <w:lang w:val="en-ZW"/>
        </w:rPr>
        <w:t>seeks</w:t>
      </w:r>
      <w:r w:rsidR="00A57C62" w:rsidRPr="00361872">
        <w:rPr>
          <w:lang w:val="en-ZW"/>
        </w:rPr>
        <w:t xml:space="preserve"> </w:t>
      </w:r>
      <w:r w:rsidRPr="00361872">
        <w:rPr>
          <w:lang w:val="en-ZW"/>
        </w:rPr>
        <w:t>to enable women and men in rural communities to equitably and sustainably use natural resources and ecosystems to improve their livelihoods.</w:t>
      </w:r>
      <w:r>
        <w:rPr>
          <w:lang w:val="en-ZW"/>
        </w:rPr>
        <w:t xml:space="preserve"> This may free up youth</w:t>
      </w:r>
      <w:r w:rsidRPr="00361872">
        <w:rPr>
          <w:lang w:val="en-ZW"/>
        </w:rPr>
        <w:t xml:space="preserve"> engaged in agriculture to enrol in </w:t>
      </w:r>
      <w:r w:rsidR="00246A49" w:rsidRPr="00246A49">
        <w:rPr>
          <w:lang w:val="en-ZW"/>
        </w:rPr>
        <w:t>Technical Vocational Education and Training</w:t>
      </w:r>
      <w:r w:rsidRPr="00361872">
        <w:rPr>
          <w:lang w:val="en-ZW"/>
        </w:rPr>
        <w:t xml:space="preserve"> and gain </w:t>
      </w:r>
      <w:r>
        <w:rPr>
          <w:lang w:val="en-ZW"/>
        </w:rPr>
        <w:t>alternative</w:t>
      </w:r>
      <w:r w:rsidRPr="00361872">
        <w:rPr>
          <w:lang w:val="en-ZW"/>
        </w:rPr>
        <w:t xml:space="preserve"> livelihood</w:t>
      </w:r>
      <w:r>
        <w:rPr>
          <w:lang w:val="en-ZW"/>
        </w:rPr>
        <w:t>s</w:t>
      </w:r>
      <w:r w:rsidRPr="00361872">
        <w:rPr>
          <w:lang w:val="en-ZW"/>
        </w:rPr>
        <w:t>.</w:t>
      </w:r>
    </w:p>
    <w:p w14:paraId="36AF4073" w14:textId="77777777" w:rsidR="00D01B14" w:rsidRPr="00C1731A" w:rsidRDefault="00D01B14" w:rsidP="0099643B">
      <w:pPr>
        <w:shd w:val="clear" w:color="auto" w:fill="FFFFFF"/>
        <w:tabs>
          <w:tab w:val="left" w:pos="1080"/>
        </w:tabs>
        <w:spacing w:after="120"/>
        <w:ind w:left="720" w:right="720"/>
        <w:rPr>
          <w:b/>
          <w:bCs/>
          <w:sz w:val="24"/>
          <w:szCs w:val="24"/>
          <w:lang w:val="en-ZW" w:eastAsia="en-ZA"/>
        </w:rPr>
      </w:pPr>
      <w:r w:rsidRPr="00C1731A">
        <w:rPr>
          <w:b/>
          <w:bCs/>
          <w:sz w:val="24"/>
          <w:szCs w:val="24"/>
          <w:lang w:val="en-ZW" w:eastAsia="en-ZA"/>
        </w:rPr>
        <w:t>Pillar II. Sustainable natural resource management, resilience to climate change and disasters</w:t>
      </w:r>
    </w:p>
    <w:p w14:paraId="7C4857B6" w14:textId="05050622" w:rsidR="00D01B14" w:rsidRPr="00D01B14" w:rsidRDefault="00D01B14" w:rsidP="0099643B">
      <w:pPr>
        <w:pStyle w:val="ListParagraph"/>
        <w:widowControl w:val="0"/>
        <w:numPr>
          <w:ilvl w:val="0"/>
          <w:numId w:val="36"/>
        </w:numPr>
        <w:shd w:val="clear" w:color="auto" w:fill="FFFFFF"/>
        <w:tabs>
          <w:tab w:val="left" w:pos="1080"/>
        </w:tabs>
        <w:adjustRightInd w:val="0"/>
        <w:spacing w:after="120"/>
        <w:ind w:left="720" w:right="720" w:firstLine="0"/>
        <w:jc w:val="both"/>
        <w:textAlignment w:val="baseline"/>
        <w:rPr>
          <w:i/>
          <w:iCs/>
          <w:lang w:val="en-ZW" w:eastAsia="en-ZA"/>
        </w:rPr>
      </w:pPr>
      <w:r w:rsidRPr="00361872">
        <w:rPr>
          <w:lang w:val="en-ZW"/>
        </w:rPr>
        <w:t xml:space="preserve">To achieve sustainable economic growth based on the principle of self-reliance, as stipulated in the </w:t>
      </w:r>
      <w:r w:rsidR="005A6FF2">
        <w:rPr>
          <w:lang w:val="en"/>
        </w:rPr>
        <w:t>NIDP</w:t>
      </w:r>
      <w:r w:rsidR="00A65E49">
        <w:rPr>
          <w:lang w:val="en"/>
        </w:rPr>
        <w:t xml:space="preserve"> (2014-2018)</w:t>
      </w:r>
      <w:r w:rsidRPr="00361872">
        <w:rPr>
          <w:lang w:val="en-ZW"/>
        </w:rPr>
        <w:t xml:space="preserve">, and recognizing the high economic dependence on gradually degrading natural resources, UNDP will support sustainable natural resource management. As highlighted in its Intended Nationally Determined Contributions, Eritrea is vulnerable to climate change </w:t>
      </w:r>
      <w:r>
        <w:rPr>
          <w:lang w:val="en-ZW"/>
        </w:rPr>
        <w:t>which</w:t>
      </w:r>
      <w:r w:rsidRPr="00361872">
        <w:rPr>
          <w:lang w:val="en-ZW"/>
        </w:rPr>
        <w:t xml:space="preserve"> already serious</w:t>
      </w:r>
      <w:r>
        <w:rPr>
          <w:lang w:val="en-ZW"/>
        </w:rPr>
        <w:t>ly</w:t>
      </w:r>
      <w:r w:rsidRPr="00361872">
        <w:rPr>
          <w:lang w:val="en-ZW"/>
        </w:rPr>
        <w:t xml:space="preserve"> </w:t>
      </w:r>
      <w:r w:rsidR="006958A0">
        <w:rPr>
          <w:lang w:val="en-ZW"/>
        </w:rPr>
        <w:t>affects</w:t>
      </w:r>
      <w:r w:rsidR="006958A0" w:rsidRPr="00361872">
        <w:rPr>
          <w:lang w:val="en-ZW"/>
        </w:rPr>
        <w:t xml:space="preserve"> </w:t>
      </w:r>
      <w:r>
        <w:rPr>
          <w:lang w:val="en-ZW"/>
        </w:rPr>
        <w:t xml:space="preserve">the economy and </w:t>
      </w:r>
      <w:r w:rsidRPr="00361872">
        <w:rPr>
          <w:lang w:val="en-ZW"/>
        </w:rPr>
        <w:t xml:space="preserve">livelihoods. UNDP will promote measures </w:t>
      </w:r>
      <w:r w:rsidR="0087720B">
        <w:rPr>
          <w:lang w:val="en-ZW"/>
        </w:rPr>
        <w:t>that improve</w:t>
      </w:r>
      <w:r w:rsidR="0087720B" w:rsidRPr="00361872">
        <w:rPr>
          <w:lang w:val="en-ZW"/>
        </w:rPr>
        <w:t xml:space="preserve"> </w:t>
      </w:r>
      <w:r w:rsidRPr="00361872">
        <w:rPr>
          <w:lang w:val="en-ZW"/>
        </w:rPr>
        <w:t>resilience to climate change and increase disaster risk</w:t>
      </w:r>
      <w:r w:rsidRPr="00361872">
        <w:rPr>
          <w:i/>
          <w:iCs/>
          <w:lang w:val="en-ZW"/>
        </w:rPr>
        <w:t xml:space="preserve"> </w:t>
      </w:r>
      <w:r w:rsidRPr="00361872">
        <w:rPr>
          <w:lang w:val="en-ZW"/>
        </w:rPr>
        <w:t>management capacities. The goal is to increase productivity and livelihood opportunities in the agriculture sector</w:t>
      </w:r>
      <w:r w:rsidR="0087720B">
        <w:rPr>
          <w:lang w:val="en-ZW"/>
        </w:rPr>
        <w:t>,</w:t>
      </w:r>
      <w:r w:rsidRPr="00361872">
        <w:rPr>
          <w:lang w:val="en-ZW"/>
        </w:rPr>
        <w:t xml:space="preserve"> anchored by </w:t>
      </w:r>
      <w:r w:rsidR="0087720B">
        <w:rPr>
          <w:lang w:val="en-ZW"/>
        </w:rPr>
        <w:t xml:space="preserve">environmental </w:t>
      </w:r>
      <w:r w:rsidRPr="00361872">
        <w:rPr>
          <w:lang w:val="en-ZW"/>
        </w:rPr>
        <w:t>sustainability and resiliency of the population. UNDP will continue to scale</w:t>
      </w:r>
      <w:r>
        <w:rPr>
          <w:lang w:val="en-ZW"/>
        </w:rPr>
        <w:t xml:space="preserve"> up</w:t>
      </w:r>
      <w:r w:rsidRPr="00361872">
        <w:rPr>
          <w:lang w:val="en-ZW"/>
        </w:rPr>
        <w:t xml:space="preserve"> its interventions in partnership with the Global Environment Facility, the Adaptation Fund and the Green Climate Fund and will strengthen its collaboration with </w:t>
      </w:r>
      <w:r>
        <w:rPr>
          <w:lang w:val="en-ZW"/>
        </w:rPr>
        <w:t>relevant sector ministries</w:t>
      </w:r>
      <w:r w:rsidRPr="00361872">
        <w:rPr>
          <w:lang w:val="en-ZW"/>
        </w:rPr>
        <w:t>.</w:t>
      </w:r>
    </w:p>
    <w:p w14:paraId="7E59DC72" w14:textId="7E00AB67" w:rsidR="00D01B14" w:rsidRDefault="00D01B14" w:rsidP="0099643B">
      <w:pPr>
        <w:pStyle w:val="ListParagraph"/>
        <w:widowControl w:val="0"/>
        <w:numPr>
          <w:ilvl w:val="0"/>
          <w:numId w:val="36"/>
        </w:numPr>
        <w:shd w:val="clear" w:color="auto" w:fill="FFFFFF"/>
        <w:tabs>
          <w:tab w:val="left" w:pos="1080"/>
        </w:tabs>
        <w:adjustRightInd w:val="0"/>
        <w:spacing w:after="120"/>
        <w:ind w:left="720" w:right="720" w:firstLine="0"/>
        <w:jc w:val="both"/>
        <w:textAlignment w:val="baseline"/>
        <w:rPr>
          <w:lang w:val="en-ZW"/>
        </w:rPr>
      </w:pPr>
      <w:r w:rsidRPr="00361872">
        <w:rPr>
          <w:lang w:val="en-ZW"/>
        </w:rPr>
        <w:t xml:space="preserve">Since 2012, UNDP has </w:t>
      </w:r>
      <w:r w:rsidR="00A57C62">
        <w:rPr>
          <w:lang w:val="en-ZW"/>
        </w:rPr>
        <w:t>improved</w:t>
      </w:r>
      <w:r w:rsidR="00A57C62" w:rsidRPr="00361872">
        <w:rPr>
          <w:lang w:val="en-ZW"/>
        </w:rPr>
        <w:t xml:space="preserve"> </w:t>
      </w:r>
      <w:r w:rsidRPr="00361872">
        <w:rPr>
          <w:lang w:val="en-ZW"/>
        </w:rPr>
        <w:t>the productive capacity of 10,384 vulnerable farmers (51</w:t>
      </w:r>
      <w:r w:rsidR="00CB03D1">
        <w:rPr>
          <w:lang w:val="en-ZW"/>
        </w:rPr>
        <w:t xml:space="preserve"> per</w:t>
      </w:r>
      <w:r w:rsidR="00634DD8">
        <w:rPr>
          <w:lang w:val="en-ZW"/>
        </w:rPr>
        <w:t xml:space="preserve"> </w:t>
      </w:r>
      <w:r w:rsidR="00CB03D1">
        <w:rPr>
          <w:lang w:val="en-ZW"/>
        </w:rPr>
        <w:t>cent</w:t>
      </w:r>
      <w:r w:rsidRPr="00361872">
        <w:rPr>
          <w:lang w:val="en-ZW"/>
        </w:rPr>
        <w:t xml:space="preserve"> female) affected by locust and drought in the Red Sea and Debub regions through soil and water conservation activities, agricultural training and </w:t>
      </w:r>
      <w:r>
        <w:rPr>
          <w:lang w:val="en-ZW"/>
        </w:rPr>
        <w:t>input</w:t>
      </w:r>
      <w:r w:rsidRPr="00361872">
        <w:rPr>
          <w:lang w:val="en-ZW"/>
        </w:rPr>
        <w:t>s. A total of 16,461 people (55</w:t>
      </w:r>
      <w:r w:rsidR="006A2070">
        <w:rPr>
          <w:lang w:val="en-ZW"/>
        </w:rPr>
        <w:t xml:space="preserve"> per</w:t>
      </w:r>
      <w:r w:rsidR="00634DD8">
        <w:rPr>
          <w:lang w:val="en-ZW"/>
        </w:rPr>
        <w:t xml:space="preserve"> </w:t>
      </w:r>
      <w:r w:rsidR="006A2070">
        <w:rPr>
          <w:lang w:val="en-ZW"/>
        </w:rPr>
        <w:t>cent</w:t>
      </w:r>
      <w:r w:rsidRPr="00361872">
        <w:rPr>
          <w:lang w:val="en-ZW"/>
        </w:rPr>
        <w:t xml:space="preserve"> women) have benefited from cash for work invo</w:t>
      </w:r>
      <w:r>
        <w:rPr>
          <w:lang w:val="en-ZW"/>
        </w:rPr>
        <w:t xml:space="preserve">lving development of community </w:t>
      </w:r>
      <w:r w:rsidRPr="00361872">
        <w:rPr>
          <w:lang w:val="en-ZW"/>
        </w:rPr>
        <w:t>infrastructure</w:t>
      </w:r>
      <w:r w:rsidR="007C69D8">
        <w:rPr>
          <w:lang w:val="en-ZW"/>
        </w:rPr>
        <w:t>,</w:t>
      </w:r>
      <w:r w:rsidRPr="00361872">
        <w:rPr>
          <w:lang w:val="en-ZW"/>
        </w:rPr>
        <w:t xml:space="preserve"> such as dams to prevent soil erosion and </w:t>
      </w:r>
      <w:r>
        <w:rPr>
          <w:lang w:val="en-ZW"/>
        </w:rPr>
        <w:t>promote water harvesting</w:t>
      </w:r>
      <w:r w:rsidRPr="00361872">
        <w:rPr>
          <w:lang w:val="en-ZW"/>
        </w:rPr>
        <w:t xml:space="preserve">. </w:t>
      </w:r>
      <w:r w:rsidRPr="00361872">
        <w:rPr>
          <w:lang w:val="en-ZW" w:eastAsia="en-ZA"/>
        </w:rPr>
        <w:t>UNDP supported a pilot land tenure policy (rep</w:t>
      </w:r>
      <w:r>
        <w:rPr>
          <w:lang w:val="en-ZW" w:eastAsia="en-ZA"/>
        </w:rPr>
        <w:t xml:space="preserve">lacing the customary </w:t>
      </w:r>
      <w:r w:rsidRPr="00361872">
        <w:rPr>
          <w:lang w:val="en-ZW" w:eastAsia="en-ZA"/>
        </w:rPr>
        <w:t xml:space="preserve">system). </w:t>
      </w:r>
      <w:r w:rsidR="007C69D8">
        <w:rPr>
          <w:lang w:val="en-ZW" w:eastAsia="en-ZA"/>
        </w:rPr>
        <w:t>The new</w:t>
      </w:r>
      <w:r w:rsidR="007C69D8" w:rsidRPr="00361872">
        <w:rPr>
          <w:lang w:val="en-ZW" w:eastAsia="en-ZA"/>
        </w:rPr>
        <w:t xml:space="preserve"> land tenure system </w:t>
      </w:r>
      <w:r w:rsidR="007C69D8">
        <w:rPr>
          <w:lang w:val="en-ZW" w:eastAsia="en-ZA"/>
        </w:rPr>
        <w:t>secures</w:t>
      </w:r>
      <w:r w:rsidR="007C69D8" w:rsidRPr="00361872">
        <w:rPr>
          <w:lang w:val="en-ZW" w:eastAsia="en-ZA"/>
        </w:rPr>
        <w:t xml:space="preserve"> women’s </w:t>
      </w:r>
      <w:r w:rsidR="007C69D8">
        <w:rPr>
          <w:lang w:val="en-ZW" w:eastAsia="en-ZA"/>
        </w:rPr>
        <w:t xml:space="preserve">land </w:t>
      </w:r>
      <w:r w:rsidR="007C69D8" w:rsidRPr="00361872">
        <w:rPr>
          <w:lang w:val="en-ZW" w:eastAsia="en-ZA"/>
        </w:rPr>
        <w:t>right</w:t>
      </w:r>
      <w:r w:rsidR="007C69D8">
        <w:rPr>
          <w:lang w:val="en-ZW" w:eastAsia="en-ZA"/>
        </w:rPr>
        <w:t>s,</w:t>
      </w:r>
      <w:r w:rsidR="007C69D8" w:rsidRPr="00361872">
        <w:rPr>
          <w:lang w:val="en-ZW" w:eastAsia="en-ZA"/>
        </w:rPr>
        <w:t xml:space="preserve"> which </w:t>
      </w:r>
      <w:r w:rsidR="007C69D8">
        <w:rPr>
          <w:lang w:val="en-ZW" w:eastAsia="en-ZA"/>
        </w:rPr>
        <w:t>were not provided for</w:t>
      </w:r>
      <w:r w:rsidR="007C69D8" w:rsidRPr="00361872">
        <w:rPr>
          <w:lang w:val="en-ZW" w:eastAsia="en-ZA"/>
        </w:rPr>
        <w:t xml:space="preserve"> previously. </w:t>
      </w:r>
      <w:r>
        <w:rPr>
          <w:lang w:val="en-ZW" w:eastAsia="en-ZA"/>
        </w:rPr>
        <w:t>In 2015,</w:t>
      </w:r>
      <w:r w:rsidRPr="00361872">
        <w:rPr>
          <w:lang w:val="en-ZW" w:eastAsia="en-ZA"/>
        </w:rPr>
        <w:t xml:space="preserve"> 23 villages</w:t>
      </w:r>
      <w:r>
        <w:rPr>
          <w:lang w:val="en-ZW" w:eastAsia="en-ZA"/>
        </w:rPr>
        <w:t xml:space="preserve">, </w:t>
      </w:r>
      <w:r w:rsidR="002A4091">
        <w:rPr>
          <w:lang w:val="en-ZW" w:eastAsia="en-ZA"/>
        </w:rPr>
        <w:t>with</w:t>
      </w:r>
      <w:r w:rsidR="002A4091" w:rsidRPr="00361872">
        <w:rPr>
          <w:lang w:val="en-ZW" w:eastAsia="en-ZA"/>
        </w:rPr>
        <w:t xml:space="preserve"> </w:t>
      </w:r>
      <w:r w:rsidRPr="00361872">
        <w:rPr>
          <w:lang w:val="en-ZW" w:eastAsia="en-ZA"/>
        </w:rPr>
        <w:t>5,500 househol</w:t>
      </w:r>
      <w:r>
        <w:rPr>
          <w:lang w:val="en-ZW" w:eastAsia="en-ZA"/>
        </w:rPr>
        <w:t>ds (37</w:t>
      </w:r>
      <w:r w:rsidR="006A2070">
        <w:rPr>
          <w:lang w:val="en-ZW" w:eastAsia="en-ZA"/>
        </w:rPr>
        <w:t xml:space="preserve"> per</w:t>
      </w:r>
      <w:r w:rsidR="00634DD8">
        <w:rPr>
          <w:lang w:val="en-ZW" w:eastAsia="en-ZA"/>
        </w:rPr>
        <w:t xml:space="preserve"> </w:t>
      </w:r>
      <w:r w:rsidR="006A2070">
        <w:rPr>
          <w:lang w:val="en-ZW" w:eastAsia="en-ZA"/>
        </w:rPr>
        <w:t>cent</w:t>
      </w:r>
      <w:r>
        <w:rPr>
          <w:lang w:val="en-ZW" w:eastAsia="en-ZA"/>
        </w:rPr>
        <w:t xml:space="preserve"> female headed)</w:t>
      </w:r>
      <w:r w:rsidR="002A4091">
        <w:rPr>
          <w:lang w:val="en-ZW" w:eastAsia="en-ZA"/>
        </w:rPr>
        <w:t>,</w:t>
      </w:r>
      <w:r>
        <w:rPr>
          <w:lang w:val="en-ZW" w:eastAsia="en-ZA"/>
        </w:rPr>
        <w:t xml:space="preserve"> benefited </w:t>
      </w:r>
      <w:r w:rsidRPr="00361872">
        <w:rPr>
          <w:lang w:val="en-ZW" w:eastAsia="en-ZA"/>
        </w:rPr>
        <w:t xml:space="preserve">from </w:t>
      </w:r>
      <w:r>
        <w:rPr>
          <w:lang w:val="en-ZW" w:eastAsia="en-ZA"/>
        </w:rPr>
        <w:t>secured land tenure</w:t>
      </w:r>
      <w:r w:rsidRPr="00361872">
        <w:rPr>
          <w:lang w:val="en-ZW" w:eastAsia="en-ZA"/>
        </w:rPr>
        <w:t xml:space="preserve">. As a result, local communities increased investment in their land </w:t>
      </w:r>
      <w:r w:rsidR="007C69D8">
        <w:rPr>
          <w:lang w:val="en-ZW" w:eastAsia="en-ZA"/>
        </w:rPr>
        <w:t>by doing</w:t>
      </w:r>
      <w:r w:rsidRPr="00361872">
        <w:rPr>
          <w:lang w:val="en-ZW" w:eastAsia="en-ZA"/>
        </w:rPr>
        <w:t xml:space="preserve"> extensive farmland terracing</w:t>
      </w:r>
      <w:r w:rsidR="007C69D8">
        <w:rPr>
          <w:lang w:val="en-ZW" w:eastAsia="en-ZA"/>
        </w:rPr>
        <w:t xml:space="preserve"> and engaging in </w:t>
      </w:r>
      <w:r w:rsidRPr="00361872">
        <w:rPr>
          <w:lang w:val="en-ZW" w:eastAsia="en-ZA"/>
        </w:rPr>
        <w:t>soil and w</w:t>
      </w:r>
      <w:r>
        <w:rPr>
          <w:lang w:val="en-ZW" w:eastAsia="en-ZA"/>
        </w:rPr>
        <w:t>ater conservation activities</w:t>
      </w:r>
      <w:r w:rsidRPr="00361872">
        <w:rPr>
          <w:lang w:val="en-ZW" w:eastAsia="en-ZA"/>
        </w:rPr>
        <w:t xml:space="preserve">. Farmers planted 125,000 tree seedlings </w:t>
      </w:r>
      <w:r w:rsidR="007C69D8">
        <w:rPr>
          <w:lang w:val="en-ZW" w:eastAsia="en-ZA"/>
        </w:rPr>
        <w:t>for</w:t>
      </w:r>
      <w:r w:rsidRPr="00361872">
        <w:rPr>
          <w:lang w:val="en-ZW" w:eastAsia="en-ZA"/>
        </w:rPr>
        <w:t xml:space="preserve"> fuelwood, construction material </w:t>
      </w:r>
      <w:r w:rsidRPr="00361872">
        <w:rPr>
          <w:lang w:val="en-ZW" w:eastAsia="en-ZA"/>
        </w:rPr>
        <w:lastRenderedPageBreak/>
        <w:t>and income from the sale of timber</w:t>
      </w:r>
      <w:r>
        <w:rPr>
          <w:lang w:val="en-ZW" w:eastAsia="en-ZA"/>
        </w:rPr>
        <w:t xml:space="preserve">. </w:t>
      </w:r>
      <w:r w:rsidRPr="00361872">
        <w:rPr>
          <w:lang w:val="en-ZW" w:eastAsia="en-ZA"/>
        </w:rPr>
        <w:t xml:space="preserve">Communities from other areas are demanding replication of these practices and </w:t>
      </w:r>
      <w:r w:rsidR="00DA5BAA">
        <w:rPr>
          <w:lang w:val="en-ZW" w:eastAsia="en-ZA"/>
        </w:rPr>
        <w:t>the G</w:t>
      </w:r>
      <w:r w:rsidRPr="00361872">
        <w:rPr>
          <w:lang w:val="en-ZW" w:eastAsia="en-ZA"/>
        </w:rPr>
        <w:t xml:space="preserve">overnment is considering scaling </w:t>
      </w:r>
      <w:r>
        <w:rPr>
          <w:lang w:val="en-ZW" w:eastAsia="en-ZA"/>
        </w:rPr>
        <w:t xml:space="preserve">up </w:t>
      </w:r>
      <w:r w:rsidRPr="00361872">
        <w:rPr>
          <w:lang w:val="en-ZW" w:eastAsia="en-ZA"/>
        </w:rPr>
        <w:t xml:space="preserve">the project, which UNDP will support by </w:t>
      </w:r>
      <w:r w:rsidR="007C69D8">
        <w:rPr>
          <w:lang w:val="en-ZW" w:eastAsia="en-ZA"/>
        </w:rPr>
        <w:t>encouraging</w:t>
      </w:r>
      <w:r w:rsidR="007C69D8" w:rsidRPr="00361872">
        <w:rPr>
          <w:lang w:val="en-ZW" w:eastAsia="en-ZA"/>
        </w:rPr>
        <w:t xml:space="preserve"> </w:t>
      </w:r>
      <w:r w:rsidRPr="00361872">
        <w:rPr>
          <w:lang w:val="en-ZW" w:eastAsia="en-ZA"/>
        </w:rPr>
        <w:t>community engagement in local</w:t>
      </w:r>
      <w:r w:rsidR="00B537B5">
        <w:rPr>
          <w:lang w:val="en-ZW" w:eastAsia="en-ZA"/>
        </w:rPr>
        <w:t xml:space="preserve"> </w:t>
      </w:r>
      <w:r w:rsidRPr="00361872">
        <w:rPr>
          <w:lang w:val="en-ZW" w:eastAsia="en-ZA"/>
        </w:rPr>
        <w:t>decision</w:t>
      </w:r>
      <w:r w:rsidR="00B537B5">
        <w:rPr>
          <w:lang w:val="en-ZW" w:eastAsia="en-ZA"/>
        </w:rPr>
        <w:t>-</w:t>
      </w:r>
      <w:r w:rsidRPr="00361872">
        <w:rPr>
          <w:lang w:val="en-ZW" w:eastAsia="en-ZA"/>
        </w:rPr>
        <w:t>making processes</w:t>
      </w:r>
      <w:r w:rsidR="007C69D8">
        <w:rPr>
          <w:lang w:val="en-ZW" w:eastAsia="en-ZA"/>
        </w:rPr>
        <w:t>, among other activities</w:t>
      </w:r>
      <w:r w:rsidRPr="00361872">
        <w:rPr>
          <w:lang w:val="en-ZW" w:eastAsia="en-ZA"/>
        </w:rPr>
        <w:t xml:space="preserve">. </w:t>
      </w:r>
    </w:p>
    <w:p w14:paraId="586B0104" w14:textId="164EB777" w:rsidR="00D01B14" w:rsidRDefault="00D01B14" w:rsidP="0099643B">
      <w:pPr>
        <w:pStyle w:val="ListParagraph"/>
        <w:widowControl w:val="0"/>
        <w:numPr>
          <w:ilvl w:val="0"/>
          <w:numId w:val="36"/>
        </w:numPr>
        <w:shd w:val="clear" w:color="auto" w:fill="FFFFFF"/>
        <w:tabs>
          <w:tab w:val="left" w:pos="1080"/>
        </w:tabs>
        <w:adjustRightInd w:val="0"/>
        <w:spacing w:after="120"/>
        <w:ind w:left="720" w:right="720" w:firstLine="0"/>
        <w:jc w:val="both"/>
        <w:textAlignment w:val="baseline"/>
        <w:rPr>
          <w:lang w:val="en-ZW"/>
        </w:rPr>
      </w:pPr>
      <w:r w:rsidRPr="00361872">
        <w:rPr>
          <w:lang w:val="en-ZW"/>
        </w:rPr>
        <w:t xml:space="preserve">UNDP will continue </w:t>
      </w:r>
      <w:r w:rsidR="0090560E">
        <w:rPr>
          <w:lang w:val="en-ZW"/>
        </w:rPr>
        <w:t>supporting</w:t>
      </w:r>
      <w:r w:rsidRPr="00361872">
        <w:rPr>
          <w:lang w:val="en-ZW"/>
        </w:rPr>
        <w:t xml:space="preserve"> interventions that strengthen upstream level capacities </w:t>
      </w:r>
      <w:r w:rsidR="0090560E">
        <w:rPr>
          <w:lang w:val="en-ZW"/>
        </w:rPr>
        <w:t>i</w:t>
      </w:r>
      <w:r w:rsidRPr="00361872">
        <w:rPr>
          <w:lang w:val="en-ZW"/>
        </w:rPr>
        <w:t>n bio-diversity conservation</w:t>
      </w:r>
      <w:r>
        <w:rPr>
          <w:lang w:val="en-ZW"/>
        </w:rPr>
        <w:t xml:space="preserve"> (</w:t>
      </w:r>
      <w:r w:rsidRPr="00361872">
        <w:rPr>
          <w:lang w:val="en-ZW"/>
        </w:rPr>
        <w:t>terrestrial and marine</w:t>
      </w:r>
      <w:r>
        <w:rPr>
          <w:lang w:val="en-ZW"/>
        </w:rPr>
        <w:t>)</w:t>
      </w:r>
      <w:r w:rsidR="0090560E">
        <w:rPr>
          <w:lang w:val="en-ZW"/>
        </w:rPr>
        <w:t xml:space="preserve"> and</w:t>
      </w:r>
      <w:r w:rsidRPr="00361872">
        <w:rPr>
          <w:lang w:val="en-ZW"/>
        </w:rPr>
        <w:t xml:space="preserve"> sustainable land management</w:t>
      </w:r>
      <w:r w:rsidR="0090560E">
        <w:rPr>
          <w:lang w:val="en-ZW"/>
        </w:rPr>
        <w:t>,</w:t>
      </w:r>
      <w:r>
        <w:rPr>
          <w:lang w:val="en-ZW"/>
        </w:rPr>
        <w:t xml:space="preserve"> including land tenure</w:t>
      </w:r>
      <w:r w:rsidR="0090560E">
        <w:rPr>
          <w:lang w:val="en-ZW"/>
        </w:rPr>
        <w:t xml:space="preserve">. This will be </w:t>
      </w:r>
      <w:r>
        <w:rPr>
          <w:lang w:val="en-ZW"/>
        </w:rPr>
        <w:t>combined with</w:t>
      </w:r>
      <w:r w:rsidRPr="00361872">
        <w:rPr>
          <w:lang w:val="en-ZW"/>
        </w:rPr>
        <w:t xml:space="preserve"> local level capacity support to improve land use and reduce land</w:t>
      </w:r>
      <w:r>
        <w:rPr>
          <w:lang w:val="en-ZW"/>
        </w:rPr>
        <w:t xml:space="preserve"> </w:t>
      </w:r>
      <w:r w:rsidRPr="00361872">
        <w:rPr>
          <w:lang w:val="en-ZW"/>
        </w:rPr>
        <w:t>degradation and desertification</w:t>
      </w:r>
      <w:r w:rsidR="001E7143">
        <w:rPr>
          <w:lang w:val="en-ZW"/>
        </w:rPr>
        <w:t xml:space="preserve"> and</w:t>
      </w:r>
      <w:r w:rsidRPr="00361872">
        <w:rPr>
          <w:lang w:val="en-ZW"/>
        </w:rPr>
        <w:t xml:space="preserve"> will be coupled with </w:t>
      </w:r>
      <w:r w:rsidR="00BA5FC7">
        <w:rPr>
          <w:lang w:val="en-ZW"/>
        </w:rPr>
        <w:t>work of the</w:t>
      </w:r>
      <w:r w:rsidR="001E7143">
        <w:rPr>
          <w:lang w:val="en-ZW"/>
        </w:rPr>
        <w:t xml:space="preserve"> </w:t>
      </w:r>
      <w:r w:rsidRPr="00361872">
        <w:rPr>
          <w:lang w:val="en-ZW"/>
        </w:rPr>
        <w:t xml:space="preserve">Food and Agricultural Organization </w:t>
      </w:r>
      <w:r w:rsidR="00BA5FC7">
        <w:rPr>
          <w:lang w:val="en-ZW"/>
        </w:rPr>
        <w:t xml:space="preserve">of the United Nations (FAO) </w:t>
      </w:r>
      <w:r w:rsidR="001E7143">
        <w:rPr>
          <w:lang w:val="en-ZW"/>
        </w:rPr>
        <w:t xml:space="preserve">to </w:t>
      </w:r>
      <w:r w:rsidRPr="00361872">
        <w:rPr>
          <w:lang w:val="en-ZW"/>
        </w:rPr>
        <w:t>enhanc</w:t>
      </w:r>
      <w:r w:rsidR="001E7143">
        <w:rPr>
          <w:lang w:val="en-ZW"/>
        </w:rPr>
        <w:t>e</w:t>
      </w:r>
      <w:r w:rsidRPr="00361872">
        <w:rPr>
          <w:lang w:val="en-ZW"/>
        </w:rPr>
        <w:t xml:space="preserve"> land productivity </w:t>
      </w:r>
      <w:r>
        <w:rPr>
          <w:lang w:val="en-ZW"/>
        </w:rPr>
        <w:t>t</w:t>
      </w:r>
      <w:r w:rsidRPr="00361872">
        <w:rPr>
          <w:lang w:val="en-ZW"/>
        </w:rPr>
        <w:t>hrough climate-smart farming practices.</w:t>
      </w:r>
    </w:p>
    <w:p w14:paraId="1C12DD2F" w14:textId="12F85787" w:rsidR="00D01B14" w:rsidRDefault="00D01B14" w:rsidP="0099643B">
      <w:pPr>
        <w:pStyle w:val="ListParagraph"/>
        <w:widowControl w:val="0"/>
        <w:numPr>
          <w:ilvl w:val="0"/>
          <w:numId w:val="36"/>
        </w:numPr>
        <w:shd w:val="clear" w:color="auto" w:fill="FFFFFF"/>
        <w:tabs>
          <w:tab w:val="left" w:pos="1080"/>
        </w:tabs>
        <w:adjustRightInd w:val="0"/>
        <w:spacing w:after="120"/>
        <w:ind w:left="720" w:right="720" w:firstLine="0"/>
        <w:jc w:val="both"/>
        <w:textAlignment w:val="baseline"/>
        <w:rPr>
          <w:lang w:val="en-ZW"/>
        </w:rPr>
      </w:pPr>
      <w:r w:rsidRPr="00361872">
        <w:rPr>
          <w:lang w:val="en-ZW" w:eastAsia="en-ZA"/>
        </w:rPr>
        <w:t xml:space="preserve">In terms of early warning and disaster risk management, UNDP </w:t>
      </w:r>
      <w:r w:rsidR="00D41F01">
        <w:rPr>
          <w:lang w:val="en-ZW" w:eastAsia="en-ZA"/>
        </w:rPr>
        <w:t xml:space="preserve">has </w:t>
      </w:r>
      <w:r w:rsidR="00A57C62">
        <w:rPr>
          <w:lang w:val="en-ZW" w:eastAsia="en-ZA"/>
        </w:rPr>
        <w:t xml:space="preserve">boosted </w:t>
      </w:r>
      <w:r w:rsidR="0084156F">
        <w:rPr>
          <w:lang w:val="en-ZW" w:eastAsia="en-ZA"/>
        </w:rPr>
        <w:t xml:space="preserve">the </w:t>
      </w:r>
      <w:r w:rsidRPr="00361872">
        <w:rPr>
          <w:lang w:val="en-ZW" w:eastAsia="en-ZA"/>
        </w:rPr>
        <w:t xml:space="preserve">climate change adaptation capacity of agro-pastoralists and pastoralists and </w:t>
      </w:r>
      <w:r w:rsidR="00C1731A">
        <w:rPr>
          <w:lang w:val="en-ZW" w:eastAsia="en-ZA"/>
        </w:rPr>
        <w:t xml:space="preserve">supported the </w:t>
      </w:r>
      <w:r w:rsidRPr="00361872">
        <w:rPr>
          <w:lang w:val="en-ZW" w:eastAsia="en-ZA"/>
        </w:rPr>
        <w:t>establish</w:t>
      </w:r>
      <w:r w:rsidR="00C1731A">
        <w:rPr>
          <w:lang w:val="en-ZW" w:eastAsia="en-ZA"/>
        </w:rPr>
        <w:t>ment of</w:t>
      </w:r>
      <w:r w:rsidRPr="00361872">
        <w:rPr>
          <w:lang w:val="en-ZW" w:eastAsia="en-ZA"/>
        </w:rPr>
        <w:t xml:space="preserve"> </w:t>
      </w:r>
      <w:r w:rsidR="00A57C62">
        <w:rPr>
          <w:lang w:val="en-ZW" w:eastAsia="en-ZA"/>
        </w:rPr>
        <w:t>six</w:t>
      </w:r>
      <w:r w:rsidR="00A57C62" w:rsidRPr="00361872">
        <w:rPr>
          <w:lang w:val="en-ZW" w:eastAsia="en-ZA"/>
        </w:rPr>
        <w:t xml:space="preserve"> </w:t>
      </w:r>
      <w:r w:rsidRPr="00361872">
        <w:rPr>
          <w:lang w:val="en-ZW" w:eastAsia="en-ZA"/>
        </w:rPr>
        <w:t>meteorological stations</w:t>
      </w:r>
      <w:r>
        <w:rPr>
          <w:lang w:val="en-ZW" w:eastAsia="en-ZA"/>
        </w:rPr>
        <w:t>, which provide</w:t>
      </w:r>
      <w:r w:rsidRPr="00361872">
        <w:rPr>
          <w:lang w:val="en-ZW" w:eastAsia="en-ZA"/>
        </w:rPr>
        <w:t xml:space="preserve"> weekly </w:t>
      </w:r>
      <w:r>
        <w:rPr>
          <w:lang w:val="en-ZW" w:eastAsia="en-ZA"/>
        </w:rPr>
        <w:t xml:space="preserve">information to more than 10,000 households </w:t>
      </w:r>
      <w:r w:rsidRPr="00361872">
        <w:rPr>
          <w:lang w:val="en-ZW" w:eastAsia="en-ZA"/>
        </w:rPr>
        <w:t xml:space="preserve">to minimize crop and livestock failure. </w:t>
      </w:r>
      <w:r w:rsidRPr="00361872">
        <w:rPr>
          <w:lang w:val="en-ZW"/>
        </w:rPr>
        <w:t xml:space="preserve">UNDP will continue to enhance resilience and disaster risk management at the national and community level by integrating climate change adaptation and mitigation measures into </w:t>
      </w:r>
      <w:r>
        <w:rPr>
          <w:lang w:val="en-ZW"/>
        </w:rPr>
        <w:t xml:space="preserve">local development </w:t>
      </w:r>
      <w:r w:rsidRPr="00361872">
        <w:rPr>
          <w:lang w:val="en-ZW"/>
        </w:rPr>
        <w:t>plans and enhancing early warning systems.</w:t>
      </w:r>
    </w:p>
    <w:p w14:paraId="1ABC08AD" w14:textId="02DB7FE0" w:rsidR="00D01B14" w:rsidRPr="00232E9E" w:rsidRDefault="00D01B14" w:rsidP="0099643B">
      <w:pPr>
        <w:pStyle w:val="ListParagraph"/>
        <w:widowControl w:val="0"/>
        <w:numPr>
          <w:ilvl w:val="0"/>
          <w:numId w:val="36"/>
        </w:numPr>
        <w:shd w:val="clear" w:color="auto" w:fill="FFFFFF"/>
        <w:tabs>
          <w:tab w:val="left" w:pos="1080"/>
        </w:tabs>
        <w:adjustRightInd w:val="0"/>
        <w:spacing w:after="120"/>
        <w:ind w:left="720" w:right="720" w:firstLine="0"/>
        <w:jc w:val="both"/>
        <w:textAlignment w:val="baseline"/>
        <w:rPr>
          <w:lang w:val="en-ZW" w:eastAsia="en-ZA"/>
        </w:rPr>
      </w:pPr>
      <w:r w:rsidRPr="00361872">
        <w:rPr>
          <w:lang w:val="en-ZW" w:eastAsia="en-ZA"/>
        </w:rPr>
        <w:t xml:space="preserve">The effectiveness of this pillar is </w:t>
      </w:r>
      <w:r>
        <w:rPr>
          <w:lang w:val="en-ZW" w:eastAsia="en-ZA"/>
        </w:rPr>
        <w:t xml:space="preserve">partially </w:t>
      </w:r>
      <w:r w:rsidRPr="00361872">
        <w:rPr>
          <w:lang w:val="en-ZW" w:eastAsia="en-ZA"/>
        </w:rPr>
        <w:t xml:space="preserve">dependent on the capacity of the </w:t>
      </w:r>
      <w:r>
        <w:rPr>
          <w:lang w:val="en-ZW" w:eastAsia="en-ZA"/>
        </w:rPr>
        <w:t xml:space="preserve">National Procurement Office </w:t>
      </w:r>
      <w:r w:rsidRPr="00361872">
        <w:rPr>
          <w:lang w:val="en-ZW" w:eastAsia="en-ZA"/>
        </w:rPr>
        <w:t xml:space="preserve">(supported under </w:t>
      </w:r>
      <w:r w:rsidRPr="00361872">
        <w:rPr>
          <w:lang w:val="en-ZW"/>
        </w:rPr>
        <w:t>pillar III)</w:t>
      </w:r>
      <w:r w:rsidRPr="00361872">
        <w:rPr>
          <w:lang w:val="en-ZW" w:eastAsia="en-ZA"/>
        </w:rPr>
        <w:t xml:space="preserve">, as </w:t>
      </w:r>
      <w:r w:rsidR="0084156F">
        <w:rPr>
          <w:lang w:val="en-ZW" w:eastAsia="en-ZA"/>
        </w:rPr>
        <w:t>this office</w:t>
      </w:r>
      <w:r w:rsidR="0084156F" w:rsidRPr="00361872">
        <w:rPr>
          <w:lang w:val="en-ZW" w:eastAsia="en-ZA"/>
        </w:rPr>
        <w:t xml:space="preserve"> </w:t>
      </w:r>
      <w:r>
        <w:rPr>
          <w:lang w:val="en-ZW" w:eastAsia="en-ZA"/>
        </w:rPr>
        <w:t xml:space="preserve">supports </w:t>
      </w:r>
      <w:r w:rsidRPr="00361872">
        <w:rPr>
          <w:lang w:val="en-ZW" w:eastAsia="en-ZA"/>
        </w:rPr>
        <w:t>downstream construction activities in the agricultur</w:t>
      </w:r>
      <w:r w:rsidR="0084156F">
        <w:rPr>
          <w:lang w:val="en-ZW" w:eastAsia="en-ZA"/>
        </w:rPr>
        <w:t>al</w:t>
      </w:r>
      <w:r w:rsidRPr="00361872">
        <w:rPr>
          <w:lang w:val="en-ZW" w:eastAsia="en-ZA"/>
        </w:rPr>
        <w:t xml:space="preserve"> sector. In addition, interventions that open other sectors to private investments, such as food processing (as stipulated in Pillar I) will be </w:t>
      </w:r>
      <w:r>
        <w:rPr>
          <w:lang w:val="en-ZW" w:eastAsia="en-ZA"/>
        </w:rPr>
        <w:t>critical</w:t>
      </w:r>
      <w:r w:rsidRPr="00361872">
        <w:rPr>
          <w:lang w:val="en-ZW" w:eastAsia="en-ZA"/>
        </w:rPr>
        <w:t xml:space="preserve"> to increase demand for agriculture products, </w:t>
      </w:r>
      <w:r>
        <w:rPr>
          <w:lang w:val="en-ZW" w:eastAsia="en-ZA"/>
        </w:rPr>
        <w:t>leading</w:t>
      </w:r>
      <w:r w:rsidRPr="00361872">
        <w:rPr>
          <w:lang w:val="en-ZW" w:eastAsia="en-ZA"/>
        </w:rPr>
        <w:t xml:space="preserve"> to higher income for farmers. </w:t>
      </w:r>
    </w:p>
    <w:p w14:paraId="3AA59BF5" w14:textId="77777777" w:rsidR="00D01B14" w:rsidRPr="00C1731A" w:rsidRDefault="00D01B14" w:rsidP="00613C4E">
      <w:pPr>
        <w:shd w:val="clear" w:color="auto" w:fill="FFFFFF"/>
        <w:spacing w:after="120"/>
        <w:ind w:left="720" w:right="720"/>
        <w:rPr>
          <w:b/>
          <w:sz w:val="24"/>
          <w:szCs w:val="24"/>
          <w:lang w:val="en"/>
        </w:rPr>
      </w:pPr>
      <w:r w:rsidRPr="00C1731A">
        <w:rPr>
          <w:rFonts w:eastAsiaTheme="minorEastAsia"/>
          <w:b/>
          <w:sz w:val="24"/>
          <w:szCs w:val="24"/>
          <w:lang w:val="en-ZW" w:eastAsia="en-ZA"/>
        </w:rPr>
        <w:t xml:space="preserve">Pillar III. </w:t>
      </w:r>
      <w:r w:rsidRPr="00C1731A">
        <w:rPr>
          <w:b/>
          <w:sz w:val="24"/>
          <w:szCs w:val="24"/>
          <w:lang w:val="en"/>
        </w:rPr>
        <w:t>Accountable institutions, public administration and service delivery</w:t>
      </w:r>
    </w:p>
    <w:p w14:paraId="7E5CC7F0" w14:textId="1B42F489" w:rsidR="00D01B14" w:rsidRPr="00D01B14" w:rsidRDefault="00D01B14" w:rsidP="0099643B">
      <w:pPr>
        <w:pStyle w:val="ListParagraph"/>
        <w:widowControl w:val="0"/>
        <w:numPr>
          <w:ilvl w:val="0"/>
          <w:numId w:val="36"/>
        </w:numPr>
        <w:shd w:val="clear" w:color="auto" w:fill="FFFFFF"/>
        <w:tabs>
          <w:tab w:val="left" w:pos="1170"/>
        </w:tabs>
        <w:adjustRightInd w:val="0"/>
        <w:spacing w:after="120"/>
        <w:ind w:left="720" w:right="720" w:firstLine="0"/>
        <w:jc w:val="both"/>
        <w:textAlignment w:val="baseline"/>
        <w:rPr>
          <w:rFonts w:eastAsiaTheme="minorEastAsia"/>
          <w:i/>
          <w:lang w:val="en-ZW" w:eastAsia="en-ZA"/>
        </w:rPr>
      </w:pPr>
      <w:r w:rsidRPr="00F93A95">
        <w:rPr>
          <w:lang w:val="en-ZW"/>
        </w:rPr>
        <w:t>UNDP will seek to strengthen delivery of and access to quality public services, with a focus on unemployed youth and poor populations in rural areas. Lessons learn</w:t>
      </w:r>
      <w:r w:rsidR="00292457">
        <w:rPr>
          <w:lang w:val="en-ZW"/>
        </w:rPr>
        <w:t>ed</w:t>
      </w:r>
      <w:r w:rsidRPr="00F93A95">
        <w:rPr>
          <w:lang w:val="en-ZW"/>
        </w:rPr>
        <w:t xml:space="preserve"> indicate that lack of a comprehensive strategy to support public sector development has rendered interventions ad hoc and sector specific. To address this gap, UNDP will advocate fo</w:t>
      </w:r>
      <w:r>
        <w:rPr>
          <w:lang w:val="en-ZW"/>
        </w:rPr>
        <w:t>r and support development of a</w:t>
      </w:r>
      <w:r w:rsidRPr="00F93A95">
        <w:rPr>
          <w:lang w:val="en-ZW"/>
        </w:rPr>
        <w:t xml:space="preserve"> strategy and institutional framework to facilitate policy coherence and information sharing</w:t>
      </w:r>
      <w:r w:rsidR="00B82E19">
        <w:rPr>
          <w:lang w:val="en-ZW"/>
        </w:rPr>
        <w:t>,</w:t>
      </w:r>
      <w:r w:rsidRPr="00F93A95">
        <w:rPr>
          <w:lang w:val="en-ZW"/>
        </w:rPr>
        <w:t xml:space="preserve"> </w:t>
      </w:r>
      <w:r>
        <w:rPr>
          <w:lang w:val="en-ZW"/>
        </w:rPr>
        <w:t>including</w:t>
      </w:r>
      <w:r w:rsidRPr="00F93A95">
        <w:rPr>
          <w:lang w:val="en-ZW"/>
        </w:rPr>
        <w:t xml:space="preserve"> from emerging partners like</w:t>
      </w:r>
      <w:r w:rsidR="00553E6A">
        <w:rPr>
          <w:lang w:val="en-ZW"/>
        </w:rPr>
        <w:t xml:space="preserve"> the International Fund for Agricultural Development</w:t>
      </w:r>
      <w:r w:rsidRPr="00F93A95">
        <w:rPr>
          <w:lang w:val="en-ZW"/>
        </w:rPr>
        <w:t>, E</w:t>
      </w:r>
      <w:r w:rsidR="006A2070">
        <w:rPr>
          <w:lang w:val="en-ZW"/>
        </w:rPr>
        <w:t xml:space="preserve">uropean </w:t>
      </w:r>
      <w:r w:rsidRPr="00F93A95">
        <w:rPr>
          <w:lang w:val="en-ZW"/>
        </w:rPr>
        <w:t>U</w:t>
      </w:r>
      <w:r w:rsidR="006A2070">
        <w:rPr>
          <w:lang w:val="en-ZW"/>
        </w:rPr>
        <w:t>nion</w:t>
      </w:r>
      <w:r w:rsidRPr="00F93A95">
        <w:rPr>
          <w:lang w:val="en-ZW"/>
        </w:rPr>
        <w:t>,</w:t>
      </w:r>
      <w:r w:rsidR="00C1328E">
        <w:rPr>
          <w:lang w:val="en-ZW"/>
        </w:rPr>
        <w:t xml:space="preserve"> </w:t>
      </w:r>
      <w:r w:rsidR="00C1328E" w:rsidRPr="00C1328E">
        <w:rPr>
          <w:lang w:val="en-ZW"/>
        </w:rPr>
        <w:t xml:space="preserve">African Development Bank </w:t>
      </w:r>
      <w:r w:rsidRPr="00F93A95">
        <w:rPr>
          <w:lang w:val="en-ZW"/>
        </w:rPr>
        <w:t>and other bilateral donors. UNDP will enhance the managerial and technical capacity for public financial management of the Auditor General</w:t>
      </w:r>
      <w:r w:rsidR="00B82E19">
        <w:rPr>
          <w:lang w:val="en-ZW"/>
        </w:rPr>
        <w:t>’s</w:t>
      </w:r>
      <w:r w:rsidRPr="00F93A95">
        <w:rPr>
          <w:lang w:val="en-ZW"/>
        </w:rPr>
        <w:t xml:space="preserve"> office and the Ministry of Finance and promote environmental- and performance-based assessments of line ministries. </w:t>
      </w:r>
    </w:p>
    <w:p w14:paraId="486F3C65" w14:textId="7704F38A" w:rsidR="00D01B14" w:rsidRPr="00D01B14" w:rsidRDefault="00D01B14" w:rsidP="0099643B">
      <w:pPr>
        <w:pStyle w:val="ListParagraph"/>
        <w:widowControl w:val="0"/>
        <w:numPr>
          <w:ilvl w:val="0"/>
          <w:numId w:val="36"/>
        </w:numPr>
        <w:shd w:val="clear" w:color="auto" w:fill="FFFFFF"/>
        <w:tabs>
          <w:tab w:val="left" w:pos="1170"/>
        </w:tabs>
        <w:adjustRightInd w:val="0"/>
        <w:spacing w:after="120"/>
        <w:ind w:left="720" w:right="720" w:firstLine="0"/>
        <w:jc w:val="both"/>
        <w:textAlignment w:val="baseline"/>
        <w:rPr>
          <w:rFonts w:eastAsiaTheme="minorEastAsia"/>
          <w:i/>
          <w:lang w:val="en-ZW" w:eastAsia="en-ZA"/>
        </w:rPr>
      </w:pPr>
      <w:r w:rsidRPr="00F93A95">
        <w:rPr>
          <w:lang w:val="en-ZW"/>
        </w:rPr>
        <w:t xml:space="preserve">The previous </w:t>
      </w:r>
      <w:r w:rsidR="001E0822">
        <w:rPr>
          <w:lang w:val="en-ZW"/>
        </w:rPr>
        <w:t xml:space="preserve">country </w:t>
      </w:r>
      <w:r w:rsidRPr="00F93A95">
        <w:rPr>
          <w:lang w:val="en-ZW"/>
        </w:rPr>
        <w:t>programme demonstrated the amplifying effect of involv</w:t>
      </w:r>
      <w:r w:rsidR="00996A8D">
        <w:rPr>
          <w:lang w:val="en-ZW"/>
        </w:rPr>
        <w:t>ing</w:t>
      </w:r>
      <w:r w:rsidRPr="00F93A95">
        <w:rPr>
          <w:lang w:val="en-ZW"/>
        </w:rPr>
        <w:t xml:space="preserve"> and empower</w:t>
      </w:r>
      <w:r w:rsidR="00996A8D">
        <w:rPr>
          <w:lang w:val="en-ZW"/>
        </w:rPr>
        <w:t xml:space="preserve">ing </w:t>
      </w:r>
      <w:r w:rsidRPr="00F93A95">
        <w:rPr>
          <w:lang w:val="en-ZW"/>
        </w:rPr>
        <w:t>communities in their own devel</w:t>
      </w:r>
      <w:r>
        <w:rPr>
          <w:lang w:val="en-ZW"/>
        </w:rPr>
        <w:t xml:space="preserve">opment. For example, food security </w:t>
      </w:r>
      <w:r w:rsidR="00996A8D">
        <w:rPr>
          <w:lang w:val="en-ZW"/>
        </w:rPr>
        <w:t>improved after</w:t>
      </w:r>
      <w:r w:rsidR="00A57C62">
        <w:rPr>
          <w:lang w:val="en-ZW"/>
        </w:rPr>
        <w:t xml:space="preserve"> </w:t>
      </w:r>
      <w:r>
        <w:rPr>
          <w:lang w:val="en-ZW"/>
        </w:rPr>
        <w:t xml:space="preserve">various micro-dams </w:t>
      </w:r>
      <w:r w:rsidR="00996A8D">
        <w:rPr>
          <w:lang w:val="en-ZW"/>
        </w:rPr>
        <w:t xml:space="preserve">were </w:t>
      </w:r>
      <w:r>
        <w:rPr>
          <w:lang w:val="en-ZW"/>
        </w:rPr>
        <w:t>built and operated with</w:t>
      </w:r>
      <w:r w:rsidR="00996A8D">
        <w:rPr>
          <w:lang w:val="en-ZW"/>
        </w:rPr>
        <w:t xml:space="preserve"> community</w:t>
      </w:r>
      <w:r>
        <w:rPr>
          <w:lang w:val="en-ZW"/>
        </w:rPr>
        <w:t xml:space="preserve"> support (labour and monthly contributions for the irrigation mechanism and maintenance). </w:t>
      </w:r>
      <w:r w:rsidR="00E54E78">
        <w:rPr>
          <w:lang w:val="en-ZW"/>
        </w:rPr>
        <w:t>S</w:t>
      </w:r>
      <w:r w:rsidRPr="00F93A95">
        <w:rPr>
          <w:lang w:val="en-ZW"/>
        </w:rPr>
        <w:t xml:space="preserve">upport at local level will </w:t>
      </w:r>
      <w:r w:rsidR="00A1478B">
        <w:rPr>
          <w:lang w:val="en-ZW"/>
        </w:rPr>
        <w:t>concentrate</w:t>
      </w:r>
      <w:r w:rsidR="00A1478B" w:rsidRPr="00F93A95">
        <w:rPr>
          <w:lang w:val="en-ZW"/>
        </w:rPr>
        <w:t xml:space="preserve"> </w:t>
      </w:r>
      <w:r w:rsidRPr="00F93A95">
        <w:rPr>
          <w:lang w:val="en-ZW"/>
        </w:rPr>
        <w:t xml:space="preserve">on enabling </w:t>
      </w:r>
      <w:r>
        <w:rPr>
          <w:lang w:val="en-ZW"/>
        </w:rPr>
        <w:t xml:space="preserve">community </w:t>
      </w:r>
      <w:r w:rsidRPr="00F93A95">
        <w:rPr>
          <w:lang w:val="en-ZW"/>
        </w:rPr>
        <w:t xml:space="preserve">voice and participation in </w:t>
      </w:r>
      <w:r>
        <w:rPr>
          <w:lang w:val="en-ZW"/>
        </w:rPr>
        <w:t>decisions related to local development planning</w:t>
      </w:r>
      <w:r w:rsidRPr="00F93A95">
        <w:rPr>
          <w:lang w:val="en-ZW"/>
        </w:rPr>
        <w:t xml:space="preserve">. </w:t>
      </w:r>
    </w:p>
    <w:p w14:paraId="6E6CD26B" w14:textId="2EC83484" w:rsidR="00D01B14" w:rsidRDefault="007E154B" w:rsidP="0099643B">
      <w:pPr>
        <w:pStyle w:val="ListParagraph"/>
        <w:widowControl w:val="0"/>
        <w:numPr>
          <w:ilvl w:val="0"/>
          <w:numId w:val="36"/>
        </w:numPr>
        <w:shd w:val="clear" w:color="auto" w:fill="FFFFFF"/>
        <w:tabs>
          <w:tab w:val="left" w:pos="1170"/>
        </w:tabs>
        <w:adjustRightInd w:val="0"/>
        <w:spacing w:after="120"/>
        <w:ind w:left="720" w:right="720" w:firstLine="0"/>
        <w:jc w:val="both"/>
        <w:textAlignment w:val="baseline"/>
        <w:rPr>
          <w:rFonts w:eastAsiaTheme="minorEastAsia"/>
          <w:lang w:val="en-ZW" w:eastAsia="en-ZA"/>
        </w:rPr>
      </w:pPr>
      <w:r>
        <w:rPr>
          <w:rFonts w:eastAsiaTheme="minorEastAsia"/>
          <w:lang w:val="en-ZW" w:eastAsia="en-ZA"/>
        </w:rPr>
        <w:t>Under the previous country programme, t</w:t>
      </w:r>
      <w:r w:rsidR="00D01B14">
        <w:rPr>
          <w:rFonts w:eastAsiaTheme="minorEastAsia"/>
          <w:lang w:val="en-ZW" w:eastAsia="en-ZA"/>
        </w:rPr>
        <w:t>he</w:t>
      </w:r>
      <w:r w:rsidR="00D01B14" w:rsidRPr="00F93A95">
        <w:rPr>
          <w:rFonts w:eastAsiaTheme="minorEastAsia"/>
          <w:lang w:val="en-ZW" w:eastAsia="en-ZA"/>
        </w:rPr>
        <w:t xml:space="preserve"> </w:t>
      </w:r>
      <w:r w:rsidR="00CF45A7" w:rsidRPr="00CF45A7">
        <w:rPr>
          <w:rFonts w:eastAsiaTheme="minorEastAsia"/>
          <w:lang w:val="en-ZW" w:eastAsia="en-ZA"/>
        </w:rPr>
        <w:t>National Union of Eritrean Women</w:t>
      </w:r>
      <w:r w:rsidR="00D01B14">
        <w:rPr>
          <w:rFonts w:eastAsiaTheme="minorEastAsia"/>
          <w:lang w:val="en-ZW" w:eastAsia="en-ZA"/>
        </w:rPr>
        <w:t>,</w:t>
      </w:r>
      <w:r w:rsidR="00D01B14" w:rsidRPr="006965BB">
        <w:rPr>
          <w:rFonts w:eastAsiaTheme="minorEastAsia"/>
          <w:lang w:val="en-ZW" w:eastAsia="en-ZA"/>
        </w:rPr>
        <w:t xml:space="preserve"> </w:t>
      </w:r>
      <w:r w:rsidR="00D01B14">
        <w:rPr>
          <w:rFonts w:eastAsiaTheme="minorEastAsia"/>
          <w:lang w:val="en-ZW" w:eastAsia="en-ZA"/>
        </w:rPr>
        <w:t>with UNDP assistance</w:t>
      </w:r>
      <w:r w:rsidR="00D01B14" w:rsidRPr="00F93A95">
        <w:rPr>
          <w:rFonts w:eastAsiaTheme="minorEastAsia"/>
          <w:lang w:val="en-ZW" w:eastAsia="en-ZA"/>
        </w:rPr>
        <w:t xml:space="preserve">, strengthened its leadership and coordination role </w:t>
      </w:r>
      <w:r w:rsidR="00D01B14">
        <w:rPr>
          <w:rFonts w:eastAsiaTheme="minorEastAsia"/>
          <w:lang w:val="en-ZW" w:eastAsia="en-ZA"/>
        </w:rPr>
        <w:t>to promote</w:t>
      </w:r>
      <w:r w:rsidR="00D01B14" w:rsidRPr="00F93A95">
        <w:rPr>
          <w:rFonts w:eastAsiaTheme="minorEastAsia"/>
          <w:lang w:val="en-ZW" w:eastAsia="en-ZA"/>
        </w:rPr>
        <w:t xml:space="preserve"> gender equality </w:t>
      </w:r>
      <w:r w:rsidR="00D01B14">
        <w:rPr>
          <w:rFonts w:eastAsiaTheme="minorEastAsia"/>
          <w:lang w:val="en-ZW" w:eastAsia="en-ZA"/>
        </w:rPr>
        <w:t xml:space="preserve">across </w:t>
      </w:r>
      <w:r w:rsidR="00065023">
        <w:rPr>
          <w:rFonts w:eastAsiaTheme="minorEastAsia"/>
          <w:lang w:val="en-ZW" w:eastAsia="en-ZA"/>
        </w:rPr>
        <w:t>m</w:t>
      </w:r>
      <w:r w:rsidR="00D01B14">
        <w:rPr>
          <w:rFonts w:eastAsiaTheme="minorEastAsia"/>
          <w:lang w:val="en-ZW" w:eastAsia="en-ZA"/>
        </w:rPr>
        <w:t>inistries and</w:t>
      </w:r>
      <w:r w:rsidR="00D01B14" w:rsidRPr="00F93A95">
        <w:rPr>
          <w:rFonts w:eastAsiaTheme="minorEastAsia"/>
          <w:lang w:val="en-ZW" w:eastAsia="en-ZA"/>
        </w:rPr>
        <w:t xml:space="preserve"> departments.</w:t>
      </w:r>
      <w:r w:rsidR="00D01B14">
        <w:rPr>
          <w:rFonts w:eastAsiaTheme="minorEastAsia"/>
          <w:lang w:val="en-ZW" w:eastAsia="en-ZA"/>
        </w:rPr>
        <w:t xml:space="preserve"> </w:t>
      </w:r>
      <w:r w:rsidR="00D01B14" w:rsidRPr="00F93A95">
        <w:rPr>
          <w:rFonts w:eastAsiaTheme="minorEastAsia"/>
          <w:lang w:val="en-ZW" w:eastAsia="en-ZA"/>
        </w:rPr>
        <w:t xml:space="preserve">UNDP provided support to the </w:t>
      </w:r>
      <w:r w:rsidR="00DA5BAA">
        <w:rPr>
          <w:rFonts w:eastAsiaTheme="minorEastAsia"/>
          <w:lang w:val="en-ZW" w:eastAsia="en-ZA"/>
        </w:rPr>
        <w:t>G</w:t>
      </w:r>
      <w:r w:rsidR="00D01B14" w:rsidRPr="00F93A95">
        <w:rPr>
          <w:rFonts w:eastAsiaTheme="minorEastAsia"/>
          <w:lang w:val="en-ZW" w:eastAsia="en-ZA"/>
        </w:rPr>
        <w:t xml:space="preserve">overnment to appoint focal points on </w:t>
      </w:r>
      <w:r w:rsidR="00D01B14">
        <w:rPr>
          <w:rFonts w:eastAsiaTheme="minorEastAsia"/>
          <w:lang w:val="en-ZW" w:eastAsia="en-ZA"/>
        </w:rPr>
        <w:t>g</w:t>
      </w:r>
      <w:r w:rsidR="00D01B14" w:rsidRPr="00F93A95">
        <w:rPr>
          <w:rFonts w:eastAsiaTheme="minorEastAsia"/>
          <w:lang w:val="en-ZW" w:eastAsia="en-ZA"/>
        </w:rPr>
        <w:t>ender (</w:t>
      </w:r>
      <w:r w:rsidR="0079099B">
        <w:rPr>
          <w:rFonts w:eastAsiaTheme="minorEastAsia"/>
          <w:lang w:val="en-ZW" w:eastAsia="en-ZA"/>
        </w:rPr>
        <w:t>six</w:t>
      </w:r>
      <w:r w:rsidR="00D01B14" w:rsidRPr="00F93A95">
        <w:rPr>
          <w:rFonts w:eastAsiaTheme="minorEastAsia"/>
          <w:lang w:val="en-ZW" w:eastAsia="en-ZA"/>
        </w:rPr>
        <w:t xml:space="preserve"> ministries), develop gender mainstreaming strategies (</w:t>
      </w:r>
      <w:r w:rsidR="0079099B">
        <w:rPr>
          <w:rFonts w:eastAsiaTheme="minorEastAsia"/>
          <w:lang w:val="en-ZW" w:eastAsia="en-ZA"/>
        </w:rPr>
        <w:t>five</w:t>
      </w:r>
      <w:r w:rsidR="00D01B14" w:rsidRPr="00F93A95">
        <w:rPr>
          <w:rFonts w:eastAsiaTheme="minorEastAsia"/>
          <w:lang w:val="en-ZW" w:eastAsia="en-ZA"/>
        </w:rPr>
        <w:t xml:space="preserve"> ministries) and action plans (</w:t>
      </w:r>
      <w:r w:rsidR="0079099B">
        <w:rPr>
          <w:rFonts w:eastAsiaTheme="minorEastAsia"/>
          <w:lang w:val="en-ZW" w:eastAsia="en-ZA"/>
        </w:rPr>
        <w:t>four</w:t>
      </w:r>
      <w:r w:rsidR="00D01B14" w:rsidRPr="00F93A95">
        <w:rPr>
          <w:rFonts w:eastAsiaTheme="minorEastAsia"/>
          <w:lang w:val="en-ZW" w:eastAsia="en-ZA"/>
        </w:rPr>
        <w:t xml:space="preserve"> ministries)</w:t>
      </w:r>
      <w:r w:rsidR="00D01B14" w:rsidRPr="00F93A95">
        <w:rPr>
          <w:rStyle w:val="FootnoteReference"/>
          <w:rFonts w:eastAsiaTheme="minorEastAsia"/>
          <w:lang w:val="en-ZW" w:eastAsia="en-ZA"/>
        </w:rPr>
        <w:footnoteReference w:id="6"/>
      </w:r>
      <w:r w:rsidR="00D01B14" w:rsidRPr="00F93A95">
        <w:rPr>
          <w:rFonts w:eastAsiaTheme="minorEastAsia"/>
          <w:lang w:val="en-ZW" w:eastAsia="en-ZA"/>
        </w:rPr>
        <w:t xml:space="preserve">. UNDP will continue promoting gender equality by supporting the </w:t>
      </w:r>
      <w:r w:rsidR="00DA5BAA">
        <w:rPr>
          <w:rFonts w:eastAsiaTheme="minorEastAsia"/>
          <w:lang w:val="en-ZW" w:eastAsia="en-ZA"/>
        </w:rPr>
        <w:t>G</w:t>
      </w:r>
      <w:r w:rsidR="00D01B14" w:rsidRPr="00F93A95">
        <w:rPr>
          <w:rFonts w:eastAsiaTheme="minorEastAsia"/>
          <w:lang w:val="en-ZW" w:eastAsia="en-ZA"/>
        </w:rPr>
        <w:t xml:space="preserve">overnment </w:t>
      </w:r>
      <w:r w:rsidR="006951D4">
        <w:rPr>
          <w:rFonts w:eastAsiaTheme="minorEastAsia"/>
          <w:lang w:val="en-ZW" w:eastAsia="en-ZA"/>
        </w:rPr>
        <w:t>to</w:t>
      </w:r>
      <w:r w:rsidR="006951D4" w:rsidRPr="00F93A95">
        <w:rPr>
          <w:rFonts w:eastAsiaTheme="minorEastAsia"/>
          <w:lang w:val="en-ZW" w:eastAsia="en-ZA"/>
        </w:rPr>
        <w:t xml:space="preserve"> </w:t>
      </w:r>
      <w:r w:rsidR="00D01B14" w:rsidRPr="00F93A95">
        <w:rPr>
          <w:rFonts w:eastAsiaTheme="minorEastAsia"/>
          <w:lang w:val="en-ZW" w:eastAsia="en-ZA"/>
        </w:rPr>
        <w:t>produc</w:t>
      </w:r>
      <w:r w:rsidR="006951D4">
        <w:rPr>
          <w:rFonts w:eastAsiaTheme="minorEastAsia"/>
          <w:lang w:val="en-ZW" w:eastAsia="en-ZA"/>
        </w:rPr>
        <w:t>e</w:t>
      </w:r>
      <w:r w:rsidR="00D01B14" w:rsidRPr="00F93A95">
        <w:rPr>
          <w:rFonts w:eastAsiaTheme="minorEastAsia"/>
          <w:lang w:val="en-ZW" w:eastAsia="en-ZA"/>
        </w:rPr>
        <w:t xml:space="preserve"> baseline data on gender</w:t>
      </w:r>
      <w:r w:rsidR="006951D4">
        <w:rPr>
          <w:rFonts w:eastAsiaTheme="minorEastAsia"/>
          <w:lang w:val="en-ZW" w:eastAsia="en-ZA"/>
        </w:rPr>
        <w:t>,</w:t>
      </w:r>
      <w:r w:rsidR="006951D4" w:rsidRPr="00F93A95">
        <w:rPr>
          <w:rFonts w:eastAsiaTheme="minorEastAsia"/>
          <w:lang w:val="en-ZW" w:eastAsia="en-ZA"/>
        </w:rPr>
        <w:t xml:space="preserve"> </w:t>
      </w:r>
      <w:r w:rsidR="00D01B14" w:rsidRPr="00F93A95">
        <w:rPr>
          <w:rFonts w:eastAsiaTheme="minorEastAsia"/>
          <w:lang w:val="en-ZW" w:eastAsia="en-ZA"/>
        </w:rPr>
        <w:t>designation of gender focal points</w:t>
      </w:r>
      <w:r w:rsidR="006951D4">
        <w:rPr>
          <w:rFonts w:eastAsiaTheme="minorEastAsia"/>
          <w:lang w:val="en-ZW" w:eastAsia="en-ZA"/>
        </w:rPr>
        <w:t>,</w:t>
      </w:r>
      <w:r w:rsidR="00D01B14" w:rsidRPr="00F93A95">
        <w:rPr>
          <w:rFonts w:eastAsiaTheme="minorEastAsia"/>
          <w:lang w:val="en-ZW" w:eastAsia="en-ZA"/>
        </w:rPr>
        <w:t xml:space="preserve"> gender budgeting and </w:t>
      </w:r>
      <w:r w:rsidR="00D01B14">
        <w:rPr>
          <w:rFonts w:eastAsiaTheme="minorEastAsia"/>
          <w:lang w:val="en-ZW" w:eastAsia="en-ZA"/>
        </w:rPr>
        <w:t xml:space="preserve">advocacy </w:t>
      </w:r>
      <w:r w:rsidR="00D01B14" w:rsidRPr="00F93A95">
        <w:rPr>
          <w:rFonts w:eastAsiaTheme="minorEastAsia"/>
          <w:lang w:val="en-ZW" w:eastAsia="en-ZA"/>
        </w:rPr>
        <w:t xml:space="preserve">and training in </w:t>
      </w:r>
      <w:r w:rsidR="00D01B14">
        <w:rPr>
          <w:rFonts w:eastAsiaTheme="minorEastAsia"/>
          <w:lang w:val="en-ZW" w:eastAsia="en-ZA"/>
        </w:rPr>
        <w:t>g</w:t>
      </w:r>
      <w:r w:rsidR="00D01B14" w:rsidRPr="00F93A95">
        <w:rPr>
          <w:rFonts w:eastAsiaTheme="minorEastAsia"/>
          <w:lang w:val="en-ZW" w:eastAsia="en-ZA"/>
        </w:rPr>
        <w:t>ender mainstreaming.</w:t>
      </w:r>
    </w:p>
    <w:p w14:paraId="5FD14A01" w14:textId="2435A646" w:rsidR="00D01B14" w:rsidRDefault="00D01B14" w:rsidP="0099643B">
      <w:pPr>
        <w:pStyle w:val="ListParagraph"/>
        <w:widowControl w:val="0"/>
        <w:numPr>
          <w:ilvl w:val="0"/>
          <w:numId w:val="36"/>
        </w:numPr>
        <w:shd w:val="clear" w:color="auto" w:fill="FFFFFF"/>
        <w:tabs>
          <w:tab w:val="left" w:pos="1170"/>
        </w:tabs>
        <w:adjustRightInd w:val="0"/>
        <w:spacing w:after="120"/>
        <w:ind w:left="720" w:right="720" w:firstLine="0"/>
        <w:jc w:val="both"/>
        <w:textAlignment w:val="baseline"/>
        <w:rPr>
          <w:rFonts w:eastAsiaTheme="minorEastAsia"/>
          <w:lang w:val="en-ZW" w:eastAsia="en-ZA"/>
        </w:rPr>
      </w:pPr>
      <w:r>
        <w:rPr>
          <w:rFonts w:eastAsiaTheme="minorEastAsia"/>
          <w:lang w:val="en-ZW" w:eastAsia="en-ZA"/>
        </w:rPr>
        <w:t>I</w:t>
      </w:r>
      <w:r w:rsidRPr="00F93A95">
        <w:rPr>
          <w:rFonts w:eastAsiaTheme="minorEastAsia"/>
          <w:lang w:val="en-ZW" w:eastAsia="en-ZA"/>
        </w:rPr>
        <w:t xml:space="preserve">n 2015, UNDP </w:t>
      </w:r>
      <w:r>
        <w:rPr>
          <w:rFonts w:eastAsiaTheme="minorEastAsia"/>
          <w:lang w:val="en-ZW" w:eastAsia="en-ZA"/>
        </w:rPr>
        <w:t>su</w:t>
      </w:r>
      <w:r w:rsidRPr="00F93A95">
        <w:rPr>
          <w:rFonts w:eastAsiaTheme="minorEastAsia"/>
          <w:lang w:val="en-ZW" w:eastAsia="en-ZA"/>
        </w:rPr>
        <w:t xml:space="preserve">pported </w:t>
      </w:r>
      <w:r w:rsidR="007E154B">
        <w:rPr>
          <w:rFonts w:eastAsiaTheme="minorEastAsia"/>
          <w:lang w:val="en-ZW" w:eastAsia="en-ZA"/>
        </w:rPr>
        <w:t xml:space="preserve">preparations for </w:t>
      </w:r>
      <w:r>
        <w:rPr>
          <w:rFonts w:eastAsiaTheme="minorEastAsia"/>
          <w:lang w:val="en-ZW" w:eastAsia="en-ZA"/>
        </w:rPr>
        <w:t>the</w:t>
      </w:r>
      <w:r w:rsidRPr="00F93A95">
        <w:rPr>
          <w:rFonts w:eastAsiaTheme="minorEastAsia"/>
          <w:lang w:val="en-ZW" w:eastAsia="en-ZA"/>
        </w:rPr>
        <w:t xml:space="preserve"> </w:t>
      </w:r>
      <w:r w:rsidR="000A6D93">
        <w:rPr>
          <w:lang w:val="en-ZW"/>
        </w:rPr>
        <w:t>Universal Periodic Review</w:t>
      </w:r>
      <w:r w:rsidRPr="00F93A95">
        <w:rPr>
          <w:rFonts w:eastAsiaTheme="minorEastAsia"/>
          <w:lang w:val="en-ZW" w:eastAsia="en-ZA"/>
        </w:rPr>
        <w:t xml:space="preserve">, the development of an implementation plan and the establishment of a coordination structure. These are important </w:t>
      </w:r>
      <w:r>
        <w:rPr>
          <w:rFonts w:eastAsiaTheme="minorEastAsia"/>
          <w:lang w:val="en-ZW" w:eastAsia="en-ZA"/>
        </w:rPr>
        <w:t>anchors to advance human rights</w:t>
      </w:r>
      <w:r w:rsidR="007E154B">
        <w:rPr>
          <w:rFonts w:eastAsiaTheme="minorEastAsia"/>
          <w:lang w:val="en-ZW" w:eastAsia="en-ZA"/>
        </w:rPr>
        <w:t>.</w:t>
      </w:r>
      <w:r w:rsidRPr="00F93A95">
        <w:rPr>
          <w:rFonts w:eastAsiaTheme="minorEastAsia"/>
          <w:lang w:val="en-ZW" w:eastAsia="en-ZA"/>
        </w:rPr>
        <w:t xml:space="preserve"> UNDP will advocate for continued participation</w:t>
      </w:r>
      <w:r w:rsidR="00DA5BAA">
        <w:rPr>
          <w:rFonts w:eastAsiaTheme="minorEastAsia"/>
          <w:lang w:val="en-ZW" w:eastAsia="en-ZA"/>
        </w:rPr>
        <w:t xml:space="preserve"> of the G</w:t>
      </w:r>
      <w:r w:rsidR="00C153DC">
        <w:rPr>
          <w:rFonts w:eastAsiaTheme="minorEastAsia"/>
          <w:lang w:val="en-ZW" w:eastAsia="en-ZA"/>
        </w:rPr>
        <w:t>overnment</w:t>
      </w:r>
      <w:r w:rsidRPr="00F93A95">
        <w:rPr>
          <w:rFonts w:eastAsiaTheme="minorEastAsia"/>
          <w:lang w:val="en-ZW" w:eastAsia="en-ZA"/>
        </w:rPr>
        <w:t xml:space="preserve"> in the </w:t>
      </w:r>
      <w:r w:rsidR="000A6D93">
        <w:rPr>
          <w:lang w:val="en-ZW"/>
        </w:rPr>
        <w:t>Universal Periodic Review</w:t>
      </w:r>
      <w:r w:rsidRPr="00F93A95">
        <w:rPr>
          <w:rFonts w:eastAsiaTheme="minorEastAsia"/>
          <w:lang w:val="en-ZW" w:eastAsia="en-ZA"/>
        </w:rPr>
        <w:t xml:space="preserve"> and assist in implementing the 92 accepted recommendations.</w:t>
      </w:r>
      <w:r w:rsidRPr="00F93A95">
        <w:rPr>
          <w:rStyle w:val="FootnoteReference"/>
          <w:rFonts w:eastAsiaTheme="minorEastAsia"/>
          <w:lang w:val="en-ZW" w:eastAsia="en-ZA"/>
        </w:rPr>
        <w:footnoteReference w:id="7"/>
      </w:r>
      <w:r w:rsidRPr="00F93A95">
        <w:rPr>
          <w:rFonts w:eastAsiaTheme="minorEastAsia"/>
          <w:lang w:val="en-ZW" w:eastAsia="en-ZA"/>
        </w:rPr>
        <w:t xml:space="preserve"> UNDP will continue supporting the </w:t>
      </w:r>
      <w:r w:rsidR="00DA5BAA">
        <w:rPr>
          <w:rFonts w:eastAsiaTheme="minorEastAsia"/>
          <w:lang w:val="en-ZW" w:eastAsia="en-ZA"/>
        </w:rPr>
        <w:t>G</w:t>
      </w:r>
      <w:r w:rsidRPr="00F93A95">
        <w:rPr>
          <w:rFonts w:eastAsiaTheme="minorEastAsia"/>
          <w:lang w:val="en-ZW" w:eastAsia="en-ZA"/>
        </w:rPr>
        <w:t xml:space="preserve">overnment </w:t>
      </w:r>
      <w:r w:rsidR="00F91D88">
        <w:rPr>
          <w:rFonts w:eastAsiaTheme="minorEastAsia"/>
          <w:lang w:val="en-ZW" w:eastAsia="en-ZA"/>
        </w:rPr>
        <w:t xml:space="preserve">to </w:t>
      </w:r>
      <w:r w:rsidRPr="00F93A95">
        <w:rPr>
          <w:rFonts w:eastAsiaTheme="minorEastAsia"/>
          <w:lang w:val="en-ZW" w:eastAsia="en-ZA"/>
        </w:rPr>
        <w:t xml:space="preserve">mainstream human rights </w:t>
      </w:r>
      <w:r w:rsidRPr="00F93A95">
        <w:rPr>
          <w:rFonts w:eastAsiaTheme="minorEastAsia"/>
          <w:lang w:val="en-ZW" w:eastAsia="en-ZA"/>
        </w:rPr>
        <w:lastRenderedPageBreak/>
        <w:t xml:space="preserve">and enhance engagement with the international community, </w:t>
      </w:r>
      <w:r w:rsidR="00F91D88">
        <w:rPr>
          <w:rFonts w:eastAsiaTheme="minorEastAsia"/>
          <w:lang w:val="en-ZW" w:eastAsia="en-ZA"/>
        </w:rPr>
        <w:t>such as with</w:t>
      </w:r>
      <w:r>
        <w:rPr>
          <w:rFonts w:eastAsiaTheme="minorEastAsia"/>
          <w:lang w:val="en-ZW" w:eastAsia="en-ZA"/>
        </w:rPr>
        <w:t xml:space="preserve"> </w:t>
      </w:r>
      <w:r w:rsidR="007D03B1">
        <w:rPr>
          <w:rFonts w:eastAsiaTheme="minorEastAsia"/>
          <w:lang w:val="en-ZW" w:eastAsia="en-ZA"/>
        </w:rPr>
        <w:t>OHCHR</w:t>
      </w:r>
      <w:r w:rsidRPr="00F93A95">
        <w:rPr>
          <w:rFonts w:eastAsiaTheme="minorEastAsia"/>
          <w:lang w:val="en-ZW" w:eastAsia="en-ZA"/>
        </w:rPr>
        <w:t xml:space="preserve">.  </w:t>
      </w:r>
    </w:p>
    <w:p w14:paraId="7B11015F" w14:textId="523AAB09" w:rsidR="00D01B14" w:rsidRPr="00AC2EA7" w:rsidRDefault="00D01B14" w:rsidP="0099643B">
      <w:pPr>
        <w:pStyle w:val="ListParagraph"/>
        <w:widowControl w:val="0"/>
        <w:numPr>
          <w:ilvl w:val="0"/>
          <w:numId w:val="36"/>
        </w:numPr>
        <w:shd w:val="clear" w:color="auto" w:fill="FFFFFF"/>
        <w:tabs>
          <w:tab w:val="left" w:pos="1170"/>
        </w:tabs>
        <w:adjustRightInd w:val="0"/>
        <w:ind w:left="720" w:right="720" w:firstLine="0"/>
        <w:jc w:val="both"/>
        <w:textAlignment w:val="baseline"/>
        <w:rPr>
          <w:rFonts w:eastAsiaTheme="minorEastAsia"/>
          <w:i/>
          <w:lang w:val="en-ZW" w:eastAsia="en-ZA"/>
        </w:rPr>
      </w:pPr>
      <w:r w:rsidRPr="00F93A95">
        <w:rPr>
          <w:rFonts w:eastAsiaTheme="minorEastAsia"/>
          <w:lang w:val="en-ZW" w:eastAsia="en-ZA"/>
        </w:rPr>
        <w:t>Availability of reliable data</w:t>
      </w:r>
      <w:r>
        <w:rPr>
          <w:rFonts w:eastAsiaTheme="minorEastAsia"/>
          <w:lang w:val="en-ZW" w:eastAsia="en-ZA"/>
        </w:rPr>
        <w:t>, accountability</w:t>
      </w:r>
      <w:r w:rsidRPr="00F93A95">
        <w:rPr>
          <w:rFonts w:eastAsiaTheme="minorEastAsia"/>
          <w:lang w:val="en-ZW" w:eastAsia="en-ZA"/>
        </w:rPr>
        <w:t xml:space="preserve"> and downstream implementation capacity have been identified as </w:t>
      </w:r>
      <w:r w:rsidR="00306B66">
        <w:rPr>
          <w:rFonts w:eastAsiaTheme="minorEastAsia"/>
          <w:lang w:val="en-ZW" w:eastAsia="en-ZA"/>
        </w:rPr>
        <w:t xml:space="preserve">three </w:t>
      </w:r>
      <w:r w:rsidRPr="00F93A95">
        <w:rPr>
          <w:rFonts w:eastAsiaTheme="minorEastAsia"/>
          <w:lang w:val="en-ZW" w:eastAsia="en-ZA"/>
        </w:rPr>
        <w:t>critical enablers</w:t>
      </w:r>
      <w:r>
        <w:rPr>
          <w:rFonts w:eastAsiaTheme="minorEastAsia"/>
          <w:lang w:val="en-ZW" w:eastAsia="en-ZA"/>
        </w:rPr>
        <w:t xml:space="preserve"> for implementation of the Sustainable Development Goals</w:t>
      </w:r>
      <w:r w:rsidRPr="00F93A95">
        <w:rPr>
          <w:rFonts w:eastAsiaTheme="minorEastAsia"/>
          <w:lang w:val="en-ZW" w:eastAsia="en-ZA"/>
        </w:rPr>
        <w:t xml:space="preserve">. </w:t>
      </w:r>
      <w:r>
        <w:rPr>
          <w:rFonts w:eastAsiaTheme="minorEastAsia"/>
          <w:lang w:val="en-ZW" w:eastAsia="en-ZA"/>
        </w:rPr>
        <w:t>T</w:t>
      </w:r>
      <w:r w:rsidRPr="00F93A95">
        <w:rPr>
          <w:rFonts w:eastAsiaTheme="minorEastAsia"/>
          <w:lang w:val="en-ZW" w:eastAsia="en-ZA"/>
        </w:rPr>
        <w:t xml:space="preserve">he proposed programme </w:t>
      </w:r>
      <w:r>
        <w:rPr>
          <w:rFonts w:eastAsiaTheme="minorEastAsia"/>
          <w:lang w:val="en-ZW" w:eastAsia="en-ZA"/>
        </w:rPr>
        <w:t>will develop the capacity of the</w:t>
      </w:r>
      <w:r w:rsidR="00306B66">
        <w:rPr>
          <w:rFonts w:eastAsiaTheme="minorEastAsia"/>
          <w:lang w:val="en-ZW" w:eastAsia="en-ZA"/>
        </w:rPr>
        <w:t>se</w:t>
      </w:r>
      <w:r>
        <w:rPr>
          <w:rFonts w:eastAsiaTheme="minorEastAsia"/>
          <w:lang w:val="en-ZW" w:eastAsia="en-ZA"/>
        </w:rPr>
        <w:t xml:space="preserve"> three critical enablers.</w:t>
      </w:r>
      <w:r w:rsidRPr="00F93A95">
        <w:rPr>
          <w:rFonts w:eastAsiaTheme="minorEastAsia"/>
          <w:lang w:val="en-ZW" w:eastAsia="en-ZA"/>
        </w:rPr>
        <w:t xml:space="preserve"> UNDP will pursue an initiative to </w:t>
      </w:r>
      <w:r>
        <w:rPr>
          <w:rFonts w:eastAsiaTheme="minorEastAsia"/>
          <w:lang w:val="en-ZW" w:eastAsia="en-ZA"/>
        </w:rPr>
        <w:t xml:space="preserve">support </w:t>
      </w:r>
      <w:r w:rsidRPr="00F93A95">
        <w:rPr>
          <w:rFonts w:eastAsiaTheme="minorEastAsia"/>
          <w:lang w:val="en-ZW" w:eastAsia="en-ZA"/>
        </w:rPr>
        <w:t xml:space="preserve">international procurement </w:t>
      </w:r>
      <w:r>
        <w:rPr>
          <w:rFonts w:eastAsiaTheme="minorEastAsia"/>
          <w:lang w:val="en-ZW" w:eastAsia="en-ZA"/>
        </w:rPr>
        <w:t xml:space="preserve">processes </w:t>
      </w:r>
      <w:r w:rsidRPr="00F93A95">
        <w:rPr>
          <w:rFonts w:eastAsiaTheme="minorEastAsia"/>
          <w:lang w:val="en-ZW" w:eastAsia="en-ZA"/>
        </w:rPr>
        <w:t>to resolve operational bottlenecks</w:t>
      </w:r>
      <w:r w:rsidR="00F858C4">
        <w:rPr>
          <w:rFonts w:eastAsiaTheme="minorEastAsia"/>
          <w:lang w:val="en-ZW" w:eastAsia="en-ZA"/>
        </w:rPr>
        <w:t>, as</w:t>
      </w:r>
      <w:r w:rsidRPr="00F93A95">
        <w:rPr>
          <w:rFonts w:eastAsiaTheme="minorEastAsia"/>
          <w:lang w:val="en-ZW" w:eastAsia="en-ZA"/>
        </w:rPr>
        <w:t xml:space="preserve"> stipulated in the 2014 country programme review.</w:t>
      </w:r>
      <w:r w:rsidRPr="00F93A95">
        <w:rPr>
          <w:lang w:val="en-ZW"/>
        </w:rPr>
        <w:t xml:space="preserve"> </w:t>
      </w:r>
    </w:p>
    <w:p w14:paraId="559D39B4" w14:textId="77777777" w:rsidR="00D01B14" w:rsidRDefault="00D01B14" w:rsidP="00613C4E">
      <w:pPr>
        <w:ind w:left="720" w:right="720"/>
        <w:jc w:val="both"/>
        <w:rPr>
          <w:color w:val="000000"/>
        </w:rPr>
      </w:pPr>
    </w:p>
    <w:p w14:paraId="2440D3F7" w14:textId="37ACF567" w:rsidR="0063402B" w:rsidRDefault="0063402B" w:rsidP="0099643B">
      <w:pPr>
        <w:pStyle w:val="Heading1"/>
        <w:numPr>
          <w:ilvl w:val="0"/>
          <w:numId w:val="38"/>
        </w:numPr>
        <w:tabs>
          <w:tab w:val="left" w:pos="1800"/>
        </w:tabs>
        <w:ind w:left="720" w:right="720" w:hanging="630"/>
        <w:jc w:val="both"/>
        <w:rPr>
          <w:rFonts w:ascii="Times New Roman" w:hAnsi="Times New Roman"/>
          <w:color w:val="000000"/>
          <w:szCs w:val="28"/>
        </w:rPr>
      </w:pPr>
      <w:r w:rsidRPr="00747AFF">
        <w:rPr>
          <w:rFonts w:ascii="Times New Roman" w:hAnsi="Times New Roman"/>
          <w:color w:val="000000"/>
          <w:szCs w:val="28"/>
          <w:lang w:val="en-US"/>
        </w:rPr>
        <w:t xml:space="preserve">Programme and </w:t>
      </w:r>
      <w:r w:rsidR="00613C4E" w:rsidRPr="00747AFF">
        <w:rPr>
          <w:rFonts w:ascii="Times New Roman" w:hAnsi="Times New Roman"/>
          <w:color w:val="000000"/>
          <w:szCs w:val="28"/>
          <w:lang w:val="en-US"/>
        </w:rPr>
        <w:t>r</w:t>
      </w:r>
      <w:r w:rsidRPr="00747AFF">
        <w:rPr>
          <w:rFonts w:ascii="Times New Roman" w:hAnsi="Times New Roman"/>
          <w:color w:val="000000"/>
          <w:szCs w:val="28"/>
          <w:lang w:val="en-US"/>
        </w:rPr>
        <w:t>isk</w:t>
      </w:r>
      <w:r w:rsidR="00AC1BE7" w:rsidRPr="00747AFF">
        <w:rPr>
          <w:rFonts w:ascii="Times New Roman" w:hAnsi="Times New Roman"/>
          <w:color w:val="000000"/>
          <w:szCs w:val="28"/>
          <w:lang w:val="en-US"/>
        </w:rPr>
        <w:t xml:space="preserve"> </w:t>
      </w:r>
      <w:r w:rsidR="00613C4E" w:rsidRPr="00747AFF">
        <w:rPr>
          <w:rFonts w:ascii="Times New Roman" w:hAnsi="Times New Roman"/>
          <w:color w:val="000000"/>
          <w:szCs w:val="28"/>
          <w:lang w:val="en-US"/>
        </w:rPr>
        <w:t>m</w:t>
      </w:r>
      <w:r w:rsidR="001C6C08" w:rsidRPr="00747AFF">
        <w:rPr>
          <w:rFonts w:ascii="Times New Roman" w:hAnsi="Times New Roman"/>
          <w:color w:val="000000"/>
          <w:szCs w:val="28"/>
          <w:lang w:val="en-US"/>
        </w:rPr>
        <w:t>anagement</w:t>
      </w:r>
      <w:r w:rsidRPr="00747AFF">
        <w:rPr>
          <w:rFonts w:ascii="Times New Roman" w:hAnsi="Times New Roman"/>
          <w:color w:val="000000"/>
          <w:szCs w:val="28"/>
        </w:rPr>
        <w:t xml:space="preserve"> </w:t>
      </w:r>
    </w:p>
    <w:p w14:paraId="144F118B" w14:textId="77777777" w:rsidR="00074F5C" w:rsidRPr="00074F5C" w:rsidRDefault="00074F5C" w:rsidP="00074F5C">
      <w:pPr>
        <w:rPr>
          <w:lang w:val="x-none" w:eastAsia="x-none"/>
        </w:rPr>
      </w:pPr>
    </w:p>
    <w:p w14:paraId="4B5DD52B" w14:textId="2E86B043" w:rsidR="00D01B14" w:rsidRPr="00D01B14" w:rsidRDefault="00D01B14" w:rsidP="0099643B">
      <w:pPr>
        <w:pStyle w:val="ListParagraph"/>
        <w:numPr>
          <w:ilvl w:val="0"/>
          <w:numId w:val="36"/>
        </w:numPr>
        <w:tabs>
          <w:tab w:val="left" w:pos="1080"/>
        </w:tabs>
        <w:spacing w:after="120"/>
        <w:ind w:left="720" w:right="720" w:firstLine="0"/>
        <w:jc w:val="both"/>
        <w:rPr>
          <w:lang w:val="en-ZW"/>
        </w:rPr>
      </w:pPr>
      <w:r w:rsidRPr="00D01B14">
        <w:rPr>
          <w:color w:val="000000"/>
          <w:lang w:val="en-ZW"/>
        </w:rPr>
        <w:t xml:space="preserve">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w:t>
      </w:r>
      <w:r w:rsidRPr="00D01B14">
        <w:rPr>
          <w:lang w:val="en-ZW"/>
        </w:rPr>
        <w:t xml:space="preserve">organization </w:t>
      </w:r>
      <w:hyperlink r:id="rId17" w:history="1">
        <w:r w:rsidRPr="00D01B14">
          <w:rPr>
            <w:lang w:val="en-ZW"/>
          </w:rPr>
          <w:t>programme and operations policies and procedures</w:t>
        </w:r>
      </w:hyperlink>
      <w:r w:rsidRPr="00D01B14">
        <w:rPr>
          <w:lang w:val="en-ZW"/>
        </w:rPr>
        <w:t xml:space="preserve"> and the </w:t>
      </w:r>
      <w:hyperlink r:id="rId18" w:history="1">
        <w:r w:rsidRPr="00D01B14">
          <w:rPr>
            <w:lang w:val="en-ZW"/>
          </w:rPr>
          <w:t>internal controls framework</w:t>
        </w:r>
      </w:hyperlink>
      <w:r w:rsidRPr="00D01B14">
        <w:rPr>
          <w:lang w:val="en-ZW"/>
        </w:rPr>
        <w:t xml:space="preserve">. </w:t>
      </w:r>
    </w:p>
    <w:p w14:paraId="2CD6B50A" w14:textId="442DFE04" w:rsidR="00D01B14" w:rsidRPr="00D01B14" w:rsidRDefault="00D01B14" w:rsidP="0099643B">
      <w:pPr>
        <w:pStyle w:val="ListParagraph"/>
        <w:numPr>
          <w:ilvl w:val="0"/>
          <w:numId w:val="36"/>
        </w:numPr>
        <w:tabs>
          <w:tab w:val="left" w:pos="1080"/>
        </w:tabs>
        <w:spacing w:after="120"/>
        <w:ind w:left="720" w:right="720" w:firstLine="0"/>
        <w:jc w:val="both"/>
        <w:rPr>
          <w:iCs/>
          <w:lang w:val="en-ZW"/>
        </w:rPr>
      </w:pPr>
      <w:r w:rsidRPr="00D01B14">
        <w:rPr>
          <w:lang w:val="en-ZW"/>
        </w:rPr>
        <w:t>The programme will be nationally executed. National implementation will be the preferred modality for project implementation. By using Harmoni</w:t>
      </w:r>
      <w:r w:rsidR="00481279">
        <w:rPr>
          <w:lang w:val="en-ZW"/>
        </w:rPr>
        <w:t>z</w:t>
      </w:r>
      <w:r w:rsidRPr="00D01B14">
        <w:rPr>
          <w:lang w:val="en-ZW"/>
        </w:rPr>
        <w:t xml:space="preserve">ed Cash Transfers principles, the risk of </w:t>
      </w:r>
      <w:r w:rsidR="00747AFF">
        <w:rPr>
          <w:lang w:val="en-ZW"/>
        </w:rPr>
        <w:t xml:space="preserve">lacking </w:t>
      </w:r>
      <w:r w:rsidRPr="00D01B14">
        <w:rPr>
          <w:lang w:val="en-ZW"/>
        </w:rPr>
        <w:t xml:space="preserve">implementation capacity will be mitigated. </w:t>
      </w:r>
      <w:r w:rsidR="00CB1318">
        <w:rPr>
          <w:lang w:val="en-ZW"/>
        </w:rPr>
        <w:t>D</w:t>
      </w:r>
      <w:r w:rsidRPr="00D01B14">
        <w:rPr>
          <w:lang w:val="en-ZW"/>
        </w:rPr>
        <w:t>irect implementation may be explored whe</w:t>
      </w:r>
      <w:r w:rsidR="00F37C15">
        <w:rPr>
          <w:lang w:val="en-ZW"/>
        </w:rPr>
        <w:t>n</w:t>
      </w:r>
      <w:r w:rsidRPr="00D01B14">
        <w:rPr>
          <w:lang w:val="en-ZW"/>
        </w:rPr>
        <w:t xml:space="preserve"> necessary or maintained for ongoing and approved projects. </w:t>
      </w:r>
      <w:r w:rsidRPr="00D01B14">
        <w:rPr>
          <w:iCs/>
          <w:lang w:val="en-ZW"/>
        </w:rPr>
        <w:t>As per Executive Board decision DP/2-013/32</w:t>
      </w:r>
      <w:r w:rsidR="00911274">
        <w:rPr>
          <w:iCs/>
          <w:lang w:val="en-ZW"/>
        </w:rPr>
        <w:t>,</w:t>
      </w:r>
      <w:r w:rsidRPr="00D01B14">
        <w:rPr>
          <w:iCs/>
          <w:lang w:val="en-ZW"/>
        </w:rPr>
        <w:t xml:space="preserve"> cost</w:t>
      </w:r>
      <w:r w:rsidR="009047CA">
        <w:rPr>
          <w:iCs/>
          <w:lang w:val="en-ZW"/>
        </w:rPr>
        <w:t>s</w:t>
      </w:r>
      <w:r w:rsidRPr="00D01B14">
        <w:rPr>
          <w:iCs/>
          <w:lang w:val="en-ZW"/>
        </w:rPr>
        <w:t xml:space="preserve"> defin</w:t>
      </w:r>
      <w:r w:rsidR="00747AFF">
        <w:rPr>
          <w:iCs/>
          <w:lang w:val="en-ZW"/>
        </w:rPr>
        <w:t xml:space="preserve">ed </w:t>
      </w:r>
      <w:r w:rsidRPr="00D01B14">
        <w:rPr>
          <w:iCs/>
          <w:lang w:val="en-ZW"/>
        </w:rPr>
        <w:t>and classifi</w:t>
      </w:r>
      <w:r w:rsidR="00747AFF">
        <w:rPr>
          <w:iCs/>
          <w:lang w:val="en-ZW"/>
        </w:rPr>
        <w:t xml:space="preserve">ed as </w:t>
      </w:r>
      <w:r w:rsidRPr="00D01B14">
        <w:rPr>
          <w:iCs/>
          <w:lang w:val="en-ZW"/>
        </w:rPr>
        <w:t>programme and development effectiveness will be charged to the concerned projects.</w:t>
      </w:r>
    </w:p>
    <w:p w14:paraId="43EC112E" w14:textId="4A182500" w:rsidR="00D01B14" w:rsidRPr="00D01B14" w:rsidRDefault="00D01B14" w:rsidP="0099643B">
      <w:pPr>
        <w:pStyle w:val="ListParagraph"/>
        <w:numPr>
          <w:ilvl w:val="0"/>
          <w:numId w:val="36"/>
        </w:numPr>
        <w:tabs>
          <w:tab w:val="left" w:pos="1080"/>
        </w:tabs>
        <w:spacing w:after="120"/>
        <w:ind w:left="720" w:right="720" w:firstLine="0"/>
        <w:jc w:val="both"/>
        <w:rPr>
          <w:lang w:val="en-ZW"/>
        </w:rPr>
      </w:pPr>
      <w:r w:rsidRPr="00D01B14">
        <w:rPr>
          <w:lang w:val="en"/>
        </w:rPr>
        <w:t>The major programme risk</w:t>
      </w:r>
      <w:r w:rsidR="000A1B9C">
        <w:rPr>
          <w:lang w:val="en"/>
        </w:rPr>
        <w:t>s</w:t>
      </w:r>
      <w:r w:rsidRPr="00D01B14">
        <w:rPr>
          <w:lang w:val="en"/>
        </w:rPr>
        <w:t xml:space="preserve"> </w:t>
      </w:r>
      <w:r w:rsidR="000A1B9C">
        <w:rPr>
          <w:lang w:val="en"/>
        </w:rPr>
        <w:t>are</w:t>
      </w:r>
      <w:r w:rsidR="000A1B9C" w:rsidRPr="00D01B14">
        <w:rPr>
          <w:lang w:val="en"/>
        </w:rPr>
        <w:t xml:space="preserve"> </w:t>
      </w:r>
      <w:r w:rsidRPr="00D01B14">
        <w:rPr>
          <w:lang w:val="en"/>
        </w:rPr>
        <w:t>the limited national institutional and human capacity to deliver on results and the tentative cooperation and relations with the international community.</w:t>
      </w:r>
      <w:r w:rsidRPr="00AF1515">
        <w:t xml:space="preserve">  </w:t>
      </w:r>
      <w:r w:rsidRPr="00D01B14">
        <w:rPr>
          <w:lang w:val="en-ZW"/>
        </w:rPr>
        <w:t xml:space="preserve">The effect of these risks on UNDP programming and results </w:t>
      </w:r>
      <w:r w:rsidR="007418C0">
        <w:rPr>
          <w:lang w:val="en-ZW"/>
        </w:rPr>
        <w:t>could be:</w:t>
      </w:r>
      <w:r w:rsidRPr="00D01B14">
        <w:rPr>
          <w:lang w:val="en-ZW"/>
        </w:rPr>
        <w:t xml:space="preserve"> (a) limited scope for resource </w:t>
      </w:r>
      <w:r w:rsidR="00D85358" w:rsidRPr="00D01B14">
        <w:rPr>
          <w:lang w:val="en-ZW"/>
        </w:rPr>
        <w:t>mobili</w:t>
      </w:r>
      <w:r w:rsidR="00D85358">
        <w:rPr>
          <w:lang w:val="en-ZW"/>
        </w:rPr>
        <w:t>z</w:t>
      </w:r>
      <w:r w:rsidR="00D85358" w:rsidRPr="00D01B14">
        <w:rPr>
          <w:lang w:val="en-ZW"/>
        </w:rPr>
        <w:t>ation</w:t>
      </w:r>
      <w:r w:rsidR="007418C0">
        <w:rPr>
          <w:lang w:val="en-ZW"/>
        </w:rPr>
        <w:t>;</w:t>
      </w:r>
      <w:r w:rsidRPr="00D01B14">
        <w:rPr>
          <w:lang w:val="en-ZW"/>
        </w:rPr>
        <w:t xml:space="preserve"> (b) limited </w:t>
      </w:r>
      <w:r w:rsidR="00F37C15">
        <w:rPr>
          <w:lang w:val="en-ZW"/>
        </w:rPr>
        <w:t xml:space="preserve">government </w:t>
      </w:r>
      <w:r w:rsidRPr="00D01B14">
        <w:rPr>
          <w:lang w:val="en-ZW"/>
        </w:rPr>
        <w:t xml:space="preserve">capacity to replicate and upscale interventions to </w:t>
      </w:r>
      <w:r w:rsidR="00D85358">
        <w:rPr>
          <w:lang w:val="en-ZW"/>
        </w:rPr>
        <w:t>multiply</w:t>
      </w:r>
      <w:r w:rsidR="00D85358" w:rsidRPr="00D01B14">
        <w:rPr>
          <w:lang w:val="en-ZW"/>
        </w:rPr>
        <w:t xml:space="preserve"> </w:t>
      </w:r>
      <w:r w:rsidRPr="00D01B14">
        <w:rPr>
          <w:lang w:val="en-ZW"/>
        </w:rPr>
        <w:t>impact</w:t>
      </w:r>
      <w:r w:rsidR="007418C0">
        <w:rPr>
          <w:lang w:val="en-ZW"/>
        </w:rPr>
        <w:t>;</w:t>
      </w:r>
      <w:r w:rsidRPr="00D01B14">
        <w:rPr>
          <w:lang w:val="en-ZW"/>
        </w:rPr>
        <w:t xml:space="preserve"> and (c) sustainability of results.</w:t>
      </w:r>
    </w:p>
    <w:p w14:paraId="525BF5AA" w14:textId="30B6E274" w:rsidR="00D01B14" w:rsidRDefault="00D01B14" w:rsidP="0099643B">
      <w:pPr>
        <w:tabs>
          <w:tab w:val="left" w:pos="1080"/>
        </w:tabs>
        <w:spacing w:after="120"/>
        <w:ind w:left="720" w:right="720"/>
        <w:jc w:val="both"/>
        <w:rPr>
          <w:lang w:val="en-ZW"/>
        </w:rPr>
      </w:pPr>
      <w:r>
        <w:rPr>
          <w:lang w:val="en-ZW"/>
        </w:rPr>
        <w:t>31</w:t>
      </w:r>
      <w:r w:rsidRPr="00AF1515">
        <w:rPr>
          <w:lang w:val="en-ZW"/>
        </w:rPr>
        <w:t xml:space="preserve">. </w:t>
      </w:r>
      <w:r w:rsidRPr="00AF1515">
        <w:rPr>
          <w:lang w:val="en-ZW"/>
        </w:rPr>
        <w:tab/>
        <w:t>To mitigate risk</w:t>
      </w:r>
      <w:r>
        <w:rPr>
          <w:lang w:val="en-ZW"/>
        </w:rPr>
        <w:t xml:space="preserve"> (a)</w:t>
      </w:r>
      <w:r w:rsidRPr="00AF1515">
        <w:rPr>
          <w:lang w:val="en-ZW"/>
        </w:rPr>
        <w:t>, UNDP will collaborate with the U</w:t>
      </w:r>
      <w:r w:rsidR="007061B8">
        <w:rPr>
          <w:lang w:val="en-ZW"/>
        </w:rPr>
        <w:t xml:space="preserve">nited </w:t>
      </w:r>
      <w:r w:rsidRPr="00AF1515">
        <w:rPr>
          <w:lang w:val="en-ZW"/>
        </w:rPr>
        <w:t>N</w:t>
      </w:r>
      <w:r w:rsidR="007061B8">
        <w:rPr>
          <w:lang w:val="en-ZW"/>
        </w:rPr>
        <w:t xml:space="preserve">ations </w:t>
      </w:r>
      <w:r w:rsidRPr="00AF1515">
        <w:rPr>
          <w:lang w:val="en-ZW"/>
        </w:rPr>
        <w:t>C</w:t>
      </w:r>
      <w:r w:rsidR="007061B8">
        <w:rPr>
          <w:lang w:val="en-ZW"/>
        </w:rPr>
        <w:t xml:space="preserve">ountry </w:t>
      </w:r>
      <w:r w:rsidRPr="00AF1515">
        <w:rPr>
          <w:lang w:val="en-ZW"/>
        </w:rPr>
        <w:t>T</w:t>
      </w:r>
      <w:r w:rsidR="007061B8">
        <w:rPr>
          <w:lang w:val="en-ZW"/>
        </w:rPr>
        <w:t>eam</w:t>
      </w:r>
      <w:r w:rsidRPr="00AF1515">
        <w:rPr>
          <w:lang w:val="en-ZW"/>
        </w:rPr>
        <w:t xml:space="preserve"> in the context of </w:t>
      </w:r>
      <w:r w:rsidR="007061B8">
        <w:rPr>
          <w:lang w:val="en-ZW"/>
        </w:rPr>
        <w:t>a</w:t>
      </w:r>
      <w:r w:rsidR="007061B8" w:rsidRPr="00AF1515">
        <w:rPr>
          <w:lang w:val="en-ZW"/>
        </w:rPr>
        <w:t xml:space="preserve"> </w:t>
      </w:r>
      <w:r w:rsidRPr="00AF1515">
        <w:rPr>
          <w:lang w:val="en-ZW"/>
        </w:rPr>
        <w:t>joint resource mobili</w:t>
      </w:r>
      <w:r w:rsidR="00F37C15">
        <w:rPr>
          <w:lang w:val="en-ZW"/>
        </w:rPr>
        <w:t>z</w:t>
      </w:r>
      <w:r w:rsidRPr="00AF1515">
        <w:rPr>
          <w:lang w:val="en-ZW"/>
        </w:rPr>
        <w:t>ation strategy</w:t>
      </w:r>
      <w:r w:rsidR="00ED2201" w:rsidRPr="00ED2201">
        <w:rPr>
          <w:lang w:val="en-ZW"/>
        </w:rPr>
        <w:t xml:space="preserve"> </w:t>
      </w:r>
      <w:r w:rsidR="00ED2201" w:rsidRPr="00AF1515">
        <w:rPr>
          <w:lang w:val="en-ZW"/>
        </w:rPr>
        <w:t>and strengthen</w:t>
      </w:r>
      <w:r w:rsidR="00747AFF">
        <w:rPr>
          <w:lang w:val="en-ZW"/>
        </w:rPr>
        <w:t xml:space="preserve"> internal</w:t>
      </w:r>
      <w:r w:rsidR="00ED2201" w:rsidRPr="00AF1515">
        <w:rPr>
          <w:lang w:val="en-ZW"/>
        </w:rPr>
        <w:t xml:space="preserve"> staff capacity for resource mobili</w:t>
      </w:r>
      <w:r w:rsidR="00ED2201">
        <w:rPr>
          <w:lang w:val="en-ZW"/>
        </w:rPr>
        <w:t>zation.</w:t>
      </w:r>
      <w:r w:rsidRPr="00AF1515">
        <w:rPr>
          <w:lang w:val="en-ZW"/>
        </w:rPr>
        <w:t xml:space="preserve"> UNDP will support and facilitate collaborative partnerships with multilateral and bilateral </w:t>
      </w:r>
      <w:r w:rsidR="00BA288F">
        <w:rPr>
          <w:lang w:val="en-ZW"/>
        </w:rPr>
        <w:t>organizations</w:t>
      </w:r>
      <w:r w:rsidR="00A17BC4">
        <w:rPr>
          <w:lang w:val="en-ZW"/>
        </w:rPr>
        <w:t>;</w:t>
      </w:r>
      <w:r w:rsidRPr="00AF1515">
        <w:rPr>
          <w:lang w:val="en-ZW"/>
        </w:rPr>
        <w:t xml:space="preserve"> strengthen results-focused communication and messaging; </w:t>
      </w:r>
      <w:r w:rsidR="00A17BC4">
        <w:rPr>
          <w:lang w:val="en-ZW"/>
        </w:rPr>
        <w:t xml:space="preserve">and </w:t>
      </w:r>
      <w:r w:rsidRPr="00AF1515">
        <w:rPr>
          <w:lang w:val="en-ZW"/>
        </w:rPr>
        <w:t>advocate and facilitate establishment of donor platforms. UNDP will support wider U</w:t>
      </w:r>
      <w:r w:rsidR="00911274">
        <w:rPr>
          <w:lang w:val="en-ZW"/>
        </w:rPr>
        <w:t xml:space="preserve">nited </w:t>
      </w:r>
      <w:r w:rsidRPr="00AF1515">
        <w:rPr>
          <w:lang w:val="en-ZW"/>
        </w:rPr>
        <w:t>N</w:t>
      </w:r>
      <w:r w:rsidR="00911274">
        <w:rPr>
          <w:lang w:val="en-ZW"/>
        </w:rPr>
        <w:t>ations</w:t>
      </w:r>
      <w:r w:rsidRPr="00AF1515">
        <w:rPr>
          <w:lang w:val="en-ZW"/>
        </w:rPr>
        <w:t xml:space="preserve"> initiatives to strengthen Eritrea’s engagement with the international community and provide technical advisory services to explore emerging opportunities and funding windows</w:t>
      </w:r>
      <w:r>
        <w:rPr>
          <w:lang w:val="en-ZW"/>
        </w:rPr>
        <w:t xml:space="preserve">. If resources do not materialize as expected, UNDP will prioritize support to the Government in re-engagement with the international community, most importantly through </w:t>
      </w:r>
      <w:r w:rsidR="00A17BC4">
        <w:rPr>
          <w:lang w:val="en-ZW"/>
        </w:rPr>
        <w:t xml:space="preserve">the </w:t>
      </w:r>
      <w:r w:rsidR="000A6D93">
        <w:rPr>
          <w:lang w:val="en-ZW"/>
        </w:rPr>
        <w:t>Universal Periodic Review</w:t>
      </w:r>
      <w:r>
        <w:rPr>
          <w:lang w:val="en-ZW"/>
        </w:rPr>
        <w:t xml:space="preserve"> implementation, combined with enhancing data availability to improve targeting the most vulnerable population. </w:t>
      </w:r>
    </w:p>
    <w:p w14:paraId="614708FB" w14:textId="7D6679B5" w:rsidR="005771AD" w:rsidRPr="005771AD" w:rsidRDefault="00D01B14" w:rsidP="005771AD">
      <w:pPr>
        <w:tabs>
          <w:tab w:val="left" w:pos="1080"/>
        </w:tabs>
        <w:spacing w:after="160"/>
        <w:ind w:left="720" w:right="720"/>
        <w:jc w:val="both"/>
        <w:rPr>
          <w:lang w:val="en-ZW"/>
        </w:rPr>
      </w:pPr>
      <w:r>
        <w:rPr>
          <w:lang w:val="en-ZW"/>
        </w:rPr>
        <w:t>32</w:t>
      </w:r>
      <w:r w:rsidRPr="00AF1515">
        <w:rPr>
          <w:lang w:val="en-ZW"/>
        </w:rPr>
        <w:t xml:space="preserve">. </w:t>
      </w:r>
      <w:r w:rsidRPr="00AF1515">
        <w:rPr>
          <w:lang w:val="en-ZW"/>
        </w:rPr>
        <w:tab/>
      </w:r>
      <w:r>
        <w:rPr>
          <w:lang w:val="en-ZW"/>
        </w:rPr>
        <w:t>With regards to risk</w:t>
      </w:r>
      <w:r w:rsidR="005E27B6">
        <w:rPr>
          <w:lang w:val="en-ZW"/>
        </w:rPr>
        <w:t xml:space="preserve">s </w:t>
      </w:r>
      <w:r>
        <w:rPr>
          <w:lang w:val="en-ZW"/>
        </w:rPr>
        <w:t xml:space="preserve">(b) and (c), </w:t>
      </w:r>
      <w:r w:rsidR="009E5E13">
        <w:rPr>
          <w:lang w:val="en-ZW"/>
        </w:rPr>
        <w:t>t</w:t>
      </w:r>
      <w:r w:rsidRPr="00AF1515">
        <w:rPr>
          <w:lang w:val="en-ZW"/>
        </w:rPr>
        <w:t xml:space="preserve">he </w:t>
      </w:r>
      <w:r w:rsidR="0086352C">
        <w:rPr>
          <w:lang w:val="en-ZW"/>
        </w:rPr>
        <w:t xml:space="preserve">UNDP </w:t>
      </w:r>
      <w:r w:rsidRPr="00AF1515">
        <w:rPr>
          <w:lang w:val="en-ZW"/>
        </w:rPr>
        <w:t xml:space="preserve">country office </w:t>
      </w:r>
      <w:r w:rsidR="0086352C">
        <w:rPr>
          <w:lang w:val="en-ZW"/>
        </w:rPr>
        <w:t>has undertaken</w:t>
      </w:r>
      <w:r w:rsidRPr="00AF1515">
        <w:rPr>
          <w:lang w:val="en-ZW"/>
        </w:rPr>
        <w:t xml:space="preserve"> a strategic change management review to position </w:t>
      </w:r>
      <w:r w:rsidR="0086352C">
        <w:rPr>
          <w:lang w:val="en-ZW"/>
        </w:rPr>
        <w:t xml:space="preserve">itself better </w:t>
      </w:r>
      <w:r w:rsidRPr="00AF1515">
        <w:rPr>
          <w:lang w:val="en-ZW"/>
        </w:rPr>
        <w:t>for emerging S</w:t>
      </w:r>
      <w:r w:rsidR="00AC0F9B">
        <w:rPr>
          <w:lang w:val="en-ZW"/>
        </w:rPr>
        <w:t>ustain</w:t>
      </w:r>
      <w:r w:rsidR="002C2DFA">
        <w:rPr>
          <w:lang w:val="en-ZW"/>
        </w:rPr>
        <w:t>a</w:t>
      </w:r>
      <w:r w:rsidR="00AC0F9B">
        <w:rPr>
          <w:lang w:val="en-ZW"/>
        </w:rPr>
        <w:t xml:space="preserve">ble </w:t>
      </w:r>
      <w:r w:rsidRPr="00AF1515">
        <w:rPr>
          <w:lang w:val="en-ZW"/>
        </w:rPr>
        <w:t>D</w:t>
      </w:r>
      <w:r w:rsidR="00AC0F9B">
        <w:rPr>
          <w:lang w:val="en-ZW"/>
        </w:rPr>
        <w:t xml:space="preserve">evelopment </w:t>
      </w:r>
      <w:r w:rsidRPr="00AF1515">
        <w:rPr>
          <w:lang w:val="en-ZW"/>
        </w:rPr>
        <w:t>G</w:t>
      </w:r>
      <w:r w:rsidR="00AC0F9B">
        <w:rPr>
          <w:lang w:val="en-ZW"/>
        </w:rPr>
        <w:t>oal</w:t>
      </w:r>
      <w:r w:rsidRPr="00AF1515">
        <w:rPr>
          <w:lang w:val="en-ZW"/>
        </w:rPr>
        <w:t xml:space="preserve"> priorities and financial sustainability</w:t>
      </w:r>
      <w:r w:rsidR="0086352C">
        <w:rPr>
          <w:lang w:val="en-ZW"/>
        </w:rPr>
        <w:t xml:space="preserve">. The UNDP country office </w:t>
      </w:r>
      <w:r w:rsidRPr="00AF1515">
        <w:rPr>
          <w:lang w:val="en-ZW"/>
        </w:rPr>
        <w:t>will continue to engage the Government to strengthen coordination with implementing partners, including establish</w:t>
      </w:r>
      <w:r w:rsidR="00481279">
        <w:rPr>
          <w:lang w:val="en-ZW"/>
        </w:rPr>
        <w:t>ing</w:t>
      </w:r>
      <w:r w:rsidRPr="00AF1515">
        <w:rPr>
          <w:lang w:val="en-ZW"/>
        </w:rPr>
        <w:t xml:space="preserve"> joint technical working groups to lead joint planning, implementation and </w:t>
      </w:r>
      <w:r w:rsidR="00F37C15">
        <w:rPr>
          <w:lang w:val="en-ZW"/>
        </w:rPr>
        <w:t xml:space="preserve">results </w:t>
      </w:r>
      <w:r w:rsidRPr="00AF1515">
        <w:rPr>
          <w:lang w:val="en-ZW"/>
        </w:rPr>
        <w:t>monitoring.</w:t>
      </w:r>
      <w:r>
        <w:rPr>
          <w:lang w:val="en-ZW"/>
        </w:rPr>
        <w:t xml:space="preserve"> In addition, prioritizing support to the Red Sea Cooperation will lead to </w:t>
      </w:r>
      <w:r w:rsidR="00EA41D6">
        <w:rPr>
          <w:lang w:val="en-ZW"/>
        </w:rPr>
        <w:t xml:space="preserve">greater </w:t>
      </w:r>
      <w:r>
        <w:rPr>
          <w:lang w:val="en-ZW"/>
        </w:rPr>
        <w:t xml:space="preserve">capacity to upscale successful interventions. Eritrea is recognized for </w:t>
      </w:r>
      <w:r w:rsidR="00F37C15">
        <w:rPr>
          <w:lang w:val="en-ZW"/>
        </w:rPr>
        <w:t xml:space="preserve">its </w:t>
      </w:r>
      <w:r w:rsidR="00F555E9">
        <w:rPr>
          <w:lang w:val="en-ZW"/>
        </w:rPr>
        <w:t xml:space="preserve">reliance on </w:t>
      </w:r>
      <w:r>
        <w:rPr>
          <w:lang w:val="en-ZW"/>
        </w:rPr>
        <w:t xml:space="preserve">national capacities in programme implementation, </w:t>
      </w:r>
      <w:r w:rsidR="00EA41D6">
        <w:rPr>
          <w:lang w:val="en-ZW"/>
        </w:rPr>
        <w:t>which can help with</w:t>
      </w:r>
      <w:r>
        <w:rPr>
          <w:lang w:val="en-ZW"/>
        </w:rPr>
        <w:t xml:space="preserve"> sustainability and value for money. Under this programme, such efforts will be further promoted and retention of national capacity is one of the </w:t>
      </w:r>
      <w:r w:rsidR="00F37C15">
        <w:rPr>
          <w:lang w:val="en-ZW"/>
        </w:rPr>
        <w:t xml:space="preserve">programme’s </w:t>
      </w:r>
      <w:r>
        <w:rPr>
          <w:lang w:val="en-ZW"/>
        </w:rPr>
        <w:t xml:space="preserve">main objectives </w:t>
      </w:r>
      <w:r w:rsidR="00476F92">
        <w:rPr>
          <w:lang w:val="en-ZW"/>
        </w:rPr>
        <w:t xml:space="preserve">and </w:t>
      </w:r>
      <w:r>
        <w:rPr>
          <w:lang w:val="en-ZW"/>
        </w:rPr>
        <w:t xml:space="preserve">will help mitigate risks. </w:t>
      </w:r>
      <w:r w:rsidRPr="00DE4379">
        <w:rPr>
          <w:lang w:val="en-ZW"/>
        </w:rPr>
        <w:t xml:space="preserve">Social and </w:t>
      </w:r>
      <w:r w:rsidR="00F37C15">
        <w:rPr>
          <w:lang w:val="en-ZW"/>
        </w:rPr>
        <w:t>e</w:t>
      </w:r>
      <w:r w:rsidRPr="00DE4379">
        <w:rPr>
          <w:lang w:val="en-ZW"/>
        </w:rPr>
        <w:t xml:space="preserve">nvironmental </w:t>
      </w:r>
      <w:r w:rsidR="00F37C15">
        <w:rPr>
          <w:lang w:val="en-ZW"/>
        </w:rPr>
        <w:t>s</w:t>
      </w:r>
      <w:r w:rsidRPr="00DE4379">
        <w:rPr>
          <w:lang w:val="en-ZW"/>
        </w:rPr>
        <w:t xml:space="preserve">tandards are mainstreamed in </w:t>
      </w:r>
      <w:r w:rsidR="00F37C15">
        <w:rPr>
          <w:lang w:val="en-ZW"/>
        </w:rPr>
        <w:t xml:space="preserve">the country </w:t>
      </w:r>
      <w:r w:rsidRPr="00DE4379">
        <w:rPr>
          <w:lang w:val="en-ZW"/>
        </w:rPr>
        <w:t>p</w:t>
      </w:r>
      <w:r>
        <w:rPr>
          <w:lang w:val="en-ZW"/>
        </w:rPr>
        <w:t>rogramme and projects to support sustainable development.</w:t>
      </w:r>
    </w:p>
    <w:p w14:paraId="2440D409" w14:textId="00295A12" w:rsidR="00701B6B" w:rsidRPr="00F555E9" w:rsidRDefault="001D42D1" w:rsidP="00613C4E">
      <w:pPr>
        <w:pStyle w:val="Heading1"/>
        <w:numPr>
          <w:ilvl w:val="0"/>
          <w:numId w:val="38"/>
        </w:numPr>
        <w:tabs>
          <w:tab w:val="left" w:pos="1800"/>
        </w:tabs>
        <w:ind w:left="720" w:right="720" w:hanging="450"/>
        <w:jc w:val="both"/>
        <w:rPr>
          <w:rFonts w:ascii="Times New Roman" w:hAnsi="Times New Roman"/>
          <w:color w:val="000000"/>
          <w:szCs w:val="28"/>
          <w:lang w:val="en-US"/>
        </w:rPr>
      </w:pPr>
      <w:r w:rsidRPr="00F555E9">
        <w:rPr>
          <w:rFonts w:ascii="Times New Roman" w:hAnsi="Times New Roman"/>
          <w:color w:val="000000"/>
          <w:szCs w:val="28"/>
        </w:rPr>
        <w:lastRenderedPageBreak/>
        <w:t xml:space="preserve">Monitoring and </w:t>
      </w:r>
      <w:r w:rsidR="00613C4E" w:rsidRPr="00F555E9">
        <w:rPr>
          <w:rFonts w:ascii="Times New Roman" w:hAnsi="Times New Roman"/>
          <w:color w:val="000000"/>
          <w:szCs w:val="28"/>
          <w:lang w:val="en-US"/>
        </w:rPr>
        <w:t>e</w:t>
      </w:r>
      <w:r w:rsidR="001B3F87" w:rsidRPr="00F555E9">
        <w:rPr>
          <w:rFonts w:ascii="Times New Roman" w:hAnsi="Times New Roman"/>
          <w:color w:val="000000"/>
          <w:szCs w:val="28"/>
          <w:lang w:val="en-US"/>
        </w:rPr>
        <w:t>valuation</w:t>
      </w:r>
    </w:p>
    <w:p w14:paraId="2440D40A" w14:textId="77777777" w:rsidR="001D42D1" w:rsidRPr="00074F5C" w:rsidRDefault="001D42D1" w:rsidP="00613C4E">
      <w:pPr>
        <w:pStyle w:val="Heading1"/>
        <w:tabs>
          <w:tab w:val="left" w:pos="1800"/>
        </w:tabs>
        <w:ind w:left="720" w:right="720"/>
        <w:jc w:val="both"/>
        <w:rPr>
          <w:rFonts w:ascii="Times New Roman" w:hAnsi="Times New Roman"/>
          <w:b w:val="0"/>
          <w:color w:val="000000"/>
          <w:sz w:val="20"/>
          <w:lang w:val="en-US"/>
        </w:rPr>
      </w:pPr>
    </w:p>
    <w:p w14:paraId="13127D45" w14:textId="16070366" w:rsidR="00806EEC" w:rsidRDefault="00806EEC" w:rsidP="0099643B">
      <w:pPr>
        <w:tabs>
          <w:tab w:val="left" w:pos="1080"/>
        </w:tabs>
        <w:spacing w:after="120"/>
        <w:ind w:left="720" w:right="720"/>
        <w:jc w:val="both"/>
        <w:rPr>
          <w:lang w:val="en-ZW"/>
        </w:rPr>
      </w:pPr>
      <w:r>
        <w:rPr>
          <w:lang w:val="en-ZW"/>
        </w:rPr>
        <w:t xml:space="preserve">33.  </w:t>
      </w:r>
      <w:r w:rsidRPr="00AF1515">
        <w:rPr>
          <w:lang w:val="en-ZW"/>
        </w:rPr>
        <w:t xml:space="preserve">Monitoring and evaluation will be </w:t>
      </w:r>
      <w:r w:rsidR="002A4123">
        <w:rPr>
          <w:lang w:val="en-ZW"/>
        </w:rPr>
        <w:t>done</w:t>
      </w:r>
      <w:r w:rsidR="002A4123" w:rsidRPr="00AF1515">
        <w:rPr>
          <w:lang w:val="en-ZW"/>
        </w:rPr>
        <w:t xml:space="preserve"> </w:t>
      </w:r>
      <w:r w:rsidRPr="00AF1515">
        <w:rPr>
          <w:lang w:val="en-ZW"/>
        </w:rPr>
        <w:t xml:space="preserve">in line with the </w:t>
      </w:r>
      <w:r w:rsidR="00D770D9">
        <w:rPr>
          <w:lang w:val="en-ZW"/>
        </w:rPr>
        <w:t>SPCF</w:t>
      </w:r>
      <w:r w:rsidR="00B45E36">
        <w:rPr>
          <w:lang w:val="en-ZW"/>
        </w:rPr>
        <w:t>. This</w:t>
      </w:r>
      <w:r w:rsidRPr="00AF1515">
        <w:rPr>
          <w:lang w:val="en-ZW"/>
        </w:rPr>
        <w:t xml:space="preserve"> </w:t>
      </w:r>
      <w:r w:rsidR="0023785C" w:rsidRPr="00AF1515">
        <w:rPr>
          <w:lang w:val="en-ZW"/>
        </w:rPr>
        <w:t xml:space="preserve">monitoring and evaluation framework </w:t>
      </w:r>
      <w:r w:rsidRPr="00AF1515">
        <w:rPr>
          <w:lang w:val="en-ZW"/>
        </w:rPr>
        <w:t xml:space="preserve">prescribes </w:t>
      </w:r>
      <w:r w:rsidR="00F37C15">
        <w:rPr>
          <w:lang w:val="en-ZW"/>
        </w:rPr>
        <w:t xml:space="preserve">establishing </w:t>
      </w:r>
      <w:r w:rsidRPr="00AF1515">
        <w:rPr>
          <w:lang w:val="en-ZW"/>
        </w:rPr>
        <w:t>outcome</w:t>
      </w:r>
      <w:r w:rsidR="00B45E36">
        <w:rPr>
          <w:lang w:val="en-ZW"/>
        </w:rPr>
        <w:t>-</w:t>
      </w:r>
      <w:r w:rsidRPr="00AF1515">
        <w:rPr>
          <w:lang w:val="en-ZW"/>
        </w:rPr>
        <w:t>level working groups jointly led by the Designated Government Convener and U</w:t>
      </w:r>
      <w:r w:rsidR="00911274">
        <w:rPr>
          <w:lang w:val="en-ZW"/>
        </w:rPr>
        <w:t xml:space="preserve">nited </w:t>
      </w:r>
      <w:r w:rsidRPr="00AF1515">
        <w:rPr>
          <w:lang w:val="en-ZW"/>
        </w:rPr>
        <w:t>N</w:t>
      </w:r>
      <w:r w:rsidR="00911274">
        <w:rPr>
          <w:lang w:val="en-ZW"/>
        </w:rPr>
        <w:t>ations</w:t>
      </w:r>
      <w:r w:rsidRPr="00AF1515">
        <w:rPr>
          <w:lang w:val="en-ZW"/>
        </w:rPr>
        <w:t xml:space="preserve"> co-convener. The Ministry of National Development</w:t>
      </w:r>
      <w:r w:rsidR="00693212">
        <w:rPr>
          <w:lang w:val="en-ZW"/>
        </w:rPr>
        <w:t xml:space="preserve"> (MND)</w:t>
      </w:r>
      <w:r w:rsidRPr="00AF1515">
        <w:rPr>
          <w:lang w:val="en-ZW"/>
        </w:rPr>
        <w:t xml:space="preserve"> and UNDP will co-lead selected working group</w:t>
      </w:r>
      <w:r w:rsidR="002B7D0C">
        <w:rPr>
          <w:lang w:val="en-ZW"/>
        </w:rPr>
        <w:t>s</w:t>
      </w:r>
      <w:r w:rsidRPr="00AF1515">
        <w:rPr>
          <w:lang w:val="en-ZW"/>
        </w:rPr>
        <w:t xml:space="preserve"> for the outcomes under this programme and undertake quarterly monitoring and progress reviews.</w:t>
      </w:r>
    </w:p>
    <w:p w14:paraId="475C8945" w14:textId="37E5354E" w:rsidR="00806EEC" w:rsidRDefault="00806EEC" w:rsidP="0099643B">
      <w:pPr>
        <w:tabs>
          <w:tab w:val="left" w:pos="1080"/>
        </w:tabs>
        <w:spacing w:after="120"/>
        <w:ind w:left="720" w:right="720"/>
        <w:jc w:val="both"/>
        <w:rPr>
          <w:lang w:val="en-ZW"/>
        </w:rPr>
      </w:pPr>
      <w:r>
        <w:t>34</w:t>
      </w:r>
      <w:r w:rsidRPr="00AF1515">
        <w:t xml:space="preserve">. </w:t>
      </w:r>
      <w:r w:rsidRPr="00AF1515">
        <w:tab/>
        <w:t xml:space="preserve">At the outcome level, monitoring and evaluation will be </w:t>
      </w:r>
      <w:r w:rsidR="002B7D0C">
        <w:t>done</w:t>
      </w:r>
      <w:r w:rsidR="002B7D0C" w:rsidRPr="00AF1515">
        <w:t xml:space="preserve"> </w:t>
      </w:r>
      <w:r w:rsidRPr="00AF1515">
        <w:t>in partnership with other U</w:t>
      </w:r>
      <w:r w:rsidR="00911274">
        <w:t xml:space="preserve">nited </w:t>
      </w:r>
      <w:r w:rsidRPr="00AF1515">
        <w:t>N</w:t>
      </w:r>
      <w:r w:rsidR="00911274">
        <w:t>ations</w:t>
      </w:r>
      <w:r w:rsidRPr="00AF1515">
        <w:t xml:space="preserve"> </w:t>
      </w:r>
      <w:r w:rsidR="00BA288F">
        <w:t>organizations</w:t>
      </w:r>
      <w:r w:rsidR="00BA288F" w:rsidRPr="00AF1515">
        <w:t xml:space="preserve"> </w:t>
      </w:r>
      <w:r w:rsidRPr="00AF1515">
        <w:t xml:space="preserve">through the </w:t>
      </w:r>
      <w:r>
        <w:t xml:space="preserve">Programme Management, </w:t>
      </w:r>
      <w:r w:rsidRPr="00AF1515">
        <w:t>Monitoring and Evaluation Group. Performance will be tracked regularly, data and evidence will be analyzed to inform decision</w:t>
      </w:r>
      <w:r w:rsidR="00B537B5">
        <w:t>-</w:t>
      </w:r>
      <w:r w:rsidRPr="00AF1515">
        <w:t>making</w:t>
      </w:r>
      <w:r w:rsidR="006F4A19">
        <w:t xml:space="preserve"> and</w:t>
      </w:r>
      <w:r w:rsidRPr="00AF1515">
        <w:t xml:space="preserve"> performance and lessons will be reported according to the new P</w:t>
      </w:r>
      <w:r w:rsidR="00F555E9">
        <w:t xml:space="preserve">rogramme and Project </w:t>
      </w:r>
      <w:r w:rsidRPr="00AF1515">
        <w:t>M</w:t>
      </w:r>
      <w:r w:rsidR="00F555E9">
        <w:t>anagement</w:t>
      </w:r>
      <w:r w:rsidRPr="00AF1515">
        <w:t xml:space="preserve"> Policies and Procedure on Monitoring. Monitoring will include, but not be limited to</w:t>
      </w:r>
      <w:r w:rsidR="00753626">
        <w:t>,</w:t>
      </w:r>
      <w:r w:rsidRPr="00AF1515">
        <w:t xml:space="preserve"> quarterly output progress reviews</w:t>
      </w:r>
      <w:r w:rsidRPr="00AF1515">
        <w:rPr>
          <w:lang w:val="en-ZW"/>
        </w:rPr>
        <w:t xml:space="preserve"> and bi-annual outcome progress review</w:t>
      </w:r>
      <w:r w:rsidR="00753626">
        <w:rPr>
          <w:lang w:val="en-ZW"/>
        </w:rPr>
        <w:t>s</w:t>
      </w:r>
      <w:r w:rsidRPr="00AF1515">
        <w:rPr>
          <w:lang w:val="en-ZW"/>
        </w:rPr>
        <w:t xml:space="preserve">. </w:t>
      </w:r>
      <w:r w:rsidRPr="00AF1515">
        <w:t xml:space="preserve">Joint Annual Reviews will also be organized. In all instances UNDP will promote the </w:t>
      </w:r>
      <w:r w:rsidR="00F555E9">
        <w:t>use</w:t>
      </w:r>
      <w:r w:rsidR="00F555E9" w:rsidRPr="00AF1515">
        <w:t xml:space="preserve"> </w:t>
      </w:r>
      <w:r w:rsidRPr="00AF1515">
        <w:t>of national systems and databases to monitor outcome indicators</w:t>
      </w:r>
      <w:r w:rsidR="00B32A8B">
        <w:t>,</w:t>
      </w:r>
      <w:r w:rsidRPr="00AF1515">
        <w:t xml:space="preserve"> </w:t>
      </w:r>
      <w:r w:rsidR="00F37C15" w:rsidRPr="00AF1515">
        <w:t>whe</w:t>
      </w:r>
      <w:r w:rsidR="00F37C15">
        <w:t>n</w:t>
      </w:r>
      <w:r w:rsidR="00DF18AA">
        <w:t xml:space="preserve"> possible and when</w:t>
      </w:r>
      <w:r w:rsidR="00F37C15" w:rsidRPr="00AF1515">
        <w:t xml:space="preserve"> </w:t>
      </w:r>
      <w:r w:rsidRPr="00AF1515">
        <w:t>data is available</w:t>
      </w:r>
      <w:r w:rsidR="00B32A8B">
        <w:t>,</w:t>
      </w:r>
      <w:r w:rsidRPr="00AF1515">
        <w:t xml:space="preserve"> and support data and information management</w:t>
      </w:r>
      <w:r w:rsidR="00F37C15">
        <w:t xml:space="preserve"> capacity development</w:t>
      </w:r>
      <w:r w:rsidRPr="00AF1515">
        <w:t xml:space="preserve">. Missing baseline data will be collected by the end of the first quarter </w:t>
      </w:r>
      <w:r w:rsidR="00185F10">
        <w:t xml:space="preserve">of </w:t>
      </w:r>
      <w:r w:rsidRPr="00AF1515">
        <w:t>2017, including through the Eritrea Population and Household Survey</w:t>
      </w:r>
      <w:r w:rsidR="00F555E9">
        <w:t>,</w:t>
      </w:r>
      <w:r w:rsidRPr="00AF1515">
        <w:t xml:space="preserve"> planned to be finalized by end of 2016. </w:t>
      </w:r>
      <w:r w:rsidRPr="00AF1515">
        <w:rPr>
          <w:lang w:val="en-ZW" w:eastAsia="x-none"/>
        </w:rPr>
        <w:t>T</w:t>
      </w:r>
      <w:r w:rsidRPr="00AF1515">
        <w:rPr>
          <w:lang w:val="en-ZW"/>
        </w:rPr>
        <w:t>he UNDP Gender Marker will be used to monitor the programme gender investment and results.</w:t>
      </w:r>
    </w:p>
    <w:p w14:paraId="440B07AA" w14:textId="47A94E79" w:rsidR="00806EEC" w:rsidRPr="00947A27" w:rsidRDefault="00806EEC" w:rsidP="0099643B">
      <w:pPr>
        <w:tabs>
          <w:tab w:val="left" w:pos="1080"/>
        </w:tabs>
        <w:ind w:left="720" w:right="720"/>
        <w:jc w:val="both"/>
      </w:pPr>
      <w:r w:rsidRPr="00AF1515">
        <w:rPr>
          <w:lang w:val="en-ZW"/>
        </w:rPr>
        <w:t>3</w:t>
      </w:r>
      <w:r>
        <w:rPr>
          <w:lang w:val="en-ZW"/>
        </w:rPr>
        <w:t>5</w:t>
      </w:r>
      <w:r w:rsidRPr="00AF1515">
        <w:rPr>
          <w:lang w:val="en-ZW"/>
        </w:rPr>
        <w:t xml:space="preserve">. </w:t>
      </w:r>
      <w:r w:rsidRPr="00AF1515">
        <w:rPr>
          <w:lang w:val="en-ZW"/>
        </w:rPr>
        <w:tab/>
        <w:t xml:space="preserve">At least </w:t>
      </w:r>
      <w:r w:rsidR="00B32A8B">
        <w:rPr>
          <w:lang w:val="en-ZW"/>
        </w:rPr>
        <w:t xml:space="preserve">five </w:t>
      </w:r>
      <w:r w:rsidRPr="00AF1515">
        <w:rPr>
          <w:lang w:val="en-ZW"/>
        </w:rPr>
        <w:t xml:space="preserve">per cent of resources will be earmarked for monitoring, evaluation and the multi-year research agenda. In this regard, </w:t>
      </w:r>
      <w:r w:rsidRPr="00AF1515">
        <w:t xml:space="preserve">UNDP will support national efforts to </w:t>
      </w:r>
      <w:r>
        <w:t xml:space="preserve">overcome major data gaps and </w:t>
      </w:r>
      <w:r w:rsidRPr="00AF1515">
        <w:t>produce quality country</w:t>
      </w:r>
      <w:r>
        <w:t xml:space="preserve"> data and</w:t>
      </w:r>
      <w:r w:rsidRPr="00AF1515">
        <w:t xml:space="preserve"> studies</w:t>
      </w:r>
      <w:r w:rsidR="002A1996">
        <w:t>. These will</w:t>
      </w:r>
      <w:r w:rsidRPr="00AF1515">
        <w:t xml:space="preserve"> includ</w:t>
      </w:r>
      <w:r w:rsidR="002A1996">
        <w:t>e</w:t>
      </w:r>
      <w:r w:rsidRPr="00AF1515">
        <w:t xml:space="preserve"> the Na</w:t>
      </w:r>
      <w:r>
        <w:t>tional Human Development Report</w:t>
      </w:r>
      <w:r w:rsidRPr="00AF1515">
        <w:t>, thematic studies on youth and employment</w:t>
      </w:r>
      <w:r w:rsidR="002A1996">
        <w:t xml:space="preserve"> and on</w:t>
      </w:r>
      <w:r w:rsidRPr="00AF1515">
        <w:t xml:space="preserve"> climatic change adaptation and establish</w:t>
      </w:r>
      <w:r w:rsidR="002A1996">
        <w:t>ment of</w:t>
      </w:r>
      <w:r w:rsidRPr="00AF1515">
        <w:t xml:space="preserve"> baseline</w:t>
      </w:r>
      <w:r w:rsidR="002A1996">
        <w:t>s</w:t>
      </w:r>
      <w:r w:rsidRPr="00AF1515">
        <w:t xml:space="preserve"> for relevant Sustainable Development Goals to enable their effective monitoring, including at local levels. </w:t>
      </w:r>
      <w:r w:rsidRPr="00AF1515">
        <w:rPr>
          <w:lang w:val="en-ZW"/>
        </w:rPr>
        <w:t xml:space="preserve">The research agenda </w:t>
      </w:r>
      <w:r>
        <w:rPr>
          <w:lang w:val="en-ZW"/>
        </w:rPr>
        <w:t xml:space="preserve">and </w:t>
      </w:r>
      <w:r w:rsidR="00481279">
        <w:rPr>
          <w:lang w:val="en-ZW"/>
        </w:rPr>
        <w:t xml:space="preserve">its </w:t>
      </w:r>
      <w:r>
        <w:rPr>
          <w:lang w:val="en-ZW"/>
        </w:rPr>
        <w:t xml:space="preserve">dissemination </w:t>
      </w:r>
      <w:r w:rsidRPr="00AF1515">
        <w:rPr>
          <w:lang w:val="en-ZW"/>
        </w:rPr>
        <w:t>will be</w:t>
      </w:r>
      <w:r>
        <w:rPr>
          <w:lang w:val="en-ZW"/>
        </w:rPr>
        <w:t xml:space="preserve"> </w:t>
      </w:r>
      <w:r w:rsidRPr="00AF1515">
        <w:rPr>
          <w:lang w:val="en-ZW"/>
        </w:rPr>
        <w:t>d</w:t>
      </w:r>
      <w:r>
        <w:rPr>
          <w:lang w:val="en-ZW"/>
        </w:rPr>
        <w:t>one</w:t>
      </w:r>
      <w:r w:rsidRPr="00AF1515">
        <w:rPr>
          <w:lang w:val="en-ZW"/>
        </w:rPr>
        <w:t xml:space="preserve"> in collaboration with </w:t>
      </w:r>
      <w:r>
        <w:rPr>
          <w:lang w:val="en-ZW"/>
        </w:rPr>
        <w:t xml:space="preserve">United Nations </w:t>
      </w:r>
      <w:r w:rsidR="00BA288F">
        <w:rPr>
          <w:lang w:val="en-ZW"/>
        </w:rPr>
        <w:t>organizations</w:t>
      </w:r>
      <w:r>
        <w:rPr>
          <w:lang w:val="en-ZW"/>
        </w:rPr>
        <w:t xml:space="preserve">, the </w:t>
      </w:r>
      <w:r w:rsidRPr="00AF1515">
        <w:rPr>
          <w:lang w:val="en-ZW"/>
        </w:rPr>
        <w:t xml:space="preserve">National Commission for Higher Education, </w:t>
      </w:r>
      <w:r>
        <w:rPr>
          <w:lang w:val="en-ZW"/>
        </w:rPr>
        <w:t>the Ministry of Information</w:t>
      </w:r>
      <w:r w:rsidR="006672C1">
        <w:rPr>
          <w:lang w:val="en-ZW"/>
        </w:rPr>
        <w:t xml:space="preserve"> and </w:t>
      </w:r>
      <w:r w:rsidRPr="00AF1515">
        <w:rPr>
          <w:lang w:val="en-ZW"/>
        </w:rPr>
        <w:t>public universities</w:t>
      </w:r>
      <w:r w:rsidR="00185F10">
        <w:rPr>
          <w:lang w:val="en-ZW"/>
        </w:rPr>
        <w:t>.</w:t>
      </w:r>
      <w:r w:rsidRPr="00AF1515">
        <w:rPr>
          <w:lang w:val="en-ZW"/>
        </w:rPr>
        <w:t xml:space="preserve"> South-South cooperation </w:t>
      </w:r>
      <w:r w:rsidR="000525CE">
        <w:rPr>
          <w:lang w:val="en-ZW"/>
        </w:rPr>
        <w:t xml:space="preserve">activities </w:t>
      </w:r>
      <w:r w:rsidR="00185F10">
        <w:rPr>
          <w:lang w:val="en-ZW"/>
        </w:rPr>
        <w:t xml:space="preserve">will </w:t>
      </w:r>
      <w:r w:rsidRPr="00AF1515">
        <w:rPr>
          <w:lang w:val="en-ZW"/>
        </w:rPr>
        <w:t>facilitate knowledge sharing.</w:t>
      </w:r>
      <w:r w:rsidRPr="001B0155">
        <w:rPr>
          <w:lang w:val="en-ZW"/>
        </w:rPr>
        <w:t xml:space="preserve"> </w:t>
      </w:r>
    </w:p>
    <w:p w14:paraId="3EA8E1B9" w14:textId="77777777" w:rsidR="00812095" w:rsidRPr="004D6254" w:rsidRDefault="00812095" w:rsidP="00812095"/>
    <w:p w14:paraId="2440D43B" w14:textId="77777777" w:rsidR="006B6E78" w:rsidRPr="003C26C1" w:rsidRDefault="006B6E78" w:rsidP="006B6E78">
      <w:pPr>
        <w:pStyle w:val="Heading4"/>
        <w:spacing w:after="120"/>
        <w:rPr>
          <w:rFonts w:ascii="Times New Roman" w:hAnsi="Times New Roman"/>
          <w:bCs/>
          <w:color w:val="000000"/>
          <w:sz w:val="20"/>
        </w:rPr>
      </w:pPr>
    </w:p>
    <w:p w14:paraId="2440D43E" w14:textId="77777777" w:rsidR="006B6E78" w:rsidRPr="003C26C1" w:rsidRDefault="006B6E78" w:rsidP="00090F4F">
      <w:pPr>
        <w:jc w:val="both"/>
        <w:sectPr w:rsidR="006B6E78" w:rsidRPr="003C26C1" w:rsidSect="0059738A">
          <w:headerReference w:type="even" r:id="rId19"/>
          <w:headerReference w:type="default" r:id="rId20"/>
          <w:footerReference w:type="even" r:id="rId21"/>
          <w:footerReference w:type="default" r:id="rId22"/>
          <w:headerReference w:type="first" r:id="rId23"/>
          <w:footerReference w:type="first" r:id="rId24"/>
          <w:pgSz w:w="12240" w:h="15840"/>
          <w:pgMar w:top="1152" w:right="1440" w:bottom="1152" w:left="1440" w:header="720" w:footer="720" w:gutter="0"/>
          <w:cols w:space="720"/>
          <w:titlePg/>
          <w:docGrid w:linePitch="272"/>
        </w:sectPr>
      </w:pPr>
    </w:p>
    <w:p w14:paraId="3FA951AA" w14:textId="6EEB9F03" w:rsidR="00D55A8B" w:rsidRPr="00F555E9" w:rsidRDefault="00D55A8B" w:rsidP="00D55A8B">
      <w:pPr>
        <w:tabs>
          <w:tab w:val="left" w:pos="5610"/>
        </w:tabs>
        <w:spacing w:after="240"/>
        <w:contextualSpacing/>
        <w:rPr>
          <w:b/>
          <w:bCs/>
          <w:sz w:val="28"/>
          <w:szCs w:val="28"/>
        </w:rPr>
      </w:pPr>
      <w:r w:rsidRPr="00F555E9">
        <w:rPr>
          <w:b/>
          <w:bCs/>
          <w:sz w:val="28"/>
          <w:szCs w:val="28"/>
        </w:rPr>
        <w:lastRenderedPageBreak/>
        <w:t>Annex</w:t>
      </w:r>
      <w:r w:rsidR="009032B8">
        <w:rPr>
          <w:b/>
          <w:bCs/>
          <w:sz w:val="28"/>
          <w:szCs w:val="28"/>
        </w:rPr>
        <w:t>:</w:t>
      </w:r>
      <w:r w:rsidRPr="00F555E9">
        <w:rPr>
          <w:b/>
          <w:bCs/>
          <w:sz w:val="28"/>
          <w:szCs w:val="28"/>
        </w:rPr>
        <w:t xml:space="preserve"> Results and resources framework for Eritrea (2017-2021)</w:t>
      </w:r>
    </w:p>
    <w:p w14:paraId="5DAECB89" w14:textId="77777777" w:rsidR="00D55A8B" w:rsidRPr="008067B2" w:rsidRDefault="00D55A8B" w:rsidP="00D55A8B">
      <w:pPr>
        <w:tabs>
          <w:tab w:val="left" w:pos="5610"/>
        </w:tabs>
        <w:spacing w:after="240"/>
        <w:contextualSpacing/>
        <w:rPr>
          <w:b/>
          <w:bCs/>
          <w:sz w:val="24"/>
          <w:szCs w:val="24"/>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1"/>
        <w:gridCol w:w="2164"/>
        <w:gridCol w:w="4797"/>
        <w:gridCol w:w="1709"/>
        <w:gridCol w:w="1544"/>
      </w:tblGrid>
      <w:tr w:rsidR="007A05B6" w:rsidRPr="003C26C1" w14:paraId="2440D441" w14:textId="77777777" w:rsidTr="00D55A8B">
        <w:tc>
          <w:tcPr>
            <w:tcW w:w="5000" w:type="pct"/>
            <w:gridSpan w:val="5"/>
            <w:tcBorders>
              <w:bottom w:val="single" w:sz="4" w:space="0" w:color="auto"/>
            </w:tcBorders>
            <w:shd w:val="clear" w:color="auto" w:fill="auto"/>
            <w:tcMar>
              <w:top w:w="72" w:type="dxa"/>
              <w:left w:w="144" w:type="dxa"/>
              <w:bottom w:w="72" w:type="dxa"/>
              <w:right w:w="144" w:type="dxa"/>
            </w:tcMar>
          </w:tcPr>
          <w:p w14:paraId="2440D440" w14:textId="5DC5DA7E" w:rsidR="007A05B6" w:rsidRPr="00F555E9" w:rsidRDefault="007A05B6" w:rsidP="007D0913">
            <w:pPr>
              <w:rPr>
                <w:color w:val="000000"/>
              </w:rPr>
            </w:pPr>
            <w:r w:rsidRPr="00F555E9">
              <w:rPr>
                <w:b/>
                <w:bCs/>
                <w:color w:val="000000"/>
                <w:lang w:val="en-GB"/>
              </w:rPr>
              <w:t xml:space="preserve">NATIONAL PRIORITY OR GOAL: </w:t>
            </w:r>
            <w:r w:rsidR="007D0913" w:rsidRPr="00F555E9">
              <w:rPr>
                <w:bCs/>
              </w:rPr>
              <w:t>Economic diversification and growth, food security and improved livelihoods</w:t>
            </w:r>
            <w:r w:rsidRPr="00F555E9">
              <w:rPr>
                <w:bCs/>
                <w:color w:val="0000FF"/>
              </w:rPr>
              <w:t xml:space="preserve"> </w:t>
            </w:r>
          </w:p>
        </w:tc>
      </w:tr>
      <w:tr w:rsidR="007A05B6" w:rsidRPr="003C26C1" w14:paraId="2440D443" w14:textId="77777777" w:rsidTr="00D55A8B">
        <w:tc>
          <w:tcPr>
            <w:tcW w:w="5000" w:type="pct"/>
            <w:gridSpan w:val="5"/>
            <w:shd w:val="clear" w:color="auto" w:fill="auto"/>
            <w:tcMar>
              <w:top w:w="72" w:type="dxa"/>
              <w:left w:w="144" w:type="dxa"/>
              <w:bottom w:w="72" w:type="dxa"/>
              <w:right w:w="144" w:type="dxa"/>
            </w:tcMar>
          </w:tcPr>
          <w:p w14:paraId="4ED26202" w14:textId="439F29A6" w:rsidR="004E6A15" w:rsidRDefault="004E6A15" w:rsidP="007D0913">
            <w:pPr>
              <w:rPr>
                <w:b/>
                <w:bCs/>
              </w:rPr>
            </w:pPr>
            <w:r w:rsidRPr="004E6A15">
              <w:rPr>
                <w:b/>
                <w:bCs/>
                <w:lang w:val="en-GB"/>
              </w:rPr>
              <w:t>SPC</w:t>
            </w:r>
            <w:r w:rsidRPr="004E6A15">
              <w:rPr>
                <w:b/>
                <w:bCs/>
              </w:rPr>
              <w:t xml:space="preserve">F </w:t>
            </w:r>
            <w:r w:rsidR="00A87C32" w:rsidRPr="00F555E9">
              <w:rPr>
                <w:b/>
                <w:bCs/>
              </w:rPr>
              <w:t>OUTCOME INVOLVING UNDP:</w:t>
            </w:r>
            <w:r w:rsidR="007D0913" w:rsidRPr="00F555E9">
              <w:rPr>
                <w:b/>
                <w:bCs/>
              </w:rPr>
              <w:t xml:space="preserve"> </w:t>
            </w:r>
          </w:p>
          <w:p w14:paraId="2440D442" w14:textId="2B7F2EA8" w:rsidR="007A05B6" w:rsidRPr="002C76A3" w:rsidRDefault="007D0913" w:rsidP="00B856D7">
            <w:pPr>
              <w:rPr>
                <w:color w:val="000000"/>
              </w:rPr>
            </w:pPr>
            <w:r w:rsidRPr="002C76A3">
              <w:rPr>
                <w:b/>
                <w:bCs/>
              </w:rPr>
              <w:t xml:space="preserve">Outcome </w:t>
            </w:r>
            <w:r w:rsidR="00B856D7">
              <w:rPr>
                <w:b/>
                <w:bCs/>
              </w:rPr>
              <w:t>D2</w:t>
            </w:r>
            <w:r w:rsidRPr="002C76A3">
              <w:rPr>
                <w:bCs/>
              </w:rPr>
              <w:t xml:space="preserve">: </w:t>
            </w:r>
            <w:r w:rsidR="00B856D7" w:rsidRPr="00B856D7">
              <w:rPr>
                <w:bCs/>
                <w:szCs w:val="21"/>
              </w:rPr>
              <w:t>By 2021, women, men, children and youth, including vulnerable groups and refugees, have improved gender equitable opportunities to participate in economic, political, cultural and social development</w:t>
            </w:r>
          </w:p>
        </w:tc>
      </w:tr>
      <w:tr w:rsidR="00772802" w:rsidRPr="003C26C1" w14:paraId="2440D445" w14:textId="77777777" w:rsidTr="00D55A8B">
        <w:tc>
          <w:tcPr>
            <w:tcW w:w="5000" w:type="pct"/>
            <w:gridSpan w:val="5"/>
            <w:shd w:val="clear" w:color="auto" w:fill="auto"/>
            <w:tcMar>
              <w:top w:w="72" w:type="dxa"/>
              <w:left w:w="144" w:type="dxa"/>
              <w:bottom w:w="72" w:type="dxa"/>
              <w:right w:w="144" w:type="dxa"/>
            </w:tcMar>
          </w:tcPr>
          <w:p w14:paraId="2ED0DB91" w14:textId="77777777" w:rsidR="00065E1E" w:rsidRDefault="00923F17" w:rsidP="00A87C32">
            <w:pPr>
              <w:rPr>
                <w:b/>
                <w:bCs/>
                <w:color w:val="000000"/>
                <w:lang w:val="en-GB"/>
              </w:rPr>
            </w:pPr>
            <w:r w:rsidRPr="002C76A3">
              <w:rPr>
                <w:b/>
                <w:bCs/>
                <w:color w:val="000000"/>
                <w:lang w:val="en-GB"/>
              </w:rPr>
              <w:t>R</w:t>
            </w:r>
            <w:r w:rsidR="00A87C32" w:rsidRPr="002C76A3">
              <w:rPr>
                <w:b/>
                <w:bCs/>
                <w:color w:val="000000"/>
                <w:lang w:val="en-GB"/>
              </w:rPr>
              <w:t xml:space="preserve">ELATED STRATEGIC PLAN OUTCOME: </w:t>
            </w:r>
          </w:p>
          <w:p w14:paraId="2440D444" w14:textId="1D8420D2" w:rsidR="00772802" w:rsidRPr="002C76A3" w:rsidRDefault="00A87C32" w:rsidP="00A87C32">
            <w:pPr>
              <w:rPr>
                <w:bCs/>
                <w:color w:val="000000"/>
                <w:lang w:val="en-GB"/>
              </w:rPr>
            </w:pPr>
            <w:r w:rsidRPr="002C76A3">
              <w:rPr>
                <w:bCs/>
              </w:rPr>
              <w:t>1. Growth and development are inclusive and sustainable, incorporating productive capacities that create employment and livelihoods for the poor and excluded</w:t>
            </w:r>
            <w:r w:rsidR="00923F17" w:rsidRPr="002C76A3">
              <w:rPr>
                <w:bCs/>
                <w:color w:val="000000"/>
                <w:lang w:val="en-GB"/>
              </w:rPr>
              <w:t xml:space="preserve"> </w:t>
            </w:r>
          </w:p>
        </w:tc>
      </w:tr>
      <w:tr w:rsidR="007A05B6" w:rsidRPr="003C26C1" w14:paraId="2440D44D" w14:textId="77777777" w:rsidTr="00F555E9">
        <w:tc>
          <w:tcPr>
            <w:tcW w:w="1097" w:type="pct"/>
            <w:shd w:val="clear" w:color="auto" w:fill="auto"/>
            <w:tcMar>
              <w:top w:w="72" w:type="dxa"/>
              <w:left w:w="144" w:type="dxa"/>
              <w:bottom w:w="72" w:type="dxa"/>
              <w:right w:w="144" w:type="dxa"/>
            </w:tcMar>
            <w:vAlign w:val="center"/>
          </w:tcPr>
          <w:p w14:paraId="2440D446" w14:textId="11E82F24" w:rsidR="007A05B6" w:rsidRPr="003C26C1" w:rsidRDefault="00DC0132" w:rsidP="00125266">
            <w:pPr>
              <w:jc w:val="center"/>
              <w:rPr>
                <w:color w:val="000000"/>
                <w:sz w:val="16"/>
                <w:szCs w:val="16"/>
              </w:rPr>
            </w:pPr>
            <w:r>
              <w:rPr>
                <w:b/>
                <w:bCs/>
                <w:color w:val="000000"/>
                <w:sz w:val="16"/>
                <w:szCs w:val="16"/>
                <w:lang w:val="en-GB"/>
              </w:rPr>
              <w:t>S</w:t>
            </w:r>
            <w:r w:rsidR="00A87C32">
              <w:rPr>
                <w:b/>
                <w:bCs/>
                <w:color w:val="000000"/>
                <w:sz w:val="16"/>
                <w:szCs w:val="16"/>
                <w:lang w:val="en-GB"/>
              </w:rPr>
              <w:t>PCF</w:t>
            </w:r>
            <w:r w:rsidR="007A05B6" w:rsidRPr="003C26C1">
              <w:rPr>
                <w:b/>
                <w:bCs/>
                <w:color w:val="000000"/>
                <w:sz w:val="16"/>
                <w:szCs w:val="16"/>
                <w:lang w:val="en-GB"/>
              </w:rPr>
              <w:t xml:space="preserve"> OUTCOME INDICATOR(S), BASELINES, TARGET(S)</w:t>
            </w:r>
          </w:p>
        </w:tc>
        <w:tc>
          <w:tcPr>
            <w:tcW w:w="827" w:type="pct"/>
            <w:shd w:val="clear" w:color="auto" w:fill="auto"/>
            <w:vAlign w:val="center"/>
          </w:tcPr>
          <w:p w14:paraId="2440D447" w14:textId="04D2E5F0" w:rsidR="007A05B6" w:rsidRPr="003C26C1" w:rsidRDefault="007A05B6" w:rsidP="00753626">
            <w:pPr>
              <w:jc w:val="center"/>
              <w:rPr>
                <w:b/>
                <w:color w:val="000000"/>
                <w:sz w:val="16"/>
                <w:szCs w:val="16"/>
              </w:rPr>
            </w:pPr>
            <w:r w:rsidRPr="003C26C1">
              <w:rPr>
                <w:b/>
                <w:color w:val="000000"/>
                <w:sz w:val="16"/>
                <w:szCs w:val="16"/>
              </w:rPr>
              <w:t>DATA SOURCE AND FREQUENCY OF DATA COLLECTION AND RESPONSIBILITIES</w:t>
            </w:r>
          </w:p>
        </w:tc>
        <w:tc>
          <w:tcPr>
            <w:tcW w:w="1833" w:type="pct"/>
            <w:shd w:val="clear" w:color="auto" w:fill="auto"/>
            <w:tcMar>
              <w:top w:w="72" w:type="dxa"/>
              <w:left w:w="144" w:type="dxa"/>
              <w:bottom w:w="72" w:type="dxa"/>
              <w:right w:w="144" w:type="dxa"/>
            </w:tcMar>
            <w:vAlign w:val="center"/>
          </w:tcPr>
          <w:p w14:paraId="2440D448" w14:textId="641ED162" w:rsidR="007A05B6" w:rsidRPr="003C26C1" w:rsidRDefault="007A05B6" w:rsidP="00607FBD">
            <w:pPr>
              <w:jc w:val="center"/>
              <w:rPr>
                <w:color w:val="000000"/>
                <w:sz w:val="16"/>
                <w:szCs w:val="16"/>
              </w:rPr>
            </w:pPr>
            <w:r w:rsidRPr="003C26C1">
              <w:rPr>
                <w:b/>
                <w:bCs/>
                <w:color w:val="000000"/>
                <w:sz w:val="16"/>
                <w:szCs w:val="16"/>
                <w:lang w:val="en-GB"/>
              </w:rPr>
              <w:t xml:space="preserve">INDICATIVE COUNTRY PROGRAMME OUTPUTS </w:t>
            </w:r>
          </w:p>
        </w:tc>
        <w:tc>
          <w:tcPr>
            <w:tcW w:w="653" w:type="pct"/>
            <w:shd w:val="clear" w:color="auto" w:fill="auto"/>
            <w:vAlign w:val="center"/>
          </w:tcPr>
          <w:p w14:paraId="2440D449" w14:textId="4B99B542" w:rsidR="007A05B6" w:rsidRPr="003C26C1" w:rsidRDefault="007A05B6" w:rsidP="00125266">
            <w:pPr>
              <w:jc w:val="center"/>
              <w:rPr>
                <w:b/>
                <w:bCs/>
                <w:color w:val="000000"/>
                <w:sz w:val="16"/>
                <w:szCs w:val="16"/>
                <w:lang w:val="en-GB"/>
              </w:rPr>
            </w:pPr>
            <w:r w:rsidRPr="003C26C1">
              <w:rPr>
                <w:b/>
                <w:bCs/>
                <w:color w:val="000000"/>
                <w:sz w:val="16"/>
                <w:szCs w:val="16"/>
                <w:lang w:val="en-GB"/>
              </w:rPr>
              <w:t>MAJOR PARTNERS</w:t>
            </w:r>
            <w:r w:rsidR="009B4DA7" w:rsidRPr="003C26C1">
              <w:rPr>
                <w:b/>
                <w:bCs/>
                <w:color w:val="000000"/>
                <w:sz w:val="16"/>
                <w:szCs w:val="16"/>
                <w:lang w:val="en-GB"/>
              </w:rPr>
              <w:t xml:space="preserve"> </w:t>
            </w:r>
            <w:r w:rsidRPr="003C26C1">
              <w:rPr>
                <w:b/>
                <w:bCs/>
                <w:color w:val="000000"/>
                <w:sz w:val="16"/>
                <w:szCs w:val="16"/>
                <w:lang w:val="en-GB"/>
              </w:rPr>
              <w:t>/</w:t>
            </w:r>
            <w:r w:rsidR="009B4DA7" w:rsidRPr="003C26C1">
              <w:rPr>
                <w:b/>
                <w:bCs/>
                <w:color w:val="000000"/>
                <w:sz w:val="16"/>
                <w:szCs w:val="16"/>
                <w:lang w:val="en-GB"/>
              </w:rPr>
              <w:t xml:space="preserve"> </w:t>
            </w:r>
            <w:r w:rsidRPr="003C26C1">
              <w:rPr>
                <w:b/>
                <w:bCs/>
                <w:color w:val="000000"/>
                <w:sz w:val="16"/>
                <w:szCs w:val="16"/>
                <w:lang w:val="en-GB"/>
              </w:rPr>
              <w:t>PARTNERSHIP</w:t>
            </w:r>
          </w:p>
          <w:p w14:paraId="2440D44A" w14:textId="77777777" w:rsidR="007A05B6" w:rsidRPr="003C26C1" w:rsidRDefault="007A05B6" w:rsidP="00125266">
            <w:pPr>
              <w:jc w:val="center"/>
              <w:rPr>
                <w:b/>
                <w:bCs/>
                <w:color w:val="000000"/>
                <w:sz w:val="16"/>
                <w:szCs w:val="16"/>
                <w:lang w:val="en-GB"/>
              </w:rPr>
            </w:pPr>
            <w:r w:rsidRPr="003C26C1">
              <w:rPr>
                <w:b/>
                <w:bCs/>
                <w:color w:val="000000"/>
                <w:sz w:val="16"/>
                <w:szCs w:val="16"/>
                <w:lang w:val="en-GB"/>
              </w:rPr>
              <w:t>FRAMEWORKS</w:t>
            </w:r>
          </w:p>
        </w:tc>
        <w:tc>
          <w:tcPr>
            <w:tcW w:w="590" w:type="pct"/>
            <w:shd w:val="clear" w:color="auto" w:fill="auto"/>
            <w:tcMar>
              <w:top w:w="15" w:type="dxa"/>
              <w:left w:w="108" w:type="dxa"/>
              <w:bottom w:w="0" w:type="dxa"/>
              <w:right w:w="108" w:type="dxa"/>
            </w:tcMar>
            <w:vAlign w:val="center"/>
          </w:tcPr>
          <w:p w14:paraId="2440D44C" w14:textId="058A19C4" w:rsidR="007A05B6" w:rsidRPr="002F4881" w:rsidRDefault="007A05B6" w:rsidP="002F4881">
            <w:pPr>
              <w:jc w:val="center"/>
              <w:rPr>
                <w:b/>
                <w:bCs/>
                <w:color w:val="000000"/>
                <w:sz w:val="16"/>
                <w:szCs w:val="16"/>
                <w:lang w:val="en-GB"/>
              </w:rPr>
            </w:pPr>
            <w:r w:rsidRPr="003C26C1">
              <w:rPr>
                <w:b/>
                <w:bCs/>
                <w:color w:val="000000"/>
                <w:sz w:val="16"/>
                <w:szCs w:val="16"/>
                <w:lang w:val="en-GB"/>
              </w:rPr>
              <w:t>IND</w:t>
            </w:r>
            <w:r w:rsidR="00D55A8B">
              <w:rPr>
                <w:b/>
                <w:bCs/>
                <w:color w:val="000000"/>
                <w:sz w:val="16"/>
                <w:szCs w:val="16"/>
                <w:lang w:val="en-GB"/>
              </w:rPr>
              <w:t>ICATIVE RESOURCES BY OUTCOME (</w:t>
            </w:r>
            <w:r w:rsidRPr="003C26C1">
              <w:rPr>
                <w:b/>
                <w:bCs/>
                <w:color w:val="000000"/>
                <w:sz w:val="16"/>
                <w:szCs w:val="16"/>
                <w:lang w:val="en-GB"/>
              </w:rPr>
              <w:t>$)</w:t>
            </w:r>
          </w:p>
        </w:tc>
      </w:tr>
      <w:tr w:rsidR="002F4881" w:rsidRPr="003C26C1" w14:paraId="2440D45D" w14:textId="77777777" w:rsidTr="00F555E9">
        <w:tc>
          <w:tcPr>
            <w:tcW w:w="1097" w:type="pct"/>
            <w:vMerge w:val="restart"/>
            <w:tcMar>
              <w:top w:w="72" w:type="dxa"/>
              <w:left w:w="144" w:type="dxa"/>
              <w:bottom w:w="72" w:type="dxa"/>
              <w:right w:w="144" w:type="dxa"/>
            </w:tcMar>
          </w:tcPr>
          <w:p w14:paraId="076CCBA8" w14:textId="77777777" w:rsidR="002F4881" w:rsidRDefault="002F4881" w:rsidP="002F4881">
            <w:pPr>
              <w:spacing w:before="120"/>
              <w:rPr>
                <w:sz w:val="16"/>
                <w:szCs w:val="16"/>
              </w:rPr>
            </w:pPr>
            <w:r w:rsidRPr="00A707DB">
              <w:rPr>
                <w:b/>
                <w:sz w:val="16"/>
                <w:szCs w:val="16"/>
              </w:rPr>
              <w:t>Indicator 1.1</w:t>
            </w:r>
            <w:r>
              <w:rPr>
                <w:sz w:val="16"/>
                <w:szCs w:val="16"/>
              </w:rPr>
              <w:t xml:space="preserve">: Employment rate </w:t>
            </w:r>
            <w:r w:rsidRPr="00DF5965">
              <w:rPr>
                <w:sz w:val="16"/>
                <w:szCs w:val="16"/>
              </w:rPr>
              <w:t>(formal</w:t>
            </w:r>
            <w:r>
              <w:rPr>
                <w:sz w:val="16"/>
                <w:szCs w:val="16"/>
              </w:rPr>
              <w:t xml:space="preserve"> </w:t>
            </w:r>
            <w:r w:rsidRPr="00DF5965">
              <w:rPr>
                <w:sz w:val="16"/>
                <w:szCs w:val="16"/>
              </w:rPr>
              <w:t>and informal),</w:t>
            </w:r>
            <w:r>
              <w:rPr>
                <w:sz w:val="16"/>
                <w:szCs w:val="16"/>
              </w:rPr>
              <w:t xml:space="preserve"> </w:t>
            </w:r>
            <w:r w:rsidRPr="00DF5965">
              <w:rPr>
                <w:sz w:val="16"/>
                <w:szCs w:val="16"/>
              </w:rPr>
              <w:t>disaggregated by sex</w:t>
            </w:r>
            <w:r>
              <w:rPr>
                <w:sz w:val="16"/>
                <w:szCs w:val="16"/>
              </w:rPr>
              <w:t xml:space="preserve"> and urban/rural (IRRF Indicator 1.1) </w:t>
            </w:r>
          </w:p>
          <w:p w14:paraId="73CDA4D3" w14:textId="77777777" w:rsidR="002F4881" w:rsidRDefault="002F4881" w:rsidP="002F4881">
            <w:pPr>
              <w:rPr>
                <w:b/>
                <w:sz w:val="16"/>
                <w:szCs w:val="16"/>
              </w:rPr>
            </w:pPr>
          </w:p>
          <w:p w14:paraId="333926B8" w14:textId="2EE55812" w:rsidR="002F4881" w:rsidRPr="00A707DB" w:rsidRDefault="002F4881" w:rsidP="002F4881">
            <w:pPr>
              <w:rPr>
                <w:sz w:val="16"/>
                <w:szCs w:val="16"/>
              </w:rPr>
            </w:pPr>
            <w:r w:rsidRPr="00A707DB">
              <w:rPr>
                <w:b/>
                <w:sz w:val="16"/>
                <w:szCs w:val="16"/>
              </w:rPr>
              <w:t xml:space="preserve">Baseline (2010 </w:t>
            </w:r>
            <w:r w:rsidR="00A60914" w:rsidRPr="00A60914">
              <w:rPr>
                <w:b/>
                <w:sz w:val="16"/>
                <w:szCs w:val="16"/>
              </w:rPr>
              <w:t>Eritrea Population and Household Survey</w:t>
            </w:r>
            <w:r w:rsidRPr="00A707DB">
              <w:rPr>
                <w:b/>
                <w:sz w:val="16"/>
                <w:szCs w:val="16"/>
              </w:rPr>
              <w:t>)</w:t>
            </w:r>
            <w:r w:rsidRPr="00A707DB">
              <w:rPr>
                <w:sz w:val="16"/>
                <w:szCs w:val="16"/>
              </w:rPr>
              <w:t>: Male: 63%; Female: 23%; Rural: 30.5% (61%</w:t>
            </w:r>
            <w:r w:rsidR="008C5422">
              <w:rPr>
                <w:sz w:val="16"/>
                <w:szCs w:val="16"/>
              </w:rPr>
              <w:t xml:space="preserve"> </w:t>
            </w:r>
            <w:r w:rsidRPr="00A707DB">
              <w:rPr>
                <w:sz w:val="16"/>
                <w:szCs w:val="16"/>
              </w:rPr>
              <w:t>M</w:t>
            </w:r>
            <w:r w:rsidR="008C5422">
              <w:rPr>
                <w:sz w:val="16"/>
                <w:szCs w:val="16"/>
              </w:rPr>
              <w:t>ale;</w:t>
            </w:r>
            <w:r w:rsidRPr="00A707DB">
              <w:rPr>
                <w:sz w:val="16"/>
                <w:szCs w:val="16"/>
              </w:rPr>
              <w:t xml:space="preserve"> 10%</w:t>
            </w:r>
            <w:r w:rsidR="008C5422">
              <w:rPr>
                <w:sz w:val="16"/>
                <w:szCs w:val="16"/>
              </w:rPr>
              <w:t xml:space="preserve"> </w:t>
            </w:r>
            <w:r w:rsidRPr="00A707DB">
              <w:rPr>
                <w:sz w:val="16"/>
                <w:szCs w:val="16"/>
              </w:rPr>
              <w:t>F</w:t>
            </w:r>
            <w:r w:rsidR="008C5422">
              <w:rPr>
                <w:sz w:val="16"/>
                <w:szCs w:val="16"/>
              </w:rPr>
              <w:t>emale</w:t>
            </w:r>
            <w:r w:rsidRPr="00A707DB">
              <w:rPr>
                <w:sz w:val="16"/>
                <w:szCs w:val="16"/>
              </w:rPr>
              <w:t>); Urban: 43% (55%</w:t>
            </w:r>
            <w:r w:rsidR="008C5422">
              <w:rPr>
                <w:sz w:val="16"/>
                <w:szCs w:val="16"/>
              </w:rPr>
              <w:t xml:space="preserve"> </w:t>
            </w:r>
            <w:r>
              <w:rPr>
                <w:sz w:val="16"/>
                <w:szCs w:val="16"/>
              </w:rPr>
              <w:t>M</w:t>
            </w:r>
            <w:r w:rsidR="008C5422">
              <w:rPr>
                <w:sz w:val="16"/>
                <w:szCs w:val="16"/>
              </w:rPr>
              <w:t>ale;</w:t>
            </w:r>
            <w:r>
              <w:rPr>
                <w:sz w:val="16"/>
                <w:szCs w:val="16"/>
              </w:rPr>
              <w:t xml:space="preserve"> 30%</w:t>
            </w:r>
            <w:r w:rsidR="008C5422">
              <w:rPr>
                <w:sz w:val="16"/>
                <w:szCs w:val="16"/>
              </w:rPr>
              <w:t xml:space="preserve"> </w:t>
            </w:r>
            <w:r>
              <w:rPr>
                <w:sz w:val="16"/>
                <w:szCs w:val="16"/>
              </w:rPr>
              <w:t>F</w:t>
            </w:r>
            <w:r w:rsidR="008C5422">
              <w:rPr>
                <w:sz w:val="16"/>
                <w:szCs w:val="16"/>
              </w:rPr>
              <w:t>emale</w:t>
            </w:r>
            <w:r w:rsidRPr="00A707DB">
              <w:rPr>
                <w:sz w:val="16"/>
                <w:szCs w:val="16"/>
              </w:rPr>
              <w:t>)</w:t>
            </w:r>
          </w:p>
          <w:p w14:paraId="328F2242" w14:textId="77777777" w:rsidR="002F4881" w:rsidRDefault="002F4881" w:rsidP="002F4881">
            <w:pPr>
              <w:rPr>
                <w:b/>
                <w:sz w:val="16"/>
                <w:szCs w:val="16"/>
              </w:rPr>
            </w:pPr>
          </w:p>
          <w:p w14:paraId="38220768" w14:textId="77777777" w:rsidR="002F4881" w:rsidRPr="00A707DB" w:rsidRDefault="002F4881" w:rsidP="002F4881">
            <w:pPr>
              <w:rPr>
                <w:sz w:val="16"/>
                <w:szCs w:val="16"/>
              </w:rPr>
            </w:pPr>
            <w:r w:rsidRPr="00A707DB">
              <w:rPr>
                <w:b/>
                <w:sz w:val="16"/>
                <w:szCs w:val="16"/>
              </w:rPr>
              <w:t>Target (2021)</w:t>
            </w:r>
            <w:r w:rsidRPr="00A707DB">
              <w:rPr>
                <w:sz w:val="16"/>
                <w:szCs w:val="16"/>
              </w:rPr>
              <w:t>: Male: 85%; Female: 60%; Rural: 70%; Urban: 90%</w:t>
            </w:r>
          </w:p>
          <w:p w14:paraId="0C82FAEC" w14:textId="77777777" w:rsidR="002F4881" w:rsidRPr="00A707DB" w:rsidRDefault="002F4881" w:rsidP="002F4881">
            <w:pPr>
              <w:rPr>
                <w:b/>
                <w:sz w:val="16"/>
                <w:szCs w:val="16"/>
              </w:rPr>
            </w:pPr>
          </w:p>
          <w:p w14:paraId="17E0F6EB" w14:textId="77777777" w:rsidR="002F4881" w:rsidRDefault="002F4881" w:rsidP="002F4881">
            <w:pPr>
              <w:rPr>
                <w:b/>
                <w:sz w:val="16"/>
                <w:szCs w:val="16"/>
              </w:rPr>
            </w:pPr>
          </w:p>
          <w:p w14:paraId="2C6D5E47" w14:textId="77777777" w:rsidR="002F4881" w:rsidRPr="00A707DB" w:rsidRDefault="002F4881" w:rsidP="002F4881">
            <w:pPr>
              <w:rPr>
                <w:sz w:val="16"/>
                <w:szCs w:val="16"/>
              </w:rPr>
            </w:pPr>
            <w:r w:rsidRPr="00A707DB">
              <w:rPr>
                <w:b/>
                <w:sz w:val="16"/>
                <w:szCs w:val="16"/>
              </w:rPr>
              <w:t>Indicator 1.2</w:t>
            </w:r>
            <w:r w:rsidRPr="00A707DB">
              <w:rPr>
                <w:sz w:val="16"/>
                <w:szCs w:val="16"/>
              </w:rPr>
              <w:t>: Proportion of people living below the national poverty line, disaggregated rural/urban and gender</w:t>
            </w:r>
          </w:p>
          <w:p w14:paraId="7AC69983" w14:textId="77777777" w:rsidR="002F4881" w:rsidRDefault="002F4881" w:rsidP="002F4881">
            <w:pPr>
              <w:rPr>
                <w:b/>
                <w:sz w:val="16"/>
                <w:szCs w:val="16"/>
              </w:rPr>
            </w:pPr>
          </w:p>
          <w:p w14:paraId="2FFC40FC" w14:textId="77777777" w:rsidR="002F4881" w:rsidRPr="00A707DB" w:rsidRDefault="002F4881" w:rsidP="002F4881">
            <w:pPr>
              <w:rPr>
                <w:sz w:val="16"/>
                <w:szCs w:val="16"/>
              </w:rPr>
            </w:pPr>
            <w:r w:rsidRPr="00A707DB">
              <w:rPr>
                <w:b/>
                <w:sz w:val="16"/>
                <w:szCs w:val="16"/>
              </w:rPr>
              <w:t>Baseline (2015)</w:t>
            </w:r>
            <w:r w:rsidRPr="00A707DB">
              <w:rPr>
                <w:sz w:val="16"/>
                <w:szCs w:val="16"/>
              </w:rPr>
              <w:t xml:space="preserve">: </w:t>
            </w:r>
            <w:r>
              <w:rPr>
                <w:sz w:val="16"/>
                <w:szCs w:val="16"/>
              </w:rPr>
              <w:t>TBD</w:t>
            </w:r>
          </w:p>
          <w:p w14:paraId="7B55C9E7" w14:textId="77777777" w:rsidR="002F4881" w:rsidRDefault="002F4881" w:rsidP="002F4881">
            <w:pPr>
              <w:rPr>
                <w:b/>
                <w:sz w:val="16"/>
                <w:szCs w:val="16"/>
              </w:rPr>
            </w:pPr>
          </w:p>
          <w:p w14:paraId="252F9243" w14:textId="77777777" w:rsidR="002F4881" w:rsidRPr="00A707DB" w:rsidRDefault="002F4881" w:rsidP="002F4881">
            <w:pPr>
              <w:rPr>
                <w:sz w:val="16"/>
                <w:szCs w:val="16"/>
              </w:rPr>
            </w:pPr>
            <w:r w:rsidRPr="00A707DB">
              <w:rPr>
                <w:b/>
                <w:sz w:val="16"/>
                <w:szCs w:val="16"/>
              </w:rPr>
              <w:t>Target (2021)</w:t>
            </w:r>
            <w:r w:rsidRPr="00A707DB">
              <w:rPr>
                <w:sz w:val="16"/>
                <w:szCs w:val="16"/>
              </w:rPr>
              <w:t xml:space="preserve">:  </w:t>
            </w:r>
            <w:r>
              <w:rPr>
                <w:sz w:val="16"/>
                <w:szCs w:val="16"/>
              </w:rPr>
              <w:t>TBD</w:t>
            </w:r>
          </w:p>
          <w:p w14:paraId="2440D451" w14:textId="3CE06418" w:rsidR="002F4881" w:rsidRPr="003C26C1" w:rsidRDefault="002F4881" w:rsidP="002F4881">
            <w:pPr>
              <w:rPr>
                <w:bCs/>
                <w:i/>
                <w:color w:val="000000"/>
                <w:sz w:val="16"/>
                <w:szCs w:val="16"/>
                <w:lang w:val="en-GB"/>
              </w:rPr>
            </w:pPr>
          </w:p>
        </w:tc>
        <w:tc>
          <w:tcPr>
            <w:tcW w:w="827" w:type="pct"/>
            <w:vMerge w:val="restart"/>
          </w:tcPr>
          <w:p w14:paraId="17DCD18F" w14:textId="13896DBD" w:rsidR="002F4881" w:rsidRPr="00A707DB" w:rsidRDefault="002F4881" w:rsidP="002F4881">
            <w:pPr>
              <w:spacing w:before="120"/>
              <w:rPr>
                <w:sz w:val="16"/>
                <w:szCs w:val="16"/>
              </w:rPr>
            </w:pPr>
            <w:r w:rsidRPr="00A707DB">
              <w:rPr>
                <w:b/>
                <w:sz w:val="16"/>
                <w:szCs w:val="16"/>
              </w:rPr>
              <w:t>Source</w:t>
            </w:r>
            <w:r w:rsidRPr="00A707DB">
              <w:rPr>
                <w:sz w:val="16"/>
                <w:szCs w:val="16"/>
              </w:rPr>
              <w:t xml:space="preserve">: Labour-force survey, </w:t>
            </w:r>
            <w:r w:rsidR="00C1328E" w:rsidRPr="00C1328E">
              <w:rPr>
                <w:sz w:val="16"/>
                <w:szCs w:val="16"/>
                <w:lang w:val="en-ZW"/>
              </w:rPr>
              <w:t>African Development Bank</w:t>
            </w:r>
            <w:r w:rsidR="00115246">
              <w:rPr>
                <w:sz w:val="16"/>
                <w:szCs w:val="16"/>
                <w:lang w:val="en-ZW"/>
              </w:rPr>
              <w:t xml:space="preserve"> (ADB)</w:t>
            </w:r>
            <w:r w:rsidR="00C1328E" w:rsidRPr="00C1328E">
              <w:rPr>
                <w:sz w:val="16"/>
                <w:szCs w:val="16"/>
                <w:lang w:val="en-ZW"/>
              </w:rPr>
              <w:t xml:space="preserve"> </w:t>
            </w:r>
            <w:r w:rsidRPr="00A707DB">
              <w:rPr>
                <w:sz w:val="16"/>
                <w:szCs w:val="16"/>
              </w:rPr>
              <w:t>/W</w:t>
            </w:r>
            <w:r w:rsidR="00911274">
              <w:rPr>
                <w:sz w:val="16"/>
                <w:szCs w:val="16"/>
              </w:rPr>
              <w:t xml:space="preserve">orld </w:t>
            </w:r>
            <w:r w:rsidRPr="00A707DB">
              <w:rPr>
                <w:sz w:val="16"/>
                <w:szCs w:val="16"/>
              </w:rPr>
              <w:t>B</w:t>
            </w:r>
            <w:r w:rsidR="00911274">
              <w:rPr>
                <w:sz w:val="16"/>
                <w:szCs w:val="16"/>
              </w:rPr>
              <w:t>ank</w:t>
            </w:r>
            <w:r w:rsidRPr="00A707DB">
              <w:rPr>
                <w:sz w:val="16"/>
                <w:szCs w:val="16"/>
              </w:rPr>
              <w:t xml:space="preserve"> reports</w:t>
            </w:r>
          </w:p>
          <w:p w14:paraId="0D60285B" w14:textId="77777777" w:rsidR="002F4881" w:rsidRDefault="002F4881" w:rsidP="002F4881">
            <w:pPr>
              <w:rPr>
                <w:b/>
                <w:sz w:val="16"/>
                <w:szCs w:val="16"/>
              </w:rPr>
            </w:pPr>
          </w:p>
          <w:p w14:paraId="3CF8D086" w14:textId="77777777" w:rsidR="002F4881" w:rsidRPr="00A707DB" w:rsidRDefault="002F4881" w:rsidP="002F4881">
            <w:pPr>
              <w:rPr>
                <w:sz w:val="16"/>
                <w:szCs w:val="16"/>
              </w:rPr>
            </w:pPr>
            <w:r w:rsidRPr="00A707DB">
              <w:rPr>
                <w:b/>
                <w:sz w:val="16"/>
                <w:szCs w:val="16"/>
              </w:rPr>
              <w:t>Frequency</w:t>
            </w:r>
            <w:r w:rsidRPr="00A707DB">
              <w:rPr>
                <w:sz w:val="16"/>
                <w:szCs w:val="16"/>
              </w:rPr>
              <w:t>: Biennial</w:t>
            </w:r>
          </w:p>
          <w:p w14:paraId="306477A0" w14:textId="77777777" w:rsidR="002F4881" w:rsidRDefault="002F4881" w:rsidP="002F4881">
            <w:pPr>
              <w:rPr>
                <w:b/>
                <w:sz w:val="16"/>
                <w:szCs w:val="16"/>
              </w:rPr>
            </w:pPr>
          </w:p>
          <w:p w14:paraId="194E11E4" w14:textId="047DCBA1" w:rsidR="002F4881" w:rsidRPr="00A707DB" w:rsidRDefault="002F4881" w:rsidP="002F4881">
            <w:pPr>
              <w:rPr>
                <w:sz w:val="16"/>
                <w:szCs w:val="16"/>
              </w:rPr>
            </w:pPr>
            <w:r w:rsidRPr="00A707DB">
              <w:rPr>
                <w:b/>
                <w:sz w:val="16"/>
                <w:szCs w:val="16"/>
              </w:rPr>
              <w:t>Responsible</w:t>
            </w:r>
            <w:r w:rsidRPr="00A707DB">
              <w:rPr>
                <w:sz w:val="16"/>
                <w:szCs w:val="16"/>
              </w:rPr>
              <w:t xml:space="preserve">: </w:t>
            </w:r>
            <w:r w:rsidR="0038619B">
              <w:rPr>
                <w:sz w:val="16"/>
                <w:szCs w:val="16"/>
              </w:rPr>
              <w:t>Ministry of Labo</w:t>
            </w:r>
            <w:r w:rsidR="00115246">
              <w:rPr>
                <w:sz w:val="16"/>
                <w:szCs w:val="16"/>
              </w:rPr>
              <w:t>u</w:t>
            </w:r>
            <w:r w:rsidR="0038619B">
              <w:rPr>
                <w:sz w:val="16"/>
                <w:szCs w:val="16"/>
              </w:rPr>
              <w:t>r and Human Welfare</w:t>
            </w:r>
            <w:r w:rsidR="00115246">
              <w:rPr>
                <w:sz w:val="16"/>
                <w:szCs w:val="16"/>
              </w:rPr>
              <w:t xml:space="preserve"> (MLHW)</w:t>
            </w:r>
            <w:r w:rsidRPr="00A707DB">
              <w:rPr>
                <w:sz w:val="16"/>
                <w:szCs w:val="16"/>
              </w:rPr>
              <w:t>, M</w:t>
            </w:r>
            <w:r w:rsidR="00F555E9">
              <w:rPr>
                <w:sz w:val="16"/>
                <w:szCs w:val="16"/>
              </w:rPr>
              <w:t>inistry of Trade and Industry</w:t>
            </w:r>
            <w:r w:rsidRPr="00A707DB">
              <w:rPr>
                <w:sz w:val="16"/>
                <w:szCs w:val="16"/>
              </w:rPr>
              <w:t xml:space="preserve">, </w:t>
            </w:r>
            <w:r w:rsidR="008C5422" w:rsidRPr="008C5422">
              <w:rPr>
                <w:sz w:val="16"/>
                <w:szCs w:val="16"/>
              </w:rPr>
              <w:t>National Statistics Office</w:t>
            </w:r>
            <w:r w:rsidRPr="00A707DB">
              <w:rPr>
                <w:sz w:val="16"/>
                <w:szCs w:val="16"/>
              </w:rPr>
              <w:t>, UNDP</w:t>
            </w:r>
          </w:p>
          <w:p w14:paraId="6311065B" w14:textId="77777777" w:rsidR="002F4881" w:rsidRPr="00A707DB" w:rsidRDefault="002F4881" w:rsidP="002F4881">
            <w:pPr>
              <w:rPr>
                <w:sz w:val="16"/>
                <w:szCs w:val="16"/>
              </w:rPr>
            </w:pPr>
          </w:p>
          <w:p w14:paraId="1F2DC98C" w14:textId="77777777" w:rsidR="002F4881" w:rsidRPr="00A707DB" w:rsidRDefault="002F4881" w:rsidP="002F4881">
            <w:pPr>
              <w:rPr>
                <w:b/>
                <w:sz w:val="16"/>
                <w:szCs w:val="16"/>
              </w:rPr>
            </w:pPr>
          </w:p>
          <w:p w14:paraId="3A99B655" w14:textId="77777777" w:rsidR="002F4881" w:rsidRPr="00A707DB" w:rsidRDefault="002F4881" w:rsidP="002F4881">
            <w:pPr>
              <w:rPr>
                <w:b/>
                <w:sz w:val="16"/>
                <w:szCs w:val="16"/>
              </w:rPr>
            </w:pPr>
          </w:p>
          <w:p w14:paraId="35F4B6BE" w14:textId="77777777" w:rsidR="002F4881" w:rsidRDefault="002F4881" w:rsidP="002F4881">
            <w:pPr>
              <w:rPr>
                <w:b/>
                <w:sz w:val="16"/>
                <w:szCs w:val="16"/>
              </w:rPr>
            </w:pPr>
          </w:p>
          <w:p w14:paraId="08136507" w14:textId="77777777" w:rsidR="002F4881" w:rsidRDefault="002F4881" w:rsidP="002F4881">
            <w:pPr>
              <w:rPr>
                <w:b/>
                <w:sz w:val="16"/>
                <w:szCs w:val="16"/>
              </w:rPr>
            </w:pPr>
          </w:p>
          <w:p w14:paraId="6B177463" w14:textId="77777777" w:rsidR="002F4881" w:rsidRDefault="002F4881" w:rsidP="002F4881">
            <w:pPr>
              <w:rPr>
                <w:b/>
                <w:sz w:val="16"/>
                <w:szCs w:val="16"/>
              </w:rPr>
            </w:pPr>
          </w:p>
          <w:p w14:paraId="7DD8F8AA" w14:textId="77777777" w:rsidR="002F4881" w:rsidRDefault="002F4881" w:rsidP="002F4881">
            <w:pPr>
              <w:rPr>
                <w:b/>
                <w:sz w:val="16"/>
                <w:szCs w:val="16"/>
              </w:rPr>
            </w:pPr>
          </w:p>
          <w:p w14:paraId="07C897F5" w14:textId="77777777" w:rsidR="002F4881" w:rsidRDefault="002F4881" w:rsidP="002F4881">
            <w:pPr>
              <w:rPr>
                <w:b/>
                <w:sz w:val="16"/>
                <w:szCs w:val="16"/>
              </w:rPr>
            </w:pPr>
          </w:p>
          <w:p w14:paraId="357A51C5" w14:textId="39388760" w:rsidR="002F4881" w:rsidRPr="00A707DB" w:rsidRDefault="002F4881" w:rsidP="002F4881">
            <w:pPr>
              <w:rPr>
                <w:sz w:val="16"/>
                <w:szCs w:val="16"/>
              </w:rPr>
            </w:pPr>
            <w:r w:rsidRPr="00A707DB">
              <w:rPr>
                <w:b/>
                <w:sz w:val="16"/>
                <w:szCs w:val="16"/>
              </w:rPr>
              <w:t>Source</w:t>
            </w:r>
            <w:r w:rsidRPr="00A707DB">
              <w:rPr>
                <w:sz w:val="16"/>
                <w:szCs w:val="16"/>
              </w:rPr>
              <w:t xml:space="preserve">: </w:t>
            </w:r>
            <w:r w:rsidR="00343C49">
              <w:rPr>
                <w:sz w:val="16"/>
                <w:szCs w:val="16"/>
              </w:rPr>
              <w:t>u</w:t>
            </w:r>
            <w:r w:rsidRPr="00A707DB">
              <w:rPr>
                <w:sz w:val="16"/>
                <w:szCs w:val="16"/>
              </w:rPr>
              <w:t xml:space="preserve">nmet basic needs; SDG progress reports; </w:t>
            </w:r>
            <w:r w:rsidR="00115246">
              <w:rPr>
                <w:sz w:val="16"/>
                <w:szCs w:val="16"/>
                <w:lang w:val="en-ZW"/>
              </w:rPr>
              <w:t>ADB</w:t>
            </w:r>
            <w:r w:rsidR="00C1328E" w:rsidRPr="00C1328E">
              <w:rPr>
                <w:sz w:val="16"/>
                <w:szCs w:val="16"/>
                <w:lang w:val="en-ZW"/>
              </w:rPr>
              <w:t xml:space="preserve"> </w:t>
            </w:r>
            <w:r w:rsidRPr="00A707DB">
              <w:rPr>
                <w:sz w:val="16"/>
                <w:szCs w:val="16"/>
              </w:rPr>
              <w:t>/W</w:t>
            </w:r>
            <w:r w:rsidR="00911274">
              <w:rPr>
                <w:sz w:val="16"/>
                <w:szCs w:val="16"/>
              </w:rPr>
              <w:t xml:space="preserve">orld </w:t>
            </w:r>
            <w:r w:rsidRPr="00A707DB">
              <w:rPr>
                <w:sz w:val="16"/>
                <w:szCs w:val="16"/>
              </w:rPr>
              <w:t>B</w:t>
            </w:r>
            <w:r w:rsidR="00911274">
              <w:rPr>
                <w:sz w:val="16"/>
                <w:szCs w:val="16"/>
              </w:rPr>
              <w:t>ank</w:t>
            </w:r>
            <w:r w:rsidRPr="00A707DB">
              <w:rPr>
                <w:sz w:val="16"/>
                <w:szCs w:val="16"/>
              </w:rPr>
              <w:t xml:space="preserve"> reports</w:t>
            </w:r>
          </w:p>
          <w:p w14:paraId="309FBC26" w14:textId="77777777" w:rsidR="002F4881" w:rsidRDefault="002F4881" w:rsidP="002F4881">
            <w:pPr>
              <w:rPr>
                <w:b/>
                <w:sz w:val="16"/>
                <w:szCs w:val="16"/>
              </w:rPr>
            </w:pPr>
          </w:p>
          <w:p w14:paraId="7B01BF83" w14:textId="0A7B732E" w:rsidR="002F4881" w:rsidRPr="00A707DB" w:rsidRDefault="002F4881" w:rsidP="002F4881">
            <w:pPr>
              <w:rPr>
                <w:sz w:val="16"/>
                <w:szCs w:val="16"/>
              </w:rPr>
            </w:pPr>
            <w:r w:rsidRPr="00A707DB">
              <w:rPr>
                <w:b/>
                <w:sz w:val="16"/>
                <w:szCs w:val="16"/>
              </w:rPr>
              <w:t>Frequency</w:t>
            </w:r>
            <w:r w:rsidRPr="00A707DB">
              <w:rPr>
                <w:sz w:val="16"/>
                <w:szCs w:val="16"/>
              </w:rPr>
              <w:t xml:space="preserve">: </w:t>
            </w:r>
            <w:r w:rsidR="00E966DD">
              <w:rPr>
                <w:sz w:val="16"/>
                <w:szCs w:val="16"/>
              </w:rPr>
              <w:t>a</w:t>
            </w:r>
            <w:r w:rsidRPr="00A707DB">
              <w:rPr>
                <w:sz w:val="16"/>
                <w:szCs w:val="16"/>
              </w:rPr>
              <w:t>nnual</w:t>
            </w:r>
          </w:p>
          <w:p w14:paraId="0D1D1042" w14:textId="77777777" w:rsidR="002F4881" w:rsidRDefault="002F4881" w:rsidP="002F4881">
            <w:pPr>
              <w:rPr>
                <w:b/>
                <w:sz w:val="16"/>
                <w:szCs w:val="16"/>
              </w:rPr>
            </w:pPr>
          </w:p>
          <w:p w14:paraId="2F057DA2" w14:textId="72AF5A36" w:rsidR="002F4881" w:rsidRPr="00A707DB" w:rsidRDefault="002F4881" w:rsidP="002F4881">
            <w:pPr>
              <w:rPr>
                <w:sz w:val="16"/>
                <w:szCs w:val="16"/>
              </w:rPr>
            </w:pPr>
            <w:r w:rsidRPr="00A707DB">
              <w:rPr>
                <w:b/>
                <w:sz w:val="16"/>
                <w:szCs w:val="16"/>
              </w:rPr>
              <w:lastRenderedPageBreak/>
              <w:t>Responsible</w:t>
            </w:r>
            <w:r>
              <w:rPr>
                <w:sz w:val="16"/>
                <w:szCs w:val="16"/>
              </w:rPr>
              <w:t xml:space="preserve">: </w:t>
            </w:r>
            <w:r w:rsidR="00F45F34">
              <w:rPr>
                <w:bCs/>
                <w:sz w:val="16"/>
                <w:szCs w:val="16"/>
              </w:rPr>
              <w:t>MND</w:t>
            </w:r>
            <w:r w:rsidRPr="00A707DB">
              <w:rPr>
                <w:sz w:val="16"/>
                <w:szCs w:val="16"/>
              </w:rPr>
              <w:t xml:space="preserve">, </w:t>
            </w:r>
            <w:r w:rsidR="00115246" w:rsidRPr="00115246">
              <w:rPr>
                <w:sz w:val="16"/>
                <w:szCs w:val="16"/>
              </w:rPr>
              <w:t>MLHW</w:t>
            </w:r>
            <w:r w:rsidRPr="00A707DB">
              <w:rPr>
                <w:sz w:val="16"/>
                <w:szCs w:val="16"/>
              </w:rPr>
              <w:t>, N</w:t>
            </w:r>
            <w:r w:rsidR="008C5422">
              <w:rPr>
                <w:sz w:val="16"/>
                <w:szCs w:val="16"/>
              </w:rPr>
              <w:t xml:space="preserve">ational </w:t>
            </w:r>
            <w:r w:rsidRPr="00A707DB">
              <w:rPr>
                <w:sz w:val="16"/>
                <w:szCs w:val="16"/>
              </w:rPr>
              <w:t>S</w:t>
            </w:r>
            <w:r w:rsidR="008C5422">
              <w:rPr>
                <w:sz w:val="16"/>
                <w:szCs w:val="16"/>
              </w:rPr>
              <w:t xml:space="preserve">tatistics </w:t>
            </w:r>
            <w:r w:rsidRPr="00A707DB">
              <w:rPr>
                <w:sz w:val="16"/>
                <w:szCs w:val="16"/>
              </w:rPr>
              <w:t>O</w:t>
            </w:r>
            <w:r w:rsidR="008C5422">
              <w:rPr>
                <w:sz w:val="16"/>
                <w:szCs w:val="16"/>
              </w:rPr>
              <w:t>ffice</w:t>
            </w:r>
            <w:r w:rsidRPr="00A707DB">
              <w:rPr>
                <w:sz w:val="16"/>
                <w:szCs w:val="16"/>
              </w:rPr>
              <w:t>, UNDP</w:t>
            </w:r>
          </w:p>
          <w:p w14:paraId="2440D453" w14:textId="00B17889" w:rsidR="002F4881" w:rsidRPr="002F4881" w:rsidRDefault="002F4881" w:rsidP="002F4881">
            <w:pPr>
              <w:rPr>
                <w:i/>
                <w:iCs/>
                <w:sz w:val="16"/>
                <w:szCs w:val="16"/>
                <w:lang w:val="en-GB"/>
              </w:rPr>
            </w:pPr>
          </w:p>
          <w:p w14:paraId="2440D454" w14:textId="77777777" w:rsidR="002F4881" w:rsidRPr="003C26C1" w:rsidRDefault="002F4881" w:rsidP="002F4881">
            <w:pPr>
              <w:rPr>
                <w:b/>
                <w:bCs/>
                <w:i/>
                <w:color w:val="000000"/>
                <w:sz w:val="16"/>
                <w:szCs w:val="16"/>
                <w:lang w:val="en-GB"/>
              </w:rPr>
            </w:pPr>
          </w:p>
        </w:tc>
        <w:tc>
          <w:tcPr>
            <w:tcW w:w="1833" w:type="pct"/>
            <w:vMerge w:val="restart"/>
            <w:tcMar>
              <w:top w:w="72" w:type="dxa"/>
              <w:left w:w="144" w:type="dxa"/>
              <w:bottom w:w="72" w:type="dxa"/>
              <w:right w:w="144" w:type="dxa"/>
            </w:tcMar>
          </w:tcPr>
          <w:p w14:paraId="6D0DF74E" w14:textId="41873C79" w:rsidR="002F4881" w:rsidRPr="00A707DB" w:rsidRDefault="002F4881" w:rsidP="002F4881">
            <w:pPr>
              <w:spacing w:before="120"/>
              <w:rPr>
                <w:b/>
                <w:bCs/>
                <w:kern w:val="24"/>
                <w:sz w:val="16"/>
                <w:szCs w:val="16"/>
                <w:lang w:eastAsia="en-ZA"/>
              </w:rPr>
            </w:pPr>
            <w:r w:rsidRPr="00A707DB">
              <w:rPr>
                <w:b/>
                <w:bCs/>
                <w:kern w:val="24"/>
                <w:sz w:val="16"/>
                <w:szCs w:val="16"/>
                <w:lang w:eastAsia="en-ZA"/>
              </w:rPr>
              <w:lastRenderedPageBreak/>
              <w:t xml:space="preserve">Output 1.1. </w:t>
            </w:r>
            <w:r w:rsidRPr="00A707DB">
              <w:rPr>
                <w:sz w:val="16"/>
                <w:szCs w:val="16"/>
              </w:rPr>
              <w:t xml:space="preserve">National and sub-national institutions are enabled to improve productive capacities that are sustainable and employment </w:t>
            </w:r>
            <w:r>
              <w:rPr>
                <w:sz w:val="16"/>
                <w:szCs w:val="16"/>
              </w:rPr>
              <w:t>intensive</w:t>
            </w:r>
            <w:r w:rsidR="00343C49">
              <w:rPr>
                <w:sz w:val="16"/>
                <w:szCs w:val="16"/>
              </w:rPr>
              <w:t>.</w:t>
            </w:r>
          </w:p>
          <w:p w14:paraId="4BD552D0" w14:textId="77777777" w:rsidR="002F4881" w:rsidRDefault="002F4881" w:rsidP="002F4881">
            <w:pPr>
              <w:rPr>
                <w:b/>
                <w:bCs/>
                <w:kern w:val="24"/>
                <w:sz w:val="16"/>
                <w:szCs w:val="16"/>
                <w:lang w:eastAsia="en-ZA"/>
              </w:rPr>
            </w:pPr>
          </w:p>
          <w:p w14:paraId="51D6C98E" w14:textId="60403757" w:rsidR="002F4881" w:rsidRPr="007F0F18" w:rsidRDefault="002F4881" w:rsidP="002F4881">
            <w:pPr>
              <w:rPr>
                <w:sz w:val="16"/>
                <w:szCs w:val="16"/>
              </w:rPr>
            </w:pPr>
            <w:r w:rsidRPr="00A707DB">
              <w:rPr>
                <w:b/>
                <w:bCs/>
                <w:kern w:val="24"/>
                <w:sz w:val="16"/>
                <w:szCs w:val="16"/>
                <w:lang w:eastAsia="en-ZA"/>
              </w:rPr>
              <w:t>Indicator 1.1.1</w:t>
            </w:r>
            <w:r w:rsidRPr="007F0F18">
              <w:rPr>
                <w:sz w:val="16"/>
                <w:szCs w:val="16"/>
              </w:rPr>
              <w:t>.</w:t>
            </w:r>
            <w:r>
              <w:rPr>
                <w:sz w:val="16"/>
                <w:szCs w:val="16"/>
              </w:rPr>
              <w:t xml:space="preserve"> </w:t>
            </w:r>
            <w:r w:rsidR="00343C49">
              <w:rPr>
                <w:sz w:val="16"/>
                <w:szCs w:val="16"/>
              </w:rPr>
              <w:t>n</w:t>
            </w:r>
            <w:r w:rsidRPr="007F0F18">
              <w:rPr>
                <w:sz w:val="16"/>
                <w:szCs w:val="16"/>
              </w:rPr>
              <w:t>umber of additional schemes which expand and diversify the productive base, based on the use of sustainable production</w:t>
            </w:r>
            <w:r>
              <w:rPr>
                <w:sz w:val="16"/>
                <w:szCs w:val="16"/>
              </w:rPr>
              <w:t xml:space="preserve"> t</w:t>
            </w:r>
            <w:r w:rsidRPr="007F0F18">
              <w:rPr>
                <w:sz w:val="16"/>
                <w:szCs w:val="16"/>
              </w:rPr>
              <w:t>echnologies</w:t>
            </w:r>
            <w:r>
              <w:rPr>
                <w:sz w:val="16"/>
                <w:szCs w:val="16"/>
              </w:rPr>
              <w:t xml:space="preserve"> (IRRF Indicator 1.1.3)</w:t>
            </w:r>
          </w:p>
          <w:p w14:paraId="37FF3E2E" w14:textId="77777777" w:rsidR="002F4881" w:rsidRDefault="002F4881" w:rsidP="002F4881">
            <w:pPr>
              <w:rPr>
                <w:b/>
                <w:bCs/>
                <w:kern w:val="24"/>
                <w:sz w:val="16"/>
                <w:szCs w:val="16"/>
                <w:lang w:eastAsia="en-ZA"/>
              </w:rPr>
            </w:pPr>
          </w:p>
          <w:p w14:paraId="56012C46" w14:textId="77777777" w:rsidR="002F4881" w:rsidRPr="00A707DB" w:rsidRDefault="002F4881" w:rsidP="002F4881">
            <w:pPr>
              <w:rPr>
                <w:bCs/>
                <w:kern w:val="24"/>
                <w:sz w:val="16"/>
                <w:szCs w:val="16"/>
                <w:lang w:eastAsia="en-ZA"/>
              </w:rPr>
            </w:pPr>
            <w:r w:rsidRPr="00A707DB">
              <w:rPr>
                <w:b/>
                <w:bCs/>
                <w:kern w:val="24"/>
                <w:sz w:val="16"/>
                <w:szCs w:val="16"/>
                <w:lang w:eastAsia="en-ZA"/>
              </w:rPr>
              <w:t xml:space="preserve">Baseline (2015): </w:t>
            </w:r>
            <w:r w:rsidRPr="00A707DB">
              <w:rPr>
                <w:bCs/>
                <w:kern w:val="24"/>
                <w:sz w:val="16"/>
                <w:szCs w:val="16"/>
                <w:lang w:eastAsia="en-ZA"/>
              </w:rPr>
              <w:t>2</w:t>
            </w:r>
            <w:r w:rsidRPr="00A707DB">
              <w:rPr>
                <w:b/>
                <w:bCs/>
                <w:kern w:val="24"/>
                <w:sz w:val="16"/>
                <w:szCs w:val="16"/>
                <w:lang w:eastAsia="en-ZA"/>
              </w:rPr>
              <w:t xml:space="preserve">; Target (2021): </w:t>
            </w:r>
            <w:r w:rsidRPr="00A707DB">
              <w:rPr>
                <w:bCs/>
                <w:kern w:val="24"/>
                <w:sz w:val="16"/>
                <w:szCs w:val="16"/>
                <w:lang w:eastAsia="en-ZA"/>
              </w:rPr>
              <w:t xml:space="preserve"> 6</w:t>
            </w:r>
          </w:p>
          <w:p w14:paraId="060C50CD" w14:textId="77777777" w:rsidR="002F4881" w:rsidRDefault="002F4881" w:rsidP="002F4881">
            <w:pPr>
              <w:rPr>
                <w:b/>
                <w:iCs/>
                <w:sz w:val="16"/>
                <w:szCs w:val="16"/>
              </w:rPr>
            </w:pPr>
          </w:p>
          <w:p w14:paraId="21847402" w14:textId="5126371A" w:rsidR="002F4881" w:rsidRPr="00A707DB" w:rsidRDefault="002F4881" w:rsidP="002F4881">
            <w:pPr>
              <w:rPr>
                <w:iCs/>
                <w:sz w:val="16"/>
                <w:szCs w:val="16"/>
              </w:rPr>
            </w:pPr>
            <w:r w:rsidRPr="00A707DB">
              <w:rPr>
                <w:b/>
                <w:iCs/>
                <w:sz w:val="16"/>
                <w:szCs w:val="16"/>
              </w:rPr>
              <w:t xml:space="preserve">Data source: </w:t>
            </w:r>
            <w:r w:rsidR="00343C49">
              <w:rPr>
                <w:iCs/>
                <w:sz w:val="16"/>
                <w:szCs w:val="16"/>
              </w:rPr>
              <w:t>r</w:t>
            </w:r>
            <w:r w:rsidRPr="00A707DB">
              <w:rPr>
                <w:iCs/>
                <w:sz w:val="16"/>
                <w:szCs w:val="16"/>
              </w:rPr>
              <w:t xml:space="preserve">egional administration reports; </w:t>
            </w:r>
            <w:r w:rsidRPr="00A707DB">
              <w:rPr>
                <w:b/>
                <w:iCs/>
                <w:sz w:val="16"/>
                <w:szCs w:val="16"/>
              </w:rPr>
              <w:t xml:space="preserve">Frequency: </w:t>
            </w:r>
            <w:r w:rsidR="00E966DD">
              <w:rPr>
                <w:iCs/>
                <w:sz w:val="16"/>
                <w:szCs w:val="16"/>
              </w:rPr>
              <w:t>a</w:t>
            </w:r>
            <w:r w:rsidRPr="00A707DB">
              <w:rPr>
                <w:iCs/>
                <w:sz w:val="16"/>
                <w:szCs w:val="16"/>
              </w:rPr>
              <w:t>nnual</w:t>
            </w:r>
          </w:p>
          <w:p w14:paraId="716338A8" w14:textId="77777777" w:rsidR="002F4881" w:rsidRDefault="002F4881" w:rsidP="002F4881">
            <w:pPr>
              <w:pStyle w:val="NormalWeb"/>
              <w:spacing w:before="0" w:beforeAutospacing="0" w:after="0" w:afterAutospacing="0"/>
              <w:rPr>
                <w:b/>
                <w:bCs/>
                <w:kern w:val="24"/>
                <w:sz w:val="16"/>
                <w:szCs w:val="16"/>
                <w:lang w:val="en-ZW" w:eastAsia="en-ZA"/>
              </w:rPr>
            </w:pPr>
          </w:p>
          <w:p w14:paraId="06816D43" w14:textId="421CAFCB" w:rsidR="002F4881" w:rsidRPr="00A707DB" w:rsidRDefault="002F4881" w:rsidP="002F4881">
            <w:pPr>
              <w:pStyle w:val="NormalWeb"/>
              <w:spacing w:before="0" w:beforeAutospacing="0" w:after="0" w:afterAutospacing="0"/>
              <w:rPr>
                <w:bCs/>
                <w:kern w:val="24"/>
                <w:sz w:val="16"/>
                <w:szCs w:val="16"/>
                <w:lang w:eastAsia="en-ZA"/>
              </w:rPr>
            </w:pPr>
            <w:r w:rsidRPr="00A707DB">
              <w:rPr>
                <w:b/>
                <w:bCs/>
                <w:kern w:val="24"/>
                <w:sz w:val="16"/>
                <w:szCs w:val="16"/>
                <w:lang w:eastAsia="en-ZA"/>
              </w:rPr>
              <w:t>Indicator 1.1.2.</w:t>
            </w:r>
            <w:r w:rsidRPr="00A707DB">
              <w:rPr>
                <w:bCs/>
                <w:kern w:val="24"/>
                <w:sz w:val="16"/>
                <w:szCs w:val="16"/>
                <w:lang w:eastAsia="en-ZA"/>
              </w:rPr>
              <w:t xml:space="preserve"> </w:t>
            </w:r>
            <w:r w:rsidR="00343C49">
              <w:rPr>
                <w:bCs/>
                <w:kern w:val="24"/>
                <w:sz w:val="16"/>
                <w:szCs w:val="16"/>
                <w:lang w:eastAsia="en-ZA"/>
              </w:rPr>
              <w:t>n</w:t>
            </w:r>
            <w:r w:rsidRPr="00F41B95">
              <w:rPr>
                <w:bCs/>
                <w:kern w:val="24"/>
                <w:sz w:val="16"/>
                <w:szCs w:val="16"/>
                <w:lang w:eastAsia="en-ZA"/>
              </w:rPr>
              <w:t xml:space="preserve">umber of new full-time equivalent jobs </w:t>
            </w:r>
            <w:r>
              <w:rPr>
                <w:bCs/>
                <w:kern w:val="24"/>
                <w:sz w:val="16"/>
                <w:szCs w:val="16"/>
                <w:lang w:eastAsia="en-ZA"/>
              </w:rPr>
              <w:t>(M/F) (IRRF Indicator 1.1.1.A)</w:t>
            </w:r>
          </w:p>
          <w:p w14:paraId="2E4949EE" w14:textId="77777777" w:rsidR="002F4881" w:rsidRDefault="002F4881" w:rsidP="002F4881">
            <w:pPr>
              <w:rPr>
                <w:b/>
                <w:bCs/>
                <w:kern w:val="24"/>
                <w:sz w:val="16"/>
                <w:szCs w:val="16"/>
                <w:lang w:eastAsia="en-ZA"/>
              </w:rPr>
            </w:pPr>
          </w:p>
          <w:p w14:paraId="4CA5F7D7" w14:textId="46487C84" w:rsidR="002F4881" w:rsidRPr="00A707DB" w:rsidRDefault="002F4881" w:rsidP="002F4881">
            <w:pPr>
              <w:rPr>
                <w:bCs/>
                <w:kern w:val="24"/>
                <w:sz w:val="16"/>
                <w:szCs w:val="16"/>
                <w:lang w:eastAsia="en-ZA"/>
              </w:rPr>
            </w:pPr>
            <w:r w:rsidRPr="00A707DB">
              <w:rPr>
                <w:b/>
                <w:bCs/>
                <w:kern w:val="24"/>
                <w:sz w:val="16"/>
                <w:szCs w:val="16"/>
                <w:lang w:eastAsia="en-ZA"/>
              </w:rPr>
              <w:t xml:space="preserve">Baseline (2015): </w:t>
            </w:r>
            <w:r>
              <w:rPr>
                <w:bCs/>
                <w:kern w:val="24"/>
                <w:sz w:val="16"/>
                <w:szCs w:val="16"/>
                <w:lang w:eastAsia="en-ZA"/>
              </w:rPr>
              <w:t>0</w:t>
            </w:r>
            <w:r w:rsidRPr="00A707DB">
              <w:rPr>
                <w:bCs/>
                <w:kern w:val="24"/>
                <w:sz w:val="16"/>
                <w:szCs w:val="16"/>
                <w:lang w:eastAsia="en-ZA"/>
              </w:rPr>
              <w:t>;</w:t>
            </w:r>
            <w:r w:rsidRPr="00A707DB">
              <w:rPr>
                <w:b/>
                <w:bCs/>
                <w:kern w:val="24"/>
                <w:sz w:val="16"/>
                <w:szCs w:val="16"/>
                <w:lang w:eastAsia="en-ZA"/>
              </w:rPr>
              <w:t xml:space="preserve"> Target (2021): </w:t>
            </w:r>
            <w:r w:rsidRPr="00140D56">
              <w:rPr>
                <w:bCs/>
                <w:kern w:val="24"/>
                <w:sz w:val="16"/>
                <w:szCs w:val="16"/>
                <w:lang w:eastAsia="en-ZA"/>
              </w:rPr>
              <w:t>M</w:t>
            </w:r>
            <w:r w:rsidR="00B344E5">
              <w:rPr>
                <w:bCs/>
                <w:kern w:val="24"/>
                <w:sz w:val="16"/>
                <w:szCs w:val="16"/>
                <w:lang w:eastAsia="en-ZA"/>
              </w:rPr>
              <w:t>ale</w:t>
            </w:r>
            <w:r w:rsidRPr="00140D56">
              <w:rPr>
                <w:bCs/>
                <w:kern w:val="24"/>
                <w:sz w:val="16"/>
                <w:szCs w:val="16"/>
                <w:lang w:eastAsia="en-ZA"/>
              </w:rPr>
              <w:t>:</w:t>
            </w:r>
            <w:r>
              <w:rPr>
                <w:bCs/>
                <w:kern w:val="24"/>
                <w:sz w:val="16"/>
                <w:szCs w:val="16"/>
                <w:lang w:eastAsia="en-ZA"/>
              </w:rPr>
              <w:t>50</w:t>
            </w:r>
            <w:r w:rsidRPr="00A707DB">
              <w:rPr>
                <w:bCs/>
                <w:kern w:val="24"/>
                <w:sz w:val="16"/>
                <w:szCs w:val="16"/>
                <w:lang w:eastAsia="en-ZA"/>
              </w:rPr>
              <w:t>,000</w:t>
            </w:r>
            <w:r>
              <w:rPr>
                <w:bCs/>
                <w:kern w:val="24"/>
                <w:sz w:val="16"/>
                <w:szCs w:val="16"/>
                <w:lang w:eastAsia="en-ZA"/>
              </w:rPr>
              <w:t>, F</w:t>
            </w:r>
            <w:r w:rsidR="00B344E5">
              <w:rPr>
                <w:bCs/>
                <w:kern w:val="24"/>
                <w:sz w:val="16"/>
                <w:szCs w:val="16"/>
                <w:lang w:eastAsia="en-ZA"/>
              </w:rPr>
              <w:t>emale</w:t>
            </w:r>
            <w:r>
              <w:rPr>
                <w:bCs/>
                <w:kern w:val="24"/>
                <w:sz w:val="16"/>
                <w:szCs w:val="16"/>
                <w:lang w:eastAsia="en-ZA"/>
              </w:rPr>
              <w:t>:50,000</w:t>
            </w:r>
          </w:p>
          <w:p w14:paraId="1621DEC8" w14:textId="77777777" w:rsidR="002F4881" w:rsidRDefault="002F4881" w:rsidP="002F4881">
            <w:pPr>
              <w:rPr>
                <w:b/>
                <w:iCs/>
                <w:sz w:val="16"/>
                <w:szCs w:val="16"/>
              </w:rPr>
            </w:pPr>
          </w:p>
          <w:p w14:paraId="015BDC97" w14:textId="0EDFCC80" w:rsidR="002F4881" w:rsidRPr="00FA6502" w:rsidRDefault="002F4881" w:rsidP="002F4881">
            <w:pPr>
              <w:rPr>
                <w:b/>
                <w:bCs/>
                <w:color w:val="000000"/>
                <w:sz w:val="16"/>
                <w:szCs w:val="16"/>
                <w:lang w:val="en-GB"/>
              </w:rPr>
            </w:pPr>
            <w:r w:rsidRPr="00A707DB">
              <w:rPr>
                <w:b/>
                <w:iCs/>
                <w:sz w:val="16"/>
                <w:szCs w:val="16"/>
              </w:rPr>
              <w:t xml:space="preserve">Data source: </w:t>
            </w:r>
            <w:r w:rsidRPr="00A707DB">
              <w:rPr>
                <w:iCs/>
                <w:sz w:val="16"/>
                <w:szCs w:val="16"/>
              </w:rPr>
              <w:t>UNDP project reports;</w:t>
            </w:r>
            <w:r w:rsidRPr="00A707DB">
              <w:rPr>
                <w:b/>
                <w:iCs/>
                <w:sz w:val="16"/>
                <w:szCs w:val="16"/>
              </w:rPr>
              <w:t xml:space="preserve"> Frequency: </w:t>
            </w:r>
            <w:r w:rsidR="00E966DD">
              <w:rPr>
                <w:iCs/>
                <w:sz w:val="16"/>
                <w:szCs w:val="16"/>
              </w:rPr>
              <w:t>a</w:t>
            </w:r>
            <w:r w:rsidRPr="00A707DB">
              <w:rPr>
                <w:iCs/>
                <w:sz w:val="16"/>
                <w:szCs w:val="16"/>
              </w:rPr>
              <w:t>nnual</w:t>
            </w:r>
          </w:p>
          <w:p w14:paraId="6D541F8F" w14:textId="3AB50AA4" w:rsidR="002F4881" w:rsidRPr="00A707DB" w:rsidRDefault="002F4881" w:rsidP="002F4881">
            <w:pPr>
              <w:spacing w:before="120"/>
              <w:rPr>
                <w:bCs/>
                <w:kern w:val="24"/>
                <w:sz w:val="16"/>
                <w:szCs w:val="16"/>
                <w:lang w:eastAsia="en-ZA"/>
              </w:rPr>
            </w:pPr>
            <w:r w:rsidRPr="00A707DB">
              <w:rPr>
                <w:b/>
                <w:bCs/>
                <w:kern w:val="24"/>
                <w:sz w:val="16"/>
                <w:szCs w:val="16"/>
                <w:lang w:eastAsia="en-ZA"/>
              </w:rPr>
              <w:t>Output 1.2</w:t>
            </w:r>
            <w:r w:rsidRPr="00A707DB">
              <w:rPr>
                <w:bCs/>
                <w:kern w:val="24"/>
                <w:sz w:val="16"/>
                <w:szCs w:val="16"/>
                <w:lang w:eastAsia="en-ZA"/>
              </w:rPr>
              <w:t xml:space="preserve">. </w:t>
            </w:r>
            <w:r w:rsidR="00343C49">
              <w:rPr>
                <w:bCs/>
                <w:kern w:val="24"/>
                <w:sz w:val="16"/>
                <w:szCs w:val="16"/>
                <w:lang w:eastAsia="en-ZA"/>
              </w:rPr>
              <w:t>t</w:t>
            </w:r>
            <w:r w:rsidRPr="00A707DB">
              <w:rPr>
                <w:bCs/>
                <w:kern w:val="24"/>
                <w:sz w:val="16"/>
                <w:szCs w:val="16"/>
                <w:lang w:eastAsia="en-ZA"/>
              </w:rPr>
              <w:t xml:space="preserve">argeted institutions have enhanced capacities to develop and implement youth empowerment initiatives </w:t>
            </w:r>
          </w:p>
          <w:p w14:paraId="4F4BA670" w14:textId="77777777" w:rsidR="002F4881" w:rsidRDefault="002F4881" w:rsidP="002F4881">
            <w:pPr>
              <w:rPr>
                <w:b/>
                <w:bCs/>
                <w:kern w:val="24"/>
                <w:sz w:val="16"/>
                <w:szCs w:val="16"/>
                <w:lang w:eastAsia="en-ZA"/>
              </w:rPr>
            </w:pPr>
          </w:p>
          <w:p w14:paraId="243CE956" w14:textId="4E65FBA3" w:rsidR="002F4881" w:rsidRPr="00A707DB" w:rsidRDefault="002F4881" w:rsidP="002F4881">
            <w:pPr>
              <w:rPr>
                <w:sz w:val="16"/>
                <w:szCs w:val="16"/>
              </w:rPr>
            </w:pPr>
            <w:r w:rsidRPr="00A707DB">
              <w:rPr>
                <w:b/>
                <w:bCs/>
                <w:kern w:val="24"/>
                <w:sz w:val="16"/>
                <w:szCs w:val="16"/>
                <w:lang w:eastAsia="en-ZA"/>
              </w:rPr>
              <w:t xml:space="preserve">Indicator 1.2.1. </w:t>
            </w:r>
            <w:r w:rsidR="00343C49">
              <w:rPr>
                <w:sz w:val="16"/>
                <w:szCs w:val="16"/>
              </w:rPr>
              <w:t>e</w:t>
            </w:r>
            <w:r w:rsidRPr="00A707DB">
              <w:rPr>
                <w:sz w:val="16"/>
                <w:szCs w:val="16"/>
              </w:rPr>
              <w:t xml:space="preserve">xtent to which selected institutions have capacity to provide youth </w:t>
            </w:r>
            <w:r>
              <w:rPr>
                <w:sz w:val="16"/>
                <w:szCs w:val="16"/>
              </w:rPr>
              <w:t xml:space="preserve">economic </w:t>
            </w:r>
            <w:r w:rsidRPr="00A707DB">
              <w:rPr>
                <w:sz w:val="16"/>
                <w:szCs w:val="16"/>
              </w:rPr>
              <w:t>empowerment services</w:t>
            </w:r>
          </w:p>
          <w:p w14:paraId="4FD04921" w14:textId="77777777" w:rsidR="002F4881" w:rsidRDefault="002F4881" w:rsidP="002F4881">
            <w:pPr>
              <w:rPr>
                <w:b/>
                <w:bCs/>
                <w:kern w:val="24"/>
                <w:sz w:val="16"/>
                <w:szCs w:val="16"/>
                <w:lang w:eastAsia="en-ZA"/>
              </w:rPr>
            </w:pPr>
          </w:p>
          <w:p w14:paraId="04925C5F" w14:textId="1C9073C1" w:rsidR="002F4881" w:rsidRPr="00A707DB" w:rsidRDefault="002F4881" w:rsidP="002F4881">
            <w:pPr>
              <w:rPr>
                <w:bCs/>
                <w:kern w:val="24"/>
                <w:sz w:val="16"/>
                <w:szCs w:val="16"/>
                <w:lang w:eastAsia="en-ZA"/>
              </w:rPr>
            </w:pPr>
            <w:r w:rsidRPr="00A707DB">
              <w:rPr>
                <w:b/>
                <w:bCs/>
                <w:kern w:val="24"/>
                <w:sz w:val="16"/>
                <w:szCs w:val="16"/>
                <w:lang w:eastAsia="en-ZA"/>
              </w:rPr>
              <w:lastRenderedPageBreak/>
              <w:t xml:space="preserve">Baseline (2015): </w:t>
            </w:r>
            <w:r w:rsidRPr="00A707DB">
              <w:rPr>
                <w:bCs/>
                <w:kern w:val="24"/>
                <w:sz w:val="16"/>
                <w:szCs w:val="16"/>
                <w:lang w:eastAsia="en-ZA"/>
              </w:rPr>
              <w:t>1</w:t>
            </w:r>
            <w:r>
              <w:rPr>
                <w:bCs/>
                <w:kern w:val="24"/>
                <w:sz w:val="16"/>
                <w:szCs w:val="16"/>
                <w:lang w:eastAsia="en-ZA"/>
              </w:rPr>
              <w:t xml:space="preserve"> – </w:t>
            </w:r>
            <w:r w:rsidR="00343C49">
              <w:rPr>
                <w:bCs/>
                <w:kern w:val="24"/>
                <w:sz w:val="16"/>
                <w:szCs w:val="16"/>
                <w:lang w:eastAsia="en-ZA"/>
              </w:rPr>
              <w:t>w</w:t>
            </w:r>
            <w:r>
              <w:rPr>
                <w:bCs/>
                <w:kern w:val="24"/>
                <w:sz w:val="16"/>
                <w:szCs w:val="16"/>
                <w:lang w:eastAsia="en-ZA"/>
              </w:rPr>
              <w:t xml:space="preserve">eak </w:t>
            </w:r>
            <w:r w:rsidRPr="00A707DB">
              <w:rPr>
                <w:b/>
                <w:bCs/>
                <w:kern w:val="24"/>
                <w:sz w:val="16"/>
                <w:szCs w:val="16"/>
                <w:lang w:eastAsia="en-ZA"/>
              </w:rPr>
              <w:t xml:space="preserve">Target (2021): </w:t>
            </w:r>
            <w:r w:rsidRPr="00A707DB">
              <w:rPr>
                <w:bCs/>
                <w:kern w:val="24"/>
                <w:sz w:val="16"/>
                <w:szCs w:val="16"/>
                <w:lang w:eastAsia="en-ZA"/>
              </w:rPr>
              <w:t>3</w:t>
            </w:r>
            <w:r>
              <w:rPr>
                <w:bCs/>
                <w:kern w:val="24"/>
                <w:sz w:val="16"/>
                <w:szCs w:val="16"/>
                <w:lang w:eastAsia="en-ZA"/>
              </w:rPr>
              <w:t xml:space="preserve"> - </w:t>
            </w:r>
            <w:r w:rsidR="00343C49">
              <w:rPr>
                <w:bCs/>
                <w:kern w:val="24"/>
                <w:sz w:val="16"/>
                <w:szCs w:val="16"/>
                <w:lang w:eastAsia="en-ZA"/>
              </w:rPr>
              <w:t>s</w:t>
            </w:r>
            <w:r>
              <w:rPr>
                <w:bCs/>
                <w:kern w:val="24"/>
                <w:sz w:val="16"/>
                <w:szCs w:val="16"/>
                <w:lang w:eastAsia="en-ZA"/>
              </w:rPr>
              <w:t xml:space="preserve">trong </w:t>
            </w:r>
            <w:r w:rsidRPr="00A707DB">
              <w:rPr>
                <w:bCs/>
                <w:kern w:val="24"/>
                <w:sz w:val="16"/>
                <w:szCs w:val="16"/>
                <w:vertAlign w:val="superscript"/>
                <w:lang w:eastAsia="en-ZA"/>
              </w:rPr>
              <w:footnoteReference w:id="8"/>
            </w:r>
            <w:r>
              <w:rPr>
                <w:bCs/>
                <w:kern w:val="24"/>
                <w:sz w:val="16"/>
                <w:szCs w:val="16"/>
                <w:lang w:eastAsia="en-ZA"/>
              </w:rPr>
              <w:t xml:space="preserve"> </w:t>
            </w:r>
          </w:p>
          <w:p w14:paraId="7DEE52C5" w14:textId="77777777" w:rsidR="002F4881" w:rsidRDefault="002F4881" w:rsidP="002F4881">
            <w:pPr>
              <w:rPr>
                <w:b/>
                <w:iCs/>
                <w:sz w:val="16"/>
                <w:szCs w:val="16"/>
              </w:rPr>
            </w:pPr>
          </w:p>
          <w:p w14:paraId="3AEA3A7D" w14:textId="4C24BE5B" w:rsidR="002F4881" w:rsidRPr="00A707DB" w:rsidRDefault="002F4881" w:rsidP="002F4881">
            <w:pPr>
              <w:rPr>
                <w:iCs/>
                <w:sz w:val="16"/>
                <w:szCs w:val="16"/>
              </w:rPr>
            </w:pPr>
            <w:r w:rsidRPr="00A707DB">
              <w:rPr>
                <w:b/>
                <w:iCs/>
                <w:sz w:val="16"/>
                <w:szCs w:val="16"/>
              </w:rPr>
              <w:t xml:space="preserve">Data source: </w:t>
            </w:r>
            <w:r w:rsidR="008363B6">
              <w:rPr>
                <w:bCs/>
                <w:iCs/>
                <w:sz w:val="16"/>
                <w:szCs w:val="16"/>
              </w:rPr>
              <w:t>NUEYS</w:t>
            </w:r>
            <w:r w:rsidRPr="00A707DB">
              <w:rPr>
                <w:iCs/>
                <w:sz w:val="16"/>
                <w:szCs w:val="16"/>
              </w:rPr>
              <w:t xml:space="preserve">; </w:t>
            </w:r>
            <w:r w:rsidRPr="00A707DB">
              <w:rPr>
                <w:b/>
                <w:iCs/>
                <w:sz w:val="16"/>
                <w:szCs w:val="16"/>
              </w:rPr>
              <w:t xml:space="preserve">Frequency: </w:t>
            </w:r>
            <w:r w:rsidR="00E966DD">
              <w:rPr>
                <w:iCs/>
                <w:sz w:val="16"/>
                <w:szCs w:val="16"/>
              </w:rPr>
              <w:t>a</w:t>
            </w:r>
            <w:r w:rsidRPr="00A707DB">
              <w:rPr>
                <w:iCs/>
                <w:sz w:val="16"/>
                <w:szCs w:val="16"/>
              </w:rPr>
              <w:t>nnual</w:t>
            </w:r>
          </w:p>
          <w:p w14:paraId="46D2AF0B" w14:textId="77777777" w:rsidR="002F4881" w:rsidRPr="00AA6893" w:rsidRDefault="002F4881" w:rsidP="002F4881">
            <w:pPr>
              <w:rPr>
                <w:bCs/>
                <w:kern w:val="24"/>
                <w:sz w:val="10"/>
                <w:szCs w:val="16"/>
                <w:lang w:eastAsia="en-ZA"/>
              </w:rPr>
            </w:pPr>
          </w:p>
          <w:p w14:paraId="1B920679" w14:textId="0DEF144C" w:rsidR="002F4881" w:rsidRPr="00A707DB" w:rsidRDefault="002F4881" w:rsidP="002F4881">
            <w:pPr>
              <w:rPr>
                <w:bCs/>
                <w:kern w:val="24"/>
                <w:sz w:val="16"/>
                <w:szCs w:val="16"/>
                <w:lang w:eastAsia="en-ZA"/>
              </w:rPr>
            </w:pPr>
            <w:r w:rsidRPr="00A707DB">
              <w:rPr>
                <w:b/>
                <w:bCs/>
                <w:kern w:val="24"/>
                <w:sz w:val="16"/>
                <w:szCs w:val="16"/>
                <w:lang w:eastAsia="en-ZA"/>
              </w:rPr>
              <w:t xml:space="preserve">Indicator 1.2.2. </w:t>
            </w:r>
            <w:r w:rsidR="00343C49">
              <w:rPr>
                <w:sz w:val="16"/>
                <w:szCs w:val="16"/>
              </w:rPr>
              <w:t>n</w:t>
            </w:r>
            <w:r w:rsidRPr="00A707DB">
              <w:rPr>
                <w:sz w:val="16"/>
                <w:szCs w:val="16"/>
              </w:rPr>
              <w:t>umber youth with access to vocational skills training and micro-finance credits</w:t>
            </w:r>
            <w:r>
              <w:rPr>
                <w:sz w:val="16"/>
                <w:szCs w:val="16"/>
              </w:rPr>
              <w:t xml:space="preserve"> (M/F)</w:t>
            </w:r>
          </w:p>
          <w:p w14:paraId="4C0F22C1" w14:textId="17663337" w:rsidR="002F4881" w:rsidRPr="00A707DB" w:rsidRDefault="002F4881" w:rsidP="002F4881">
            <w:pPr>
              <w:rPr>
                <w:bCs/>
                <w:kern w:val="24"/>
                <w:sz w:val="16"/>
                <w:szCs w:val="16"/>
                <w:lang w:eastAsia="en-ZA"/>
              </w:rPr>
            </w:pPr>
            <w:r w:rsidRPr="00A707DB">
              <w:rPr>
                <w:b/>
                <w:bCs/>
                <w:kern w:val="24"/>
                <w:sz w:val="16"/>
                <w:szCs w:val="16"/>
                <w:lang w:eastAsia="en-ZA"/>
              </w:rPr>
              <w:t xml:space="preserve">Baseline (2015): </w:t>
            </w:r>
            <w:r w:rsidRPr="00A707DB">
              <w:rPr>
                <w:bCs/>
                <w:kern w:val="24"/>
                <w:sz w:val="16"/>
                <w:szCs w:val="16"/>
                <w:lang w:eastAsia="en-ZA"/>
              </w:rPr>
              <w:t xml:space="preserve">0; </w:t>
            </w:r>
            <w:r w:rsidRPr="00A707DB">
              <w:rPr>
                <w:b/>
                <w:bCs/>
                <w:kern w:val="24"/>
                <w:sz w:val="16"/>
                <w:szCs w:val="16"/>
                <w:lang w:eastAsia="en-ZA"/>
              </w:rPr>
              <w:t xml:space="preserve">Target (2021): </w:t>
            </w:r>
            <w:r w:rsidRPr="00A707DB">
              <w:rPr>
                <w:bCs/>
                <w:kern w:val="24"/>
                <w:sz w:val="16"/>
                <w:szCs w:val="16"/>
                <w:lang w:eastAsia="en-ZA"/>
              </w:rPr>
              <w:t>skill</w:t>
            </w:r>
            <w:r w:rsidR="00343C49">
              <w:rPr>
                <w:bCs/>
                <w:kern w:val="24"/>
                <w:sz w:val="16"/>
                <w:szCs w:val="16"/>
                <w:lang w:eastAsia="en-ZA"/>
              </w:rPr>
              <w:t>s</w:t>
            </w:r>
            <w:r w:rsidRPr="00A707DB">
              <w:rPr>
                <w:bCs/>
                <w:kern w:val="24"/>
                <w:sz w:val="16"/>
                <w:szCs w:val="16"/>
                <w:lang w:eastAsia="en-ZA"/>
              </w:rPr>
              <w:t xml:space="preserve"> training: </w:t>
            </w:r>
            <w:r w:rsidR="00343C49">
              <w:rPr>
                <w:bCs/>
                <w:kern w:val="24"/>
                <w:sz w:val="16"/>
                <w:szCs w:val="16"/>
                <w:lang w:eastAsia="en-ZA"/>
              </w:rPr>
              <w:t>Male</w:t>
            </w:r>
            <w:r>
              <w:rPr>
                <w:bCs/>
                <w:kern w:val="24"/>
                <w:sz w:val="16"/>
                <w:szCs w:val="16"/>
                <w:lang w:eastAsia="en-ZA"/>
              </w:rPr>
              <w:t>:4,</w:t>
            </w:r>
            <w:r w:rsidRPr="00A707DB">
              <w:rPr>
                <w:bCs/>
                <w:kern w:val="24"/>
                <w:sz w:val="16"/>
                <w:szCs w:val="16"/>
                <w:lang w:eastAsia="en-ZA"/>
              </w:rPr>
              <w:t>000</w:t>
            </w:r>
            <w:r>
              <w:rPr>
                <w:bCs/>
                <w:kern w:val="24"/>
                <w:sz w:val="16"/>
                <w:szCs w:val="16"/>
                <w:lang w:eastAsia="en-ZA"/>
              </w:rPr>
              <w:t xml:space="preserve">, </w:t>
            </w:r>
            <w:r w:rsidR="00343C49">
              <w:rPr>
                <w:bCs/>
                <w:kern w:val="24"/>
                <w:sz w:val="16"/>
                <w:szCs w:val="16"/>
                <w:lang w:eastAsia="en-ZA"/>
              </w:rPr>
              <w:t>Female</w:t>
            </w:r>
            <w:r>
              <w:rPr>
                <w:bCs/>
                <w:kern w:val="24"/>
                <w:sz w:val="16"/>
                <w:szCs w:val="16"/>
                <w:lang w:eastAsia="en-ZA"/>
              </w:rPr>
              <w:t>:4,000 and</w:t>
            </w:r>
            <w:r w:rsidRPr="00A707DB">
              <w:rPr>
                <w:bCs/>
                <w:kern w:val="24"/>
                <w:sz w:val="16"/>
                <w:szCs w:val="16"/>
                <w:lang w:eastAsia="en-ZA"/>
              </w:rPr>
              <w:t xml:space="preserve"> </w:t>
            </w:r>
            <w:r w:rsidR="00343C49">
              <w:rPr>
                <w:bCs/>
                <w:kern w:val="24"/>
                <w:sz w:val="16"/>
                <w:szCs w:val="16"/>
                <w:lang w:eastAsia="en-ZA"/>
              </w:rPr>
              <w:t>m</w:t>
            </w:r>
            <w:r w:rsidRPr="00A707DB">
              <w:rPr>
                <w:bCs/>
                <w:kern w:val="24"/>
                <w:sz w:val="16"/>
                <w:szCs w:val="16"/>
                <w:lang w:eastAsia="en-ZA"/>
              </w:rPr>
              <w:t>icrocredi</w:t>
            </w:r>
            <w:r>
              <w:rPr>
                <w:bCs/>
                <w:kern w:val="24"/>
                <w:sz w:val="16"/>
                <w:szCs w:val="16"/>
                <w:lang w:eastAsia="en-ZA"/>
              </w:rPr>
              <w:t>t</w:t>
            </w:r>
            <w:r w:rsidRPr="00A707DB">
              <w:rPr>
                <w:bCs/>
                <w:kern w:val="24"/>
                <w:sz w:val="16"/>
                <w:szCs w:val="16"/>
                <w:lang w:eastAsia="en-ZA"/>
              </w:rPr>
              <w:t>:</w:t>
            </w:r>
            <w:r>
              <w:rPr>
                <w:bCs/>
                <w:kern w:val="24"/>
                <w:sz w:val="16"/>
                <w:szCs w:val="16"/>
                <w:lang w:eastAsia="en-ZA"/>
              </w:rPr>
              <w:t xml:space="preserve"> M</w:t>
            </w:r>
            <w:r w:rsidR="00343C49">
              <w:rPr>
                <w:bCs/>
                <w:kern w:val="24"/>
                <w:sz w:val="16"/>
                <w:szCs w:val="16"/>
                <w:lang w:eastAsia="en-ZA"/>
              </w:rPr>
              <w:t>ale</w:t>
            </w:r>
            <w:r>
              <w:rPr>
                <w:bCs/>
                <w:kern w:val="24"/>
                <w:sz w:val="16"/>
                <w:szCs w:val="16"/>
                <w:lang w:eastAsia="en-ZA"/>
              </w:rPr>
              <w:t>:2,000, F</w:t>
            </w:r>
            <w:r w:rsidR="00343C49">
              <w:rPr>
                <w:bCs/>
                <w:kern w:val="24"/>
                <w:sz w:val="16"/>
                <w:szCs w:val="16"/>
                <w:lang w:eastAsia="en-ZA"/>
              </w:rPr>
              <w:t>emale</w:t>
            </w:r>
            <w:r>
              <w:rPr>
                <w:bCs/>
                <w:kern w:val="24"/>
                <w:sz w:val="16"/>
                <w:szCs w:val="16"/>
                <w:lang w:eastAsia="en-ZA"/>
              </w:rPr>
              <w:t>:2,000</w:t>
            </w:r>
          </w:p>
          <w:p w14:paraId="7BB514EF" w14:textId="77777777" w:rsidR="002F4881" w:rsidRDefault="002F4881" w:rsidP="002F4881">
            <w:pPr>
              <w:rPr>
                <w:b/>
                <w:iCs/>
                <w:sz w:val="16"/>
                <w:szCs w:val="16"/>
              </w:rPr>
            </w:pPr>
          </w:p>
          <w:p w14:paraId="2440D45A" w14:textId="38A782E6" w:rsidR="002F4881" w:rsidRPr="00FA6502" w:rsidRDefault="002F4881" w:rsidP="002F4881">
            <w:pPr>
              <w:rPr>
                <w:b/>
                <w:bCs/>
                <w:color w:val="000000"/>
                <w:sz w:val="16"/>
                <w:szCs w:val="16"/>
                <w:lang w:val="en-GB"/>
              </w:rPr>
            </w:pPr>
            <w:r w:rsidRPr="00A707DB">
              <w:rPr>
                <w:b/>
                <w:iCs/>
                <w:sz w:val="16"/>
                <w:szCs w:val="16"/>
              </w:rPr>
              <w:t xml:space="preserve">Data source:  </w:t>
            </w:r>
            <w:r w:rsidR="008363B6" w:rsidRPr="008363B6">
              <w:rPr>
                <w:bCs/>
                <w:iCs/>
                <w:sz w:val="16"/>
                <w:szCs w:val="16"/>
              </w:rPr>
              <w:t>NUEYS</w:t>
            </w:r>
            <w:r w:rsidRPr="00A707DB">
              <w:rPr>
                <w:iCs/>
                <w:sz w:val="16"/>
                <w:szCs w:val="16"/>
              </w:rPr>
              <w:t xml:space="preserve">; </w:t>
            </w:r>
            <w:r w:rsidRPr="00A707DB">
              <w:rPr>
                <w:b/>
                <w:iCs/>
                <w:sz w:val="16"/>
                <w:szCs w:val="16"/>
              </w:rPr>
              <w:t xml:space="preserve">Frequency: </w:t>
            </w:r>
            <w:r w:rsidR="00E966DD">
              <w:rPr>
                <w:iCs/>
                <w:sz w:val="16"/>
                <w:szCs w:val="16"/>
              </w:rPr>
              <w:t>a</w:t>
            </w:r>
            <w:r w:rsidRPr="00A707DB">
              <w:rPr>
                <w:iCs/>
                <w:sz w:val="16"/>
                <w:szCs w:val="16"/>
              </w:rPr>
              <w:t>nnual</w:t>
            </w:r>
          </w:p>
        </w:tc>
        <w:tc>
          <w:tcPr>
            <w:tcW w:w="653" w:type="pct"/>
            <w:vMerge w:val="restart"/>
          </w:tcPr>
          <w:p w14:paraId="2211462F" w14:textId="0D55833B" w:rsidR="002F4881" w:rsidRPr="00A707DB" w:rsidRDefault="0038619B" w:rsidP="002F4881">
            <w:pPr>
              <w:spacing w:before="120"/>
              <w:rPr>
                <w:bCs/>
                <w:color w:val="000000" w:themeColor="text1"/>
                <w:kern w:val="24"/>
                <w:sz w:val="16"/>
                <w:szCs w:val="16"/>
                <w:lang w:eastAsia="en-ZA"/>
              </w:rPr>
            </w:pPr>
            <w:r>
              <w:rPr>
                <w:bCs/>
                <w:color w:val="000000" w:themeColor="text1"/>
                <w:kern w:val="24"/>
                <w:sz w:val="16"/>
                <w:szCs w:val="16"/>
                <w:lang w:eastAsia="en-ZA"/>
              </w:rPr>
              <w:lastRenderedPageBreak/>
              <w:t>Ministry of Agriculture</w:t>
            </w:r>
            <w:r w:rsidR="00202104">
              <w:rPr>
                <w:bCs/>
                <w:color w:val="000000" w:themeColor="text1"/>
                <w:kern w:val="24"/>
                <w:sz w:val="16"/>
                <w:szCs w:val="16"/>
                <w:lang w:eastAsia="en-ZA"/>
              </w:rPr>
              <w:t xml:space="preserve"> (MoA)</w:t>
            </w:r>
            <w:r w:rsidR="002F4881" w:rsidRPr="00A707DB">
              <w:rPr>
                <w:bCs/>
                <w:color w:val="000000" w:themeColor="text1"/>
                <w:kern w:val="24"/>
                <w:sz w:val="16"/>
                <w:szCs w:val="16"/>
                <w:lang w:eastAsia="en-ZA"/>
              </w:rPr>
              <w:t xml:space="preserve">, </w:t>
            </w:r>
            <w:r w:rsidR="00F45F34">
              <w:rPr>
                <w:bCs/>
                <w:color w:val="000000" w:themeColor="text1"/>
                <w:kern w:val="24"/>
                <w:sz w:val="16"/>
                <w:szCs w:val="16"/>
                <w:lang w:eastAsia="en-ZA"/>
              </w:rPr>
              <w:t>Ministry of Land, Water, and</w:t>
            </w:r>
            <w:r>
              <w:rPr>
                <w:bCs/>
                <w:color w:val="000000" w:themeColor="text1"/>
                <w:kern w:val="24"/>
                <w:sz w:val="16"/>
                <w:szCs w:val="16"/>
                <w:lang w:eastAsia="en-ZA"/>
              </w:rPr>
              <w:t xml:space="preserve"> Environment</w:t>
            </w:r>
            <w:r w:rsidR="00202104">
              <w:rPr>
                <w:bCs/>
                <w:color w:val="000000" w:themeColor="text1"/>
                <w:kern w:val="24"/>
                <w:sz w:val="16"/>
                <w:szCs w:val="16"/>
                <w:lang w:eastAsia="en-ZA"/>
              </w:rPr>
              <w:t xml:space="preserve"> (MLWE)</w:t>
            </w:r>
            <w:r w:rsidR="002F4881" w:rsidRPr="00A707DB">
              <w:rPr>
                <w:bCs/>
                <w:color w:val="000000" w:themeColor="text1"/>
                <w:kern w:val="24"/>
                <w:sz w:val="16"/>
                <w:szCs w:val="16"/>
                <w:lang w:eastAsia="en-ZA"/>
              </w:rPr>
              <w:t xml:space="preserve">, </w:t>
            </w:r>
            <w:r w:rsidR="00F45F34">
              <w:rPr>
                <w:bCs/>
                <w:color w:val="000000" w:themeColor="text1"/>
                <w:kern w:val="24"/>
                <w:sz w:val="16"/>
                <w:szCs w:val="16"/>
                <w:lang w:eastAsia="en-ZA"/>
              </w:rPr>
              <w:t>MND</w:t>
            </w:r>
            <w:r w:rsidR="002F4881" w:rsidRPr="00A707DB">
              <w:rPr>
                <w:bCs/>
                <w:color w:val="000000" w:themeColor="text1"/>
                <w:kern w:val="24"/>
                <w:sz w:val="16"/>
                <w:szCs w:val="16"/>
                <w:lang w:eastAsia="en-ZA"/>
              </w:rPr>
              <w:t xml:space="preserve">, </w:t>
            </w:r>
            <w:r>
              <w:rPr>
                <w:bCs/>
                <w:color w:val="000000" w:themeColor="text1"/>
                <w:kern w:val="24"/>
                <w:sz w:val="16"/>
                <w:szCs w:val="16"/>
                <w:lang w:eastAsia="en-ZA"/>
              </w:rPr>
              <w:t>Ministry of Marine Resources</w:t>
            </w:r>
            <w:r w:rsidR="00115246">
              <w:rPr>
                <w:bCs/>
                <w:color w:val="000000" w:themeColor="text1"/>
                <w:kern w:val="24"/>
                <w:sz w:val="16"/>
                <w:szCs w:val="16"/>
                <w:lang w:eastAsia="en-ZA"/>
              </w:rPr>
              <w:t xml:space="preserve"> (MMR)</w:t>
            </w:r>
            <w:r w:rsidR="002F4881" w:rsidRPr="00A707DB">
              <w:rPr>
                <w:bCs/>
                <w:color w:val="000000" w:themeColor="text1"/>
                <w:kern w:val="24"/>
                <w:sz w:val="16"/>
                <w:szCs w:val="16"/>
                <w:lang w:eastAsia="en-ZA"/>
              </w:rPr>
              <w:t>.</w:t>
            </w:r>
          </w:p>
          <w:p w14:paraId="0BBE4DF9" w14:textId="77777777" w:rsidR="002F4881" w:rsidRPr="00A707DB" w:rsidRDefault="002F4881" w:rsidP="002F4881">
            <w:pPr>
              <w:rPr>
                <w:bCs/>
                <w:color w:val="000000" w:themeColor="text1"/>
                <w:kern w:val="24"/>
                <w:sz w:val="16"/>
                <w:szCs w:val="16"/>
                <w:lang w:eastAsia="en-ZA"/>
              </w:rPr>
            </w:pPr>
          </w:p>
          <w:p w14:paraId="2440D45B" w14:textId="429767CD" w:rsidR="002F4881" w:rsidRPr="003C26C1" w:rsidRDefault="002F4881" w:rsidP="00BA5FC7">
            <w:pPr>
              <w:rPr>
                <w:i/>
                <w:iCs/>
                <w:color w:val="000000"/>
                <w:sz w:val="16"/>
                <w:szCs w:val="16"/>
                <w:lang w:val="en-GB"/>
              </w:rPr>
            </w:pPr>
            <w:r w:rsidRPr="00A707DB">
              <w:rPr>
                <w:bCs/>
                <w:color w:val="000000" w:themeColor="text1"/>
                <w:kern w:val="24"/>
                <w:sz w:val="16"/>
                <w:szCs w:val="16"/>
                <w:lang w:eastAsia="en-ZA"/>
              </w:rPr>
              <w:t xml:space="preserve">OCHA, </w:t>
            </w:r>
            <w:r w:rsidR="00BA5FC7">
              <w:rPr>
                <w:bCs/>
                <w:color w:val="000000" w:themeColor="text1"/>
                <w:kern w:val="24"/>
                <w:sz w:val="16"/>
                <w:szCs w:val="16"/>
                <w:lang w:val="en-ZW" w:eastAsia="en-ZA"/>
              </w:rPr>
              <w:t>FAO</w:t>
            </w:r>
            <w:r w:rsidRPr="00A707DB">
              <w:rPr>
                <w:bCs/>
                <w:color w:val="000000" w:themeColor="text1"/>
                <w:kern w:val="24"/>
                <w:sz w:val="16"/>
                <w:szCs w:val="16"/>
                <w:lang w:eastAsia="en-ZA"/>
              </w:rPr>
              <w:t>, UNICEF, UNHCR, H</w:t>
            </w:r>
            <w:r w:rsidR="00852FFB">
              <w:rPr>
                <w:bCs/>
                <w:color w:val="000000" w:themeColor="text1"/>
                <w:kern w:val="24"/>
                <w:sz w:val="16"/>
                <w:szCs w:val="16"/>
                <w:lang w:eastAsia="en-ZA"/>
              </w:rPr>
              <w:t xml:space="preserve">uman </w:t>
            </w:r>
            <w:r w:rsidRPr="00A707DB">
              <w:rPr>
                <w:bCs/>
                <w:color w:val="000000" w:themeColor="text1"/>
                <w:kern w:val="24"/>
                <w:sz w:val="16"/>
                <w:szCs w:val="16"/>
                <w:lang w:eastAsia="en-ZA"/>
              </w:rPr>
              <w:t>S</w:t>
            </w:r>
            <w:r w:rsidR="00852FFB">
              <w:rPr>
                <w:bCs/>
                <w:color w:val="000000" w:themeColor="text1"/>
                <w:kern w:val="24"/>
                <w:sz w:val="16"/>
                <w:szCs w:val="16"/>
                <w:lang w:eastAsia="en-ZA"/>
              </w:rPr>
              <w:t xml:space="preserve">ecurity </w:t>
            </w:r>
            <w:r w:rsidRPr="00A707DB">
              <w:rPr>
                <w:bCs/>
                <w:color w:val="000000" w:themeColor="text1"/>
                <w:kern w:val="24"/>
                <w:sz w:val="16"/>
                <w:szCs w:val="16"/>
                <w:lang w:eastAsia="en-ZA"/>
              </w:rPr>
              <w:t>T</w:t>
            </w:r>
            <w:r w:rsidR="00852FFB">
              <w:rPr>
                <w:bCs/>
                <w:color w:val="000000" w:themeColor="text1"/>
                <w:kern w:val="24"/>
                <w:sz w:val="16"/>
                <w:szCs w:val="16"/>
                <w:lang w:eastAsia="en-ZA"/>
              </w:rPr>
              <w:t xml:space="preserve">rust </w:t>
            </w:r>
            <w:r w:rsidRPr="00A707DB">
              <w:rPr>
                <w:bCs/>
                <w:color w:val="000000" w:themeColor="text1"/>
                <w:kern w:val="24"/>
                <w:sz w:val="16"/>
                <w:szCs w:val="16"/>
                <w:lang w:eastAsia="en-ZA"/>
              </w:rPr>
              <w:t>F</w:t>
            </w:r>
            <w:r w:rsidR="00852FFB">
              <w:rPr>
                <w:bCs/>
                <w:color w:val="000000" w:themeColor="text1"/>
                <w:kern w:val="24"/>
                <w:sz w:val="16"/>
                <w:szCs w:val="16"/>
                <w:lang w:eastAsia="en-ZA"/>
              </w:rPr>
              <w:t>und</w:t>
            </w:r>
            <w:r w:rsidRPr="00A707DB">
              <w:rPr>
                <w:bCs/>
                <w:color w:val="000000" w:themeColor="text1"/>
                <w:kern w:val="24"/>
                <w:sz w:val="16"/>
                <w:szCs w:val="16"/>
                <w:lang w:eastAsia="en-ZA"/>
              </w:rPr>
              <w:t xml:space="preserve">, </w:t>
            </w:r>
            <w:r w:rsidR="00F45F34">
              <w:rPr>
                <w:bCs/>
                <w:color w:val="000000" w:themeColor="text1"/>
                <w:kern w:val="24"/>
                <w:sz w:val="16"/>
                <w:szCs w:val="16"/>
                <w:lang w:eastAsia="en-ZA"/>
              </w:rPr>
              <w:t>National Confederation of Eritrean Workers</w:t>
            </w:r>
            <w:r w:rsidRPr="00A707DB">
              <w:rPr>
                <w:bCs/>
                <w:color w:val="000000" w:themeColor="text1"/>
                <w:kern w:val="24"/>
                <w:sz w:val="16"/>
                <w:szCs w:val="16"/>
                <w:lang w:eastAsia="en-ZA"/>
              </w:rPr>
              <w:t xml:space="preserve">, </w:t>
            </w:r>
            <w:r w:rsidR="00BA5FC7" w:rsidRPr="00BA5FC7">
              <w:rPr>
                <w:bCs/>
                <w:color w:val="000000" w:themeColor="text1"/>
                <w:kern w:val="24"/>
                <w:sz w:val="16"/>
                <w:szCs w:val="16"/>
                <w:lang w:val="en-ZW" w:eastAsia="en-ZA"/>
              </w:rPr>
              <w:t>NUEW</w:t>
            </w:r>
            <w:r w:rsidRPr="00A707DB">
              <w:rPr>
                <w:bCs/>
                <w:color w:val="000000" w:themeColor="text1"/>
                <w:kern w:val="24"/>
                <w:sz w:val="16"/>
                <w:szCs w:val="16"/>
                <w:lang w:eastAsia="en-ZA"/>
              </w:rPr>
              <w:t xml:space="preserve">, </w:t>
            </w:r>
            <w:r w:rsidR="008363B6" w:rsidRPr="008363B6">
              <w:rPr>
                <w:bCs/>
                <w:iCs/>
                <w:color w:val="000000" w:themeColor="text1"/>
                <w:kern w:val="24"/>
                <w:sz w:val="16"/>
                <w:szCs w:val="16"/>
                <w:lang w:eastAsia="en-ZA"/>
              </w:rPr>
              <w:t>NUEYS</w:t>
            </w:r>
            <w:r>
              <w:rPr>
                <w:bCs/>
                <w:color w:val="000000" w:themeColor="text1"/>
                <w:kern w:val="24"/>
                <w:sz w:val="16"/>
                <w:szCs w:val="16"/>
                <w:lang w:eastAsia="en-ZA"/>
              </w:rPr>
              <w:t>, Norway, E</w:t>
            </w:r>
            <w:r w:rsidR="006A2070">
              <w:rPr>
                <w:bCs/>
                <w:color w:val="000000" w:themeColor="text1"/>
                <w:kern w:val="24"/>
                <w:sz w:val="16"/>
                <w:szCs w:val="16"/>
                <w:lang w:eastAsia="en-ZA"/>
              </w:rPr>
              <w:t xml:space="preserve">uropean </w:t>
            </w:r>
            <w:r>
              <w:rPr>
                <w:bCs/>
                <w:color w:val="000000" w:themeColor="text1"/>
                <w:kern w:val="24"/>
                <w:sz w:val="16"/>
                <w:szCs w:val="16"/>
                <w:lang w:eastAsia="en-ZA"/>
              </w:rPr>
              <w:t>U</w:t>
            </w:r>
            <w:r w:rsidR="006A2070">
              <w:rPr>
                <w:bCs/>
                <w:color w:val="000000" w:themeColor="text1"/>
                <w:kern w:val="24"/>
                <w:sz w:val="16"/>
                <w:szCs w:val="16"/>
                <w:lang w:eastAsia="en-ZA"/>
              </w:rPr>
              <w:t>nion</w:t>
            </w:r>
            <w:r>
              <w:rPr>
                <w:bCs/>
                <w:color w:val="000000" w:themeColor="text1"/>
                <w:kern w:val="24"/>
                <w:sz w:val="16"/>
                <w:szCs w:val="16"/>
                <w:lang w:eastAsia="en-ZA"/>
              </w:rPr>
              <w:t xml:space="preserve">, </w:t>
            </w:r>
            <w:r w:rsidR="00115246">
              <w:rPr>
                <w:bCs/>
                <w:color w:val="000000" w:themeColor="text1"/>
                <w:kern w:val="24"/>
                <w:sz w:val="16"/>
                <w:szCs w:val="16"/>
                <w:lang w:val="en-ZW" w:eastAsia="en-ZA"/>
              </w:rPr>
              <w:t>ADB</w:t>
            </w:r>
            <w:r w:rsidR="00C1328E" w:rsidRPr="00C1328E">
              <w:rPr>
                <w:bCs/>
                <w:color w:val="000000" w:themeColor="text1"/>
                <w:kern w:val="24"/>
                <w:sz w:val="16"/>
                <w:szCs w:val="16"/>
                <w:lang w:val="en-ZW" w:eastAsia="en-ZA"/>
              </w:rPr>
              <w:t xml:space="preserve"> </w:t>
            </w:r>
          </w:p>
        </w:tc>
        <w:tc>
          <w:tcPr>
            <w:tcW w:w="590" w:type="pct"/>
            <w:tcMar>
              <w:top w:w="15" w:type="dxa"/>
              <w:left w:w="108" w:type="dxa"/>
              <w:bottom w:w="0" w:type="dxa"/>
              <w:right w:w="108" w:type="dxa"/>
            </w:tcMar>
          </w:tcPr>
          <w:p w14:paraId="2440D45C" w14:textId="5FAFB0A6" w:rsidR="002F4881" w:rsidRPr="003C26C1" w:rsidRDefault="002F4881" w:rsidP="002F4881">
            <w:pPr>
              <w:rPr>
                <w:b/>
                <w:color w:val="000000"/>
                <w:sz w:val="16"/>
                <w:szCs w:val="16"/>
              </w:rPr>
            </w:pPr>
            <w:r w:rsidRPr="003C26C1">
              <w:rPr>
                <w:b/>
                <w:color w:val="000000"/>
                <w:sz w:val="16"/>
                <w:szCs w:val="16"/>
              </w:rPr>
              <w:t>Regular</w:t>
            </w:r>
            <w:r>
              <w:rPr>
                <w:b/>
                <w:color w:val="000000"/>
                <w:sz w:val="16"/>
                <w:szCs w:val="16"/>
              </w:rPr>
              <w:t xml:space="preserve"> </w:t>
            </w:r>
            <w:r>
              <w:rPr>
                <w:color w:val="000000" w:themeColor="text1"/>
                <w:sz w:val="16"/>
                <w:szCs w:val="16"/>
              </w:rPr>
              <w:t>7,983</w:t>
            </w:r>
            <w:r w:rsidRPr="00A707DB">
              <w:rPr>
                <w:color w:val="000000" w:themeColor="text1"/>
                <w:sz w:val="16"/>
                <w:szCs w:val="16"/>
              </w:rPr>
              <w:t>,000</w:t>
            </w:r>
          </w:p>
        </w:tc>
      </w:tr>
      <w:tr w:rsidR="002F4881" w:rsidRPr="003C26C1" w14:paraId="2440D463" w14:textId="77777777" w:rsidTr="00F555E9">
        <w:tc>
          <w:tcPr>
            <w:tcW w:w="1097" w:type="pct"/>
            <w:vMerge/>
            <w:tcBorders>
              <w:bottom w:val="single" w:sz="4" w:space="0" w:color="auto"/>
            </w:tcBorders>
            <w:tcMar>
              <w:top w:w="72" w:type="dxa"/>
              <w:left w:w="144" w:type="dxa"/>
              <w:bottom w:w="72" w:type="dxa"/>
              <w:right w:w="144" w:type="dxa"/>
            </w:tcMar>
          </w:tcPr>
          <w:p w14:paraId="2440D45E" w14:textId="77777777" w:rsidR="002F4881" w:rsidRPr="003C26C1" w:rsidRDefault="002F4881" w:rsidP="002F4881">
            <w:pPr>
              <w:rPr>
                <w:i/>
                <w:iCs/>
                <w:color w:val="000000"/>
                <w:sz w:val="16"/>
                <w:szCs w:val="16"/>
                <w:lang w:val="en-GB"/>
              </w:rPr>
            </w:pPr>
          </w:p>
        </w:tc>
        <w:tc>
          <w:tcPr>
            <w:tcW w:w="827" w:type="pct"/>
            <w:vMerge/>
            <w:tcBorders>
              <w:bottom w:val="single" w:sz="4" w:space="0" w:color="auto"/>
            </w:tcBorders>
          </w:tcPr>
          <w:p w14:paraId="2440D45F" w14:textId="77777777" w:rsidR="002F4881" w:rsidRPr="003C26C1" w:rsidRDefault="002F4881" w:rsidP="002F4881">
            <w:pPr>
              <w:rPr>
                <w:i/>
                <w:iCs/>
                <w:color w:val="000000"/>
                <w:sz w:val="16"/>
                <w:szCs w:val="16"/>
                <w:lang w:val="en-GB"/>
              </w:rPr>
            </w:pPr>
          </w:p>
        </w:tc>
        <w:tc>
          <w:tcPr>
            <w:tcW w:w="1833" w:type="pct"/>
            <w:vMerge/>
            <w:tcBorders>
              <w:bottom w:val="single" w:sz="4" w:space="0" w:color="auto"/>
            </w:tcBorders>
            <w:tcMar>
              <w:top w:w="72" w:type="dxa"/>
              <w:left w:w="144" w:type="dxa"/>
              <w:bottom w:w="72" w:type="dxa"/>
              <w:right w:w="144" w:type="dxa"/>
            </w:tcMar>
          </w:tcPr>
          <w:p w14:paraId="2440D460" w14:textId="77777777" w:rsidR="002F4881" w:rsidRPr="003C26C1" w:rsidRDefault="002F4881" w:rsidP="002F4881">
            <w:pPr>
              <w:rPr>
                <w:i/>
                <w:iCs/>
                <w:color w:val="000000"/>
                <w:sz w:val="16"/>
                <w:szCs w:val="16"/>
                <w:lang w:val="en-GB"/>
              </w:rPr>
            </w:pPr>
          </w:p>
        </w:tc>
        <w:tc>
          <w:tcPr>
            <w:tcW w:w="653" w:type="pct"/>
            <w:vMerge/>
            <w:tcBorders>
              <w:bottom w:val="single" w:sz="4" w:space="0" w:color="auto"/>
            </w:tcBorders>
          </w:tcPr>
          <w:p w14:paraId="2440D461" w14:textId="77777777" w:rsidR="002F4881" w:rsidRPr="003C26C1" w:rsidRDefault="002F4881" w:rsidP="002F4881">
            <w:pPr>
              <w:rPr>
                <w:i/>
                <w:iCs/>
                <w:color w:val="000000"/>
                <w:sz w:val="16"/>
                <w:szCs w:val="16"/>
                <w:lang w:val="en-GB"/>
              </w:rPr>
            </w:pPr>
          </w:p>
        </w:tc>
        <w:tc>
          <w:tcPr>
            <w:tcW w:w="590" w:type="pct"/>
            <w:tcBorders>
              <w:bottom w:val="single" w:sz="4" w:space="0" w:color="auto"/>
            </w:tcBorders>
            <w:tcMar>
              <w:top w:w="15" w:type="dxa"/>
              <w:left w:w="108" w:type="dxa"/>
              <w:bottom w:w="0" w:type="dxa"/>
              <w:right w:w="108" w:type="dxa"/>
            </w:tcMar>
          </w:tcPr>
          <w:p w14:paraId="3C1A7869" w14:textId="600460D0" w:rsidR="002F4881" w:rsidRDefault="002F4881" w:rsidP="002F4881">
            <w:pPr>
              <w:rPr>
                <w:b/>
                <w:color w:val="000000"/>
                <w:sz w:val="16"/>
                <w:szCs w:val="16"/>
              </w:rPr>
            </w:pPr>
            <w:r w:rsidRPr="003C26C1">
              <w:rPr>
                <w:b/>
                <w:color w:val="000000"/>
                <w:sz w:val="16"/>
                <w:szCs w:val="16"/>
              </w:rPr>
              <w:t>Other</w:t>
            </w:r>
            <w:r>
              <w:rPr>
                <w:b/>
                <w:color w:val="000000"/>
                <w:sz w:val="16"/>
                <w:szCs w:val="16"/>
              </w:rPr>
              <w:t xml:space="preserve">  </w:t>
            </w:r>
            <w:r w:rsidRPr="00A707DB">
              <w:rPr>
                <w:color w:val="000000" w:themeColor="text1"/>
                <w:sz w:val="16"/>
                <w:szCs w:val="16"/>
              </w:rPr>
              <w:t>25,000,000</w:t>
            </w:r>
          </w:p>
          <w:p w14:paraId="2440D462" w14:textId="77777777" w:rsidR="002F4881" w:rsidRPr="003C26C1" w:rsidRDefault="002F4881" w:rsidP="002F4881">
            <w:pPr>
              <w:rPr>
                <w:b/>
                <w:color w:val="000000"/>
                <w:sz w:val="16"/>
                <w:szCs w:val="16"/>
              </w:rPr>
            </w:pPr>
          </w:p>
        </w:tc>
      </w:tr>
      <w:tr w:rsidR="00607FBD" w:rsidRPr="003C26C1" w14:paraId="13318081" w14:textId="77777777" w:rsidTr="00D55A8B">
        <w:tc>
          <w:tcPr>
            <w:tcW w:w="5000" w:type="pct"/>
            <w:gridSpan w:val="5"/>
            <w:shd w:val="clear" w:color="auto" w:fill="auto"/>
            <w:tcMar>
              <w:top w:w="72" w:type="dxa"/>
              <w:left w:w="144" w:type="dxa"/>
              <w:bottom w:w="72" w:type="dxa"/>
              <w:right w:w="144" w:type="dxa"/>
            </w:tcMar>
          </w:tcPr>
          <w:p w14:paraId="01C58FFD" w14:textId="7FFA1A3D" w:rsidR="00607FBD" w:rsidRPr="009032B8" w:rsidRDefault="00607FBD" w:rsidP="00607FBD">
            <w:pPr>
              <w:rPr>
                <w:color w:val="000000"/>
              </w:rPr>
            </w:pPr>
            <w:r w:rsidRPr="00F555E9">
              <w:rPr>
                <w:b/>
                <w:bCs/>
                <w:color w:val="000000"/>
                <w:lang w:val="en-GB"/>
              </w:rPr>
              <w:t xml:space="preserve">NATIONAL PRIORITY OR GOAL: </w:t>
            </w:r>
            <w:r w:rsidR="00DC0132" w:rsidRPr="00F555E9">
              <w:rPr>
                <w:bCs/>
              </w:rPr>
              <w:t>Sustainable environmental management</w:t>
            </w:r>
          </w:p>
        </w:tc>
      </w:tr>
      <w:tr w:rsidR="00607FBD" w:rsidRPr="003C26C1" w14:paraId="55E567C9" w14:textId="77777777" w:rsidTr="00D55A8B">
        <w:tc>
          <w:tcPr>
            <w:tcW w:w="5000" w:type="pct"/>
            <w:gridSpan w:val="5"/>
            <w:shd w:val="clear" w:color="auto" w:fill="auto"/>
            <w:tcMar>
              <w:top w:w="72" w:type="dxa"/>
              <w:left w:w="144" w:type="dxa"/>
              <w:bottom w:w="72" w:type="dxa"/>
              <w:right w:w="144" w:type="dxa"/>
            </w:tcMar>
          </w:tcPr>
          <w:p w14:paraId="36A8E5C1" w14:textId="3CF0B480" w:rsidR="004E6A15" w:rsidRDefault="00D770D9" w:rsidP="00753626">
            <w:pPr>
              <w:rPr>
                <w:b/>
                <w:bCs/>
              </w:rPr>
            </w:pPr>
            <w:r>
              <w:rPr>
                <w:b/>
                <w:bCs/>
                <w:lang w:val="en-ZW"/>
              </w:rPr>
              <w:t>SPCF</w:t>
            </w:r>
            <w:r w:rsidR="00607FBD" w:rsidRPr="009032B8">
              <w:rPr>
                <w:b/>
                <w:bCs/>
              </w:rPr>
              <w:t xml:space="preserve"> OUTCOME INVOLVING UNDP:</w:t>
            </w:r>
            <w:r w:rsidR="00DC0132" w:rsidRPr="009032B8">
              <w:rPr>
                <w:b/>
                <w:bCs/>
              </w:rPr>
              <w:t xml:space="preserve"> </w:t>
            </w:r>
          </w:p>
          <w:p w14:paraId="6D1B930E" w14:textId="5837BD06" w:rsidR="00607FBD" w:rsidRPr="009032B8" w:rsidRDefault="004E6A15" w:rsidP="006A0131">
            <w:pPr>
              <w:rPr>
                <w:color w:val="000000"/>
              </w:rPr>
            </w:pPr>
            <w:r w:rsidRPr="00EF1EEC">
              <w:rPr>
                <w:b/>
                <w:bCs/>
              </w:rPr>
              <w:t xml:space="preserve">Outcome </w:t>
            </w:r>
            <w:r w:rsidR="006A0131">
              <w:rPr>
                <w:b/>
                <w:bCs/>
              </w:rPr>
              <w:t>B1</w:t>
            </w:r>
            <w:r>
              <w:rPr>
                <w:bCs/>
              </w:rPr>
              <w:t>:</w:t>
            </w:r>
            <w:r w:rsidR="00DC0132" w:rsidRPr="009032B8">
              <w:t xml:space="preserve"> </w:t>
            </w:r>
            <w:r w:rsidR="00B856D7" w:rsidRPr="00B856D7">
              <w:rPr>
                <w:rFonts w:cs="Tahoma"/>
                <w:szCs w:val="18"/>
              </w:rPr>
              <w:t>By 2021, environmental and natural resources management is gender responsive, and sustainable, negating the impacts of ecosystem degradation, climate change, and strengthening community resilience to disasters</w:t>
            </w:r>
          </w:p>
        </w:tc>
      </w:tr>
      <w:tr w:rsidR="00607FBD" w:rsidRPr="003C26C1" w14:paraId="0401A6BC" w14:textId="77777777" w:rsidTr="00D55A8B">
        <w:tc>
          <w:tcPr>
            <w:tcW w:w="5000" w:type="pct"/>
            <w:gridSpan w:val="5"/>
            <w:shd w:val="clear" w:color="auto" w:fill="auto"/>
            <w:tcMar>
              <w:top w:w="72" w:type="dxa"/>
              <w:left w:w="144" w:type="dxa"/>
              <w:bottom w:w="72" w:type="dxa"/>
              <w:right w:w="144" w:type="dxa"/>
            </w:tcMar>
          </w:tcPr>
          <w:p w14:paraId="4BB28426" w14:textId="77777777" w:rsidR="00313A1E" w:rsidRDefault="00607FBD" w:rsidP="00607FBD">
            <w:pPr>
              <w:rPr>
                <w:b/>
                <w:bCs/>
                <w:color w:val="000000"/>
                <w:lang w:val="en-GB"/>
              </w:rPr>
            </w:pPr>
            <w:r w:rsidRPr="009032B8">
              <w:rPr>
                <w:b/>
                <w:bCs/>
                <w:color w:val="000000"/>
                <w:lang w:val="en-GB"/>
              </w:rPr>
              <w:t xml:space="preserve">RELATED STRATEGIC PLAN OUTCOME: </w:t>
            </w:r>
          </w:p>
          <w:p w14:paraId="5CCB72D8" w14:textId="1A848EDB" w:rsidR="00607FBD" w:rsidRPr="009032B8" w:rsidRDefault="00DC0132" w:rsidP="00607FBD">
            <w:pPr>
              <w:rPr>
                <w:b/>
                <w:bCs/>
                <w:color w:val="000000"/>
                <w:lang w:val="en-GB"/>
              </w:rPr>
            </w:pPr>
            <w:r w:rsidRPr="00313A1E">
              <w:rPr>
                <w:bCs/>
              </w:rPr>
              <w:t>5. Countries are able to reduce the likelihood of conflict and lower the risk of natural disasters, including from climate change</w:t>
            </w:r>
          </w:p>
        </w:tc>
      </w:tr>
      <w:tr w:rsidR="00DC0132" w:rsidRPr="003C26C1" w14:paraId="2623DDBF" w14:textId="77777777" w:rsidTr="00943E27">
        <w:tc>
          <w:tcPr>
            <w:tcW w:w="1097" w:type="pct"/>
            <w:vMerge w:val="restart"/>
            <w:tcMar>
              <w:top w:w="72" w:type="dxa"/>
              <w:left w:w="144" w:type="dxa"/>
              <w:bottom w:w="72" w:type="dxa"/>
              <w:right w:w="144" w:type="dxa"/>
            </w:tcMar>
          </w:tcPr>
          <w:p w14:paraId="50AC80A1" w14:textId="042D5CFF" w:rsidR="00DC0132" w:rsidRDefault="00DC0132" w:rsidP="00DC0132">
            <w:pPr>
              <w:spacing w:before="120"/>
              <w:rPr>
                <w:sz w:val="16"/>
                <w:szCs w:val="16"/>
              </w:rPr>
            </w:pPr>
            <w:r w:rsidRPr="00A707DB">
              <w:rPr>
                <w:b/>
                <w:bCs/>
                <w:kern w:val="24"/>
                <w:sz w:val="16"/>
                <w:szCs w:val="16"/>
                <w:lang w:eastAsia="en-ZA"/>
              </w:rPr>
              <w:t>Indicator 2.1.</w:t>
            </w:r>
            <w:r w:rsidRPr="00A707DB">
              <w:rPr>
                <w:bCs/>
                <w:kern w:val="24"/>
                <w:sz w:val="16"/>
                <w:szCs w:val="16"/>
                <w:lang w:eastAsia="en-ZA"/>
              </w:rPr>
              <w:t xml:space="preserve"> </w:t>
            </w:r>
            <w:r w:rsidRPr="006E261B">
              <w:rPr>
                <w:sz w:val="16"/>
                <w:szCs w:val="16"/>
              </w:rPr>
              <w:t xml:space="preserve">Hectares of land managed sustainably under in-situ conservation, sustainable use and/or an </w:t>
            </w:r>
            <w:r w:rsidR="009E616B">
              <w:rPr>
                <w:sz w:val="16"/>
                <w:szCs w:val="16"/>
              </w:rPr>
              <w:t>a</w:t>
            </w:r>
            <w:r>
              <w:rPr>
                <w:sz w:val="16"/>
                <w:szCs w:val="16"/>
              </w:rPr>
              <w:t xml:space="preserve">ccess and </w:t>
            </w:r>
            <w:r w:rsidR="009E616B">
              <w:rPr>
                <w:sz w:val="16"/>
                <w:szCs w:val="16"/>
              </w:rPr>
              <w:t>b</w:t>
            </w:r>
            <w:r>
              <w:rPr>
                <w:sz w:val="16"/>
                <w:szCs w:val="16"/>
              </w:rPr>
              <w:t xml:space="preserve">enefits </w:t>
            </w:r>
            <w:r w:rsidR="009E616B">
              <w:rPr>
                <w:sz w:val="16"/>
                <w:szCs w:val="16"/>
              </w:rPr>
              <w:t>s</w:t>
            </w:r>
            <w:r>
              <w:rPr>
                <w:sz w:val="16"/>
                <w:szCs w:val="16"/>
              </w:rPr>
              <w:t>haring</w:t>
            </w:r>
            <w:r w:rsidRPr="006E261B">
              <w:rPr>
                <w:sz w:val="16"/>
                <w:szCs w:val="16"/>
              </w:rPr>
              <w:t xml:space="preserve"> regime</w:t>
            </w:r>
            <w:r>
              <w:rPr>
                <w:sz w:val="16"/>
                <w:szCs w:val="16"/>
              </w:rPr>
              <w:t xml:space="preserve"> (IRRF Indicator 1.5)</w:t>
            </w:r>
          </w:p>
          <w:p w14:paraId="04CF8F29" w14:textId="77777777" w:rsidR="00DC0132" w:rsidRDefault="00DC0132" w:rsidP="00DC0132">
            <w:pPr>
              <w:rPr>
                <w:b/>
                <w:sz w:val="16"/>
                <w:szCs w:val="16"/>
              </w:rPr>
            </w:pPr>
          </w:p>
          <w:p w14:paraId="29B3D63D" w14:textId="77777777" w:rsidR="00DC0132" w:rsidRPr="003006F1" w:rsidRDefault="00DC0132" w:rsidP="00DC0132">
            <w:pPr>
              <w:rPr>
                <w:sz w:val="16"/>
                <w:szCs w:val="16"/>
              </w:rPr>
            </w:pPr>
            <w:r w:rsidRPr="00A707DB">
              <w:rPr>
                <w:b/>
                <w:sz w:val="16"/>
                <w:szCs w:val="16"/>
              </w:rPr>
              <w:t>Baseline (2015)</w:t>
            </w:r>
            <w:r w:rsidRPr="00A707DB">
              <w:rPr>
                <w:sz w:val="16"/>
                <w:szCs w:val="16"/>
              </w:rPr>
              <w:t xml:space="preserve">: </w:t>
            </w:r>
            <w:r>
              <w:rPr>
                <w:sz w:val="16"/>
                <w:szCs w:val="16"/>
              </w:rPr>
              <w:t>411,600 ha</w:t>
            </w:r>
          </w:p>
          <w:p w14:paraId="732E9A6E" w14:textId="77777777" w:rsidR="00DC0132" w:rsidRDefault="00DC0132" w:rsidP="00DC0132">
            <w:pPr>
              <w:rPr>
                <w:b/>
                <w:sz w:val="16"/>
                <w:szCs w:val="16"/>
              </w:rPr>
            </w:pPr>
          </w:p>
          <w:p w14:paraId="5DE7579C" w14:textId="77777777" w:rsidR="00DC0132" w:rsidRDefault="00DC0132" w:rsidP="00DC0132">
            <w:pPr>
              <w:rPr>
                <w:sz w:val="16"/>
                <w:szCs w:val="16"/>
              </w:rPr>
            </w:pPr>
            <w:r w:rsidRPr="00A707DB">
              <w:rPr>
                <w:b/>
                <w:sz w:val="16"/>
                <w:szCs w:val="16"/>
              </w:rPr>
              <w:t>Target (2021)</w:t>
            </w:r>
            <w:r>
              <w:rPr>
                <w:sz w:val="16"/>
                <w:szCs w:val="16"/>
              </w:rPr>
              <w:t xml:space="preserve">: </w:t>
            </w:r>
            <w:r>
              <w:rPr>
                <w:bCs/>
                <w:kern w:val="24"/>
                <w:sz w:val="16"/>
                <w:szCs w:val="16"/>
                <w:lang w:eastAsia="en-ZA"/>
              </w:rPr>
              <w:t>588</w:t>
            </w:r>
            <w:r w:rsidRPr="00A707DB">
              <w:rPr>
                <w:bCs/>
                <w:kern w:val="24"/>
                <w:sz w:val="16"/>
                <w:szCs w:val="16"/>
                <w:lang w:eastAsia="en-ZA"/>
              </w:rPr>
              <w:t>,000 ha</w:t>
            </w:r>
          </w:p>
          <w:p w14:paraId="0F18DA03" w14:textId="77777777" w:rsidR="00DC0132" w:rsidRPr="00A707DB" w:rsidRDefault="00DC0132" w:rsidP="00DC0132">
            <w:pPr>
              <w:rPr>
                <w:b/>
                <w:sz w:val="16"/>
                <w:szCs w:val="16"/>
              </w:rPr>
            </w:pPr>
          </w:p>
          <w:p w14:paraId="47704C81" w14:textId="77777777" w:rsidR="00DC0132" w:rsidRDefault="00DC0132" w:rsidP="00DC0132">
            <w:pPr>
              <w:rPr>
                <w:b/>
                <w:sz w:val="16"/>
                <w:szCs w:val="16"/>
              </w:rPr>
            </w:pPr>
          </w:p>
          <w:p w14:paraId="3A33B92B" w14:textId="5B555B0E" w:rsidR="00DC0132" w:rsidRDefault="00DC0132" w:rsidP="00DC0132">
            <w:pPr>
              <w:rPr>
                <w:sz w:val="16"/>
                <w:szCs w:val="16"/>
              </w:rPr>
            </w:pPr>
            <w:r w:rsidRPr="00A707DB">
              <w:rPr>
                <w:b/>
                <w:sz w:val="16"/>
                <w:szCs w:val="16"/>
              </w:rPr>
              <w:t>Indicat</w:t>
            </w:r>
            <w:r>
              <w:rPr>
                <w:b/>
                <w:sz w:val="16"/>
                <w:szCs w:val="16"/>
              </w:rPr>
              <w:t>or 2.2</w:t>
            </w:r>
            <w:r w:rsidRPr="00A707DB">
              <w:rPr>
                <w:sz w:val="16"/>
                <w:szCs w:val="16"/>
              </w:rPr>
              <w:t xml:space="preserve">: </w:t>
            </w:r>
            <w:r w:rsidRPr="00902687">
              <w:rPr>
                <w:sz w:val="16"/>
                <w:szCs w:val="16"/>
              </w:rPr>
              <w:t>Economic loss</w:t>
            </w:r>
            <w:r>
              <w:rPr>
                <w:sz w:val="16"/>
                <w:szCs w:val="16"/>
              </w:rPr>
              <w:t xml:space="preserve"> from natural hazards </w:t>
            </w:r>
            <w:r w:rsidRPr="00902687">
              <w:rPr>
                <w:sz w:val="16"/>
                <w:szCs w:val="16"/>
              </w:rPr>
              <w:t xml:space="preserve">as a proportion of Gross Domestic Product </w:t>
            </w:r>
            <w:r>
              <w:rPr>
                <w:sz w:val="16"/>
                <w:szCs w:val="16"/>
              </w:rPr>
              <w:t>(IRRF Indicator 5.2)</w:t>
            </w:r>
          </w:p>
          <w:p w14:paraId="6D538B53" w14:textId="77777777" w:rsidR="00DC0132" w:rsidRPr="00902687" w:rsidRDefault="00DC0132" w:rsidP="00DC0132">
            <w:pPr>
              <w:rPr>
                <w:sz w:val="16"/>
                <w:szCs w:val="16"/>
              </w:rPr>
            </w:pPr>
          </w:p>
          <w:p w14:paraId="3914CDCA" w14:textId="77777777" w:rsidR="00DC0132" w:rsidRPr="00A707DB" w:rsidRDefault="00DC0132" w:rsidP="00DC0132">
            <w:pPr>
              <w:rPr>
                <w:sz w:val="16"/>
                <w:szCs w:val="16"/>
              </w:rPr>
            </w:pPr>
            <w:r w:rsidRPr="00A707DB">
              <w:rPr>
                <w:b/>
                <w:sz w:val="16"/>
                <w:szCs w:val="16"/>
              </w:rPr>
              <w:t>Baseline (2015)</w:t>
            </w:r>
            <w:r w:rsidRPr="00A707DB">
              <w:rPr>
                <w:sz w:val="16"/>
                <w:szCs w:val="16"/>
              </w:rPr>
              <w:t xml:space="preserve">: </w:t>
            </w:r>
            <w:r>
              <w:rPr>
                <w:sz w:val="16"/>
                <w:szCs w:val="16"/>
              </w:rPr>
              <w:t>5%</w:t>
            </w:r>
          </w:p>
          <w:p w14:paraId="6E2781BE" w14:textId="77777777" w:rsidR="00DC0132" w:rsidRDefault="00DC0132" w:rsidP="00DC0132">
            <w:pPr>
              <w:rPr>
                <w:b/>
                <w:sz w:val="16"/>
                <w:szCs w:val="16"/>
              </w:rPr>
            </w:pPr>
          </w:p>
          <w:p w14:paraId="7CA93B2C" w14:textId="77777777" w:rsidR="00DC0132" w:rsidRPr="00A707DB" w:rsidRDefault="00DC0132" w:rsidP="00DC0132">
            <w:pPr>
              <w:rPr>
                <w:b/>
                <w:sz w:val="16"/>
                <w:szCs w:val="16"/>
              </w:rPr>
            </w:pPr>
            <w:r w:rsidRPr="00A707DB">
              <w:rPr>
                <w:b/>
                <w:sz w:val="16"/>
                <w:szCs w:val="16"/>
              </w:rPr>
              <w:t>Target (2021)</w:t>
            </w:r>
            <w:r>
              <w:rPr>
                <w:sz w:val="16"/>
                <w:szCs w:val="16"/>
              </w:rPr>
              <w:t xml:space="preserve">: 2% </w:t>
            </w:r>
          </w:p>
          <w:p w14:paraId="75F8C123" w14:textId="77777777" w:rsidR="00DC0132" w:rsidRDefault="00DC0132" w:rsidP="000C3BCD">
            <w:pPr>
              <w:rPr>
                <w:b/>
                <w:sz w:val="16"/>
                <w:szCs w:val="16"/>
              </w:rPr>
            </w:pPr>
          </w:p>
          <w:p w14:paraId="67CEE65C" w14:textId="77777777" w:rsidR="00DC0132" w:rsidRPr="003C26C1" w:rsidRDefault="00DC0132" w:rsidP="00607FBD">
            <w:pPr>
              <w:rPr>
                <w:bCs/>
                <w:i/>
                <w:color w:val="000000"/>
                <w:sz w:val="16"/>
                <w:szCs w:val="16"/>
                <w:lang w:val="en-GB"/>
              </w:rPr>
            </w:pPr>
          </w:p>
        </w:tc>
        <w:tc>
          <w:tcPr>
            <w:tcW w:w="827" w:type="pct"/>
            <w:vMerge w:val="restart"/>
          </w:tcPr>
          <w:p w14:paraId="291F9F08" w14:textId="45187747" w:rsidR="00DC0132" w:rsidRDefault="00DC0132" w:rsidP="00DC0132">
            <w:pPr>
              <w:spacing w:before="120"/>
              <w:rPr>
                <w:bCs/>
                <w:kern w:val="24"/>
                <w:sz w:val="16"/>
                <w:szCs w:val="16"/>
                <w:lang w:val="en-ZA" w:eastAsia="en-ZA"/>
              </w:rPr>
            </w:pPr>
            <w:r w:rsidRPr="00A707DB">
              <w:rPr>
                <w:b/>
                <w:sz w:val="16"/>
                <w:szCs w:val="16"/>
              </w:rPr>
              <w:t>Source</w:t>
            </w:r>
            <w:r w:rsidRPr="00A707DB">
              <w:rPr>
                <w:sz w:val="16"/>
                <w:szCs w:val="16"/>
              </w:rPr>
              <w:t xml:space="preserve">: </w:t>
            </w:r>
            <w:r w:rsidR="00202104">
              <w:rPr>
                <w:iCs/>
                <w:sz w:val="16"/>
                <w:szCs w:val="16"/>
              </w:rPr>
              <w:t>MLWE</w:t>
            </w:r>
            <w:r w:rsidRPr="00A707DB">
              <w:rPr>
                <w:iCs/>
                <w:sz w:val="16"/>
                <w:szCs w:val="16"/>
              </w:rPr>
              <w:t xml:space="preserve">, MoA, </w:t>
            </w:r>
            <w:r w:rsidR="00DA5BAA">
              <w:rPr>
                <w:iCs/>
                <w:sz w:val="16"/>
                <w:szCs w:val="16"/>
              </w:rPr>
              <w:t>l</w:t>
            </w:r>
            <w:r w:rsidRPr="00A707DB">
              <w:rPr>
                <w:iCs/>
                <w:sz w:val="16"/>
                <w:szCs w:val="16"/>
              </w:rPr>
              <w:t xml:space="preserve">ocal </w:t>
            </w:r>
            <w:r w:rsidR="00DA5BAA">
              <w:rPr>
                <w:iCs/>
                <w:sz w:val="16"/>
                <w:szCs w:val="16"/>
              </w:rPr>
              <w:t>g</w:t>
            </w:r>
            <w:r w:rsidRPr="00A707DB">
              <w:rPr>
                <w:iCs/>
                <w:sz w:val="16"/>
                <w:szCs w:val="16"/>
              </w:rPr>
              <w:t>overnments</w:t>
            </w:r>
          </w:p>
          <w:p w14:paraId="3D24AEA1" w14:textId="77777777" w:rsidR="00DC0132" w:rsidRPr="00A707DB" w:rsidRDefault="00DC0132" w:rsidP="00DC0132">
            <w:pPr>
              <w:rPr>
                <w:bCs/>
                <w:kern w:val="24"/>
                <w:sz w:val="16"/>
                <w:szCs w:val="16"/>
                <w:lang w:val="en-ZA" w:eastAsia="en-ZA"/>
              </w:rPr>
            </w:pPr>
          </w:p>
          <w:p w14:paraId="434C1D39" w14:textId="79B23F9F" w:rsidR="00DC0132" w:rsidRPr="00A707DB" w:rsidRDefault="00DC0132" w:rsidP="00DC0132">
            <w:pPr>
              <w:rPr>
                <w:sz w:val="16"/>
                <w:szCs w:val="16"/>
              </w:rPr>
            </w:pPr>
            <w:r w:rsidRPr="00A707DB">
              <w:rPr>
                <w:b/>
                <w:sz w:val="16"/>
                <w:szCs w:val="16"/>
              </w:rPr>
              <w:t>Frequency</w:t>
            </w:r>
            <w:r w:rsidRPr="00A707DB">
              <w:rPr>
                <w:sz w:val="16"/>
                <w:szCs w:val="16"/>
              </w:rPr>
              <w:t xml:space="preserve">: </w:t>
            </w:r>
            <w:r w:rsidR="00E966DD">
              <w:rPr>
                <w:sz w:val="16"/>
                <w:szCs w:val="16"/>
              </w:rPr>
              <w:t>a</w:t>
            </w:r>
            <w:r w:rsidRPr="00A707DB">
              <w:rPr>
                <w:sz w:val="16"/>
                <w:szCs w:val="16"/>
              </w:rPr>
              <w:t>nnual</w:t>
            </w:r>
          </w:p>
          <w:p w14:paraId="5A09D92A" w14:textId="77777777" w:rsidR="00DC0132" w:rsidRDefault="00DC0132" w:rsidP="00DC0132">
            <w:pPr>
              <w:rPr>
                <w:b/>
                <w:sz w:val="16"/>
                <w:szCs w:val="16"/>
              </w:rPr>
            </w:pPr>
          </w:p>
          <w:p w14:paraId="46DD08B5" w14:textId="586CF54A" w:rsidR="00DC0132" w:rsidRPr="00A707DB" w:rsidRDefault="00DC0132" w:rsidP="00DC0132">
            <w:pPr>
              <w:rPr>
                <w:sz w:val="16"/>
                <w:szCs w:val="16"/>
              </w:rPr>
            </w:pPr>
            <w:r w:rsidRPr="00A707DB">
              <w:rPr>
                <w:b/>
                <w:sz w:val="16"/>
                <w:szCs w:val="16"/>
              </w:rPr>
              <w:t>Responsible</w:t>
            </w:r>
            <w:r w:rsidRPr="00A707DB">
              <w:rPr>
                <w:sz w:val="16"/>
                <w:szCs w:val="16"/>
              </w:rPr>
              <w:t xml:space="preserve">: </w:t>
            </w:r>
            <w:r w:rsidR="00202104">
              <w:rPr>
                <w:iCs/>
                <w:sz w:val="16"/>
                <w:szCs w:val="16"/>
              </w:rPr>
              <w:t>MLWE</w:t>
            </w:r>
            <w:r w:rsidRPr="00A707DB">
              <w:rPr>
                <w:iCs/>
                <w:sz w:val="16"/>
                <w:szCs w:val="16"/>
              </w:rPr>
              <w:t xml:space="preserve">, </w:t>
            </w:r>
            <w:r w:rsidR="00202104">
              <w:rPr>
                <w:iCs/>
                <w:sz w:val="16"/>
                <w:szCs w:val="16"/>
              </w:rPr>
              <w:t>MoA</w:t>
            </w:r>
            <w:r w:rsidRPr="00A707DB">
              <w:rPr>
                <w:iCs/>
                <w:sz w:val="16"/>
                <w:szCs w:val="16"/>
              </w:rPr>
              <w:t xml:space="preserve">, </w:t>
            </w:r>
            <w:r w:rsidR="00DA5BAA">
              <w:rPr>
                <w:iCs/>
                <w:sz w:val="16"/>
                <w:szCs w:val="16"/>
              </w:rPr>
              <w:t>l</w:t>
            </w:r>
            <w:r w:rsidRPr="00A707DB">
              <w:rPr>
                <w:iCs/>
                <w:sz w:val="16"/>
                <w:szCs w:val="16"/>
              </w:rPr>
              <w:t xml:space="preserve">ocal </w:t>
            </w:r>
            <w:r w:rsidR="00DA5BAA">
              <w:rPr>
                <w:iCs/>
                <w:sz w:val="16"/>
                <w:szCs w:val="16"/>
              </w:rPr>
              <w:t>g</w:t>
            </w:r>
            <w:r w:rsidRPr="00A707DB">
              <w:rPr>
                <w:iCs/>
                <w:sz w:val="16"/>
                <w:szCs w:val="16"/>
              </w:rPr>
              <w:t>overnments</w:t>
            </w:r>
          </w:p>
          <w:p w14:paraId="28A3E989" w14:textId="77777777" w:rsidR="00DC0132" w:rsidRDefault="00DC0132" w:rsidP="00DC0132">
            <w:pPr>
              <w:rPr>
                <w:b/>
                <w:sz w:val="16"/>
                <w:szCs w:val="16"/>
              </w:rPr>
            </w:pPr>
          </w:p>
          <w:p w14:paraId="3343082F" w14:textId="77777777" w:rsidR="00DC0132" w:rsidRDefault="00DC0132" w:rsidP="00DC0132">
            <w:pPr>
              <w:rPr>
                <w:b/>
                <w:sz w:val="16"/>
                <w:szCs w:val="16"/>
              </w:rPr>
            </w:pPr>
          </w:p>
          <w:p w14:paraId="2D9DBDA1" w14:textId="77777777" w:rsidR="00DC0132" w:rsidRDefault="00DC0132" w:rsidP="00DC0132">
            <w:pPr>
              <w:rPr>
                <w:b/>
                <w:sz w:val="16"/>
                <w:szCs w:val="16"/>
              </w:rPr>
            </w:pPr>
          </w:p>
          <w:p w14:paraId="17809911" w14:textId="77777777" w:rsidR="00DC0132" w:rsidRDefault="00DC0132" w:rsidP="00DC0132">
            <w:pPr>
              <w:rPr>
                <w:b/>
                <w:sz w:val="16"/>
                <w:szCs w:val="16"/>
              </w:rPr>
            </w:pPr>
          </w:p>
          <w:p w14:paraId="15AF2077" w14:textId="1723C7C8" w:rsidR="00DC0132" w:rsidRDefault="00DC0132" w:rsidP="00DC0132">
            <w:pPr>
              <w:rPr>
                <w:bCs/>
                <w:kern w:val="24"/>
                <w:sz w:val="16"/>
                <w:szCs w:val="16"/>
                <w:lang w:val="en-ZA" w:eastAsia="en-ZA"/>
              </w:rPr>
            </w:pPr>
            <w:r w:rsidRPr="00A707DB">
              <w:rPr>
                <w:b/>
                <w:sz w:val="16"/>
                <w:szCs w:val="16"/>
              </w:rPr>
              <w:t>Source</w:t>
            </w:r>
            <w:r w:rsidRPr="00A707DB">
              <w:rPr>
                <w:sz w:val="16"/>
                <w:szCs w:val="16"/>
              </w:rPr>
              <w:t xml:space="preserve">: </w:t>
            </w:r>
            <w:r w:rsidR="00202104">
              <w:rPr>
                <w:sz w:val="16"/>
                <w:szCs w:val="16"/>
              </w:rPr>
              <w:t>MLWE</w:t>
            </w:r>
            <w:r w:rsidRPr="00A707DB">
              <w:rPr>
                <w:sz w:val="16"/>
                <w:szCs w:val="16"/>
              </w:rPr>
              <w:t xml:space="preserve">, </w:t>
            </w:r>
            <w:r w:rsidR="00202104">
              <w:rPr>
                <w:sz w:val="16"/>
                <w:szCs w:val="16"/>
              </w:rPr>
              <w:t>MoA</w:t>
            </w:r>
            <w:r w:rsidRPr="00A707DB">
              <w:rPr>
                <w:sz w:val="16"/>
                <w:szCs w:val="16"/>
              </w:rPr>
              <w:t xml:space="preserve">, </w:t>
            </w:r>
            <w:r w:rsidR="0038619B">
              <w:rPr>
                <w:bCs/>
                <w:kern w:val="24"/>
                <w:sz w:val="16"/>
                <w:szCs w:val="16"/>
                <w:lang w:val="en-ZA" w:eastAsia="en-ZA"/>
              </w:rPr>
              <w:t xml:space="preserve">Ministry of Energy </w:t>
            </w:r>
            <w:r w:rsidR="005915F6">
              <w:rPr>
                <w:bCs/>
                <w:kern w:val="24"/>
                <w:sz w:val="16"/>
                <w:szCs w:val="16"/>
                <w:lang w:val="en-ZA" w:eastAsia="en-ZA"/>
              </w:rPr>
              <w:t>and</w:t>
            </w:r>
            <w:r w:rsidR="0038619B">
              <w:rPr>
                <w:bCs/>
                <w:kern w:val="24"/>
                <w:sz w:val="16"/>
                <w:szCs w:val="16"/>
                <w:lang w:val="en-ZA" w:eastAsia="en-ZA"/>
              </w:rPr>
              <w:t xml:space="preserve"> Min</w:t>
            </w:r>
            <w:r w:rsidR="005915F6">
              <w:rPr>
                <w:bCs/>
                <w:kern w:val="24"/>
                <w:sz w:val="16"/>
                <w:szCs w:val="16"/>
                <w:lang w:val="en-ZA" w:eastAsia="en-ZA"/>
              </w:rPr>
              <w:t>es (MOEM)</w:t>
            </w:r>
            <w:r w:rsidRPr="00A707DB">
              <w:rPr>
                <w:bCs/>
                <w:kern w:val="24"/>
                <w:sz w:val="16"/>
                <w:szCs w:val="16"/>
                <w:lang w:val="en-ZA" w:eastAsia="en-ZA"/>
              </w:rPr>
              <w:t xml:space="preserve"> and </w:t>
            </w:r>
            <w:r w:rsidR="00F45F34">
              <w:rPr>
                <w:bCs/>
                <w:kern w:val="24"/>
                <w:sz w:val="16"/>
                <w:szCs w:val="16"/>
                <w:lang w:val="en-ZA" w:eastAsia="en-ZA"/>
              </w:rPr>
              <w:t>MND</w:t>
            </w:r>
            <w:r w:rsidRPr="00A707DB">
              <w:rPr>
                <w:bCs/>
                <w:kern w:val="24"/>
                <w:sz w:val="16"/>
                <w:szCs w:val="16"/>
                <w:lang w:val="en-ZA" w:eastAsia="en-ZA"/>
              </w:rPr>
              <w:t xml:space="preserve"> reports</w:t>
            </w:r>
          </w:p>
          <w:p w14:paraId="7A7D30B8" w14:textId="77777777" w:rsidR="00DC0132" w:rsidRPr="00A707DB" w:rsidRDefault="00DC0132" w:rsidP="00DC0132">
            <w:pPr>
              <w:rPr>
                <w:sz w:val="16"/>
                <w:szCs w:val="16"/>
              </w:rPr>
            </w:pPr>
          </w:p>
          <w:p w14:paraId="2FC30B97" w14:textId="04DC9B38" w:rsidR="00DC0132" w:rsidRPr="00A707DB" w:rsidRDefault="00DC0132" w:rsidP="00DC0132">
            <w:pPr>
              <w:rPr>
                <w:sz w:val="16"/>
                <w:szCs w:val="16"/>
              </w:rPr>
            </w:pPr>
            <w:r w:rsidRPr="00A707DB">
              <w:rPr>
                <w:b/>
                <w:sz w:val="16"/>
                <w:szCs w:val="16"/>
              </w:rPr>
              <w:t>Frequency</w:t>
            </w:r>
            <w:r w:rsidRPr="00A707DB">
              <w:rPr>
                <w:sz w:val="16"/>
                <w:szCs w:val="16"/>
              </w:rPr>
              <w:t xml:space="preserve">: </w:t>
            </w:r>
            <w:r w:rsidR="00E966DD">
              <w:rPr>
                <w:sz w:val="16"/>
                <w:szCs w:val="16"/>
              </w:rPr>
              <w:t>a</w:t>
            </w:r>
            <w:r w:rsidRPr="00A707DB">
              <w:rPr>
                <w:sz w:val="16"/>
                <w:szCs w:val="16"/>
              </w:rPr>
              <w:t>nnual</w:t>
            </w:r>
          </w:p>
          <w:p w14:paraId="68A0665C" w14:textId="77777777" w:rsidR="00DC0132" w:rsidRDefault="00DC0132" w:rsidP="00DC0132">
            <w:pPr>
              <w:rPr>
                <w:b/>
                <w:sz w:val="16"/>
                <w:szCs w:val="16"/>
              </w:rPr>
            </w:pPr>
          </w:p>
          <w:p w14:paraId="6C83D4B3" w14:textId="1AB7A4DD" w:rsidR="00DC0132" w:rsidRPr="00A707DB" w:rsidRDefault="00DC0132" w:rsidP="00DC0132">
            <w:pPr>
              <w:rPr>
                <w:sz w:val="16"/>
                <w:szCs w:val="16"/>
              </w:rPr>
            </w:pPr>
            <w:r w:rsidRPr="00A707DB">
              <w:rPr>
                <w:b/>
                <w:sz w:val="16"/>
                <w:szCs w:val="16"/>
              </w:rPr>
              <w:t>Responsible</w:t>
            </w:r>
            <w:r w:rsidRPr="00A707DB">
              <w:rPr>
                <w:sz w:val="16"/>
                <w:szCs w:val="16"/>
              </w:rPr>
              <w:t xml:space="preserve">: </w:t>
            </w:r>
            <w:r w:rsidR="00F45F34">
              <w:rPr>
                <w:sz w:val="16"/>
                <w:szCs w:val="16"/>
              </w:rPr>
              <w:t>MND</w:t>
            </w:r>
            <w:r w:rsidRPr="00A707DB">
              <w:rPr>
                <w:sz w:val="16"/>
                <w:szCs w:val="16"/>
              </w:rPr>
              <w:t xml:space="preserve">, UNDP, </w:t>
            </w:r>
            <w:r w:rsidR="00202104">
              <w:rPr>
                <w:sz w:val="16"/>
                <w:szCs w:val="16"/>
              </w:rPr>
              <w:t>MLWE</w:t>
            </w:r>
            <w:r w:rsidRPr="00A707DB">
              <w:rPr>
                <w:sz w:val="16"/>
                <w:szCs w:val="16"/>
              </w:rPr>
              <w:t xml:space="preserve">, </w:t>
            </w:r>
            <w:r w:rsidR="00202104">
              <w:rPr>
                <w:sz w:val="16"/>
                <w:szCs w:val="16"/>
              </w:rPr>
              <w:t>MoA</w:t>
            </w:r>
            <w:r w:rsidRPr="00A707DB">
              <w:rPr>
                <w:sz w:val="16"/>
                <w:szCs w:val="16"/>
              </w:rPr>
              <w:t xml:space="preserve">, </w:t>
            </w:r>
            <w:r w:rsidR="0038619B">
              <w:rPr>
                <w:sz w:val="16"/>
                <w:szCs w:val="16"/>
              </w:rPr>
              <w:t>Ministry of Local Government</w:t>
            </w:r>
            <w:r w:rsidR="005915F6">
              <w:rPr>
                <w:sz w:val="16"/>
                <w:szCs w:val="16"/>
              </w:rPr>
              <w:t xml:space="preserve"> (MoLG)</w:t>
            </w:r>
          </w:p>
          <w:p w14:paraId="5EF2C0B7" w14:textId="77777777" w:rsidR="00DC0132" w:rsidRPr="003C26C1" w:rsidRDefault="00DC0132" w:rsidP="00607FBD">
            <w:pPr>
              <w:rPr>
                <w:b/>
                <w:bCs/>
                <w:i/>
                <w:color w:val="000000"/>
                <w:sz w:val="16"/>
                <w:szCs w:val="16"/>
                <w:lang w:val="en-GB"/>
              </w:rPr>
            </w:pPr>
          </w:p>
        </w:tc>
        <w:tc>
          <w:tcPr>
            <w:tcW w:w="1833" w:type="pct"/>
            <w:tcMar>
              <w:top w:w="72" w:type="dxa"/>
              <w:left w:w="144" w:type="dxa"/>
              <w:bottom w:w="72" w:type="dxa"/>
              <w:right w:w="144" w:type="dxa"/>
            </w:tcMar>
          </w:tcPr>
          <w:p w14:paraId="7E8C1DDB" w14:textId="6D9C40BF" w:rsidR="00DC0132" w:rsidRPr="00A707DB" w:rsidRDefault="00DC0132" w:rsidP="00DC0132">
            <w:pPr>
              <w:spacing w:before="120"/>
              <w:rPr>
                <w:bCs/>
                <w:color w:val="000000"/>
                <w:sz w:val="16"/>
                <w:szCs w:val="16"/>
              </w:rPr>
            </w:pPr>
            <w:r w:rsidRPr="00A707DB">
              <w:rPr>
                <w:b/>
                <w:bCs/>
                <w:color w:val="000000"/>
                <w:sz w:val="16"/>
                <w:szCs w:val="16"/>
              </w:rPr>
              <w:t xml:space="preserve">Output 2.1. </w:t>
            </w:r>
            <w:r w:rsidRPr="00A707DB">
              <w:rPr>
                <w:bCs/>
                <w:color w:val="000000"/>
                <w:sz w:val="16"/>
                <w:szCs w:val="16"/>
              </w:rPr>
              <w:t>A comprehensive policy and institutional framework for environmental and natural resources management is in place</w:t>
            </w:r>
            <w:r>
              <w:rPr>
                <w:bCs/>
                <w:color w:val="000000"/>
                <w:sz w:val="16"/>
                <w:szCs w:val="16"/>
              </w:rPr>
              <w:t xml:space="preserve">, </w:t>
            </w:r>
            <w:r w:rsidRPr="00F95647">
              <w:rPr>
                <w:bCs/>
                <w:color w:val="000000"/>
                <w:sz w:val="16"/>
                <w:szCs w:val="16"/>
              </w:rPr>
              <w:t>taking into account differentiated impacts</w:t>
            </w:r>
            <w:r w:rsidR="008C3221">
              <w:rPr>
                <w:bCs/>
                <w:color w:val="000000"/>
                <w:sz w:val="16"/>
                <w:szCs w:val="16"/>
              </w:rPr>
              <w:t>,</w:t>
            </w:r>
            <w:r w:rsidRPr="00F95647">
              <w:rPr>
                <w:bCs/>
                <w:color w:val="000000"/>
                <w:sz w:val="16"/>
                <w:szCs w:val="16"/>
              </w:rPr>
              <w:t xml:space="preserve"> e.g. on women and men</w:t>
            </w:r>
            <w:r w:rsidRPr="00A707DB">
              <w:rPr>
                <w:bCs/>
                <w:color w:val="000000"/>
                <w:sz w:val="16"/>
                <w:szCs w:val="16"/>
              </w:rPr>
              <w:t>.</w:t>
            </w:r>
            <w:r w:rsidRPr="00A707DB" w:rsidDel="00EC3483">
              <w:rPr>
                <w:bCs/>
                <w:color w:val="000000"/>
                <w:sz w:val="16"/>
                <w:szCs w:val="16"/>
              </w:rPr>
              <w:t xml:space="preserve"> </w:t>
            </w:r>
          </w:p>
          <w:p w14:paraId="60625B22" w14:textId="77777777" w:rsidR="00DC0132" w:rsidRDefault="00DC0132" w:rsidP="00DC0132">
            <w:pPr>
              <w:rPr>
                <w:b/>
                <w:bCs/>
                <w:kern w:val="24"/>
                <w:sz w:val="16"/>
                <w:szCs w:val="16"/>
                <w:lang w:eastAsia="en-ZA"/>
              </w:rPr>
            </w:pPr>
          </w:p>
          <w:p w14:paraId="384F1BDE" w14:textId="1E3B70DD" w:rsidR="00DC0132" w:rsidRPr="00A707DB" w:rsidRDefault="00DC0132" w:rsidP="00DC0132">
            <w:pPr>
              <w:rPr>
                <w:bCs/>
                <w:kern w:val="24"/>
                <w:sz w:val="16"/>
                <w:szCs w:val="16"/>
                <w:lang w:eastAsia="en-ZA"/>
              </w:rPr>
            </w:pPr>
            <w:r w:rsidRPr="00A707DB">
              <w:rPr>
                <w:b/>
                <w:bCs/>
                <w:kern w:val="24"/>
                <w:sz w:val="16"/>
                <w:szCs w:val="16"/>
                <w:lang w:eastAsia="en-ZA"/>
              </w:rPr>
              <w:t xml:space="preserve">Indicator 2.1.1. </w:t>
            </w:r>
            <w:r w:rsidR="008C3221">
              <w:rPr>
                <w:bCs/>
                <w:kern w:val="24"/>
                <w:sz w:val="16"/>
                <w:szCs w:val="16"/>
                <w:lang w:eastAsia="en-ZA"/>
              </w:rPr>
              <w:t>e</w:t>
            </w:r>
            <w:r w:rsidRPr="00A707DB">
              <w:rPr>
                <w:bCs/>
                <w:kern w:val="24"/>
                <w:sz w:val="16"/>
                <w:szCs w:val="16"/>
                <w:lang w:eastAsia="en-ZA"/>
              </w:rPr>
              <w:t xml:space="preserve">xtent to which the environmental policy </w:t>
            </w:r>
            <w:r>
              <w:rPr>
                <w:bCs/>
                <w:kern w:val="24"/>
                <w:sz w:val="16"/>
                <w:szCs w:val="16"/>
                <w:lang w:eastAsia="en-ZA"/>
              </w:rPr>
              <w:t>is developed and implemented</w:t>
            </w:r>
          </w:p>
          <w:p w14:paraId="4DECD86F" w14:textId="77777777" w:rsidR="00DC0132" w:rsidRDefault="00DC0132" w:rsidP="00DC0132">
            <w:pPr>
              <w:rPr>
                <w:b/>
                <w:bCs/>
                <w:kern w:val="24"/>
                <w:sz w:val="16"/>
                <w:szCs w:val="16"/>
                <w:lang w:eastAsia="en-ZA"/>
              </w:rPr>
            </w:pPr>
          </w:p>
          <w:p w14:paraId="1237EA6D" w14:textId="76EABF1A" w:rsidR="00DC0132" w:rsidRPr="00A707DB" w:rsidRDefault="00DC0132" w:rsidP="00DC0132">
            <w:pPr>
              <w:rPr>
                <w:bCs/>
                <w:kern w:val="24"/>
                <w:sz w:val="16"/>
                <w:szCs w:val="16"/>
                <w:lang w:eastAsia="en-ZA"/>
              </w:rPr>
            </w:pPr>
            <w:r w:rsidRPr="00A707DB">
              <w:rPr>
                <w:b/>
                <w:bCs/>
                <w:kern w:val="24"/>
                <w:sz w:val="16"/>
                <w:szCs w:val="16"/>
                <w:lang w:eastAsia="en-ZA"/>
              </w:rPr>
              <w:t>Baseline (2015):</w:t>
            </w:r>
            <w:r w:rsidRPr="00A707DB">
              <w:rPr>
                <w:bCs/>
                <w:kern w:val="24"/>
                <w:sz w:val="16"/>
                <w:szCs w:val="16"/>
                <w:lang w:eastAsia="en-ZA"/>
              </w:rPr>
              <w:t xml:space="preserve"> 0</w:t>
            </w:r>
            <w:r>
              <w:rPr>
                <w:bCs/>
                <w:kern w:val="24"/>
                <w:sz w:val="16"/>
                <w:szCs w:val="16"/>
                <w:lang w:eastAsia="en-ZA"/>
              </w:rPr>
              <w:t xml:space="preserve">  - </w:t>
            </w:r>
            <w:r w:rsidR="008C3221">
              <w:rPr>
                <w:bCs/>
                <w:kern w:val="24"/>
                <w:sz w:val="16"/>
                <w:szCs w:val="16"/>
                <w:lang w:eastAsia="en-ZA"/>
              </w:rPr>
              <w:t>n</w:t>
            </w:r>
            <w:r>
              <w:rPr>
                <w:bCs/>
                <w:kern w:val="24"/>
                <w:sz w:val="16"/>
                <w:szCs w:val="16"/>
                <w:lang w:eastAsia="en-ZA"/>
              </w:rPr>
              <w:t>ot established</w:t>
            </w:r>
            <w:r w:rsidRPr="00A707DB">
              <w:rPr>
                <w:bCs/>
                <w:kern w:val="24"/>
                <w:sz w:val="16"/>
                <w:szCs w:val="16"/>
                <w:lang w:eastAsia="en-ZA"/>
              </w:rPr>
              <w:t xml:space="preserve">; </w:t>
            </w:r>
            <w:r w:rsidRPr="00A707DB">
              <w:rPr>
                <w:b/>
                <w:bCs/>
                <w:kern w:val="24"/>
                <w:sz w:val="16"/>
                <w:szCs w:val="16"/>
                <w:lang w:eastAsia="en-ZA"/>
              </w:rPr>
              <w:t>Target (2021</w:t>
            </w:r>
            <w:r w:rsidRPr="00A707DB">
              <w:rPr>
                <w:bCs/>
                <w:kern w:val="24"/>
                <w:sz w:val="16"/>
                <w:szCs w:val="16"/>
                <w:lang w:eastAsia="en-ZA"/>
              </w:rPr>
              <w:t xml:space="preserve">): 4 </w:t>
            </w:r>
            <w:r>
              <w:rPr>
                <w:bCs/>
                <w:kern w:val="24"/>
                <w:sz w:val="16"/>
                <w:szCs w:val="16"/>
                <w:lang w:eastAsia="en-ZA"/>
              </w:rPr>
              <w:t xml:space="preserve">- </w:t>
            </w:r>
            <w:r w:rsidR="008C3221">
              <w:rPr>
                <w:bCs/>
                <w:kern w:val="24"/>
                <w:sz w:val="16"/>
                <w:szCs w:val="16"/>
                <w:lang w:eastAsia="en-ZA"/>
              </w:rPr>
              <w:t>f</w:t>
            </w:r>
            <w:r>
              <w:rPr>
                <w:bCs/>
                <w:kern w:val="24"/>
                <w:sz w:val="16"/>
                <w:szCs w:val="16"/>
                <w:lang w:eastAsia="en-ZA"/>
              </w:rPr>
              <w:t>ully functional</w:t>
            </w:r>
            <w:r w:rsidRPr="00A707DB">
              <w:rPr>
                <w:bCs/>
                <w:kern w:val="24"/>
                <w:sz w:val="16"/>
                <w:szCs w:val="16"/>
                <w:vertAlign w:val="superscript"/>
                <w:lang w:eastAsia="en-ZA"/>
              </w:rPr>
              <w:footnoteReference w:id="9"/>
            </w:r>
          </w:p>
          <w:p w14:paraId="062911BF" w14:textId="77777777" w:rsidR="00DC0132" w:rsidRDefault="00DC0132" w:rsidP="00DC0132">
            <w:pPr>
              <w:rPr>
                <w:b/>
                <w:iCs/>
                <w:sz w:val="16"/>
                <w:szCs w:val="16"/>
              </w:rPr>
            </w:pPr>
          </w:p>
          <w:p w14:paraId="709A7E10" w14:textId="59DF960C" w:rsidR="00DC0132" w:rsidRPr="00A707DB" w:rsidRDefault="00DC0132" w:rsidP="00DC0132">
            <w:pPr>
              <w:rPr>
                <w:bCs/>
                <w:color w:val="000000"/>
                <w:sz w:val="16"/>
                <w:szCs w:val="16"/>
              </w:rPr>
            </w:pPr>
            <w:r w:rsidRPr="00A707DB">
              <w:rPr>
                <w:b/>
                <w:iCs/>
                <w:sz w:val="16"/>
                <w:szCs w:val="16"/>
              </w:rPr>
              <w:t xml:space="preserve">Data source: </w:t>
            </w:r>
            <w:r w:rsidR="00202104">
              <w:rPr>
                <w:iCs/>
                <w:sz w:val="16"/>
                <w:szCs w:val="16"/>
              </w:rPr>
              <w:t>MLWE</w:t>
            </w:r>
            <w:r w:rsidRPr="00A707DB">
              <w:rPr>
                <w:iCs/>
                <w:sz w:val="16"/>
                <w:szCs w:val="16"/>
              </w:rPr>
              <w:t xml:space="preserve">, </w:t>
            </w:r>
            <w:r w:rsidR="00F45F34">
              <w:rPr>
                <w:iCs/>
                <w:sz w:val="16"/>
                <w:szCs w:val="16"/>
              </w:rPr>
              <w:t>MND</w:t>
            </w:r>
            <w:r w:rsidRPr="00A707DB">
              <w:rPr>
                <w:iCs/>
                <w:sz w:val="16"/>
                <w:szCs w:val="16"/>
              </w:rPr>
              <w:t xml:space="preserve">, UNDP, </w:t>
            </w:r>
            <w:r w:rsidR="00202104">
              <w:rPr>
                <w:iCs/>
                <w:sz w:val="16"/>
                <w:szCs w:val="16"/>
              </w:rPr>
              <w:t>MoA</w:t>
            </w:r>
            <w:r w:rsidRPr="00A707DB">
              <w:rPr>
                <w:iCs/>
                <w:sz w:val="16"/>
                <w:szCs w:val="16"/>
              </w:rPr>
              <w:t xml:space="preserve">, </w:t>
            </w:r>
            <w:r w:rsidR="00115246">
              <w:rPr>
                <w:iCs/>
                <w:sz w:val="16"/>
                <w:szCs w:val="16"/>
              </w:rPr>
              <w:t>MMR</w:t>
            </w:r>
            <w:r w:rsidRPr="00A707DB">
              <w:rPr>
                <w:iCs/>
                <w:sz w:val="16"/>
                <w:szCs w:val="16"/>
              </w:rPr>
              <w:t xml:space="preserve">, </w:t>
            </w:r>
            <w:r w:rsidR="00852FFB" w:rsidRPr="00852FFB">
              <w:rPr>
                <w:iCs/>
                <w:sz w:val="16"/>
                <w:szCs w:val="16"/>
              </w:rPr>
              <w:t>Forestry Wildlife Authority</w:t>
            </w:r>
            <w:r w:rsidRPr="00A707DB">
              <w:rPr>
                <w:iCs/>
                <w:sz w:val="16"/>
                <w:szCs w:val="16"/>
              </w:rPr>
              <w:t xml:space="preserve">, </w:t>
            </w:r>
            <w:r w:rsidR="005915F6">
              <w:rPr>
                <w:iCs/>
                <w:sz w:val="16"/>
                <w:szCs w:val="16"/>
              </w:rPr>
              <w:t>MoLG</w:t>
            </w:r>
            <w:r>
              <w:rPr>
                <w:iCs/>
                <w:sz w:val="16"/>
                <w:szCs w:val="16"/>
              </w:rPr>
              <w:t xml:space="preserve"> </w:t>
            </w:r>
            <w:r w:rsidRPr="00A707DB">
              <w:rPr>
                <w:b/>
                <w:iCs/>
                <w:sz w:val="16"/>
                <w:szCs w:val="16"/>
              </w:rPr>
              <w:t>Frequency:</w:t>
            </w:r>
            <w:r w:rsidRPr="00A707DB">
              <w:rPr>
                <w:iCs/>
                <w:sz w:val="16"/>
                <w:szCs w:val="16"/>
              </w:rPr>
              <w:t xml:space="preserve"> </w:t>
            </w:r>
            <w:r w:rsidR="00E966DD">
              <w:rPr>
                <w:iCs/>
                <w:sz w:val="16"/>
                <w:szCs w:val="16"/>
              </w:rPr>
              <w:t>a</w:t>
            </w:r>
            <w:r w:rsidRPr="00A707DB">
              <w:rPr>
                <w:iCs/>
                <w:sz w:val="16"/>
                <w:szCs w:val="16"/>
              </w:rPr>
              <w:t>nnual</w:t>
            </w:r>
          </w:p>
          <w:p w14:paraId="71E3160F" w14:textId="77777777" w:rsidR="00DC0132" w:rsidRDefault="00DC0132" w:rsidP="00DC0132">
            <w:pPr>
              <w:rPr>
                <w:b/>
                <w:bCs/>
                <w:kern w:val="24"/>
                <w:sz w:val="16"/>
                <w:szCs w:val="16"/>
                <w:lang w:eastAsia="en-ZA"/>
              </w:rPr>
            </w:pPr>
          </w:p>
          <w:p w14:paraId="2FD22D2B" w14:textId="142522A0" w:rsidR="00DC0132" w:rsidRPr="00A707DB" w:rsidRDefault="00DC0132" w:rsidP="00DC0132">
            <w:pPr>
              <w:rPr>
                <w:b/>
                <w:bCs/>
                <w:kern w:val="24"/>
                <w:sz w:val="16"/>
                <w:szCs w:val="16"/>
                <w:lang w:eastAsia="en-ZA"/>
              </w:rPr>
            </w:pPr>
            <w:r w:rsidRPr="00A707DB">
              <w:rPr>
                <w:b/>
                <w:bCs/>
                <w:kern w:val="24"/>
                <w:sz w:val="16"/>
                <w:szCs w:val="16"/>
                <w:lang w:eastAsia="en-ZA"/>
              </w:rPr>
              <w:t>Indicator 2.1.2.</w:t>
            </w:r>
            <w:r w:rsidR="008C3221">
              <w:rPr>
                <w:bCs/>
                <w:kern w:val="24"/>
                <w:sz w:val="16"/>
                <w:szCs w:val="16"/>
                <w:lang w:eastAsia="en-ZA"/>
              </w:rPr>
              <w:t xml:space="preserve"> e</w:t>
            </w:r>
            <w:r w:rsidRPr="00A707DB">
              <w:rPr>
                <w:bCs/>
                <w:kern w:val="24"/>
                <w:sz w:val="16"/>
                <w:szCs w:val="16"/>
                <w:lang w:eastAsia="en-ZA"/>
              </w:rPr>
              <w:t>xtent to which</w:t>
            </w:r>
            <w:r w:rsidRPr="00A707DB">
              <w:rPr>
                <w:b/>
                <w:bCs/>
                <w:kern w:val="24"/>
                <w:sz w:val="16"/>
                <w:szCs w:val="16"/>
                <w:lang w:eastAsia="en-ZA"/>
              </w:rPr>
              <w:t xml:space="preserve"> </w:t>
            </w:r>
            <w:r w:rsidRPr="00A707DB">
              <w:rPr>
                <w:bCs/>
                <w:kern w:val="24"/>
                <w:sz w:val="16"/>
                <w:szCs w:val="16"/>
                <w:lang w:eastAsia="en-ZA"/>
              </w:rPr>
              <w:t>National</w:t>
            </w:r>
            <w:r w:rsidRPr="00A707DB">
              <w:rPr>
                <w:b/>
                <w:bCs/>
                <w:kern w:val="24"/>
                <w:sz w:val="16"/>
                <w:szCs w:val="16"/>
                <w:lang w:eastAsia="en-ZA"/>
              </w:rPr>
              <w:t xml:space="preserve"> </w:t>
            </w:r>
            <w:r w:rsidRPr="00A707DB">
              <w:rPr>
                <w:bCs/>
                <w:kern w:val="24"/>
                <w:sz w:val="16"/>
                <w:szCs w:val="16"/>
                <w:lang w:eastAsia="en-ZA"/>
              </w:rPr>
              <w:t xml:space="preserve">Environmental Information System is functional </w:t>
            </w:r>
          </w:p>
          <w:p w14:paraId="2D1B9DDE" w14:textId="77777777" w:rsidR="00DC0132" w:rsidRDefault="00DC0132" w:rsidP="00DC0132">
            <w:pPr>
              <w:rPr>
                <w:b/>
                <w:bCs/>
                <w:kern w:val="24"/>
                <w:sz w:val="16"/>
                <w:szCs w:val="16"/>
                <w:lang w:eastAsia="en-ZA"/>
              </w:rPr>
            </w:pPr>
          </w:p>
          <w:p w14:paraId="17841FEC" w14:textId="05578EBD" w:rsidR="00DC0132" w:rsidRPr="00A707DB" w:rsidRDefault="00DC0132" w:rsidP="00DC0132">
            <w:pPr>
              <w:rPr>
                <w:bCs/>
                <w:kern w:val="24"/>
                <w:sz w:val="16"/>
                <w:szCs w:val="16"/>
                <w:lang w:eastAsia="en-ZA"/>
              </w:rPr>
            </w:pPr>
            <w:r w:rsidRPr="00A707DB">
              <w:rPr>
                <w:b/>
                <w:bCs/>
                <w:kern w:val="24"/>
                <w:sz w:val="16"/>
                <w:szCs w:val="16"/>
                <w:lang w:eastAsia="en-ZA"/>
              </w:rPr>
              <w:t>Baseline (2015):</w:t>
            </w:r>
            <w:r>
              <w:rPr>
                <w:bCs/>
                <w:kern w:val="24"/>
                <w:sz w:val="16"/>
                <w:szCs w:val="16"/>
                <w:lang w:eastAsia="en-ZA"/>
              </w:rPr>
              <w:t xml:space="preserve"> 0 – </w:t>
            </w:r>
            <w:r w:rsidR="008C3221">
              <w:rPr>
                <w:bCs/>
                <w:kern w:val="24"/>
                <w:sz w:val="16"/>
                <w:szCs w:val="16"/>
                <w:lang w:eastAsia="en-ZA"/>
              </w:rPr>
              <w:t>n</w:t>
            </w:r>
            <w:r>
              <w:rPr>
                <w:bCs/>
                <w:kern w:val="24"/>
                <w:sz w:val="16"/>
                <w:szCs w:val="16"/>
                <w:lang w:eastAsia="en-ZA"/>
              </w:rPr>
              <w:t>ot Established</w:t>
            </w:r>
            <w:r w:rsidRPr="00A707DB">
              <w:rPr>
                <w:bCs/>
                <w:kern w:val="24"/>
                <w:sz w:val="16"/>
                <w:szCs w:val="16"/>
                <w:lang w:eastAsia="en-ZA"/>
              </w:rPr>
              <w:t xml:space="preserve">; </w:t>
            </w:r>
            <w:r w:rsidRPr="00A707DB">
              <w:rPr>
                <w:b/>
                <w:bCs/>
                <w:kern w:val="24"/>
                <w:sz w:val="16"/>
                <w:szCs w:val="16"/>
                <w:lang w:eastAsia="en-ZA"/>
              </w:rPr>
              <w:t xml:space="preserve">Target (2021): </w:t>
            </w:r>
            <w:r>
              <w:rPr>
                <w:b/>
                <w:bCs/>
                <w:kern w:val="24"/>
                <w:sz w:val="16"/>
                <w:szCs w:val="16"/>
                <w:lang w:eastAsia="en-ZA"/>
              </w:rPr>
              <w:t>4</w:t>
            </w:r>
            <w:r>
              <w:rPr>
                <w:bCs/>
                <w:kern w:val="24"/>
                <w:sz w:val="16"/>
                <w:szCs w:val="16"/>
                <w:lang w:eastAsia="en-ZA"/>
              </w:rPr>
              <w:t xml:space="preserve"> - </w:t>
            </w:r>
            <w:r w:rsidR="008C3221">
              <w:rPr>
                <w:bCs/>
                <w:kern w:val="24"/>
                <w:sz w:val="16"/>
                <w:szCs w:val="16"/>
                <w:lang w:eastAsia="en-ZA"/>
              </w:rPr>
              <w:t>f</w:t>
            </w:r>
            <w:r>
              <w:rPr>
                <w:bCs/>
                <w:kern w:val="24"/>
                <w:sz w:val="16"/>
                <w:szCs w:val="16"/>
                <w:lang w:eastAsia="en-ZA"/>
              </w:rPr>
              <w:t>ully functional</w:t>
            </w:r>
            <w:r w:rsidRPr="00A707DB">
              <w:rPr>
                <w:bCs/>
                <w:kern w:val="24"/>
                <w:sz w:val="16"/>
                <w:szCs w:val="16"/>
                <w:vertAlign w:val="superscript"/>
                <w:lang w:eastAsia="en-ZA"/>
              </w:rPr>
              <w:footnoteReference w:id="10"/>
            </w:r>
          </w:p>
          <w:p w14:paraId="42C96525" w14:textId="77777777" w:rsidR="00DC0132" w:rsidRDefault="00DC0132" w:rsidP="00DC0132">
            <w:pPr>
              <w:rPr>
                <w:b/>
                <w:iCs/>
                <w:sz w:val="16"/>
                <w:szCs w:val="16"/>
              </w:rPr>
            </w:pPr>
          </w:p>
          <w:p w14:paraId="40A77F9A" w14:textId="0C9D19CD" w:rsidR="00DC0132" w:rsidRPr="00FA6502" w:rsidRDefault="00DC0132" w:rsidP="005915F6">
            <w:pPr>
              <w:rPr>
                <w:b/>
                <w:bCs/>
                <w:color w:val="000000"/>
                <w:sz w:val="16"/>
                <w:szCs w:val="16"/>
                <w:lang w:val="en-GB"/>
              </w:rPr>
            </w:pPr>
            <w:r w:rsidRPr="00A707DB">
              <w:rPr>
                <w:b/>
                <w:iCs/>
                <w:sz w:val="16"/>
                <w:szCs w:val="16"/>
              </w:rPr>
              <w:t xml:space="preserve">Data source: </w:t>
            </w:r>
            <w:r w:rsidR="00202104">
              <w:rPr>
                <w:iCs/>
                <w:sz w:val="16"/>
                <w:szCs w:val="16"/>
              </w:rPr>
              <w:t>MLWE</w:t>
            </w:r>
            <w:r w:rsidRPr="00A707DB">
              <w:rPr>
                <w:iCs/>
                <w:sz w:val="16"/>
                <w:szCs w:val="16"/>
              </w:rPr>
              <w:t xml:space="preserve">, </w:t>
            </w:r>
            <w:r w:rsidR="00F45F34">
              <w:rPr>
                <w:iCs/>
                <w:sz w:val="16"/>
                <w:szCs w:val="16"/>
              </w:rPr>
              <w:t>MND</w:t>
            </w:r>
            <w:r w:rsidRPr="00A707DB">
              <w:rPr>
                <w:iCs/>
                <w:sz w:val="16"/>
                <w:szCs w:val="16"/>
              </w:rPr>
              <w:t xml:space="preserve">, UNDP, </w:t>
            </w:r>
            <w:r w:rsidR="00202104">
              <w:rPr>
                <w:iCs/>
                <w:sz w:val="16"/>
                <w:szCs w:val="16"/>
              </w:rPr>
              <w:t>MoA</w:t>
            </w:r>
            <w:r w:rsidRPr="00A707DB">
              <w:rPr>
                <w:iCs/>
                <w:sz w:val="16"/>
                <w:szCs w:val="16"/>
              </w:rPr>
              <w:t xml:space="preserve">, </w:t>
            </w:r>
            <w:r w:rsidR="00115246">
              <w:rPr>
                <w:iCs/>
                <w:sz w:val="16"/>
                <w:szCs w:val="16"/>
              </w:rPr>
              <w:t>MMR</w:t>
            </w:r>
            <w:r w:rsidRPr="00A707DB">
              <w:rPr>
                <w:iCs/>
                <w:sz w:val="16"/>
                <w:szCs w:val="16"/>
              </w:rPr>
              <w:t xml:space="preserve">, </w:t>
            </w:r>
            <w:r w:rsidR="00852FFB" w:rsidRPr="00852FFB">
              <w:rPr>
                <w:iCs/>
                <w:sz w:val="16"/>
                <w:szCs w:val="16"/>
              </w:rPr>
              <w:t>Forestry Wildlife Authority</w:t>
            </w:r>
            <w:r w:rsidRPr="00A707DB">
              <w:rPr>
                <w:iCs/>
                <w:sz w:val="16"/>
                <w:szCs w:val="16"/>
              </w:rPr>
              <w:t xml:space="preserve">, </w:t>
            </w:r>
            <w:r w:rsidR="005915F6">
              <w:rPr>
                <w:iCs/>
                <w:sz w:val="16"/>
                <w:szCs w:val="16"/>
              </w:rPr>
              <w:t>MoLG</w:t>
            </w:r>
            <w:r w:rsidRPr="00A707DB">
              <w:rPr>
                <w:b/>
                <w:iCs/>
                <w:sz w:val="16"/>
                <w:szCs w:val="16"/>
              </w:rPr>
              <w:t xml:space="preserve"> Frequency:</w:t>
            </w:r>
            <w:r w:rsidRPr="00A707DB">
              <w:rPr>
                <w:iCs/>
                <w:sz w:val="16"/>
                <w:szCs w:val="16"/>
              </w:rPr>
              <w:t xml:space="preserve"> </w:t>
            </w:r>
            <w:r w:rsidR="00E966DD">
              <w:rPr>
                <w:iCs/>
                <w:sz w:val="16"/>
                <w:szCs w:val="16"/>
              </w:rPr>
              <w:t>a</w:t>
            </w:r>
            <w:r w:rsidRPr="00A707DB">
              <w:rPr>
                <w:iCs/>
                <w:sz w:val="16"/>
                <w:szCs w:val="16"/>
              </w:rPr>
              <w:t>nnual</w:t>
            </w:r>
          </w:p>
        </w:tc>
        <w:tc>
          <w:tcPr>
            <w:tcW w:w="653" w:type="pct"/>
          </w:tcPr>
          <w:p w14:paraId="16769B86" w14:textId="3CF7B440" w:rsidR="000C3BCD" w:rsidRPr="002D6432" w:rsidRDefault="00202104" w:rsidP="000C3BCD">
            <w:pPr>
              <w:spacing w:before="120"/>
              <w:rPr>
                <w:bCs/>
                <w:color w:val="000000" w:themeColor="text1"/>
                <w:kern w:val="24"/>
                <w:sz w:val="16"/>
                <w:szCs w:val="16"/>
                <w:lang w:val="nl-NL" w:eastAsia="en-ZA"/>
              </w:rPr>
            </w:pPr>
            <w:r>
              <w:rPr>
                <w:bCs/>
                <w:color w:val="000000" w:themeColor="text1"/>
                <w:kern w:val="24"/>
                <w:sz w:val="16"/>
                <w:szCs w:val="16"/>
                <w:lang w:val="nl-NL" w:eastAsia="en-ZA"/>
              </w:rPr>
              <w:t>MLWE</w:t>
            </w:r>
            <w:r w:rsidR="000C3BCD" w:rsidRPr="002D6432">
              <w:rPr>
                <w:bCs/>
                <w:color w:val="000000" w:themeColor="text1"/>
                <w:kern w:val="24"/>
                <w:sz w:val="16"/>
                <w:szCs w:val="16"/>
                <w:lang w:val="nl-NL" w:eastAsia="en-ZA"/>
              </w:rPr>
              <w:t xml:space="preserve">, </w:t>
            </w:r>
            <w:r w:rsidR="00F45F34">
              <w:rPr>
                <w:bCs/>
                <w:color w:val="000000" w:themeColor="text1"/>
                <w:kern w:val="24"/>
                <w:sz w:val="16"/>
                <w:szCs w:val="16"/>
                <w:lang w:val="nl-NL" w:eastAsia="en-ZA"/>
              </w:rPr>
              <w:t>MND</w:t>
            </w:r>
            <w:r w:rsidR="000C3BCD" w:rsidRPr="002D6432">
              <w:rPr>
                <w:bCs/>
                <w:color w:val="000000" w:themeColor="text1"/>
                <w:kern w:val="24"/>
                <w:sz w:val="16"/>
                <w:szCs w:val="16"/>
                <w:lang w:val="nl-NL" w:eastAsia="en-ZA"/>
              </w:rPr>
              <w:t xml:space="preserve">, </w:t>
            </w:r>
            <w:r>
              <w:rPr>
                <w:bCs/>
                <w:color w:val="000000" w:themeColor="text1"/>
                <w:kern w:val="24"/>
                <w:sz w:val="16"/>
                <w:szCs w:val="16"/>
                <w:lang w:val="nl-NL" w:eastAsia="en-ZA"/>
              </w:rPr>
              <w:t>MoA</w:t>
            </w:r>
            <w:r w:rsidR="000C3BCD" w:rsidRPr="002D6432">
              <w:rPr>
                <w:bCs/>
                <w:color w:val="000000" w:themeColor="text1"/>
                <w:kern w:val="24"/>
                <w:sz w:val="16"/>
                <w:szCs w:val="16"/>
                <w:lang w:val="nl-NL" w:eastAsia="en-ZA"/>
              </w:rPr>
              <w:t xml:space="preserve">, </w:t>
            </w:r>
            <w:r w:rsidR="005915F6" w:rsidRPr="005915F6">
              <w:rPr>
                <w:bCs/>
                <w:iCs/>
                <w:color w:val="000000" w:themeColor="text1"/>
                <w:kern w:val="24"/>
                <w:sz w:val="16"/>
                <w:szCs w:val="16"/>
                <w:lang w:eastAsia="en-ZA"/>
              </w:rPr>
              <w:t>NUEYS</w:t>
            </w:r>
            <w:r w:rsidR="000F60F4">
              <w:rPr>
                <w:bCs/>
                <w:iCs/>
                <w:color w:val="000000" w:themeColor="text1"/>
                <w:kern w:val="24"/>
                <w:sz w:val="16"/>
                <w:szCs w:val="16"/>
                <w:lang w:eastAsia="en-ZA"/>
              </w:rPr>
              <w:t xml:space="preserve">, </w:t>
            </w:r>
            <w:r w:rsidR="005915F6" w:rsidRPr="005915F6">
              <w:rPr>
                <w:bCs/>
                <w:color w:val="000000" w:themeColor="text1"/>
                <w:kern w:val="24"/>
                <w:sz w:val="16"/>
                <w:szCs w:val="16"/>
                <w:lang w:val="en-ZA" w:eastAsia="en-ZA"/>
              </w:rPr>
              <w:t>MOEM</w:t>
            </w:r>
            <w:r w:rsidR="000C3BCD" w:rsidRPr="002D6432">
              <w:rPr>
                <w:bCs/>
                <w:color w:val="000000" w:themeColor="text1"/>
                <w:kern w:val="24"/>
                <w:sz w:val="16"/>
                <w:szCs w:val="16"/>
                <w:lang w:val="nl-NL" w:eastAsia="en-ZA"/>
              </w:rPr>
              <w:t xml:space="preserve">, </w:t>
            </w:r>
            <w:r w:rsidR="0038619B">
              <w:rPr>
                <w:bCs/>
                <w:color w:val="000000" w:themeColor="text1"/>
                <w:kern w:val="24"/>
                <w:sz w:val="16"/>
                <w:szCs w:val="16"/>
                <w:lang w:val="nl-NL" w:eastAsia="en-ZA"/>
              </w:rPr>
              <w:t>Ministry of Justice</w:t>
            </w:r>
            <w:r w:rsidR="000C3BCD" w:rsidRPr="002D6432">
              <w:rPr>
                <w:bCs/>
                <w:color w:val="000000" w:themeColor="text1"/>
                <w:kern w:val="24"/>
                <w:sz w:val="16"/>
                <w:szCs w:val="16"/>
                <w:lang w:val="nl-NL" w:eastAsia="en-ZA"/>
              </w:rPr>
              <w:t xml:space="preserve">, </w:t>
            </w:r>
            <w:r w:rsidR="008363B6" w:rsidRPr="008363B6">
              <w:rPr>
                <w:bCs/>
                <w:iCs/>
                <w:color w:val="000000" w:themeColor="text1"/>
                <w:kern w:val="24"/>
                <w:sz w:val="16"/>
                <w:szCs w:val="16"/>
                <w:lang w:eastAsia="en-ZA"/>
              </w:rPr>
              <w:t>NUEYS</w:t>
            </w:r>
            <w:r w:rsidR="000C3BCD" w:rsidRPr="002D6432">
              <w:rPr>
                <w:bCs/>
                <w:color w:val="000000" w:themeColor="text1"/>
                <w:kern w:val="24"/>
                <w:sz w:val="16"/>
                <w:szCs w:val="16"/>
                <w:lang w:val="nl-NL" w:eastAsia="en-ZA"/>
              </w:rPr>
              <w:t xml:space="preserve">, </w:t>
            </w:r>
            <w:r w:rsidR="00BA5FC7" w:rsidRPr="00BA5FC7">
              <w:rPr>
                <w:bCs/>
                <w:color w:val="000000" w:themeColor="text1"/>
                <w:kern w:val="24"/>
                <w:sz w:val="16"/>
                <w:szCs w:val="16"/>
                <w:lang w:val="en-ZW" w:eastAsia="en-ZA"/>
              </w:rPr>
              <w:t>NUEW</w:t>
            </w:r>
          </w:p>
          <w:p w14:paraId="5F392FBB" w14:textId="77777777" w:rsidR="000C3BCD" w:rsidRPr="002D6432" w:rsidRDefault="000C3BCD" w:rsidP="000C3BCD">
            <w:pPr>
              <w:rPr>
                <w:b/>
                <w:bCs/>
                <w:color w:val="000000"/>
                <w:sz w:val="16"/>
                <w:szCs w:val="16"/>
                <w:lang w:val="nl-NL"/>
              </w:rPr>
            </w:pPr>
          </w:p>
          <w:p w14:paraId="41A2C775" w14:textId="4506A187" w:rsidR="00DC0132" w:rsidRPr="003C26C1" w:rsidRDefault="00BA5FC7" w:rsidP="000C3BCD">
            <w:pPr>
              <w:rPr>
                <w:i/>
                <w:iCs/>
                <w:color w:val="000000"/>
                <w:sz w:val="16"/>
                <w:szCs w:val="16"/>
                <w:lang w:val="en-GB"/>
              </w:rPr>
            </w:pPr>
            <w:r>
              <w:rPr>
                <w:bCs/>
                <w:color w:val="000000" w:themeColor="text1"/>
                <w:kern w:val="24"/>
                <w:sz w:val="16"/>
                <w:szCs w:val="16"/>
                <w:lang w:val="en-ZW" w:eastAsia="en-ZA"/>
              </w:rPr>
              <w:t>FAO</w:t>
            </w:r>
            <w:r w:rsidR="000C3BCD" w:rsidRPr="00A707DB">
              <w:rPr>
                <w:bCs/>
                <w:color w:val="000000" w:themeColor="text1"/>
                <w:kern w:val="24"/>
                <w:sz w:val="16"/>
                <w:szCs w:val="16"/>
                <w:lang w:val="en-ZA" w:eastAsia="en-ZA"/>
              </w:rPr>
              <w:t>, UNICEF, GEF, A</w:t>
            </w:r>
            <w:r w:rsidR="00852FFB">
              <w:rPr>
                <w:bCs/>
                <w:color w:val="000000" w:themeColor="text1"/>
                <w:kern w:val="24"/>
                <w:sz w:val="16"/>
                <w:szCs w:val="16"/>
                <w:lang w:val="en-ZA" w:eastAsia="en-ZA"/>
              </w:rPr>
              <w:t xml:space="preserve">daptation </w:t>
            </w:r>
            <w:r w:rsidR="000C3BCD" w:rsidRPr="00A707DB">
              <w:rPr>
                <w:bCs/>
                <w:color w:val="000000" w:themeColor="text1"/>
                <w:kern w:val="24"/>
                <w:sz w:val="16"/>
                <w:szCs w:val="16"/>
                <w:lang w:val="en-ZA" w:eastAsia="en-ZA"/>
              </w:rPr>
              <w:t>F</w:t>
            </w:r>
            <w:r w:rsidR="00852FFB">
              <w:rPr>
                <w:bCs/>
                <w:color w:val="000000" w:themeColor="text1"/>
                <w:kern w:val="24"/>
                <w:sz w:val="16"/>
                <w:szCs w:val="16"/>
                <w:lang w:val="en-ZA" w:eastAsia="en-ZA"/>
              </w:rPr>
              <w:t>und</w:t>
            </w:r>
            <w:r w:rsidR="000C3BCD" w:rsidRPr="00A707DB">
              <w:rPr>
                <w:bCs/>
                <w:color w:val="000000" w:themeColor="text1"/>
                <w:kern w:val="24"/>
                <w:sz w:val="16"/>
                <w:szCs w:val="16"/>
                <w:lang w:val="en-ZA" w:eastAsia="en-ZA"/>
              </w:rPr>
              <w:t xml:space="preserve">, </w:t>
            </w:r>
            <w:r w:rsidRPr="00BA5FC7">
              <w:rPr>
                <w:bCs/>
                <w:color w:val="000000" w:themeColor="text1"/>
                <w:kern w:val="24"/>
                <w:sz w:val="16"/>
                <w:szCs w:val="16"/>
                <w:lang w:val="en-ZW" w:eastAsia="en-ZA"/>
              </w:rPr>
              <w:t>NUEW</w:t>
            </w:r>
            <w:r w:rsidR="000C3BCD" w:rsidRPr="00A707DB">
              <w:rPr>
                <w:bCs/>
                <w:color w:val="000000" w:themeColor="text1"/>
                <w:kern w:val="24"/>
                <w:sz w:val="16"/>
                <w:szCs w:val="16"/>
                <w:lang w:val="en-ZA" w:eastAsia="en-ZA"/>
              </w:rPr>
              <w:t xml:space="preserve">, GCF, </w:t>
            </w:r>
            <w:r w:rsidR="008363B6" w:rsidRPr="008363B6">
              <w:rPr>
                <w:bCs/>
                <w:iCs/>
                <w:color w:val="000000" w:themeColor="text1"/>
                <w:kern w:val="24"/>
                <w:sz w:val="16"/>
                <w:szCs w:val="16"/>
                <w:lang w:eastAsia="en-ZA"/>
              </w:rPr>
              <w:t>NUEYS</w:t>
            </w:r>
          </w:p>
        </w:tc>
        <w:tc>
          <w:tcPr>
            <w:tcW w:w="590" w:type="pct"/>
            <w:vMerge w:val="restart"/>
            <w:tcMar>
              <w:top w:w="15" w:type="dxa"/>
              <w:left w:w="108" w:type="dxa"/>
              <w:bottom w:w="0" w:type="dxa"/>
              <w:right w:w="108" w:type="dxa"/>
            </w:tcMar>
          </w:tcPr>
          <w:p w14:paraId="51D11035" w14:textId="77777777" w:rsidR="00847805" w:rsidRPr="00A707DB" w:rsidRDefault="00DC0132" w:rsidP="00847805">
            <w:pPr>
              <w:rPr>
                <w:color w:val="000000" w:themeColor="text1"/>
                <w:sz w:val="16"/>
                <w:szCs w:val="16"/>
              </w:rPr>
            </w:pPr>
            <w:r>
              <w:rPr>
                <w:b/>
                <w:color w:val="000000"/>
                <w:sz w:val="16"/>
                <w:szCs w:val="16"/>
              </w:rPr>
              <w:t>Regular</w:t>
            </w:r>
            <w:r w:rsidR="00847805">
              <w:rPr>
                <w:b/>
                <w:color w:val="000000"/>
                <w:sz w:val="16"/>
                <w:szCs w:val="16"/>
              </w:rPr>
              <w:t xml:space="preserve"> </w:t>
            </w:r>
            <w:r w:rsidR="00847805">
              <w:rPr>
                <w:color w:val="000000" w:themeColor="text1"/>
                <w:sz w:val="16"/>
                <w:szCs w:val="16"/>
              </w:rPr>
              <w:t>15,969</w:t>
            </w:r>
            <w:r w:rsidR="00847805" w:rsidRPr="00A707DB">
              <w:rPr>
                <w:color w:val="000000" w:themeColor="text1"/>
                <w:sz w:val="16"/>
                <w:szCs w:val="16"/>
              </w:rPr>
              <w:t>,000</w:t>
            </w:r>
          </w:p>
          <w:p w14:paraId="53C40EF5" w14:textId="326A5681" w:rsidR="00DC0132" w:rsidRDefault="000C3BCD" w:rsidP="00607FBD">
            <w:pPr>
              <w:rPr>
                <w:b/>
                <w:color w:val="000000"/>
                <w:sz w:val="16"/>
                <w:szCs w:val="16"/>
              </w:rPr>
            </w:pPr>
            <w:r>
              <w:rPr>
                <w:b/>
                <w:color w:val="000000"/>
                <w:sz w:val="16"/>
                <w:szCs w:val="16"/>
              </w:rPr>
              <w:t>____________________________</w:t>
            </w:r>
          </w:p>
          <w:p w14:paraId="0ED5ABF0" w14:textId="77777777" w:rsidR="00D55A8B" w:rsidRDefault="00D55A8B" w:rsidP="00607FBD">
            <w:pPr>
              <w:rPr>
                <w:b/>
                <w:color w:val="000000"/>
                <w:sz w:val="16"/>
                <w:szCs w:val="16"/>
              </w:rPr>
            </w:pPr>
          </w:p>
          <w:p w14:paraId="1CCAAB8C" w14:textId="75E38D07" w:rsidR="00DC0132" w:rsidRPr="003C26C1" w:rsidRDefault="00DC0132" w:rsidP="00607FBD">
            <w:pPr>
              <w:rPr>
                <w:b/>
                <w:color w:val="000000"/>
                <w:sz w:val="16"/>
                <w:szCs w:val="16"/>
              </w:rPr>
            </w:pPr>
            <w:r>
              <w:rPr>
                <w:b/>
                <w:color w:val="000000"/>
                <w:sz w:val="16"/>
                <w:szCs w:val="16"/>
              </w:rPr>
              <w:t>Other</w:t>
            </w:r>
            <w:r w:rsidR="00847805">
              <w:rPr>
                <w:b/>
                <w:color w:val="000000"/>
                <w:sz w:val="16"/>
                <w:szCs w:val="16"/>
              </w:rPr>
              <w:t xml:space="preserve"> </w:t>
            </w:r>
            <w:r w:rsidR="00847805" w:rsidRPr="00A707DB">
              <w:rPr>
                <w:color w:val="000000" w:themeColor="text1"/>
                <w:sz w:val="16"/>
                <w:szCs w:val="16"/>
              </w:rPr>
              <w:t>78,000,000</w:t>
            </w:r>
          </w:p>
        </w:tc>
      </w:tr>
      <w:tr w:rsidR="00DC0132" w:rsidRPr="003C26C1" w14:paraId="4ACEE49A" w14:textId="77777777" w:rsidTr="00943E27">
        <w:tc>
          <w:tcPr>
            <w:tcW w:w="1097" w:type="pct"/>
            <w:vMerge/>
            <w:tcMar>
              <w:top w:w="72" w:type="dxa"/>
              <w:left w:w="144" w:type="dxa"/>
              <w:bottom w:w="72" w:type="dxa"/>
              <w:right w:w="144" w:type="dxa"/>
            </w:tcMar>
          </w:tcPr>
          <w:p w14:paraId="48FEB197" w14:textId="3A471381" w:rsidR="00DC0132" w:rsidRPr="003C26C1" w:rsidRDefault="00DC0132" w:rsidP="000C3BCD">
            <w:pPr>
              <w:rPr>
                <w:i/>
                <w:iCs/>
                <w:color w:val="000000"/>
                <w:sz w:val="16"/>
                <w:szCs w:val="16"/>
                <w:lang w:val="en-GB"/>
              </w:rPr>
            </w:pPr>
          </w:p>
        </w:tc>
        <w:tc>
          <w:tcPr>
            <w:tcW w:w="827" w:type="pct"/>
            <w:vMerge/>
          </w:tcPr>
          <w:p w14:paraId="6DEFD973" w14:textId="77777777" w:rsidR="00DC0132" w:rsidRPr="003C26C1" w:rsidRDefault="00DC0132" w:rsidP="000C3BCD">
            <w:pPr>
              <w:rPr>
                <w:i/>
                <w:iCs/>
                <w:color w:val="000000"/>
                <w:sz w:val="16"/>
                <w:szCs w:val="16"/>
                <w:lang w:val="en-GB"/>
              </w:rPr>
            </w:pPr>
          </w:p>
        </w:tc>
        <w:tc>
          <w:tcPr>
            <w:tcW w:w="1833" w:type="pct"/>
            <w:tcMar>
              <w:top w:w="72" w:type="dxa"/>
              <w:left w:w="144" w:type="dxa"/>
              <w:bottom w:w="72" w:type="dxa"/>
              <w:right w:w="144" w:type="dxa"/>
            </w:tcMar>
          </w:tcPr>
          <w:p w14:paraId="7435CE65" w14:textId="4B53E41A" w:rsidR="00DC0132" w:rsidRPr="00A707DB" w:rsidRDefault="00DC0132" w:rsidP="00DC0132">
            <w:pPr>
              <w:spacing w:before="120"/>
              <w:rPr>
                <w:bCs/>
                <w:kern w:val="24"/>
                <w:sz w:val="16"/>
                <w:szCs w:val="16"/>
                <w:lang w:eastAsia="en-ZA"/>
              </w:rPr>
            </w:pPr>
            <w:r w:rsidRPr="00A707DB">
              <w:rPr>
                <w:b/>
                <w:bCs/>
                <w:kern w:val="24"/>
                <w:sz w:val="16"/>
                <w:szCs w:val="16"/>
                <w:lang w:eastAsia="en-ZA"/>
              </w:rPr>
              <w:t xml:space="preserve">Output 2.2. </w:t>
            </w:r>
            <w:r w:rsidR="008C3221">
              <w:rPr>
                <w:bCs/>
                <w:kern w:val="24"/>
                <w:sz w:val="16"/>
                <w:szCs w:val="16"/>
                <w:lang w:eastAsia="en-ZA"/>
              </w:rPr>
              <w:t>w</w:t>
            </w:r>
            <w:r w:rsidRPr="00A707DB">
              <w:rPr>
                <w:bCs/>
                <w:kern w:val="24"/>
                <w:sz w:val="16"/>
                <w:szCs w:val="16"/>
                <w:lang w:eastAsia="en-ZA"/>
              </w:rPr>
              <w:t>omen and men in rural communities are enabled to equitably and sustainably use natural resources to improve their livelihoods</w:t>
            </w:r>
          </w:p>
          <w:p w14:paraId="4F3BDDC5" w14:textId="77777777" w:rsidR="00DC0132" w:rsidRDefault="00DC0132" w:rsidP="00DC0132">
            <w:pPr>
              <w:rPr>
                <w:b/>
                <w:bCs/>
                <w:kern w:val="24"/>
                <w:sz w:val="16"/>
                <w:szCs w:val="16"/>
                <w:lang w:eastAsia="en-ZA"/>
              </w:rPr>
            </w:pPr>
          </w:p>
          <w:p w14:paraId="46B7A9C1" w14:textId="6C62900F" w:rsidR="00DC0132" w:rsidRPr="00A707DB" w:rsidRDefault="00DC0132" w:rsidP="00DC0132">
            <w:pPr>
              <w:rPr>
                <w:bCs/>
                <w:kern w:val="24"/>
                <w:sz w:val="16"/>
                <w:szCs w:val="16"/>
                <w:lang w:eastAsia="en-ZA"/>
              </w:rPr>
            </w:pPr>
            <w:r w:rsidRPr="00A707DB">
              <w:rPr>
                <w:b/>
                <w:bCs/>
                <w:kern w:val="24"/>
                <w:sz w:val="16"/>
                <w:szCs w:val="16"/>
                <w:lang w:eastAsia="en-ZA"/>
              </w:rPr>
              <w:t>Indicator 2.2.</w:t>
            </w:r>
            <w:r>
              <w:rPr>
                <w:b/>
                <w:bCs/>
                <w:kern w:val="24"/>
                <w:sz w:val="16"/>
                <w:szCs w:val="16"/>
                <w:lang w:eastAsia="en-ZA"/>
              </w:rPr>
              <w:t>1</w:t>
            </w:r>
            <w:r w:rsidRPr="00A707DB">
              <w:rPr>
                <w:b/>
                <w:bCs/>
                <w:kern w:val="24"/>
                <w:sz w:val="16"/>
                <w:szCs w:val="16"/>
                <w:lang w:eastAsia="en-ZA"/>
              </w:rPr>
              <w:t>.</w:t>
            </w:r>
            <w:r w:rsidRPr="00A707DB">
              <w:rPr>
                <w:bCs/>
                <w:kern w:val="24"/>
                <w:sz w:val="16"/>
                <w:szCs w:val="16"/>
                <w:lang w:eastAsia="en-ZA"/>
              </w:rPr>
              <w:t xml:space="preserve"> </w:t>
            </w:r>
            <w:r w:rsidR="008C3221">
              <w:rPr>
                <w:bCs/>
                <w:kern w:val="24"/>
                <w:sz w:val="16"/>
                <w:szCs w:val="16"/>
                <w:lang w:eastAsia="en-ZA"/>
              </w:rPr>
              <w:t>t</w:t>
            </w:r>
            <w:r w:rsidRPr="002D5001">
              <w:rPr>
                <w:bCs/>
                <w:kern w:val="24"/>
                <w:sz w:val="16"/>
                <w:szCs w:val="16"/>
                <w:lang w:eastAsia="en-ZA"/>
              </w:rPr>
              <w:t xml:space="preserve">otal number of additional people benefitting from strengthened livelihoods through solutions for management of natural resources, ecosystem services, chemicals and waste </w:t>
            </w:r>
            <w:r>
              <w:rPr>
                <w:bCs/>
                <w:kern w:val="24"/>
                <w:sz w:val="16"/>
                <w:szCs w:val="16"/>
                <w:lang w:eastAsia="en-ZA"/>
              </w:rPr>
              <w:t>(IRRF 1.3.2.A.3.1)</w:t>
            </w:r>
          </w:p>
          <w:p w14:paraId="0EF82D21" w14:textId="77777777" w:rsidR="00DC0132" w:rsidRDefault="00DC0132" w:rsidP="00DC0132">
            <w:pPr>
              <w:rPr>
                <w:b/>
                <w:bCs/>
                <w:kern w:val="24"/>
                <w:sz w:val="16"/>
                <w:szCs w:val="16"/>
                <w:lang w:eastAsia="en-ZA"/>
              </w:rPr>
            </w:pPr>
          </w:p>
          <w:p w14:paraId="61E8008F" w14:textId="009A4CF9" w:rsidR="00DC0132" w:rsidRPr="00A707DB" w:rsidRDefault="00DC0132" w:rsidP="00DC0132">
            <w:pPr>
              <w:rPr>
                <w:bCs/>
                <w:kern w:val="24"/>
                <w:sz w:val="16"/>
                <w:szCs w:val="16"/>
                <w:lang w:eastAsia="en-ZA"/>
              </w:rPr>
            </w:pPr>
            <w:r w:rsidRPr="00A707DB">
              <w:rPr>
                <w:b/>
                <w:bCs/>
                <w:kern w:val="24"/>
                <w:sz w:val="16"/>
                <w:szCs w:val="16"/>
                <w:lang w:eastAsia="en-ZA"/>
              </w:rPr>
              <w:t>Baseline (2015)</w:t>
            </w:r>
            <w:r>
              <w:rPr>
                <w:rStyle w:val="FootnoteReference"/>
                <w:b/>
                <w:bCs/>
                <w:kern w:val="24"/>
                <w:sz w:val="16"/>
                <w:szCs w:val="16"/>
                <w:lang w:eastAsia="en-ZA"/>
              </w:rPr>
              <w:footnoteReference w:id="11"/>
            </w:r>
            <w:r w:rsidRPr="00A707DB">
              <w:rPr>
                <w:b/>
                <w:bCs/>
                <w:kern w:val="24"/>
                <w:sz w:val="16"/>
                <w:szCs w:val="16"/>
                <w:lang w:eastAsia="en-ZA"/>
              </w:rPr>
              <w:t xml:space="preserve">: </w:t>
            </w:r>
            <w:r w:rsidRPr="00971F02">
              <w:rPr>
                <w:bCs/>
                <w:kern w:val="24"/>
                <w:sz w:val="16"/>
                <w:szCs w:val="16"/>
                <w:lang w:eastAsia="en-ZA"/>
              </w:rPr>
              <w:t>81,600</w:t>
            </w:r>
            <w:r>
              <w:rPr>
                <w:bCs/>
                <w:kern w:val="24"/>
                <w:sz w:val="16"/>
                <w:szCs w:val="16"/>
                <w:lang w:eastAsia="en-ZA"/>
              </w:rPr>
              <w:t xml:space="preserve"> (38% female</w:t>
            </w:r>
            <w:r w:rsidR="008C3221">
              <w:rPr>
                <w:bCs/>
                <w:kern w:val="24"/>
                <w:sz w:val="16"/>
                <w:szCs w:val="16"/>
                <w:lang w:eastAsia="en-ZA"/>
              </w:rPr>
              <w:t>-</w:t>
            </w:r>
            <w:r>
              <w:rPr>
                <w:bCs/>
                <w:kern w:val="24"/>
                <w:sz w:val="16"/>
                <w:szCs w:val="16"/>
                <w:lang w:eastAsia="en-ZA"/>
              </w:rPr>
              <w:t>headed households</w:t>
            </w:r>
            <w:r w:rsidRPr="00A707DB">
              <w:rPr>
                <w:bCs/>
                <w:kern w:val="24"/>
                <w:sz w:val="16"/>
                <w:szCs w:val="16"/>
                <w:lang w:eastAsia="en-ZA"/>
              </w:rPr>
              <w:t xml:space="preserve">); </w:t>
            </w:r>
            <w:r w:rsidRPr="00A707DB">
              <w:rPr>
                <w:b/>
                <w:bCs/>
                <w:kern w:val="24"/>
                <w:sz w:val="16"/>
                <w:szCs w:val="16"/>
                <w:lang w:eastAsia="en-ZA"/>
              </w:rPr>
              <w:t xml:space="preserve">Target (2021): </w:t>
            </w:r>
            <w:bookmarkStart w:id="1" w:name="OLE_LINK1"/>
            <w:r w:rsidRPr="00971F02">
              <w:rPr>
                <w:bCs/>
                <w:kern w:val="24"/>
                <w:sz w:val="16"/>
                <w:szCs w:val="16"/>
                <w:lang w:eastAsia="en-ZA"/>
              </w:rPr>
              <w:t>273,600</w:t>
            </w:r>
            <w:r>
              <w:rPr>
                <w:bCs/>
                <w:kern w:val="24"/>
                <w:sz w:val="16"/>
                <w:szCs w:val="16"/>
                <w:lang w:eastAsia="en-ZA"/>
              </w:rPr>
              <w:t xml:space="preserve"> (50% female</w:t>
            </w:r>
            <w:r w:rsidR="008C3221">
              <w:rPr>
                <w:bCs/>
                <w:kern w:val="24"/>
                <w:sz w:val="16"/>
                <w:szCs w:val="16"/>
                <w:lang w:eastAsia="en-ZA"/>
              </w:rPr>
              <w:t>-</w:t>
            </w:r>
            <w:r>
              <w:rPr>
                <w:bCs/>
                <w:kern w:val="24"/>
                <w:sz w:val="16"/>
                <w:szCs w:val="16"/>
                <w:lang w:eastAsia="en-ZA"/>
              </w:rPr>
              <w:t>headed households</w:t>
            </w:r>
            <w:r w:rsidRPr="00A707DB">
              <w:rPr>
                <w:bCs/>
                <w:kern w:val="24"/>
                <w:sz w:val="16"/>
                <w:szCs w:val="16"/>
                <w:lang w:eastAsia="en-ZA"/>
              </w:rPr>
              <w:t>)</w:t>
            </w:r>
          </w:p>
          <w:bookmarkEnd w:id="1"/>
          <w:p w14:paraId="1C6A6949" w14:textId="77777777" w:rsidR="00DC0132" w:rsidRDefault="00DC0132" w:rsidP="00DC0132">
            <w:pPr>
              <w:rPr>
                <w:b/>
                <w:iCs/>
                <w:sz w:val="16"/>
                <w:szCs w:val="16"/>
              </w:rPr>
            </w:pPr>
          </w:p>
          <w:p w14:paraId="3955C83F" w14:textId="6F0E531F" w:rsidR="00DC0132" w:rsidRPr="00A707DB" w:rsidRDefault="00DC0132" w:rsidP="00DC0132">
            <w:pPr>
              <w:rPr>
                <w:b/>
                <w:iCs/>
                <w:sz w:val="16"/>
                <w:szCs w:val="16"/>
              </w:rPr>
            </w:pPr>
            <w:r w:rsidRPr="00A707DB">
              <w:rPr>
                <w:b/>
                <w:iCs/>
                <w:sz w:val="16"/>
                <w:szCs w:val="16"/>
              </w:rPr>
              <w:t xml:space="preserve">Data source: </w:t>
            </w:r>
            <w:r w:rsidR="00202104">
              <w:rPr>
                <w:iCs/>
                <w:sz w:val="16"/>
                <w:szCs w:val="16"/>
              </w:rPr>
              <w:t>MLWE</w:t>
            </w:r>
            <w:r w:rsidRPr="00A707DB">
              <w:rPr>
                <w:iCs/>
                <w:sz w:val="16"/>
                <w:szCs w:val="16"/>
              </w:rPr>
              <w:t xml:space="preserve">, </w:t>
            </w:r>
            <w:r w:rsidR="00202104">
              <w:rPr>
                <w:iCs/>
                <w:sz w:val="16"/>
                <w:szCs w:val="16"/>
              </w:rPr>
              <w:t>MoA</w:t>
            </w:r>
            <w:r w:rsidRPr="00A707DB">
              <w:rPr>
                <w:iCs/>
                <w:sz w:val="16"/>
                <w:szCs w:val="16"/>
              </w:rPr>
              <w:t xml:space="preserve">, </w:t>
            </w:r>
            <w:r w:rsidR="00DA5BAA">
              <w:rPr>
                <w:iCs/>
                <w:sz w:val="16"/>
                <w:szCs w:val="16"/>
              </w:rPr>
              <w:t>l</w:t>
            </w:r>
            <w:r w:rsidRPr="00A707DB">
              <w:rPr>
                <w:iCs/>
                <w:sz w:val="16"/>
                <w:szCs w:val="16"/>
              </w:rPr>
              <w:t xml:space="preserve">ocal </w:t>
            </w:r>
            <w:r w:rsidR="00DA5BAA">
              <w:rPr>
                <w:iCs/>
                <w:sz w:val="16"/>
                <w:szCs w:val="16"/>
              </w:rPr>
              <w:t>g</w:t>
            </w:r>
            <w:r w:rsidRPr="00A707DB">
              <w:rPr>
                <w:iCs/>
                <w:sz w:val="16"/>
                <w:szCs w:val="16"/>
              </w:rPr>
              <w:t>overnments</w:t>
            </w:r>
            <w:r w:rsidRPr="00A707DB">
              <w:rPr>
                <w:b/>
                <w:iCs/>
                <w:sz w:val="16"/>
                <w:szCs w:val="16"/>
              </w:rPr>
              <w:t xml:space="preserve">; Frequency: </w:t>
            </w:r>
            <w:r w:rsidR="00E966DD">
              <w:rPr>
                <w:iCs/>
                <w:sz w:val="16"/>
                <w:szCs w:val="16"/>
              </w:rPr>
              <w:t>a</w:t>
            </w:r>
            <w:r w:rsidRPr="00A707DB">
              <w:rPr>
                <w:iCs/>
                <w:sz w:val="16"/>
                <w:szCs w:val="16"/>
              </w:rPr>
              <w:t>nnual</w:t>
            </w:r>
          </w:p>
          <w:p w14:paraId="2AEFF19A" w14:textId="77777777" w:rsidR="00DC0132" w:rsidRPr="00A707DB" w:rsidRDefault="00DC0132" w:rsidP="00DC0132">
            <w:pPr>
              <w:rPr>
                <w:iCs/>
                <w:sz w:val="16"/>
                <w:szCs w:val="16"/>
              </w:rPr>
            </w:pPr>
          </w:p>
          <w:p w14:paraId="52147D2E" w14:textId="7B6BB218" w:rsidR="00DC0132" w:rsidRPr="00A707DB" w:rsidRDefault="00DC0132" w:rsidP="00DC0132">
            <w:pPr>
              <w:rPr>
                <w:bCs/>
                <w:kern w:val="24"/>
                <w:sz w:val="16"/>
                <w:szCs w:val="16"/>
                <w:lang w:eastAsia="en-ZA"/>
              </w:rPr>
            </w:pPr>
            <w:r w:rsidRPr="00A707DB">
              <w:rPr>
                <w:b/>
                <w:bCs/>
                <w:kern w:val="24"/>
                <w:sz w:val="16"/>
                <w:szCs w:val="16"/>
                <w:lang w:eastAsia="en-ZA"/>
              </w:rPr>
              <w:t>Indicator 2.2.</w:t>
            </w:r>
            <w:r>
              <w:rPr>
                <w:b/>
                <w:bCs/>
                <w:kern w:val="24"/>
                <w:sz w:val="16"/>
                <w:szCs w:val="16"/>
                <w:lang w:eastAsia="en-ZA"/>
              </w:rPr>
              <w:t>2</w:t>
            </w:r>
            <w:r w:rsidRPr="00A707DB">
              <w:rPr>
                <w:b/>
                <w:bCs/>
                <w:kern w:val="24"/>
                <w:sz w:val="16"/>
                <w:szCs w:val="16"/>
                <w:lang w:eastAsia="en-ZA"/>
              </w:rPr>
              <w:t>.</w:t>
            </w:r>
            <w:r w:rsidRPr="00A707DB">
              <w:rPr>
                <w:bCs/>
                <w:kern w:val="24"/>
                <w:sz w:val="16"/>
                <w:szCs w:val="16"/>
                <w:lang w:eastAsia="en-ZA"/>
              </w:rPr>
              <w:t xml:space="preserve"> % of women participating in local decision-making process</w:t>
            </w:r>
            <w:r w:rsidR="008C3221">
              <w:rPr>
                <w:bCs/>
                <w:kern w:val="24"/>
                <w:sz w:val="16"/>
                <w:szCs w:val="16"/>
                <w:lang w:eastAsia="en-ZA"/>
              </w:rPr>
              <w:t>es</w:t>
            </w:r>
            <w:r w:rsidRPr="00A707DB">
              <w:rPr>
                <w:bCs/>
                <w:kern w:val="24"/>
                <w:sz w:val="16"/>
                <w:szCs w:val="16"/>
                <w:lang w:eastAsia="en-ZA"/>
              </w:rPr>
              <w:t xml:space="preserve"> related to natural resources management</w:t>
            </w:r>
          </w:p>
          <w:p w14:paraId="77133E8D" w14:textId="77777777" w:rsidR="00DC0132" w:rsidRDefault="00DC0132" w:rsidP="00DC0132">
            <w:pPr>
              <w:rPr>
                <w:b/>
                <w:bCs/>
                <w:kern w:val="24"/>
                <w:sz w:val="16"/>
                <w:szCs w:val="16"/>
                <w:lang w:eastAsia="en-ZA"/>
              </w:rPr>
            </w:pPr>
          </w:p>
          <w:p w14:paraId="38539631" w14:textId="77777777" w:rsidR="00DC0132" w:rsidRPr="00A707DB" w:rsidRDefault="00DC0132" w:rsidP="00DC0132">
            <w:pPr>
              <w:rPr>
                <w:bCs/>
                <w:kern w:val="24"/>
                <w:sz w:val="16"/>
                <w:szCs w:val="16"/>
                <w:lang w:eastAsia="en-ZA"/>
              </w:rPr>
            </w:pPr>
            <w:r w:rsidRPr="00A707DB">
              <w:rPr>
                <w:b/>
                <w:bCs/>
                <w:kern w:val="24"/>
                <w:sz w:val="16"/>
                <w:szCs w:val="16"/>
                <w:lang w:eastAsia="en-ZA"/>
              </w:rPr>
              <w:t xml:space="preserve">Baseline (2015): </w:t>
            </w:r>
            <w:r w:rsidRPr="00A707DB">
              <w:rPr>
                <w:bCs/>
                <w:kern w:val="24"/>
                <w:sz w:val="16"/>
                <w:szCs w:val="16"/>
                <w:lang w:eastAsia="en-ZA"/>
              </w:rPr>
              <w:t xml:space="preserve">TBD; </w:t>
            </w:r>
            <w:r w:rsidRPr="00A707DB">
              <w:rPr>
                <w:b/>
                <w:bCs/>
                <w:kern w:val="24"/>
                <w:sz w:val="16"/>
                <w:szCs w:val="16"/>
                <w:lang w:eastAsia="en-ZA"/>
              </w:rPr>
              <w:t xml:space="preserve">Target (2021): </w:t>
            </w:r>
            <w:r w:rsidRPr="00A707DB">
              <w:rPr>
                <w:bCs/>
                <w:kern w:val="24"/>
                <w:sz w:val="16"/>
                <w:szCs w:val="16"/>
                <w:lang w:eastAsia="en-ZA"/>
              </w:rPr>
              <w:t>minimum of 30% women</w:t>
            </w:r>
          </w:p>
          <w:p w14:paraId="79B5B016" w14:textId="77777777" w:rsidR="00DC0132" w:rsidRDefault="00DC0132" w:rsidP="00DC0132">
            <w:pPr>
              <w:rPr>
                <w:b/>
                <w:iCs/>
                <w:sz w:val="16"/>
                <w:szCs w:val="16"/>
              </w:rPr>
            </w:pPr>
          </w:p>
          <w:p w14:paraId="25760AB0" w14:textId="3F865A42" w:rsidR="00DC0132" w:rsidRPr="003C26C1" w:rsidRDefault="00DC0132" w:rsidP="00202104">
            <w:pPr>
              <w:rPr>
                <w:i/>
                <w:iCs/>
                <w:color w:val="000000"/>
                <w:sz w:val="16"/>
                <w:szCs w:val="16"/>
                <w:lang w:val="en-GB"/>
              </w:rPr>
            </w:pPr>
            <w:r w:rsidRPr="00A707DB">
              <w:rPr>
                <w:b/>
                <w:iCs/>
                <w:sz w:val="16"/>
                <w:szCs w:val="16"/>
              </w:rPr>
              <w:t xml:space="preserve">Data source: </w:t>
            </w:r>
            <w:r w:rsidR="00202104">
              <w:rPr>
                <w:iCs/>
                <w:sz w:val="16"/>
                <w:szCs w:val="16"/>
              </w:rPr>
              <w:t>MLWE</w:t>
            </w:r>
            <w:r w:rsidRPr="00A707DB">
              <w:rPr>
                <w:iCs/>
                <w:sz w:val="16"/>
                <w:szCs w:val="16"/>
              </w:rPr>
              <w:t xml:space="preserve">, </w:t>
            </w:r>
            <w:r w:rsidR="00202104">
              <w:rPr>
                <w:iCs/>
                <w:sz w:val="16"/>
                <w:szCs w:val="16"/>
              </w:rPr>
              <w:t>MoA</w:t>
            </w:r>
            <w:r w:rsidRPr="00A707DB">
              <w:rPr>
                <w:iCs/>
                <w:sz w:val="16"/>
                <w:szCs w:val="16"/>
              </w:rPr>
              <w:t xml:space="preserve">, </w:t>
            </w:r>
            <w:r w:rsidR="00DA5BAA">
              <w:rPr>
                <w:iCs/>
                <w:sz w:val="16"/>
                <w:szCs w:val="16"/>
              </w:rPr>
              <w:t>l</w:t>
            </w:r>
            <w:r w:rsidRPr="00A707DB">
              <w:rPr>
                <w:iCs/>
                <w:sz w:val="16"/>
                <w:szCs w:val="16"/>
              </w:rPr>
              <w:t xml:space="preserve">ocal </w:t>
            </w:r>
            <w:r w:rsidR="00DA5BAA">
              <w:rPr>
                <w:iCs/>
                <w:sz w:val="16"/>
                <w:szCs w:val="16"/>
              </w:rPr>
              <w:t>g</w:t>
            </w:r>
            <w:r w:rsidRPr="00A707DB">
              <w:rPr>
                <w:iCs/>
                <w:sz w:val="16"/>
                <w:szCs w:val="16"/>
              </w:rPr>
              <w:t>overnments</w:t>
            </w:r>
            <w:r w:rsidRPr="00A707DB">
              <w:rPr>
                <w:b/>
                <w:iCs/>
                <w:sz w:val="16"/>
                <w:szCs w:val="16"/>
              </w:rPr>
              <w:t xml:space="preserve">; Frequency: </w:t>
            </w:r>
            <w:r w:rsidR="00DA5BAA">
              <w:rPr>
                <w:iCs/>
                <w:sz w:val="16"/>
                <w:szCs w:val="16"/>
              </w:rPr>
              <w:t>a</w:t>
            </w:r>
            <w:r w:rsidRPr="00A707DB">
              <w:rPr>
                <w:iCs/>
                <w:sz w:val="16"/>
                <w:szCs w:val="16"/>
              </w:rPr>
              <w:t>nnual</w:t>
            </w:r>
          </w:p>
        </w:tc>
        <w:tc>
          <w:tcPr>
            <w:tcW w:w="653" w:type="pct"/>
          </w:tcPr>
          <w:p w14:paraId="7597DDAE" w14:textId="4C0EB609" w:rsidR="000C3BCD" w:rsidRPr="00A707DB" w:rsidRDefault="00202104" w:rsidP="000C3BCD">
            <w:pPr>
              <w:spacing w:before="120"/>
              <w:rPr>
                <w:bCs/>
                <w:color w:val="000000" w:themeColor="text1"/>
                <w:kern w:val="24"/>
                <w:sz w:val="16"/>
                <w:szCs w:val="16"/>
                <w:lang w:val="en-ZA" w:eastAsia="en-ZA"/>
              </w:rPr>
            </w:pPr>
            <w:r>
              <w:rPr>
                <w:bCs/>
                <w:color w:val="000000" w:themeColor="text1"/>
                <w:kern w:val="24"/>
                <w:sz w:val="16"/>
                <w:szCs w:val="16"/>
                <w:lang w:val="en-ZA" w:eastAsia="en-ZA"/>
              </w:rPr>
              <w:t>MLWE</w:t>
            </w:r>
            <w:r w:rsidR="000C3BCD" w:rsidRPr="00A707DB">
              <w:rPr>
                <w:bCs/>
                <w:color w:val="000000" w:themeColor="text1"/>
                <w:kern w:val="24"/>
                <w:sz w:val="16"/>
                <w:szCs w:val="16"/>
                <w:lang w:val="en-ZA" w:eastAsia="en-ZA"/>
              </w:rPr>
              <w:t xml:space="preserve">, </w:t>
            </w:r>
            <w:r w:rsidR="00F45F34">
              <w:rPr>
                <w:bCs/>
                <w:color w:val="000000" w:themeColor="text1"/>
                <w:kern w:val="24"/>
                <w:sz w:val="16"/>
                <w:szCs w:val="16"/>
                <w:lang w:val="en-ZA" w:eastAsia="en-ZA"/>
              </w:rPr>
              <w:t>MND</w:t>
            </w:r>
            <w:r w:rsidR="000C3BCD" w:rsidRPr="00A707DB">
              <w:rPr>
                <w:bCs/>
                <w:color w:val="000000" w:themeColor="text1"/>
                <w:kern w:val="24"/>
                <w:sz w:val="16"/>
                <w:szCs w:val="16"/>
                <w:lang w:val="en-ZA" w:eastAsia="en-ZA"/>
              </w:rPr>
              <w:t xml:space="preserve">, </w:t>
            </w:r>
            <w:r>
              <w:rPr>
                <w:bCs/>
                <w:color w:val="000000" w:themeColor="text1"/>
                <w:kern w:val="24"/>
                <w:sz w:val="16"/>
                <w:szCs w:val="16"/>
                <w:lang w:val="en-ZA" w:eastAsia="en-ZA"/>
              </w:rPr>
              <w:t>MoA</w:t>
            </w:r>
            <w:r w:rsidR="000C3BCD" w:rsidRPr="00A707DB">
              <w:rPr>
                <w:bCs/>
                <w:color w:val="000000" w:themeColor="text1"/>
                <w:kern w:val="24"/>
                <w:sz w:val="16"/>
                <w:szCs w:val="16"/>
                <w:lang w:val="en-ZA" w:eastAsia="en-ZA"/>
              </w:rPr>
              <w:t xml:space="preserve">, </w:t>
            </w:r>
            <w:r w:rsidR="00115246">
              <w:rPr>
                <w:bCs/>
                <w:color w:val="000000" w:themeColor="text1"/>
                <w:kern w:val="24"/>
                <w:sz w:val="16"/>
                <w:szCs w:val="16"/>
                <w:lang w:val="en-ZA" w:eastAsia="en-ZA"/>
              </w:rPr>
              <w:t>MMR</w:t>
            </w:r>
            <w:r w:rsidR="000C3BCD" w:rsidRPr="00A707DB">
              <w:rPr>
                <w:bCs/>
                <w:color w:val="000000" w:themeColor="text1"/>
                <w:kern w:val="24"/>
                <w:sz w:val="16"/>
                <w:szCs w:val="16"/>
                <w:lang w:val="en-ZA" w:eastAsia="en-ZA"/>
              </w:rPr>
              <w:t xml:space="preserve">, </w:t>
            </w:r>
            <w:r w:rsidR="005915F6" w:rsidRPr="005915F6">
              <w:rPr>
                <w:bCs/>
                <w:iCs/>
                <w:color w:val="000000" w:themeColor="text1"/>
                <w:kern w:val="24"/>
                <w:sz w:val="16"/>
                <w:szCs w:val="16"/>
                <w:lang w:eastAsia="en-ZA"/>
              </w:rPr>
              <w:t>NUEYS</w:t>
            </w:r>
            <w:r w:rsidR="00852FFB">
              <w:rPr>
                <w:bCs/>
                <w:iCs/>
                <w:color w:val="000000" w:themeColor="text1"/>
                <w:kern w:val="24"/>
                <w:sz w:val="16"/>
                <w:szCs w:val="16"/>
                <w:lang w:eastAsia="en-ZA"/>
              </w:rPr>
              <w:t xml:space="preserve">, </w:t>
            </w:r>
            <w:r w:rsidR="005915F6">
              <w:rPr>
                <w:bCs/>
                <w:color w:val="000000" w:themeColor="text1"/>
                <w:kern w:val="24"/>
                <w:sz w:val="16"/>
                <w:szCs w:val="16"/>
                <w:lang w:val="en-ZA" w:eastAsia="en-ZA"/>
              </w:rPr>
              <w:t>MOEM</w:t>
            </w:r>
          </w:p>
          <w:p w14:paraId="5E20645B" w14:textId="77777777" w:rsidR="000C3BCD" w:rsidRPr="00A707DB" w:rsidRDefault="000C3BCD" w:rsidP="000C3BCD">
            <w:pPr>
              <w:rPr>
                <w:bCs/>
                <w:color w:val="000000" w:themeColor="text1"/>
                <w:kern w:val="24"/>
                <w:sz w:val="16"/>
                <w:szCs w:val="16"/>
                <w:lang w:val="en-ZA" w:eastAsia="en-ZA"/>
              </w:rPr>
            </w:pPr>
          </w:p>
          <w:p w14:paraId="1BB6D28C" w14:textId="7ED9E808" w:rsidR="000C3BCD" w:rsidRPr="00A707DB" w:rsidRDefault="00BA5FC7" w:rsidP="000C3BCD">
            <w:pPr>
              <w:rPr>
                <w:bCs/>
                <w:color w:val="000000" w:themeColor="text1"/>
                <w:kern w:val="24"/>
                <w:sz w:val="16"/>
                <w:szCs w:val="16"/>
                <w:lang w:val="en-ZA" w:eastAsia="en-ZA"/>
              </w:rPr>
            </w:pPr>
            <w:r>
              <w:rPr>
                <w:bCs/>
                <w:color w:val="000000" w:themeColor="text1"/>
                <w:kern w:val="24"/>
                <w:sz w:val="16"/>
                <w:szCs w:val="16"/>
                <w:lang w:val="en-ZW" w:eastAsia="en-ZA"/>
              </w:rPr>
              <w:t>FAO</w:t>
            </w:r>
            <w:r w:rsidR="000C3BCD" w:rsidRPr="00A707DB">
              <w:rPr>
                <w:bCs/>
                <w:color w:val="000000" w:themeColor="text1"/>
                <w:kern w:val="24"/>
                <w:sz w:val="16"/>
                <w:szCs w:val="16"/>
                <w:lang w:val="en-ZA" w:eastAsia="en-ZA"/>
              </w:rPr>
              <w:t>, UNICEF, GEF, A</w:t>
            </w:r>
            <w:r w:rsidR="00852FFB">
              <w:rPr>
                <w:bCs/>
                <w:color w:val="000000" w:themeColor="text1"/>
                <w:kern w:val="24"/>
                <w:sz w:val="16"/>
                <w:szCs w:val="16"/>
                <w:lang w:val="en-ZA" w:eastAsia="en-ZA"/>
              </w:rPr>
              <w:t xml:space="preserve">daptation </w:t>
            </w:r>
            <w:r w:rsidR="000C3BCD" w:rsidRPr="00A707DB">
              <w:rPr>
                <w:bCs/>
                <w:color w:val="000000" w:themeColor="text1"/>
                <w:kern w:val="24"/>
                <w:sz w:val="16"/>
                <w:szCs w:val="16"/>
                <w:lang w:val="en-ZA" w:eastAsia="en-ZA"/>
              </w:rPr>
              <w:t>F</w:t>
            </w:r>
            <w:r w:rsidR="00852FFB">
              <w:rPr>
                <w:bCs/>
                <w:color w:val="000000" w:themeColor="text1"/>
                <w:kern w:val="24"/>
                <w:sz w:val="16"/>
                <w:szCs w:val="16"/>
                <w:lang w:val="en-ZA" w:eastAsia="en-ZA"/>
              </w:rPr>
              <w:t>und</w:t>
            </w:r>
            <w:r w:rsidR="000C3BCD" w:rsidRPr="00A707DB">
              <w:rPr>
                <w:bCs/>
                <w:color w:val="000000" w:themeColor="text1"/>
                <w:kern w:val="24"/>
                <w:sz w:val="16"/>
                <w:szCs w:val="16"/>
                <w:lang w:val="en-ZA" w:eastAsia="en-ZA"/>
              </w:rPr>
              <w:t xml:space="preserve">, </w:t>
            </w:r>
            <w:r w:rsidRPr="00BA5FC7">
              <w:rPr>
                <w:bCs/>
                <w:color w:val="000000" w:themeColor="text1"/>
                <w:kern w:val="24"/>
                <w:sz w:val="16"/>
                <w:szCs w:val="16"/>
                <w:lang w:val="en-ZW" w:eastAsia="en-ZA"/>
              </w:rPr>
              <w:t>NUEW</w:t>
            </w:r>
            <w:r w:rsidR="000C3BCD" w:rsidRPr="00A707DB">
              <w:rPr>
                <w:bCs/>
                <w:color w:val="000000" w:themeColor="text1"/>
                <w:kern w:val="24"/>
                <w:sz w:val="16"/>
                <w:szCs w:val="16"/>
                <w:lang w:val="en-ZA" w:eastAsia="en-ZA"/>
              </w:rPr>
              <w:t>, G</w:t>
            </w:r>
            <w:r w:rsidR="00852FFB">
              <w:rPr>
                <w:bCs/>
                <w:color w:val="000000" w:themeColor="text1"/>
                <w:kern w:val="24"/>
                <w:sz w:val="16"/>
                <w:szCs w:val="16"/>
                <w:lang w:val="en-ZA" w:eastAsia="en-ZA"/>
              </w:rPr>
              <w:t xml:space="preserve">reen </w:t>
            </w:r>
            <w:r w:rsidR="000C3BCD" w:rsidRPr="00A707DB">
              <w:rPr>
                <w:bCs/>
                <w:color w:val="000000" w:themeColor="text1"/>
                <w:kern w:val="24"/>
                <w:sz w:val="16"/>
                <w:szCs w:val="16"/>
                <w:lang w:val="en-ZA" w:eastAsia="en-ZA"/>
              </w:rPr>
              <w:t>C</w:t>
            </w:r>
            <w:r w:rsidR="00852FFB">
              <w:rPr>
                <w:bCs/>
                <w:color w:val="000000" w:themeColor="text1"/>
                <w:kern w:val="24"/>
                <w:sz w:val="16"/>
                <w:szCs w:val="16"/>
                <w:lang w:val="en-ZA" w:eastAsia="en-ZA"/>
              </w:rPr>
              <w:t xml:space="preserve">limate </w:t>
            </w:r>
            <w:r w:rsidR="000C3BCD" w:rsidRPr="00A707DB">
              <w:rPr>
                <w:bCs/>
                <w:color w:val="000000" w:themeColor="text1"/>
                <w:kern w:val="24"/>
                <w:sz w:val="16"/>
                <w:szCs w:val="16"/>
                <w:lang w:val="en-ZA" w:eastAsia="en-ZA"/>
              </w:rPr>
              <w:t>F</w:t>
            </w:r>
            <w:r w:rsidR="00852FFB">
              <w:rPr>
                <w:bCs/>
                <w:color w:val="000000" w:themeColor="text1"/>
                <w:kern w:val="24"/>
                <w:sz w:val="16"/>
                <w:szCs w:val="16"/>
                <w:lang w:val="en-ZA" w:eastAsia="en-ZA"/>
              </w:rPr>
              <w:t>und</w:t>
            </w:r>
            <w:r w:rsidR="000C3BCD" w:rsidRPr="00A707DB">
              <w:rPr>
                <w:bCs/>
                <w:color w:val="000000" w:themeColor="text1"/>
                <w:kern w:val="24"/>
                <w:sz w:val="16"/>
                <w:szCs w:val="16"/>
                <w:lang w:val="en-ZA" w:eastAsia="en-ZA"/>
              </w:rPr>
              <w:t xml:space="preserve">, </w:t>
            </w:r>
            <w:r w:rsidR="008363B6" w:rsidRPr="008363B6">
              <w:rPr>
                <w:bCs/>
                <w:iCs/>
                <w:color w:val="000000" w:themeColor="text1"/>
                <w:kern w:val="24"/>
                <w:sz w:val="16"/>
                <w:szCs w:val="16"/>
                <w:lang w:eastAsia="en-ZA"/>
              </w:rPr>
              <w:t>NUEYS</w:t>
            </w:r>
          </w:p>
          <w:p w14:paraId="3C84C9CB" w14:textId="77777777" w:rsidR="00DC0132" w:rsidRPr="003C26C1" w:rsidRDefault="00DC0132" w:rsidP="000C3BCD">
            <w:pPr>
              <w:rPr>
                <w:i/>
                <w:iCs/>
                <w:color w:val="000000"/>
                <w:sz w:val="16"/>
                <w:szCs w:val="16"/>
                <w:lang w:val="en-GB"/>
              </w:rPr>
            </w:pPr>
          </w:p>
        </w:tc>
        <w:tc>
          <w:tcPr>
            <w:tcW w:w="590" w:type="pct"/>
            <w:vMerge/>
            <w:tcMar>
              <w:top w:w="15" w:type="dxa"/>
              <w:left w:w="108" w:type="dxa"/>
              <w:bottom w:w="0" w:type="dxa"/>
              <w:right w:w="108" w:type="dxa"/>
            </w:tcMar>
          </w:tcPr>
          <w:p w14:paraId="31F2CDD3" w14:textId="77777777" w:rsidR="00DC0132" w:rsidRPr="003C26C1" w:rsidRDefault="00DC0132" w:rsidP="000C3BCD">
            <w:pPr>
              <w:rPr>
                <w:b/>
                <w:color w:val="000000"/>
                <w:sz w:val="16"/>
                <w:szCs w:val="16"/>
              </w:rPr>
            </w:pPr>
          </w:p>
        </w:tc>
      </w:tr>
      <w:tr w:rsidR="00DC0132" w:rsidRPr="003C26C1" w14:paraId="72059150" w14:textId="77777777" w:rsidTr="00943E27">
        <w:tc>
          <w:tcPr>
            <w:tcW w:w="1097" w:type="pct"/>
            <w:vMerge/>
            <w:tcMar>
              <w:top w:w="72" w:type="dxa"/>
              <w:left w:w="144" w:type="dxa"/>
              <w:bottom w:w="72" w:type="dxa"/>
              <w:right w:w="144" w:type="dxa"/>
            </w:tcMar>
          </w:tcPr>
          <w:p w14:paraId="7873E98D" w14:textId="77777777" w:rsidR="00DC0132" w:rsidRPr="003C26C1" w:rsidRDefault="00DC0132" w:rsidP="000C3BCD">
            <w:pPr>
              <w:rPr>
                <w:i/>
                <w:iCs/>
                <w:color w:val="000000"/>
                <w:sz w:val="16"/>
                <w:szCs w:val="16"/>
                <w:lang w:val="en-GB"/>
              </w:rPr>
            </w:pPr>
          </w:p>
        </w:tc>
        <w:tc>
          <w:tcPr>
            <w:tcW w:w="827" w:type="pct"/>
            <w:vMerge/>
          </w:tcPr>
          <w:p w14:paraId="11D3C754" w14:textId="77777777" w:rsidR="00DC0132" w:rsidRPr="003C26C1" w:rsidRDefault="00DC0132" w:rsidP="000C3BCD">
            <w:pPr>
              <w:rPr>
                <w:i/>
                <w:iCs/>
                <w:color w:val="000000"/>
                <w:sz w:val="16"/>
                <w:szCs w:val="16"/>
                <w:lang w:val="en-GB"/>
              </w:rPr>
            </w:pPr>
          </w:p>
        </w:tc>
        <w:tc>
          <w:tcPr>
            <w:tcW w:w="1833" w:type="pct"/>
            <w:tcMar>
              <w:top w:w="72" w:type="dxa"/>
              <w:left w:w="144" w:type="dxa"/>
              <w:bottom w:w="72" w:type="dxa"/>
              <w:right w:w="144" w:type="dxa"/>
            </w:tcMar>
          </w:tcPr>
          <w:p w14:paraId="7E879271" w14:textId="66E765EB" w:rsidR="00DC0132" w:rsidRPr="00A707DB" w:rsidRDefault="00DC0132" w:rsidP="00DC0132">
            <w:pPr>
              <w:spacing w:before="120"/>
              <w:rPr>
                <w:b/>
                <w:bCs/>
                <w:kern w:val="24"/>
                <w:sz w:val="16"/>
                <w:szCs w:val="16"/>
                <w:lang w:eastAsia="en-ZA"/>
              </w:rPr>
            </w:pPr>
            <w:r w:rsidRPr="00A707DB">
              <w:rPr>
                <w:b/>
                <w:bCs/>
                <w:kern w:val="24"/>
                <w:sz w:val="16"/>
                <w:szCs w:val="16"/>
                <w:lang w:eastAsia="en-ZA"/>
              </w:rPr>
              <w:t>Output 2.3.</w:t>
            </w:r>
            <w:r w:rsidR="008C3221">
              <w:rPr>
                <w:b/>
                <w:bCs/>
                <w:kern w:val="24"/>
                <w:sz w:val="16"/>
                <w:szCs w:val="16"/>
                <w:lang w:eastAsia="en-ZA"/>
              </w:rPr>
              <w:t xml:space="preserve"> </w:t>
            </w:r>
            <w:r w:rsidR="008C3221" w:rsidRPr="008C3221">
              <w:rPr>
                <w:bCs/>
                <w:kern w:val="24"/>
                <w:sz w:val="16"/>
                <w:szCs w:val="16"/>
                <w:lang w:eastAsia="en-ZA"/>
              </w:rPr>
              <w:t>r</w:t>
            </w:r>
            <w:r w:rsidRPr="00A707DB">
              <w:rPr>
                <w:bCs/>
                <w:kern w:val="24"/>
                <w:sz w:val="16"/>
                <w:szCs w:val="16"/>
                <w:lang w:eastAsia="en-ZA"/>
              </w:rPr>
              <w:t xml:space="preserve">ural communities are enabled to integrate climate risks in </w:t>
            </w:r>
            <w:r>
              <w:rPr>
                <w:bCs/>
                <w:kern w:val="24"/>
                <w:sz w:val="16"/>
                <w:szCs w:val="16"/>
                <w:lang w:eastAsia="en-ZA"/>
              </w:rPr>
              <w:t>their development plans</w:t>
            </w:r>
          </w:p>
          <w:p w14:paraId="3209F9A1" w14:textId="77777777" w:rsidR="00DC0132" w:rsidRPr="00A707DB" w:rsidRDefault="00DC0132" w:rsidP="00DC0132">
            <w:pPr>
              <w:rPr>
                <w:b/>
                <w:bCs/>
                <w:kern w:val="24"/>
                <w:sz w:val="16"/>
                <w:szCs w:val="16"/>
                <w:lang w:eastAsia="en-ZA"/>
              </w:rPr>
            </w:pPr>
          </w:p>
          <w:p w14:paraId="43BA63A3" w14:textId="1D3EA18A" w:rsidR="00DC0132" w:rsidRPr="00A707DB" w:rsidRDefault="00DC0132" w:rsidP="00DC0132">
            <w:pPr>
              <w:rPr>
                <w:bCs/>
                <w:kern w:val="24"/>
                <w:sz w:val="16"/>
                <w:szCs w:val="16"/>
                <w:lang w:eastAsia="en-ZA"/>
              </w:rPr>
            </w:pPr>
            <w:r w:rsidRPr="00A707DB">
              <w:rPr>
                <w:b/>
                <w:bCs/>
                <w:kern w:val="24"/>
                <w:sz w:val="16"/>
                <w:szCs w:val="16"/>
                <w:lang w:eastAsia="en-ZA"/>
              </w:rPr>
              <w:t>Indicator 2.3.1</w:t>
            </w:r>
            <w:r w:rsidRPr="00A707DB">
              <w:rPr>
                <w:bCs/>
                <w:kern w:val="24"/>
                <w:sz w:val="16"/>
                <w:szCs w:val="16"/>
                <w:lang w:eastAsia="en-ZA"/>
              </w:rPr>
              <w:t xml:space="preserve">. </w:t>
            </w:r>
            <w:r>
              <w:rPr>
                <w:bCs/>
                <w:kern w:val="24"/>
                <w:sz w:val="16"/>
                <w:szCs w:val="16"/>
                <w:lang w:eastAsia="en-ZA"/>
              </w:rPr>
              <w:t xml:space="preserve">5.3.1.  </w:t>
            </w:r>
            <w:r w:rsidR="008C3221">
              <w:rPr>
                <w:bCs/>
                <w:kern w:val="24"/>
                <w:sz w:val="16"/>
                <w:szCs w:val="16"/>
                <w:lang w:eastAsia="en-ZA"/>
              </w:rPr>
              <w:t>n</w:t>
            </w:r>
            <w:r>
              <w:rPr>
                <w:bCs/>
                <w:kern w:val="24"/>
                <w:sz w:val="16"/>
                <w:szCs w:val="16"/>
                <w:lang w:eastAsia="en-ZA"/>
              </w:rPr>
              <w:t>umber of community</w:t>
            </w:r>
            <w:r w:rsidRPr="00340FF0">
              <w:rPr>
                <w:bCs/>
                <w:kern w:val="24"/>
                <w:sz w:val="16"/>
                <w:szCs w:val="16"/>
                <w:lang w:eastAsia="en-ZA"/>
              </w:rPr>
              <w:t xml:space="preserve"> development plans being implemented th</w:t>
            </w:r>
            <w:r>
              <w:rPr>
                <w:bCs/>
                <w:kern w:val="24"/>
                <w:sz w:val="16"/>
                <w:szCs w:val="16"/>
                <w:lang w:eastAsia="en-ZA"/>
              </w:rPr>
              <w:t xml:space="preserve">at explicitly address disaster </w:t>
            </w:r>
            <w:r w:rsidRPr="00340FF0">
              <w:rPr>
                <w:bCs/>
                <w:kern w:val="24"/>
                <w:sz w:val="16"/>
                <w:szCs w:val="16"/>
                <w:lang w:eastAsia="en-ZA"/>
              </w:rPr>
              <w:t>and/or climate risk management, disaggregated by those that are gender responsive</w:t>
            </w:r>
            <w:r>
              <w:rPr>
                <w:bCs/>
                <w:kern w:val="24"/>
                <w:sz w:val="16"/>
                <w:szCs w:val="16"/>
                <w:lang w:eastAsia="en-ZA"/>
              </w:rPr>
              <w:t xml:space="preserve"> (IRRF 5.3.1)</w:t>
            </w:r>
          </w:p>
          <w:p w14:paraId="608D4F5C" w14:textId="77777777" w:rsidR="00DC0132" w:rsidRDefault="00DC0132" w:rsidP="00DC0132">
            <w:pPr>
              <w:rPr>
                <w:b/>
                <w:bCs/>
                <w:kern w:val="24"/>
                <w:sz w:val="16"/>
                <w:szCs w:val="16"/>
                <w:lang w:eastAsia="en-ZA"/>
              </w:rPr>
            </w:pPr>
          </w:p>
          <w:p w14:paraId="282A72E3" w14:textId="06C7DCBD" w:rsidR="00DC0132" w:rsidRPr="00A707DB" w:rsidRDefault="00DC0132" w:rsidP="00DC0132">
            <w:pPr>
              <w:rPr>
                <w:b/>
                <w:bCs/>
                <w:kern w:val="24"/>
                <w:sz w:val="16"/>
                <w:szCs w:val="16"/>
                <w:lang w:eastAsia="en-ZA"/>
              </w:rPr>
            </w:pPr>
            <w:r w:rsidRPr="00A707DB">
              <w:rPr>
                <w:b/>
                <w:bCs/>
                <w:kern w:val="24"/>
                <w:sz w:val="16"/>
                <w:szCs w:val="16"/>
                <w:lang w:eastAsia="en-ZA"/>
              </w:rPr>
              <w:t>Baseline (2015)</w:t>
            </w:r>
            <w:r w:rsidRPr="00A707DB">
              <w:rPr>
                <w:bCs/>
                <w:kern w:val="24"/>
                <w:sz w:val="16"/>
                <w:szCs w:val="16"/>
                <w:lang w:eastAsia="en-ZA"/>
              </w:rPr>
              <w:t xml:space="preserve"> </w:t>
            </w:r>
            <w:r w:rsidR="008C3221">
              <w:rPr>
                <w:bCs/>
                <w:kern w:val="24"/>
                <w:sz w:val="16"/>
                <w:szCs w:val="16"/>
                <w:lang w:eastAsia="en-ZA"/>
              </w:rPr>
              <w:t>nine</w:t>
            </w:r>
            <w:r w:rsidRPr="00A707DB">
              <w:rPr>
                <w:bCs/>
                <w:kern w:val="24"/>
                <w:sz w:val="16"/>
                <w:szCs w:val="16"/>
                <w:lang w:eastAsia="en-ZA"/>
              </w:rPr>
              <w:t xml:space="preserve"> communities in Anseba Region</w:t>
            </w:r>
          </w:p>
          <w:p w14:paraId="7F86289B" w14:textId="77777777" w:rsidR="00DC0132" w:rsidRDefault="00DC0132" w:rsidP="00DC0132">
            <w:pPr>
              <w:rPr>
                <w:b/>
                <w:bCs/>
                <w:kern w:val="24"/>
                <w:sz w:val="16"/>
                <w:szCs w:val="16"/>
                <w:lang w:eastAsia="en-ZA"/>
              </w:rPr>
            </w:pPr>
          </w:p>
          <w:p w14:paraId="58D0C0B6" w14:textId="533D5AE3" w:rsidR="00DC0132" w:rsidRPr="00A707DB" w:rsidRDefault="00DC0132" w:rsidP="00DC0132">
            <w:pPr>
              <w:rPr>
                <w:bCs/>
                <w:kern w:val="24"/>
                <w:sz w:val="16"/>
                <w:szCs w:val="16"/>
                <w:lang w:eastAsia="en-ZA"/>
              </w:rPr>
            </w:pPr>
            <w:r w:rsidRPr="00A707DB">
              <w:rPr>
                <w:b/>
                <w:bCs/>
                <w:kern w:val="24"/>
                <w:sz w:val="16"/>
                <w:szCs w:val="16"/>
                <w:lang w:eastAsia="en-ZA"/>
              </w:rPr>
              <w:t xml:space="preserve">Target (2021): </w:t>
            </w:r>
            <w:r w:rsidRPr="00A707DB">
              <w:rPr>
                <w:bCs/>
                <w:kern w:val="24"/>
                <w:sz w:val="16"/>
                <w:szCs w:val="16"/>
                <w:lang w:eastAsia="en-ZA"/>
              </w:rPr>
              <w:t>200 communities</w:t>
            </w:r>
            <w:r w:rsidRPr="00A707DB">
              <w:rPr>
                <w:b/>
                <w:bCs/>
                <w:kern w:val="24"/>
                <w:sz w:val="16"/>
                <w:szCs w:val="16"/>
                <w:lang w:eastAsia="en-ZA"/>
              </w:rPr>
              <w:t xml:space="preserve"> </w:t>
            </w:r>
            <w:r w:rsidRPr="00A707DB">
              <w:rPr>
                <w:bCs/>
                <w:kern w:val="24"/>
                <w:sz w:val="16"/>
                <w:szCs w:val="16"/>
                <w:lang w:eastAsia="en-ZA"/>
              </w:rPr>
              <w:t>in</w:t>
            </w:r>
            <w:r w:rsidRPr="00A707DB">
              <w:rPr>
                <w:b/>
                <w:bCs/>
                <w:kern w:val="24"/>
                <w:sz w:val="16"/>
                <w:szCs w:val="16"/>
                <w:lang w:eastAsia="en-ZA"/>
              </w:rPr>
              <w:t xml:space="preserve"> </w:t>
            </w:r>
            <w:r w:rsidR="008C3221">
              <w:rPr>
                <w:bCs/>
                <w:kern w:val="24"/>
                <w:sz w:val="16"/>
                <w:szCs w:val="16"/>
                <w:lang w:eastAsia="en-ZA"/>
              </w:rPr>
              <w:t>four</w:t>
            </w:r>
            <w:r w:rsidRPr="00A707DB">
              <w:rPr>
                <w:bCs/>
                <w:kern w:val="24"/>
                <w:sz w:val="16"/>
                <w:szCs w:val="16"/>
                <w:lang w:eastAsia="en-ZA"/>
              </w:rPr>
              <w:t xml:space="preserve"> </w:t>
            </w:r>
            <w:r w:rsidR="008C3221">
              <w:rPr>
                <w:bCs/>
                <w:kern w:val="24"/>
                <w:sz w:val="16"/>
                <w:szCs w:val="16"/>
                <w:lang w:eastAsia="en-ZA"/>
              </w:rPr>
              <w:t>r</w:t>
            </w:r>
            <w:r w:rsidRPr="00A707DB">
              <w:rPr>
                <w:bCs/>
                <w:kern w:val="24"/>
                <w:sz w:val="16"/>
                <w:szCs w:val="16"/>
                <w:lang w:eastAsia="en-ZA"/>
              </w:rPr>
              <w:t>egions (Debub</w:t>
            </w:r>
            <w:r w:rsidR="00852FFB">
              <w:rPr>
                <w:bCs/>
                <w:kern w:val="24"/>
                <w:sz w:val="16"/>
                <w:szCs w:val="16"/>
                <w:lang w:eastAsia="en-ZA"/>
              </w:rPr>
              <w:t xml:space="preserve"> and</w:t>
            </w:r>
            <w:r w:rsidR="00BA5FC7" w:rsidRPr="00A707DB">
              <w:rPr>
                <w:bCs/>
                <w:kern w:val="24"/>
                <w:sz w:val="16"/>
                <w:szCs w:val="16"/>
                <w:lang w:eastAsia="en-ZA"/>
              </w:rPr>
              <w:t xml:space="preserve"> </w:t>
            </w:r>
            <w:r w:rsidR="00852FFB" w:rsidRPr="00852FFB">
              <w:rPr>
                <w:bCs/>
                <w:kern w:val="24"/>
                <w:sz w:val="16"/>
                <w:szCs w:val="16"/>
                <w:lang w:eastAsia="en-ZA"/>
              </w:rPr>
              <w:t>Northern Red Sea</w:t>
            </w:r>
            <w:r w:rsidR="00852FFB">
              <w:rPr>
                <w:bCs/>
                <w:kern w:val="24"/>
                <w:sz w:val="16"/>
                <w:szCs w:val="16"/>
                <w:lang w:eastAsia="en-ZA"/>
              </w:rPr>
              <w:t>,</w:t>
            </w:r>
            <w:r w:rsidR="00852FFB" w:rsidRPr="00852FFB">
              <w:rPr>
                <w:bCs/>
                <w:kern w:val="24"/>
                <w:sz w:val="16"/>
                <w:szCs w:val="16"/>
                <w:lang w:eastAsia="en-ZA"/>
              </w:rPr>
              <w:t xml:space="preserve"> Southern Red Sea</w:t>
            </w:r>
            <w:r w:rsidRPr="00A707DB">
              <w:rPr>
                <w:bCs/>
                <w:kern w:val="24"/>
                <w:sz w:val="16"/>
                <w:szCs w:val="16"/>
                <w:lang w:eastAsia="en-ZA"/>
              </w:rPr>
              <w:t xml:space="preserve">, Gash Barka and Anseba) </w:t>
            </w:r>
          </w:p>
          <w:p w14:paraId="5B7DF070" w14:textId="77777777" w:rsidR="00DC0132" w:rsidRDefault="00DC0132" w:rsidP="00DC0132">
            <w:pPr>
              <w:rPr>
                <w:b/>
                <w:iCs/>
                <w:sz w:val="16"/>
                <w:szCs w:val="16"/>
              </w:rPr>
            </w:pPr>
          </w:p>
          <w:p w14:paraId="097DEF3A" w14:textId="43EB12C4" w:rsidR="00DC0132" w:rsidRPr="00A707DB" w:rsidRDefault="00DC0132" w:rsidP="00DC0132">
            <w:pPr>
              <w:rPr>
                <w:iCs/>
                <w:sz w:val="16"/>
                <w:szCs w:val="16"/>
              </w:rPr>
            </w:pPr>
            <w:r w:rsidRPr="00A707DB">
              <w:rPr>
                <w:b/>
                <w:iCs/>
                <w:sz w:val="16"/>
                <w:szCs w:val="16"/>
              </w:rPr>
              <w:t xml:space="preserve">Data source: </w:t>
            </w:r>
            <w:r w:rsidR="008C3221">
              <w:rPr>
                <w:iCs/>
                <w:sz w:val="16"/>
                <w:szCs w:val="16"/>
              </w:rPr>
              <w:t>r</w:t>
            </w:r>
            <w:r w:rsidRPr="00A707DB">
              <w:rPr>
                <w:iCs/>
                <w:sz w:val="16"/>
                <w:szCs w:val="16"/>
              </w:rPr>
              <w:t>egion/sub-regional reports</w:t>
            </w:r>
            <w:r w:rsidRPr="00A707DB">
              <w:rPr>
                <w:b/>
                <w:iCs/>
                <w:sz w:val="16"/>
                <w:szCs w:val="16"/>
              </w:rPr>
              <w:t xml:space="preserve">; Frequency: </w:t>
            </w:r>
            <w:r w:rsidR="00DA5BAA">
              <w:rPr>
                <w:iCs/>
                <w:sz w:val="16"/>
                <w:szCs w:val="16"/>
              </w:rPr>
              <w:t>a</w:t>
            </w:r>
            <w:r w:rsidRPr="00A707DB">
              <w:rPr>
                <w:iCs/>
                <w:sz w:val="16"/>
                <w:szCs w:val="16"/>
              </w:rPr>
              <w:t>nnual</w:t>
            </w:r>
          </w:p>
          <w:p w14:paraId="3F4F452F" w14:textId="77777777" w:rsidR="00DC0132" w:rsidRPr="00A707DB" w:rsidRDefault="00DC0132" w:rsidP="00DC0132">
            <w:pPr>
              <w:rPr>
                <w:b/>
                <w:iCs/>
                <w:color w:val="0070C0"/>
                <w:sz w:val="16"/>
                <w:szCs w:val="16"/>
              </w:rPr>
            </w:pPr>
          </w:p>
          <w:p w14:paraId="5F1DEFFE" w14:textId="2C3BC19F" w:rsidR="00DC0132" w:rsidRPr="00A707DB" w:rsidRDefault="00DC0132" w:rsidP="00DC0132">
            <w:pPr>
              <w:rPr>
                <w:bCs/>
                <w:kern w:val="24"/>
                <w:sz w:val="16"/>
                <w:szCs w:val="16"/>
                <w:lang w:eastAsia="en-ZA"/>
              </w:rPr>
            </w:pPr>
            <w:r w:rsidRPr="00A707DB">
              <w:rPr>
                <w:b/>
                <w:bCs/>
                <w:kern w:val="24"/>
                <w:sz w:val="16"/>
                <w:szCs w:val="16"/>
                <w:lang w:eastAsia="en-ZA"/>
              </w:rPr>
              <w:t>Indicator 2.3.2</w:t>
            </w:r>
            <w:r w:rsidRPr="00A707DB">
              <w:rPr>
                <w:bCs/>
                <w:kern w:val="24"/>
                <w:sz w:val="16"/>
                <w:szCs w:val="16"/>
                <w:lang w:eastAsia="en-ZA"/>
              </w:rPr>
              <w:t xml:space="preserve">. </w:t>
            </w:r>
            <w:r w:rsidR="00667459">
              <w:rPr>
                <w:bCs/>
                <w:kern w:val="24"/>
                <w:sz w:val="16"/>
                <w:szCs w:val="16"/>
                <w:lang w:eastAsia="en-ZA"/>
              </w:rPr>
              <w:t xml:space="preserve">number </w:t>
            </w:r>
            <w:r w:rsidRPr="00A707DB">
              <w:rPr>
                <w:bCs/>
                <w:kern w:val="24"/>
                <w:sz w:val="16"/>
                <w:szCs w:val="16"/>
                <w:lang w:eastAsia="en-ZA"/>
              </w:rPr>
              <w:t>of targeted communities that have operational and effective integrated water resources management system in place.</w:t>
            </w:r>
          </w:p>
          <w:p w14:paraId="1A8CCDE6" w14:textId="77777777" w:rsidR="00DC0132" w:rsidRDefault="00DC0132" w:rsidP="00DC0132">
            <w:pPr>
              <w:rPr>
                <w:b/>
                <w:bCs/>
                <w:kern w:val="24"/>
                <w:sz w:val="16"/>
                <w:szCs w:val="16"/>
                <w:lang w:eastAsia="en-ZA"/>
              </w:rPr>
            </w:pPr>
          </w:p>
          <w:p w14:paraId="26C3B63D" w14:textId="3CBAF397" w:rsidR="00DC0132" w:rsidRPr="00A707DB" w:rsidRDefault="00DC0132" w:rsidP="00DC0132">
            <w:pPr>
              <w:rPr>
                <w:bCs/>
                <w:kern w:val="24"/>
                <w:sz w:val="16"/>
                <w:szCs w:val="16"/>
                <w:lang w:eastAsia="en-ZA"/>
              </w:rPr>
            </w:pPr>
            <w:r w:rsidRPr="00A707DB">
              <w:rPr>
                <w:b/>
                <w:bCs/>
                <w:kern w:val="24"/>
                <w:sz w:val="16"/>
                <w:szCs w:val="16"/>
                <w:lang w:eastAsia="en-ZA"/>
              </w:rPr>
              <w:t xml:space="preserve">Baseline (2015): </w:t>
            </w:r>
            <w:r w:rsidRPr="00A707DB">
              <w:rPr>
                <w:bCs/>
                <w:kern w:val="24"/>
                <w:sz w:val="16"/>
                <w:szCs w:val="16"/>
                <w:lang w:eastAsia="en-ZA"/>
              </w:rPr>
              <w:t>20 communities in</w:t>
            </w:r>
            <w:r w:rsidRPr="00A707DB">
              <w:rPr>
                <w:b/>
                <w:bCs/>
                <w:kern w:val="24"/>
                <w:sz w:val="16"/>
                <w:szCs w:val="16"/>
                <w:lang w:eastAsia="en-ZA"/>
              </w:rPr>
              <w:t xml:space="preserve"> </w:t>
            </w:r>
            <w:r w:rsidRPr="00A707DB">
              <w:rPr>
                <w:bCs/>
                <w:kern w:val="24"/>
                <w:sz w:val="16"/>
                <w:szCs w:val="16"/>
                <w:lang w:eastAsia="en-ZA"/>
              </w:rPr>
              <w:t>Lamza, Foro, Shieb, Habero and Hamelmalo localities</w:t>
            </w:r>
          </w:p>
          <w:p w14:paraId="3D331927" w14:textId="77777777" w:rsidR="00DC0132" w:rsidRDefault="00DC0132" w:rsidP="00DC0132">
            <w:pPr>
              <w:rPr>
                <w:b/>
                <w:bCs/>
                <w:kern w:val="24"/>
                <w:sz w:val="16"/>
                <w:szCs w:val="16"/>
                <w:lang w:eastAsia="en-ZA"/>
              </w:rPr>
            </w:pPr>
          </w:p>
          <w:p w14:paraId="6C58C295" w14:textId="77777777" w:rsidR="00DC0132" w:rsidRPr="00A707DB" w:rsidRDefault="00DC0132" w:rsidP="00DC0132">
            <w:pPr>
              <w:rPr>
                <w:bCs/>
                <w:kern w:val="24"/>
                <w:sz w:val="16"/>
                <w:szCs w:val="16"/>
                <w:lang w:eastAsia="en-ZA"/>
              </w:rPr>
            </w:pPr>
            <w:r w:rsidRPr="00A707DB">
              <w:rPr>
                <w:b/>
                <w:bCs/>
                <w:kern w:val="24"/>
                <w:sz w:val="16"/>
                <w:szCs w:val="16"/>
                <w:lang w:eastAsia="en-ZA"/>
              </w:rPr>
              <w:lastRenderedPageBreak/>
              <w:t xml:space="preserve">Target (2021): </w:t>
            </w:r>
            <w:r w:rsidRPr="00A707DB">
              <w:rPr>
                <w:bCs/>
                <w:kern w:val="24"/>
                <w:sz w:val="16"/>
                <w:szCs w:val="16"/>
                <w:lang w:eastAsia="en-ZA"/>
              </w:rPr>
              <w:t>175 communities</w:t>
            </w:r>
            <w:r w:rsidRPr="00A707DB">
              <w:rPr>
                <w:b/>
                <w:bCs/>
                <w:kern w:val="24"/>
                <w:sz w:val="16"/>
                <w:szCs w:val="16"/>
                <w:lang w:eastAsia="en-ZA"/>
              </w:rPr>
              <w:t xml:space="preserve"> </w:t>
            </w:r>
            <w:r w:rsidRPr="00A707DB">
              <w:rPr>
                <w:bCs/>
                <w:kern w:val="24"/>
                <w:sz w:val="16"/>
                <w:szCs w:val="16"/>
                <w:lang w:eastAsia="en-ZA"/>
              </w:rPr>
              <w:t xml:space="preserve">in sub-zobas Dubarwa/Tsilima plain, Nakfa, Hamelmalo, Habero, Semenawi and Debubawi Barhri </w:t>
            </w:r>
          </w:p>
          <w:p w14:paraId="242DD108" w14:textId="77777777" w:rsidR="00DC0132" w:rsidRDefault="00DC0132" w:rsidP="00DC0132">
            <w:pPr>
              <w:spacing w:after="120"/>
              <w:rPr>
                <w:b/>
                <w:iCs/>
                <w:sz w:val="16"/>
                <w:szCs w:val="16"/>
              </w:rPr>
            </w:pPr>
          </w:p>
          <w:p w14:paraId="049293CC" w14:textId="39251E0C" w:rsidR="00DC0132" w:rsidRPr="003C26C1" w:rsidRDefault="00DC0132" w:rsidP="00115246">
            <w:pPr>
              <w:rPr>
                <w:i/>
                <w:iCs/>
                <w:color w:val="000000"/>
                <w:sz w:val="16"/>
                <w:szCs w:val="16"/>
                <w:lang w:val="en-GB"/>
              </w:rPr>
            </w:pPr>
            <w:r w:rsidRPr="00A707DB">
              <w:rPr>
                <w:b/>
                <w:iCs/>
                <w:sz w:val="16"/>
                <w:szCs w:val="16"/>
              </w:rPr>
              <w:t xml:space="preserve">Data source: </w:t>
            </w:r>
            <w:r w:rsidR="008C3221">
              <w:rPr>
                <w:iCs/>
                <w:sz w:val="16"/>
                <w:szCs w:val="16"/>
              </w:rPr>
              <w:t>r</w:t>
            </w:r>
            <w:r w:rsidRPr="00A707DB">
              <w:rPr>
                <w:iCs/>
                <w:sz w:val="16"/>
                <w:szCs w:val="16"/>
              </w:rPr>
              <w:t xml:space="preserve">egion/sub-regional reports, </w:t>
            </w:r>
            <w:r w:rsidR="00202104">
              <w:rPr>
                <w:iCs/>
                <w:sz w:val="16"/>
                <w:szCs w:val="16"/>
              </w:rPr>
              <w:t>MLWE</w:t>
            </w:r>
            <w:r w:rsidRPr="00A707DB">
              <w:rPr>
                <w:iCs/>
                <w:sz w:val="16"/>
                <w:szCs w:val="16"/>
              </w:rPr>
              <w:t xml:space="preserve">, </w:t>
            </w:r>
            <w:r w:rsidR="00202104">
              <w:rPr>
                <w:iCs/>
                <w:sz w:val="16"/>
                <w:szCs w:val="16"/>
              </w:rPr>
              <w:t>MoA</w:t>
            </w:r>
            <w:r w:rsidRPr="00A707DB">
              <w:rPr>
                <w:iCs/>
                <w:sz w:val="16"/>
                <w:szCs w:val="16"/>
              </w:rPr>
              <w:t xml:space="preserve">, </w:t>
            </w:r>
            <w:r w:rsidR="00115246">
              <w:rPr>
                <w:iCs/>
                <w:sz w:val="16"/>
                <w:szCs w:val="16"/>
              </w:rPr>
              <w:t>MMR</w:t>
            </w:r>
            <w:r w:rsidRPr="00A707DB">
              <w:rPr>
                <w:iCs/>
                <w:sz w:val="16"/>
                <w:szCs w:val="16"/>
              </w:rPr>
              <w:t>, UNDP</w:t>
            </w:r>
            <w:r w:rsidRPr="00A707DB">
              <w:rPr>
                <w:b/>
                <w:iCs/>
                <w:sz w:val="16"/>
                <w:szCs w:val="16"/>
              </w:rPr>
              <w:t xml:space="preserve">; Frequency: </w:t>
            </w:r>
            <w:r w:rsidR="00E966DD">
              <w:rPr>
                <w:iCs/>
                <w:sz w:val="16"/>
                <w:szCs w:val="16"/>
              </w:rPr>
              <w:t>a</w:t>
            </w:r>
            <w:r w:rsidRPr="00A707DB">
              <w:rPr>
                <w:iCs/>
                <w:sz w:val="16"/>
                <w:szCs w:val="16"/>
              </w:rPr>
              <w:t>nnual</w:t>
            </w:r>
          </w:p>
        </w:tc>
        <w:tc>
          <w:tcPr>
            <w:tcW w:w="653" w:type="pct"/>
          </w:tcPr>
          <w:p w14:paraId="063CA805" w14:textId="3ACA71EA" w:rsidR="00DC0132" w:rsidRPr="003C26C1" w:rsidRDefault="00F45F34" w:rsidP="00852FFB">
            <w:pPr>
              <w:rPr>
                <w:i/>
                <w:iCs/>
                <w:color w:val="000000"/>
                <w:sz w:val="16"/>
                <w:szCs w:val="16"/>
                <w:lang w:val="en-GB"/>
              </w:rPr>
            </w:pPr>
            <w:r>
              <w:rPr>
                <w:sz w:val="16"/>
                <w:szCs w:val="16"/>
              </w:rPr>
              <w:lastRenderedPageBreak/>
              <w:t>MND</w:t>
            </w:r>
            <w:r w:rsidR="000C3BCD" w:rsidRPr="00A707DB">
              <w:rPr>
                <w:sz w:val="16"/>
                <w:szCs w:val="16"/>
              </w:rPr>
              <w:t xml:space="preserve">, UNDP, </w:t>
            </w:r>
            <w:r w:rsidR="00202104">
              <w:rPr>
                <w:sz w:val="16"/>
                <w:szCs w:val="16"/>
              </w:rPr>
              <w:t>MLWE</w:t>
            </w:r>
            <w:r w:rsidR="000C3BCD" w:rsidRPr="00A707DB">
              <w:rPr>
                <w:sz w:val="16"/>
                <w:szCs w:val="16"/>
              </w:rPr>
              <w:t xml:space="preserve">, </w:t>
            </w:r>
            <w:r w:rsidR="00202104">
              <w:rPr>
                <w:sz w:val="16"/>
                <w:szCs w:val="16"/>
              </w:rPr>
              <w:t>MoA</w:t>
            </w:r>
            <w:r w:rsidR="000C3BCD" w:rsidRPr="00A707DB">
              <w:rPr>
                <w:sz w:val="16"/>
                <w:szCs w:val="16"/>
              </w:rPr>
              <w:t xml:space="preserve">, </w:t>
            </w:r>
            <w:r w:rsidR="005915F6">
              <w:rPr>
                <w:sz w:val="16"/>
                <w:szCs w:val="16"/>
              </w:rPr>
              <w:t>MoLG</w:t>
            </w:r>
            <w:r w:rsidR="000C3BCD" w:rsidRPr="00A707DB">
              <w:rPr>
                <w:sz w:val="16"/>
                <w:szCs w:val="16"/>
              </w:rPr>
              <w:t xml:space="preserve"> (</w:t>
            </w:r>
            <w:r w:rsidR="00852FFB">
              <w:rPr>
                <w:sz w:val="16"/>
                <w:szCs w:val="16"/>
              </w:rPr>
              <w:t>Northern Red Sea</w:t>
            </w:r>
            <w:r w:rsidR="000C3BCD" w:rsidRPr="00A707DB">
              <w:rPr>
                <w:sz w:val="16"/>
                <w:szCs w:val="16"/>
              </w:rPr>
              <w:t>, S</w:t>
            </w:r>
            <w:r w:rsidR="00852FFB">
              <w:rPr>
                <w:sz w:val="16"/>
                <w:szCs w:val="16"/>
              </w:rPr>
              <w:t>outhern Red Sea</w:t>
            </w:r>
            <w:r w:rsidR="000C3BCD" w:rsidRPr="00A707DB">
              <w:rPr>
                <w:sz w:val="16"/>
                <w:szCs w:val="16"/>
              </w:rPr>
              <w:t>)</w:t>
            </w:r>
          </w:p>
        </w:tc>
        <w:tc>
          <w:tcPr>
            <w:tcW w:w="590" w:type="pct"/>
            <w:vMerge/>
            <w:tcMar>
              <w:top w:w="15" w:type="dxa"/>
              <w:left w:w="108" w:type="dxa"/>
              <w:bottom w:w="0" w:type="dxa"/>
              <w:right w:w="108" w:type="dxa"/>
            </w:tcMar>
          </w:tcPr>
          <w:p w14:paraId="6006700D" w14:textId="77777777" w:rsidR="00DC0132" w:rsidRPr="003C26C1" w:rsidRDefault="00DC0132" w:rsidP="000C3BCD">
            <w:pPr>
              <w:rPr>
                <w:b/>
                <w:color w:val="000000"/>
                <w:sz w:val="16"/>
                <w:szCs w:val="16"/>
              </w:rPr>
            </w:pPr>
          </w:p>
        </w:tc>
      </w:tr>
      <w:tr w:rsidR="00DC0132" w:rsidRPr="003C26C1" w14:paraId="3F68507D" w14:textId="77777777" w:rsidTr="00943E27">
        <w:tc>
          <w:tcPr>
            <w:tcW w:w="1097" w:type="pct"/>
            <w:vMerge/>
            <w:tcBorders>
              <w:bottom w:val="single" w:sz="4" w:space="0" w:color="auto"/>
            </w:tcBorders>
            <w:tcMar>
              <w:top w:w="72" w:type="dxa"/>
              <w:left w:w="144" w:type="dxa"/>
              <w:bottom w:w="72" w:type="dxa"/>
              <w:right w:w="144" w:type="dxa"/>
            </w:tcMar>
          </w:tcPr>
          <w:p w14:paraId="43B1FD80" w14:textId="77777777" w:rsidR="00DC0132" w:rsidRPr="003C26C1" w:rsidRDefault="00DC0132" w:rsidP="000C3BCD">
            <w:pPr>
              <w:rPr>
                <w:i/>
                <w:iCs/>
                <w:color w:val="000000"/>
                <w:sz w:val="16"/>
                <w:szCs w:val="16"/>
                <w:lang w:val="en-GB"/>
              </w:rPr>
            </w:pPr>
          </w:p>
        </w:tc>
        <w:tc>
          <w:tcPr>
            <w:tcW w:w="827" w:type="pct"/>
            <w:vMerge/>
            <w:tcBorders>
              <w:bottom w:val="single" w:sz="4" w:space="0" w:color="auto"/>
            </w:tcBorders>
          </w:tcPr>
          <w:p w14:paraId="1E57025A" w14:textId="77777777" w:rsidR="00DC0132" w:rsidRPr="003C26C1" w:rsidRDefault="00DC0132" w:rsidP="000C3BCD">
            <w:pPr>
              <w:rPr>
                <w:i/>
                <w:iCs/>
                <w:color w:val="000000"/>
                <w:sz w:val="16"/>
                <w:szCs w:val="16"/>
                <w:lang w:val="en-GB"/>
              </w:rPr>
            </w:pPr>
          </w:p>
        </w:tc>
        <w:tc>
          <w:tcPr>
            <w:tcW w:w="1833" w:type="pct"/>
            <w:tcBorders>
              <w:bottom w:val="single" w:sz="4" w:space="0" w:color="auto"/>
            </w:tcBorders>
            <w:tcMar>
              <w:top w:w="72" w:type="dxa"/>
              <w:left w:w="144" w:type="dxa"/>
              <w:bottom w:w="72" w:type="dxa"/>
              <w:right w:w="144" w:type="dxa"/>
            </w:tcMar>
          </w:tcPr>
          <w:p w14:paraId="7373F243" w14:textId="30CEA2F8" w:rsidR="00DC0132" w:rsidRPr="00A707DB" w:rsidRDefault="00DC0132" w:rsidP="00DC0132">
            <w:pPr>
              <w:spacing w:before="120"/>
              <w:rPr>
                <w:bCs/>
                <w:kern w:val="24"/>
                <w:sz w:val="2"/>
                <w:szCs w:val="16"/>
                <w:lang w:eastAsia="en-ZA"/>
              </w:rPr>
            </w:pPr>
            <w:r w:rsidRPr="00A707DB">
              <w:rPr>
                <w:b/>
                <w:bCs/>
                <w:kern w:val="24"/>
                <w:sz w:val="16"/>
                <w:szCs w:val="16"/>
                <w:lang w:eastAsia="en-ZA"/>
              </w:rPr>
              <w:t>Output 2.4</w:t>
            </w:r>
            <w:r w:rsidRPr="00A707DB">
              <w:rPr>
                <w:bCs/>
                <w:kern w:val="24"/>
                <w:sz w:val="16"/>
                <w:szCs w:val="16"/>
                <w:lang w:eastAsia="en-ZA"/>
              </w:rPr>
              <w:t xml:space="preserve"> </w:t>
            </w:r>
            <w:r w:rsidR="008C3221">
              <w:rPr>
                <w:bCs/>
                <w:kern w:val="24"/>
                <w:sz w:val="16"/>
                <w:szCs w:val="16"/>
                <w:lang w:eastAsia="en-ZA"/>
              </w:rPr>
              <w:t>n</w:t>
            </w:r>
            <w:r w:rsidRPr="00A707DB">
              <w:rPr>
                <w:bCs/>
                <w:kern w:val="24"/>
                <w:sz w:val="16"/>
                <w:szCs w:val="16"/>
                <w:lang w:eastAsia="en-ZA"/>
              </w:rPr>
              <w:t xml:space="preserve">ational, sub-national institutions and communities have </w:t>
            </w:r>
            <w:r>
              <w:rPr>
                <w:bCs/>
                <w:kern w:val="24"/>
                <w:sz w:val="16"/>
                <w:szCs w:val="16"/>
                <w:lang w:eastAsia="en-ZA"/>
              </w:rPr>
              <w:t xml:space="preserve">frameworks and </w:t>
            </w:r>
            <w:r w:rsidRPr="00A707DB">
              <w:rPr>
                <w:bCs/>
                <w:kern w:val="24"/>
                <w:sz w:val="16"/>
                <w:szCs w:val="16"/>
                <w:lang w:eastAsia="en-ZA"/>
              </w:rPr>
              <w:t xml:space="preserve">enhanced capacities to respond to natural disasters </w:t>
            </w:r>
          </w:p>
          <w:p w14:paraId="4221F943" w14:textId="77777777" w:rsidR="00DC0132" w:rsidRDefault="00DC0132" w:rsidP="00DC0132">
            <w:pPr>
              <w:rPr>
                <w:b/>
                <w:bCs/>
                <w:kern w:val="24"/>
                <w:sz w:val="16"/>
                <w:szCs w:val="16"/>
                <w:lang w:eastAsia="en-ZA"/>
              </w:rPr>
            </w:pPr>
          </w:p>
          <w:p w14:paraId="2C64622C" w14:textId="024EC164" w:rsidR="00DC0132" w:rsidRPr="00A707DB" w:rsidRDefault="00DC0132" w:rsidP="00DC0132">
            <w:pPr>
              <w:rPr>
                <w:bCs/>
                <w:kern w:val="24"/>
                <w:sz w:val="16"/>
                <w:szCs w:val="16"/>
                <w:lang w:eastAsia="en-ZA"/>
              </w:rPr>
            </w:pPr>
            <w:r w:rsidRPr="00A707DB">
              <w:rPr>
                <w:b/>
                <w:bCs/>
                <w:kern w:val="24"/>
                <w:sz w:val="16"/>
                <w:szCs w:val="16"/>
                <w:lang w:eastAsia="en-ZA"/>
              </w:rPr>
              <w:t xml:space="preserve">Indicator 2.4.1 </w:t>
            </w:r>
            <w:r w:rsidR="008C3221">
              <w:rPr>
                <w:bCs/>
                <w:kern w:val="24"/>
                <w:sz w:val="16"/>
                <w:szCs w:val="16"/>
                <w:lang w:eastAsia="en-ZA"/>
              </w:rPr>
              <w:t>e</w:t>
            </w:r>
            <w:r w:rsidRPr="00177A93">
              <w:rPr>
                <w:bCs/>
                <w:kern w:val="24"/>
                <w:sz w:val="16"/>
                <w:szCs w:val="16"/>
                <w:lang w:eastAsia="en-ZA"/>
              </w:rPr>
              <w:t>xistence and effectiveness of legislative/or regulatory provisions at national and sub-national levels for managing disa</w:t>
            </w:r>
            <w:r>
              <w:rPr>
                <w:bCs/>
                <w:kern w:val="24"/>
                <w:sz w:val="16"/>
                <w:szCs w:val="16"/>
                <w:lang w:eastAsia="en-ZA"/>
              </w:rPr>
              <w:t xml:space="preserve">ster </w:t>
            </w:r>
            <w:r w:rsidRPr="00177A93">
              <w:rPr>
                <w:bCs/>
                <w:kern w:val="24"/>
                <w:sz w:val="16"/>
                <w:szCs w:val="16"/>
                <w:lang w:eastAsia="en-ZA"/>
              </w:rPr>
              <w:t>and climate risks</w:t>
            </w:r>
            <w:r>
              <w:rPr>
                <w:bCs/>
                <w:kern w:val="24"/>
                <w:sz w:val="16"/>
                <w:szCs w:val="16"/>
                <w:lang w:eastAsia="en-ZA"/>
              </w:rPr>
              <w:t xml:space="preserve"> (IRRF 5.2.2)</w:t>
            </w:r>
          </w:p>
          <w:p w14:paraId="2216FBDE" w14:textId="77777777" w:rsidR="00DC0132" w:rsidRDefault="00DC0132" w:rsidP="00DC0132">
            <w:pPr>
              <w:rPr>
                <w:b/>
                <w:bCs/>
                <w:kern w:val="24"/>
                <w:sz w:val="16"/>
                <w:szCs w:val="16"/>
                <w:lang w:eastAsia="en-ZA"/>
              </w:rPr>
            </w:pPr>
          </w:p>
          <w:p w14:paraId="66C92ADE" w14:textId="011FA831" w:rsidR="00DC0132" w:rsidRPr="00A707DB" w:rsidRDefault="00DC0132" w:rsidP="00DC0132">
            <w:pPr>
              <w:rPr>
                <w:b/>
                <w:bCs/>
                <w:kern w:val="24"/>
                <w:sz w:val="16"/>
                <w:szCs w:val="16"/>
                <w:lang w:eastAsia="en-ZA"/>
              </w:rPr>
            </w:pPr>
            <w:r w:rsidRPr="00A707DB">
              <w:rPr>
                <w:b/>
                <w:bCs/>
                <w:kern w:val="24"/>
                <w:sz w:val="16"/>
                <w:szCs w:val="16"/>
                <w:lang w:eastAsia="en-ZA"/>
              </w:rPr>
              <w:t>Baseline (2015):</w:t>
            </w:r>
            <w:r>
              <w:rPr>
                <w:b/>
                <w:bCs/>
                <w:kern w:val="24"/>
                <w:sz w:val="16"/>
                <w:szCs w:val="16"/>
                <w:lang w:eastAsia="en-ZA"/>
              </w:rPr>
              <w:t xml:space="preserve"> </w:t>
            </w:r>
            <w:r w:rsidRPr="00177A93">
              <w:rPr>
                <w:bCs/>
                <w:kern w:val="24"/>
                <w:sz w:val="16"/>
                <w:szCs w:val="16"/>
                <w:lang w:eastAsia="en-ZA"/>
              </w:rPr>
              <w:t xml:space="preserve">1 – </w:t>
            </w:r>
            <w:r w:rsidR="008C3221">
              <w:rPr>
                <w:bCs/>
                <w:kern w:val="24"/>
                <w:sz w:val="16"/>
                <w:szCs w:val="16"/>
                <w:lang w:eastAsia="en-ZA"/>
              </w:rPr>
              <w:t>n</w:t>
            </w:r>
            <w:r w:rsidRPr="00177A93">
              <w:rPr>
                <w:bCs/>
                <w:kern w:val="24"/>
                <w:sz w:val="16"/>
                <w:szCs w:val="16"/>
                <w:lang w:eastAsia="en-ZA"/>
              </w:rPr>
              <w:t>ot adequate</w:t>
            </w:r>
            <w:r w:rsidRPr="00A707DB">
              <w:rPr>
                <w:b/>
                <w:bCs/>
                <w:kern w:val="24"/>
                <w:sz w:val="16"/>
                <w:szCs w:val="16"/>
                <w:lang w:eastAsia="en-ZA"/>
              </w:rPr>
              <w:t>; Target (2021):</w:t>
            </w:r>
            <w:r>
              <w:rPr>
                <w:bCs/>
                <w:kern w:val="24"/>
                <w:sz w:val="16"/>
                <w:szCs w:val="16"/>
                <w:lang w:eastAsia="en-ZA"/>
              </w:rPr>
              <w:t xml:space="preserve"> 4 – </w:t>
            </w:r>
            <w:r w:rsidR="008C3221">
              <w:rPr>
                <w:bCs/>
                <w:kern w:val="24"/>
                <w:sz w:val="16"/>
                <w:szCs w:val="16"/>
                <w:lang w:eastAsia="en-ZA"/>
              </w:rPr>
              <w:t>l</w:t>
            </w:r>
            <w:r>
              <w:rPr>
                <w:bCs/>
                <w:kern w:val="24"/>
                <w:sz w:val="16"/>
                <w:szCs w:val="16"/>
                <w:lang w:eastAsia="en-ZA"/>
              </w:rPr>
              <w:t>argely/fully</w:t>
            </w:r>
          </w:p>
          <w:p w14:paraId="4E7E81D4" w14:textId="77777777" w:rsidR="00DC0132" w:rsidRDefault="00DC0132" w:rsidP="00DC0132">
            <w:pPr>
              <w:rPr>
                <w:b/>
                <w:iCs/>
                <w:sz w:val="16"/>
                <w:szCs w:val="16"/>
              </w:rPr>
            </w:pPr>
          </w:p>
          <w:p w14:paraId="66479388" w14:textId="68CEED0D" w:rsidR="00DC0132" w:rsidRPr="00A707DB" w:rsidRDefault="00DC0132" w:rsidP="00DC0132">
            <w:pPr>
              <w:rPr>
                <w:iCs/>
                <w:sz w:val="16"/>
                <w:szCs w:val="16"/>
              </w:rPr>
            </w:pPr>
            <w:r w:rsidRPr="00A707DB">
              <w:rPr>
                <w:b/>
                <w:iCs/>
                <w:sz w:val="16"/>
                <w:szCs w:val="16"/>
              </w:rPr>
              <w:t xml:space="preserve">Data source: </w:t>
            </w:r>
            <w:r w:rsidR="00115246" w:rsidRPr="00115246">
              <w:rPr>
                <w:iCs/>
                <w:sz w:val="16"/>
                <w:szCs w:val="16"/>
              </w:rPr>
              <w:t>MLHW</w:t>
            </w:r>
            <w:r w:rsidRPr="00A707DB">
              <w:rPr>
                <w:iCs/>
                <w:sz w:val="16"/>
                <w:szCs w:val="16"/>
              </w:rPr>
              <w:t xml:space="preserve">, </w:t>
            </w:r>
            <w:r w:rsidR="00115246">
              <w:rPr>
                <w:iCs/>
                <w:sz w:val="16"/>
                <w:szCs w:val="16"/>
              </w:rPr>
              <w:t xml:space="preserve"> </w:t>
            </w:r>
            <w:r w:rsidR="00202104">
              <w:rPr>
                <w:iCs/>
                <w:sz w:val="16"/>
                <w:szCs w:val="16"/>
              </w:rPr>
              <w:t>MoA</w:t>
            </w:r>
            <w:r w:rsidRPr="00A707DB">
              <w:rPr>
                <w:iCs/>
                <w:sz w:val="16"/>
                <w:szCs w:val="16"/>
              </w:rPr>
              <w:t xml:space="preserve">, </w:t>
            </w:r>
            <w:r w:rsidR="00F45F34">
              <w:rPr>
                <w:iCs/>
                <w:sz w:val="16"/>
                <w:szCs w:val="16"/>
              </w:rPr>
              <w:t>MND</w:t>
            </w:r>
            <w:r w:rsidRPr="00A707DB">
              <w:rPr>
                <w:iCs/>
                <w:sz w:val="16"/>
                <w:szCs w:val="16"/>
              </w:rPr>
              <w:t xml:space="preserve">; </w:t>
            </w:r>
            <w:r w:rsidRPr="00A707DB">
              <w:rPr>
                <w:b/>
                <w:iCs/>
                <w:sz w:val="16"/>
                <w:szCs w:val="16"/>
              </w:rPr>
              <w:t xml:space="preserve">Frequency: </w:t>
            </w:r>
            <w:r w:rsidR="00E966DD">
              <w:rPr>
                <w:iCs/>
                <w:sz w:val="16"/>
                <w:szCs w:val="16"/>
              </w:rPr>
              <w:t>a</w:t>
            </w:r>
            <w:r w:rsidRPr="00A707DB">
              <w:rPr>
                <w:iCs/>
                <w:sz w:val="16"/>
                <w:szCs w:val="16"/>
              </w:rPr>
              <w:t>nnual</w:t>
            </w:r>
          </w:p>
          <w:p w14:paraId="62F3A95D" w14:textId="77777777" w:rsidR="00DC0132" w:rsidRPr="00A707DB" w:rsidRDefault="00DC0132" w:rsidP="00DC0132">
            <w:pPr>
              <w:rPr>
                <w:iCs/>
                <w:sz w:val="16"/>
                <w:szCs w:val="16"/>
              </w:rPr>
            </w:pPr>
          </w:p>
          <w:p w14:paraId="38B53046" w14:textId="710C63CF" w:rsidR="00DC0132" w:rsidRDefault="00DC0132" w:rsidP="00DC0132">
            <w:pPr>
              <w:rPr>
                <w:bCs/>
                <w:kern w:val="24"/>
                <w:sz w:val="16"/>
                <w:szCs w:val="16"/>
                <w:lang w:eastAsia="en-ZA"/>
              </w:rPr>
            </w:pPr>
            <w:r w:rsidRPr="00A707DB">
              <w:rPr>
                <w:b/>
                <w:bCs/>
                <w:kern w:val="24"/>
                <w:sz w:val="16"/>
                <w:szCs w:val="16"/>
                <w:lang w:eastAsia="en-ZA"/>
              </w:rPr>
              <w:t>Indicator 2.4.2</w:t>
            </w:r>
            <w:r w:rsidR="008C3221">
              <w:rPr>
                <w:b/>
                <w:bCs/>
                <w:kern w:val="24"/>
                <w:sz w:val="16"/>
                <w:szCs w:val="16"/>
                <w:lang w:eastAsia="en-ZA"/>
              </w:rPr>
              <w:t xml:space="preserve"> </w:t>
            </w:r>
            <w:r w:rsidR="008C3221">
              <w:rPr>
                <w:bCs/>
                <w:kern w:val="24"/>
                <w:sz w:val="16"/>
                <w:szCs w:val="16"/>
                <w:lang w:eastAsia="en-ZA"/>
              </w:rPr>
              <w:t>n</w:t>
            </w:r>
            <w:r w:rsidRPr="00B32A8C">
              <w:rPr>
                <w:bCs/>
                <w:kern w:val="24"/>
                <w:sz w:val="16"/>
                <w:szCs w:val="16"/>
                <w:lang w:eastAsia="en-ZA"/>
              </w:rPr>
              <w:t xml:space="preserve">umber of </w:t>
            </w:r>
            <w:r>
              <w:rPr>
                <w:bCs/>
                <w:kern w:val="24"/>
                <w:sz w:val="16"/>
                <w:szCs w:val="16"/>
                <w:lang w:eastAsia="en-ZA"/>
              </w:rPr>
              <w:t>(regions</w:t>
            </w:r>
            <w:r w:rsidRPr="00B32A8C">
              <w:rPr>
                <w:bCs/>
                <w:kern w:val="24"/>
                <w:sz w:val="16"/>
                <w:szCs w:val="16"/>
                <w:lang w:eastAsia="en-ZA"/>
              </w:rPr>
              <w:t xml:space="preserve"> with</w:t>
            </w:r>
            <w:r>
              <w:rPr>
                <w:bCs/>
                <w:kern w:val="24"/>
                <w:sz w:val="16"/>
                <w:szCs w:val="16"/>
                <w:lang w:eastAsia="en-ZA"/>
              </w:rPr>
              <w:t>)</w:t>
            </w:r>
            <w:r w:rsidRPr="00B32A8C">
              <w:rPr>
                <w:bCs/>
                <w:kern w:val="24"/>
                <w:sz w:val="16"/>
                <w:szCs w:val="16"/>
                <w:lang w:eastAsia="en-ZA"/>
              </w:rPr>
              <w:t xml:space="preserve"> end-to-end early warning systems for man-made crisis and all major natural hazards (e.g. geo-physical and climate-induced hazards)</w:t>
            </w:r>
            <w:r>
              <w:rPr>
                <w:bCs/>
                <w:kern w:val="24"/>
                <w:sz w:val="16"/>
                <w:szCs w:val="16"/>
                <w:lang w:eastAsia="en-ZA"/>
              </w:rPr>
              <w:t xml:space="preserve"> (IRRF 5.4.1)</w:t>
            </w:r>
            <w:r w:rsidRPr="00B32A8C">
              <w:rPr>
                <w:bCs/>
                <w:kern w:val="24"/>
                <w:sz w:val="16"/>
                <w:szCs w:val="16"/>
                <w:lang w:eastAsia="en-ZA"/>
              </w:rPr>
              <w:t xml:space="preserve"> </w:t>
            </w:r>
          </w:p>
          <w:p w14:paraId="1A09BEF4" w14:textId="77777777" w:rsidR="00DC0132" w:rsidRDefault="00DC0132" w:rsidP="00DC0132">
            <w:pPr>
              <w:rPr>
                <w:bCs/>
                <w:kern w:val="24"/>
                <w:sz w:val="16"/>
                <w:szCs w:val="16"/>
                <w:lang w:eastAsia="en-ZA"/>
              </w:rPr>
            </w:pPr>
          </w:p>
          <w:p w14:paraId="02EF6219" w14:textId="5BF23915" w:rsidR="00DC0132" w:rsidRPr="00A707DB" w:rsidRDefault="00DC0132" w:rsidP="00DC0132">
            <w:pPr>
              <w:rPr>
                <w:bCs/>
                <w:kern w:val="24"/>
                <w:sz w:val="16"/>
                <w:szCs w:val="16"/>
                <w:lang w:eastAsia="en-ZA"/>
              </w:rPr>
            </w:pPr>
            <w:r w:rsidRPr="00A707DB">
              <w:rPr>
                <w:b/>
                <w:bCs/>
                <w:kern w:val="24"/>
                <w:sz w:val="16"/>
                <w:szCs w:val="16"/>
                <w:lang w:eastAsia="en-ZA"/>
              </w:rPr>
              <w:t xml:space="preserve">Baseline (2015): </w:t>
            </w:r>
            <w:r w:rsidRPr="00A707DB">
              <w:rPr>
                <w:bCs/>
                <w:kern w:val="24"/>
                <w:sz w:val="16"/>
                <w:szCs w:val="16"/>
                <w:lang w:eastAsia="en-ZA"/>
              </w:rPr>
              <w:t xml:space="preserve">0; </w:t>
            </w:r>
            <w:r w:rsidRPr="00A707DB">
              <w:rPr>
                <w:b/>
                <w:bCs/>
                <w:kern w:val="24"/>
                <w:sz w:val="16"/>
                <w:szCs w:val="16"/>
                <w:lang w:eastAsia="en-ZA"/>
              </w:rPr>
              <w:t xml:space="preserve">Target (2021): </w:t>
            </w:r>
            <w:r w:rsidRPr="00A707DB">
              <w:rPr>
                <w:bCs/>
                <w:kern w:val="24"/>
                <w:sz w:val="16"/>
                <w:szCs w:val="16"/>
                <w:lang w:eastAsia="en-ZA"/>
              </w:rPr>
              <w:t>2 (</w:t>
            </w:r>
            <w:r w:rsidR="00852FFB" w:rsidRPr="00852FFB">
              <w:rPr>
                <w:bCs/>
                <w:kern w:val="24"/>
                <w:sz w:val="16"/>
                <w:szCs w:val="16"/>
                <w:lang w:eastAsia="en-ZA"/>
              </w:rPr>
              <w:t>Northern Red Sea, Southern Red Sea</w:t>
            </w:r>
            <w:r w:rsidRPr="00A707DB">
              <w:rPr>
                <w:bCs/>
                <w:kern w:val="24"/>
                <w:sz w:val="16"/>
                <w:szCs w:val="16"/>
                <w:lang w:eastAsia="en-ZA"/>
              </w:rPr>
              <w:t xml:space="preserve">) and </w:t>
            </w:r>
            <w:r w:rsidR="008C3221">
              <w:rPr>
                <w:bCs/>
                <w:kern w:val="24"/>
                <w:sz w:val="16"/>
                <w:szCs w:val="16"/>
                <w:lang w:eastAsia="en-ZA"/>
              </w:rPr>
              <w:t>eight</w:t>
            </w:r>
            <w:r w:rsidRPr="00A707DB">
              <w:rPr>
                <w:bCs/>
                <w:kern w:val="24"/>
                <w:sz w:val="16"/>
                <w:szCs w:val="16"/>
                <w:lang w:eastAsia="en-ZA"/>
              </w:rPr>
              <w:t xml:space="preserve"> sub-regions</w:t>
            </w:r>
          </w:p>
          <w:p w14:paraId="34930930" w14:textId="77777777" w:rsidR="00DC0132" w:rsidRDefault="00DC0132" w:rsidP="00DC0132">
            <w:pPr>
              <w:rPr>
                <w:b/>
                <w:iCs/>
                <w:sz w:val="16"/>
                <w:szCs w:val="16"/>
              </w:rPr>
            </w:pPr>
          </w:p>
          <w:p w14:paraId="0B01EAED" w14:textId="69AF0A11" w:rsidR="00DC0132" w:rsidRPr="003C26C1" w:rsidRDefault="00DC0132" w:rsidP="00202104">
            <w:pPr>
              <w:rPr>
                <w:i/>
                <w:iCs/>
                <w:color w:val="000000"/>
                <w:sz w:val="16"/>
                <w:szCs w:val="16"/>
                <w:lang w:val="en-GB"/>
              </w:rPr>
            </w:pPr>
            <w:r w:rsidRPr="00A707DB">
              <w:rPr>
                <w:b/>
                <w:iCs/>
                <w:sz w:val="16"/>
                <w:szCs w:val="16"/>
              </w:rPr>
              <w:t xml:space="preserve">Data source: </w:t>
            </w:r>
            <w:r w:rsidR="00115246" w:rsidRPr="00115246">
              <w:rPr>
                <w:iCs/>
                <w:sz w:val="16"/>
                <w:szCs w:val="16"/>
              </w:rPr>
              <w:t>MLHW</w:t>
            </w:r>
            <w:r w:rsidRPr="00A707DB">
              <w:rPr>
                <w:iCs/>
                <w:sz w:val="16"/>
                <w:szCs w:val="16"/>
              </w:rPr>
              <w:t xml:space="preserve">, </w:t>
            </w:r>
            <w:r w:rsidR="00202104">
              <w:rPr>
                <w:iCs/>
                <w:sz w:val="16"/>
                <w:szCs w:val="16"/>
              </w:rPr>
              <w:t>MoA</w:t>
            </w:r>
            <w:r w:rsidRPr="00A707DB">
              <w:rPr>
                <w:iCs/>
                <w:sz w:val="16"/>
                <w:szCs w:val="16"/>
              </w:rPr>
              <w:t xml:space="preserve">, </w:t>
            </w:r>
            <w:r w:rsidR="00F45F34">
              <w:rPr>
                <w:iCs/>
                <w:sz w:val="16"/>
                <w:szCs w:val="16"/>
              </w:rPr>
              <w:t>MND</w:t>
            </w:r>
            <w:r w:rsidRPr="00A707DB">
              <w:rPr>
                <w:iCs/>
                <w:sz w:val="16"/>
                <w:szCs w:val="16"/>
              </w:rPr>
              <w:t xml:space="preserve">; </w:t>
            </w:r>
            <w:r w:rsidRPr="00A707DB">
              <w:rPr>
                <w:b/>
                <w:iCs/>
                <w:sz w:val="16"/>
                <w:szCs w:val="16"/>
              </w:rPr>
              <w:t xml:space="preserve">Frequency: </w:t>
            </w:r>
            <w:r w:rsidR="00E966DD">
              <w:rPr>
                <w:iCs/>
                <w:sz w:val="16"/>
                <w:szCs w:val="16"/>
              </w:rPr>
              <w:t>a</w:t>
            </w:r>
            <w:r>
              <w:rPr>
                <w:iCs/>
                <w:sz w:val="16"/>
                <w:szCs w:val="16"/>
              </w:rPr>
              <w:t>nnual</w:t>
            </w:r>
          </w:p>
        </w:tc>
        <w:tc>
          <w:tcPr>
            <w:tcW w:w="653" w:type="pct"/>
            <w:tcBorders>
              <w:bottom w:val="single" w:sz="4" w:space="0" w:color="auto"/>
            </w:tcBorders>
          </w:tcPr>
          <w:p w14:paraId="35059EDC" w14:textId="13B40D2C" w:rsidR="000C3BCD" w:rsidRPr="00A707DB" w:rsidRDefault="00202104" w:rsidP="000C3BCD">
            <w:pPr>
              <w:spacing w:before="120"/>
              <w:rPr>
                <w:bCs/>
                <w:color w:val="000000" w:themeColor="text1"/>
                <w:kern w:val="24"/>
                <w:sz w:val="16"/>
                <w:szCs w:val="16"/>
                <w:lang w:val="en-ZA" w:eastAsia="en-ZA"/>
              </w:rPr>
            </w:pPr>
            <w:r>
              <w:rPr>
                <w:bCs/>
                <w:color w:val="000000" w:themeColor="text1"/>
                <w:kern w:val="24"/>
                <w:sz w:val="16"/>
                <w:szCs w:val="16"/>
                <w:lang w:val="en-ZA" w:eastAsia="en-ZA"/>
              </w:rPr>
              <w:t>MLWE</w:t>
            </w:r>
            <w:r w:rsidR="000C3BCD" w:rsidRPr="00A707DB">
              <w:rPr>
                <w:bCs/>
                <w:color w:val="000000" w:themeColor="text1"/>
                <w:kern w:val="24"/>
                <w:sz w:val="16"/>
                <w:szCs w:val="16"/>
                <w:lang w:val="en-ZA" w:eastAsia="en-ZA"/>
              </w:rPr>
              <w:t xml:space="preserve">, </w:t>
            </w:r>
            <w:r w:rsidR="00F45F34">
              <w:rPr>
                <w:bCs/>
                <w:color w:val="000000" w:themeColor="text1"/>
                <w:kern w:val="24"/>
                <w:sz w:val="16"/>
                <w:szCs w:val="16"/>
                <w:lang w:val="en-ZA" w:eastAsia="en-ZA"/>
              </w:rPr>
              <w:t>MND</w:t>
            </w:r>
            <w:r w:rsidR="000C3BCD" w:rsidRPr="00A707DB">
              <w:rPr>
                <w:bCs/>
                <w:color w:val="000000" w:themeColor="text1"/>
                <w:kern w:val="24"/>
                <w:sz w:val="16"/>
                <w:szCs w:val="16"/>
                <w:lang w:val="en-ZA" w:eastAsia="en-ZA"/>
              </w:rPr>
              <w:t xml:space="preserve">, </w:t>
            </w:r>
            <w:r>
              <w:rPr>
                <w:bCs/>
                <w:color w:val="000000" w:themeColor="text1"/>
                <w:kern w:val="24"/>
                <w:sz w:val="16"/>
                <w:szCs w:val="16"/>
                <w:lang w:val="en-ZA" w:eastAsia="en-ZA"/>
              </w:rPr>
              <w:t>MoA</w:t>
            </w:r>
            <w:r w:rsidR="000C3BCD" w:rsidRPr="00A707DB">
              <w:rPr>
                <w:bCs/>
                <w:color w:val="000000" w:themeColor="text1"/>
                <w:kern w:val="24"/>
                <w:sz w:val="16"/>
                <w:szCs w:val="16"/>
                <w:lang w:val="en-ZA" w:eastAsia="en-ZA"/>
              </w:rPr>
              <w:t xml:space="preserve">, </w:t>
            </w:r>
            <w:r w:rsidR="005915F6" w:rsidRPr="005915F6">
              <w:rPr>
                <w:bCs/>
                <w:color w:val="000000" w:themeColor="text1"/>
                <w:kern w:val="24"/>
                <w:sz w:val="16"/>
                <w:szCs w:val="16"/>
                <w:lang w:val="en-ZA" w:eastAsia="en-ZA"/>
              </w:rPr>
              <w:t>MOEM</w:t>
            </w:r>
            <w:r w:rsidR="000C3BCD" w:rsidRPr="00A707DB">
              <w:rPr>
                <w:bCs/>
                <w:color w:val="000000" w:themeColor="text1"/>
                <w:kern w:val="24"/>
                <w:sz w:val="16"/>
                <w:szCs w:val="16"/>
                <w:lang w:val="en-ZA" w:eastAsia="en-ZA"/>
              </w:rPr>
              <w:t xml:space="preserve">, </w:t>
            </w:r>
            <w:r w:rsidR="00115246">
              <w:rPr>
                <w:bCs/>
                <w:color w:val="000000" w:themeColor="text1"/>
                <w:kern w:val="24"/>
                <w:sz w:val="16"/>
                <w:szCs w:val="16"/>
                <w:lang w:val="en-ZA" w:eastAsia="en-ZA"/>
              </w:rPr>
              <w:t>MMR</w:t>
            </w:r>
          </w:p>
          <w:p w14:paraId="33AC2C00" w14:textId="77777777" w:rsidR="000C3BCD" w:rsidRPr="00A707DB" w:rsidRDefault="000C3BCD" w:rsidP="000C3BCD">
            <w:pPr>
              <w:rPr>
                <w:bCs/>
                <w:color w:val="000000" w:themeColor="text1"/>
                <w:kern w:val="24"/>
                <w:sz w:val="16"/>
                <w:szCs w:val="16"/>
                <w:lang w:val="en-ZA" w:eastAsia="en-ZA"/>
              </w:rPr>
            </w:pPr>
          </w:p>
          <w:p w14:paraId="6F20B9D0" w14:textId="17F4BAD1" w:rsidR="000C3BCD" w:rsidRPr="00A707DB" w:rsidRDefault="00BA5FC7" w:rsidP="000C3BCD">
            <w:pPr>
              <w:rPr>
                <w:bCs/>
                <w:color w:val="000000" w:themeColor="text1"/>
                <w:kern w:val="24"/>
                <w:sz w:val="16"/>
                <w:szCs w:val="16"/>
                <w:lang w:val="en-ZA" w:eastAsia="en-ZA"/>
              </w:rPr>
            </w:pPr>
            <w:r>
              <w:rPr>
                <w:bCs/>
                <w:color w:val="000000" w:themeColor="text1"/>
                <w:kern w:val="24"/>
                <w:sz w:val="16"/>
                <w:szCs w:val="16"/>
                <w:lang w:val="en-ZW" w:eastAsia="en-ZA"/>
              </w:rPr>
              <w:t>FAO</w:t>
            </w:r>
            <w:r w:rsidR="000C3BCD" w:rsidRPr="00A707DB">
              <w:rPr>
                <w:bCs/>
                <w:color w:val="000000" w:themeColor="text1"/>
                <w:kern w:val="24"/>
                <w:sz w:val="16"/>
                <w:szCs w:val="16"/>
                <w:lang w:val="en-ZA" w:eastAsia="en-ZA"/>
              </w:rPr>
              <w:t xml:space="preserve">, UNICEF, </w:t>
            </w:r>
            <w:r w:rsidR="008B0331">
              <w:rPr>
                <w:bCs/>
                <w:color w:val="000000" w:themeColor="text1"/>
                <w:kern w:val="24"/>
                <w:sz w:val="16"/>
                <w:szCs w:val="16"/>
                <w:lang w:val="en-ZW" w:eastAsia="en-ZA"/>
              </w:rPr>
              <w:t>UNIDO</w:t>
            </w:r>
            <w:r w:rsidR="000C3BCD" w:rsidRPr="00A707DB">
              <w:rPr>
                <w:bCs/>
                <w:color w:val="000000" w:themeColor="text1"/>
                <w:kern w:val="24"/>
                <w:sz w:val="16"/>
                <w:szCs w:val="16"/>
                <w:lang w:val="en-ZA" w:eastAsia="en-ZA"/>
              </w:rPr>
              <w:t>, GEF, A</w:t>
            </w:r>
            <w:r w:rsidR="00852FFB">
              <w:rPr>
                <w:bCs/>
                <w:color w:val="000000" w:themeColor="text1"/>
                <w:kern w:val="24"/>
                <w:sz w:val="16"/>
                <w:szCs w:val="16"/>
                <w:lang w:val="en-ZA" w:eastAsia="en-ZA"/>
              </w:rPr>
              <w:t xml:space="preserve">daptation </w:t>
            </w:r>
            <w:r w:rsidR="000C3BCD" w:rsidRPr="00A707DB">
              <w:rPr>
                <w:bCs/>
                <w:color w:val="000000" w:themeColor="text1"/>
                <w:kern w:val="24"/>
                <w:sz w:val="16"/>
                <w:szCs w:val="16"/>
                <w:lang w:val="en-ZA" w:eastAsia="en-ZA"/>
              </w:rPr>
              <w:t>F</w:t>
            </w:r>
            <w:r w:rsidR="00852FFB">
              <w:rPr>
                <w:bCs/>
                <w:color w:val="000000" w:themeColor="text1"/>
                <w:kern w:val="24"/>
                <w:sz w:val="16"/>
                <w:szCs w:val="16"/>
                <w:lang w:val="en-ZA" w:eastAsia="en-ZA"/>
              </w:rPr>
              <w:t>und</w:t>
            </w:r>
            <w:r w:rsidR="000C3BCD" w:rsidRPr="00A707DB">
              <w:rPr>
                <w:bCs/>
                <w:color w:val="000000" w:themeColor="text1"/>
                <w:kern w:val="24"/>
                <w:sz w:val="16"/>
                <w:szCs w:val="16"/>
                <w:lang w:val="en-ZA" w:eastAsia="en-ZA"/>
              </w:rPr>
              <w:t xml:space="preserve">, </w:t>
            </w:r>
            <w:r w:rsidR="00A67C4C" w:rsidRPr="00A67C4C">
              <w:rPr>
                <w:bCs/>
                <w:color w:val="000000" w:themeColor="text1"/>
                <w:kern w:val="24"/>
                <w:sz w:val="16"/>
                <w:szCs w:val="16"/>
                <w:lang w:val="en-ZW" w:eastAsia="en-ZA"/>
              </w:rPr>
              <w:t>NUEW</w:t>
            </w:r>
            <w:r w:rsidR="000C3BCD" w:rsidRPr="00A707DB">
              <w:rPr>
                <w:bCs/>
                <w:color w:val="000000" w:themeColor="text1"/>
                <w:kern w:val="24"/>
                <w:sz w:val="16"/>
                <w:szCs w:val="16"/>
                <w:lang w:val="en-ZA" w:eastAsia="en-ZA"/>
              </w:rPr>
              <w:t>, G</w:t>
            </w:r>
            <w:r w:rsidR="00852FFB">
              <w:rPr>
                <w:bCs/>
                <w:color w:val="000000" w:themeColor="text1"/>
                <w:kern w:val="24"/>
                <w:sz w:val="16"/>
                <w:szCs w:val="16"/>
                <w:lang w:val="en-ZA" w:eastAsia="en-ZA"/>
              </w:rPr>
              <w:t xml:space="preserve">reen </w:t>
            </w:r>
            <w:r w:rsidR="000C3BCD" w:rsidRPr="00A707DB">
              <w:rPr>
                <w:bCs/>
                <w:color w:val="000000" w:themeColor="text1"/>
                <w:kern w:val="24"/>
                <w:sz w:val="16"/>
                <w:szCs w:val="16"/>
                <w:lang w:val="en-ZA" w:eastAsia="en-ZA"/>
              </w:rPr>
              <w:t>C</w:t>
            </w:r>
            <w:r w:rsidR="00852FFB">
              <w:rPr>
                <w:bCs/>
                <w:color w:val="000000" w:themeColor="text1"/>
                <w:kern w:val="24"/>
                <w:sz w:val="16"/>
                <w:szCs w:val="16"/>
                <w:lang w:val="en-ZA" w:eastAsia="en-ZA"/>
              </w:rPr>
              <w:t xml:space="preserve">limate </w:t>
            </w:r>
            <w:r w:rsidR="000C3BCD" w:rsidRPr="00A707DB">
              <w:rPr>
                <w:bCs/>
                <w:color w:val="000000" w:themeColor="text1"/>
                <w:kern w:val="24"/>
                <w:sz w:val="16"/>
                <w:szCs w:val="16"/>
                <w:lang w:val="en-ZA" w:eastAsia="en-ZA"/>
              </w:rPr>
              <w:t>F</w:t>
            </w:r>
            <w:r w:rsidR="00852FFB">
              <w:rPr>
                <w:bCs/>
                <w:color w:val="000000" w:themeColor="text1"/>
                <w:kern w:val="24"/>
                <w:sz w:val="16"/>
                <w:szCs w:val="16"/>
                <w:lang w:val="en-ZA" w:eastAsia="en-ZA"/>
              </w:rPr>
              <w:t>und</w:t>
            </w:r>
            <w:r w:rsidR="000C3BCD" w:rsidRPr="00A707DB">
              <w:rPr>
                <w:bCs/>
                <w:color w:val="000000" w:themeColor="text1"/>
                <w:kern w:val="24"/>
                <w:sz w:val="16"/>
                <w:szCs w:val="16"/>
                <w:lang w:val="en-ZA" w:eastAsia="en-ZA"/>
              </w:rPr>
              <w:t xml:space="preserve">, </w:t>
            </w:r>
            <w:r w:rsidR="008363B6" w:rsidRPr="008363B6">
              <w:rPr>
                <w:bCs/>
                <w:iCs/>
                <w:color w:val="000000" w:themeColor="text1"/>
                <w:kern w:val="24"/>
                <w:sz w:val="16"/>
                <w:szCs w:val="16"/>
                <w:lang w:eastAsia="en-ZA"/>
              </w:rPr>
              <w:t>NUEYS</w:t>
            </w:r>
          </w:p>
          <w:p w14:paraId="639E2A5C" w14:textId="77777777" w:rsidR="00DC0132" w:rsidRPr="003C26C1" w:rsidRDefault="00DC0132" w:rsidP="000C3BCD">
            <w:pPr>
              <w:rPr>
                <w:i/>
                <w:iCs/>
                <w:color w:val="000000"/>
                <w:sz w:val="16"/>
                <w:szCs w:val="16"/>
                <w:lang w:val="en-GB"/>
              </w:rPr>
            </w:pPr>
          </w:p>
        </w:tc>
        <w:tc>
          <w:tcPr>
            <w:tcW w:w="590" w:type="pct"/>
            <w:vMerge/>
            <w:tcBorders>
              <w:bottom w:val="single" w:sz="4" w:space="0" w:color="auto"/>
            </w:tcBorders>
            <w:tcMar>
              <w:top w:w="15" w:type="dxa"/>
              <w:left w:w="108" w:type="dxa"/>
              <w:bottom w:w="0" w:type="dxa"/>
              <w:right w:w="108" w:type="dxa"/>
            </w:tcMar>
          </w:tcPr>
          <w:p w14:paraId="45CC0854" w14:textId="77777777" w:rsidR="00DC0132" w:rsidRPr="003C26C1" w:rsidRDefault="00DC0132" w:rsidP="000C3BCD">
            <w:pPr>
              <w:rPr>
                <w:b/>
                <w:color w:val="000000"/>
                <w:sz w:val="16"/>
                <w:szCs w:val="16"/>
              </w:rPr>
            </w:pPr>
          </w:p>
        </w:tc>
      </w:tr>
      <w:tr w:rsidR="00607FBD" w:rsidRPr="003C26C1" w14:paraId="4FD49E92" w14:textId="77777777" w:rsidTr="00940EAB">
        <w:tc>
          <w:tcPr>
            <w:tcW w:w="5000" w:type="pct"/>
            <w:gridSpan w:val="5"/>
            <w:shd w:val="clear" w:color="auto" w:fill="auto"/>
            <w:tcMar>
              <w:top w:w="72" w:type="dxa"/>
              <w:left w:w="144" w:type="dxa"/>
              <w:bottom w:w="72" w:type="dxa"/>
              <w:right w:w="144" w:type="dxa"/>
            </w:tcMar>
          </w:tcPr>
          <w:p w14:paraId="6200B2B4" w14:textId="54F70A64" w:rsidR="00607FBD" w:rsidRPr="00563F5D" w:rsidRDefault="00607FBD" w:rsidP="000C3BCD">
            <w:pPr>
              <w:rPr>
                <w:color w:val="000000"/>
              </w:rPr>
            </w:pPr>
            <w:r w:rsidRPr="00F555E9">
              <w:rPr>
                <w:b/>
                <w:bCs/>
                <w:color w:val="000000"/>
                <w:lang w:val="en-GB"/>
              </w:rPr>
              <w:t xml:space="preserve">NATIONAL PRIORITY OR GOAL: </w:t>
            </w:r>
            <w:r w:rsidR="00847805" w:rsidRPr="00563F5D">
              <w:rPr>
                <w:bCs/>
              </w:rPr>
              <w:t xml:space="preserve">Governance and </w:t>
            </w:r>
            <w:r w:rsidR="00847805" w:rsidRPr="00563F5D">
              <w:rPr>
                <w:bCs/>
                <w:iCs/>
              </w:rPr>
              <w:t>accountability</w:t>
            </w:r>
          </w:p>
        </w:tc>
      </w:tr>
      <w:tr w:rsidR="00607FBD" w:rsidRPr="003C26C1" w14:paraId="2A8A808B" w14:textId="77777777" w:rsidTr="00940EAB">
        <w:tc>
          <w:tcPr>
            <w:tcW w:w="5000" w:type="pct"/>
            <w:gridSpan w:val="5"/>
            <w:shd w:val="clear" w:color="auto" w:fill="auto"/>
            <w:tcMar>
              <w:top w:w="72" w:type="dxa"/>
              <w:left w:w="144" w:type="dxa"/>
              <w:bottom w:w="72" w:type="dxa"/>
              <w:right w:w="144" w:type="dxa"/>
            </w:tcMar>
          </w:tcPr>
          <w:p w14:paraId="08447FB9" w14:textId="465AF363" w:rsidR="00FF1BAE" w:rsidRDefault="00D770D9" w:rsidP="000C3BCD">
            <w:pPr>
              <w:rPr>
                <w:b/>
                <w:bCs/>
              </w:rPr>
            </w:pPr>
            <w:r>
              <w:rPr>
                <w:b/>
                <w:bCs/>
                <w:lang w:val="en-ZW"/>
              </w:rPr>
              <w:t>SPCF</w:t>
            </w:r>
            <w:r w:rsidR="00607FBD" w:rsidRPr="00563F5D">
              <w:rPr>
                <w:b/>
                <w:bCs/>
              </w:rPr>
              <w:t xml:space="preserve"> OUTCOME INVOLVING UNDP:</w:t>
            </w:r>
            <w:r w:rsidR="00847805" w:rsidRPr="00563F5D">
              <w:rPr>
                <w:b/>
                <w:bCs/>
              </w:rPr>
              <w:t xml:space="preserve"> </w:t>
            </w:r>
          </w:p>
          <w:p w14:paraId="2AD4388F" w14:textId="623B98E5" w:rsidR="00607FBD" w:rsidRPr="00F555E9" w:rsidRDefault="00FF1BAE" w:rsidP="00FF1BAE">
            <w:pPr>
              <w:rPr>
                <w:color w:val="000000"/>
              </w:rPr>
            </w:pPr>
            <w:r w:rsidRPr="00FF1BAE">
              <w:rPr>
                <w:b/>
                <w:bCs/>
              </w:rPr>
              <w:t xml:space="preserve">Outcome </w:t>
            </w:r>
            <w:r w:rsidR="00B856D7">
              <w:rPr>
                <w:b/>
                <w:bCs/>
              </w:rPr>
              <w:t>C1</w:t>
            </w:r>
            <w:r>
              <w:rPr>
                <w:bCs/>
              </w:rPr>
              <w:t>:</w:t>
            </w:r>
            <w:r w:rsidR="00847805" w:rsidRPr="00F555E9">
              <w:rPr>
                <w:bCs/>
              </w:rPr>
              <w:t xml:space="preserve"> </w:t>
            </w:r>
            <w:r w:rsidR="00B856D7" w:rsidRPr="00B856D7">
              <w:rPr>
                <w:bCs/>
                <w:szCs w:val="21"/>
              </w:rPr>
              <w:t>By 2021, the population, including vulnerable groups, benefit from evidenced based planning and policy; accountable public  institutions and systems that ensure human rights and equitable public service delivery</w:t>
            </w:r>
          </w:p>
        </w:tc>
      </w:tr>
      <w:tr w:rsidR="00607FBD" w:rsidRPr="003C26C1" w14:paraId="1DA7A812" w14:textId="77777777" w:rsidTr="00940EAB">
        <w:tc>
          <w:tcPr>
            <w:tcW w:w="5000" w:type="pct"/>
            <w:gridSpan w:val="5"/>
            <w:shd w:val="clear" w:color="auto" w:fill="auto"/>
            <w:tcMar>
              <w:top w:w="72" w:type="dxa"/>
              <w:left w:w="144" w:type="dxa"/>
              <w:bottom w:w="72" w:type="dxa"/>
              <w:right w:w="144" w:type="dxa"/>
            </w:tcMar>
          </w:tcPr>
          <w:p w14:paraId="1E722FFC" w14:textId="6D28AD95" w:rsidR="00607FBD" w:rsidRPr="00563F5D" w:rsidRDefault="00607FBD" w:rsidP="000C3BCD">
            <w:pPr>
              <w:rPr>
                <w:b/>
                <w:bCs/>
                <w:color w:val="000000"/>
                <w:lang w:val="en-GB"/>
              </w:rPr>
            </w:pPr>
            <w:r w:rsidRPr="00563F5D">
              <w:rPr>
                <w:b/>
                <w:bCs/>
                <w:color w:val="000000"/>
                <w:lang w:val="en-GB"/>
              </w:rPr>
              <w:t xml:space="preserve">RELATED STRATEGIC PLAN OUTCOME: </w:t>
            </w:r>
            <w:r w:rsidR="00847805" w:rsidRPr="00563F5D">
              <w:rPr>
                <w:b/>
                <w:bCs/>
              </w:rPr>
              <w:t xml:space="preserve">3. </w:t>
            </w:r>
            <w:r w:rsidR="00847805" w:rsidRPr="00313A1E">
              <w:rPr>
                <w:bCs/>
              </w:rPr>
              <w:t>Countries have strengthened institutions to progressively deliver universal access to basic services</w:t>
            </w:r>
          </w:p>
        </w:tc>
      </w:tr>
      <w:tr w:rsidR="00847805" w:rsidRPr="003C26C1" w14:paraId="1A9992F8" w14:textId="77777777" w:rsidTr="00563F5D">
        <w:tc>
          <w:tcPr>
            <w:tcW w:w="1097" w:type="pct"/>
            <w:vMerge w:val="restart"/>
            <w:tcMar>
              <w:top w:w="72" w:type="dxa"/>
              <w:left w:w="144" w:type="dxa"/>
              <w:bottom w:w="72" w:type="dxa"/>
              <w:right w:w="144" w:type="dxa"/>
            </w:tcMar>
          </w:tcPr>
          <w:p w14:paraId="4D2D2094" w14:textId="77777777" w:rsidR="00847805" w:rsidRDefault="00847805" w:rsidP="00847805">
            <w:pPr>
              <w:spacing w:before="120"/>
              <w:rPr>
                <w:sz w:val="16"/>
                <w:szCs w:val="16"/>
              </w:rPr>
            </w:pPr>
            <w:r w:rsidRPr="00A707DB">
              <w:rPr>
                <w:b/>
                <w:sz w:val="16"/>
                <w:szCs w:val="16"/>
              </w:rPr>
              <w:t>Indicator 3.1</w:t>
            </w:r>
            <w:r w:rsidRPr="00A707DB">
              <w:rPr>
                <w:sz w:val="16"/>
                <w:szCs w:val="16"/>
              </w:rPr>
              <w:t xml:space="preserve">: </w:t>
            </w:r>
            <w:r w:rsidRPr="004042DA">
              <w:rPr>
                <w:sz w:val="16"/>
                <w:szCs w:val="16"/>
              </w:rPr>
              <w:t>Level of public confidence in the delivery of basic services, disaggregated by sex, urban/rural and income groups</w:t>
            </w:r>
            <w:r>
              <w:rPr>
                <w:sz w:val="16"/>
                <w:szCs w:val="16"/>
              </w:rPr>
              <w:t xml:space="preserve"> (IRRF 3.1)</w:t>
            </w:r>
          </w:p>
          <w:p w14:paraId="5747A727" w14:textId="77777777" w:rsidR="00847805" w:rsidRDefault="00847805" w:rsidP="00847805">
            <w:pPr>
              <w:rPr>
                <w:b/>
                <w:sz w:val="16"/>
                <w:szCs w:val="16"/>
              </w:rPr>
            </w:pPr>
          </w:p>
          <w:p w14:paraId="72E477C1" w14:textId="77777777" w:rsidR="00847805" w:rsidRPr="00A707DB" w:rsidRDefault="00847805" w:rsidP="00847805">
            <w:pPr>
              <w:rPr>
                <w:sz w:val="16"/>
                <w:szCs w:val="16"/>
              </w:rPr>
            </w:pPr>
            <w:r w:rsidRPr="00A707DB">
              <w:rPr>
                <w:b/>
                <w:sz w:val="16"/>
                <w:szCs w:val="16"/>
              </w:rPr>
              <w:t>Baseline (2015)</w:t>
            </w:r>
            <w:r w:rsidRPr="00A707DB">
              <w:rPr>
                <w:sz w:val="16"/>
                <w:szCs w:val="16"/>
              </w:rPr>
              <w:t xml:space="preserve">: </w:t>
            </w:r>
            <w:r w:rsidRPr="00F95647">
              <w:rPr>
                <w:sz w:val="16"/>
                <w:szCs w:val="16"/>
              </w:rPr>
              <w:t xml:space="preserve">TBD </w:t>
            </w:r>
          </w:p>
          <w:p w14:paraId="41D3193B" w14:textId="77777777" w:rsidR="00847805" w:rsidRDefault="00847805" w:rsidP="00847805">
            <w:pPr>
              <w:rPr>
                <w:b/>
                <w:sz w:val="16"/>
                <w:szCs w:val="16"/>
              </w:rPr>
            </w:pPr>
          </w:p>
          <w:p w14:paraId="5A7BB87C" w14:textId="77777777" w:rsidR="00847805" w:rsidRDefault="00847805" w:rsidP="00847805">
            <w:pPr>
              <w:rPr>
                <w:sz w:val="16"/>
                <w:szCs w:val="16"/>
              </w:rPr>
            </w:pPr>
            <w:r w:rsidRPr="00A707DB">
              <w:rPr>
                <w:b/>
                <w:sz w:val="16"/>
                <w:szCs w:val="16"/>
              </w:rPr>
              <w:t>Target (2021)</w:t>
            </w:r>
            <w:r w:rsidRPr="00A707DB">
              <w:rPr>
                <w:sz w:val="16"/>
                <w:szCs w:val="16"/>
              </w:rPr>
              <w:t>: 50% increase</w:t>
            </w:r>
          </w:p>
          <w:p w14:paraId="576154E5" w14:textId="77777777" w:rsidR="00847805" w:rsidRDefault="00847805" w:rsidP="00847805">
            <w:pPr>
              <w:rPr>
                <w:sz w:val="16"/>
                <w:szCs w:val="16"/>
              </w:rPr>
            </w:pPr>
          </w:p>
          <w:p w14:paraId="4C02CBF4" w14:textId="77777777" w:rsidR="00847805" w:rsidRDefault="00847805" w:rsidP="00847805">
            <w:pPr>
              <w:rPr>
                <w:sz w:val="16"/>
                <w:szCs w:val="16"/>
              </w:rPr>
            </w:pPr>
          </w:p>
          <w:p w14:paraId="225725A9" w14:textId="7C247EA8" w:rsidR="00847805" w:rsidRDefault="00847805" w:rsidP="00847805">
            <w:pPr>
              <w:rPr>
                <w:sz w:val="16"/>
                <w:szCs w:val="16"/>
              </w:rPr>
            </w:pPr>
            <w:r w:rsidRPr="007E15C2">
              <w:rPr>
                <w:b/>
                <w:sz w:val="16"/>
                <w:szCs w:val="16"/>
              </w:rPr>
              <w:lastRenderedPageBreak/>
              <w:t>Indicator 3.2:</w:t>
            </w:r>
            <w:r>
              <w:rPr>
                <w:sz w:val="16"/>
                <w:szCs w:val="16"/>
              </w:rPr>
              <w:t xml:space="preserve"> </w:t>
            </w:r>
            <w:r w:rsidR="00667459">
              <w:rPr>
                <w:sz w:val="16"/>
                <w:szCs w:val="16"/>
              </w:rPr>
              <w:t>p</w:t>
            </w:r>
            <w:r w:rsidRPr="007E15C2">
              <w:rPr>
                <w:sz w:val="16"/>
                <w:szCs w:val="16"/>
              </w:rPr>
              <w:t>roportion of decision</w:t>
            </w:r>
            <w:r w:rsidR="00B537B5">
              <w:rPr>
                <w:sz w:val="16"/>
                <w:szCs w:val="16"/>
              </w:rPr>
              <w:t>-</w:t>
            </w:r>
            <w:r w:rsidRPr="007E15C2">
              <w:rPr>
                <w:sz w:val="16"/>
                <w:szCs w:val="16"/>
              </w:rPr>
              <w:t>making positions (executive, legislative and judicial) occupie</w:t>
            </w:r>
            <w:r>
              <w:rPr>
                <w:sz w:val="16"/>
                <w:szCs w:val="16"/>
              </w:rPr>
              <w:t>d by women at national level (IRRF 4.4)</w:t>
            </w:r>
          </w:p>
          <w:p w14:paraId="044C8BF4" w14:textId="77777777" w:rsidR="00847805" w:rsidRDefault="00847805" w:rsidP="00847805">
            <w:pPr>
              <w:rPr>
                <w:sz w:val="16"/>
                <w:szCs w:val="16"/>
              </w:rPr>
            </w:pPr>
          </w:p>
          <w:p w14:paraId="07A1D507" w14:textId="77777777" w:rsidR="00847805" w:rsidRDefault="00847805" w:rsidP="00847805">
            <w:pPr>
              <w:rPr>
                <w:b/>
                <w:bCs/>
                <w:kern w:val="24"/>
                <w:sz w:val="16"/>
                <w:szCs w:val="16"/>
                <w:lang w:eastAsia="en-ZA"/>
              </w:rPr>
            </w:pPr>
            <w:r>
              <w:rPr>
                <w:b/>
                <w:bCs/>
                <w:kern w:val="24"/>
                <w:sz w:val="16"/>
                <w:szCs w:val="16"/>
                <w:lang w:eastAsia="en-ZA"/>
              </w:rPr>
              <w:t xml:space="preserve">Baseline (2015):  </w:t>
            </w:r>
            <w:r w:rsidRPr="008A21F8">
              <w:rPr>
                <w:bCs/>
                <w:kern w:val="24"/>
                <w:sz w:val="16"/>
                <w:szCs w:val="16"/>
                <w:lang w:eastAsia="en-ZA"/>
              </w:rPr>
              <w:t>26.7%</w:t>
            </w:r>
            <w:r>
              <w:rPr>
                <w:bCs/>
                <w:kern w:val="24"/>
                <w:sz w:val="16"/>
                <w:szCs w:val="16"/>
                <w:lang w:eastAsia="en-ZA"/>
              </w:rPr>
              <w:t xml:space="preserve"> (2012)</w:t>
            </w:r>
            <w:r w:rsidRPr="00A707DB">
              <w:rPr>
                <w:bCs/>
                <w:kern w:val="24"/>
                <w:sz w:val="16"/>
                <w:szCs w:val="16"/>
                <w:lang w:eastAsia="en-ZA"/>
              </w:rPr>
              <w:t>;</w:t>
            </w:r>
            <w:r w:rsidRPr="00A707DB">
              <w:rPr>
                <w:b/>
                <w:bCs/>
                <w:kern w:val="24"/>
                <w:sz w:val="16"/>
                <w:szCs w:val="16"/>
                <w:lang w:eastAsia="en-ZA"/>
              </w:rPr>
              <w:t xml:space="preserve"> </w:t>
            </w:r>
          </w:p>
          <w:p w14:paraId="667628A9" w14:textId="77777777" w:rsidR="00847805" w:rsidRDefault="00847805" w:rsidP="00847805">
            <w:pPr>
              <w:rPr>
                <w:b/>
                <w:bCs/>
                <w:kern w:val="24"/>
                <w:sz w:val="16"/>
                <w:szCs w:val="16"/>
                <w:lang w:eastAsia="en-ZA"/>
              </w:rPr>
            </w:pPr>
          </w:p>
          <w:p w14:paraId="5E02C14C" w14:textId="77777777" w:rsidR="00847805" w:rsidRPr="00A707DB" w:rsidRDefault="00847805" w:rsidP="00847805">
            <w:pPr>
              <w:rPr>
                <w:bCs/>
                <w:kern w:val="24"/>
                <w:sz w:val="16"/>
                <w:szCs w:val="16"/>
                <w:lang w:eastAsia="en-ZA"/>
              </w:rPr>
            </w:pPr>
            <w:r w:rsidRPr="00A707DB">
              <w:rPr>
                <w:b/>
                <w:bCs/>
                <w:kern w:val="24"/>
                <w:sz w:val="16"/>
                <w:szCs w:val="16"/>
                <w:lang w:eastAsia="en-ZA"/>
              </w:rPr>
              <w:t xml:space="preserve">Target (2021): </w:t>
            </w:r>
            <w:r w:rsidRPr="00A707DB">
              <w:rPr>
                <w:bCs/>
                <w:kern w:val="24"/>
                <w:sz w:val="16"/>
                <w:szCs w:val="16"/>
                <w:lang w:eastAsia="en-ZA"/>
              </w:rPr>
              <w:t>50</w:t>
            </w:r>
            <w:r>
              <w:rPr>
                <w:bCs/>
                <w:kern w:val="24"/>
                <w:sz w:val="16"/>
                <w:szCs w:val="16"/>
                <w:lang w:eastAsia="en-ZA"/>
              </w:rPr>
              <w:t>%</w:t>
            </w:r>
          </w:p>
          <w:p w14:paraId="3EBE012B" w14:textId="77777777" w:rsidR="00847805" w:rsidRDefault="00847805" w:rsidP="000C3BCD">
            <w:pPr>
              <w:rPr>
                <w:b/>
                <w:sz w:val="16"/>
                <w:szCs w:val="16"/>
              </w:rPr>
            </w:pPr>
          </w:p>
          <w:p w14:paraId="1A3FA431" w14:textId="77777777" w:rsidR="00847805" w:rsidRPr="003C26C1" w:rsidRDefault="00847805" w:rsidP="000C3BCD">
            <w:pPr>
              <w:rPr>
                <w:bCs/>
                <w:i/>
                <w:color w:val="000000"/>
                <w:sz w:val="16"/>
                <w:szCs w:val="16"/>
                <w:lang w:val="en-GB"/>
              </w:rPr>
            </w:pPr>
          </w:p>
        </w:tc>
        <w:tc>
          <w:tcPr>
            <w:tcW w:w="827" w:type="pct"/>
            <w:vMerge w:val="restart"/>
          </w:tcPr>
          <w:p w14:paraId="2BCC0371" w14:textId="387D1002" w:rsidR="00847805" w:rsidRPr="00A707DB" w:rsidRDefault="00847805" w:rsidP="00847805">
            <w:pPr>
              <w:spacing w:before="120"/>
              <w:rPr>
                <w:sz w:val="16"/>
                <w:szCs w:val="16"/>
              </w:rPr>
            </w:pPr>
            <w:r w:rsidRPr="00A707DB">
              <w:rPr>
                <w:b/>
                <w:sz w:val="16"/>
                <w:szCs w:val="16"/>
              </w:rPr>
              <w:lastRenderedPageBreak/>
              <w:t>Source</w:t>
            </w:r>
            <w:r w:rsidRPr="00A707DB">
              <w:rPr>
                <w:sz w:val="16"/>
                <w:szCs w:val="16"/>
              </w:rPr>
              <w:t xml:space="preserve">: </w:t>
            </w:r>
            <w:r w:rsidR="00F45F34">
              <w:rPr>
                <w:sz w:val="16"/>
                <w:szCs w:val="16"/>
              </w:rPr>
              <w:t>MND</w:t>
            </w:r>
            <w:r w:rsidRPr="00A707DB">
              <w:rPr>
                <w:sz w:val="16"/>
                <w:szCs w:val="16"/>
              </w:rPr>
              <w:t xml:space="preserve"> </w:t>
            </w:r>
          </w:p>
          <w:p w14:paraId="4CACDA58" w14:textId="77777777" w:rsidR="00847805" w:rsidRDefault="00847805" w:rsidP="00847805">
            <w:pPr>
              <w:rPr>
                <w:b/>
                <w:sz w:val="16"/>
                <w:szCs w:val="16"/>
              </w:rPr>
            </w:pPr>
          </w:p>
          <w:p w14:paraId="1E414913" w14:textId="1F1BFA47" w:rsidR="00847805" w:rsidRPr="00A707DB" w:rsidRDefault="00847805" w:rsidP="00847805">
            <w:pPr>
              <w:rPr>
                <w:sz w:val="16"/>
                <w:szCs w:val="16"/>
              </w:rPr>
            </w:pPr>
            <w:r w:rsidRPr="00A707DB">
              <w:rPr>
                <w:b/>
                <w:sz w:val="16"/>
                <w:szCs w:val="16"/>
              </w:rPr>
              <w:t>Frequency</w:t>
            </w:r>
            <w:r w:rsidRPr="00A707DB">
              <w:rPr>
                <w:sz w:val="16"/>
                <w:szCs w:val="16"/>
              </w:rPr>
              <w:t xml:space="preserve">: </w:t>
            </w:r>
            <w:r w:rsidR="00E966DD">
              <w:rPr>
                <w:sz w:val="16"/>
                <w:szCs w:val="16"/>
              </w:rPr>
              <w:t>a</w:t>
            </w:r>
            <w:r w:rsidRPr="00A707DB">
              <w:rPr>
                <w:sz w:val="16"/>
                <w:szCs w:val="16"/>
              </w:rPr>
              <w:t>nnual</w:t>
            </w:r>
          </w:p>
          <w:p w14:paraId="499D0EFB" w14:textId="77777777" w:rsidR="00847805" w:rsidRDefault="00847805" w:rsidP="00847805">
            <w:pPr>
              <w:rPr>
                <w:b/>
                <w:sz w:val="16"/>
                <w:szCs w:val="16"/>
              </w:rPr>
            </w:pPr>
          </w:p>
          <w:p w14:paraId="29548C0D" w14:textId="77777777" w:rsidR="00847805" w:rsidRPr="00A707DB" w:rsidRDefault="00847805" w:rsidP="00847805">
            <w:pPr>
              <w:rPr>
                <w:sz w:val="16"/>
                <w:szCs w:val="16"/>
              </w:rPr>
            </w:pPr>
            <w:r w:rsidRPr="00A707DB">
              <w:rPr>
                <w:b/>
                <w:sz w:val="16"/>
                <w:szCs w:val="16"/>
              </w:rPr>
              <w:t>Responsible</w:t>
            </w:r>
            <w:r w:rsidRPr="00A707DB">
              <w:rPr>
                <w:sz w:val="16"/>
                <w:szCs w:val="16"/>
              </w:rPr>
              <w:t>: UNDP</w:t>
            </w:r>
          </w:p>
          <w:p w14:paraId="2B8D9289" w14:textId="77777777" w:rsidR="00847805" w:rsidRPr="00A707DB" w:rsidRDefault="00847805" w:rsidP="00847805">
            <w:pPr>
              <w:rPr>
                <w:sz w:val="16"/>
                <w:szCs w:val="16"/>
              </w:rPr>
            </w:pPr>
          </w:p>
          <w:p w14:paraId="713B5401" w14:textId="77777777" w:rsidR="00847805" w:rsidRPr="00A707DB" w:rsidRDefault="00847805" w:rsidP="00847805">
            <w:pPr>
              <w:rPr>
                <w:sz w:val="16"/>
                <w:szCs w:val="16"/>
              </w:rPr>
            </w:pPr>
          </w:p>
          <w:p w14:paraId="0C129A16" w14:textId="77777777" w:rsidR="00847805" w:rsidRPr="00A707DB" w:rsidRDefault="00847805" w:rsidP="00847805">
            <w:pPr>
              <w:rPr>
                <w:sz w:val="16"/>
                <w:szCs w:val="16"/>
              </w:rPr>
            </w:pPr>
          </w:p>
          <w:p w14:paraId="40ADEAE0" w14:textId="77777777" w:rsidR="00847805" w:rsidRPr="00A707DB" w:rsidRDefault="00847805" w:rsidP="00847805">
            <w:pPr>
              <w:rPr>
                <w:sz w:val="16"/>
                <w:szCs w:val="16"/>
              </w:rPr>
            </w:pPr>
          </w:p>
          <w:p w14:paraId="6B1865A5" w14:textId="77777777" w:rsidR="00847805" w:rsidRPr="00A707DB" w:rsidRDefault="00847805" w:rsidP="00847805">
            <w:pPr>
              <w:rPr>
                <w:sz w:val="16"/>
                <w:szCs w:val="16"/>
              </w:rPr>
            </w:pPr>
          </w:p>
          <w:p w14:paraId="220055B7" w14:textId="77777777" w:rsidR="00847805" w:rsidRPr="00A707DB" w:rsidRDefault="00847805" w:rsidP="00847805">
            <w:pPr>
              <w:rPr>
                <w:sz w:val="16"/>
                <w:szCs w:val="16"/>
              </w:rPr>
            </w:pPr>
          </w:p>
          <w:p w14:paraId="01E5212E" w14:textId="30DBDCF1" w:rsidR="00847805" w:rsidRDefault="00847805" w:rsidP="00847805">
            <w:pPr>
              <w:rPr>
                <w:iCs/>
                <w:sz w:val="16"/>
                <w:szCs w:val="16"/>
              </w:rPr>
            </w:pPr>
            <w:r>
              <w:rPr>
                <w:b/>
                <w:iCs/>
                <w:sz w:val="16"/>
                <w:szCs w:val="16"/>
              </w:rPr>
              <w:t>S</w:t>
            </w:r>
            <w:r w:rsidRPr="00A707DB">
              <w:rPr>
                <w:b/>
                <w:iCs/>
                <w:sz w:val="16"/>
                <w:szCs w:val="16"/>
              </w:rPr>
              <w:t xml:space="preserve">ource: </w:t>
            </w:r>
            <w:r w:rsidR="00A67C4C" w:rsidRPr="00A67C4C">
              <w:rPr>
                <w:iCs/>
                <w:sz w:val="16"/>
                <w:szCs w:val="16"/>
                <w:lang w:val="en-ZW"/>
              </w:rPr>
              <w:t>NUEW</w:t>
            </w:r>
            <w:r w:rsidRPr="00A707DB">
              <w:rPr>
                <w:iCs/>
                <w:sz w:val="16"/>
                <w:szCs w:val="16"/>
              </w:rPr>
              <w:t xml:space="preserve"> </w:t>
            </w:r>
          </w:p>
          <w:p w14:paraId="4E369111" w14:textId="77777777" w:rsidR="00847805" w:rsidRDefault="00847805" w:rsidP="00847805">
            <w:pPr>
              <w:rPr>
                <w:iCs/>
                <w:sz w:val="16"/>
                <w:szCs w:val="16"/>
              </w:rPr>
            </w:pPr>
          </w:p>
          <w:p w14:paraId="1E680B3A" w14:textId="0F5D4A64" w:rsidR="00847805" w:rsidRDefault="00847805" w:rsidP="00847805">
            <w:pPr>
              <w:rPr>
                <w:iCs/>
                <w:sz w:val="16"/>
                <w:szCs w:val="16"/>
              </w:rPr>
            </w:pPr>
            <w:r w:rsidRPr="00A707DB">
              <w:rPr>
                <w:b/>
                <w:iCs/>
                <w:sz w:val="16"/>
                <w:szCs w:val="16"/>
              </w:rPr>
              <w:t xml:space="preserve">Frequency: </w:t>
            </w:r>
            <w:r w:rsidR="00E966DD">
              <w:rPr>
                <w:iCs/>
                <w:sz w:val="16"/>
                <w:szCs w:val="16"/>
              </w:rPr>
              <w:t>a</w:t>
            </w:r>
            <w:r w:rsidRPr="00A707DB">
              <w:rPr>
                <w:iCs/>
                <w:sz w:val="16"/>
                <w:szCs w:val="16"/>
              </w:rPr>
              <w:t>nnual</w:t>
            </w:r>
          </w:p>
          <w:p w14:paraId="18837695" w14:textId="77777777" w:rsidR="00847805" w:rsidRDefault="00847805" w:rsidP="00847805">
            <w:pPr>
              <w:rPr>
                <w:iCs/>
                <w:sz w:val="16"/>
                <w:szCs w:val="16"/>
              </w:rPr>
            </w:pPr>
          </w:p>
          <w:p w14:paraId="0668E2B0" w14:textId="7DB7D693" w:rsidR="00847805" w:rsidRPr="007E15C2" w:rsidRDefault="00847805" w:rsidP="00847805">
            <w:pPr>
              <w:rPr>
                <w:sz w:val="16"/>
                <w:szCs w:val="16"/>
              </w:rPr>
            </w:pPr>
            <w:r w:rsidRPr="007E15C2">
              <w:rPr>
                <w:b/>
                <w:iCs/>
                <w:sz w:val="16"/>
                <w:szCs w:val="16"/>
              </w:rPr>
              <w:t>Responsible:</w:t>
            </w:r>
            <w:r>
              <w:rPr>
                <w:iCs/>
                <w:sz w:val="16"/>
                <w:szCs w:val="16"/>
              </w:rPr>
              <w:t xml:space="preserve"> </w:t>
            </w:r>
            <w:r w:rsidR="00A67C4C" w:rsidRPr="00A67C4C">
              <w:rPr>
                <w:iCs/>
                <w:sz w:val="16"/>
                <w:szCs w:val="16"/>
                <w:lang w:val="en-ZW"/>
              </w:rPr>
              <w:t>NUEW</w:t>
            </w:r>
          </w:p>
          <w:p w14:paraId="168AAFEA" w14:textId="77777777" w:rsidR="00847805" w:rsidRPr="003C26C1" w:rsidRDefault="00847805" w:rsidP="000C3BCD">
            <w:pPr>
              <w:rPr>
                <w:b/>
                <w:bCs/>
                <w:i/>
                <w:color w:val="000000"/>
                <w:sz w:val="16"/>
                <w:szCs w:val="16"/>
                <w:lang w:val="en-GB"/>
              </w:rPr>
            </w:pPr>
          </w:p>
        </w:tc>
        <w:tc>
          <w:tcPr>
            <w:tcW w:w="1833" w:type="pct"/>
            <w:tcMar>
              <w:top w:w="72" w:type="dxa"/>
              <w:left w:w="144" w:type="dxa"/>
              <w:bottom w:w="72" w:type="dxa"/>
              <w:right w:w="144" w:type="dxa"/>
            </w:tcMar>
          </w:tcPr>
          <w:p w14:paraId="2571F842" w14:textId="3A6DC8C6" w:rsidR="00847805" w:rsidRPr="00A707DB" w:rsidRDefault="00847805" w:rsidP="00847805">
            <w:pPr>
              <w:spacing w:before="120"/>
              <w:rPr>
                <w:sz w:val="16"/>
                <w:szCs w:val="16"/>
              </w:rPr>
            </w:pPr>
            <w:r w:rsidRPr="00A707DB">
              <w:rPr>
                <w:b/>
                <w:bCs/>
                <w:kern w:val="24"/>
                <w:sz w:val="16"/>
                <w:szCs w:val="16"/>
                <w:lang w:eastAsia="en-ZA"/>
              </w:rPr>
              <w:lastRenderedPageBreak/>
              <w:t xml:space="preserve">Output 3.1. </w:t>
            </w:r>
            <w:r w:rsidRPr="00A707DB">
              <w:rPr>
                <w:sz w:val="16"/>
                <w:szCs w:val="16"/>
              </w:rPr>
              <w:t>National institutions are able to collect, analyse and use data for planning and decision making</w:t>
            </w:r>
            <w:r w:rsidR="00667459">
              <w:rPr>
                <w:sz w:val="16"/>
                <w:szCs w:val="16"/>
              </w:rPr>
              <w:t>,</w:t>
            </w:r>
            <w:r>
              <w:rPr>
                <w:sz w:val="16"/>
                <w:szCs w:val="16"/>
              </w:rPr>
              <w:t xml:space="preserve"> including SDG implementation</w:t>
            </w:r>
            <w:r w:rsidR="00667459">
              <w:rPr>
                <w:sz w:val="16"/>
                <w:szCs w:val="16"/>
              </w:rPr>
              <w:t>.</w:t>
            </w:r>
          </w:p>
          <w:p w14:paraId="204DBAC5" w14:textId="77777777" w:rsidR="00847805" w:rsidRDefault="00847805" w:rsidP="00847805">
            <w:pPr>
              <w:rPr>
                <w:b/>
                <w:bCs/>
                <w:kern w:val="24"/>
                <w:sz w:val="16"/>
                <w:szCs w:val="16"/>
                <w:lang w:eastAsia="en-ZA"/>
              </w:rPr>
            </w:pPr>
          </w:p>
          <w:p w14:paraId="6102D348" w14:textId="08FB9494" w:rsidR="00847805" w:rsidRDefault="00847805" w:rsidP="00847805">
            <w:pPr>
              <w:rPr>
                <w:bCs/>
                <w:kern w:val="24"/>
                <w:sz w:val="16"/>
                <w:szCs w:val="16"/>
                <w:lang w:eastAsia="en-ZA"/>
              </w:rPr>
            </w:pPr>
            <w:r w:rsidRPr="00A707DB">
              <w:rPr>
                <w:b/>
                <w:bCs/>
                <w:kern w:val="24"/>
                <w:sz w:val="16"/>
                <w:szCs w:val="16"/>
                <w:lang w:eastAsia="en-ZA"/>
              </w:rPr>
              <w:t xml:space="preserve">Indicator 3.1.1. </w:t>
            </w:r>
            <w:r w:rsidR="00667459">
              <w:rPr>
                <w:bCs/>
                <w:kern w:val="24"/>
                <w:sz w:val="16"/>
                <w:szCs w:val="16"/>
                <w:lang w:eastAsia="en-ZA"/>
              </w:rPr>
              <w:t>e</w:t>
            </w:r>
            <w:r w:rsidRPr="0030021F">
              <w:rPr>
                <w:bCs/>
                <w:kern w:val="24"/>
                <w:sz w:val="16"/>
                <w:szCs w:val="16"/>
                <w:lang w:eastAsia="en-ZA"/>
              </w:rPr>
              <w:t>xtent to which updated and disaggregated data is being used to monitor progress on national development goals aligned with post-2015 agenda</w:t>
            </w:r>
            <w:r w:rsidRPr="00A707DB" w:rsidDel="00F426CF">
              <w:rPr>
                <w:bCs/>
                <w:kern w:val="24"/>
                <w:sz w:val="16"/>
                <w:szCs w:val="16"/>
                <w:lang w:eastAsia="en-ZA"/>
              </w:rPr>
              <w:t xml:space="preserve"> </w:t>
            </w:r>
            <w:r>
              <w:rPr>
                <w:bCs/>
                <w:kern w:val="24"/>
                <w:sz w:val="16"/>
                <w:szCs w:val="16"/>
                <w:lang w:eastAsia="en-ZA"/>
              </w:rPr>
              <w:t>(IRRF 7.2.2)</w:t>
            </w:r>
          </w:p>
          <w:p w14:paraId="44706871" w14:textId="77777777" w:rsidR="00847805" w:rsidRDefault="00847805" w:rsidP="00847805">
            <w:pPr>
              <w:rPr>
                <w:b/>
                <w:bCs/>
                <w:kern w:val="24"/>
                <w:sz w:val="16"/>
                <w:szCs w:val="16"/>
                <w:lang w:eastAsia="en-ZA"/>
              </w:rPr>
            </w:pPr>
          </w:p>
          <w:p w14:paraId="2763977C" w14:textId="77777777" w:rsidR="00847805" w:rsidRPr="00960CDA" w:rsidRDefault="00847805" w:rsidP="00847805">
            <w:pPr>
              <w:rPr>
                <w:bCs/>
                <w:kern w:val="24"/>
                <w:sz w:val="16"/>
                <w:szCs w:val="16"/>
                <w:lang w:eastAsia="en-ZA"/>
              </w:rPr>
            </w:pPr>
            <w:r w:rsidRPr="00960CDA">
              <w:rPr>
                <w:b/>
                <w:bCs/>
                <w:kern w:val="24"/>
                <w:sz w:val="16"/>
                <w:szCs w:val="16"/>
                <w:lang w:eastAsia="en-ZA"/>
              </w:rPr>
              <w:t xml:space="preserve">Baseline (2015): </w:t>
            </w:r>
            <w:r>
              <w:rPr>
                <w:bCs/>
                <w:kern w:val="24"/>
                <w:sz w:val="16"/>
                <w:szCs w:val="16"/>
                <w:lang w:eastAsia="en-ZA"/>
              </w:rPr>
              <w:t>1 – not adequately</w:t>
            </w:r>
            <w:r w:rsidRPr="00960CDA">
              <w:rPr>
                <w:b/>
                <w:bCs/>
                <w:kern w:val="24"/>
                <w:sz w:val="16"/>
                <w:szCs w:val="16"/>
                <w:lang w:eastAsia="en-ZA"/>
              </w:rPr>
              <w:t xml:space="preserve">, Target (2021): </w:t>
            </w:r>
            <w:r w:rsidRPr="00960CDA">
              <w:rPr>
                <w:bCs/>
                <w:kern w:val="24"/>
                <w:sz w:val="16"/>
                <w:szCs w:val="16"/>
                <w:lang w:eastAsia="en-ZA"/>
              </w:rPr>
              <w:t>3</w:t>
            </w:r>
            <w:r>
              <w:rPr>
                <w:bCs/>
                <w:kern w:val="24"/>
                <w:sz w:val="16"/>
                <w:szCs w:val="16"/>
                <w:lang w:eastAsia="en-ZA"/>
              </w:rPr>
              <w:t xml:space="preserve"> - partially</w:t>
            </w:r>
          </w:p>
          <w:p w14:paraId="32B7411F" w14:textId="77777777" w:rsidR="00847805" w:rsidRDefault="00847805" w:rsidP="00847805">
            <w:pPr>
              <w:rPr>
                <w:b/>
                <w:iCs/>
                <w:sz w:val="16"/>
                <w:szCs w:val="16"/>
              </w:rPr>
            </w:pPr>
          </w:p>
          <w:p w14:paraId="3B4A0A45" w14:textId="10AFBB1E" w:rsidR="00847805" w:rsidRDefault="00847805" w:rsidP="00847805">
            <w:pPr>
              <w:rPr>
                <w:iCs/>
                <w:sz w:val="16"/>
                <w:szCs w:val="16"/>
              </w:rPr>
            </w:pPr>
            <w:r w:rsidRPr="00960CDA">
              <w:rPr>
                <w:b/>
                <w:iCs/>
                <w:sz w:val="16"/>
                <w:szCs w:val="16"/>
              </w:rPr>
              <w:t xml:space="preserve">Data source: </w:t>
            </w:r>
            <w:r w:rsidR="00F45F34">
              <w:rPr>
                <w:iCs/>
                <w:sz w:val="16"/>
                <w:szCs w:val="16"/>
              </w:rPr>
              <w:t>MND</w:t>
            </w:r>
            <w:r w:rsidRPr="00960CDA">
              <w:rPr>
                <w:iCs/>
                <w:sz w:val="16"/>
                <w:szCs w:val="16"/>
              </w:rPr>
              <w:t xml:space="preserve"> reports,</w:t>
            </w:r>
            <w:r w:rsidRPr="00960CDA">
              <w:rPr>
                <w:b/>
                <w:iCs/>
                <w:sz w:val="16"/>
                <w:szCs w:val="16"/>
              </w:rPr>
              <w:t xml:space="preserve"> Frequency: </w:t>
            </w:r>
            <w:r w:rsidR="00E966DD">
              <w:rPr>
                <w:iCs/>
                <w:sz w:val="16"/>
                <w:szCs w:val="16"/>
              </w:rPr>
              <w:t>a</w:t>
            </w:r>
            <w:r w:rsidRPr="00960CDA">
              <w:rPr>
                <w:iCs/>
                <w:sz w:val="16"/>
                <w:szCs w:val="16"/>
              </w:rPr>
              <w:t>nnual</w:t>
            </w:r>
          </w:p>
          <w:p w14:paraId="2278C1E6" w14:textId="77777777" w:rsidR="00847805" w:rsidRDefault="00847805" w:rsidP="00847805">
            <w:pPr>
              <w:rPr>
                <w:b/>
                <w:bCs/>
                <w:kern w:val="24"/>
                <w:sz w:val="16"/>
                <w:szCs w:val="16"/>
                <w:lang w:eastAsia="en-ZA"/>
              </w:rPr>
            </w:pPr>
          </w:p>
          <w:p w14:paraId="0DB35D50" w14:textId="1953DE66" w:rsidR="00847805" w:rsidRDefault="00847805" w:rsidP="00847805">
            <w:pPr>
              <w:rPr>
                <w:iCs/>
                <w:sz w:val="16"/>
                <w:szCs w:val="16"/>
              </w:rPr>
            </w:pPr>
            <w:r w:rsidRPr="00A6430E">
              <w:rPr>
                <w:b/>
                <w:bCs/>
                <w:kern w:val="24"/>
                <w:sz w:val="16"/>
                <w:szCs w:val="16"/>
                <w:lang w:eastAsia="en-ZA"/>
              </w:rPr>
              <w:lastRenderedPageBreak/>
              <w:t>Indicator 3.1.2</w:t>
            </w:r>
            <w:r>
              <w:rPr>
                <w:b/>
                <w:bCs/>
                <w:kern w:val="24"/>
                <w:sz w:val="16"/>
                <w:szCs w:val="16"/>
                <w:lang w:eastAsia="en-ZA"/>
              </w:rPr>
              <w:t>.</w:t>
            </w:r>
            <w:r>
              <w:rPr>
                <w:iCs/>
                <w:sz w:val="16"/>
                <w:szCs w:val="16"/>
              </w:rPr>
              <w:t xml:space="preserve"> </w:t>
            </w:r>
            <w:r w:rsidRPr="004042DA">
              <w:rPr>
                <w:iCs/>
                <w:sz w:val="16"/>
                <w:szCs w:val="16"/>
              </w:rPr>
              <w:t>Number of sub-national governments/administrations which have functioning planning, budgeting and monitoring systems</w:t>
            </w:r>
            <w:r>
              <w:rPr>
                <w:iCs/>
                <w:sz w:val="16"/>
                <w:szCs w:val="16"/>
              </w:rPr>
              <w:t xml:space="preserve"> (IRRF 3.2.2)</w:t>
            </w:r>
            <w:r w:rsidR="00667459">
              <w:rPr>
                <w:iCs/>
                <w:sz w:val="16"/>
                <w:szCs w:val="16"/>
              </w:rPr>
              <w:t>.</w:t>
            </w:r>
          </w:p>
          <w:p w14:paraId="350F87DA" w14:textId="77777777" w:rsidR="00847805" w:rsidRDefault="00847805" w:rsidP="00847805">
            <w:pPr>
              <w:rPr>
                <w:b/>
                <w:iCs/>
                <w:sz w:val="16"/>
                <w:szCs w:val="16"/>
              </w:rPr>
            </w:pPr>
          </w:p>
          <w:p w14:paraId="2FDB7C1B" w14:textId="77777777" w:rsidR="00847805" w:rsidRPr="00A707DB" w:rsidRDefault="00847805" w:rsidP="00847805">
            <w:pPr>
              <w:rPr>
                <w:b/>
                <w:iCs/>
                <w:sz w:val="16"/>
                <w:szCs w:val="16"/>
              </w:rPr>
            </w:pPr>
            <w:r w:rsidRPr="00947A27">
              <w:rPr>
                <w:b/>
                <w:iCs/>
                <w:sz w:val="16"/>
                <w:szCs w:val="16"/>
              </w:rPr>
              <w:t>Baseline (2015):</w:t>
            </w:r>
            <w:r>
              <w:rPr>
                <w:iCs/>
                <w:sz w:val="16"/>
                <w:szCs w:val="16"/>
              </w:rPr>
              <w:t xml:space="preserve"> 0, </w:t>
            </w:r>
            <w:r w:rsidRPr="00947A27">
              <w:rPr>
                <w:b/>
                <w:iCs/>
                <w:sz w:val="16"/>
                <w:szCs w:val="16"/>
              </w:rPr>
              <w:t>Target</w:t>
            </w:r>
            <w:r>
              <w:rPr>
                <w:iCs/>
                <w:sz w:val="16"/>
                <w:szCs w:val="16"/>
              </w:rPr>
              <w:t>: 4</w:t>
            </w:r>
          </w:p>
          <w:p w14:paraId="1234DD58" w14:textId="77777777" w:rsidR="00847805" w:rsidRDefault="00847805" w:rsidP="00847805">
            <w:pPr>
              <w:rPr>
                <w:b/>
                <w:iCs/>
                <w:color w:val="000000"/>
                <w:sz w:val="16"/>
                <w:szCs w:val="16"/>
              </w:rPr>
            </w:pPr>
          </w:p>
          <w:p w14:paraId="3A4BDA59" w14:textId="40AA2F29" w:rsidR="00847805" w:rsidRPr="00940EAB" w:rsidRDefault="00847805" w:rsidP="00F45F34">
            <w:pPr>
              <w:rPr>
                <w:b/>
                <w:iCs/>
                <w:sz w:val="16"/>
                <w:szCs w:val="16"/>
              </w:rPr>
            </w:pPr>
            <w:r w:rsidRPr="00960CDA">
              <w:rPr>
                <w:b/>
                <w:iCs/>
                <w:sz w:val="16"/>
                <w:szCs w:val="16"/>
              </w:rPr>
              <w:t xml:space="preserve">Data source: </w:t>
            </w:r>
            <w:r w:rsidR="00F45F34">
              <w:rPr>
                <w:iCs/>
                <w:sz w:val="16"/>
                <w:szCs w:val="16"/>
              </w:rPr>
              <w:t>MND</w:t>
            </w:r>
            <w:r w:rsidRPr="00960CDA">
              <w:rPr>
                <w:iCs/>
                <w:sz w:val="16"/>
                <w:szCs w:val="16"/>
              </w:rPr>
              <w:t xml:space="preserve"> reports</w:t>
            </w:r>
            <w:r w:rsidR="00667459">
              <w:rPr>
                <w:iCs/>
                <w:sz w:val="16"/>
                <w:szCs w:val="16"/>
              </w:rPr>
              <w:t>;</w:t>
            </w:r>
            <w:r w:rsidRPr="00960CDA">
              <w:rPr>
                <w:b/>
                <w:iCs/>
                <w:sz w:val="16"/>
                <w:szCs w:val="16"/>
              </w:rPr>
              <w:t xml:space="preserve"> Frequency: </w:t>
            </w:r>
            <w:r w:rsidR="00E966DD">
              <w:rPr>
                <w:iCs/>
                <w:sz w:val="16"/>
                <w:szCs w:val="16"/>
              </w:rPr>
              <w:t>a</w:t>
            </w:r>
            <w:r w:rsidRPr="00960CDA">
              <w:rPr>
                <w:iCs/>
                <w:sz w:val="16"/>
                <w:szCs w:val="16"/>
              </w:rPr>
              <w:t>nnual</w:t>
            </w:r>
          </w:p>
        </w:tc>
        <w:tc>
          <w:tcPr>
            <w:tcW w:w="653" w:type="pct"/>
          </w:tcPr>
          <w:p w14:paraId="1BFC3DE5" w14:textId="5BE019C0" w:rsidR="00847805" w:rsidRPr="00A707DB" w:rsidRDefault="00F45F34" w:rsidP="00847805">
            <w:pPr>
              <w:spacing w:before="120"/>
              <w:rPr>
                <w:sz w:val="16"/>
                <w:szCs w:val="16"/>
                <w:lang w:eastAsia="en-ZA"/>
              </w:rPr>
            </w:pPr>
            <w:r>
              <w:rPr>
                <w:sz w:val="16"/>
                <w:szCs w:val="16"/>
                <w:lang w:eastAsia="en-ZA"/>
              </w:rPr>
              <w:lastRenderedPageBreak/>
              <w:t>MND</w:t>
            </w:r>
            <w:r w:rsidR="00847805" w:rsidRPr="00A707DB">
              <w:rPr>
                <w:sz w:val="16"/>
                <w:szCs w:val="16"/>
                <w:lang w:eastAsia="en-ZA"/>
              </w:rPr>
              <w:t xml:space="preserve">, </w:t>
            </w:r>
            <w:r w:rsidR="0038619B">
              <w:rPr>
                <w:sz w:val="16"/>
                <w:szCs w:val="16"/>
                <w:lang w:eastAsia="en-ZA"/>
              </w:rPr>
              <w:t>Ministry of Finance</w:t>
            </w:r>
          </w:p>
          <w:p w14:paraId="36DF3F80" w14:textId="77777777" w:rsidR="00847805" w:rsidRPr="00A707DB" w:rsidRDefault="00847805" w:rsidP="00847805">
            <w:pPr>
              <w:rPr>
                <w:sz w:val="16"/>
                <w:szCs w:val="16"/>
                <w:lang w:eastAsia="en-ZA"/>
              </w:rPr>
            </w:pPr>
          </w:p>
          <w:p w14:paraId="0B045D01" w14:textId="05586732" w:rsidR="00847805" w:rsidRPr="003C26C1" w:rsidRDefault="00847805" w:rsidP="008B0331">
            <w:pPr>
              <w:rPr>
                <w:i/>
                <w:iCs/>
                <w:color w:val="000000"/>
                <w:sz w:val="16"/>
                <w:szCs w:val="16"/>
                <w:lang w:val="en-GB"/>
              </w:rPr>
            </w:pPr>
            <w:r w:rsidRPr="00A707DB">
              <w:rPr>
                <w:sz w:val="16"/>
                <w:szCs w:val="16"/>
                <w:lang w:eastAsia="en-ZA"/>
              </w:rPr>
              <w:t>UNDP</w:t>
            </w:r>
            <w:r w:rsidR="008B0331">
              <w:rPr>
                <w:sz w:val="16"/>
                <w:szCs w:val="16"/>
                <w:lang w:eastAsia="en-ZA"/>
              </w:rPr>
              <w:t xml:space="preserve">, </w:t>
            </w:r>
            <w:r w:rsidRPr="00A707DB">
              <w:rPr>
                <w:sz w:val="16"/>
                <w:szCs w:val="16"/>
                <w:lang w:eastAsia="en-ZA"/>
              </w:rPr>
              <w:t>UNFPA</w:t>
            </w:r>
            <w:r w:rsidR="008B0331">
              <w:rPr>
                <w:sz w:val="16"/>
                <w:szCs w:val="16"/>
                <w:lang w:eastAsia="en-ZA"/>
              </w:rPr>
              <w:t xml:space="preserve">, </w:t>
            </w:r>
            <w:r w:rsidR="008B0331">
              <w:rPr>
                <w:sz w:val="16"/>
                <w:szCs w:val="16"/>
                <w:lang w:val="en-ZW" w:eastAsia="en-ZA"/>
              </w:rPr>
              <w:t>ILO,</w:t>
            </w:r>
            <w:r w:rsidR="00C1328E" w:rsidRPr="00C1328E">
              <w:rPr>
                <w:sz w:val="16"/>
                <w:szCs w:val="16"/>
                <w:lang w:val="en-ZW" w:eastAsia="en-ZA"/>
              </w:rPr>
              <w:t xml:space="preserve"> </w:t>
            </w:r>
            <w:r w:rsidRPr="00A707DB">
              <w:rPr>
                <w:sz w:val="16"/>
                <w:szCs w:val="16"/>
                <w:lang w:eastAsia="en-ZA"/>
              </w:rPr>
              <w:t>UNECA</w:t>
            </w:r>
            <w:r w:rsidR="008B0331">
              <w:rPr>
                <w:sz w:val="16"/>
                <w:szCs w:val="16"/>
                <w:lang w:eastAsia="en-ZA"/>
              </w:rPr>
              <w:t xml:space="preserve">, </w:t>
            </w:r>
            <w:r>
              <w:rPr>
                <w:sz w:val="16"/>
                <w:szCs w:val="16"/>
                <w:lang w:eastAsia="en-ZA"/>
              </w:rPr>
              <w:t>E</w:t>
            </w:r>
            <w:r w:rsidR="006A2070">
              <w:rPr>
                <w:sz w:val="16"/>
                <w:szCs w:val="16"/>
                <w:lang w:eastAsia="en-ZA"/>
              </w:rPr>
              <w:t xml:space="preserve">uropean </w:t>
            </w:r>
            <w:r>
              <w:rPr>
                <w:sz w:val="16"/>
                <w:szCs w:val="16"/>
                <w:lang w:eastAsia="en-ZA"/>
              </w:rPr>
              <w:t>U</w:t>
            </w:r>
            <w:r w:rsidR="006A2070">
              <w:rPr>
                <w:sz w:val="16"/>
                <w:szCs w:val="16"/>
                <w:lang w:eastAsia="en-ZA"/>
              </w:rPr>
              <w:t>nion</w:t>
            </w:r>
          </w:p>
        </w:tc>
        <w:tc>
          <w:tcPr>
            <w:tcW w:w="590" w:type="pct"/>
            <w:vMerge w:val="restart"/>
            <w:tcMar>
              <w:top w:w="15" w:type="dxa"/>
              <w:left w:w="108" w:type="dxa"/>
              <w:bottom w:w="0" w:type="dxa"/>
              <w:right w:w="108" w:type="dxa"/>
            </w:tcMar>
          </w:tcPr>
          <w:p w14:paraId="5764D908" w14:textId="77777777" w:rsidR="00847805" w:rsidRPr="003C26C1" w:rsidRDefault="00847805" w:rsidP="00847805">
            <w:pPr>
              <w:rPr>
                <w:b/>
                <w:color w:val="000000"/>
                <w:sz w:val="16"/>
                <w:szCs w:val="16"/>
              </w:rPr>
            </w:pPr>
            <w:r w:rsidRPr="003C26C1">
              <w:rPr>
                <w:b/>
                <w:color w:val="000000"/>
                <w:sz w:val="16"/>
                <w:szCs w:val="16"/>
              </w:rPr>
              <w:t>Regular</w:t>
            </w:r>
            <w:r>
              <w:rPr>
                <w:color w:val="000000" w:themeColor="text1"/>
                <w:sz w:val="16"/>
                <w:szCs w:val="16"/>
                <w:lang w:val="fr-FR"/>
              </w:rPr>
              <w:t xml:space="preserve"> 7,983,</w:t>
            </w:r>
            <w:r w:rsidRPr="00A707DB">
              <w:rPr>
                <w:color w:val="000000" w:themeColor="text1"/>
                <w:sz w:val="16"/>
                <w:szCs w:val="16"/>
                <w:lang w:val="fr-FR"/>
              </w:rPr>
              <w:t>000</w:t>
            </w:r>
          </w:p>
          <w:p w14:paraId="7DE48D99" w14:textId="77777777" w:rsidR="00847805" w:rsidRDefault="00847805" w:rsidP="000C3BCD">
            <w:pPr>
              <w:rPr>
                <w:b/>
                <w:color w:val="000000"/>
                <w:sz w:val="16"/>
                <w:szCs w:val="16"/>
              </w:rPr>
            </w:pPr>
          </w:p>
          <w:p w14:paraId="52E6F886" w14:textId="77777777" w:rsidR="00847805" w:rsidRDefault="00847805" w:rsidP="000C3BCD">
            <w:pPr>
              <w:rPr>
                <w:b/>
                <w:color w:val="000000"/>
                <w:sz w:val="16"/>
                <w:szCs w:val="16"/>
              </w:rPr>
            </w:pPr>
            <w:r w:rsidRPr="003C26C1">
              <w:rPr>
                <w:b/>
                <w:color w:val="000000"/>
                <w:sz w:val="16"/>
                <w:szCs w:val="16"/>
              </w:rPr>
              <w:t>Other</w:t>
            </w:r>
            <w:r>
              <w:rPr>
                <w:b/>
                <w:color w:val="000000"/>
                <w:sz w:val="16"/>
                <w:szCs w:val="16"/>
              </w:rPr>
              <w:t xml:space="preserve">  </w:t>
            </w:r>
            <w:r w:rsidRPr="00A707DB">
              <w:rPr>
                <w:color w:val="000000" w:themeColor="text1"/>
                <w:sz w:val="16"/>
                <w:szCs w:val="16"/>
                <w:lang w:val="fr-FR"/>
              </w:rPr>
              <w:t>8</w:t>
            </w:r>
            <w:r>
              <w:rPr>
                <w:color w:val="000000" w:themeColor="text1"/>
                <w:sz w:val="16"/>
                <w:szCs w:val="16"/>
                <w:lang w:val="fr-FR"/>
              </w:rPr>
              <w:t>,</w:t>
            </w:r>
            <w:r w:rsidRPr="00A707DB">
              <w:rPr>
                <w:color w:val="000000" w:themeColor="text1"/>
                <w:sz w:val="16"/>
                <w:szCs w:val="16"/>
                <w:lang w:val="fr-FR"/>
              </w:rPr>
              <w:t>000</w:t>
            </w:r>
            <w:r>
              <w:rPr>
                <w:color w:val="000000" w:themeColor="text1"/>
                <w:sz w:val="16"/>
                <w:szCs w:val="16"/>
                <w:lang w:val="fr-FR"/>
              </w:rPr>
              <w:t>,</w:t>
            </w:r>
            <w:r w:rsidRPr="00A707DB">
              <w:rPr>
                <w:color w:val="000000" w:themeColor="text1"/>
                <w:sz w:val="16"/>
                <w:szCs w:val="16"/>
                <w:lang w:val="fr-FR"/>
              </w:rPr>
              <w:t>000</w:t>
            </w:r>
          </w:p>
          <w:p w14:paraId="01D906BF" w14:textId="77777777" w:rsidR="00847805" w:rsidRDefault="00847805" w:rsidP="000C3BCD">
            <w:pPr>
              <w:rPr>
                <w:b/>
                <w:color w:val="000000"/>
                <w:sz w:val="16"/>
                <w:szCs w:val="16"/>
              </w:rPr>
            </w:pPr>
          </w:p>
          <w:p w14:paraId="4170AC94" w14:textId="10AF6DAF" w:rsidR="00847805" w:rsidRPr="003C26C1" w:rsidRDefault="00847805" w:rsidP="000C3BCD">
            <w:pPr>
              <w:rPr>
                <w:b/>
                <w:color w:val="000000"/>
                <w:sz w:val="16"/>
                <w:szCs w:val="16"/>
              </w:rPr>
            </w:pPr>
          </w:p>
        </w:tc>
      </w:tr>
      <w:tr w:rsidR="00847805" w:rsidRPr="003C26C1" w14:paraId="37E86C77" w14:textId="77777777" w:rsidTr="00563F5D">
        <w:tc>
          <w:tcPr>
            <w:tcW w:w="1097" w:type="pct"/>
            <w:vMerge/>
            <w:tcMar>
              <w:top w:w="72" w:type="dxa"/>
              <w:left w:w="144" w:type="dxa"/>
              <w:bottom w:w="72" w:type="dxa"/>
              <w:right w:w="144" w:type="dxa"/>
            </w:tcMar>
          </w:tcPr>
          <w:p w14:paraId="10A7E879" w14:textId="77777777" w:rsidR="00847805" w:rsidRPr="003C26C1" w:rsidRDefault="00847805" w:rsidP="000C3BCD">
            <w:pPr>
              <w:rPr>
                <w:i/>
                <w:iCs/>
                <w:color w:val="000000"/>
                <w:sz w:val="16"/>
                <w:szCs w:val="16"/>
                <w:lang w:val="en-GB"/>
              </w:rPr>
            </w:pPr>
          </w:p>
        </w:tc>
        <w:tc>
          <w:tcPr>
            <w:tcW w:w="827" w:type="pct"/>
            <w:vMerge/>
          </w:tcPr>
          <w:p w14:paraId="148E1C29" w14:textId="77777777" w:rsidR="00847805" w:rsidRPr="003C26C1" w:rsidRDefault="00847805" w:rsidP="000C3BCD">
            <w:pPr>
              <w:rPr>
                <w:i/>
                <w:iCs/>
                <w:color w:val="000000"/>
                <w:sz w:val="16"/>
                <w:szCs w:val="16"/>
                <w:lang w:val="en-GB"/>
              </w:rPr>
            </w:pPr>
          </w:p>
        </w:tc>
        <w:tc>
          <w:tcPr>
            <w:tcW w:w="1833" w:type="pct"/>
            <w:tcMar>
              <w:top w:w="72" w:type="dxa"/>
              <w:left w:w="144" w:type="dxa"/>
              <w:bottom w:w="72" w:type="dxa"/>
              <w:right w:w="144" w:type="dxa"/>
            </w:tcMar>
          </w:tcPr>
          <w:p w14:paraId="30E1FA6A" w14:textId="4C20E441" w:rsidR="00847805" w:rsidRPr="00A707DB" w:rsidRDefault="00847805" w:rsidP="00847805">
            <w:pPr>
              <w:spacing w:before="120"/>
              <w:rPr>
                <w:bCs/>
                <w:kern w:val="24"/>
                <w:sz w:val="16"/>
                <w:szCs w:val="16"/>
                <w:lang w:eastAsia="en-ZA"/>
              </w:rPr>
            </w:pPr>
            <w:r w:rsidRPr="00A707DB">
              <w:rPr>
                <w:b/>
                <w:bCs/>
                <w:kern w:val="24"/>
                <w:sz w:val="16"/>
                <w:szCs w:val="16"/>
                <w:lang w:eastAsia="en-ZA"/>
              </w:rPr>
              <w:t xml:space="preserve">Output 3.2. </w:t>
            </w:r>
            <w:r w:rsidRPr="00A707DB">
              <w:rPr>
                <w:bCs/>
                <w:kern w:val="24"/>
                <w:sz w:val="16"/>
                <w:szCs w:val="16"/>
                <w:lang w:eastAsia="en-ZA"/>
              </w:rPr>
              <w:t>Se</w:t>
            </w:r>
            <w:r>
              <w:rPr>
                <w:bCs/>
                <w:kern w:val="24"/>
                <w:sz w:val="16"/>
                <w:szCs w:val="16"/>
                <w:lang w:eastAsia="en-ZA"/>
              </w:rPr>
              <w:t xml:space="preserve">lected </w:t>
            </w:r>
            <w:r w:rsidR="00DA5BAA">
              <w:rPr>
                <w:bCs/>
                <w:kern w:val="24"/>
                <w:sz w:val="16"/>
                <w:szCs w:val="16"/>
                <w:lang w:eastAsia="en-ZA"/>
              </w:rPr>
              <w:t>g</w:t>
            </w:r>
            <w:r>
              <w:rPr>
                <w:bCs/>
                <w:kern w:val="24"/>
                <w:sz w:val="16"/>
                <w:szCs w:val="16"/>
                <w:lang w:eastAsia="en-ZA"/>
              </w:rPr>
              <w:t xml:space="preserve">overnment institutions </w:t>
            </w:r>
            <w:r w:rsidRPr="00A707DB">
              <w:rPr>
                <w:bCs/>
                <w:kern w:val="24"/>
                <w:sz w:val="16"/>
                <w:szCs w:val="16"/>
                <w:lang w:eastAsia="en-ZA"/>
              </w:rPr>
              <w:t xml:space="preserve">have enhanced managerial and technical capacity for public </w:t>
            </w:r>
            <w:r>
              <w:rPr>
                <w:bCs/>
                <w:kern w:val="24"/>
                <w:sz w:val="16"/>
                <w:szCs w:val="16"/>
                <w:lang w:eastAsia="en-ZA"/>
              </w:rPr>
              <w:t xml:space="preserve">administration and public </w:t>
            </w:r>
            <w:r w:rsidRPr="00A707DB">
              <w:rPr>
                <w:bCs/>
                <w:kern w:val="24"/>
                <w:sz w:val="16"/>
                <w:szCs w:val="16"/>
                <w:lang w:eastAsia="en-ZA"/>
              </w:rPr>
              <w:t xml:space="preserve">financial management </w:t>
            </w:r>
          </w:p>
          <w:p w14:paraId="685087C0" w14:textId="77777777" w:rsidR="00847805" w:rsidRDefault="00847805" w:rsidP="00847805">
            <w:pPr>
              <w:rPr>
                <w:b/>
                <w:bCs/>
                <w:kern w:val="24"/>
                <w:sz w:val="16"/>
                <w:szCs w:val="16"/>
                <w:lang w:eastAsia="en-ZA"/>
              </w:rPr>
            </w:pPr>
          </w:p>
          <w:p w14:paraId="7474C962" w14:textId="77777777" w:rsidR="00847805" w:rsidRPr="00A707DB" w:rsidRDefault="00847805" w:rsidP="00847805">
            <w:pPr>
              <w:rPr>
                <w:bCs/>
                <w:kern w:val="24"/>
                <w:lang w:eastAsia="en-ZA"/>
              </w:rPr>
            </w:pPr>
            <w:r w:rsidRPr="00A707DB">
              <w:rPr>
                <w:b/>
                <w:bCs/>
                <w:kern w:val="24"/>
                <w:sz w:val="16"/>
                <w:szCs w:val="16"/>
                <w:lang w:eastAsia="en-ZA"/>
              </w:rPr>
              <w:t xml:space="preserve">Indicator 3.2.1. </w:t>
            </w:r>
            <w:r w:rsidRPr="00A707DB">
              <w:rPr>
                <w:bCs/>
                <w:kern w:val="24"/>
                <w:sz w:val="16"/>
                <w:szCs w:val="16"/>
                <w:lang w:eastAsia="en-ZA"/>
              </w:rPr>
              <w:t xml:space="preserve"> </w:t>
            </w:r>
            <w:r w:rsidRPr="00A707DB">
              <w:rPr>
                <w:sz w:val="16"/>
                <w:szCs w:val="16"/>
              </w:rPr>
              <w:t>Number of functional modules for the integrated public finance management systems</w:t>
            </w:r>
          </w:p>
          <w:p w14:paraId="3F5E9F60" w14:textId="77777777" w:rsidR="00847805" w:rsidRDefault="00847805" w:rsidP="00847805">
            <w:pPr>
              <w:rPr>
                <w:b/>
                <w:bCs/>
                <w:kern w:val="24"/>
                <w:sz w:val="16"/>
                <w:szCs w:val="16"/>
                <w:lang w:eastAsia="en-ZA"/>
              </w:rPr>
            </w:pPr>
          </w:p>
          <w:p w14:paraId="2C14F992" w14:textId="24E16B14" w:rsidR="00847805" w:rsidRPr="00A707DB" w:rsidRDefault="00847805" w:rsidP="00847805">
            <w:pPr>
              <w:rPr>
                <w:bCs/>
                <w:kern w:val="24"/>
                <w:sz w:val="16"/>
                <w:szCs w:val="16"/>
                <w:lang w:eastAsia="en-ZA"/>
              </w:rPr>
            </w:pPr>
            <w:r w:rsidRPr="00A707DB">
              <w:rPr>
                <w:b/>
                <w:bCs/>
                <w:kern w:val="24"/>
                <w:sz w:val="16"/>
                <w:szCs w:val="16"/>
                <w:lang w:eastAsia="en-ZA"/>
              </w:rPr>
              <w:t xml:space="preserve">Baseline (2015): </w:t>
            </w:r>
            <w:r w:rsidR="00667459">
              <w:rPr>
                <w:bCs/>
                <w:kern w:val="24"/>
                <w:sz w:val="16"/>
                <w:szCs w:val="16"/>
                <w:lang w:eastAsia="en-ZA"/>
              </w:rPr>
              <w:t>six</w:t>
            </w:r>
            <w:r w:rsidRPr="00A707DB">
              <w:rPr>
                <w:bCs/>
                <w:kern w:val="24"/>
                <w:sz w:val="16"/>
                <w:szCs w:val="16"/>
                <w:lang w:eastAsia="en-ZA"/>
              </w:rPr>
              <w:t xml:space="preserve"> functional modules; </w:t>
            </w:r>
            <w:r w:rsidRPr="00A707DB">
              <w:rPr>
                <w:b/>
                <w:bCs/>
                <w:kern w:val="24"/>
                <w:sz w:val="16"/>
                <w:szCs w:val="16"/>
                <w:lang w:eastAsia="en-ZA"/>
              </w:rPr>
              <w:t xml:space="preserve">Target (2021): </w:t>
            </w:r>
            <w:r w:rsidRPr="00A707DB">
              <w:rPr>
                <w:bCs/>
                <w:kern w:val="24"/>
                <w:sz w:val="16"/>
                <w:szCs w:val="16"/>
                <w:lang w:eastAsia="en-ZA"/>
              </w:rPr>
              <w:t xml:space="preserve">12 functional modules </w:t>
            </w:r>
          </w:p>
          <w:p w14:paraId="3BB72BC2" w14:textId="77777777" w:rsidR="00847805" w:rsidRDefault="00847805" w:rsidP="00847805">
            <w:pPr>
              <w:rPr>
                <w:b/>
                <w:iCs/>
                <w:sz w:val="16"/>
                <w:szCs w:val="16"/>
              </w:rPr>
            </w:pPr>
          </w:p>
          <w:p w14:paraId="7D168385" w14:textId="38829848" w:rsidR="00847805" w:rsidRDefault="00847805" w:rsidP="00847805">
            <w:pPr>
              <w:rPr>
                <w:b/>
                <w:iCs/>
                <w:sz w:val="16"/>
                <w:szCs w:val="16"/>
              </w:rPr>
            </w:pPr>
            <w:r w:rsidRPr="00A707DB">
              <w:rPr>
                <w:b/>
                <w:iCs/>
                <w:sz w:val="16"/>
                <w:szCs w:val="16"/>
              </w:rPr>
              <w:t xml:space="preserve">Data source: </w:t>
            </w:r>
            <w:r w:rsidR="0038619B">
              <w:rPr>
                <w:iCs/>
                <w:sz w:val="16"/>
                <w:szCs w:val="16"/>
              </w:rPr>
              <w:t>Ministry of Finance</w:t>
            </w:r>
            <w:r w:rsidRPr="00A707DB">
              <w:rPr>
                <w:iCs/>
                <w:sz w:val="16"/>
                <w:szCs w:val="16"/>
              </w:rPr>
              <w:t>;</w:t>
            </w:r>
            <w:r w:rsidRPr="00A707DB">
              <w:rPr>
                <w:b/>
                <w:iCs/>
                <w:sz w:val="16"/>
                <w:szCs w:val="16"/>
              </w:rPr>
              <w:t xml:space="preserve"> Frequency: </w:t>
            </w:r>
            <w:r w:rsidR="00E966DD">
              <w:rPr>
                <w:iCs/>
                <w:sz w:val="16"/>
                <w:szCs w:val="16"/>
              </w:rPr>
              <w:t>a</w:t>
            </w:r>
            <w:r w:rsidRPr="00A707DB">
              <w:rPr>
                <w:iCs/>
                <w:sz w:val="16"/>
                <w:szCs w:val="16"/>
              </w:rPr>
              <w:t>nnual</w:t>
            </w:r>
          </w:p>
          <w:p w14:paraId="63C0818C" w14:textId="77777777" w:rsidR="00847805" w:rsidRDefault="00847805" w:rsidP="00847805">
            <w:pPr>
              <w:rPr>
                <w:b/>
                <w:iCs/>
                <w:sz w:val="16"/>
                <w:szCs w:val="16"/>
              </w:rPr>
            </w:pPr>
          </w:p>
          <w:p w14:paraId="6B36B7FD" w14:textId="55F47FA1" w:rsidR="00847805" w:rsidRPr="003C1541" w:rsidRDefault="00847805" w:rsidP="00847805">
            <w:pPr>
              <w:rPr>
                <w:b/>
                <w:iCs/>
                <w:sz w:val="16"/>
                <w:szCs w:val="16"/>
              </w:rPr>
            </w:pPr>
            <w:r w:rsidRPr="00A707DB">
              <w:rPr>
                <w:b/>
                <w:bCs/>
                <w:kern w:val="24"/>
                <w:sz w:val="16"/>
                <w:szCs w:val="16"/>
                <w:lang w:eastAsia="en-ZA"/>
              </w:rPr>
              <w:t>Indicator 3.2.2.</w:t>
            </w:r>
            <w:r w:rsidRPr="00A707DB">
              <w:rPr>
                <w:bCs/>
                <w:kern w:val="24"/>
                <w:sz w:val="16"/>
                <w:szCs w:val="16"/>
                <w:lang w:eastAsia="en-ZA"/>
              </w:rPr>
              <w:t xml:space="preserve"> </w:t>
            </w:r>
            <w:r w:rsidR="00667459">
              <w:rPr>
                <w:bCs/>
                <w:kern w:val="24"/>
                <w:sz w:val="16"/>
                <w:szCs w:val="16"/>
                <w:lang w:eastAsia="en-ZA"/>
              </w:rPr>
              <w:t>e</w:t>
            </w:r>
            <w:r w:rsidRPr="00A707DB">
              <w:rPr>
                <w:bCs/>
                <w:kern w:val="24"/>
                <w:sz w:val="16"/>
                <w:szCs w:val="16"/>
                <w:lang w:eastAsia="en-ZA"/>
              </w:rPr>
              <w:t xml:space="preserve">xtent to which audits comply with </w:t>
            </w:r>
            <w:r w:rsidR="00667459">
              <w:rPr>
                <w:bCs/>
                <w:kern w:val="24"/>
                <w:sz w:val="16"/>
                <w:szCs w:val="16"/>
                <w:lang w:eastAsia="en-ZA"/>
              </w:rPr>
              <w:t>i</w:t>
            </w:r>
            <w:r w:rsidRPr="00A707DB">
              <w:rPr>
                <w:bCs/>
                <w:kern w:val="24"/>
                <w:sz w:val="16"/>
                <w:szCs w:val="16"/>
                <w:lang w:eastAsia="en-ZA"/>
              </w:rPr>
              <w:t xml:space="preserve">nternational </w:t>
            </w:r>
            <w:r w:rsidR="00667459">
              <w:rPr>
                <w:bCs/>
                <w:kern w:val="24"/>
                <w:sz w:val="16"/>
                <w:szCs w:val="16"/>
                <w:lang w:eastAsia="en-ZA"/>
              </w:rPr>
              <w:t>s</w:t>
            </w:r>
            <w:r w:rsidRPr="00A707DB">
              <w:rPr>
                <w:bCs/>
                <w:kern w:val="24"/>
                <w:sz w:val="16"/>
                <w:szCs w:val="16"/>
                <w:lang w:eastAsia="en-ZA"/>
              </w:rPr>
              <w:t>tandards</w:t>
            </w:r>
            <w:r w:rsidRPr="00A707DB">
              <w:rPr>
                <w:bCs/>
                <w:kern w:val="24"/>
                <w:sz w:val="16"/>
                <w:szCs w:val="16"/>
                <w:vertAlign w:val="superscript"/>
                <w:lang w:eastAsia="en-ZA"/>
              </w:rPr>
              <w:footnoteReference w:id="12"/>
            </w:r>
            <w:r w:rsidRPr="00A707DB">
              <w:rPr>
                <w:bCs/>
                <w:kern w:val="24"/>
                <w:sz w:val="16"/>
                <w:szCs w:val="16"/>
                <w:lang w:eastAsia="en-ZA"/>
              </w:rPr>
              <w:t xml:space="preserve"> </w:t>
            </w:r>
          </w:p>
          <w:p w14:paraId="2D3D66D6" w14:textId="37476FB1" w:rsidR="00847805" w:rsidRDefault="00847805" w:rsidP="00847805">
            <w:pPr>
              <w:rPr>
                <w:bCs/>
                <w:kern w:val="24"/>
                <w:sz w:val="16"/>
                <w:szCs w:val="16"/>
                <w:lang w:eastAsia="en-ZA"/>
              </w:rPr>
            </w:pPr>
            <w:r w:rsidRPr="00A707DB">
              <w:rPr>
                <w:b/>
                <w:bCs/>
                <w:kern w:val="24"/>
                <w:sz w:val="16"/>
                <w:szCs w:val="16"/>
                <w:lang w:eastAsia="en-ZA"/>
              </w:rPr>
              <w:t xml:space="preserve">Baseline (2015): </w:t>
            </w:r>
            <w:r w:rsidRPr="00A707DB">
              <w:rPr>
                <w:bCs/>
                <w:kern w:val="24"/>
                <w:sz w:val="16"/>
                <w:szCs w:val="16"/>
                <w:lang w:eastAsia="en-ZA"/>
              </w:rPr>
              <w:t>2</w:t>
            </w:r>
            <w:r>
              <w:rPr>
                <w:bCs/>
                <w:kern w:val="24"/>
                <w:sz w:val="16"/>
                <w:szCs w:val="16"/>
                <w:lang w:eastAsia="en-ZA"/>
              </w:rPr>
              <w:t xml:space="preserve"> - </w:t>
            </w:r>
            <w:r w:rsidR="00667459">
              <w:rPr>
                <w:bCs/>
                <w:kern w:val="24"/>
                <w:sz w:val="16"/>
                <w:szCs w:val="16"/>
                <w:lang w:eastAsia="en-ZA"/>
              </w:rPr>
              <w:t>s</w:t>
            </w:r>
            <w:r>
              <w:rPr>
                <w:bCs/>
                <w:kern w:val="24"/>
                <w:sz w:val="16"/>
                <w:szCs w:val="16"/>
                <w:lang w:eastAsia="en-ZA"/>
              </w:rPr>
              <w:t>atisfactory</w:t>
            </w:r>
            <w:r w:rsidRPr="00A707DB">
              <w:rPr>
                <w:bCs/>
                <w:kern w:val="24"/>
                <w:sz w:val="16"/>
                <w:szCs w:val="16"/>
                <w:lang w:eastAsia="en-ZA"/>
              </w:rPr>
              <w:t xml:space="preserve">; </w:t>
            </w:r>
            <w:r w:rsidRPr="00A707DB">
              <w:rPr>
                <w:b/>
                <w:bCs/>
                <w:kern w:val="24"/>
                <w:sz w:val="16"/>
                <w:szCs w:val="16"/>
                <w:lang w:eastAsia="en-ZA"/>
              </w:rPr>
              <w:t xml:space="preserve"> Target (2021):</w:t>
            </w:r>
            <w:r w:rsidRPr="00A707DB">
              <w:rPr>
                <w:bCs/>
                <w:kern w:val="24"/>
                <w:sz w:val="16"/>
                <w:szCs w:val="16"/>
                <w:lang w:eastAsia="en-ZA"/>
              </w:rPr>
              <w:t xml:space="preserve"> 3</w:t>
            </w:r>
            <w:r>
              <w:rPr>
                <w:bCs/>
                <w:kern w:val="24"/>
                <w:sz w:val="16"/>
                <w:szCs w:val="16"/>
                <w:lang w:eastAsia="en-ZA"/>
              </w:rPr>
              <w:t xml:space="preserve"> – </w:t>
            </w:r>
            <w:r w:rsidR="00667459">
              <w:rPr>
                <w:bCs/>
                <w:kern w:val="24"/>
                <w:sz w:val="16"/>
                <w:szCs w:val="16"/>
                <w:lang w:eastAsia="en-ZA"/>
              </w:rPr>
              <w:t>v</w:t>
            </w:r>
            <w:r>
              <w:rPr>
                <w:bCs/>
                <w:kern w:val="24"/>
                <w:sz w:val="16"/>
                <w:szCs w:val="16"/>
                <w:lang w:eastAsia="en-ZA"/>
              </w:rPr>
              <w:t>ery satisfactory</w:t>
            </w:r>
            <w:r w:rsidRPr="00A707DB">
              <w:rPr>
                <w:bCs/>
                <w:kern w:val="24"/>
                <w:sz w:val="16"/>
                <w:szCs w:val="16"/>
                <w:vertAlign w:val="superscript"/>
                <w:lang w:eastAsia="en-ZA"/>
              </w:rPr>
              <w:footnoteReference w:id="13"/>
            </w:r>
          </w:p>
          <w:p w14:paraId="279EF862" w14:textId="77777777" w:rsidR="00847805" w:rsidRPr="00A707DB" w:rsidRDefault="00847805" w:rsidP="00847805">
            <w:pPr>
              <w:rPr>
                <w:b/>
                <w:bCs/>
                <w:kern w:val="24"/>
                <w:sz w:val="16"/>
                <w:szCs w:val="16"/>
                <w:lang w:eastAsia="en-ZA"/>
              </w:rPr>
            </w:pPr>
            <w:r>
              <w:rPr>
                <w:bCs/>
                <w:kern w:val="24"/>
                <w:sz w:val="16"/>
                <w:szCs w:val="16"/>
                <w:lang w:eastAsia="en-ZA"/>
              </w:rPr>
              <w:t xml:space="preserve"> </w:t>
            </w:r>
          </w:p>
          <w:p w14:paraId="18AB9CDF" w14:textId="0F167A57" w:rsidR="00847805" w:rsidRDefault="00847805" w:rsidP="00847805">
            <w:pPr>
              <w:rPr>
                <w:iCs/>
                <w:sz w:val="16"/>
                <w:szCs w:val="16"/>
              </w:rPr>
            </w:pPr>
            <w:r w:rsidRPr="00A707DB">
              <w:rPr>
                <w:b/>
                <w:iCs/>
                <w:sz w:val="16"/>
                <w:szCs w:val="16"/>
              </w:rPr>
              <w:t xml:space="preserve">Data source:  </w:t>
            </w:r>
            <w:r w:rsidR="0038619B">
              <w:rPr>
                <w:iCs/>
                <w:sz w:val="16"/>
                <w:szCs w:val="16"/>
              </w:rPr>
              <w:t>Ministry of Finance</w:t>
            </w:r>
            <w:r w:rsidRPr="00A707DB">
              <w:rPr>
                <w:iCs/>
                <w:sz w:val="16"/>
                <w:szCs w:val="16"/>
              </w:rPr>
              <w:t>;</w:t>
            </w:r>
            <w:r w:rsidRPr="00A707DB">
              <w:rPr>
                <w:b/>
                <w:iCs/>
                <w:sz w:val="16"/>
                <w:szCs w:val="16"/>
              </w:rPr>
              <w:t xml:space="preserve"> Frequency: </w:t>
            </w:r>
            <w:r w:rsidR="00E966DD">
              <w:rPr>
                <w:iCs/>
                <w:sz w:val="16"/>
                <w:szCs w:val="16"/>
              </w:rPr>
              <w:t>a</w:t>
            </w:r>
            <w:r w:rsidRPr="00A707DB">
              <w:rPr>
                <w:iCs/>
                <w:sz w:val="16"/>
                <w:szCs w:val="16"/>
              </w:rPr>
              <w:t>nnual</w:t>
            </w:r>
          </w:p>
          <w:p w14:paraId="0AADE59D" w14:textId="77777777" w:rsidR="00847805" w:rsidRDefault="00847805" w:rsidP="00847805">
            <w:pPr>
              <w:rPr>
                <w:iCs/>
                <w:sz w:val="16"/>
                <w:szCs w:val="16"/>
              </w:rPr>
            </w:pPr>
          </w:p>
          <w:p w14:paraId="4C4E8044" w14:textId="2613F0D9" w:rsidR="00847805" w:rsidRPr="00A707DB" w:rsidRDefault="00847805" w:rsidP="00847805">
            <w:pPr>
              <w:spacing w:before="120"/>
              <w:rPr>
                <w:bCs/>
                <w:kern w:val="24"/>
                <w:sz w:val="16"/>
                <w:szCs w:val="16"/>
                <w:lang w:eastAsia="en-ZA"/>
              </w:rPr>
            </w:pPr>
            <w:r w:rsidRPr="00A707DB">
              <w:rPr>
                <w:b/>
                <w:bCs/>
                <w:kern w:val="24"/>
                <w:sz w:val="16"/>
                <w:szCs w:val="16"/>
                <w:lang w:eastAsia="en-ZA"/>
              </w:rPr>
              <w:t>Indicator 3.2.</w:t>
            </w:r>
            <w:r>
              <w:rPr>
                <w:b/>
                <w:bCs/>
                <w:kern w:val="24"/>
                <w:sz w:val="16"/>
                <w:szCs w:val="16"/>
                <w:lang w:eastAsia="en-ZA"/>
              </w:rPr>
              <w:t>3</w:t>
            </w:r>
            <w:r w:rsidRPr="00A707DB">
              <w:rPr>
                <w:b/>
                <w:bCs/>
                <w:kern w:val="24"/>
                <w:sz w:val="16"/>
                <w:szCs w:val="16"/>
                <w:lang w:eastAsia="en-ZA"/>
              </w:rPr>
              <w:t>.</w:t>
            </w:r>
            <w:r w:rsidRPr="00A707DB">
              <w:rPr>
                <w:bCs/>
                <w:kern w:val="24"/>
                <w:sz w:val="16"/>
                <w:szCs w:val="16"/>
                <w:lang w:eastAsia="en-ZA"/>
              </w:rPr>
              <w:t xml:space="preserve"> % of ministr</w:t>
            </w:r>
            <w:r w:rsidR="00667459">
              <w:rPr>
                <w:bCs/>
                <w:kern w:val="24"/>
                <w:sz w:val="16"/>
                <w:szCs w:val="16"/>
                <w:lang w:eastAsia="en-ZA"/>
              </w:rPr>
              <w:t>y</w:t>
            </w:r>
            <w:r w:rsidRPr="00A707DB">
              <w:rPr>
                <w:bCs/>
                <w:kern w:val="24"/>
                <w:sz w:val="16"/>
                <w:szCs w:val="16"/>
                <w:lang w:eastAsia="en-ZA"/>
              </w:rPr>
              <w:t xml:space="preserve"> audits with environmental and performance</w:t>
            </w:r>
            <w:r w:rsidR="00667459">
              <w:rPr>
                <w:bCs/>
                <w:kern w:val="24"/>
                <w:sz w:val="16"/>
                <w:szCs w:val="16"/>
                <w:lang w:eastAsia="en-ZA"/>
              </w:rPr>
              <w:t>-</w:t>
            </w:r>
            <w:r w:rsidRPr="00A707DB">
              <w:rPr>
                <w:bCs/>
                <w:kern w:val="24"/>
                <w:sz w:val="16"/>
                <w:szCs w:val="16"/>
                <w:lang w:eastAsia="en-ZA"/>
              </w:rPr>
              <w:t>based assessment</w:t>
            </w:r>
          </w:p>
          <w:p w14:paraId="7A9B8E6F" w14:textId="77777777" w:rsidR="00847805" w:rsidRDefault="00847805" w:rsidP="00847805">
            <w:pPr>
              <w:rPr>
                <w:b/>
                <w:bCs/>
                <w:kern w:val="24"/>
                <w:sz w:val="16"/>
                <w:szCs w:val="16"/>
                <w:lang w:eastAsia="en-ZA"/>
              </w:rPr>
            </w:pPr>
          </w:p>
          <w:p w14:paraId="3CB44172" w14:textId="77777777" w:rsidR="00847805" w:rsidRPr="00A707DB" w:rsidRDefault="00847805" w:rsidP="00847805">
            <w:pPr>
              <w:rPr>
                <w:bCs/>
                <w:kern w:val="24"/>
                <w:sz w:val="16"/>
                <w:szCs w:val="16"/>
                <w:lang w:eastAsia="en-ZA"/>
              </w:rPr>
            </w:pPr>
            <w:r w:rsidRPr="00A707DB">
              <w:rPr>
                <w:b/>
                <w:bCs/>
                <w:kern w:val="24"/>
                <w:sz w:val="16"/>
                <w:szCs w:val="16"/>
                <w:lang w:eastAsia="en-ZA"/>
              </w:rPr>
              <w:t xml:space="preserve">Baseline (2015): </w:t>
            </w:r>
            <w:r w:rsidRPr="00A707DB">
              <w:rPr>
                <w:bCs/>
                <w:kern w:val="24"/>
                <w:sz w:val="16"/>
                <w:szCs w:val="16"/>
                <w:lang w:eastAsia="en-ZA"/>
              </w:rPr>
              <w:t>0</w:t>
            </w:r>
            <w:r>
              <w:rPr>
                <w:bCs/>
                <w:kern w:val="24"/>
                <w:sz w:val="16"/>
                <w:szCs w:val="16"/>
                <w:lang w:eastAsia="en-ZA"/>
              </w:rPr>
              <w:t>%</w:t>
            </w:r>
            <w:r w:rsidRPr="00A707DB">
              <w:rPr>
                <w:bCs/>
                <w:kern w:val="24"/>
                <w:sz w:val="16"/>
                <w:szCs w:val="16"/>
                <w:lang w:eastAsia="en-ZA"/>
              </w:rPr>
              <w:t xml:space="preserve">; </w:t>
            </w:r>
            <w:r w:rsidRPr="00A707DB">
              <w:rPr>
                <w:b/>
                <w:bCs/>
                <w:kern w:val="24"/>
                <w:sz w:val="16"/>
                <w:szCs w:val="16"/>
                <w:lang w:eastAsia="en-ZA"/>
              </w:rPr>
              <w:t xml:space="preserve">Target (2021): </w:t>
            </w:r>
            <w:r w:rsidRPr="00A707DB">
              <w:rPr>
                <w:bCs/>
                <w:kern w:val="24"/>
                <w:sz w:val="16"/>
                <w:szCs w:val="16"/>
                <w:lang w:eastAsia="en-ZA"/>
              </w:rPr>
              <w:t>60%</w:t>
            </w:r>
          </w:p>
          <w:p w14:paraId="6A3F7579" w14:textId="77777777" w:rsidR="00847805" w:rsidRDefault="00847805" w:rsidP="00847805">
            <w:pPr>
              <w:rPr>
                <w:b/>
                <w:iCs/>
                <w:sz w:val="16"/>
                <w:szCs w:val="16"/>
              </w:rPr>
            </w:pPr>
          </w:p>
          <w:p w14:paraId="2ADB1F32" w14:textId="1D464EDC" w:rsidR="00847805" w:rsidRPr="003C26C1" w:rsidRDefault="00847805" w:rsidP="00847805">
            <w:pPr>
              <w:rPr>
                <w:i/>
                <w:iCs/>
                <w:color w:val="000000"/>
                <w:sz w:val="16"/>
                <w:szCs w:val="16"/>
                <w:lang w:val="en-GB"/>
              </w:rPr>
            </w:pPr>
            <w:r w:rsidRPr="00A707DB">
              <w:rPr>
                <w:b/>
                <w:iCs/>
                <w:sz w:val="16"/>
                <w:szCs w:val="16"/>
              </w:rPr>
              <w:t xml:space="preserve">Data source:  </w:t>
            </w:r>
            <w:r w:rsidR="0038619B">
              <w:rPr>
                <w:iCs/>
                <w:sz w:val="16"/>
                <w:szCs w:val="16"/>
              </w:rPr>
              <w:t>Ministry of Finance</w:t>
            </w:r>
            <w:r w:rsidRPr="00A707DB">
              <w:rPr>
                <w:iCs/>
                <w:sz w:val="16"/>
                <w:szCs w:val="16"/>
              </w:rPr>
              <w:t>;</w:t>
            </w:r>
            <w:r w:rsidRPr="00A707DB">
              <w:rPr>
                <w:b/>
                <w:iCs/>
                <w:sz w:val="16"/>
                <w:szCs w:val="16"/>
              </w:rPr>
              <w:t xml:space="preserve"> Frequency: </w:t>
            </w:r>
            <w:r w:rsidR="00E966DD">
              <w:rPr>
                <w:iCs/>
                <w:sz w:val="16"/>
                <w:szCs w:val="16"/>
              </w:rPr>
              <w:t>a</w:t>
            </w:r>
            <w:r>
              <w:rPr>
                <w:iCs/>
                <w:sz w:val="16"/>
                <w:szCs w:val="16"/>
              </w:rPr>
              <w:t>nnual</w:t>
            </w:r>
          </w:p>
        </w:tc>
        <w:tc>
          <w:tcPr>
            <w:tcW w:w="653" w:type="pct"/>
          </w:tcPr>
          <w:p w14:paraId="48CF530E" w14:textId="3EE4C062" w:rsidR="00847805" w:rsidRPr="00A707DB" w:rsidRDefault="00F45F34" w:rsidP="00847805">
            <w:pPr>
              <w:spacing w:before="120"/>
              <w:rPr>
                <w:sz w:val="16"/>
                <w:szCs w:val="16"/>
                <w:lang w:eastAsia="en-ZA"/>
              </w:rPr>
            </w:pPr>
            <w:r>
              <w:rPr>
                <w:sz w:val="16"/>
                <w:szCs w:val="16"/>
                <w:lang w:eastAsia="en-ZA"/>
              </w:rPr>
              <w:t>MND</w:t>
            </w:r>
            <w:r w:rsidR="00847805" w:rsidRPr="00A707DB">
              <w:rPr>
                <w:sz w:val="16"/>
                <w:szCs w:val="16"/>
                <w:lang w:eastAsia="en-ZA"/>
              </w:rPr>
              <w:t xml:space="preserve">, </w:t>
            </w:r>
            <w:r w:rsidR="0038619B">
              <w:rPr>
                <w:sz w:val="16"/>
                <w:szCs w:val="16"/>
                <w:lang w:eastAsia="en-ZA"/>
              </w:rPr>
              <w:t>Ministry of Finance</w:t>
            </w:r>
            <w:r w:rsidR="00847805">
              <w:rPr>
                <w:sz w:val="16"/>
                <w:szCs w:val="16"/>
                <w:lang w:eastAsia="en-ZA"/>
              </w:rPr>
              <w:t xml:space="preserve">, Auditor General Office, </w:t>
            </w:r>
            <w:r w:rsidR="00115246">
              <w:rPr>
                <w:sz w:val="16"/>
                <w:szCs w:val="16"/>
                <w:lang w:val="en-ZW" w:eastAsia="en-ZA"/>
              </w:rPr>
              <w:t>ADB</w:t>
            </w:r>
            <w:r w:rsidR="00C1328E" w:rsidRPr="00C1328E">
              <w:rPr>
                <w:sz w:val="16"/>
                <w:szCs w:val="16"/>
                <w:lang w:val="en-ZW" w:eastAsia="en-ZA"/>
              </w:rPr>
              <w:t xml:space="preserve"> </w:t>
            </w:r>
          </w:p>
          <w:p w14:paraId="54B20E3C" w14:textId="77777777" w:rsidR="00847805" w:rsidRPr="00A707DB" w:rsidRDefault="00847805" w:rsidP="00847805">
            <w:pPr>
              <w:rPr>
                <w:sz w:val="16"/>
                <w:szCs w:val="16"/>
                <w:lang w:eastAsia="en-ZA"/>
              </w:rPr>
            </w:pPr>
          </w:p>
          <w:p w14:paraId="4DD8FEF2" w14:textId="77777777" w:rsidR="00847805" w:rsidRPr="00A707DB" w:rsidRDefault="00847805" w:rsidP="00847805">
            <w:pPr>
              <w:rPr>
                <w:sz w:val="16"/>
                <w:szCs w:val="16"/>
                <w:lang w:eastAsia="en-ZA"/>
              </w:rPr>
            </w:pPr>
            <w:r w:rsidRPr="00A707DB">
              <w:rPr>
                <w:sz w:val="16"/>
                <w:szCs w:val="16"/>
                <w:lang w:eastAsia="en-ZA"/>
              </w:rPr>
              <w:t>UNDP</w:t>
            </w:r>
          </w:p>
          <w:p w14:paraId="18B95A04" w14:textId="77777777" w:rsidR="00847805" w:rsidRPr="00A707DB" w:rsidRDefault="00847805" w:rsidP="00847805">
            <w:pPr>
              <w:rPr>
                <w:sz w:val="16"/>
                <w:szCs w:val="16"/>
                <w:lang w:eastAsia="en-ZA"/>
              </w:rPr>
            </w:pPr>
          </w:p>
          <w:p w14:paraId="19BF059A" w14:textId="2512BD22" w:rsidR="00847805" w:rsidRPr="00A707DB" w:rsidRDefault="0038619B" w:rsidP="00847805">
            <w:pPr>
              <w:rPr>
                <w:sz w:val="16"/>
                <w:szCs w:val="16"/>
                <w:lang w:eastAsia="en-ZA"/>
              </w:rPr>
            </w:pPr>
            <w:r>
              <w:rPr>
                <w:sz w:val="16"/>
                <w:szCs w:val="16"/>
                <w:lang w:eastAsia="en-ZA"/>
              </w:rPr>
              <w:t>Ministry of Foreign Affairs</w:t>
            </w:r>
            <w:r w:rsidR="009F16EE">
              <w:rPr>
                <w:sz w:val="16"/>
                <w:szCs w:val="16"/>
                <w:lang w:eastAsia="en-ZA"/>
              </w:rPr>
              <w:t xml:space="preserve"> (M</w:t>
            </w:r>
            <w:r w:rsidR="00852FFB">
              <w:rPr>
                <w:sz w:val="16"/>
                <w:szCs w:val="16"/>
                <w:lang w:eastAsia="en-ZA"/>
              </w:rPr>
              <w:t>O</w:t>
            </w:r>
            <w:r w:rsidR="008B0331">
              <w:rPr>
                <w:sz w:val="16"/>
                <w:szCs w:val="16"/>
                <w:lang w:eastAsia="en-ZA"/>
              </w:rPr>
              <w:t>FA)</w:t>
            </w:r>
            <w:r w:rsidR="00847805" w:rsidRPr="00A707DB">
              <w:rPr>
                <w:sz w:val="16"/>
                <w:szCs w:val="16"/>
                <w:lang w:eastAsia="en-ZA"/>
              </w:rPr>
              <w:t xml:space="preserve">, </w:t>
            </w:r>
            <w:r w:rsidR="00F45F34">
              <w:rPr>
                <w:sz w:val="16"/>
                <w:szCs w:val="16"/>
                <w:lang w:eastAsia="en-ZA"/>
              </w:rPr>
              <w:t>MND</w:t>
            </w:r>
            <w:r w:rsidR="00847805" w:rsidRPr="00A707DB">
              <w:rPr>
                <w:sz w:val="16"/>
                <w:szCs w:val="16"/>
                <w:lang w:eastAsia="en-ZA"/>
              </w:rPr>
              <w:t xml:space="preserve">, </w:t>
            </w:r>
            <w:r w:rsidR="00115246" w:rsidRPr="00115246">
              <w:rPr>
                <w:sz w:val="16"/>
                <w:szCs w:val="16"/>
                <w:lang w:eastAsia="en-ZA"/>
              </w:rPr>
              <w:t>MLHW</w:t>
            </w:r>
            <w:r w:rsidR="00847805" w:rsidRPr="00A707DB">
              <w:rPr>
                <w:sz w:val="16"/>
                <w:szCs w:val="16"/>
                <w:lang w:eastAsia="en-ZA"/>
              </w:rPr>
              <w:t xml:space="preserve"> </w:t>
            </w:r>
          </w:p>
          <w:p w14:paraId="5046969F" w14:textId="77777777" w:rsidR="00847805" w:rsidRPr="00A707DB" w:rsidRDefault="00847805" w:rsidP="00847805">
            <w:pPr>
              <w:rPr>
                <w:sz w:val="16"/>
                <w:szCs w:val="16"/>
                <w:lang w:eastAsia="en-ZA"/>
              </w:rPr>
            </w:pPr>
          </w:p>
          <w:p w14:paraId="3F0D3C03" w14:textId="58409ADB" w:rsidR="00847805" w:rsidRPr="00A707DB" w:rsidRDefault="00847805" w:rsidP="00847805">
            <w:pPr>
              <w:rPr>
                <w:sz w:val="16"/>
                <w:szCs w:val="16"/>
                <w:lang w:eastAsia="en-ZA"/>
              </w:rPr>
            </w:pPr>
            <w:r w:rsidRPr="00A707DB">
              <w:rPr>
                <w:sz w:val="16"/>
                <w:szCs w:val="16"/>
                <w:lang w:eastAsia="en-ZA"/>
              </w:rPr>
              <w:t xml:space="preserve">UNDP, </w:t>
            </w:r>
            <w:r w:rsidR="007D03B1">
              <w:rPr>
                <w:sz w:val="16"/>
                <w:szCs w:val="16"/>
                <w:lang w:eastAsia="en-ZA"/>
              </w:rPr>
              <w:t>OHCHR</w:t>
            </w:r>
            <w:r w:rsidRPr="00A707DB">
              <w:rPr>
                <w:sz w:val="16"/>
                <w:szCs w:val="16"/>
                <w:lang w:eastAsia="en-ZA"/>
              </w:rPr>
              <w:t xml:space="preserve">, AUC, UNHCR, UN Women, </w:t>
            </w:r>
            <w:r w:rsidR="00693212">
              <w:rPr>
                <w:sz w:val="16"/>
                <w:szCs w:val="16"/>
                <w:lang w:val="en-ZW" w:eastAsia="en-ZA"/>
              </w:rPr>
              <w:t>ILO</w:t>
            </w:r>
            <w:r w:rsidRPr="00A707DB">
              <w:rPr>
                <w:sz w:val="16"/>
                <w:szCs w:val="16"/>
                <w:lang w:eastAsia="en-ZA"/>
              </w:rPr>
              <w:t>, UNICEF, UNFPA</w:t>
            </w:r>
          </w:p>
          <w:p w14:paraId="79C4084B" w14:textId="4181A138" w:rsidR="00847805" w:rsidRPr="00A707DB" w:rsidRDefault="00847805" w:rsidP="00847805">
            <w:pPr>
              <w:rPr>
                <w:sz w:val="16"/>
                <w:szCs w:val="16"/>
                <w:lang w:eastAsia="en-ZA"/>
              </w:rPr>
            </w:pPr>
            <w:r w:rsidRPr="00A707DB">
              <w:rPr>
                <w:sz w:val="16"/>
                <w:szCs w:val="16"/>
                <w:lang w:eastAsia="en-ZA"/>
              </w:rPr>
              <w:t xml:space="preserve">WHO, </w:t>
            </w:r>
            <w:r w:rsidR="00BA5FC7">
              <w:rPr>
                <w:sz w:val="16"/>
                <w:szCs w:val="16"/>
                <w:lang w:val="en-ZW" w:eastAsia="en-ZA"/>
              </w:rPr>
              <w:t>FAO</w:t>
            </w:r>
          </w:p>
          <w:p w14:paraId="334893E3" w14:textId="77777777" w:rsidR="00847805" w:rsidRPr="003C26C1" w:rsidRDefault="00847805" w:rsidP="000C3BCD">
            <w:pPr>
              <w:rPr>
                <w:i/>
                <w:iCs/>
                <w:color w:val="000000"/>
                <w:sz w:val="16"/>
                <w:szCs w:val="16"/>
                <w:lang w:val="en-GB"/>
              </w:rPr>
            </w:pPr>
          </w:p>
        </w:tc>
        <w:tc>
          <w:tcPr>
            <w:tcW w:w="590" w:type="pct"/>
            <w:vMerge/>
            <w:tcMar>
              <w:top w:w="15" w:type="dxa"/>
              <w:left w:w="108" w:type="dxa"/>
              <w:bottom w:w="0" w:type="dxa"/>
              <w:right w:w="108" w:type="dxa"/>
            </w:tcMar>
          </w:tcPr>
          <w:p w14:paraId="2432475C" w14:textId="77777777" w:rsidR="00847805" w:rsidRPr="003C26C1" w:rsidRDefault="00847805" w:rsidP="000C3BCD">
            <w:pPr>
              <w:rPr>
                <w:b/>
                <w:color w:val="000000"/>
                <w:sz w:val="16"/>
                <w:szCs w:val="16"/>
              </w:rPr>
            </w:pPr>
          </w:p>
        </w:tc>
      </w:tr>
      <w:tr w:rsidR="00847805" w:rsidRPr="003C26C1" w14:paraId="06DB11DA" w14:textId="77777777" w:rsidTr="00563F5D">
        <w:tc>
          <w:tcPr>
            <w:tcW w:w="1097" w:type="pct"/>
            <w:vMerge/>
            <w:tcMar>
              <w:top w:w="72" w:type="dxa"/>
              <w:left w:w="144" w:type="dxa"/>
              <w:bottom w:w="72" w:type="dxa"/>
              <w:right w:w="144" w:type="dxa"/>
            </w:tcMar>
          </w:tcPr>
          <w:p w14:paraId="2119B15B" w14:textId="77777777" w:rsidR="00847805" w:rsidRPr="003C26C1" w:rsidRDefault="00847805" w:rsidP="000C3BCD">
            <w:pPr>
              <w:rPr>
                <w:i/>
                <w:iCs/>
                <w:color w:val="000000"/>
                <w:sz w:val="16"/>
                <w:szCs w:val="16"/>
                <w:lang w:val="en-GB"/>
              </w:rPr>
            </w:pPr>
          </w:p>
        </w:tc>
        <w:tc>
          <w:tcPr>
            <w:tcW w:w="827" w:type="pct"/>
            <w:vMerge/>
          </w:tcPr>
          <w:p w14:paraId="71B5A987" w14:textId="77777777" w:rsidR="00847805" w:rsidRPr="003C26C1" w:rsidRDefault="00847805" w:rsidP="000C3BCD">
            <w:pPr>
              <w:rPr>
                <w:i/>
                <w:iCs/>
                <w:color w:val="000000"/>
                <w:sz w:val="16"/>
                <w:szCs w:val="16"/>
                <w:lang w:val="en-GB"/>
              </w:rPr>
            </w:pPr>
          </w:p>
        </w:tc>
        <w:tc>
          <w:tcPr>
            <w:tcW w:w="1833" w:type="pct"/>
            <w:tcMar>
              <w:top w:w="72" w:type="dxa"/>
              <w:left w:w="144" w:type="dxa"/>
              <w:bottom w:w="72" w:type="dxa"/>
              <w:right w:w="144" w:type="dxa"/>
            </w:tcMar>
          </w:tcPr>
          <w:p w14:paraId="36F18625" w14:textId="07121AE2" w:rsidR="00847805" w:rsidRPr="00A707DB" w:rsidRDefault="00847805" w:rsidP="00847805">
            <w:pPr>
              <w:spacing w:before="120"/>
              <w:rPr>
                <w:sz w:val="16"/>
                <w:szCs w:val="16"/>
              </w:rPr>
            </w:pPr>
            <w:r w:rsidRPr="00A707DB">
              <w:rPr>
                <w:b/>
                <w:bCs/>
                <w:kern w:val="24"/>
                <w:sz w:val="16"/>
                <w:szCs w:val="16"/>
                <w:lang w:eastAsia="en-ZA"/>
              </w:rPr>
              <w:t xml:space="preserve">Output 3.3. </w:t>
            </w:r>
            <w:r>
              <w:rPr>
                <w:bCs/>
                <w:kern w:val="24"/>
                <w:sz w:val="16"/>
                <w:szCs w:val="16"/>
                <w:lang w:eastAsia="en-ZA"/>
              </w:rPr>
              <w:t xml:space="preserve">Selected institutions </w:t>
            </w:r>
            <w:r w:rsidRPr="00A707DB">
              <w:rPr>
                <w:sz w:val="16"/>
                <w:szCs w:val="16"/>
              </w:rPr>
              <w:t>are able to mainstream, promote and report on international human rights treaties</w:t>
            </w:r>
            <w:r w:rsidR="00667459">
              <w:rPr>
                <w:sz w:val="16"/>
                <w:szCs w:val="16"/>
              </w:rPr>
              <w:t xml:space="preserve"> and </w:t>
            </w:r>
            <w:r>
              <w:rPr>
                <w:sz w:val="16"/>
                <w:szCs w:val="16"/>
              </w:rPr>
              <w:t>obligations</w:t>
            </w:r>
            <w:r w:rsidR="00667459">
              <w:rPr>
                <w:sz w:val="16"/>
                <w:szCs w:val="16"/>
              </w:rPr>
              <w:t>.</w:t>
            </w:r>
          </w:p>
          <w:p w14:paraId="6AB41873" w14:textId="77777777" w:rsidR="00847805" w:rsidRDefault="00847805" w:rsidP="00847805">
            <w:pPr>
              <w:rPr>
                <w:b/>
                <w:bCs/>
                <w:kern w:val="24"/>
                <w:sz w:val="16"/>
                <w:szCs w:val="16"/>
                <w:lang w:eastAsia="en-ZA"/>
              </w:rPr>
            </w:pPr>
          </w:p>
          <w:p w14:paraId="1A1AD9E8" w14:textId="5C9E11AA" w:rsidR="00847805" w:rsidRPr="00A707DB" w:rsidRDefault="00847805" w:rsidP="00847805">
            <w:pPr>
              <w:rPr>
                <w:bCs/>
                <w:kern w:val="24"/>
                <w:sz w:val="16"/>
                <w:szCs w:val="16"/>
                <w:lang w:eastAsia="en-ZA"/>
              </w:rPr>
            </w:pPr>
            <w:r w:rsidRPr="00A707DB">
              <w:rPr>
                <w:b/>
                <w:bCs/>
                <w:kern w:val="24"/>
                <w:sz w:val="16"/>
                <w:szCs w:val="16"/>
                <w:lang w:eastAsia="en-ZA"/>
              </w:rPr>
              <w:t>Indicator 3.3.1.</w:t>
            </w:r>
            <w:r w:rsidRPr="00A707DB">
              <w:rPr>
                <w:bCs/>
                <w:kern w:val="24"/>
                <w:sz w:val="16"/>
                <w:szCs w:val="16"/>
                <w:lang w:eastAsia="en-ZA"/>
              </w:rPr>
              <w:t xml:space="preserve"> </w:t>
            </w:r>
            <w:r w:rsidR="00667459">
              <w:rPr>
                <w:bCs/>
                <w:kern w:val="24"/>
                <w:sz w:val="16"/>
                <w:szCs w:val="16"/>
                <w:lang w:eastAsia="en-ZA"/>
              </w:rPr>
              <w:t>e</w:t>
            </w:r>
            <w:r w:rsidRPr="009E4FAA">
              <w:rPr>
                <w:bCs/>
                <w:kern w:val="24"/>
                <w:sz w:val="16"/>
                <w:szCs w:val="16"/>
                <w:lang w:eastAsia="en-ZA"/>
              </w:rPr>
              <w:t>xtent to which operational institutions have the capacity to support fulfillment of nationally and internationally ratified human rights obligations</w:t>
            </w:r>
            <w:r>
              <w:rPr>
                <w:bCs/>
                <w:kern w:val="24"/>
                <w:sz w:val="16"/>
                <w:szCs w:val="16"/>
                <w:lang w:eastAsia="en-ZA"/>
              </w:rPr>
              <w:t xml:space="preserve"> (IRRF 2.3.1)</w:t>
            </w:r>
          </w:p>
          <w:p w14:paraId="132662DD" w14:textId="77777777" w:rsidR="00847805" w:rsidRDefault="00847805" w:rsidP="00847805">
            <w:pPr>
              <w:rPr>
                <w:b/>
                <w:bCs/>
                <w:kern w:val="24"/>
                <w:sz w:val="16"/>
                <w:szCs w:val="16"/>
                <w:lang w:eastAsia="en-ZA"/>
              </w:rPr>
            </w:pPr>
          </w:p>
          <w:p w14:paraId="42AB79FF" w14:textId="41AB6386" w:rsidR="00847805" w:rsidRPr="00A707DB" w:rsidRDefault="00847805" w:rsidP="00847805">
            <w:pPr>
              <w:rPr>
                <w:bCs/>
                <w:kern w:val="24"/>
                <w:sz w:val="16"/>
                <w:szCs w:val="16"/>
                <w:lang w:eastAsia="en-ZA"/>
              </w:rPr>
            </w:pPr>
            <w:r w:rsidRPr="00A707DB">
              <w:rPr>
                <w:b/>
                <w:bCs/>
                <w:kern w:val="24"/>
                <w:sz w:val="16"/>
                <w:szCs w:val="16"/>
                <w:lang w:eastAsia="en-ZA"/>
              </w:rPr>
              <w:t xml:space="preserve">Baseline (2015): </w:t>
            </w:r>
            <w:r>
              <w:rPr>
                <w:b/>
                <w:bCs/>
                <w:kern w:val="24"/>
                <w:sz w:val="16"/>
                <w:szCs w:val="16"/>
                <w:lang w:eastAsia="en-ZA"/>
              </w:rPr>
              <w:t>1</w:t>
            </w:r>
            <w:r>
              <w:rPr>
                <w:bCs/>
                <w:kern w:val="24"/>
                <w:sz w:val="16"/>
                <w:szCs w:val="16"/>
                <w:lang w:eastAsia="en-ZA"/>
              </w:rPr>
              <w:t xml:space="preserve"> – </w:t>
            </w:r>
            <w:r w:rsidR="00667459">
              <w:rPr>
                <w:bCs/>
                <w:kern w:val="24"/>
                <w:sz w:val="16"/>
                <w:szCs w:val="16"/>
                <w:lang w:eastAsia="en-ZA"/>
              </w:rPr>
              <w:t>n</w:t>
            </w:r>
            <w:r>
              <w:rPr>
                <w:bCs/>
                <w:kern w:val="24"/>
                <w:sz w:val="16"/>
                <w:szCs w:val="16"/>
                <w:lang w:eastAsia="en-ZA"/>
              </w:rPr>
              <w:t>ot adequately</w:t>
            </w:r>
            <w:r>
              <w:rPr>
                <w:b/>
                <w:bCs/>
                <w:kern w:val="24"/>
                <w:sz w:val="16"/>
                <w:szCs w:val="16"/>
                <w:lang w:eastAsia="en-ZA"/>
              </w:rPr>
              <w:t xml:space="preserve">; Target (2021): 4 </w:t>
            </w:r>
            <w:r w:rsidRPr="009E4FAA">
              <w:rPr>
                <w:bCs/>
                <w:kern w:val="24"/>
                <w:sz w:val="16"/>
                <w:szCs w:val="16"/>
                <w:lang w:eastAsia="en-ZA"/>
              </w:rPr>
              <w:t xml:space="preserve">– </w:t>
            </w:r>
            <w:r w:rsidR="00667459">
              <w:rPr>
                <w:bCs/>
                <w:kern w:val="24"/>
                <w:sz w:val="16"/>
                <w:szCs w:val="16"/>
                <w:lang w:eastAsia="en-ZA"/>
              </w:rPr>
              <w:t>l</w:t>
            </w:r>
            <w:r>
              <w:rPr>
                <w:bCs/>
                <w:kern w:val="24"/>
                <w:sz w:val="16"/>
                <w:szCs w:val="16"/>
                <w:lang w:eastAsia="en-ZA"/>
              </w:rPr>
              <w:t>argely</w:t>
            </w:r>
          </w:p>
          <w:p w14:paraId="477410F1" w14:textId="77777777" w:rsidR="00847805" w:rsidRDefault="00847805" w:rsidP="00847805">
            <w:pPr>
              <w:rPr>
                <w:b/>
                <w:iCs/>
                <w:sz w:val="16"/>
                <w:szCs w:val="16"/>
              </w:rPr>
            </w:pPr>
          </w:p>
          <w:p w14:paraId="4ABAB734" w14:textId="7742C1EB" w:rsidR="00847805" w:rsidRPr="00A707DB" w:rsidRDefault="00847805" w:rsidP="00847805">
            <w:pPr>
              <w:rPr>
                <w:iCs/>
                <w:sz w:val="16"/>
                <w:szCs w:val="16"/>
              </w:rPr>
            </w:pPr>
            <w:r w:rsidRPr="00A707DB">
              <w:rPr>
                <w:b/>
                <w:iCs/>
                <w:sz w:val="16"/>
                <w:szCs w:val="16"/>
              </w:rPr>
              <w:t xml:space="preserve">Data source: </w:t>
            </w:r>
            <w:r w:rsidR="008B0331">
              <w:rPr>
                <w:iCs/>
                <w:sz w:val="16"/>
                <w:szCs w:val="16"/>
              </w:rPr>
              <w:t>M</w:t>
            </w:r>
            <w:r w:rsidR="00852FFB">
              <w:rPr>
                <w:iCs/>
                <w:sz w:val="16"/>
                <w:szCs w:val="16"/>
              </w:rPr>
              <w:t>O</w:t>
            </w:r>
            <w:r w:rsidR="008B0331">
              <w:rPr>
                <w:iCs/>
                <w:sz w:val="16"/>
                <w:szCs w:val="16"/>
              </w:rPr>
              <w:t>FA</w:t>
            </w:r>
            <w:r w:rsidRPr="00A707DB">
              <w:rPr>
                <w:iCs/>
                <w:sz w:val="16"/>
                <w:szCs w:val="16"/>
              </w:rPr>
              <w:t>;</w:t>
            </w:r>
            <w:r w:rsidRPr="00A707DB">
              <w:rPr>
                <w:b/>
                <w:iCs/>
                <w:sz w:val="16"/>
                <w:szCs w:val="16"/>
              </w:rPr>
              <w:t xml:space="preserve"> Frequency: </w:t>
            </w:r>
            <w:r w:rsidR="00E966DD">
              <w:rPr>
                <w:iCs/>
                <w:sz w:val="16"/>
                <w:szCs w:val="16"/>
              </w:rPr>
              <w:t>a</w:t>
            </w:r>
            <w:r w:rsidRPr="00A707DB">
              <w:rPr>
                <w:iCs/>
                <w:sz w:val="16"/>
                <w:szCs w:val="16"/>
              </w:rPr>
              <w:t>nnual</w:t>
            </w:r>
          </w:p>
          <w:p w14:paraId="781334EE" w14:textId="77777777" w:rsidR="00847805" w:rsidRPr="000F3AE7" w:rsidRDefault="00847805" w:rsidP="00847805">
            <w:pPr>
              <w:rPr>
                <w:b/>
                <w:bCs/>
                <w:kern w:val="24"/>
                <w:sz w:val="16"/>
                <w:szCs w:val="16"/>
                <w:lang w:eastAsia="en-ZA"/>
              </w:rPr>
            </w:pPr>
          </w:p>
          <w:p w14:paraId="13E29602" w14:textId="53F7176E" w:rsidR="00847805" w:rsidRPr="00A707DB" w:rsidRDefault="00847805" w:rsidP="00847805">
            <w:pPr>
              <w:rPr>
                <w:bCs/>
                <w:kern w:val="24"/>
                <w:sz w:val="16"/>
                <w:szCs w:val="16"/>
                <w:lang w:eastAsia="en-ZA"/>
              </w:rPr>
            </w:pPr>
            <w:r>
              <w:rPr>
                <w:b/>
                <w:bCs/>
                <w:kern w:val="24"/>
                <w:sz w:val="16"/>
                <w:szCs w:val="16"/>
                <w:lang w:eastAsia="en-ZA"/>
              </w:rPr>
              <w:t>Indicator 3.3.2</w:t>
            </w:r>
            <w:r w:rsidRPr="00A707DB">
              <w:rPr>
                <w:b/>
                <w:bCs/>
                <w:kern w:val="24"/>
                <w:sz w:val="16"/>
                <w:szCs w:val="16"/>
                <w:lang w:eastAsia="en-ZA"/>
              </w:rPr>
              <w:t>.</w:t>
            </w:r>
            <w:r w:rsidRPr="00A707DB">
              <w:rPr>
                <w:bCs/>
                <w:kern w:val="24"/>
                <w:sz w:val="16"/>
                <w:szCs w:val="16"/>
                <w:lang w:eastAsia="en-ZA"/>
              </w:rPr>
              <w:t xml:space="preserve"> </w:t>
            </w:r>
            <w:r w:rsidR="00667459">
              <w:rPr>
                <w:bCs/>
                <w:kern w:val="24"/>
                <w:sz w:val="16"/>
                <w:szCs w:val="16"/>
                <w:lang w:eastAsia="en-ZA"/>
              </w:rPr>
              <w:t xml:space="preserve">% </w:t>
            </w:r>
            <w:r w:rsidRPr="00A707DB">
              <w:rPr>
                <w:bCs/>
                <w:kern w:val="24"/>
                <w:sz w:val="16"/>
                <w:szCs w:val="16"/>
                <w:lang w:eastAsia="en-ZA"/>
              </w:rPr>
              <w:t xml:space="preserve">of accepted </w:t>
            </w:r>
            <w:r w:rsidR="000A6D93" w:rsidRPr="000A6D93">
              <w:rPr>
                <w:bCs/>
                <w:kern w:val="24"/>
                <w:sz w:val="16"/>
                <w:szCs w:val="16"/>
                <w:lang w:val="en-ZW" w:eastAsia="en-ZA"/>
              </w:rPr>
              <w:t>Universal Periodic Review</w:t>
            </w:r>
            <w:r w:rsidRPr="00A707DB">
              <w:rPr>
                <w:bCs/>
                <w:kern w:val="24"/>
                <w:sz w:val="16"/>
                <w:szCs w:val="16"/>
                <w:lang w:eastAsia="en-ZA"/>
              </w:rPr>
              <w:t xml:space="preserve"> recommendations implemented </w:t>
            </w:r>
          </w:p>
          <w:p w14:paraId="76A194D4" w14:textId="77777777" w:rsidR="00847805" w:rsidRDefault="00847805" w:rsidP="00847805">
            <w:pPr>
              <w:rPr>
                <w:b/>
                <w:bCs/>
                <w:kern w:val="24"/>
                <w:sz w:val="16"/>
                <w:szCs w:val="16"/>
                <w:lang w:eastAsia="en-ZA"/>
              </w:rPr>
            </w:pPr>
          </w:p>
          <w:p w14:paraId="2FD77B82" w14:textId="77777777" w:rsidR="00847805" w:rsidRPr="00A707DB" w:rsidRDefault="00847805" w:rsidP="00847805">
            <w:pPr>
              <w:rPr>
                <w:bCs/>
                <w:kern w:val="24"/>
                <w:sz w:val="16"/>
                <w:szCs w:val="16"/>
                <w:lang w:eastAsia="en-ZA"/>
              </w:rPr>
            </w:pPr>
            <w:r w:rsidRPr="00A707DB">
              <w:rPr>
                <w:b/>
                <w:bCs/>
                <w:kern w:val="24"/>
                <w:sz w:val="16"/>
                <w:szCs w:val="16"/>
                <w:lang w:eastAsia="en-ZA"/>
              </w:rPr>
              <w:t xml:space="preserve">Baseline (2015): </w:t>
            </w:r>
            <w:r w:rsidRPr="00A707DB">
              <w:rPr>
                <w:bCs/>
                <w:kern w:val="24"/>
                <w:sz w:val="16"/>
                <w:szCs w:val="16"/>
                <w:lang w:eastAsia="en-ZA"/>
              </w:rPr>
              <w:t>46%;</w:t>
            </w:r>
            <w:r w:rsidRPr="00A707DB">
              <w:rPr>
                <w:b/>
                <w:bCs/>
                <w:kern w:val="24"/>
                <w:sz w:val="16"/>
                <w:szCs w:val="16"/>
                <w:lang w:eastAsia="en-ZA"/>
              </w:rPr>
              <w:t xml:space="preserve"> Target (2021): </w:t>
            </w:r>
            <w:r w:rsidRPr="00A707DB">
              <w:rPr>
                <w:bCs/>
                <w:kern w:val="24"/>
                <w:sz w:val="16"/>
                <w:szCs w:val="16"/>
                <w:lang w:eastAsia="en-ZA"/>
              </w:rPr>
              <w:t>80%</w:t>
            </w:r>
          </w:p>
          <w:p w14:paraId="78A9F2AE" w14:textId="77777777" w:rsidR="00847805" w:rsidRDefault="00847805" w:rsidP="00847805">
            <w:pPr>
              <w:rPr>
                <w:b/>
                <w:iCs/>
                <w:sz w:val="16"/>
                <w:szCs w:val="16"/>
              </w:rPr>
            </w:pPr>
          </w:p>
          <w:p w14:paraId="61358618" w14:textId="494ABEBD" w:rsidR="00847805" w:rsidRPr="003C26C1" w:rsidRDefault="00847805" w:rsidP="00847805">
            <w:pPr>
              <w:rPr>
                <w:i/>
                <w:iCs/>
                <w:color w:val="000000"/>
                <w:sz w:val="16"/>
                <w:szCs w:val="16"/>
                <w:lang w:val="en-GB"/>
              </w:rPr>
            </w:pPr>
            <w:r w:rsidRPr="00A707DB">
              <w:rPr>
                <w:b/>
                <w:iCs/>
                <w:sz w:val="16"/>
                <w:szCs w:val="16"/>
              </w:rPr>
              <w:t xml:space="preserve">Data source:  </w:t>
            </w:r>
            <w:r w:rsidR="000A6D93" w:rsidRPr="000A6D93">
              <w:rPr>
                <w:iCs/>
                <w:sz w:val="16"/>
                <w:szCs w:val="16"/>
                <w:lang w:val="en-ZW"/>
              </w:rPr>
              <w:t>Universal Periodic Review</w:t>
            </w:r>
            <w:r w:rsidRPr="00A707DB">
              <w:rPr>
                <w:iCs/>
                <w:sz w:val="16"/>
                <w:szCs w:val="16"/>
              </w:rPr>
              <w:t xml:space="preserve"> report</w:t>
            </w:r>
            <w:r w:rsidRPr="00A707DB">
              <w:rPr>
                <w:b/>
                <w:iCs/>
                <w:sz w:val="16"/>
                <w:szCs w:val="16"/>
              </w:rPr>
              <w:t xml:space="preserve">; Frequency: </w:t>
            </w:r>
            <w:r w:rsidRPr="00A707DB">
              <w:rPr>
                <w:iCs/>
                <w:sz w:val="16"/>
                <w:szCs w:val="16"/>
              </w:rPr>
              <w:t>Biennial</w:t>
            </w:r>
          </w:p>
        </w:tc>
        <w:tc>
          <w:tcPr>
            <w:tcW w:w="653" w:type="pct"/>
          </w:tcPr>
          <w:p w14:paraId="5D662FD7" w14:textId="36441AEE" w:rsidR="00847805" w:rsidRPr="003C26C1" w:rsidRDefault="008B0331" w:rsidP="00115246">
            <w:pPr>
              <w:rPr>
                <w:i/>
                <w:iCs/>
                <w:color w:val="000000"/>
                <w:sz w:val="16"/>
                <w:szCs w:val="16"/>
                <w:lang w:val="en-GB"/>
              </w:rPr>
            </w:pPr>
            <w:r>
              <w:rPr>
                <w:bCs/>
                <w:kern w:val="24"/>
                <w:sz w:val="16"/>
                <w:szCs w:val="16"/>
                <w:lang w:eastAsia="en-ZA"/>
              </w:rPr>
              <w:lastRenderedPageBreak/>
              <w:t>M</w:t>
            </w:r>
            <w:r w:rsidR="00852FFB">
              <w:rPr>
                <w:bCs/>
                <w:kern w:val="24"/>
                <w:sz w:val="16"/>
                <w:szCs w:val="16"/>
                <w:lang w:eastAsia="en-ZA"/>
              </w:rPr>
              <w:t>O</w:t>
            </w:r>
            <w:r>
              <w:rPr>
                <w:bCs/>
                <w:kern w:val="24"/>
                <w:sz w:val="16"/>
                <w:szCs w:val="16"/>
                <w:lang w:eastAsia="en-ZA"/>
              </w:rPr>
              <w:t>FA</w:t>
            </w:r>
            <w:r w:rsidR="00847805" w:rsidRPr="00A707DB">
              <w:rPr>
                <w:bCs/>
                <w:kern w:val="24"/>
                <w:sz w:val="16"/>
                <w:szCs w:val="16"/>
                <w:lang w:eastAsia="en-ZA"/>
              </w:rPr>
              <w:t xml:space="preserve">, </w:t>
            </w:r>
            <w:r w:rsidR="00F45F34">
              <w:rPr>
                <w:bCs/>
                <w:kern w:val="24"/>
                <w:sz w:val="16"/>
                <w:szCs w:val="16"/>
                <w:lang w:eastAsia="en-ZA"/>
              </w:rPr>
              <w:t>MND</w:t>
            </w:r>
            <w:r w:rsidR="00115246">
              <w:rPr>
                <w:bCs/>
                <w:kern w:val="24"/>
                <w:sz w:val="16"/>
                <w:szCs w:val="16"/>
                <w:lang w:eastAsia="en-ZA"/>
              </w:rPr>
              <w:t>,</w:t>
            </w:r>
            <w:r w:rsidR="00847805" w:rsidRPr="00A707DB">
              <w:rPr>
                <w:bCs/>
                <w:kern w:val="24"/>
                <w:sz w:val="16"/>
                <w:szCs w:val="16"/>
                <w:lang w:eastAsia="en-ZA"/>
              </w:rPr>
              <w:t xml:space="preserve"> </w:t>
            </w:r>
            <w:r w:rsidR="00115246" w:rsidRPr="00115246">
              <w:rPr>
                <w:bCs/>
                <w:kern w:val="24"/>
                <w:sz w:val="16"/>
                <w:szCs w:val="16"/>
                <w:lang w:eastAsia="en-ZA"/>
              </w:rPr>
              <w:t>MLHW</w:t>
            </w:r>
            <w:r w:rsidR="00847805" w:rsidRPr="00A707DB">
              <w:rPr>
                <w:bCs/>
                <w:kern w:val="24"/>
                <w:sz w:val="16"/>
                <w:szCs w:val="16"/>
                <w:lang w:eastAsia="en-ZA"/>
              </w:rPr>
              <w:t xml:space="preserve">, </w:t>
            </w:r>
            <w:r w:rsidR="00A67C4C" w:rsidRPr="00A67C4C">
              <w:rPr>
                <w:bCs/>
                <w:kern w:val="24"/>
                <w:sz w:val="16"/>
                <w:szCs w:val="16"/>
                <w:lang w:val="en-ZW" w:eastAsia="en-ZA"/>
              </w:rPr>
              <w:t>NUEW</w:t>
            </w:r>
            <w:r w:rsidR="00847805">
              <w:rPr>
                <w:bCs/>
                <w:kern w:val="24"/>
                <w:sz w:val="16"/>
                <w:szCs w:val="16"/>
                <w:lang w:eastAsia="en-ZA"/>
              </w:rPr>
              <w:t>, E</w:t>
            </w:r>
            <w:r w:rsidR="006A2070">
              <w:rPr>
                <w:bCs/>
                <w:kern w:val="24"/>
                <w:sz w:val="16"/>
                <w:szCs w:val="16"/>
                <w:lang w:eastAsia="en-ZA"/>
              </w:rPr>
              <w:t xml:space="preserve">uropean </w:t>
            </w:r>
            <w:r w:rsidR="00847805">
              <w:rPr>
                <w:bCs/>
                <w:kern w:val="24"/>
                <w:sz w:val="16"/>
                <w:szCs w:val="16"/>
                <w:lang w:eastAsia="en-ZA"/>
              </w:rPr>
              <w:t>U</w:t>
            </w:r>
            <w:r w:rsidR="006A2070">
              <w:rPr>
                <w:bCs/>
                <w:kern w:val="24"/>
                <w:sz w:val="16"/>
                <w:szCs w:val="16"/>
                <w:lang w:eastAsia="en-ZA"/>
              </w:rPr>
              <w:t>nion</w:t>
            </w:r>
            <w:r w:rsidR="00847805">
              <w:rPr>
                <w:bCs/>
                <w:kern w:val="24"/>
                <w:sz w:val="16"/>
                <w:szCs w:val="16"/>
                <w:lang w:eastAsia="en-ZA"/>
              </w:rPr>
              <w:t>, Norway, Sweden, Germany</w:t>
            </w:r>
          </w:p>
        </w:tc>
        <w:tc>
          <w:tcPr>
            <w:tcW w:w="590" w:type="pct"/>
            <w:vMerge/>
            <w:tcMar>
              <w:top w:w="15" w:type="dxa"/>
              <w:left w:w="108" w:type="dxa"/>
              <w:bottom w:w="0" w:type="dxa"/>
              <w:right w:w="108" w:type="dxa"/>
            </w:tcMar>
          </w:tcPr>
          <w:p w14:paraId="3446453D" w14:textId="77777777" w:rsidR="00847805" w:rsidRPr="003C26C1" w:rsidRDefault="00847805" w:rsidP="000C3BCD">
            <w:pPr>
              <w:rPr>
                <w:b/>
                <w:color w:val="000000"/>
                <w:sz w:val="16"/>
                <w:szCs w:val="16"/>
              </w:rPr>
            </w:pPr>
          </w:p>
        </w:tc>
      </w:tr>
      <w:tr w:rsidR="00847805" w:rsidRPr="003C26C1" w14:paraId="65399111" w14:textId="77777777" w:rsidTr="00563F5D">
        <w:tc>
          <w:tcPr>
            <w:tcW w:w="1097" w:type="pct"/>
            <w:vMerge/>
            <w:tcMar>
              <w:top w:w="72" w:type="dxa"/>
              <w:left w:w="144" w:type="dxa"/>
              <w:bottom w:w="72" w:type="dxa"/>
              <w:right w:w="144" w:type="dxa"/>
            </w:tcMar>
          </w:tcPr>
          <w:p w14:paraId="1D487FC3" w14:textId="77777777" w:rsidR="00847805" w:rsidRPr="003C26C1" w:rsidRDefault="00847805" w:rsidP="000C3BCD">
            <w:pPr>
              <w:rPr>
                <w:i/>
                <w:iCs/>
                <w:color w:val="000000"/>
                <w:sz w:val="16"/>
                <w:szCs w:val="16"/>
                <w:lang w:val="en-GB"/>
              </w:rPr>
            </w:pPr>
          </w:p>
        </w:tc>
        <w:tc>
          <w:tcPr>
            <w:tcW w:w="827" w:type="pct"/>
            <w:vMerge/>
          </w:tcPr>
          <w:p w14:paraId="015A0BB9" w14:textId="77777777" w:rsidR="00847805" w:rsidRPr="003C26C1" w:rsidRDefault="00847805" w:rsidP="000C3BCD">
            <w:pPr>
              <w:rPr>
                <w:i/>
                <w:iCs/>
                <w:color w:val="000000"/>
                <w:sz w:val="16"/>
                <w:szCs w:val="16"/>
                <w:lang w:val="en-GB"/>
              </w:rPr>
            </w:pPr>
          </w:p>
        </w:tc>
        <w:tc>
          <w:tcPr>
            <w:tcW w:w="1833" w:type="pct"/>
            <w:tcMar>
              <w:top w:w="72" w:type="dxa"/>
              <w:left w:w="144" w:type="dxa"/>
              <w:bottom w:w="72" w:type="dxa"/>
              <w:right w:w="144" w:type="dxa"/>
            </w:tcMar>
          </w:tcPr>
          <w:p w14:paraId="2CA32546" w14:textId="53A3632D" w:rsidR="00847805" w:rsidRPr="00A707DB" w:rsidRDefault="00847805" w:rsidP="00847805">
            <w:pPr>
              <w:spacing w:before="120"/>
              <w:rPr>
                <w:b/>
                <w:bCs/>
                <w:kern w:val="24"/>
                <w:sz w:val="16"/>
                <w:szCs w:val="16"/>
                <w:lang w:eastAsia="en-ZA"/>
              </w:rPr>
            </w:pPr>
            <w:r w:rsidRPr="00A707DB">
              <w:rPr>
                <w:b/>
                <w:bCs/>
                <w:kern w:val="24"/>
                <w:sz w:val="16"/>
                <w:szCs w:val="16"/>
                <w:lang w:eastAsia="en-ZA"/>
              </w:rPr>
              <w:t xml:space="preserve">Output 3.4. </w:t>
            </w:r>
            <w:r w:rsidRPr="00A707DB">
              <w:rPr>
                <w:bCs/>
                <w:kern w:val="24"/>
                <w:sz w:val="16"/>
                <w:szCs w:val="16"/>
                <w:lang w:eastAsia="en-ZA"/>
              </w:rPr>
              <w:t xml:space="preserve">Selected government institutions have enhanced capacity for </w:t>
            </w:r>
            <w:r>
              <w:rPr>
                <w:bCs/>
                <w:kern w:val="24"/>
                <w:sz w:val="16"/>
                <w:szCs w:val="16"/>
                <w:lang w:eastAsia="en-ZA"/>
              </w:rPr>
              <w:t xml:space="preserve">efficient </w:t>
            </w:r>
            <w:r w:rsidRPr="00A707DB">
              <w:rPr>
                <w:bCs/>
                <w:kern w:val="24"/>
                <w:sz w:val="16"/>
                <w:szCs w:val="16"/>
                <w:lang w:eastAsia="en-ZA"/>
              </w:rPr>
              <w:t>public procurement</w:t>
            </w:r>
            <w:r w:rsidR="00667459">
              <w:rPr>
                <w:bCs/>
                <w:kern w:val="24"/>
                <w:sz w:val="16"/>
                <w:szCs w:val="16"/>
                <w:lang w:eastAsia="en-ZA"/>
              </w:rPr>
              <w:t>.</w:t>
            </w:r>
            <w:r w:rsidRPr="00A707DB">
              <w:rPr>
                <w:bCs/>
                <w:kern w:val="24"/>
                <w:sz w:val="16"/>
                <w:szCs w:val="16"/>
                <w:lang w:eastAsia="en-ZA"/>
              </w:rPr>
              <w:t xml:space="preserve"> </w:t>
            </w:r>
          </w:p>
          <w:p w14:paraId="09D9BE02" w14:textId="77777777" w:rsidR="00847805" w:rsidRPr="00A707DB" w:rsidRDefault="00847805" w:rsidP="00847805">
            <w:pPr>
              <w:rPr>
                <w:b/>
                <w:bCs/>
                <w:kern w:val="24"/>
                <w:sz w:val="16"/>
                <w:szCs w:val="16"/>
                <w:lang w:eastAsia="en-ZA"/>
              </w:rPr>
            </w:pPr>
            <w:r w:rsidRPr="00A707DB">
              <w:rPr>
                <w:b/>
                <w:bCs/>
                <w:kern w:val="24"/>
                <w:sz w:val="16"/>
                <w:szCs w:val="16"/>
                <w:lang w:eastAsia="en-ZA"/>
              </w:rPr>
              <w:t xml:space="preserve"> </w:t>
            </w:r>
          </w:p>
          <w:p w14:paraId="015B0276" w14:textId="53842217" w:rsidR="00847805" w:rsidRPr="00A707DB" w:rsidRDefault="00847805" w:rsidP="00847805">
            <w:pPr>
              <w:rPr>
                <w:bCs/>
                <w:kern w:val="24"/>
                <w:sz w:val="16"/>
                <w:szCs w:val="16"/>
                <w:lang w:eastAsia="en-ZA"/>
              </w:rPr>
            </w:pPr>
            <w:r w:rsidRPr="00A707DB">
              <w:rPr>
                <w:b/>
                <w:bCs/>
                <w:kern w:val="24"/>
                <w:sz w:val="16"/>
                <w:szCs w:val="16"/>
                <w:lang w:eastAsia="en-ZA"/>
              </w:rPr>
              <w:t xml:space="preserve">Indicator 3.4.1. </w:t>
            </w:r>
            <w:r w:rsidR="00667459">
              <w:rPr>
                <w:bCs/>
                <w:kern w:val="24"/>
                <w:sz w:val="16"/>
                <w:szCs w:val="16"/>
                <w:lang w:eastAsia="en-ZA"/>
              </w:rPr>
              <w:t>e</w:t>
            </w:r>
            <w:r w:rsidRPr="00A707DB">
              <w:rPr>
                <w:bCs/>
                <w:kern w:val="24"/>
                <w:sz w:val="16"/>
                <w:szCs w:val="16"/>
                <w:lang w:eastAsia="en-ZA"/>
              </w:rPr>
              <w:t>xtent of adherence and compliance of public procurement with international standards for public procurement</w:t>
            </w:r>
          </w:p>
          <w:p w14:paraId="1B7A1108" w14:textId="77777777" w:rsidR="00847805" w:rsidRDefault="00847805" w:rsidP="00847805">
            <w:pPr>
              <w:rPr>
                <w:b/>
                <w:bCs/>
                <w:kern w:val="24"/>
                <w:sz w:val="16"/>
                <w:szCs w:val="16"/>
                <w:lang w:eastAsia="en-ZA"/>
              </w:rPr>
            </w:pPr>
          </w:p>
          <w:p w14:paraId="34EC212C" w14:textId="592C1D51" w:rsidR="00847805" w:rsidRPr="00A707DB" w:rsidRDefault="00847805" w:rsidP="00847805">
            <w:pPr>
              <w:rPr>
                <w:bCs/>
                <w:strike/>
                <w:kern w:val="24"/>
                <w:sz w:val="16"/>
                <w:szCs w:val="16"/>
                <w:lang w:eastAsia="en-ZA"/>
              </w:rPr>
            </w:pPr>
            <w:r w:rsidRPr="00A707DB">
              <w:rPr>
                <w:b/>
                <w:bCs/>
                <w:kern w:val="24"/>
                <w:sz w:val="16"/>
                <w:szCs w:val="16"/>
                <w:lang w:eastAsia="en-ZA"/>
              </w:rPr>
              <w:t xml:space="preserve">Baseline (2015): </w:t>
            </w:r>
            <w:r w:rsidRPr="00A707DB">
              <w:rPr>
                <w:bCs/>
                <w:kern w:val="24"/>
                <w:sz w:val="16"/>
                <w:szCs w:val="16"/>
                <w:lang w:eastAsia="en-ZA"/>
              </w:rPr>
              <w:t xml:space="preserve">TBD; </w:t>
            </w:r>
            <w:r w:rsidRPr="00A707DB">
              <w:rPr>
                <w:b/>
                <w:bCs/>
                <w:kern w:val="24"/>
                <w:sz w:val="16"/>
                <w:szCs w:val="16"/>
                <w:lang w:eastAsia="en-ZA"/>
              </w:rPr>
              <w:t xml:space="preserve">Target (2021): </w:t>
            </w:r>
            <w:r w:rsidRPr="00A707DB">
              <w:rPr>
                <w:bCs/>
                <w:kern w:val="24"/>
                <w:sz w:val="16"/>
                <w:szCs w:val="16"/>
                <w:lang w:eastAsia="en-ZA"/>
              </w:rPr>
              <w:t>3</w:t>
            </w:r>
            <w:r>
              <w:rPr>
                <w:bCs/>
                <w:kern w:val="24"/>
                <w:sz w:val="16"/>
                <w:szCs w:val="16"/>
                <w:lang w:eastAsia="en-ZA"/>
              </w:rPr>
              <w:t xml:space="preserve"> – </w:t>
            </w:r>
            <w:r w:rsidR="00667459">
              <w:rPr>
                <w:bCs/>
                <w:kern w:val="24"/>
                <w:sz w:val="16"/>
                <w:szCs w:val="16"/>
                <w:lang w:eastAsia="en-ZA"/>
              </w:rPr>
              <w:t>v</w:t>
            </w:r>
            <w:r>
              <w:rPr>
                <w:bCs/>
                <w:kern w:val="24"/>
                <w:sz w:val="16"/>
                <w:szCs w:val="16"/>
                <w:lang w:eastAsia="en-ZA"/>
              </w:rPr>
              <w:t xml:space="preserve">ery </w:t>
            </w:r>
            <w:r w:rsidR="00667459">
              <w:rPr>
                <w:bCs/>
                <w:kern w:val="24"/>
                <w:sz w:val="16"/>
                <w:szCs w:val="16"/>
                <w:lang w:eastAsia="en-ZA"/>
              </w:rPr>
              <w:t>s</w:t>
            </w:r>
            <w:r>
              <w:rPr>
                <w:bCs/>
                <w:kern w:val="24"/>
                <w:sz w:val="16"/>
                <w:szCs w:val="16"/>
                <w:lang w:eastAsia="en-ZA"/>
              </w:rPr>
              <w:t>atisfactory</w:t>
            </w:r>
            <w:r>
              <w:rPr>
                <w:bCs/>
                <w:strike/>
                <w:kern w:val="24"/>
                <w:sz w:val="16"/>
                <w:szCs w:val="16"/>
                <w:vertAlign w:val="superscript"/>
                <w:lang w:eastAsia="en-ZA"/>
              </w:rPr>
              <w:t>18</w:t>
            </w:r>
            <w:r>
              <w:rPr>
                <w:bCs/>
                <w:kern w:val="24"/>
                <w:sz w:val="16"/>
                <w:szCs w:val="16"/>
                <w:lang w:eastAsia="en-ZA"/>
              </w:rPr>
              <w:t xml:space="preserve"> </w:t>
            </w:r>
          </w:p>
          <w:p w14:paraId="61C15BFA" w14:textId="77777777" w:rsidR="00847805" w:rsidRDefault="00847805" w:rsidP="00847805">
            <w:pPr>
              <w:rPr>
                <w:b/>
                <w:iCs/>
                <w:sz w:val="16"/>
                <w:szCs w:val="16"/>
              </w:rPr>
            </w:pPr>
          </w:p>
          <w:p w14:paraId="51F276D9" w14:textId="57164F7A" w:rsidR="00847805" w:rsidRPr="00A707DB" w:rsidRDefault="00847805" w:rsidP="00847805">
            <w:pPr>
              <w:rPr>
                <w:iCs/>
                <w:sz w:val="16"/>
                <w:szCs w:val="16"/>
              </w:rPr>
            </w:pPr>
            <w:r w:rsidRPr="00A707DB">
              <w:rPr>
                <w:b/>
                <w:iCs/>
                <w:sz w:val="16"/>
                <w:szCs w:val="16"/>
              </w:rPr>
              <w:t xml:space="preserve">Data source: </w:t>
            </w:r>
            <w:r w:rsidR="0038619B">
              <w:rPr>
                <w:iCs/>
                <w:sz w:val="16"/>
                <w:szCs w:val="16"/>
              </w:rPr>
              <w:t>Ministry of Finance</w:t>
            </w:r>
            <w:r w:rsidRPr="00A707DB">
              <w:rPr>
                <w:iCs/>
                <w:sz w:val="16"/>
                <w:szCs w:val="16"/>
              </w:rPr>
              <w:t xml:space="preserve">, </w:t>
            </w:r>
            <w:r w:rsidR="00693212">
              <w:rPr>
                <w:iCs/>
                <w:sz w:val="16"/>
                <w:szCs w:val="16"/>
              </w:rPr>
              <w:t>MND</w:t>
            </w:r>
            <w:r w:rsidRPr="00A707DB">
              <w:rPr>
                <w:iCs/>
                <w:sz w:val="16"/>
                <w:szCs w:val="16"/>
              </w:rPr>
              <w:t>;</w:t>
            </w:r>
            <w:r w:rsidRPr="00A707DB">
              <w:rPr>
                <w:b/>
                <w:iCs/>
                <w:sz w:val="16"/>
                <w:szCs w:val="16"/>
              </w:rPr>
              <w:t xml:space="preserve"> Frequency: </w:t>
            </w:r>
            <w:r w:rsidR="00E966DD">
              <w:rPr>
                <w:iCs/>
                <w:sz w:val="16"/>
                <w:szCs w:val="16"/>
              </w:rPr>
              <w:t>a</w:t>
            </w:r>
            <w:r w:rsidRPr="00A707DB">
              <w:rPr>
                <w:iCs/>
                <w:sz w:val="16"/>
                <w:szCs w:val="16"/>
              </w:rPr>
              <w:t>nnual</w:t>
            </w:r>
          </w:p>
          <w:p w14:paraId="5DC65013" w14:textId="77777777" w:rsidR="00847805" w:rsidRPr="000F3AE7" w:rsidRDefault="00847805" w:rsidP="00847805">
            <w:pPr>
              <w:rPr>
                <w:bCs/>
                <w:kern w:val="24"/>
                <w:sz w:val="16"/>
                <w:szCs w:val="16"/>
                <w:lang w:eastAsia="en-ZA"/>
              </w:rPr>
            </w:pPr>
          </w:p>
          <w:p w14:paraId="1BFAE2AA" w14:textId="63FACB63" w:rsidR="00847805" w:rsidRPr="00A707DB" w:rsidRDefault="00847805" w:rsidP="00847805">
            <w:pPr>
              <w:rPr>
                <w:b/>
                <w:bCs/>
                <w:kern w:val="24"/>
                <w:sz w:val="16"/>
                <w:szCs w:val="16"/>
                <w:lang w:eastAsia="en-ZA"/>
              </w:rPr>
            </w:pPr>
            <w:r w:rsidRPr="00A707DB">
              <w:rPr>
                <w:b/>
                <w:bCs/>
                <w:kern w:val="24"/>
                <w:sz w:val="16"/>
                <w:szCs w:val="16"/>
                <w:lang w:eastAsia="en-ZA"/>
              </w:rPr>
              <w:t xml:space="preserve">Indicator 3.4.2. </w:t>
            </w:r>
            <w:r w:rsidR="00667459">
              <w:rPr>
                <w:bCs/>
                <w:kern w:val="24"/>
                <w:sz w:val="16"/>
                <w:szCs w:val="16"/>
                <w:lang w:eastAsia="en-ZA"/>
              </w:rPr>
              <w:t>r</w:t>
            </w:r>
            <w:r w:rsidRPr="00A707DB">
              <w:rPr>
                <w:bCs/>
                <w:kern w:val="24"/>
                <w:sz w:val="16"/>
                <w:szCs w:val="16"/>
                <w:lang w:eastAsia="en-ZA"/>
              </w:rPr>
              <w:t>atio of public procurement expenditure using e-procurement compared to manual procurement</w:t>
            </w:r>
          </w:p>
          <w:p w14:paraId="02D64D9B" w14:textId="77777777" w:rsidR="00847805" w:rsidRDefault="00847805" w:rsidP="00847805">
            <w:pPr>
              <w:rPr>
                <w:b/>
                <w:bCs/>
                <w:kern w:val="24"/>
                <w:sz w:val="16"/>
                <w:szCs w:val="16"/>
                <w:lang w:eastAsia="en-ZA"/>
              </w:rPr>
            </w:pPr>
          </w:p>
          <w:p w14:paraId="726BEF79" w14:textId="77777777" w:rsidR="00847805" w:rsidRPr="00A707DB" w:rsidRDefault="00847805" w:rsidP="00847805">
            <w:pPr>
              <w:rPr>
                <w:bCs/>
                <w:kern w:val="24"/>
                <w:sz w:val="16"/>
                <w:szCs w:val="16"/>
                <w:lang w:eastAsia="en-ZA"/>
              </w:rPr>
            </w:pPr>
            <w:r w:rsidRPr="00A707DB">
              <w:rPr>
                <w:b/>
                <w:bCs/>
                <w:kern w:val="24"/>
                <w:sz w:val="16"/>
                <w:szCs w:val="16"/>
                <w:lang w:eastAsia="en-ZA"/>
              </w:rPr>
              <w:t xml:space="preserve">Baseline (2015): </w:t>
            </w:r>
            <w:r w:rsidRPr="00A707DB">
              <w:rPr>
                <w:bCs/>
                <w:kern w:val="24"/>
                <w:sz w:val="16"/>
                <w:szCs w:val="16"/>
                <w:lang w:eastAsia="en-ZA"/>
              </w:rPr>
              <w:t>TBD;</w:t>
            </w:r>
            <w:r w:rsidRPr="00A707DB">
              <w:rPr>
                <w:b/>
                <w:bCs/>
                <w:kern w:val="24"/>
                <w:sz w:val="16"/>
                <w:szCs w:val="16"/>
                <w:lang w:eastAsia="en-ZA"/>
              </w:rPr>
              <w:t xml:space="preserve"> Target (2021): </w:t>
            </w:r>
            <w:r>
              <w:rPr>
                <w:bCs/>
                <w:kern w:val="24"/>
                <w:sz w:val="16"/>
                <w:szCs w:val="16"/>
                <w:lang w:eastAsia="en-ZA"/>
              </w:rPr>
              <w:t>60%</w:t>
            </w:r>
          </w:p>
          <w:p w14:paraId="31CEEFB1" w14:textId="77777777" w:rsidR="00847805" w:rsidRDefault="00847805" w:rsidP="00847805">
            <w:pPr>
              <w:rPr>
                <w:b/>
                <w:iCs/>
                <w:sz w:val="16"/>
                <w:szCs w:val="16"/>
              </w:rPr>
            </w:pPr>
          </w:p>
          <w:p w14:paraId="76806E4D" w14:textId="0DF3E5F2" w:rsidR="00847805" w:rsidRPr="003C26C1" w:rsidRDefault="00847805" w:rsidP="00693212">
            <w:pPr>
              <w:rPr>
                <w:i/>
                <w:iCs/>
                <w:color w:val="000000"/>
                <w:sz w:val="16"/>
                <w:szCs w:val="16"/>
                <w:lang w:val="en-GB"/>
              </w:rPr>
            </w:pPr>
            <w:r w:rsidRPr="00A707DB">
              <w:rPr>
                <w:b/>
                <w:iCs/>
                <w:sz w:val="16"/>
                <w:szCs w:val="16"/>
              </w:rPr>
              <w:t xml:space="preserve">Data source: </w:t>
            </w:r>
            <w:r w:rsidR="00693212">
              <w:rPr>
                <w:iCs/>
                <w:sz w:val="16"/>
                <w:szCs w:val="16"/>
              </w:rPr>
              <w:t>MND</w:t>
            </w:r>
            <w:r w:rsidRPr="00A707DB">
              <w:rPr>
                <w:iCs/>
                <w:sz w:val="16"/>
                <w:szCs w:val="16"/>
              </w:rPr>
              <w:t>;</w:t>
            </w:r>
            <w:r w:rsidRPr="00A707DB">
              <w:rPr>
                <w:b/>
                <w:iCs/>
                <w:sz w:val="16"/>
                <w:szCs w:val="16"/>
              </w:rPr>
              <w:t xml:space="preserve"> Frequency: </w:t>
            </w:r>
            <w:r w:rsidR="00E966DD">
              <w:rPr>
                <w:iCs/>
                <w:sz w:val="16"/>
                <w:szCs w:val="16"/>
              </w:rPr>
              <w:t>a</w:t>
            </w:r>
            <w:r w:rsidRPr="00A707DB">
              <w:rPr>
                <w:iCs/>
                <w:sz w:val="16"/>
                <w:szCs w:val="16"/>
              </w:rPr>
              <w:t>nnual</w:t>
            </w:r>
          </w:p>
        </w:tc>
        <w:tc>
          <w:tcPr>
            <w:tcW w:w="653" w:type="pct"/>
          </w:tcPr>
          <w:p w14:paraId="235AC8FE" w14:textId="60C93A98" w:rsidR="00847805" w:rsidRPr="00A707DB" w:rsidRDefault="00F45F34" w:rsidP="00847805">
            <w:pPr>
              <w:spacing w:before="120"/>
              <w:rPr>
                <w:sz w:val="16"/>
                <w:szCs w:val="16"/>
                <w:lang w:eastAsia="en-ZA"/>
              </w:rPr>
            </w:pPr>
            <w:r>
              <w:rPr>
                <w:sz w:val="16"/>
                <w:szCs w:val="16"/>
                <w:lang w:eastAsia="en-ZA"/>
              </w:rPr>
              <w:t>MND</w:t>
            </w:r>
            <w:r w:rsidR="00847805" w:rsidRPr="00A707DB">
              <w:rPr>
                <w:sz w:val="16"/>
                <w:szCs w:val="16"/>
                <w:lang w:eastAsia="en-ZA"/>
              </w:rPr>
              <w:t xml:space="preserve">, </w:t>
            </w:r>
            <w:r w:rsidR="0038619B">
              <w:rPr>
                <w:sz w:val="16"/>
                <w:szCs w:val="16"/>
                <w:lang w:eastAsia="en-ZA"/>
              </w:rPr>
              <w:t>Ministry of Finance</w:t>
            </w:r>
            <w:r w:rsidR="00847805" w:rsidRPr="00A707DB">
              <w:rPr>
                <w:sz w:val="16"/>
                <w:szCs w:val="16"/>
                <w:lang w:eastAsia="en-ZA"/>
              </w:rPr>
              <w:t>,</w:t>
            </w:r>
          </w:p>
          <w:p w14:paraId="6CDD6F0B" w14:textId="4438A1D9" w:rsidR="00847805" w:rsidRPr="00A707DB" w:rsidRDefault="00847805" w:rsidP="00847805">
            <w:pPr>
              <w:rPr>
                <w:sz w:val="16"/>
                <w:szCs w:val="16"/>
                <w:lang w:eastAsia="en-ZA"/>
              </w:rPr>
            </w:pPr>
            <w:r w:rsidRPr="00A707DB">
              <w:rPr>
                <w:sz w:val="16"/>
                <w:szCs w:val="16"/>
                <w:lang w:eastAsia="en-ZA"/>
              </w:rPr>
              <w:t>Red Sea Corporation</w:t>
            </w:r>
          </w:p>
          <w:p w14:paraId="381485B9" w14:textId="77777777" w:rsidR="00847805" w:rsidRPr="003C26C1" w:rsidRDefault="00847805" w:rsidP="000C3BCD">
            <w:pPr>
              <w:rPr>
                <w:i/>
                <w:iCs/>
                <w:color w:val="000000"/>
                <w:sz w:val="16"/>
                <w:szCs w:val="16"/>
                <w:lang w:val="en-GB"/>
              </w:rPr>
            </w:pPr>
          </w:p>
        </w:tc>
        <w:tc>
          <w:tcPr>
            <w:tcW w:w="590" w:type="pct"/>
            <w:vMerge/>
            <w:tcMar>
              <w:top w:w="15" w:type="dxa"/>
              <w:left w:w="108" w:type="dxa"/>
              <w:bottom w:w="0" w:type="dxa"/>
              <w:right w:w="108" w:type="dxa"/>
            </w:tcMar>
          </w:tcPr>
          <w:p w14:paraId="065AD211" w14:textId="77777777" w:rsidR="00847805" w:rsidRPr="003C26C1" w:rsidRDefault="00847805" w:rsidP="000C3BCD">
            <w:pPr>
              <w:rPr>
                <w:b/>
                <w:color w:val="000000"/>
                <w:sz w:val="16"/>
                <w:szCs w:val="16"/>
              </w:rPr>
            </w:pPr>
          </w:p>
        </w:tc>
      </w:tr>
      <w:tr w:rsidR="00847805" w:rsidRPr="003C26C1" w14:paraId="397037CE" w14:textId="77777777" w:rsidTr="00563F5D">
        <w:tc>
          <w:tcPr>
            <w:tcW w:w="1097" w:type="pct"/>
            <w:vMerge/>
            <w:tcMar>
              <w:top w:w="72" w:type="dxa"/>
              <w:left w:w="144" w:type="dxa"/>
              <w:bottom w:w="72" w:type="dxa"/>
              <w:right w:w="144" w:type="dxa"/>
            </w:tcMar>
          </w:tcPr>
          <w:p w14:paraId="63F2E5BC" w14:textId="77777777" w:rsidR="00847805" w:rsidRPr="003C26C1" w:rsidRDefault="00847805" w:rsidP="000C3BCD">
            <w:pPr>
              <w:rPr>
                <w:i/>
                <w:iCs/>
                <w:color w:val="000000"/>
                <w:sz w:val="16"/>
                <w:szCs w:val="16"/>
                <w:lang w:val="en-GB"/>
              </w:rPr>
            </w:pPr>
          </w:p>
        </w:tc>
        <w:tc>
          <w:tcPr>
            <w:tcW w:w="827" w:type="pct"/>
            <w:vMerge/>
          </w:tcPr>
          <w:p w14:paraId="786446B8" w14:textId="77777777" w:rsidR="00847805" w:rsidRPr="003C26C1" w:rsidRDefault="00847805" w:rsidP="000C3BCD">
            <w:pPr>
              <w:rPr>
                <w:i/>
                <w:iCs/>
                <w:color w:val="000000"/>
                <w:sz w:val="16"/>
                <w:szCs w:val="16"/>
                <w:lang w:val="en-GB"/>
              </w:rPr>
            </w:pPr>
          </w:p>
        </w:tc>
        <w:tc>
          <w:tcPr>
            <w:tcW w:w="1833" w:type="pct"/>
            <w:tcMar>
              <w:top w:w="72" w:type="dxa"/>
              <w:left w:w="144" w:type="dxa"/>
              <w:bottom w:w="72" w:type="dxa"/>
              <w:right w:w="144" w:type="dxa"/>
            </w:tcMar>
          </w:tcPr>
          <w:p w14:paraId="136164B6" w14:textId="2E8394EC" w:rsidR="00847805" w:rsidRPr="00A707DB" w:rsidRDefault="00847805" w:rsidP="00847805">
            <w:pPr>
              <w:spacing w:before="120"/>
              <w:rPr>
                <w:bCs/>
                <w:kern w:val="24"/>
                <w:sz w:val="16"/>
                <w:szCs w:val="16"/>
                <w:lang w:eastAsia="en-ZA"/>
              </w:rPr>
            </w:pPr>
            <w:r w:rsidRPr="00A707DB">
              <w:rPr>
                <w:b/>
                <w:bCs/>
                <w:kern w:val="24"/>
                <w:sz w:val="16"/>
                <w:szCs w:val="16"/>
                <w:lang w:eastAsia="en-ZA"/>
              </w:rPr>
              <w:t xml:space="preserve">Output </w:t>
            </w:r>
            <w:r>
              <w:rPr>
                <w:b/>
                <w:bCs/>
                <w:kern w:val="24"/>
                <w:sz w:val="16"/>
                <w:szCs w:val="16"/>
                <w:lang w:eastAsia="en-ZA"/>
              </w:rPr>
              <w:t>3.5</w:t>
            </w:r>
            <w:r w:rsidRPr="00A707DB">
              <w:rPr>
                <w:b/>
                <w:bCs/>
                <w:kern w:val="24"/>
                <w:sz w:val="16"/>
                <w:szCs w:val="16"/>
                <w:lang w:eastAsia="en-ZA"/>
              </w:rPr>
              <w:t xml:space="preserve">. </w:t>
            </w:r>
            <w:r w:rsidRPr="00A707DB">
              <w:rPr>
                <w:bCs/>
                <w:kern w:val="24"/>
                <w:sz w:val="16"/>
                <w:szCs w:val="16"/>
                <w:lang w:eastAsia="en-ZA"/>
              </w:rPr>
              <w:t>Policies are in place and being implemented in support of women participation in decision</w:t>
            </w:r>
            <w:r w:rsidR="00B537B5">
              <w:rPr>
                <w:bCs/>
                <w:kern w:val="24"/>
                <w:sz w:val="16"/>
                <w:szCs w:val="16"/>
                <w:lang w:eastAsia="en-ZA"/>
              </w:rPr>
              <w:t>-</w:t>
            </w:r>
            <w:r w:rsidRPr="00A707DB">
              <w:rPr>
                <w:bCs/>
                <w:kern w:val="24"/>
                <w:sz w:val="16"/>
                <w:szCs w:val="16"/>
                <w:lang w:eastAsia="en-ZA"/>
              </w:rPr>
              <w:t>making</w:t>
            </w:r>
            <w:r w:rsidR="00667459">
              <w:rPr>
                <w:bCs/>
                <w:kern w:val="24"/>
                <w:sz w:val="16"/>
                <w:szCs w:val="16"/>
                <w:lang w:eastAsia="en-ZA"/>
              </w:rPr>
              <w:t>.</w:t>
            </w:r>
          </w:p>
          <w:p w14:paraId="1A6142E2" w14:textId="77777777" w:rsidR="00847805" w:rsidRDefault="00847805" w:rsidP="00847805">
            <w:pPr>
              <w:rPr>
                <w:b/>
                <w:bCs/>
                <w:kern w:val="24"/>
                <w:sz w:val="16"/>
                <w:szCs w:val="16"/>
                <w:lang w:eastAsia="en-ZA"/>
              </w:rPr>
            </w:pPr>
          </w:p>
          <w:p w14:paraId="204F92C1" w14:textId="08F4E3C0" w:rsidR="00847805" w:rsidRPr="00795620" w:rsidRDefault="00847805" w:rsidP="00847805">
            <w:pPr>
              <w:rPr>
                <w:bCs/>
                <w:kern w:val="24"/>
                <w:sz w:val="16"/>
                <w:szCs w:val="16"/>
                <w:lang w:eastAsia="en-ZA"/>
              </w:rPr>
            </w:pPr>
            <w:r w:rsidRPr="00A707DB">
              <w:rPr>
                <w:b/>
                <w:bCs/>
                <w:kern w:val="24"/>
                <w:sz w:val="16"/>
                <w:szCs w:val="16"/>
                <w:lang w:eastAsia="en-ZA"/>
              </w:rPr>
              <w:t xml:space="preserve">Indicator </w:t>
            </w:r>
            <w:r>
              <w:rPr>
                <w:b/>
                <w:bCs/>
                <w:kern w:val="24"/>
                <w:sz w:val="16"/>
                <w:szCs w:val="16"/>
                <w:lang w:eastAsia="en-ZA"/>
              </w:rPr>
              <w:t>3.5.1</w:t>
            </w:r>
            <w:r w:rsidRPr="00A707DB">
              <w:rPr>
                <w:b/>
                <w:bCs/>
                <w:kern w:val="24"/>
                <w:sz w:val="16"/>
                <w:szCs w:val="16"/>
                <w:lang w:eastAsia="en-ZA"/>
              </w:rPr>
              <w:t xml:space="preserve">. </w:t>
            </w:r>
            <w:r w:rsidR="00667459">
              <w:rPr>
                <w:bCs/>
                <w:kern w:val="24"/>
                <w:sz w:val="16"/>
                <w:szCs w:val="16"/>
                <w:lang w:eastAsia="en-ZA"/>
              </w:rPr>
              <w:t>n</w:t>
            </w:r>
            <w:r w:rsidRPr="00795620">
              <w:rPr>
                <w:bCs/>
                <w:kern w:val="24"/>
                <w:sz w:val="16"/>
                <w:szCs w:val="16"/>
                <w:lang w:eastAsia="en-ZA"/>
              </w:rPr>
              <w:t>umber of additional women benefitting from private and/or publ</w:t>
            </w:r>
            <w:r>
              <w:rPr>
                <w:bCs/>
                <w:kern w:val="24"/>
                <w:sz w:val="16"/>
                <w:szCs w:val="16"/>
                <w:lang w:eastAsia="en-ZA"/>
              </w:rPr>
              <w:t xml:space="preserve">ic measures to support women’s </w:t>
            </w:r>
            <w:r w:rsidRPr="00795620">
              <w:rPr>
                <w:bCs/>
                <w:kern w:val="24"/>
                <w:sz w:val="16"/>
                <w:szCs w:val="16"/>
                <w:lang w:eastAsia="en-ZA"/>
              </w:rPr>
              <w:t>preparedness for leadership and decision-making roles</w:t>
            </w:r>
            <w:r>
              <w:rPr>
                <w:bCs/>
                <w:kern w:val="24"/>
                <w:sz w:val="16"/>
                <w:szCs w:val="16"/>
                <w:lang w:eastAsia="en-ZA"/>
              </w:rPr>
              <w:t xml:space="preserve"> (IRRF 4.4.2)</w:t>
            </w:r>
          </w:p>
          <w:p w14:paraId="27BDBA0E" w14:textId="77777777" w:rsidR="00847805" w:rsidRDefault="00847805" w:rsidP="00847805">
            <w:pPr>
              <w:rPr>
                <w:b/>
                <w:bCs/>
                <w:kern w:val="24"/>
                <w:sz w:val="16"/>
                <w:szCs w:val="16"/>
                <w:lang w:eastAsia="en-ZA"/>
              </w:rPr>
            </w:pPr>
          </w:p>
          <w:p w14:paraId="34978321" w14:textId="77777777" w:rsidR="00847805" w:rsidRPr="00A707DB" w:rsidRDefault="00847805" w:rsidP="00847805">
            <w:pPr>
              <w:rPr>
                <w:bCs/>
                <w:kern w:val="24"/>
                <w:sz w:val="16"/>
                <w:szCs w:val="16"/>
                <w:lang w:eastAsia="en-ZA"/>
              </w:rPr>
            </w:pPr>
            <w:r>
              <w:rPr>
                <w:b/>
                <w:bCs/>
                <w:kern w:val="24"/>
                <w:sz w:val="16"/>
                <w:szCs w:val="16"/>
                <w:lang w:eastAsia="en-ZA"/>
              </w:rPr>
              <w:t xml:space="preserve">Baseline (2015):  </w:t>
            </w:r>
            <w:r>
              <w:rPr>
                <w:bCs/>
                <w:kern w:val="24"/>
                <w:sz w:val="16"/>
                <w:szCs w:val="16"/>
                <w:lang w:eastAsia="en-ZA"/>
              </w:rPr>
              <w:t>0</w:t>
            </w:r>
            <w:r w:rsidRPr="00A707DB">
              <w:rPr>
                <w:bCs/>
                <w:kern w:val="24"/>
                <w:sz w:val="16"/>
                <w:szCs w:val="16"/>
                <w:lang w:eastAsia="en-ZA"/>
              </w:rPr>
              <w:t>;</w:t>
            </w:r>
            <w:r w:rsidRPr="00A707DB">
              <w:rPr>
                <w:b/>
                <w:bCs/>
                <w:kern w:val="24"/>
                <w:sz w:val="16"/>
                <w:szCs w:val="16"/>
                <w:lang w:eastAsia="en-ZA"/>
              </w:rPr>
              <w:t xml:space="preserve"> Target (2021): </w:t>
            </w:r>
            <w:r>
              <w:rPr>
                <w:bCs/>
                <w:kern w:val="24"/>
                <w:sz w:val="16"/>
                <w:szCs w:val="16"/>
                <w:lang w:eastAsia="en-ZA"/>
              </w:rPr>
              <w:t>3,000</w:t>
            </w:r>
          </w:p>
          <w:p w14:paraId="338E4CE0" w14:textId="77777777" w:rsidR="00847805" w:rsidRDefault="00847805" w:rsidP="00847805">
            <w:pPr>
              <w:rPr>
                <w:b/>
                <w:iCs/>
                <w:sz w:val="16"/>
                <w:szCs w:val="16"/>
              </w:rPr>
            </w:pPr>
          </w:p>
          <w:p w14:paraId="39F9F07D" w14:textId="22D9D693" w:rsidR="00847805" w:rsidRPr="003C26C1" w:rsidRDefault="00847805" w:rsidP="00847805">
            <w:pPr>
              <w:rPr>
                <w:i/>
                <w:iCs/>
                <w:color w:val="000000"/>
                <w:sz w:val="16"/>
                <w:szCs w:val="16"/>
                <w:lang w:val="en-GB"/>
              </w:rPr>
            </w:pPr>
            <w:r w:rsidRPr="00A707DB">
              <w:rPr>
                <w:b/>
                <w:iCs/>
                <w:sz w:val="16"/>
                <w:szCs w:val="16"/>
              </w:rPr>
              <w:t xml:space="preserve">Data source: </w:t>
            </w:r>
            <w:r w:rsidR="00A67C4C" w:rsidRPr="00A67C4C">
              <w:rPr>
                <w:iCs/>
                <w:sz w:val="16"/>
                <w:szCs w:val="16"/>
                <w:lang w:val="en-ZW"/>
              </w:rPr>
              <w:t>NUEW</w:t>
            </w:r>
            <w:r w:rsidRPr="00A707DB">
              <w:rPr>
                <w:iCs/>
                <w:sz w:val="16"/>
                <w:szCs w:val="16"/>
              </w:rPr>
              <w:t xml:space="preserve">; </w:t>
            </w:r>
            <w:r w:rsidRPr="00A707DB">
              <w:rPr>
                <w:b/>
                <w:iCs/>
                <w:sz w:val="16"/>
                <w:szCs w:val="16"/>
              </w:rPr>
              <w:t xml:space="preserve">Frequency: </w:t>
            </w:r>
            <w:r w:rsidR="00E966DD">
              <w:rPr>
                <w:iCs/>
                <w:sz w:val="16"/>
                <w:szCs w:val="16"/>
              </w:rPr>
              <w:t>a</w:t>
            </w:r>
            <w:r w:rsidRPr="00A707DB">
              <w:rPr>
                <w:iCs/>
                <w:sz w:val="16"/>
                <w:szCs w:val="16"/>
              </w:rPr>
              <w:t>nnual</w:t>
            </w:r>
          </w:p>
        </w:tc>
        <w:tc>
          <w:tcPr>
            <w:tcW w:w="653" w:type="pct"/>
          </w:tcPr>
          <w:p w14:paraId="448BB7C3" w14:textId="1A099AD3" w:rsidR="00847805" w:rsidRPr="003C26C1" w:rsidRDefault="00847805" w:rsidP="000C3BCD">
            <w:pPr>
              <w:rPr>
                <w:i/>
                <w:iCs/>
                <w:color w:val="000000"/>
                <w:sz w:val="16"/>
                <w:szCs w:val="16"/>
                <w:lang w:val="en-GB"/>
              </w:rPr>
            </w:pPr>
            <w:r w:rsidRPr="00A707DB">
              <w:rPr>
                <w:sz w:val="16"/>
                <w:szCs w:val="16"/>
                <w:lang w:eastAsia="en-ZA"/>
              </w:rPr>
              <w:t>UNDP</w:t>
            </w:r>
            <w:r>
              <w:rPr>
                <w:sz w:val="16"/>
                <w:szCs w:val="16"/>
                <w:lang w:eastAsia="en-ZA"/>
              </w:rPr>
              <w:t xml:space="preserve">, </w:t>
            </w:r>
            <w:r w:rsidR="00A67C4C" w:rsidRPr="00A67C4C">
              <w:rPr>
                <w:sz w:val="16"/>
                <w:szCs w:val="16"/>
                <w:lang w:val="en-ZW" w:eastAsia="en-ZA"/>
              </w:rPr>
              <w:t>NUEW</w:t>
            </w:r>
            <w:r>
              <w:rPr>
                <w:sz w:val="16"/>
                <w:szCs w:val="16"/>
                <w:lang w:eastAsia="en-ZA"/>
              </w:rPr>
              <w:t xml:space="preserve">, </w:t>
            </w:r>
            <w:r w:rsidR="00DA5BAA">
              <w:rPr>
                <w:sz w:val="16"/>
                <w:szCs w:val="16"/>
                <w:lang w:eastAsia="en-ZA"/>
              </w:rPr>
              <w:t>l</w:t>
            </w:r>
            <w:r>
              <w:rPr>
                <w:sz w:val="16"/>
                <w:szCs w:val="16"/>
                <w:lang w:eastAsia="en-ZA"/>
              </w:rPr>
              <w:t xml:space="preserve">ocal </w:t>
            </w:r>
            <w:r w:rsidR="00DA5BAA">
              <w:rPr>
                <w:sz w:val="16"/>
                <w:szCs w:val="16"/>
                <w:lang w:eastAsia="en-ZA"/>
              </w:rPr>
              <w:t>g</w:t>
            </w:r>
            <w:r>
              <w:rPr>
                <w:sz w:val="16"/>
                <w:szCs w:val="16"/>
                <w:lang w:eastAsia="en-ZA"/>
              </w:rPr>
              <w:t>overnment, UNFPA</w:t>
            </w:r>
          </w:p>
        </w:tc>
        <w:tc>
          <w:tcPr>
            <w:tcW w:w="590" w:type="pct"/>
            <w:vMerge/>
            <w:tcMar>
              <w:top w:w="15" w:type="dxa"/>
              <w:left w:w="108" w:type="dxa"/>
              <w:bottom w:w="0" w:type="dxa"/>
              <w:right w:w="108" w:type="dxa"/>
            </w:tcMar>
          </w:tcPr>
          <w:p w14:paraId="3F159133" w14:textId="77777777" w:rsidR="00847805" w:rsidRPr="003C26C1" w:rsidRDefault="00847805" w:rsidP="000C3BCD">
            <w:pPr>
              <w:rPr>
                <w:b/>
                <w:color w:val="000000"/>
                <w:sz w:val="16"/>
                <w:szCs w:val="16"/>
              </w:rPr>
            </w:pPr>
          </w:p>
        </w:tc>
      </w:tr>
    </w:tbl>
    <w:p w14:paraId="2440D4A1" w14:textId="5BE44369" w:rsidR="002F7339" w:rsidRPr="003C26C1" w:rsidRDefault="002F7339" w:rsidP="00DC0132">
      <w:pPr>
        <w:rPr>
          <w:color w:val="000000"/>
        </w:rPr>
      </w:pPr>
    </w:p>
    <w:p w14:paraId="2440D544" w14:textId="0CCEBF80" w:rsidR="00D6679C" w:rsidRDefault="00940EAB" w:rsidP="00940EAB">
      <w:pPr>
        <w:jc w:val="center"/>
        <w:rPr>
          <w:color w:val="000000"/>
        </w:rPr>
      </w:pPr>
      <w:r>
        <w:rPr>
          <w:rFonts w:eastAsiaTheme="minorEastAsia"/>
          <w:bCs/>
          <w:noProof/>
          <w:sz w:val="18"/>
          <w:szCs w:val="18"/>
        </w:rPr>
        <w:drawing>
          <wp:inline distT="0" distB="0" distL="0" distR="0" wp14:anchorId="729556CE" wp14:editId="66301DB6">
            <wp:extent cx="944880" cy="304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pic:spPr>
                </pic:pic>
              </a:graphicData>
            </a:graphic>
          </wp:inline>
        </w:drawing>
      </w:r>
    </w:p>
    <w:sectPr w:rsidR="00D6679C" w:rsidSect="00F81C4F">
      <w:headerReference w:type="even" r:id="rId26"/>
      <w:headerReference w:type="default" r:id="rId27"/>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B59C4" w14:textId="77777777" w:rsidR="009376E3" w:rsidRDefault="009376E3" w:rsidP="00441061">
      <w:r>
        <w:separator/>
      </w:r>
    </w:p>
  </w:endnote>
  <w:endnote w:type="continuationSeparator" w:id="0">
    <w:p w14:paraId="308EC929" w14:textId="77777777" w:rsidR="009376E3" w:rsidRDefault="009376E3"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F78D" w14:textId="77777777" w:rsidR="00115246" w:rsidRPr="005841A3" w:rsidRDefault="00115246">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43FA5" w14:textId="77777777" w:rsidR="00115246" w:rsidRPr="005841A3" w:rsidRDefault="00115246">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9</w:t>
    </w:r>
    <w:r w:rsidRPr="005841A3">
      <w:rPr>
        <w:b/>
        <w:sz w:val="17"/>
        <w:szCs w:val="17"/>
      </w:rPr>
      <w:fldChar w:fldCharType="end"/>
    </w:r>
  </w:p>
  <w:p w14:paraId="163A7715" w14:textId="77777777" w:rsidR="00115246" w:rsidRDefault="00115246"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831301"/>
      <w:docPartObj>
        <w:docPartGallery w:val="Page Numbers (Bottom of Page)"/>
        <w:docPartUnique/>
      </w:docPartObj>
    </w:sdtPr>
    <w:sdtEndPr>
      <w:rPr>
        <w:b/>
        <w:noProof/>
        <w:sz w:val="17"/>
        <w:szCs w:val="17"/>
      </w:rPr>
    </w:sdtEndPr>
    <w:sdtContent>
      <w:p w14:paraId="2440D567" w14:textId="079D6EA8" w:rsidR="00115246" w:rsidRPr="00A54686" w:rsidRDefault="00115246" w:rsidP="0059738A">
        <w:pPr>
          <w:pStyle w:val="Footer"/>
          <w:rPr>
            <w:b/>
            <w:sz w:val="17"/>
            <w:szCs w:val="17"/>
          </w:rPr>
        </w:pPr>
        <w:r w:rsidRPr="00A54686">
          <w:rPr>
            <w:b/>
            <w:sz w:val="17"/>
            <w:szCs w:val="17"/>
          </w:rPr>
          <w:fldChar w:fldCharType="begin"/>
        </w:r>
        <w:r w:rsidRPr="00A54686">
          <w:rPr>
            <w:b/>
            <w:sz w:val="17"/>
            <w:szCs w:val="17"/>
          </w:rPr>
          <w:instrText xml:space="preserve"> PAGE   \* MERGEFORMAT </w:instrText>
        </w:r>
        <w:r w:rsidRPr="00A54686">
          <w:rPr>
            <w:b/>
            <w:sz w:val="17"/>
            <w:szCs w:val="17"/>
          </w:rPr>
          <w:fldChar w:fldCharType="separate"/>
        </w:r>
        <w:r w:rsidR="000350CA">
          <w:rPr>
            <w:b/>
            <w:noProof/>
            <w:sz w:val="17"/>
            <w:szCs w:val="17"/>
          </w:rPr>
          <w:t>4</w:t>
        </w:r>
        <w:r w:rsidRPr="00A54686">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575093"/>
      <w:docPartObj>
        <w:docPartGallery w:val="Page Numbers (Bottom of Page)"/>
        <w:docPartUnique/>
      </w:docPartObj>
    </w:sdtPr>
    <w:sdtEndPr>
      <w:rPr>
        <w:b/>
        <w:noProof/>
        <w:sz w:val="17"/>
        <w:szCs w:val="17"/>
      </w:rPr>
    </w:sdtEndPr>
    <w:sdtContent>
      <w:p w14:paraId="2440D569" w14:textId="21F643BD" w:rsidR="00115246" w:rsidRPr="00A54686" w:rsidRDefault="00115246" w:rsidP="00A54686">
        <w:pPr>
          <w:pStyle w:val="Footer"/>
          <w:jc w:val="right"/>
          <w:rPr>
            <w:b/>
            <w:sz w:val="17"/>
            <w:szCs w:val="17"/>
          </w:rPr>
        </w:pPr>
        <w:r w:rsidRPr="00A54686">
          <w:rPr>
            <w:b/>
            <w:sz w:val="17"/>
            <w:szCs w:val="17"/>
          </w:rPr>
          <w:fldChar w:fldCharType="begin"/>
        </w:r>
        <w:r w:rsidRPr="00A54686">
          <w:rPr>
            <w:b/>
            <w:sz w:val="17"/>
            <w:szCs w:val="17"/>
          </w:rPr>
          <w:instrText xml:space="preserve"> PAGE   \* MERGEFORMAT </w:instrText>
        </w:r>
        <w:r w:rsidRPr="00A54686">
          <w:rPr>
            <w:b/>
            <w:sz w:val="17"/>
            <w:szCs w:val="17"/>
          </w:rPr>
          <w:fldChar w:fldCharType="separate"/>
        </w:r>
        <w:r w:rsidR="000350CA">
          <w:rPr>
            <w:b/>
            <w:noProof/>
            <w:sz w:val="17"/>
            <w:szCs w:val="17"/>
          </w:rPr>
          <w:t>3</w:t>
        </w:r>
        <w:r w:rsidRPr="00A54686">
          <w:rPr>
            <w:b/>
            <w:noProof/>
            <w:sz w:val="17"/>
            <w:szCs w:val="17"/>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517650"/>
      <w:docPartObj>
        <w:docPartGallery w:val="Page Numbers (Bottom of Page)"/>
        <w:docPartUnique/>
      </w:docPartObj>
    </w:sdtPr>
    <w:sdtEndPr>
      <w:rPr>
        <w:noProof/>
      </w:rPr>
    </w:sdtEndPr>
    <w:sdtContent>
      <w:p w14:paraId="67C36AD5" w14:textId="76016494" w:rsidR="0099643B" w:rsidRDefault="0099643B">
        <w:pPr>
          <w:pStyle w:val="Footer"/>
        </w:pPr>
        <w:r w:rsidRPr="0099643B">
          <w:rPr>
            <w:b/>
            <w:sz w:val="17"/>
            <w:szCs w:val="17"/>
          </w:rPr>
          <w:fldChar w:fldCharType="begin"/>
        </w:r>
        <w:r w:rsidRPr="0099643B">
          <w:rPr>
            <w:b/>
            <w:sz w:val="17"/>
            <w:szCs w:val="17"/>
          </w:rPr>
          <w:instrText xml:space="preserve"> PAGE   \* MERGEFORMAT </w:instrText>
        </w:r>
        <w:r w:rsidRPr="0099643B">
          <w:rPr>
            <w:b/>
            <w:sz w:val="17"/>
            <w:szCs w:val="17"/>
          </w:rPr>
          <w:fldChar w:fldCharType="separate"/>
        </w:r>
        <w:r w:rsidR="000350CA">
          <w:rPr>
            <w:b/>
            <w:noProof/>
            <w:sz w:val="17"/>
            <w:szCs w:val="17"/>
          </w:rPr>
          <w:t>2</w:t>
        </w:r>
        <w:r w:rsidRPr="0099643B">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13725" w14:textId="77777777" w:rsidR="009376E3" w:rsidRDefault="009376E3" w:rsidP="00441061">
      <w:r>
        <w:separator/>
      </w:r>
    </w:p>
  </w:footnote>
  <w:footnote w:type="continuationSeparator" w:id="0">
    <w:p w14:paraId="38957DE6" w14:textId="77777777" w:rsidR="009376E3" w:rsidRDefault="009376E3" w:rsidP="00441061">
      <w:r>
        <w:continuationSeparator/>
      </w:r>
    </w:p>
  </w:footnote>
  <w:footnote w:id="1">
    <w:p w14:paraId="3DD7204B" w14:textId="179444DD" w:rsidR="00115246" w:rsidRPr="005771AD" w:rsidRDefault="00115246">
      <w:pPr>
        <w:pStyle w:val="FootnoteText"/>
        <w:rPr>
          <w:sz w:val="17"/>
          <w:szCs w:val="17"/>
        </w:rPr>
      </w:pPr>
      <w:r w:rsidRPr="005771AD">
        <w:rPr>
          <w:rStyle w:val="FootnoteReference"/>
          <w:sz w:val="17"/>
          <w:szCs w:val="17"/>
        </w:rPr>
        <w:footnoteRef/>
      </w:r>
      <w:r w:rsidRPr="005771AD">
        <w:rPr>
          <w:rFonts w:ascii="Times New Roman" w:hAnsi="Times New Roman"/>
          <w:sz w:val="17"/>
          <w:szCs w:val="17"/>
        </w:rPr>
        <w:t xml:space="preserve"> UN Security Council report S/2012/412.</w:t>
      </w:r>
    </w:p>
  </w:footnote>
  <w:footnote w:id="2">
    <w:p w14:paraId="6359EE32" w14:textId="748B1FFD" w:rsidR="00115246" w:rsidRPr="005771AD" w:rsidRDefault="00115246" w:rsidP="00D01B14">
      <w:pPr>
        <w:pStyle w:val="FootnoteText"/>
        <w:rPr>
          <w:rFonts w:ascii="Times New Roman" w:hAnsi="Times New Roman"/>
          <w:sz w:val="17"/>
          <w:szCs w:val="17"/>
        </w:rPr>
      </w:pPr>
      <w:r w:rsidRPr="005771AD">
        <w:rPr>
          <w:rStyle w:val="FootnoteReference"/>
          <w:rFonts w:ascii="Times New Roman" w:hAnsi="Times New Roman"/>
          <w:sz w:val="17"/>
          <w:szCs w:val="17"/>
        </w:rPr>
        <w:footnoteRef/>
      </w:r>
      <w:r w:rsidRPr="005771AD">
        <w:rPr>
          <w:rFonts w:ascii="Times New Roman" w:hAnsi="Times New Roman"/>
          <w:sz w:val="17"/>
          <w:szCs w:val="17"/>
        </w:rPr>
        <w:t xml:space="preserve"> African Economic Outlook Report – Eritrea 2015.</w:t>
      </w:r>
    </w:p>
  </w:footnote>
  <w:footnote w:id="3">
    <w:p w14:paraId="0C13F246" w14:textId="43D30E8C" w:rsidR="00115246" w:rsidRPr="005771AD" w:rsidRDefault="00115246" w:rsidP="00D01B14">
      <w:pPr>
        <w:pStyle w:val="FootnoteText"/>
        <w:rPr>
          <w:rFonts w:ascii="Times New Roman" w:hAnsi="Times New Roman"/>
          <w:sz w:val="17"/>
          <w:szCs w:val="17"/>
        </w:rPr>
      </w:pPr>
      <w:r w:rsidRPr="005771AD">
        <w:rPr>
          <w:rStyle w:val="FootnoteReference"/>
          <w:rFonts w:ascii="Times New Roman" w:hAnsi="Times New Roman"/>
          <w:sz w:val="17"/>
          <w:szCs w:val="17"/>
        </w:rPr>
        <w:footnoteRef/>
      </w:r>
      <w:r w:rsidRPr="005771AD">
        <w:rPr>
          <w:rFonts w:ascii="Times New Roman" w:hAnsi="Times New Roman"/>
          <w:sz w:val="17"/>
          <w:szCs w:val="17"/>
        </w:rPr>
        <w:t xml:space="preserve"> InfoRM - Index for Risk Management, </w:t>
      </w:r>
      <w:hyperlink r:id="rId1" w:history="1">
        <w:r w:rsidRPr="005771AD">
          <w:rPr>
            <w:rFonts w:ascii="Times New Roman" w:hAnsi="Times New Roman"/>
            <w:sz w:val="17"/>
            <w:szCs w:val="17"/>
          </w:rPr>
          <w:t>a collaborative project of the Inter-Agency Standing Committee (IASC)</w:t>
        </w:r>
      </w:hyperlink>
      <w:r w:rsidRPr="005771AD">
        <w:rPr>
          <w:rFonts w:ascii="Times New Roman" w:hAnsi="Times New Roman"/>
          <w:sz w:val="17"/>
          <w:szCs w:val="17"/>
        </w:rPr>
        <w:t xml:space="preserve"> and the </w:t>
      </w:r>
      <w:hyperlink r:id="rId2" w:history="1">
        <w:r w:rsidRPr="005771AD">
          <w:rPr>
            <w:rFonts w:ascii="Times New Roman" w:hAnsi="Times New Roman"/>
            <w:sz w:val="17"/>
            <w:szCs w:val="17"/>
          </w:rPr>
          <w:t>European Commission</w:t>
        </w:r>
      </w:hyperlink>
      <w:r w:rsidRPr="005771AD">
        <w:rPr>
          <w:rFonts w:ascii="Times New Roman" w:hAnsi="Times New Roman"/>
          <w:sz w:val="17"/>
          <w:szCs w:val="17"/>
        </w:rPr>
        <w:t>.</w:t>
      </w:r>
    </w:p>
  </w:footnote>
  <w:footnote w:id="4">
    <w:p w14:paraId="25573BBE" w14:textId="60768538" w:rsidR="00115246" w:rsidRPr="005771AD" w:rsidRDefault="00115246" w:rsidP="00D01B14">
      <w:pPr>
        <w:pStyle w:val="FootnoteText"/>
        <w:rPr>
          <w:rFonts w:ascii="Times New Roman" w:hAnsi="Times New Roman"/>
          <w:sz w:val="17"/>
          <w:szCs w:val="17"/>
        </w:rPr>
      </w:pPr>
      <w:r w:rsidRPr="005771AD">
        <w:rPr>
          <w:rStyle w:val="FootnoteReference"/>
          <w:rFonts w:ascii="Times New Roman" w:hAnsi="Times New Roman"/>
          <w:sz w:val="17"/>
          <w:szCs w:val="17"/>
        </w:rPr>
        <w:footnoteRef/>
      </w:r>
      <w:r w:rsidRPr="005771AD">
        <w:rPr>
          <w:rFonts w:ascii="Times New Roman" w:hAnsi="Times New Roman"/>
          <w:sz w:val="17"/>
          <w:szCs w:val="17"/>
        </w:rPr>
        <w:t xml:space="preserve"> African Economic Outlook Report – Eritrea 2015.</w:t>
      </w:r>
    </w:p>
  </w:footnote>
  <w:footnote w:id="5">
    <w:p w14:paraId="1E9BABD6" w14:textId="7D8546D2" w:rsidR="00115246" w:rsidRPr="005771AD" w:rsidRDefault="00115246" w:rsidP="00D01B14">
      <w:pPr>
        <w:pStyle w:val="FootnoteText"/>
        <w:rPr>
          <w:sz w:val="17"/>
          <w:szCs w:val="17"/>
        </w:rPr>
      </w:pPr>
      <w:r w:rsidRPr="005771AD">
        <w:rPr>
          <w:rStyle w:val="FootnoteReference"/>
          <w:rFonts w:ascii="Times New Roman" w:hAnsi="Times New Roman"/>
          <w:sz w:val="17"/>
          <w:szCs w:val="17"/>
        </w:rPr>
        <w:footnoteRef/>
      </w:r>
      <w:r w:rsidRPr="005771AD">
        <w:rPr>
          <w:rFonts w:ascii="Times New Roman" w:hAnsi="Times New Roman"/>
          <w:sz w:val="17"/>
          <w:szCs w:val="17"/>
        </w:rPr>
        <w:t xml:space="preserve"> </w:t>
      </w:r>
      <w:r w:rsidRPr="005771AD">
        <w:rPr>
          <w:rFonts w:ascii="Times New Roman" w:hAnsi="Times New Roman"/>
          <w:i/>
          <w:sz w:val="17"/>
          <w:szCs w:val="17"/>
        </w:rPr>
        <w:t>10 years – Women in Eritrea</w:t>
      </w:r>
      <w:r w:rsidRPr="005771AD">
        <w:rPr>
          <w:rFonts w:ascii="Times New Roman" w:hAnsi="Times New Roman"/>
          <w:sz w:val="17"/>
          <w:szCs w:val="17"/>
        </w:rPr>
        <w:t xml:space="preserve">, </w:t>
      </w:r>
      <w:r w:rsidR="00A67C4C" w:rsidRPr="005771AD">
        <w:rPr>
          <w:rFonts w:ascii="Times New Roman" w:hAnsi="Times New Roman"/>
          <w:sz w:val="17"/>
          <w:szCs w:val="17"/>
          <w:lang w:val="en-ZW"/>
        </w:rPr>
        <w:t>NUEW</w:t>
      </w:r>
      <w:r w:rsidRPr="005771AD">
        <w:rPr>
          <w:rFonts w:ascii="Times New Roman" w:hAnsi="Times New Roman"/>
          <w:sz w:val="17"/>
          <w:szCs w:val="17"/>
        </w:rPr>
        <w:t xml:space="preserve"> and UNDP publication, 2014.</w:t>
      </w:r>
    </w:p>
  </w:footnote>
  <w:footnote w:id="6">
    <w:p w14:paraId="566E80C3" w14:textId="4A196E28" w:rsidR="00115246" w:rsidRPr="005771AD" w:rsidRDefault="00115246" w:rsidP="00D01B14">
      <w:pPr>
        <w:pStyle w:val="FootnoteText"/>
        <w:rPr>
          <w:rFonts w:ascii="Times New Roman" w:hAnsi="Times New Roman"/>
          <w:sz w:val="17"/>
          <w:szCs w:val="17"/>
        </w:rPr>
      </w:pPr>
      <w:r w:rsidRPr="005771AD">
        <w:rPr>
          <w:rStyle w:val="FootnoteReference"/>
          <w:rFonts w:ascii="Times New Roman" w:hAnsi="Times New Roman"/>
          <w:sz w:val="17"/>
          <w:szCs w:val="17"/>
        </w:rPr>
        <w:footnoteRef/>
      </w:r>
      <w:r w:rsidRPr="005771AD">
        <w:rPr>
          <w:rFonts w:ascii="Times New Roman" w:hAnsi="Times New Roman"/>
          <w:sz w:val="17"/>
          <w:szCs w:val="17"/>
        </w:rPr>
        <w:t xml:space="preserve"> Delivering together for Eritrea’s Development and Self-Reliance, Eritrea United Nations Country Team, 2014.</w:t>
      </w:r>
    </w:p>
  </w:footnote>
  <w:footnote w:id="7">
    <w:p w14:paraId="684E9E5E" w14:textId="4444D7C5" w:rsidR="00115246" w:rsidRPr="005771AD" w:rsidRDefault="00115246" w:rsidP="00D01B14">
      <w:pPr>
        <w:pStyle w:val="FootnoteText"/>
        <w:rPr>
          <w:sz w:val="17"/>
          <w:szCs w:val="17"/>
        </w:rPr>
      </w:pPr>
      <w:r w:rsidRPr="005771AD">
        <w:rPr>
          <w:rStyle w:val="FootnoteReference"/>
          <w:rFonts w:ascii="Times New Roman" w:hAnsi="Times New Roman"/>
          <w:sz w:val="17"/>
          <w:szCs w:val="17"/>
        </w:rPr>
        <w:footnoteRef/>
      </w:r>
      <w:r w:rsidRPr="005771AD">
        <w:rPr>
          <w:rFonts w:ascii="Times New Roman" w:hAnsi="Times New Roman"/>
          <w:sz w:val="17"/>
          <w:szCs w:val="17"/>
        </w:rPr>
        <w:t xml:space="preserve"> Draft working paper on the implementation of the </w:t>
      </w:r>
      <w:r w:rsidRPr="005771AD">
        <w:rPr>
          <w:rFonts w:ascii="Times New Roman" w:hAnsi="Times New Roman"/>
          <w:sz w:val="17"/>
          <w:szCs w:val="17"/>
          <w:lang w:val="en-ZW"/>
        </w:rPr>
        <w:t>Universal Periodic Review</w:t>
      </w:r>
      <w:r w:rsidRPr="005771AD">
        <w:rPr>
          <w:rFonts w:ascii="Times New Roman" w:hAnsi="Times New Roman"/>
          <w:sz w:val="17"/>
          <w:szCs w:val="17"/>
        </w:rPr>
        <w:t xml:space="preserve"> review recommendations (unpublished), Eritrea United</w:t>
      </w:r>
      <w:r w:rsidRPr="00E856D2">
        <w:rPr>
          <w:rFonts w:ascii="Times New Roman" w:hAnsi="Times New Roman"/>
          <w:sz w:val="18"/>
          <w:szCs w:val="18"/>
        </w:rPr>
        <w:t xml:space="preserve"> </w:t>
      </w:r>
      <w:r w:rsidRPr="005771AD">
        <w:rPr>
          <w:rFonts w:ascii="Times New Roman" w:hAnsi="Times New Roman"/>
          <w:sz w:val="17"/>
          <w:szCs w:val="17"/>
        </w:rPr>
        <w:t>Nations Country Team, 2014.</w:t>
      </w:r>
    </w:p>
  </w:footnote>
  <w:footnote w:id="8">
    <w:p w14:paraId="783EF999" w14:textId="33A3F72C" w:rsidR="00115246" w:rsidRPr="009A733C" w:rsidRDefault="00115246" w:rsidP="000C3BCD">
      <w:pPr>
        <w:pStyle w:val="FootnoteText"/>
        <w:rPr>
          <w:rFonts w:ascii="Times New Roman" w:hAnsi="Times New Roman"/>
          <w:sz w:val="18"/>
          <w:szCs w:val="18"/>
        </w:rPr>
      </w:pPr>
      <w:r w:rsidRPr="00F64E74">
        <w:rPr>
          <w:rStyle w:val="FootnoteReference"/>
          <w:rFonts w:ascii="Times New Roman" w:hAnsi="Times New Roman"/>
          <w:sz w:val="18"/>
          <w:szCs w:val="18"/>
        </w:rPr>
        <w:footnoteRef/>
      </w:r>
      <w:r w:rsidRPr="00F64E74">
        <w:rPr>
          <w:rFonts w:ascii="Times New Roman" w:hAnsi="Times New Roman"/>
          <w:sz w:val="18"/>
          <w:szCs w:val="18"/>
        </w:rPr>
        <w:t xml:space="preserve"> 0 </w:t>
      </w:r>
      <w:r>
        <w:rPr>
          <w:rFonts w:ascii="Times New Roman" w:hAnsi="Times New Roman"/>
          <w:sz w:val="18"/>
          <w:szCs w:val="18"/>
        </w:rPr>
        <w:t>n</w:t>
      </w:r>
      <w:r w:rsidRPr="00F64E74">
        <w:rPr>
          <w:rFonts w:ascii="Times New Roman" w:hAnsi="Times New Roman"/>
          <w:sz w:val="18"/>
          <w:szCs w:val="18"/>
        </w:rPr>
        <w:t xml:space="preserve">o – no initiatives; 1 </w:t>
      </w:r>
      <w:r>
        <w:rPr>
          <w:rFonts w:ascii="Times New Roman" w:hAnsi="Times New Roman"/>
          <w:sz w:val="18"/>
          <w:szCs w:val="18"/>
        </w:rPr>
        <w:t>w</w:t>
      </w:r>
      <w:r w:rsidRPr="00F64E74">
        <w:rPr>
          <w:rFonts w:ascii="Times New Roman" w:hAnsi="Times New Roman"/>
          <w:sz w:val="18"/>
          <w:szCs w:val="18"/>
        </w:rPr>
        <w:t xml:space="preserve">eak – initiatives present; 2 </w:t>
      </w:r>
      <w:r>
        <w:rPr>
          <w:rFonts w:ascii="Times New Roman" w:hAnsi="Times New Roman"/>
          <w:sz w:val="18"/>
          <w:szCs w:val="18"/>
        </w:rPr>
        <w:t>a</w:t>
      </w:r>
      <w:r w:rsidRPr="00F64E74">
        <w:rPr>
          <w:rFonts w:ascii="Times New Roman" w:hAnsi="Times New Roman"/>
          <w:sz w:val="18"/>
          <w:szCs w:val="18"/>
        </w:rPr>
        <w:t>verage as 2 but targeted; 3</w:t>
      </w:r>
      <w:r>
        <w:rPr>
          <w:rFonts w:ascii="Times New Roman" w:hAnsi="Times New Roman"/>
          <w:sz w:val="18"/>
          <w:szCs w:val="18"/>
        </w:rPr>
        <w:t>s</w:t>
      </w:r>
      <w:r w:rsidRPr="00F64E74">
        <w:rPr>
          <w:rFonts w:ascii="Times New Roman" w:hAnsi="Times New Roman"/>
          <w:sz w:val="18"/>
          <w:szCs w:val="18"/>
        </w:rPr>
        <w:t xml:space="preserve">trong – as 3 with trainers and equipment; 4 </w:t>
      </w:r>
      <w:r>
        <w:rPr>
          <w:rFonts w:ascii="Times New Roman" w:hAnsi="Times New Roman"/>
          <w:sz w:val="18"/>
          <w:szCs w:val="18"/>
        </w:rPr>
        <w:t>v</w:t>
      </w:r>
      <w:r w:rsidRPr="00F64E74">
        <w:rPr>
          <w:rFonts w:ascii="Times New Roman" w:hAnsi="Times New Roman"/>
          <w:sz w:val="18"/>
          <w:szCs w:val="18"/>
        </w:rPr>
        <w:t xml:space="preserve">ery </w:t>
      </w:r>
      <w:r>
        <w:rPr>
          <w:rFonts w:ascii="Times New Roman" w:hAnsi="Times New Roman"/>
          <w:sz w:val="18"/>
          <w:szCs w:val="18"/>
        </w:rPr>
        <w:t>s</w:t>
      </w:r>
      <w:r w:rsidRPr="00F64E74">
        <w:rPr>
          <w:rFonts w:ascii="Times New Roman" w:hAnsi="Times New Roman"/>
          <w:sz w:val="18"/>
          <w:szCs w:val="18"/>
        </w:rPr>
        <w:t>trong – as 3 including business development services.</w:t>
      </w:r>
    </w:p>
  </w:footnote>
  <w:footnote w:id="9">
    <w:p w14:paraId="25870490" w14:textId="419418BD" w:rsidR="00115246" w:rsidRPr="00F555E9" w:rsidRDefault="00115246" w:rsidP="00DC0132">
      <w:pPr>
        <w:pStyle w:val="FootnoteText"/>
        <w:rPr>
          <w:rFonts w:ascii="Times New Roman" w:hAnsi="Times New Roman"/>
          <w:sz w:val="18"/>
          <w:szCs w:val="18"/>
        </w:rPr>
      </w:pPr>
      <w:r w:rsidRPr="009A733C">
        <w:rPr>
          <w:rStyle w:val="FootnoteReference"/>
          <w:rFonts w:ascii="Times New Roman" w:hAnsi="Times New Roman"/>
          <w:sz w:val="18"/>
          <w:szCs w:val="18"/>
        </w:rPr>
        <w:footnoteRef/>
      </w:r>
      <w:r w:rsidRPr="009A733C">
        <w:rPr>
          <w:rFonts w:ascii="Times New Roman" w:hAnsi="Times New Roman"/>
          <w:sz w:val="18"/>
          <w:szCs w:val="18"/>
        </w:rPr>
        <w:t xml:space="preserve"> 0 </w:t>
      </w:r>
      <w:r>
        <w:rPr>
          <w:rFonts w:ascii="Times New Roman" w:hAnsi="Times New Roman"/>
          <w:sz w:val="18"/>
          <w:szCs w:val="18"/>
        </w:rPr>
        <w:t>n</w:t>
      </w:r>
      <w:r w:rsidRPr="009A733C">
        <w:rPr>
          <w:rFonts w:ascii="Times New Roman" w:hAnsi="Times New Roman"/>
          <w:sz w:val="18"/>
          <w:szCs w:val="18"/>
        </w:rPr>
        <w:t xml:space="preserve">ot established; 1 </w:t>
      </w:r>
      <w:r>
        <w:rPr>
          <w:rFonts w:ascii="Times New Roman" w:hAnsi="Times New Roman"/>
          <w:sz w:val="18"/>
          <w:szCs w:val="18"/>
        </w:rPr>
        <w:t>i</w:t>
      </w:r>
      <w:r w:rsidRPr="009A733C">
        <w:rPr>
          <w:rFonts w:ascii="Times New Roman" w:hAnsi="Times New Roman"/>
          <w:sz w:val="18"/>
          <w:szCs w:val="18"/>
        </w:rPr>
        <w:t>nitiated;</w:t>
      </w:r>
      <w:r w:rsidRPr="00CF45A7">
        <w:rPr>
          <w:rFonts w:ascii="Times New Roman" w:hAnsi="Times New Roman"/>
          <w:sz w:val="18"/>
          <w:szCs w:val="18"/>
        </w:rPr>
        <w:t xml:space="preserve"> 2 </w:t>
      </w:r>
      <w:r>
        <w:rPr>
          <w:rFonts w:ascii="Times New Roman" w:hAnsi="Times New Roman"/>
          <w:sz w:val="18"/>
          <w:szCs w:val="18"/>
        </w:rPr>
        <w:t>l</w:t>
      </w:r>
      <w:r w:rsidRPr="00CF45A7">
        <w:rPr>
          <w:rFonts w:ascii="Times New Roman" w:hAnsi="Times New Roman"/>
          <w:sz w:val="18"/>
          <w:szCs w:val="18"/>
        </w:rPr>
        <w:t xml:space="preserve">ow functional; 3 </w:t>
      </w:r>
      <w:r>
        <w:rPr>
          <w:rFonts w:ascii="Times New Roman" w:hAnsi="Times New Roman"/>
          <w:sz w:val="18"/>
          <w:szCs w:val="18"/>
        </w:rPr>
        <w:t>h</w:t>
      </w:r>
      <w:r w:rsidRPr="00CF45A7">
        <w:rPr>
          <w:rFonts w:ascii="Times New Roman" w:hAnsi="Times New Roman"/>
          <w:sz w:val="18"/>
          <w:szCs w:val="18"/>
        </w:rPr>
        <w:t xml:space="preserve">igh functional; 4 </w:t>
      </w:r>
      <w:r>
        <w:rPr>
          <w:rFonts w:ascii="Times New Roman" w:hAnsi="Times New Roman"/>
          <w:sz w:val="18"/>
          <w:szCs w:val="18"/>
        </w:rPr>
        <w:t>f</w:t>
      </w:r>
      <w:r w:rsidRPr="00CF45A7">
        <w:rPr>
          <w:rFonts w:ascii="Times New Roman" w:hAnsi="Times New Roman"/>
          <w:sz w:val="18"/>
          <w:szCs w:val="18"/>
        </w:rPr>
        <w:t>ully functional.</w:t>
      </w:r>
      <w:r w:rsidRPr="00F555E9">
        <w:rPr>
          <w:rFonts w:ascii="Times New Roman" w:hAnsi="Times New Roman"/>
          <w:sz w:val="18"/>
          <w:szCs w:val="18"/>
        </w:rPr>
        <w:t xml:space="preserve"> </w:t>
      </w:r>
    </w:p>
  </w:footnote>
  <w:footnote w:id="10">
    <w:p w14:paraId="47C6DE7B" w14:textId="44F54C02" w:rsidR="00115246" w:rsidRPr="00F555E9" w:rsidRDefault="00115246" w:rsidP="00DC0132">
      <w:pPr>
        <w:pStyle w:val="FootnoteText"/>
        <w:rPr>
          <w:rFonts w:ascii="Times New Roman" w:hAnsi="Times New Roman"/>
          <w:sz w:val="18"/>
          <w:szCs w:val="18"/>
        </w:rPr>
      </w:pPr>
      <w:r w:rsidRPr="00F555E9">
        <w:rPr>
          <w:rStyle w:val="FootnoteReference"/>
          <w:rFonts w:ascii="Times New Roman" w:hAnsi="Times New Roman"/>
          <w:sz w:val="18"/>
          <w:szCs w:val="18"/>
        </w:rPr>
        <w:footnoteRef/>
      </w:r>
      <w:r w:rsidRPr="00F555E9">
        <w:rPr>
          <w:rFonts w:ascii="Times New Roman" w:hAnsi="Times New Roman"/>
          <w:sz w:val="18"/>
          <w:szCs w:val="18"/>
        </w:rPr>
        <w:t xml:space="preserve"> Ibid. </w:t>
      </w:r>
    </w:p>
  </w:footnote>
  <w:footnote w:id="11">
    <w:p w14:paraId="5D2A03FB" w14:textId="53D2BD5F" w:rsidR="00115246" w:rsidRPr="00943E27" w:rsidRDefault="00115246" w:rsidP="00DC0132">
      <w:pPr>
        <w:pStyle w:val="FootnoteText"/>
        <w:rPr>
          <w:rFonts w:ascii="Times New Roman" w:hAnsi="Times New Roman"/>
          <w:sz w:val="18"/>
          <w:szCs w:val="18"/>
        </w:rPr>
      </w:pPr>
      <w:r w:rsidRPr="00F555E9">
        <w:rPr>
          <w:rStyle w:val="FootnoteReference"/>
          <w:rFonts w:ascii="Times New Roman" w:hAnsi="Times New Roman"/>
          <w:sz w:val="18"/>
          <w:szCs w:val="18"/>
        </w:rPr>
        <w:footnoteRef/>
      </w:r>
      <w:r w:rsidRPr="00F555E9">
        <w:rPr>
          <w:rFonts w:ascii="Times New Roman" w:hAnsi="Times New Roman"/>
          <w:sz w:val="18"/>
          <w:szCs w:val="18"/>
        </w:rPr>
        <w:t xml:space="preserve"> Average household size </w:t>
      </w:r>
      <w:r>
        <w:rPr>
          <w:rFonts w:ascii="Times New Roman" w:hAnsi="Times New Roman"/>
          <w:sz w:val="18"/>
          <w:szCs w:val="18"/>
        </w:rPr>
        <w:t xml:space="preserve">is </w:t>
      </w:r>
      <w:r w:rsidRPr="00F555E9">
        <w:rPr>
          <w:rFonts w:ascii="Times New Roman" w:hAnsi="Times New Roman"/>
          <w:sz w:val="18"/>
          <w:szCs w:val="18"/>
        </w:rPr>
        <w:t>4.8</w:t>
      </w:r>
      <w:r>
        <w:rPr>
          <w:rFonts w:ascii="Times New Roman" w:hAnsi="Times New Roman"/>
          <w:sz w:val="18"/>
          <w:szCs w:val="18"/>
        </w:rPr>
        <w:t>, according to the</w:t>
      </w:r>
      <w:r w:rsidRPr="00943E27">
        <w:rPr>
          <w:rFonts w:ascii="Times New Roman" w:hAnsi="Times New Roman"/>
          <w:sz w:val="18"/>
          <w:szCs w:val="18"/>
        </w:rPr>
        <w:t xml:space="preserve"> 2010 Eritrea Population and Health Survey</w:t>
      </w:r>
      <w:r>
        <w:rPr>
          <w:rFonts w:ascii="Times New Roman" w:hAnsi="Times New Roman"/>
          <w:sz w:val="18"/>
          <w:szCs w:val="18"/>
        </w:rPr>
        <w:t>.</w:t>
      </w:r>
    </w:p>
  </w:footnote>
  <w:footnote w:id="12">
    <w:p w14:paraId="2226EA26" w14:textId="77928DCF" w:rsidR="00115246" w:rsidRPr="00386BE9" w:rsidRDefault="00115246" w:rsidP="00847805">
      <w:pPr>
        <w:pStyle w:val="FootnoteText"/>
        <w:rPr>
          <w:rFonts w:ascii="Times New Roman" w:hAnsi="Times New Roman"/>
          <w:sz w:val="18"/>
          <w:szCs w:val="18"/>
        </w:rPr>
      </w:pPr>
      <w:r w:rsidRPr="00943E27">
        <w:rPr>
          <w:rStyle w:val="FootnoteReference"/>
          <w:rFonts w:ascii="Times New Roman" w:hAnsi="Times New Roman"/>
          <w:sz w:val="18"/>
          <w:szCs w:val="18"/>
        </w:rPr>
        <w:footnoteRef/>
      </w:r>
      <w:r w:rsidRPr="00943E27">
        <w:rPr>
          <w:rFonts w:ascii="Times New Roman" w:hAnsi="Times New Roman"/>
          <w:sz w:val="18"/>
          <w:szCs w:val="18"/>
        </w:rPr>
        <w:t xml:space="preserve"> </w:t>
      </w:r>
      <w:r w:rsidRPr="00F555E9">
        <w:rPr>
          <w:rFonts w:ascii="Times New Roman" w:hAnsi="Times New Roman"/>
          <w:bCs/>
          <w:color w:val="252525"/>
          <w:sz w:val="18"/>
          <w:szCs w:val="18"/>
          <w:shd w:val="clear" w:color="auto" w:fill="FFFFFF"/>
        </w:rPr>
        <w:t>International Standards of Supreme Audit Institutions</w:t>
      </w:r>
      <w:r>
        <w:rPr>
          <w:rFonts w:ascii="Times New Roman" w:hAnsi="Times New Roman"/>
          <w:bCs/>
          <w:color w:val="252525"/>
          <w:sz w:val="18"/>
          <w:szCs w:val="18"/>
          <w:shd w:val="clear" w:color="auto" w:fill="FFFFFF"/>
        </w:rPr>
        <w:t xml:space="preserve"> (</w:t>
      </w:r>
      <w:r w:rsidRPr="00943E27">
        <w:rPr>
          <w:rFonts w:ascii="Times New Roman" w:hAnsi="Times New Roman"/>
          <w:color w:val="252525"/>
          <w:sz w:val="18"/>
          <w:szCs w:val="18"/>
          <w:shd w:val="clear" w:color="auto" w:fill="FFFFFF"/>
        </w:rPr>
        <w:t>ISSAI</w:t>
      </w:r>
      <w:r>
        <w:rPr>
          <w:rFonts w:ascii="Times New Roman" w:hAnsi="Times New Roman"/>
          <w:color w:val="252525"/>
          <w:sz w:val="18"/>
          <w:szCs w:val="18"/>
          <w:shd w:val="clear" w:color="auto" w:fill="FFFFFF"/>
        </w:rPr>
        <w:t>)</w:t>
      </w:r>
      <w:r w:rsidRPr="00943E27">
        <w:rPr>
          <w:rStyle w:val="apple-converted-space"/>
          <w:rFonts w:ascii="Times New Roman" w:hAnsi="Times New Roman"/>
          <w:color w:val="252525"/>
          <w:sz w:val="18"/>
          <w:szCs w:val="18"/>
          <w:shd w:val="clear" w:color="auto" w:fill="FFFFFF"/>
        </w:rPr>
        <w:t> </w:t>
      </w:r>
      <w:r w:rsidRPr="00943E27">
        <w:rPr>
          <w:rFonts w:ascii="Times New Roman" w:hAnsi="Times New Roman"/>
          <w:sz w:val="18"/>
          <w:szCs w:val="18"/>
          <w:shd w:val="clear" w:color="auto" w:fill="FFFFFF"/>
        </w:rPr>
        <w:t>benchmark</w:t>
      </w:r>
      <w:r w:rsidRPr="00943E27">
        <w:rPr>
          <w:rStyle w:val="apple-converted-space"/>
          <w:rFonts w:ascii="Times New Roman" w:hAnsi="Times New Roman"/>
          <w:color w:val="252525"/>
          <w:sz w:val="18"/>
          <w:szCs w:val="18"/>
          <w:shd w:val="clear" w:color="auto" w:fill="FFFFFF"/>
        </w:rPr>
        <w:t> </w:t>
      </w:r>
      <w:r w:rsidRPr="00943E27">
        <w:rPr>
          <w:rFonts w:ascii="Times New Roman" w:hAnsi="Times New Roman"/>
          <w:color w:val="252525"/>
          <w:sz w:val="18"/>
          <w:szCs w:val="18"/>
          <w:shd w:val="clear" w:color="auto" w:fill="FFFFFF"/>
        </w:rPr>
        <w:t>for</w:t>
      </w:r>
      <w:r w:rsidRPr="00943E27">
        <w:rPr>
          <w:rStyle w:val="apple-converted-space"/>
          <w:rFonts w:ascii="Times New Roman" w:hAnsi="Times New Roman"/>
          <w:color w:val="252525"/>
          <w:sz w:val="18"/>
          <w:szCs w:val="18"/>
          <w:shd w:val="clear" w:color="auto" w:fill="FFFFFF"/>
        </w:rPr>
        <w:t> </w:t>
      </w:r>
      <w:r w:rsidRPr="00943E27">
        <w:rPr>
          <w:rFonts w:ascii="Times New Roman" w:hAnsi="Times New Roman"/>
          <w:sz w:val="18"/>
          <w:szCs w:val="18"/>
          <w:shd w:val="clear" w:color="auto" w:fill="FFFFFF"/>
        </w:rPr>
        <w:t>auditing</w:t>
      </w:r>
      <w:r w:rsidRPr="00943E27">
        <w:rPr>
          <w:rStyle w:val="apple-converted-space"/>
          <w:rFonts w:ascii="Times New Roman" w:hAnsi="Times New Roman"/>
          <w:color w:val="252525"/>
          <w:sz w:val="18"/>
          <w:szCs w:val="18"/>
          <w:shd w:val="clear" w:color="auto" w:fill="FFFFFF"/>
        </w:rPr>
        <w:t> </w:t>
      </w:r>
      <w:r w:rsidRPr="00943E27">
        <w:rPr>
          <w:rFonts w:ascii="Times New Roman" w:hAnsi="Times New Roman"/>
          <w:sz w:val="18"/>
          <w:szCs w:val="18"/>
          <w:shd w:val="clear" w:color="auto" w:fill="FFFFFF"/>
        </w:rPr>
        <w:t>public entities</w:t>
      </w:r>
      <w:r>
        <w:rPr>
          <w:rFonts w:ascii="Times New Roman" w:hAnsi="Times New Roman"/>
          <w:sz w:val="18"/>
          <w:szCs w:val="18"/>
          <w:shd w:val="clear" w:color="auto" w:fill="FFFFFF"/>
        </w:rPr>
        <w:t>.</w:t>
      </w:r>
    </w:p>
  </w:footnote>
  <w:footnote w:id="13">
    <w:p w14:paraId="49F1833A" w14:textId="4B87ACF3" w:rsidR="00115246" w:rsidRPr="00490B20" w:rsidRDefault="00115246" w:rsidP="00847805">
      <w:pPr>
        <w:pStyle w:val="FootnoteText"/>
      </w:pPr>
      <w:r w:rsidRPr="00386BE9">
        <w:rPr>
          <w:rStyle w:val="FootnoteReference"/>
          <w:rFonts w:ascii="Times New Roman" w:hAnsi="Times New Roman"/>
          <w:sz w:val="18"/>
          <w:szCs w:val="18"/>
        </w:rPr>
        <w:footnoteRef/>
      </w:r>
      <w:r w:rsidRPr="00386BE9">
        <w:rPr>
          <w:rFonts w:ascii="Times New Roman" w:hAnsi="Times New Roman"/>
          <w:sz w:val="18"/>
          <w:szCs w:val="18"/>
        </w:rPr>
        <w:t xml:space="preserve"> 0 </w:t>
      </w:r>
      <w:r>
        <w:rPr>
          <w:rFonts w:ascii="Times New Roman" w:hAnsi="Times New Roman"/>
          <w:sz w:val="18"/>
          <w:szCs w:val="18"/>
        </w:rPr>
        <w:t>n</w:t>
      </w:r>
      <w:r w:rsidRPr="00386BE9">
        <w:rPr>
          <w:rFonts w:ascii="Times New Roman" w:hAnsi="Times New Roman"/>
          <w:sz w:val="18"/>
          <w:szCs w:val="18"/>
        </w:rPr>
        <w:t xml:space="preserve">o compliance; 1 </w:t>
      </w:r>
      <w:r>
        <w:rPr>
          <w:rFonts w:ascii="Times New Roman" w:hAnsi="Times New Roman"/>
          <w:sz w:val="18"/>
          <w:szCs w:val="18"/>
        </w:rPr>
        <w:t>u</w:t>
      </w:r>
      <w:r w:rsidRPr="00386BE9">
        <w:rPr>
          <w:rFonts w:ascii="Times New Roman" w:hAnsi="Times New Roman"/>
          <w:sz w:val="18"/>
          <w:szCs w:val="18"/>
        </w:rPr>
        <w:t xml:space="preserve">nsatisfactory; 2 </w:t>
      </w:r>
      <w:r>
        <w:rPr>
          <w:rFonts w:ascii="Times New Roman" w:hAnsi="Times New Roman"/>
          <w:sz w:val="18"/>
          <w:szCs w:val="18"/>
        </w:rPr>
        <w:t>s</w:t>
      </w:r>
      <w:r w:rsidRPr="00386BE9">
        <w:rPr>
          <w:rFonts w:ascii="Times New Roman" w:hAnsi="Times New Roman"/>
          <w:sz w:val="18"/>
          <w:szCs w:val="18"/>
        </w:rPr>
        <w:t xml:space="preserve">atisfactory; 3 </w:t>
      </w:r>
      <w:r>
        <w:rPr>
          <w:rFonts w:ascii="Times New Roman" w:hAnsi="Times New Roman"/>
          <w:sz w:val="18"/>
          <w:szCs w:val="18"/>
        </w:rPr>
        <w:t>v</w:t>
      </w:r>
      <w:r w:rsidRPr="00386BE9">
        <w:rPr>
          <w:rFonts w:ascii="Times New Roman" w:hAnsi="Times New Roman"/>
          <w:sz w:val="18"/>
          <w:szCs w:val="18"/>
        </w:rPr>
        <w:t xml:space="preserve">ery satisfactory; 4 </w:t>
      </w:r>
      <w:r>
        <w:rPr>
          <w:rFonts w:ascii="Times New Roman" w:hAnsi="Times New Roman"/>
          <w:sz w:val="18"/>
          <w:szCs w:val="18"/>
        </w:rPr>
        <w:t>e</w:t>
      </w:r>
      <w:r w:rsidRPr="00386BE9">
        <w:rPr>
          <w:rFonts w:ascii="Times New Roman" w:hAnsi="Times New Roman"/>
          <w:sz w:val="18"/>
          <w:szCs w:val="18"/>
        </w:rPr>
        <w:t>xcellent</w:t>
      </w:r>
      <w:r>
        <w:rPr>
          <w:rFonts w:ascii="Times New Roman" w:hAnsi="Times New Roman"/>
          <w:sz w:val="18"/>
          <w:szCs w:val="18"/>
        </w:rPr>
        <w:t>.</w:t>
      </w:r>
      <w:r w:rsidRPr="00490B20">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15246" w:rsidRPr="00870FE7" w14:paraId="220FC942" w14:textId="77777777" w:rsidTr="00433AD0">
      <w:trPr>
        <w:trHeight w:hRule="exact" w:val="864"/>
      </w:trPr>
      <w:tc>
        <w:tcPr>
          <w:tcW w:w="4838" w:type="dxa"/>
          <w:shd w:val="clear" w:color="auto" w:fill="auto"/>
          <w:vAlign w:val="bottom"/>
        </w:tcPr>
        <w:p w14:paraId="312BE16C" w14:textId="77777777" w:rsidR="00115246" w:rsidRPr="00870FE7" w:rsidRDefault="00115246" w:rsidP="00433AD0">
          <w:pPr>
            <w:tabs>
              <w:tab w:val="center" w:pos="4320"/>
              <w:tab w:val="right" w:pos="8640"/>
            </w:tabs>
            <w:spacing w:after="80"/>
            <w:rPr>
              <w:b/>
              <w:noProof/>
              <w:sz w:val="17"/>
            </w:rPr>
          </w:pPr>
          <w:r w:rsidRPr="00870FE7">
            <w:rPr>
              <w:b/>
              <w:noProof/>
              <w:sz w:val="17"/>
            </w:rPr>
            <w:t>DP/DCP/SYC/3</w:t>
          </w:r>
        </w:p>
      </w:tc>
      <w:tc>
        <w:tcPr>
          <w:tcW w:w="5033" w:type="dxa"/>
          <w:shd w:val="clear" w:color="auto" w:fill="auto"/>
          <w:vAlign w:val="bottom"/>
        </w:tcPr>
        <w:p w14:paraId="7B73BC68" w14:textId="77777777" w:rsidR="00115246" w:rsidRPr="00870FE7" w:rsidRDefault="00115246" w:rsidP="00433AD0">
          <w:pPr>
            <w:tabs>
              <w:tab w:val="center" w:pos="4320"/>
              <w:tab w:val="right" w:pos="8640"/>
            </w:tabs>
            <w:jc w:val="right"/>
            <w:rPr>
              <w:noProof/>
              <w:sz w:val="17"/>
            </w:rPr>
          </w:pPr>
        </w:p>
      </w:tc>
    </w:tr>
  </w:tbl>
  <w:p w14:paraId="52A8BCF8" w14:textId="77777777" w:rsidR="00115246" w:rsidRDefault="00115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522"/>
    </w:tblGrid>
    <w:tr w:rsidR="00115246" w:rsidRPr="00123AF2" w14:paraId="581BD38B" w14:textId="77777777" w:rsidTr="00433AD0">
      <w:trPr>
        <w:trHeight w:hRule="exact" w:val="864"/>
      </w:trPr>
      <w:tc>
        <w:tcPr>
          <w:tcW w:w="4838" w:type="dxa"/>
          <w:tcBorders>
            <w:bottom w:val="single" w:sz="4" w:space="0" w:color="auto"/>
          </w:tcBorders>
          <w:vAlign w:val="bottom"/>
        </w:tcPr>
        <w:p w14:paraId="29A48C80" w14:textId="77777777" w:rsidR="00115246" w:rsidRPr="00123AF2" w:rsidRDefault="00115246" w:rsidP="00433AD0">
          <w:pPr>
            <w:widowControl w:val="0"/>
            <w:tabs>
              <w:tab w:val="center" w:pos="4320"/>
              <w:tab w:val="right" w:pos="8640"/>
            </w:tabs>
            <w:spacing w:after="80"/>
            <w:rPr>
              <w:b/>
              <w:sz w:val="17"/>
              <w:szCs w:val="17"/>
            </w:rPr>
          </w:pPr>
        </w:p>
      </w:tc>
      <w:tc>
        <w:tcPr>
          <w:tcW w:w="4522" w:type="dxa"/>
          <w:tcBorders>
            <w:bottom w:val="single" w:sz="4" w:space="0" w:color="auto"/>
          </w:tcBorders>
          <w:vAlign w:val="bottom"/>
        </w:tcPr>
        <w:p w14:paraId="28AEE1DE" w14:textId="77777777" w:rsidR="00115246" w:rsidRPr="00123AF2" w:rsidRDefault="00115246" w:rsidP="00433AD0">
          <w:pPr>
            <w:widowControl w:val="0"/>
            <w:tabs>
              <w:tab w:val="center" w:pos="4320"/>
              <w:tab w:val="right" w:pos="8640"/>
            </w:tabs>
            <w:jc w:val="right"/>
            <w:rPr>
              <w:sz w:val="17"/>
              <w:szCs w:val="17"/>
            </w:rPr>
          </w:pPr>
          <w:r w:rsidRPr="00123AF2">
            <w:rPr>
              <w:b/>
              <w:sz w:val="17"/>
              <w:szCs w:val="17"/>
            </w:rPr>
            <w:t>DP/DCP/</w:t>
          </w:r>
          <w:r>
            <w:rPr>
              <w:b/>
              <w:sz w:val="17"/>
              <w:szCs w:val="17"/>
            </w:rPr>
            <w:t>MNG</w:t>
          </w:r>
          <w:r w:rsidRPr="00123AF2">
            <w:rPr>
              <w:b/>
              <w:sz w:val="17"/>
              <w:szCs w:val="17"/>
            </w:rPr>
            <w:t>/3</w:t>
          </w:r>
        </w:p>
      </w:tc>
    </w:tr>
  </w:tbl>
  <w:p w14:paraId="3E8F69CA" w14:textId="77777777" w:rsidR="00115246" w:rsidRPr="00916E69" w:rsidRDefault="00115246">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15246" w:rsidRPr="00A226B9" w14:paraId="5A462265" w14:textId="77777777" w:rsidTr="00433AD0">
      <w:trPr>
        <w:trHeight w:hRule="exact" w:val="864"/>
      </w:trPr>
      <w:tc>
        <w:tcPr>
          <w:tcW w:w="1267" w:type="dxa"/>
          <w:tcBorders>
            <w:bottom w:val="single" w:sz="4" w:space="0" w:color="auto"/>
          </w:tcBorders>
          <w:shd w:val="clear" w:color="auto" w:fill="auto"/>
          <w:vAlign w:val="bottom"/>
        </w:tcPr>
        <w:p w14:paraId="33BF1F78" w14:textId="77777777" w:rsidR="00115246" w:rsidRPr="00A226B9" w:rsidRDefault="00115246" w:rsidP="00433AD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46270E51" w14:textId="77777777" w:rsidR="00115246" w:rsidRPr="00A226B9" w:rsidRDefault="00115246" w:rsidP="00433A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A226B9">
            <w:rPr>
              <w:spacing w:val="2"/>
              <w:w w:val="96"/>
              <w:kern w:val="14"/>
              <w:sz w:val="28"/>
              <w:lang w:val="en-GB"/>
            </w:rPr>
            <w:t>United Nations</w:t>
          </w:r>
        </w:p>
      </w:tc>
      <w:tc>
        <w:tcPr>
          <w:tcW w:w="245" w:type="dxa"/>
          <w:tcBorders>
            <w:bottom w:val="single" w:sz="4" w:space="0" w:color="auto"/>
          </w:tcBorders>
          <w:shd w:val="clear" w:color="auto" w:fill="auto"/>
          <w:vAlign w:val="bottom"/>
        </w:tcPr>
        <w:p w14:paraId="635D1D74" w14:textId="77777777" w:rsidR="00115246" w:rsidRPr="00A226B9" w:rsidRDefault="00115246" w:rsidP="00433AD0">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063FD7CA" w14:textId="7BA3F23F" w:rsidR="00115246" w:rsidRPr="00A226B9" w:rsidRDefault="00115246" w:rsidP="00494CEC">
          <w:pPr>
            <w:suppressAutoHyphens/>
            <w:spacing w:after="80"/>
            <w:jc w:val="right"/>
            <w:rPr>
              <w:spacing w:val="4"/>
              <w:w w:val="103"/>
              <w:kern w:val="14"/>
              <w:position w:val="-4"/>
              <w:lang w:val="en-GB"/>
            </w:rPr>
          </w:pPr>
          <w:r w:rsidRPr="00A226B9">
            <w:rPr>
              <w:spacing w:val="4"/>
              <w:w w:val="103"/>
              <w:kern w:val="14"/>
              <w:position w:val="-4"/>
              <w:sz w:val="40"/>
              <w:lang w:val="en-GB"/>
            </w:rPr>
            <w:t>DP</w:t>
          </w:r>
          <w:r w:rsidRPr="00A226B9">
            <w:rPr>
              <w:spacing w:val="4"/>
              <w:w w:val="103"/>
              <w:kern w:val="14"/>
              <w:position w:val="-4"/>
              <w:lang w:val="en-GB"/>
            </w:rPr>
            <w:t>/DCP/</w:t>
          </w:r>
          <w:r>
            <w:rPr>
              <w:spacing w:val="4"/>
              <w:w w:val="103"/>
              <w:kern w:val="14"/>
              <w:position w:val="-4"/>
              <w:lang w:val="en-GB"/>
            </w:rPr>
            <w:t>ERI</w:t>
          </w:r>
          <w:r w:rsidRPr="00A226B9">
            <w:rPr>
              <w:spacing w:val="4"/>
              <w:w w:val="103"/>
              <w:kern w:val="14"/>
              <w:position w:val="-4"/>
              <w:lang w:val="en-GB"/>
            </w:rPr>
            <w:t>/3</w:t>
          </w:r>
        </w:p>
      </w:tc>
    </w:tr>
    <w:tr w:rsidR="00115246" w:rsidRPr="00A226B9" w14:paraId="22FDCF97" w14:textId="77777777" w:rsidTr="00433AD0">
      <w:trPr>
        <w:gridAfter w:val="1"/>
        <w:wAfter w:w="28" w:type="dxa"/>
        <w:trHeight w:hRule="exact" w:val="2880"/>
      </w:trPr>
      <w:tc>
        <w:tcPr>
          <w:tcW w:w="1267" w:type="dxa"/>
          <w:tcBorders>
            <w:top w:val="single" w:sz="4" w:space="0" w:color="auto"/>
            <w:bottom w:val="single" w:sz="12" w:space="0" w:color="auto"/>
          </w:tcBorders>
          <w:shd w:val="clear" w:color="auto" w:fill="auto"/>
        </w:tcPr>
        <w:p w14:paraId="4FA25781" w14:textId="77777777" w:rsidR="00115246" w:rsidRPr="00A226B9" w:rsidRDefault="00115246" w:rsidP="00433AD0">
          <w:pPr>
            <w:tabs>
              <w:tab w:val="center" w:pos="4320"/>
              <w:tab w:val="right" w:pos="8640"/>
            </w:tabs>
            <w:spacing w:before="109"/>
            <w:rPr>
              <w:noProof/>
              <w:sz w:val="17"/>
            </w:rPr>
          </w:pPr>
          <w:r w:rsidRPr="00A226B9">
            <w:rPr>
              <w:noProof/>
              <w:sz w:val="17"/>
            </w:rPr>
            <w:t xml:space="preserve"> </w:t>
          </w:r>
          <w:r w:rsidRPr="00A226B9">
            <w:rPr>
              <w:noProof/>
              <w:sz w:val="17"/>
            </w:rPr>
            <w:drawing>
              <wp:inline distT="0" distB="0" distL="0" distR="0" wp14:anchorId="225D8C1F" wp14:editId="79D55661">
                <wp:extent cx="702945" cy="592455"/>
                <wp:effectExtent l="0" t="0" r="1905"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203CF66" w14:textId="77777777" w:rsidR="00115246" w:rsidRPr="00A226B9" w:rsidRDefault="00115246" w:rsidP="00433AD0">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0738463D" w14:textId="77777777" w:rsidR="00115246" w:rsidRPr="00A226B9" w:rsidRDefault="00115246" w:rsidP="00433A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A226B9">
            <w:rPr>
              <w:b/>
              <w:sz w:val="34"/>
            </w:rPr>
            <w:t>Executive Board of the</w:t>
          </w:r>
          <w:r w:rsidRPr="00A226B9">
            <w:rPr>
              <w:b/>
              <w:sz w:val="34"/>
            </w:rPr>
            <w:br/>
            <w:t>United Nations Development</w:t>
          </w:r>
          <w:r w:rsidRPr="00A226B9">
            <w:rPr>
              <w:b/>
              <w:sz w:val="34"/>
            </w:rPr>
            <w:br/>
            <w:t xml:space="preserve">Programme, the United Nations Population Fund and the </w:t>
          </w:r>
        </w:p>
        <w:p w14:paraId="14EB3EE5" w14:textId="77777777" w:rsidR="00115246" w:rsidRPr="00A226B9" w:rsidRDefault="00115246" w:rsidP="00433A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A226B9">
            <w:rPr>
              <w:b/>
              <w:sz w:val="34"/>
            </w:rPr>
            <w:t xml:space="preserve">United Nations Office for </w:t>
          </w:r>
        </w:p>
        <w:p w14:paraId="1FD89B87" w14:textId="77777777" w:rsidR="00115246" w:rsidRPr="00A226B9" w:rsidRDefault="00115246" w:rsidP="00433AD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A226B9">
            <w:rPr>
              <w:b/>
              <w:sz w:val="34"/>
            </w:rPr>
            <w:t>Project Services</w:t>
          </w:r>
        </w:p>
      </w:tc>
      <w:tc>
        <w:tcPr>
          <w:tcW w:w="245" w:type="dxa"/>
          <w:tcBorders>
            <w:top w:val="single" w:sz="4" w:space="0" w:color="auto"/>
            <w:bottom w:val="single" w:sz="12" w:space="0" w:color="auto"/>
          </w:tcBorders>
          <w:shd w:val="clear" w:color="auto" w:fill="auto"/>
        </w:tcPr>
        <w:p w14:paraId="53D356B2" w14:textId="77777777" w:rsidR="00115246" w:rsidRPr="00A226B9" w:rsidRDefault="00115246" w:rsidP="00433AD0">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6DB1BD88" w14:textId="77777777" w:rsidR="00115246" w:rsidRPr="00A226B9" w:rsidRDefault="00115246" w:rsidP="00433AD0">
          <w:pPr>
            <w:suppressAutoHyphens/>
            <w:spacing w:before="240" w:line="240" w:lineRule="exact"/>
            <w:rPr>
              <w:spacing w:val="4"/>
              <w:w w:val="103"/>
              <w:kern w:val="14"/>
              <w:lang w:val="en-GB"/>
            </w:rPr>
          </w:pPr>
          <w:r w:rsidRPr="00A226B9">
            <w:rPr>
              <w:spacing w:val="4"/>
              <w:w w:val="103"/>
              <w:kern w:val="14"/>
              <w:lang w:val="en-GB"/>
            </w:rPr>
            <w:t>Distr.: General</w:t>
          </w:r>
        </w:p>
        <w:p w14:paraId="56C10690" w14:textId="58DC4211" w:rsidR="00115246" w:rsidRPr="00A226B9" w:rsidRDefault="0099643B" w:rsidP="00433AD0">
          <w:pPr>
            <w:suppressAutoHyphens/>
            <w:spacing w:line="240" w:lineRule="exact"/>
            <w:rPr>
              <w:spacing w:val="4"/>
              <w:w w:val="103"/>
              <w:kern w:val="14"/>
              <w:lang w:val="en-GB"/>
            </w:rPr>
          </w:pPr>
          <w:r>
            <w:rPr>
              <w:spacing w:val="4"/>
              <w:w w:val="103"/>
              <w:kern w:val="14"/>
              <w:lang w:val="en-GB"/>
            </w:rPr>
            <w:t xml:space="preserve">13 </w:t>
          </w:r>
          <w:r w:rsidR="00115246">
            <w:rPr>
              <w:spacing w:val="4"/>
              <w:w w:val="103"/>
              <w:kern w:val="14"/>
              <w:lang w:val="en-GB"/>
            </w:rPr>
            <w:t>June</w:t>
          </w:r>
          <w:r w:rsidR="00115246" w:rsidRPr="00A226B9">
            <w:rPr>
              <w:spacing w:val="4"/>
              <w:w w:val="103"/>
              <w:kern w:val="14"/>
              <w:lang w:val="en-GB"/>
            </w:rPr>
            <w:t xml:space="preserve"> 2016</w:t>
          </w:r>
        </w:p>
        <w:p w14:paraId="46259B67" w14:textId="77777777" w:rsidR="00115246" w:rsidRPr="00A226B9" w:rsidRDefault="00115246" w:rsidP="00433AD0">
          <w:pPr>
            <w:suppressAutoHyphens/>
            <w:spacing w:line="240" w:lineRule="exact"/>
            <w:rPr>
              <w:spacing w:val="4"/>
              <w:w w:val="103"/>
              <w:kern w:val="14"/>
              <w:lang w:val="en-GB"/>
            </w:rPr>
          </w:pPr>
        </w:p>
        <w:p w14:paraId="2BC79722" w14:textId="77777777" w:rsidR="00115246" w:rsidRPr="00A226B9" w:rsidRDefault="00115246" w:rsidP="00433AD0">
          <w:pPr>
            <w:suppressAutoHyphens/>
            <w:spacing w:line="240" w:lineRule="exact"/>
            <w:rPr>
              <w:spacing w:val="4"/>
              <w:w w:val="103"/>
              <w:kern w:val="14"/>
              <w:lang w:val="en-GB"/>
            </w:rPr>
          </w:pPr>
          <w:r w:rsidRPr="00A226B9">
            <w:rPr>
              <w:spacing w:val="4"/>
              <w:w w:val="103"/>
              <w:kern w:val="14"/>
              <w:lang w:val="en-GB"/>
            </w:rPr>
            <w:t>Original: English</w:t>
          </w:r>
        </w:p>
      </w:tc>
    </w:tr>
  </w:tbl>
  <w:p w14:paraId="7E119E55" w14:textId="77777777" w:rsidR="00115246" w:rsidRPr="00870FE7" w:rsidRDefault="00115246">
    <w:pPr>
      <w:pStyle w:val="Heade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15246" w:rsidRPr="00870FE7" w14:paraId="236DF582" w14:textId="77777777" w:rsidTr="00433AD0">
      <w:trPr>
        <w:trHeight w:hRule="exact" w:val="864"/>
      </w:trPr>
      <w:tc>
        <w:tcPr>
          <w:tcW w:w="4838" w:type="dxa"/>
          <w:shd w:val="clear" w:color="auto" w:fill="auto"/>
          <w:vAlign w:val="bottom"/>
        </w:tcPr>
        <w:p w14:paraId="235D3013" w14:textId="0C5D9EF4" w:rsidR="00115246" w:rsidRPr="00870FE7" w:rsidRDefault="00115246" w:rsidP="00EE2B9F">
          <w:pPr>
            <w:tabs>
              <w:tab w:val="center" w:pos="4320"/>
              <w:tab w:val="right" w:pos="8640"/>
            </w:tabs>
            <w:spacing w:after="80"/>
            <w:rPr>
              <w:b/>
              <w:noProof/>
              <w:sz w:val="17"/>
            </w:rPr>
          </w:pPr>
          <w:r w:rsidRPr="00870FE7">
            <w:rPr>
              <w:b/>
              <w:noProof/>
              <w:sz w:val="17"/>
            </w:rPr>
            <w:t>DP/DCP/</w:t>
          </w:r>
          <w:r>
            <w:rPr>
              <w:b/>
              <w:noProof/>
              <w:sz w:val="17"/>
            </w:rPr>
            <w:t>ERI</w:t>
          </w:r>
          <w:r w:rsidRPr="00870FE7">
            <w:rPr>
              <w:b/>
              <w:noProof/>
              <w:sz w:val="17"/>
            </w:rPr>
            <w:t>/3</w:t>
          </w:r>
        </w:p>
      </w:tc>
      <w:tc>
        <w:tcPr>
          <w:tcW w:w="5033" w:type="dxa"/>
          <w:shd w:val="clear" w:color="auto" w:fill="auto"/>
          <w:vAlign w:val="bottom"/>
        </w:tcPr>
        <w:p w14:paraId="490A1900" w14:textId="77777777" w:rsidR="00115246" w:rsidRPr="00870FE7" w:rsidRDefault="00115246" w:rsidP="00EE2B9F">
          <w:pPr>
            <w:tabs>
              <w:tab w:val="center" w:pos="4320"/>
              <w:tab w:val="right" w:pos="8640"/>
            </w:tabs>
            <w:jc w:val="right"/>
            <w:rPr>
              <w:b/>
              <w:noProof/>
              <w:sz w:val="17"/>
            </w:rPr>
          </w:pPr>
        </w:p>
      </w:tc>
    </w:tr>
  </w:tbl>
  <w:p w14:paraId="27547A63" w14:textId="77777777" w:rsidR="00115246" w:rsidRDefault="001152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15246" w:rsidRPr="00870FE7" w14:paraId="285FD303" w14:textId="77777777" w:rsidTr="00433AD0">
      <w:trPr>
        <w:trHeight w:hRule="exact" w:val="864"/>
      </w:trPr>
      <w:tc>
        <w:tcPr>
          <w:tcW w:w="4838" w:type="dxa"/>
          <w:shd w:val="clear" w:color="auto" w:fill="auto"/>
          <w:vAlign w:val="bottom"/>
        </w:tcPr>
        <w:p w14:paraId="49A6B405" w14:textId="7ADE928E" w:rsidR="00115246" w:rsidRPr="00870FE7" w:rsidRDefault="00115246" w:rsidP="00A54686">
          <w:pPr>
            <w:tabs>
              <w:tab w:val="center" w:pos="4320"/>
              <w:tab w:val="right" w:pos="8640"/>
            </w:tabs>
            <w:spacing w:after="80"/>
            <w:jc w:val="right"/>
            <w:rPr>
              <w:b/>
              <w:noProof/>
              <w:sz w:val="17"/>
            </w:rPr>
          </w:pPr>
        </w:p>
      </w:tc>
      <w:tc>
        <w:tcPr>
          <w:tcW w:w="5033" w:type="dxa"/>
          <w:shd w:val="clear" w:color="auto" w:fill="auto"/>
          <w:vAlign w:val="bottom"/>
        </w:tcPr>
        <w:p w14:paraId="1B5509A6" w14:textId="47A94460" w:rsidR="00115246" w:rsidRPr="00870FE7" w:rsidRDefault="00115246" w:rsidP="0059738A">
          <w:pPr>
            <w:tabs>
              <w:tab w:val="center" w:pos="4320"/>
              <w:tab w:val="right" w:pos="8640"/>
            </w:tabs>
            <w:jc w:val="right"/>
            <w:rPr>
              <w:b/>
              <w:noProof/>
              <w:sz w:val="17"/>
            </w:rPr>
          </w:pPr>
          <w:r w:rsidRPr="00870FE7">
            <w:rPr>
              <w:b/>
              <w:noProof/>
              <w:sz w:val="17"/>
            </w:rPr>
            <w:t>DP/DCP/</w:t>
          </w:r>
          <w:r>
            <w:rPr>
              <w:b/>
              <w:noProof/>
              <w:sz w:val="17"/>
            </w:rPr>
            <w:t>ERI</w:t>
          </w:r>
          <w:r w:rsidRPr="00870FE7">
            <w:rPr>
              <w:b/>
              <w:noProof/>
              <w:sz w:val="17"/>
            </w:rPr>
            <w:t>/3</w:t>
          </w:r>
        </w:p>
      </w:tc>
    </w:tr>
  </w:tbl>
  <w:p w14:paraId="50308BD8" w14:textId="77777777" w:rsidR="00115246" w:rsidRDefault="001152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86304" w14:textId="77777777" w:rsidR="00115246" w:rsidRDefault="00115246" w:rsidP="00F81C4F">
    <w:pPr>
      <w:pStyle w:val="Header"/>
      <w:rPr>
        <w:sz w:val="2"/>
      </w:rPr>
    </w:pPr>
  </w:p>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115246" w:rsidRPr="00870FE7" w14:paraId="65CFA0A0" w14:textId="77777777" w:rsidTr="00433AD0">
      <w:trPr>
        <w:trHeight w:hRule="exact" w:val="864"/>
      </w:trPr>
      <w:tc>
        <w:tcPr>
          <w:tcW w:w="4838" w:type="dxa"/>
          <w:shd w:val="clear" w:color="auto" w:fill="auto"/>
          <w:vAlign w:val="bottom"/>
        </w:tcPr>
        <w:p w14:paraId="6E8B887B" w14:textId="77777777" w:rsidR="00115246" w:rsidRPr="00870FE7" w:rsidRDefault="00115246" w:rsidP="00613C4E">
          <w:pPr>
            <w:tabs>
              <w:tab w:val="center" w:pos="4320"/>
              <w:tab w:val="right" w:pos="8640"/>
            </w:tabs>
            <w:spacing w:after="80"/>
            <w:rPr>
              <w:b/>
              <w:noProof/>
              <w:sz w:val="17"/>
            </w:rPr>
          </w:pPr>
          <w:r w:rsidRPr="00870FE7">
            <w:rPr>
              <w:b/>
              <w:noProof/>
              <w:sz w:val="17"/>
            </w:rPr>
            <w:t>DP/DCP/</w:t>
          </w:r>
          <w:r>
            <w:rPr>
              <w:b/>
              <w:noProof/>
              <w:sz w:val="17"/>
            </w:rPr>
            <w:t>ERI</w:t>
          </w:r>
          <w:r w:rsidRPr="00870FE7">
            <w:rPr>
              <w:b/>
              <w:noProof/>
              <w:sz w:val="17"/>
            </w:rPr>
            <w:t>/3</w:t>
          </w:r>
        </w:p>
      </w:tc>
      <w:tc>
        <w:tcPr>
          <w:tcW w:w="5033" w:type="dxa"/>
          <w:shd w:val="clear" w:color="auto" w:fill="auto"/>
          <w:vAlign w:val="bottom"/>
        </w:tcPr>
        <w:p w14:paraId="79FFCFB1" w14:textId="77777777" w:rsidR="00115246" w:rsidRPr="00870FE7" w:rsidRDefault="00115246" w:rsidP="00613C4E">
          <w:pPr>
            <w:tabs>
              <w:tab w:val="center" w:pos="4320"/>
              <w:tab w:val="right" w:pos="8640"/>
            </w:tabs>
            <w:jc w:val="right"/>
            <w:rPr>
              <w:b/>
              <w:noProof/>
              <w:sz w:val="17"/>
            </w:rPr>
          </w:pPr>
        </w:p>
      </w:tc>
    </w:tr>
  </w:tbl>
  <w:p w14:paraId="4670CAE0" w14:textId="77777777" w:rsidR="00115246" w:rsidRPr="00613C4E" w:rsidRDefault="00115246">
    <w:pPr>
      <w:pStyle w:val="Header"/>
      <w:rPr>
        <w:sz w:val="16"/>
        <w:szCs w:val="16"/>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D56A" w14:textId="77777777" w:rsidR="00115246" w:rsidRDefault="00115246">
    <w:pPr>
      <w:pStyle w:val="Header"/>
    </w:pPr>
    <w:r>
      <w:rPr>
        <w:noProof/>
        <w:lang w:val="en-US" w:eastAsia="en-US"/>
      </w:rPr>
      <mc:AlternateContent>
        <mc:Choice Requires="wps">
          <w:drawing>
            <wp:anchor distT="0" distB="0" distL="114300" distR="114300" simplePos="0" relativeHeight="251657728" behindDoc="0" locked="0" layoutInCell="0" allowOverlap="1" wp14:anchorId="2440D56D" wp14:editId="33563FAD">
              <wp:simplePos x="0" y="0"/>
              <wp:positionH relativeFrom="column">
                <wp:posOffset>20955</wp:posOffset>
              </wp:positionH>
              <wp:positionV relativeFrom="paragraph">
                <wp:posOffset>-304800</wp:posOffset>
              </wp:positionV>
              <wp:extent cx="8277225" cy="640080"/>
              <wp:effectExtent l="0" t="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722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115246" w:rsidRPr="005841A3" w14:paraId="2440D571" w14:textId="77777777">
                            <w:trPr>
                              <w:trHeight w:hRule="exact" w:val="864"/>
                            </w:trPr>
                            <w:tc>
                              <w:tcPr>
                                <w:tcW w:w="4838" w:type="dxa"/>
                                <w:tcBorders>
                                  <w:bottom w:val="single" w:sz="4" w:space="0" w:color="auto"/>
                                </w:tcBorders>
                                <w:vAlign w:val="bottom"/>
                              </w:tcPr>
                              <w:p w14:paraId="2440D56F" w14:textId="37C02F15" w:rsidR="00115246" w:rsidRPr="007C6F85" w:rsidRDefault="00115246"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ERI/3</w:t>
                                </w:r>
                              </w:p>
                            </w:tc>
                            <w:tc>
                              <w:tcPr>
                                <w:tcW w:w="8276" w:type="dxa"/>
                                <w:tcBorders>
                                  <w:bottom w:val="single" w:sz="4" w:space="0" w:color="auto"/>
                                </w:tcBorders>
                                <w:vAlign w:val="bottom"/>
                              </w:tcPr>
                              <w:p w14:paraId="2440D570" w14:textId="77777777" w:rsidR="00115246" w:rsidRPr="007C6F85" w:rsidRDefault="00115246">
                                <w:pPr>
                                  <w:pStyle w:val="Header"/>
                                  <w:rPr>
                                    <w:rFonts w:ascii="Times New Roman" w:hAnsi="Times New Roman"/>
                                    <w:sz w:val="17"/>
                                    <w:szCs w:val="17"/>
                                    <w:lang w:val="en-US" w:eastAsia="en-US"/>
                                  </w:rPr>
                                </w:pPr>
                              </w:p>
                            </w:tc>
                          </w:tr>
                        </w:tbl>
                        <w:p w14:paraId="2440D572" w14:textId="77777777" w:rsidR="00115246" w:rsidRDefault="0011524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1.65pt;margin-top:-24pt;width:651.7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115246" w:rsidRPr="005841A3" w14:paraId="2440D571" w14:textId="77777777">
                      <w:trPr>
                        <w:trHeight w:hRule="exact" w:val="864"/>
                      </w:trPr>
                      <w:tc>
                        <w:tcPr>
                          <w:tcW w:w="4838" w:type="dxa"/>
                          <w:tcBorders>
                            <w:bottom w:val="single" w:sz="4" w:space="0" w:color="auto"/>
                          </w:tcBorders>
                          <w:vAlign w:val="bottom"/>
                        </w:tcPr>
                        <w:p w14:paraId="2440D56F" w14:textId="37C02F15" w:rsidR="00115246" w:rsidRPr="007C6F85" w:rsidRDefault="00115246"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ERI/3</w:t>
                          </w:r>
                        </w:p>
                      </w:tc>
                      <w:tc>
                        <w:tcPr>
                          <w:tcW w:w="8276" w:type="dxa"/>
                          <w:tcBorders>
                            <w:bottom w:val="single" w:sz="4" w:space="0" w:color="auto"/>
                          </w:tcBorders>
                          <w:vAlign w:val="bottom"/>
                        </w:tcPr>
                        <w:p w14:paraId="2440D570" w14:textId="77777777" w:rsidR="00115246" w:rsidRPr="007C6F85" w:rsidRDefault="00115246">
                          <w:pPr>
                            <w:pStyle w:val="Header"/>
                            <w:rPr>
                              <w:rFonts w:ascii="Times New Roman" w:hAnsi="Times New Roman"/>
                              <w:sz w:val="17"/>
                              <w:szCs w:val="17"/>
                              <w:lang w:val="en-US" w:eastAsia="en-US"/>
                            </w:rPr>
                          </w:pPr>
                        </w:p>
                      </w:tc>
                    </w:tr>
                  </w:tbl>
                  <w:p w14:paraId="2440D572" w14:textId="77777777" w:rsidR="00115246" w:rsidRDefault="00115246"/>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3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92"/>
    </w:tblGrid>
    <w:tr w:rsidR="00115246" w:rsidRPr="00870FE7" w14:paraId="3B461FFD" w14:textId="77777777" w:rsidTr="00D55A8B">
      <w:trPr>
        <w:trHeight w:hRule="exact" w:val="864"/>
      </w:trPr>
      <w:tc>
        <w:tcPr>
          <w:tcW w:w="4838" w:type="dxa"/>
          <w:shd w:val="clear" w:color="auto" w:fill="auto"/>
          <w:vAlign w:val="bottom"/>
        </w:tcPr>
        <w:p w14:paraId="3B4D3CF7" w14:textId="77777777" w:rsidR="00115246" w:rsidRPr="00870FE7" w:rsidRDefault="00115246" w:rsidP="00A54686">
          <w:pPr>
            <w:tabs>
              <w:tab w:val="center" w:pos="4320"/>
              <w:tab w:val="right" w:pos="8640"/>
            </w:tabs>
            <w:spacing w:after="80"/>
            <w:jc w:val="right"/>
            <w:rPr>
              <w:b/>
              <w:noProof/>
              <w:sz w:val="17"/>
            </w:rPr>
          </w:pPr>
        </w:p>
      </w:tc>
      <w:tc>
        <w:tcPr>
          <w:tcW w:w="8292" w:type="dxa"/>
          <w:shd w:val="clear" w:color="auto" w:fill="auto"/>
          <w:vAlign w:val="bottom"/>
        </w:tcPr>
        <w:p w14:paraId="1D28A4C7" w14:textId="77777777" w:rsidR="00115246" w:rsidRPr="00870FE7" w:rsidRDefault="00115246" w:rsidP="0059738A">
          <w:pPr>
            <w:tabs>
              <w:tab w:val="center" w:pos="4320"/>
              <w:tab w:val="right" w:pos="8640"/>
            </w:tabs>
            <w:jc w:val="right"/>
            <w:rPr>
              <w:b/>
              <w:noProof/>
              <w:sz w:val="17"/>
            </w:rPr>
          </w:pPr>
          <w:r w:rsidRPr="00870FE7">
            <w:rPr>
              <w:b/>
              <w:noProof/>
              <w:sz w:val="17"/>
            </w:rPr>
            <w:t>DP/DCP/</w:t>
          </w:r>
          <w:r>
            <w:rPr>
              <w:b/>
              <w:noProof/>
              <w:sz w:val="17"/>
            </w:rPr>
            <w:t>ERI</w:t>
          </w:r>
          <w:r w:rsidRPr="00870FE7">
            <w:rPr>
              <w:b/>
              <w:noProof/>
              <w:sz w:val="17"/>
            </w:rPr>
            <w:t>/3</w:t>
          </w:r>
        </w:p>
      </w:tc>
    </w:tr>
  </w:tbl>
  <w:p w14:paraId="0C460182" w14:textId="77777777" w:rsidR="00115246" w:rsidRDefault="00115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5"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2F8257FE"/>
    <w:multiLevelType w:val="hybridMultilevel"/>
    <w:tmpl w:val="FAEE1228"/>
    <w:lvl w:ilvl="0" w:tplc="EDFA4DA8">
      <w:start w:val="1"/>
      <w:numFmt w:val="decimal"/>
      <w:lvlText w:val="%1."/>
      <w:lvlJc w:val="left"/>
      <w:pPr>
        <w:ind w:left="360" w:hanging="360"/>
      </w:pPr>
      <w:rPr>
        <w:rFonts w:eastAsiaTheme="minorHAns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0"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5"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41E521FC"/>
    <w:multiLevelType w:val="hybridMultilevel"/>
    <w:tmpl w:val="E42ABEFE"/>
    <w:lvl w:ilvl="0" w:tplc="C4405664">
      <w:start w:val="1"/>
      <w:numFmt w:val="upperRoman"/>
      <w:lvlText w:val="%1."/>
      <w:lvlJc w:val="left"/>
      <w:pPr>
        <w:ind w:left="1440" w:hanging="72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375E0F"/>
    <w:multiLevelType w:val="multilevel"/>
    <w:tmpl w:val="0D5E11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242"/>
        </w:tabs>
        <w:ind w:left="1242" w:hanging="432"/>
      </w:pPr>
      <w:rPr>
        <w:rFonts w:ascii="Times New Roman" w:hAnsi="Times New Roman" w:cs="Times New Roman" w:hint="default"/>
        <w:b w:val="0"/>
        <w:i w:val="0"/>
        <w:sz w:val="20"/>
        <w:szCs w:val="2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7"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29"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0"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2"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3"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34"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27"/>
  </w:num>
  <w:num w:numId="3">
    <w:abstractNumId w:val="22"/>
  </w:num>
  <w:num w:numId="4">
    <w:abstractNumId w:val="31"/>
  </w:num>
  <w:num w:numId="5">
    <w:abstractNumId w:val="23"/>
  </w:num>
  <w:num w:numId="6">
    <w:abstractNumId w:val="0"/>
  </w:num>
  <w:num w:numId="7">
    <w:abstractNumId w:val="13"/>
  </w:num>
  <w:num w:numId="8">
    <w:abstractNumId w:val="28"/>
  </w:num>
  <w:num w:numId="9">
    <w:abstractNumId w:val="37"/>
  </w:num>
  <w:num w:numId="10">
    <w:abstractNumId w:val="30"/>
  </w:num>
  <w:num w:numId="11">
    <w:abstractNumId w:val="36"/>
  </w:num>
  <w:num w:numId="12">
    <w:abstractNumId w:val="20"/>
  </w:num>
  <w:num w:numId="13">
    <w:abstractNumId w:val="4"/>
  </w:num>
  <w:num w:numId="14">
    <w:abstractNumId w:val="12"/>
  </w:num>
  <w:num w:numId="15">
    <w:abstractNumId w:val="33"/>
  </w:num>
  <w:num w:numId="16">
    <w:abstractNumId w:val="7"/>
  </w:num>
  <w:num w:numId="17">
    <w:abstractNumId w:val="10"/>
  </w:num>
  <w:num w:numId="18">
    <w:abstractNumId w:val="14"/>
  </w:num>
  <w:num w:numId="19">
    <w:abstractNumId w:val="35"/>
  </w:num>
  <w:num w:numId="20">
    <w:abstractNumId w:val="6"/>
  </w:num>
  <w:num w:numId="21">
    <w:abstractNumId w:val="5"/>
  </w:num>
  <w:num w:numId="22">
    <w:abstractNumId w:val="34"/>
  </w:num>
  <w:num w:numId="23">
    <w:abstractNumId w:val="11"/>
  </w:num>
  <w:num w:numId="24">
    <w:abstractNumId w:val="2"/>
  </w:num>
  <w:num w:numId="25">
    <w:abstractNumId w:val="32"/>
  </w:num>
  <w:num w:numId="26">
    <w:abstractNumId w:val="29"/>
  </w:num>
  <w:num w:numId="27">
    <w:abstractNumId w:val="25"/>
  </w:num>
  <w:num w:numId="28">
    <w:abstractNumId w:val="1"/>
  </w:num>
  <w:num w:numId="29">
    <w:abstractNumId w:val="21"/>
  </w:num>
  <w:num w:numId="30">
    <w:abstractNumId w:val="24"/>
  </w:num>
  <w:num w:numId="31">
    <w:abstractNumId w:val="9"/>
  </w:num>
  <w:num w:numId="32">
    <w:abstractNumId w:val="3"/>
  </w:num>
  <w:num w:numId="33">
    <w:abstractNumId w:val="19"/>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7"/>
  </w:num>
  <w:num w:numId="37">
    <w:abstractNumId w:val="18"/>
  </w:num>
  <w:num w:numId="3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2E03"/>
    <w:rsid w:val="00002EEE"/>
    <w:rsid w:val="00005E26"/>
    <w:rsid w:val="0000624F"/>
    <w:rsid w:val="0000662D"/>
    <w:rsid w:val="00015FDE"/>
    <w:rsid w:val="00016217"/>
    <w:rsid w:val="00016861"/>
    <w:rsid w:val="000200CF"/>
    <w:rsid w:val="000205F1"/>
    <w:rsid w:val="00021539"/>
    <w:rsid w:val="00022047"/>
    <w:rsid w:val="00025CFA"/>
    <w:rsid w:val="000274B9"/>
    <w:rsid w:val="0002758B"/>
    <w:rsid w:val="000276A0"/>
    <w:rsid w:val="000330DB"/>
    <w:rsid w:val="0003429F"/>
    <w:rsid w:val="000350CA"/>
    <w:rsid w:val="0003562A"/>
    <w:rsid w:val="00036095"/>
    <w:rsid w:val="00036AF4"/>
    <w:rsid w:val="00041C10"/>
    <w:rsid w:val="00043804"/>
    <w:rsid w:val="000441A1"/>
    <w:rsid w:val="00050869"/>
    <w:rsid w:val="000525CE"/>
    <w:rsid w:val="0005465C"/>
    <w:rsid w:val="000561C1"/>
    <w:rsid w:val="00056204"/>
    <w:rsid w:val="000570D1"/>
    <w:rsid w:val="000571A9"/>
    <w:rsid w:val="00060290"/>
    <w:rsid w:val="00063E24"/>
    <w:rsid w:val="00065023"/>
    <w:rsid w:val="00065E1E"/>
    <w:rsid w:val="00072229"/>
    <w:rsid w:val="00073CF1"/>
    <w:rsid w:val="00074BD0"/>
    <w:rsid w:val="00074D9A"/>
    <w:rsid w:val="00074DB9"/>
    <w:rsid w:val="00074F5C"/>
    <w:rsid w:val="000753C4"/>
    <w:rsid w:val="000757D3"/>
    <w:rsid w:val="00075DF0"/>
    <w:rsid w:val="000762CA"/>
    <w:rsid w:val="000803A4"/>
    <w:rsid w:val="000806E3"/>
    <w:rsid w:val="0008339E"/>
    <w:rsid w:val="0008470F"/>
    <w:rsid w:val="00090AD1"/>
    <w:rsid w:val="00090F4F"/>
    <w:rsid w:val="00091476"/>
    <w:rsid w:val="00092879"/>
    <w:rsid w:val="00093623"/>
    <w:rsid w:val="00094E87"/>
    <w:rsid w:val="00097FB2"/>
    <w:rsid w:val="000A151D"/>
    <w:rsid w:val="000A1B9C"/>
    <w:rsid w:val="000A24C5"/>
    <w:rsid w:val="000A3F7F"/>
    <w:rsid w:val="000A6D93"/>
    <w:rsid w:val="000B3A13"/>
    <w:rsid w:val="000B4BB2"/>
    <w:rsid w:val="000C314D"/>
    <w:rsid w:val="000C3BCD"/>
    <w:rsid w:val="000C76B0"/>
    <w:rsid w:val="000C7BBE"/>
    <w:rsid w:val="000D2475"/>
    <w:rsid w:val="000D442C"/>
    <w:rsid w:val="000D4DC4"/>
    <w:rsid w:val="000E612D"/>
    <w:rsid w:val="000E65AC"/>
    <w:rsid w:val="000E745A"/>
    <w:rsid w:val="000E7E9E"/>
    <w:rsid w:val="000F0044"/>
    <w:rsid w:val="000F60F4"/>
    <w:rsid w:val="000F703B"/>
    <w:rsid w:val="00106EF8"/>
    <w:rsid w:val="001077E2"/>
    <w:rsid w:val="001101A2"/>
    <w:rsid w:val="00111489"/>
    <w:rsid w:val="00111797"/>
    <w:rsid w:val="00111B19"/>
    <w:rsid w:val="00114A64"/>
    <w:rsid w:val="00115246"/>
    <w:rsid w:val="00115F59"/>
    <w:rsid w:val="00116C1A"/>
    <w:rsid w:val="00121F3E"/>
    <w:rsid w:val="00121FA8"/>
    <w:rsid w:val="0012229E"/>
    <w:rsid w:val="00123849"/>
    <w:rsid w:val="00123A4A"/>
    <w:rsid w:val="00123A5E"/>
    <w:rsid w:val="00125010"/>
    <w:rsid w:val="00125266"/>
    <w:rsid w:val="00125B82"/>
    <w:rsid w:val="001305E6"/>
    <w:rsid w:val="0013239A"/>
    <w:rsid w:val="00134D89"/>
    <w:rsid w:val="0013761A"/>
    <w:rsid w:val="00143269"/>
    <w:rsid w:val="0014423A"/>
    <w:rsid w:val="00144CE3"/>
    <w:rsid w:val="00147042"/>
    <w:rsid w:val="001471A7"/>
    <w:rsid w:val="001506F6"/>
    <w:rsid w:val="00152481"/>
    <w:rsid w:val="00154032"/>
    <w:rsid w:val="001547D3"/>
    <w:rsid w:val="001559BD"/>
    <w:rsid w:val="00157F79"/>
    <w:rsid w:val="00163E84"/>
    <w:rsid w:val="001668AA"/>
    <w:rsid w:val="001675B1"/>
    <w:rsid w:val="0016789D"/>
    <w:rsid w:val="00167C87"/>
    <w:rsid w:val="00172EE3"/>
    <w:rsid w:val="0017310B"/>
    <w:rsid w:val="00177E7E"/>
    <w:rsid w:val="00181E77"/>
    <w:rsid w:val="0018292E"/>
    <w:rsid w:val="0018356F"/>
    <w:rsid w:val="00185F10"/>
    <w:rsid w:val="001876C5"/>
    <w:rsid w:val="00187D68"/>
    <w:rsid w:val="00190155"/>
    <w:rsid w:val="001906B5"/>
    <w:rsid w:val="0019172A"/>
    <w:rsid w:val="00194163"/>
    <w:rsid w:val="00194FEB"/>
    <w:rsid w:val="001970A4"/>
    <w:rsid w:val="00197AD1"/>
    <w:rsid w:val="001B0020"/>
    <w:rsid w:val="001B0E96"/>
    <w:rsid w:val="001B1A2D"/>
    <w:rsid w:val="001B1A52"/>
    <w:rsid w:val="001B3F87"/>
    <w:rsid w:val="001B4026"/>
    <w:rsid w:val="001B598C"/>
    <w:rsid w:val="001B76A6"/>
    <w:rsid w:val="001C07F8"/>
    <w:rsid w:val="001C2F59"/>
    <w:rsid w:val="001C6C08"/>
    <w:rsid w:val="001D2056"/>
    <w:rsid w:val="001D42D1"/>
    <w:rsid w:val="001D5A86"/>
    <w:rsid w:val="001D64E5"/>
    <w:rsid w:val="001D6EB8"/>
    <w:rsid w:val="001E05EC"/>
    <w:rsid w:val="001E0822"/>
    <w:rsid w:val="001E4809"/>
    <w:rsid w:val="001E4F4F"/>
    <w:rsid w:val="001E7143"/>
    <w:rsid w:val="001F27F4"/>
    <w:rsid w:val="001F3DC0"/>
    <w:rsid w:val="001F4C5A"/>
    <w:rsid w:val="001F4EA9"/>
    <w:rsid w:val="001F4F73"/>
    <w:rsid w:val="001F6425"/>
    <w:rsid w:val="001F6772"/>
    <w:rsid w:val="001F7421"/>
    <w:rsid w:val="00200195"/>
    <w:rsid w:val="00200B5F"/>
    <w:rsid w:val="00201EEF"/>
    <w:rsid w:val="00202104"/>
    <w:rsid w:val="0020250F"/>
    <w:rsid w:val="002047C8"/>
    <w:rsid w:val="002052B3"/>
    <w:rsid w:val="002058F9"/>
    <w:rsid w:val="00212B1F"/>
    <w:rsid w:val="00213D7C"/>
    <w:rsid w:val="00214513"/>
    <w:rsid w:val="00214786"/>
    <w:rsid w:val="002155B7"/>
    <w:rsid w:val="0021766A"/>
    <w:rsid w:val="00221635"/>
    <w:rsid w:val="002225D3"/>
    <w:rsid w:val="00222A35"/>
    <w:rsid w:val="0022301D"/>
    <w:rsid w:val="00224B2C"/>
    <w:rsid w:val="00224E56"/>
    <w:rsid w:val="00227E55"/>
    <w:rsid w:val="00232AA0"/>
    <w:rsid w:val="00234CDF"/>
    <w:rsid w:val="00236B91"/>
    <w:rsid w:val="0023785C"/>
    <w:rsid w:val="002424C0"/>
    <w:rsid w:val="00242CAA"/>
    <w:rsid w:val="00245D74"/>
    <w:rsid w:val="00246A49"/>
    <w:rsid w:val="00246D03"/>
    <w:rsid w:val="00246DDF"/>
    <w:rsid w:val="00251E0C"/>
    <w:rsid w:val="00252B6B"/>
    <w:rsid w:val="002573CC"/>
    <w:rsid w:val="00260FAA"/>
    <w:rsid w:val="00262338"/>
    <w:rsid w:val="002634D1"/>
    <w:rsid w:val="00263938"/>
    <w:rsid w:val="002646D7"/>
    <w:rsid w:val="002671D7"/>
    <w:rsid w:val="0027259C"/>
    <w:rsid w:val="00273543"/>
    <w:rsid w:val="00274C82"/>
    <w:rsid w:val="0027654D"/>
    <w:rsid w:val="00277B9E"/>
    <w:rsid w:val="002810DF"/>
    <w:rsid w:val="002812AB"/>
    <w:rsid w:val="002816D8"/>
    <w:rsid w:val="00282A8C"/>
    <w:rsid w:val="002854EE"/>
    <w:rsid w:val="0028565C"/>
    <w:rsid w:val="002875DE"/>
    <w:rsid w:val="00287E07"/>
    <w:rsid w:val="00290EB3"/>
    <w:rsid w:val="00292457"/>
    <w:rsid w:val="00292846"/>
    <w:rsid w:val="00292A90"/>
    <w:rsid w:val="00295180"/>
    <w:rsid w:val="002971D6"/>
    <w:rsid w:val="002A1996"/>
    <w:rsid w:val="002A2F08"/>
    <w:rsid w:val="002A3641"/>
    <w:rsid w:val="002A4091"/>
    <w:rsid w:val="002A4123"/>
    <w:rsid w:val="002A495F"/>
    <w:rsid w:val="002A706F"/>
    <w:rsid w:val="002A70EA"/>
    <w:rsid w:val="002A7363"/>
    <w:rsid w:val="002A7F43"/>
    <w:rsid w:val="002B365E"/>
    <w:rsid w:val="002B489A"/>
    <w:rsid w:val="002B6341"/>
    <w:rsid w:val="002B7D0C"/>
    <w:rsid w:val="002C0526"/>
    <w:rsid w:val="002C27A8"/>
    <w:rsid w:val="002C2DFA"/>
    <w:rsid w:val="002C333E"/>
    <w:rsid w:val="002C36C8"/>
    <w:rsid w:val="002C4BC3"/>
    <w:rsid w:val="002C51A0"/>
    <w:rsid w:val="002C76A3"/>
    <w:rsid w:val="002C7971"/>
    <w:rsid w:val="002D0584"/>
    <w:rsid w:val="002D2E2A"/>
    <w:rsid w:val="002D4274"/>
    <w:rsid w:val="002D4F09"/>
    <w:rsid w:val="002D5295"/>
    <w:rsid w:val="002D52BF"/>
    <w:rsid w:val="002D68FA"/>
    <w:rsid w:val="002D7ECA"/>
    <w:rsid w:val="002E0141"/>
    <w:rsid w:val="002E0B5D"/>
    <w:rsid w:val="002E0B76"/>
    <w:rsid w:val="002E1495"/>
    <w:rsid w:val="002E2900"/>
    <w:rsid w:val="002E3B61"/>
    <w:rsid w:val="002E3C0D"/>
    <w:rsid w:val="002E43EC"/>
    <w:rsid w:val="002E5B3C"/>
    <w:rsid w:val="002E7A79"/>
    <w:rsid w:val="002F2C6E"/>
    <w:rsid w:val="002F3C88"/>
    <w:rsid w:val="002F4067"/>
    <w:rsid w:val="002F47EB"/>
    <w:rsid w:val="002F4881"/>
    <w:rsid w:val="002F7339"/>
    <w:rsid w:val="002F7461"/>
    <w:rsid w:val="003025E2"/>
    <w:rsid w:val="00305BE4"/>
    <w:rsid w:val="00306B66"/>
    <w:rsid w:val="00306D24"/>
    <w:rsid w:val="00307712"/>
    <w:rsid w:val="00313A1E"/>
    <w:rsid w:val="0031404A"/>
    <w:rsid w:val="00314B7C"/>
    <w:rsid w:val="00314E49"/>
    <w:rsid w:val="00315445"/>
    <w:rsid w:val="00317183"/>
    <w:rsid w:val="003204AE"/>
    <w:rsid w:val="003208EF"/>
    <w:rsid w:val="00324846"/>
    <w:rsid w:val="00324ABD"/>
    <w:rsid w:val="00324D9B"/>
    <w:rsid w:val="003272A6"/>
    <w:rsid w:val="003273CB"/>
    <w:rsid w:val="0033125E"/>
    <w:rsid w:val="003334E6"/>
    <w:rsid w:val="00336913"/>
    <w:rsid w:val="0033718C"/>
    <w:rsid w:val="00337407"/>
    <w:rsid w:val="00340E02"/>
    <w:rsid w:val="00343C49"/>
    <w:rsid w:val="00343E6E"/>
    <w:rsid w:val="003450C8"/>
    <w:rsid w:val="0034782B"/>
    <w:rsid w:val="00351E5C"/>
    <w:rsid w:val="003532AE"/>
    <w:rsid w:val="0035580F"/>
    <w:rsid w:val="00356A98"/>
    <w:rsid w:val="00357CB4"/>
    <w:rsid w:val="003604EE"/>
    <w:rsid w:val="0036286B"/>
    <w:rsid w:val="0036295C"/>
    <w:rsid w:val="00363371"/>
    <w:rsid w:val="00364989"/>
    <w:rsid w:val="003664C0"/>
    <w:rsid w:val="00366769"/>
    <w:rsid w:val="00367E04"/>
    <w:rsid w:val="003761F2"/>
    <w:rsid w:val="00376A05"/>
    <w:rsid w:val="003774FE"/>
    <w:rsid w:val="0038619B"/>
    <w:rsid w:val="00386BE9"/>
    <w:rsid w:val="00390E30"/>
    <w:rsid w:val="00393ABE"/>
    <w:rsid w:val="0039458D"/>
    <w:rsid w:val="00394D61"/>
    <w:rsid w:val="003A1BCE"/>
    <w:rsid w:val="003A1F5A"/>
    <w:rsid w:val="003A2ECE"/>
    <w:rsid w:val="003A4252"/>
    <w:rsid w:val="003A539A"/>
    <w:rsid w:val="003A62A4"/>
    <w:rsid w:val="003A7476"/>
    <w:rsid w:val="003A7795"/>
    <w:rsid w:val="003A7D86"/>
    <w:rsid w:val="003B0AA1"/>
    <w:rsid w:val="003B243D"/>
    <w:rsid w:val="003B304F"/>
    <w:rsid w:val="003B5D18"/>
    <w:rsid w:val="003B795D"/>
    <w:rsid w:val="003C26A6"/>
    <w:rsid w:val="003C26C1"/>
    <w:rsid w:val="003C5C11"/>
    <w:rsid w:val="003C6A5A"/>
    <w:rsid w:val="003C6AAD"/>
    <w:rsid w:val="003D1D4D"/>
    <w:rsid w:val="003D37DD"/>
    <w:rsid w:val="003D45DF"/>
    <w:rsid w:val="003D47C6"/>
    <w:rsid w:val="003D7CC3"/>
    <w:rsid w:val="003D7E38"/>
    <w:rsid w:val="003D7EAC"/>
    <w:rsid w:val="003E379A"/>
    <w:rsid w:val="003E52B0"/>
    <w:rsid w:val="003E5361"/>
    <w:rsid w:val="003E64DC"/>
    <w:rsid w:val="003E7A43"/>
    <w:rsid w:val="003F0B58"/>
    <w:rsid w:val="003F0D40"/>
    <w:rsid w:val="003F2236"/>
    <w:rsid w:val="003F27B7"/>
    <w:rsid w:val="003F4051"/>
    <w:rsid w:val="003F5812"/>
    <w:rsid w:val="003F6AA4"/>
    <w:rsid w:val="003F6EA1"/>
    <w:rsid w:val="00400E4A"/>
    <w:rsid w:val="00402E9A"/>
    <w:rsid w:val="00403FA8"/>
    <w:rsid w:val="00404040"/>
    <w:rsid w:val="00404213"/>
    <w:rsid w:val="004048AC"/>
    <w:rsid w:val="00404B8E"/>
    <w:rsid w:val="004068C2"/>
    <w:rsid w:val="00415E7F"/>
    <w:rsid w:val="00417880"/>
    <w:rsid w:val="00420288"/>
    <w:rsid w:val="00421C78"/>
    <w:rsid w:val="004224CE"/>
    <w:rsid w:val="00424A78"/>
    <w:rsid w:val="004254DB"/>
    <w:rsid w:val="00425E50"/>
    <w:rsid w:val="00427EEA"/>
    <w:rsid w:val="0043047B"/>
    <w:rsid w:val="00431836"/>
    <w:rsid w:val="004321E6"/>
    <w:rsid w:val="0043278E"/>
    <w:rsid w:val="00433AD0"/>
    <w:rsid w:val="004360AC"/>
    <w:rsid w:val="00436B83"/>
    <w:rsid w:val="0043735D"/>
    <w:rsid w:val="00441061"/>
    <w:rsid w:val="0045016B"/>
    <w:rsid w:val="00450C70"/>
    <w:rsid w:val="00452C7E"/>
    <w:rsid w:val="00453344"/>
    <w:rsid w:val="00454E76"/>
    <w:rsid w:val="00457080"/>
    <w:rsid w:val="00460891"/>
    <w:rsid w:val="0046141A"/>
    <w:rsid w:val="00464FB2"/>
    <w:rsid w:val="0046501A"/>
    <w:rsid w:val="004657AA"/>
    <w:rsid w:val="00466CDC"/>
    <w:rsid w:val="0046745E"/>
    <w:rsid w:val="00470CB1"/>
    <w:rsid w:val="004736BE"/>
    <w:rsid w:val="00475429"/>
    <w:rsid w:val="0047556D"/>
    <w:rsid w:val="00475789"/>
    <w:rsid w:val="00476170"/>
    <w:rsid w:val="00476F92"/>
    <w:rsid w:val="00481279"/>
    <w:rsid w:val="004820B0"/>
    <w:rsid w:val="00482E2F"/>
    <w:rsid w:val="004838D9"/>
    <w:rsid w:val="004859B4"/>
    <w:rsid w:val="00486ACD"/>
    <w:rsid w:val="00492C65"/>
    <w:rsid w:val="0049403F"/>
    <w:rsid w:val="00494323"/>
    <w:rsid w:val="00494349"/>
    <w:rsid w:val="00494485"/>
    <w:rsid w:val="00494CEC"/>
    <w:rsid w:val="004A0F27"/>
    <w:rsid w:val="004A0F37"/>
    <w:rsid w:val="004A0F68"/>
    <w:rsid w:val="004A3608"/>
    <w:rsid w:val="004A4FBD"/>
    <w:rsid w:val="004A7810"/>
    <w:rsid w:val="004A7E93"/>
    <w:rsid w:val="004B3CFB"/>
    <w:rsid w:val="004B5D6B"/>
    <w:rsid w:val="004B76F8"/>
    <w:rsid w:val="004C1FA6"/>
    <w:rsid w:val="004C5CFD"/>
    <w:rsid w:val="004D12C0"/>
    <w:rsid w:val="004D18EA"/>
    <w:rsid w:val="004D3713"/>
    <w:rsid w:val="004D4243"/>
    <w:rsid w:val="004D6254"/>
    <w:rsid w:val="004D7E99"/>
    <w:rsid w:val="004E00CE"/>
    <w:rsid w:val="004E2BDB"/>
    <w:rsid w:val="004E3505"/>
    <w:rsid w:val="004E6A15"/>
    <w:rsid w:val="004F26A0"/>
    <w:rsid w:val="004F50AF"/>
    <w:rsid w:val="004F681D"/>
    <w:rsid w:val="004F6E14"/>
    <w:rsid w:val="004F7DF6"/>
    <w:rsid w:val="0050228C"/>
    <w:rsid w:val="00502857"/>
    <w:rsid w:val="005044A9"/>
    <w:rsid w:val="00505994"/>
    <w:rsid w:val="00505FD4"/>
    <w:rsid w:val="00506E25"/>
    <w:rsid w:val="0051132C"/>
    <w:rsid w:val="00512369"/>
    <w:rsid w:val="00513483"/>
    <w:rsid w:val="00514A55"/>
    <w:rsid w:val="00514E84"/>
    <w:rsid w:val="00514EF5"/>
    <w:rsid w:val="0051782D"/>
    <w:rsid w:val="0052087E"/>
    <w:rsid w:val="0052315E"/>
    <w:rsid w:val="00530ED3"/>
    <w:rsid w:val="0053438E"/>
    <w:rsid w:val="005355EE"/>
    <w:rsid w:val="00535B16"/>
    <w:rsid w:val="005366D0"/>
    <w:rsid w:val="00537E27"/>
    <w:rsid w:val="00540B4D"/>
    <w:rsid w:val="00540FFA"/>
    <w:rsid w:val="00542930"/>
    <w:rsid w:val="005435B3"/>
    <w:rsid w:val="00550849"/>
    <w:rsid w:val="00553E6A"/>
    <w:rsid w:val="00554BF3"/>
    <w:rsid w:val="0055655F"/>
    <w:rsid w:val="0055657D"/>
    <w:rsid w:val="00560D0D"/>
    <w:rsid w:val="00560F34"/>
    <w:rsid w:val="00563F5D"/>
    <w:rsid w:val="00565FB1"/>
    <w:rsid w:val="005662FB"/>
    <w:rsid w:val="00567781"/>
    <w:rsid w:val="00567ECC"/>
    <w:rsid w:val="00570F06"/>
    <w:rsid w:val="005713B1"/>
    <w:rsid w:val="005771AD"/>
    <w:rsid w:val="00580F72"/>
    <w:rsid w:val="00582C67"/>
    <w:rsid w:val="00583090"/>
    <w:rsid w:val="005835F4"/>
    <w:rsid w:val="00583EFE"/>
    <w:rsid w:val="005841A3"/>
    <w:rsid w:val="00590263"/>
    <w:rsid w:val="00590EAE"/>
    <w:rsid w:val="0059112A"/>
    <w:rsid w:val="005915F6"/>
    <w:rsid w:val="00593216"/>
    <w:rsid w:val="00594BC3"/>
    <w:rsid w:val="00596CA7"/>
    <w:rsid w:val="00596DC8"/>
    <w:rsid w:val="00596E16"/>
    <w:rsid w:val="0059738A"/>
    <w:rsid w:val="005A16A3"/>
    <w:rsid w:val="005A1C48"/>
    <w:rsid w:val="005A253A"/>
    <w:rsid w:val="005A6FF2"/>
    <w:rsid w:val="005B1E88"/>
    <w:rsid w:val="005B4421"/>
    <w:rsid w:val="005B7929"/>
    <w:rsid w:val="005C0C02"/>
    <w:rsid w:val="005C25D1"/>
    <w:rsid w:val="005C35A9"/>
    <w:rsid w:val="005C464B"/>
    <w:rsid w:val="005C74A0"/>
    <w:rsid w:val="005D052C"/>
    <w:rsid w:val="005D063C"/>
    <w:rsid w:val="005D16FE"/>
    <w:rsid w:val="005D24FF"/>
    <w:rsid w:val="005D4084"/>
    <w:rsid w:val="005D4777"/>
    <w:rsid w:val="005D4C2B"/>
    <w:rsid w:val="005E27B6"/>
    <w:rsid w:val="005E765A"/>
    <w:rsid w:val="005E7953"/>
    <w:rsid w:val="005E7E82"/>
    <w:rsid w:val="005F112D"/>
    <w:rsid w:val="005F6C28"/>
    <w:rsid w:val="005F7AB6"/>
    <w:rsid w:val="005F7E3C"/>
    <w:rsid w:val="00600FA8"/>
    <w:rsid w:val="00604013"/>
    <w:rsid w:val="006063DA"/>
    <w:rsid w:val="00606CE3"/>
    <w:rsid w:val="00607908"/>
    <w:rsid w:val="00607FBD"/>
    <w:rsid w:val="00611DD3"/>
    <w:rsid w:val="00611EF0"/>
    <w:rsid w:val="00612219"/>
    <w:rsid w:val="00612E04"/>
    <w:rsid w:val="00613C4E"/>
    <w:rsid w:val="00615D36"/>
    <w:rsid w:val="006173A4"/>
    <w:rsid w:val="00617C44"/>
    <w:rsid w:val="00622CE4"/>
    <w:rsid w:val="006234A7"/>
    <w:rsid w:val="00624B14"/>
    <w:rsid w:val="00625917"/>
    <w:rsid w:val="0062789F"/>
    <w:rsid w:val="006301BE"/>
    <w:rsid w:val="0063096E"/>
    <w:rsid w:val="00633162"/>
    <w:rsid w:val="00633349"/>
    <w:rsid w:val="00633D61"/>
    <w:rsid w:val="0063402B"/>
    <w:rsid w:val="00634DD8"/>
    <w:rsid w:val="0063632A"/>
    <w:rsid w:val="00636570"/>
    <w:rsid w:val="00637901"/>
    <w:rsid w:val="00637E1B"/>
    <w:rsid w:val="006402DF"/>
    <w:rsid w:val="0064164B"/>
    <w:rsid w:val="006428C8"/>
    <w:rsid w:val="00644468"/>
    <w:rsid w:val="00645F5E"/>
    <w:rsid w:val="00647B1E"/>
    <w:rsid w:val="00647C55"/>
    <w:rsid w:val="0065008B"/>
    <w:rsid w:val="00653A3B"/>
    <w:rsid w:val="00653FD9"/>
    <w:rsid w:val="00654D42"/>
    <w:rsid w:val="00656328"/>
    <w:rsid w:val="00660279"/>
    <w:rsid w:val="006604EA"/>
    <w:rsid w:val="006622B9"/>
    <w:rsid w:val="00662E1E"/>
    <w:rsid w:val="0066371E"/>
    <w:rsid w:val="0066548D"/>
    <w:rsid w:val="006672C1"/>
    <w:rsid w:val="00667459"/>
    <w:rsid w:val="006724AD"/>
    <w:rsid w:val="00672BAB"/>
    <w:rsid w:val="0067314A"/>
    <w:rsid w:val="00673D1E"/>
    <w:rsid w:val="00677650"/>
    <w:rsid w:val="006779CF"/>
    <w:rsid w:val="00677A8F"/>
    <w:rsid w:val="00677F8A"/>
    <w:rsid w:val="006821E3"/>
    <w:rsid w:val="00683AD6"/>
    <w:rsid w:val="006842AE"/>
    <w:rsid w:val="0068553A"/>
    <w:rsid w:val="0069097D"/>
    <w:rsid w:val="00693212"/>
    <w:rsid w:val="006951D4"/>
    <w:rsid w:val="006958A0"/>
    <w:rsid w:val="006A0131"/>
    <w:rsid w:val="006A03F4"/>
    <w:rsid w:val="006A2070"/>
    <w:rsid w:val="006A5773"/>
    <w:rsid w:val="006A5804"/>
    <w:rsid w:val="006A58F0"/>
    <w:rsid w:val="006B0372"/>
    <w:rsid w:val="006B0764"/>
    <w:rsid w:val="006B4467"/>
    <w:rsid w:val="006B6C46"/>
    <w:rsid w:val="006B6E78"/>
    <w:rsid w:val="006C0039"/>
    <w:rsid w:val="006C1927"/>
    <w:rsid w:val="006C2585"/>
    <w:rsid w:val="006C4008"/>
    <w:rsid w:val="006C5931"/>
    <w:rsid w:val="006C73EF"/>
    <w:rsid w:val="006D1723"/>
    <w:rsid w:val="006D3C92"/>
    <w:rsid w:val="006D5D3F"/>
    <w:rsid w:val="006D60ED"/>
    <w:rsid w:val="006E1166"/>
    <w:rsid w:val="006E1D88"/>
    <w:rsid w:val="006E596E"/>
    <w:rsid w:val="006F033F"/>
    <w:rsid w:val="006F24D8"/>
    <w:rsid w:val="006F33B8"/>
    <w:rsid w:val="006F4A19"/>
    <w:rsid w:val="006F4C9C"/>
    <w:rsid w:val="006F640F"/>
    <w:rsid w:val="006F762A"/>
    <w:rsid w:val="00701B6B"/>
    <w:rsid w:val="0070384F"/>
    <w:rsid w:val="00703A9E"/>
    <w:rsid w:val="00703D6D"/>
    <w:rsid w:val="00704152"/>
    <w:rsid w:val="00704FB5"/>
    <w:rsid w:val="007061B8"/>
    <w:rsid w:val="00706B71"/>
    <w:rsid w:val="0071162C"/>
    <w:rsid w:val="00711B6F"/>
    <w:rsid w:val="0071277A"/>
    <w:rsid w:val="00712EE5"/>
    <w:rsid w:val="00713493"/>
    <w:rsid w:val="00713494"/>
    <w:rsid w:val="00714031"/>
    <w:rsid w:val="00714392"/>
    <w:rsid w:val="0071466E"/>
    <w:rsid w:val="00714A6C"/>
    <w:rsid w:val="00714CD3"/>
    <w:rsid w:val="007206A8"/>
    <w:rsid w:val="0072116D"/>
    <w:rsid w:val="0072226F"/>
    <w:rsid w:val="00725B78"/>
    <w:rsid w:val="00727082"/>
    <w:rsid w:val="0073233C"/>
    <w:rsid w:val="00732D0C"/>
    <w:rsid w:val="00733EAD"/>
    <w:rsid w:val="00734F54"/>
    <w:rsid w:val="00737C04"/>
    <w:rsid w:val="007418C0"/>
    <w:rsid w:val="00744110"/>
    <w:rsid w:val="00744595"/>
    <w:rsid w:val="00747A52"/>
    <w:rsid w:val="00747AFF"/>
    <w:rsid w:val="007505E8"/>
    <w:rsid w:val="00750F1E"/>
    <w:rsid w:val="00751C12"/>
    <w:rsid w:val="007521BC"/>
    <w:rsid w:val="00752691"/>
    <w:rsid w:val="007528F2"/>
    <w:rsid w:val="00753626"/>
    <w:rsid w:val="007575C4"/>
    <w:rsid w:val="00763700"/>
    <w:rsid w:val="0076427C"/>
    <w:rsid w:val="007642A6"/>
    <w:rsid w:val="00765217"/>
    <w:rsid w:val="007659AA"/>
    <w:rsid w:val="0077266C"/>
    <w:rsid w:val="00772802"/>
    <w:rsid w:val="00775066"/>
    <w:rsid w:val="00776406"/>
    <w:rsid w:val="0078005A"/>
    <w:rsid w:val="00781B6F"/>
    <w:rsid w:val="00781F9C"/>
    <w:rsid w:val="00782DFD"/>
    <w:rsid w:val="00784424"/>
    <w:rsid w:val="00785474"/>
    <w:rsid w:val="00786925"/>
    <w:rsid w:val="00787B99"/>
    <w:rsid w:val="0079099B"/>
    <w:rsid w:val="0079421C"/>
    <w:rsid w:val="0079526D"/>
    <w:rsid w:val="007959BD"/>
    <w:rsid w:val="00795A2C"/>
    <w:rsid w:val="00797390"/>
    <w:rsid w:val="007977EB"/>
    <w:rsid w:val="007A05B6"/>
    <w:rsid w:val="007A1C0A"/>
    <w:rsid w:val="007A1C59"/>
    <w:rsid w:val="007A5B41"/>
    <w:rsid w:val="007A7AFE"/>
    <w:rsid w:val="007B5792"/>
    <w:rsid w:val="007C022D"/>
    <w:rsid w:val="007C31E2"/>
    <w:rsid w:val="007C5CE1"/>
    <w:rsid w:val="007C69D8"/>
    <w:rsid w:val="007C6F85"/>
    <w:rsid w:val="007D03B1"/>
    <w:rsid w:val="007D0569"/>
    <w:rsid w:val="007D0913"/>
    <w:rsid w:val="007D16B1"/>
    <w:rsid w:val="007D19E4"/>
    <w:rsid w:val="007D7400"/>
    <w:rsid w:val="007D7761"/>
    <w:rsid w:val="007D79FF"/>
    <w:rsid w:val="007E02A7"/>
    <w:rsid w:val="007E154B"/>
    <w:rsid w:val="007E1A45"/>
    <w:rsid w:val="007E468A"/>
    <w:rsid w:val="007E51A5"/>
    <w:rsid w:val="007E7F4C"/>
    <w:rsid w:val="007F2FFF"/>
    <w:rsid w:val="007F3018"/>
    <w:rsid w:val="007F611F"/>
    <w:rsid w:val="00803608"/>
    <w:rsid w:val="008060C3"/>
    <w:rsid w:val="008063A1"/>
    <w:rsid w:val="00806532"/>
    <w:rsid w:val="00806EEC"/>
    <w:rsid w:val="00807F00"/>
    <w:rsid w:val="00812095"/>
    <w:rsid w:val="008134BD"/>
    <w:rsid w:val="00814656"/>
    <w:rsid w:val="00820E45"/>
    <w:rsid w:val="00821E2C"/>
    <w:rsid w:val="00821FBA"/>
    <w:rsid w:val="00822835"/>
    <w:rsid w:val="00826758"/>
    <w:rsid w:val="00830A9B"/>
    <w:rsid w:val="008353E0"/>
    <w:rsid w:val="008355E5"/>
    <w:rsid w:val="008363B6"/>
    <w:rsid w:val="008365F0"/>
    <w:rsid w:val="00841534"/>
    <w:rsid w:val="0084156F"/>
    <w:rsid w:val="008462F1"/>
    <w:rsid w:val="00846930"/>
    <w:rsid w:val="00847805"/>
    <w:rsid w:val="00850FDE"/>
    <w:rsid w:val="00852876"/>
    <w:rsid w:val="00852FFB"/>
    <w:rsid w:val="008543F5"/>
    <w:rsid w:val="00855004"/>
    <w:rsid w:val="008572C4"/>
    <w:rsid w:val="0085733E"/>
    <w:rsid w:val="008604A8"/>
    <w:rsid w:val="00861AFA"/>
    <w:rsid w:val="00861F1E"/>
    <w:rsid w:val="0086352C"/>
    <w:rsid w:val="00863C61"/>
    <w:rsid w:val="00865522"/>
    <w:rsid w:val="00865ADF"/>
    <w:rsid w:val="0086644C"/>
    <w:rsid w:val="008666B5"/>
    <w:rsid w:val="008703B3"/>
    <w:rsid w:val="00876985"/>
    <w:rsid w:val="0087720B"/>
    <w:rsid w:val="0088208F"/>
    <w:rsid w:val="00883780"/>
    <w:rsid w:val="00883B99"/>
    <w:rsid w:val="00885066"/>
    <w:rsid w:val="00885F85"/>
    <w:rsid w:val="0088665E"/>
    <w:rsid w:val="008923C8"/>
    <w:rsid w:val="00893260"/>
    <w:rsid w:val="008932A8"/>
    <w:rsid w:val="00893756"/>
    <w:rsid w:val="00894A9E"/>
    <w:rsid w:val="008950F6"/>
    <w:rsid w:val="00896815"/>
    <w:rsid w:val="008A02C4"/>
    <w:rsid w:val="008A0744"/>
    <w:rsid w:val="008A0A6E"/>
    <w:rsid w:val="008A0D0F"/>
    <w:rsid w:val="008A2FB3"/>
    <w:rsid w:val="008A398B"/>
    <w:rsid w:val="008A5601"/>
    <w:rsid w:val="008A59AD"/>
    <w:rsid w:val="008A5B2F"/>
    <w:rsid w:val="008B0331"/>
    <w:rsid w:val="008B0EEB"/>
    <w:rsid w:val="008B431D"/>
    <w:rsid w:val="008B51FD"/>
    <w:rsid w:val="008B7186"/>
    <w:rsid w:val="008C1939"/>
    <w:rsid w:val="008C3221"/>
    <w:rsid w:val="008C3396"/>
    <w:rsid w:val="008C5422"/>
    <w:rsid w:val="008C621C"/>
    <w:rsid w:val="008C697C"/>
    <w:rsid w:val="008C75ED"/>
    <w:rsid w:val="008C7649"/>
    <w:rsid w:val="008D3EF4"/>
    <w:rsid w:val="008E0991"/>
    <w:rsid w:val="008E0DA5"/>
    <w:rsid w:val="008E338E"/>
    <w:rsid w:val="008E57FE"/>
    <w:rsid w:val="008F2665"/>
    <w:rsid w:val="008F507E"/>
    <w:rsid w:val="008F6376"/>
    <w:rsid w:val="00900CC2"/>
    <w:rsid w:val="009012B6"/>
    <w:rsid w:val="009019FB"/>
    <w:rsid w:val="00901E49"/>
    <w:rsid w:val="009032B8"/>
    <w:rsid w:val="009047CA"/>
    <w:rsid w:val="0090560E"/>
    <w:rsid w:val="00905B05"/>
    <w:rsid w:val="0090753C"/>
    <w:rsid w:val="00911274"/>
    <w:rsid w:val="00911B66"/>
    <w:rsid w:val="00912074"/>
    <w:rsid w:val="00912A7E"/>
    <w:rsid w:val="009133C4"/>
    <w:rsid w:val="00913DD8"/>
    <w:rsid w:val="00915330"/>
    <w:rsid w:val="00916E69"/>
    <w:rsid w:val="00917525"/>
    <w:rsid w:val="0091777D"/>
    <w:rsid w:val="00917CB6"/>
    <w:rsid w:val="0092057D"/>
    <w:rsid w:val="009218DE"/>
    <w:rsid w:val="00922925"/>
    <w:rsid w:val="00922D00"/>
    <w:rsid w:val="00923F17"/>
    <w:rsid w:val="009266DA"/>
    <w:rsid w:val="00930DE8"/>
    <w:rsid w:val="009318DD"/>
    <w:rsid w:val="009343A7"/>
    <w:rsid w:val="00935413"/>
    <w:rsid w:val="00935F5D"/>
    <w:rsid w:val="009368E0"/>
    <w:rsid w:val="009376E3"/>
    <w:rsid w:val="00940EAB"/>
    <w:rsid w:val="0094260B"/>
    <w:rsid w:val="00942661"/>
    <w:rsid w:val="00943E27"/>
    <w:rsid w:val="00945307"/>
    <w:rsid w:val="0094558D"/>
    <w:rsid w:val="00946FCE"/>
    <w:rsid w:val="009515BC"/>
    <w:rsid w:val="00953ED0"/>
    <w:rsid w:val="0095492E"/>
    <w:rsid w:val="00955F7D"/>
    <w:rsid w:val="0095715B"/>
    <w:rsid w:val="0096242F"/>
    <w:rsid w:val="00962E3B"/>
    <w:rsid w:val="00962F41"/>
    <w:rsid w:val="00962FF5"/>
    <w:rsid w:val="00964A4E"/>
    <w:rsid w:val="00965B02"/>
    <w:rsid w:val="00965C07"/>
    <w:rsid w:val="00965D2D"/>
    <w:rsid w:val="00966195"/>
    <w:rsid w:val="0097049D"/>
    <w:rsid w:val="00971847"/>
    <w:rsid w:val="00972964"/>
    <w:rsid w:val="0097762F"/>
    <w:rsid w:val="00980B80"/>
    <w:rsid w:val="009816B8"/>
    <w:rsid w:val="009827ED"/>
    <w:rsid w:val="00983B45"/>
    <w:rsid w:val="00986265"/>
    <w:rsid w:val="0098766F"/>
    <w:rsid w:val="00993912"/>
    <w:rsid w:val="00994050"/>
    <w:rsid w:val="009960DE"/>
    <w:rsid w:val="009962CF"/>
    <w:rsid w:val="0099643B"/>
    <w:rsid w:val="00996478"/>
    <w:rsid w:val="009969D6"/>
    <w:rsid w:val="00996A8D"/>
    <w:rsid w:val="009A4543"/>
    <w:rsid w:val="009A5DB1"/>
    <w:rsid w:val="009A733C"/>
    <w:rsid w:val="009A7C5A"/>
    <w:rsid w:val="009A7E51"/>
    <w:rsid w:val="009B21B9"/>
    <w:rsid w:val="009B4AA1"/>
    <w:rsid w:val="009B4CD0"/>
    <w:rsid w:val="009B4DA7"/>
    <w:rsid w:val="009C21C6"/>
    <w:rsid w:val="009C30E6"/>
    <w:rsid w:val="009C383B"/>
    <w:rsid w:val="009C3A80"/>
    <w:rsid w:val="009C5238"/>
    <w:rsid w:val="009D12B4"/>
    <w:rsid w:val="009D1E70"/>
    <w:rsid w:val="009D2135"/>
    <w:rsid w:val="009D2FA7"/>
    <w:rsid w:val="009D4CAE"/>
    <w:rsid w:val="009D55F9"/>
    <w:rsid w:val="009D5A11"/>
    <w:rsid w:val="009D60E3"/>
    <w:rsid w:val="009D7760"/>
    <w:rsid w:val="009E16E6"/>
    <w:rsid w:val="009E200A"/>
    <w:rsid w:val="009E2953"/>
    <w:rsid w:val="009E30CE"/>
    <w:rsid w:val="009E45B3"/>
    <w:rsid w:val="009E5E13"/>
    <w:rsid w:val="009E616B"/>
    <w:rsid w:val="009F04C3"/>
    <w:rsid w:val="009F0760"/>
    <w:rsid w:val="009F16EE"/>
    <w:rsid w:val="009F3B29"/>
    <w:rsid w:val="009F4860"/>
    <w:rsid w:val="009F6555"/>
    <w:rsid w:val="00A00057"/>
    <w:rsid w:val="00A00485"/>
    <w:rsid w:val="00A01A5F"/>
    <w:rsid w:val="00A02C96"/>
    <w:rsid w:val="00A02E65"/>
    <w:rsid w:val="00A0340A"/>
    <w:rsid w:val="00A0440C"/>
    <w:rsid w:val="00A0585F"/>
    <w:rsid w:val="00A0694A"/>
    <w:rsid w:val="00A10A30"/>
    <w:rsid w:val="00A1137C"/>
    <w:rsid w:val="00A113D7"/>
    <w:rsid w:val="00A11F0F"/>
    <w:rsid w:val="00A1478B"/>
    <w:rsid w:val="00A16126"/>
    <w:rsid w:val="00A17BC4"/>
    <w:rsid w:val="00A24133"/>
    <w:rsid w:val="00A262BF"/>
    <w:rsid w:val="00A27809"/>
    <w:rsid w:val="00A30533"/>
    <w:rsid w:val="00A317B0"/>
    <w:rsid w:val="00A34591"/>
    <w:rsid w:val="00A34E44"/>
    <w:rsid w:val="00A3640F"/>
    <w:rsid w:val="00A37A4C"/>
    <w:rsid w:val="00A40CE2"/>
    <w:rsid w:val="00A47176"/>
    <w:rsid w:val="00A475C5"/>
    <w:rsid w:val="00A4768C"/>
    <w:rsid w:val="00A50A68"/>
    <w:rsid w:val="00A50D3B"/>
    <w:rsid w:val="00A518AA"/>
    <w:rsid w:val="00A54686"/>
    <w:rsid w:val="00A56348"/>
    <w:rsid w:val="00A5703F"/>
    <w:rsid w:val="00A57C62"/>
    <w:rsid w:val="00A57D39"/>
    <w:rsid w:val="00A60914"/>
    <w:rsid w:val="00A6316B"/>
    <w:rsid w:val="00A65316"/>
    <w:rsid w:val="00A65E49"/>
    <w:rsid w:val="00A674FF"/>
    <w:rsid w:val="00A67C4C"/>
    <w:rsid w:val="00A70F69"/>
    <w:rsid w:val="00A72611"/>
    <w:rsid w:val="00A73ABB"/>
    <w:rsid w:val="00A76D2C"/>
    <w:rsid w:val="00A77746"/>
    <w:rsid w:val="00A806AA"/>
    <w:rsid w:val="00A83BF6"/>
    <w:rsid w:val="00A87C32"/>
    <w:rsid w:val="00A87F31"/>
    <w:rsid w:val="00A90D27"/>
    <w:rsid w:val="00A9103B"/>
    <w:rsid w:val="00A91284"/>
    <w:rsid w:val="00A918A7"/>
    <w:rsid w:val="00A92871"/>
    <w:rsid w:val="00A955EB"/>
    <w:rsid w:val="00AA1F49"/>
    <w:rsid w:val="00AA24CF"/>
    <w:rsid w:val="00AA3A2E"/>
    <w:rsid w:val="00AA4099"/>
    <w:rsid w:val="00AA6913"/>
    <w:rsid w:val="00AB218B"/>
    <w:rsid w:val="00AB2190"/>
    <w:rsid w:val="00AB37C8"/>
    <w:rsid w:val="00AB39EB"/>
    <w:rsid w:val="00AB3F27"/>
    <w:rsid w:val="00AB3FD9"/>
    <w:rsid w:val="00AB7DE7"/>
    <w:rsid w:val="00AC0F9B"/>
    <w:rsid w:val="00AC1BE7"/>
    <w:rsid w:val="00AC275F"/>
    <w:rsid w:val="00AC50A4"/>
    <w:rsid w:val="00AC5A95"/>
    <w:rsid w:val="00AC6074"/>
    <w:rsid w:val="00AC6471"/>
    <w:rsid w:val="00AD1751"/>
    <w:rsid w:val="00AD2B6E"/>
    <w:rsid w:val="00AD3443"/>
    <w:rsid w:val="00AD4B3C"/>
    <w:rsid w:val="00AD68A5"/>
    <w:rsid w:val="00AE185D"/>
    <w:rsid w:val="00AE1BFE"/>
    <w:rsid w:val="00AE30BE"/>
    <w:rsid w:val="00AE3842"/>
    <w:rsid w:val="00AE3D83"/>
    <w:rsid w:val="00AE4374"/>
    <w:rsid w:val="00AE485C"/>
    <w:rsid w:val="00AE7D4F"/>
    <w:rsid w:val="00AE7FE4"/>
    <w:rsid w:val="00AF17D3"/>
    <w:rsid w:val="00AF1D77"/>
    <w:rsid w:val="00AF38BA"/>
    <w:rsid w:val="00AF4F67"/>
    <w:rsid w:val="00AF5811"/>
    <w:rsid w:val="00AF6509"/>
    <w:rsid w:val="00B00BBE"/>
    <w:rsid w:val="00B0456E"/>
    <w:rsid w:val="00B06A05"/>
    <w:rsid w:val="00B06BF6"/>
    <w:rsid w:val="00B06F7F"/>
    <w:rsid w:val="00B100F0"/>
    <w:rsid w:val="00B1402E"/>
    <w:rsid w:val="00B14865"/>
    <w:rsid w:val="00B21D50"/>
    <w:rsid w:val="00B22F9B"/>
    <w:rsid w:val="00B23747"/>
    <w:rsid w:val="00B24090"/>
    <w:rsid w:val="00B257E3"/>
    <w:rsid w:val="00B260C7"/>
    <w:rsid w:val="00B27494"/>
    <w:rsid w:val="00B279B9"/>
    <w:rsid w:val="00B27BFD"/>
    <w:rsid w:val="00B305F2"/>
    <w:rsid w:val="00B32A8B"/>
    <w:rsid w:val="00B344E5"/>
    <w:rsid w:val="00B34F48"/>
    <w:rsid w:val="00B35200"/>
    <w:rsid w:val="00B359F3"/>
    <w:rsid w:val="00B45E36"/>
    <w:rsid w:val="00B51BA0"/>
    <w:rsid w:val="00B535BD"/>
    <w:rsid w:val="00B53701"/>
    <w:rsid w:val="00B537B5"/>
    <w:rsid w:val="00B555FE"/>
    <w:rsid w:val="00B56A26"/>
    <w:rsid w:val="00B6003F"/>
    <w:rsid w:val="00B6110A"/>
    <w:rsid w:val="00B6176A"/>
    <w:rsid w:val="00B627F0"/>
    <w:rsid w:val="00B6301A"/>
    <w:rsid w:val="00B64CAD"/>
    <w:rsid w:val="00B6605B"/>
    <w:rsid w:val="00B66751"/>
    <w:rsid w:val="00B668CC"/>
    <w:rsid w:val="00B671EC"/>
    <w:rsid w:val="00B67AA6"/>
    <w:rsid w:val="00B67C4E"/>
    <w:rsid w:val="00B7066C"/>
    <w:rsid w:val="00B717D8"/>
    <w:rsid w:val="00B72DF3"/>
    <w:rsid w:val="00B73AA1"/>
    <w:rsid w:val="00B74146"/>
    <w:rsid w:val="00B75B4D"/>
    <w:rsid w:val="00B76F6C"/>
    <w:rsid w:val="00B8080B"/>
    <w:rsid w:val="00B811EF"/>
    <w:rsid w:val="00B82E19"/>
    <w:rsid w:val="00B856D7"/>
    <w:rsid w:val="00B86EF1"/>
    <w:rsid w:val="00B90674"/>
    <w:rsid w:val="00B934E3"/>
    <w:rsid w:val="00B94323"/>
    <w:rsid w:val="00B9566B"/>
    <w:rsid w:val="00B961B7"/>
    <w:rsid w:val="00B963D4"/>
    <w:rsid w:val="00B9772B"/>
    <w:rsid w:val="00BA288F"/>
    <w:rsid w:val="00BA2DEF"/>
    <w:rsid w:val="00BA42FB"/>
    <w:rsid w:val="00BA4768"/>
    <w:rsid w:val="00BA516F"/>
    <w:rsid w:val="00BA5FC7"/>
    <w:rsid w:val="00BA628C"/>
    <w:rsid w:val="00BA7059"/>
    <w:rsid w:val="00BB0051"/>
    <w:rsid w:val="00BB02C6"/>
    <w:rsid w:val="00BB1082"/>
    <w:rsid w:val="00BB2127"/>
    <w:rsid w:val="00BB3805"/>
    <w:rsid w:val="00BB52A5"/>
    <w:rsid w:val="00BB6740"/>
    <w:rsid w:val="00BB7354"/>
    <w:rsid w:val="00BB7EA1"/>
    <w:rsid w:val="00BB7F81"/>
    <w:rsid w:val="00BC269B"/>
    <w:rsid w:val="00BC27D2"/>
    <w:rsid w:val="00BD35E1"/>
    <w:rsid w:val="00BD54FC"/>
    <w:rsid w:val="00BD5E42"/>
    <w:rsid w:val="00BD63C3"/>
    <w:rsid w:val="00BD67CE"/>
    <w:rsid w:val="00BD76A4"/>
    <w:rsid w:val="00BE1C8A"/>
    <w:rsid w:val="00BE4857"/>
    <w:rsid w:val="00BE5847"/>
    <w:rsid w:val="00BE59AD"/>
    <w:rsid w:val="00BE5BE0"/>
    <w:rsid w:val="00BE70E8"/>
    <w:rsid w:val="00BF0E76"/>
    <w:rsid w:val="00BF19DC"/>
    <w:rsid w:val="00BF2B37"/>
    <w:rsid w:val="00BF2B3E"/>
    <w:rsid w:val="00BF2DAF"/>
    <w:rsid w:val="00BF4E1B"/>
    <w:rsid w:val="00BF501A"/>
    <w:rsid w:val="00BF6D74"/>
    <w:rsid w:val="00C0480F"/>
    <w:rsid w:val="00C1043C"/>
    <w:rsid w:val="00C12A51"/>
    <w:rsid w:val="00C12CD1"/>
    <w:rsid w:val="00C1328E"/>
    <w:rsid w:val="00C1450A"/>
    <w:rsid w:val="00C153DC"/>
    <w:rsid w:val="00C1591E"/>
    <w:rsid w:val="00C1731A"/>
    <w:rsid w:val="00C20D36"/>
    <w:rsid w:val="00C21038"/>
    <w:rsid w:val="00C210D6"/>
    <w:rsid w:val="00C2396B"/>
    <w:rsid w:val="00C2785F"/>
    <w:rsid w:val="00C30BA6"/>
    <w:rsid w:val="00C31467"/>
    <w:rsid w:val="00C34CCB"/>
    <w:rsid w:val="00C34D57"/>
    <w:rsid w:val="00C35515"/>
    <w:rsid w:val="00C35807"/>
    <w:rsid w:val="00C35A4B"/>
    <w:rsid w:val="00C36696"/>
    <w:rsid w:val="00C36720"/>
    <w:rsid w:val="00C37518"/>
    <w:rsid w:val="00C37F00"/>
    <w:rsid w:val="00C41676"/>
    <w:rsid w:val="00C421C9"/>
    <w:rsid w:val="00C42A3A"/>
    <w:rsid w:val="00C44A83"/>
    <w:rsid w:val="00C4517F"/>
    <w:rsid w:val="00C45232"/>
    <w:rsid w:val="00C46E94"/>
    <w:rsid w:val="00C52BA5"/>
    <w:rsid w:val="00C53323"/>
    <w:rsid w:val="00C54D8C"/>
    <w:rsid w:val="00C66CEF"/>
    <w:rsid w:val="00C670FE"/>
    <w:rsid w:val="00C71087"/>
    <w:rsid w:val="00C71E3C"/>
    <w:rsid w:val="00C72F71"/>
    <w:rsid w:val="00C742F1"/>
    <w:rsid w:val="00C75492"/>
    <w:rsid w:val="00C77C78"/>
    <w:rsid w:val="00C8146C"/>
    <w:rsid w:val="00C82CF6"/>
    <w:rsid w:val="00C846DD"/>
    <w:rsid w:val="00C85CA6"/>
    <w:rsid w:val="00C9147E"/>
    <w:rsid w:val="00C925ED"/>
    <w:rsid w:val="00C9339F"/>
    <w:rsid w:val="00C96A10"/>
    <w:rsid w:val="00C9753B"/>
    <w:rsid w:val="00CA0C87"/>
    <w:rsid w:val="00CA19CD"/>
    <w:rsid w:val="00CA4A62"/>
    <w:rsid w:val="00CA561E"/>
    <w:rsid w:val="00CA659E"/>
    <w:rsid w:val="00CB03D1"/>
    <w:rsid w:val="00CB1318"/>
    <w:rsid w:val="00CB23DD"/>
    <w:rsid w:val="00CB2757"/>
    <w:rsid w:val="00CB2FE7"/>
    <w:rsid w:val="00CB3B57"/>
    <w:rsid w:val="00CB42AE"/>
    <w:rsid w:val="00CB6768"/>
    <w:rsid w:val="00CC17DB"/>
    <w:rsid w:val="00CC2F01"/>
    <w:rsid w:val="00CC3FCA"/>
    <w:rsid w:val="00CC6453"/>
    <w:rsid w:val="00CD083C"/>
    <w:rsid w:val="00CD2D8A"/>
    <w:rsid w:val="00CD31EA"/>
    <w:rsid w:val="00CD692F"/>
    <w:rsid w:val="00CE0392"/>
    <w:rsid w:val="00CE5481"/>
    <w:rsid w:val="00CE5866"/>
    <w:rsid w:val="00CF0045"/>
    <w:rsid w:val="00CF45A7"/>
    <w:rsid w:val="00CF7194"/>
    <w:rsid w:val="00CF7C90"/>
    <w:rsid w:val="00CF7EA0"/>
    <w:rsid w:val="00D00600"/>
    <w:rsid w:val="00D01B14"/>
    <w:rsid w:val="00D0329F"/>
    <w:rsid w:val="00D06299"/>
    <w:rsid w:val="00D1045D"/>
    <w:rsid w:val="00D133AA"/>
    <w:rsid w:val="00D13B0B"/>
    <w:rsid w:val="00D13CCF"/>
    <w:rsid w:val="00D14CF7"/>
    <w:rsid w:val="00D15E67"/>
    <w:rsid w:val="00D20ABB"/>
    <w:rsid w:val="00D24AEE"/>
    <w:rsid w:val="00D26A33"/>
    <w:rsid w:val="00D3073E"/>
    <w:rsid w:val="00D31676"/>
    <w:rsid w:val="00D316C8"/>
    <w:rsid w:val="00D337D5"/>
    <w:rsid w:val="00D34817"/>
    <w:rsid w:val="00D365BB"/>
    <w:rsid w:val="00D3795A"/>
    <w:rsid w:val="00D37AB5"/>
    <w:rsid w:val="00D40C74"/>
    <w:rsid w:val="00D41F01"/>
    <w:rsid w:val="00D4223E"/>
    <w:rsid w:val="00D43282"/>
    <w:rsid w:val="00D43EA4"/>
    <w:rsid w:val="00D44508"/>
    <w:rsid w:val="00D44510"/>
    <w:rsid w:val="00D47810"/>
    <w:rsid w:val="00D5128E"/>
    <w:rsid w:val="00D51997"/>
    <w:rsid w:val="00D52FD0"/>
    <w:rsid w:val="00D54385"/>
    <w:rsid w:val="00D55A8B"/>
    <w:rsid w:val="00D6259C"/>
    <w:rsid w:val="00D63B91"/>
    <w:rsid w:val="00D643BA"/>
    <w:rsid w:val="00D64A4A"/>
    <w:rsid w:val="00D6679C"/>
    <w:rsid w:val="00D7005A"/>
    <w:rsid w:val="00D73EE6"/>
    <w:rsid w:val="00D742D2"/>
    <w:rsid w:val="00D744DC"/>
    <w:rsid w:val="00D756F5"/>
    <w:rsid w:val="00D75CF7"/>
    <w:rsid w:val="00D75F59"/>
    <w:rsid w:val="00D76B7A"/>
    <w:rsid w:val="00D770D9"/>
    <w:rsid w:val="00D776C3"/>
    <w:rsid w:val="00D80153"/>
    <w:rsid w:val="00D81AC7"/>
    <w:rsid w:val="00D83AD1"/>
    <w:rsid w:val="00D8495C"/>
    <w:rsid w:val="00D85358"/>
    <w:rsid w:val="00D8569A"/>
    <w:rsid w:val="00D86737"/>
    <w:rsid w:val="00D8696A"/>
    <w:rsid w:val="00D9153B"/>
    <w:rsid w:val="00D95903"/>
    <w:rsid w:val="00D95D78"/>
    <w:rsid w:val="00DA0810"/>
    <w:rsid w:val="00DA3FCE"/>
    <w:rsid w:val="00DA5BAA"/>
    <w:rsid w:val="00DB4203"/>
    <w:rsid w:val="00DB7CA1"/>
    <w:rsid w:val="00DC0132"/>
    <w:rsid w:val="00DC25DA"/>
    <w:rsid w:val="00DC4C59"/>
    <w:rsid w:val="00DC5149"/>
    <w:rsid w:val="00DD1B88"/>
    <w:rsid w:val="00DD3C08"/>
    <w:rsid w:val="00DE0476"/>
    <w:rsid w:val="00DE2AA6"/>
    <w:rsid w:val="00DE2AAC"/>
    <w:rsid w:val="00DF1125"/>
    <w:rsid w:val="00DF18AA"/>
    <w:rsid w:val="00DF27AC"/>
    <w:rsid w:val="00DF28E7"/>
    <w:rsid w:val="00DF399A"/>
    <w:rsid w:val="00DF6280"/>
    <w:rsid w:val="00DF7B14"/>
    <w:rsid w:val="00E00009"/>
    <w:rsid w:val="00E01EF4"/>
    <w:rsid w:val="00E02A38"/>
    <w:rsid w:val="00E02CF2"/>
    <w:rsid w:val="00E04947"/>
    <w:rsid w:val="00E06520"/>
    <w:rsid w:val="00E069F7"/>
    <w:rsid w:val="00E06C35"/>
    <w:rsid w:val="00E0710D"/>
    <w:rsid w:val="00E07F71"/>
    <w:rsid w:val="00E114D8"/>
    <w:rsid w:val="00E1347F"/>
    <w:rsid w:val="00E1621B"/>
    <w:rsid w:val="00E2104D"/>
    <w:rsid w:val="00E21114"/>
    <w:rsid w:val="00E21F31"/>
    <w:rsid w:val="00E22B84"/>
    <w:rsid w:val="00E26045"/>
    <w:rsid w:val="00E26BDB"/>
    <w:rsid w:val="00E27304"/>
    <w:rsid w:val="00E337F5"/>
    <w:rsid w:val="00E3392F"/>
    <w:rsid w:val="00E339E4"/>
    <w:rsid w:val="00E34EBC"/>
    <w:rsid w:val="00E37211"/>
    <w:rsid w:val="00E37848"/>
    <w:rsid w:val="00E4034D"/>
    <w:rsid w:val="00E404B3"/>
    <w:rsid w:val="00E41064"/>
    <w:rsid w:val="00E41EE7"/>
    <w:rsid w:val="00E42084"/>
    <w:rsid w:val="00E44854"/>
    <w:rsid w:val="00E54E78"/>
    <w:rsid w:val="00E55808"/>
    <w:rsid w:val="00E559EA"/>
    <w:rsid w:val="00E55B72"/>
    <w:rsid w:val="00E5696D"/>
    <w:rsid w:val="00E56E45"/>
    <w:rsid w:val="00E613DA"/>
    <w:rsid w:val="00E6161C"/>
    <w:rsid w:val="00E62DEC"/>
    <w:rsid w:val="00E63233"/>
    <w:rsid w:val="00E65F8A"/>
    <w:rsid w:val="00E66ECB"/>
    <w:rsid w:val="00E67486"/>
    <w:rsid w:val="00E70D57"/>
    <w:rsid w:val="00E727CE"/>
    <w:rsid w:val="00E72E7E"/>
    <w:rsid w:val="00E749E1"/>
    <w:rsid w:val="00E759A1"/>
    <w:rsid w:val="00E8007A"/>
    <w:rsid w:val="00E80578"/>
    <w:rsid w:val="00E80B43"/>
    <w:rsid w:val="00E833CB"/>
    <w:rsid w:val="00E83995"/>
    <w:rsid w:val="00E83CBA"/>
    <w:rsid w:val="00E83D2E"/>
    <w:rsid w:val="00E83FB2"/>
    <w:rsid w:val="00E856D2"/>
    <w:rsid w:val="00E90615"/>
    <w:rsid w:val="00E91970"/>
    <w:rsid w:val="00E91FE0"/>
    <w:rsid w:val="00E9515D"/>
    <w:rsid w:val="00E95AC2"/>
    <w:rsid w:val="00E966DD"/>
    <w:rsid w:val="00E97167"/>
    <w:rsid w:val="00E97DBB"/>
    <w:rsid w:val="00EA0169"/>
    <w:rsid w:val="00EA3781"/>
    <w:rsid w:val="00EA41D6"/>
    <w:rsid w:val="00EA5023"/>
    <w:rsid w:val="00EA7061"/>
    <w:rsid w:val="00EB13FE"/>
    <w:rsid w:val="00EB254B"/>
    <w:rsid w:val="00EB39F1"/>
    <w:rsid w:val="00EB472E"/>
    <w:rsid w:val="00EB5434"/>
    <w:rsid w:val="00EB5901"/>
    <w:rsid w:val="00EB5D6C"/>
    <w:rsid w:val="00EB6A9B"/>
    <w:rsid w:val="00EB76D6"/>
    <w:rsid w:val="00EC0178"/>
    <w:rsid w:val="00EC049F"/>
    <w:rsid w:val="00ED024E"/>
    <w:rsid w:val="00ED194C"/>
    <w:rsid w:val="00ED2201"/>
    <w:rsid w:val="00ED2C26"/>
    <w:rsid w:val="00ED3898"/>
    <w:rsid w:val="00ED5EC2"/>
    <w:rsid w:val="00EE00D2"/>
    <w:rsid w:val="00EE0DF2"/>
    <w:rsid w:val="00EE21DD"/>
    <w:rsid w:val="00EE2B9F"/>
    <w:rsid w:val="00EE56DF"/>
    <w:rsid w:val="00EF1A24"/>
    <w:rsid w:val="00EF1BF1"/>
    <w:rsid w:val="00EF1EEC"/>
    <w:rsid w:val="00EF71E1"/>
    <w:rsid w:val="00F01BD5"/>
    <w:rsid w:val="00F0264E"/>
    <w:rsid w:val="00F05EAF"/>
    <w:rsid w:val="00F06D7C"/>
    <w:rsid w:val="00F1049D"/>
    <w:rsid w:val="00F10D45"/>
    <w:rsid w:val="00F119F0"/>
    <w:rsid w:val="00F147FD"/>
    <w:rsid w:val="00F15FC1"/>
    <w:rsid w:val="00F17762"/>
    <w:rsid w:val="00F23C5A"/>
    <w:rsid w:val="00F23E91"/>
    <w:rsid w:val="00F277D4"/>
    <w:rsid w:val="00F31104"/>
    <w:rsid w:val="00F33E65"/>
    <w:rsid w:val="00F34E93"/>
    <w:rsid w:val="00F37C15"/>
    <w:rsid w:val="00F4474B"/>
    <w:rsid w:val="00F45F34"/>
    <w:rsid w:val="00F46D55"/>
    <w:rsid w:val="00F513E5"/>
    <w:rsid w:val="00F5219B"/>
    <w:rsid w:val="00F53138"/>
    <w:rsid w:val="00F534C0"/>
    <w:rsid w:val="00F54930"/>
    <w:rsid w:val="00F5523B"/>
    <w:rsid w:val="00F555E9"/>
    <w:rsid w:val="00F623B6"/>
    <w:rsid w:val="00F6280F"/>
    <w:rsid w:val="00F62819"/>
    <w:rsid w:val="00F6394B"/>
    <w:rsid w:val="00F64E74"/>
    <w:rsid w:val="00F651DF"/>
    <w:rsid w:val="00F6653B"/>
    <w:rsid w:val="00F708D9"/>
    <w:rsid w:val="00F720FB"/>
    <w:rsid w:val="00F721C2"/>
    <w:rsid w:val="00F80602"/>
    <w:rsid w:val="00F81376"/>
    <w:rsid w:val="00F81C4F"/>
    <w:rsid w:val="00F84A3C"/>
    <w:rsid w:val="00F84C20"/>
    <w:rsid w:val="00F858C4"/>
    <w:rsid w:val="00F9035A"/>
    <w:rsid w:val="00F91D88"/>
    <w:rsid w:val="00F92112"/>
    <w:rsid w:val="00F9230A"/>
    <w:rsid w:val="00F92366"/>
    <w:rsid w:val="00F92753"/>
    <w:rsid w:val="00F93A8E"/>
    <w:rsid w:val="00F9598E"/>
    <w:rsid w:val="00F96B32"/>
    <w:rsid w:val="00F9735A"/>
    <w:rsid w:val="00FA42F4"/>
    <w:rsid w:val="00FA6502"/>
    <w:rsid w:val="00FB0730"/>
    <w:rsid w:val="00FB0BC1"/>
    <w:rsid w:val="00FB14A0"/>
    <w:rsid w:val="00FB3693"/>
    <w:rsid w:val="00FB4E4A"/>
    <w:rsid w:val="00FB6D3A"/>
    <w:rsid w:val="00FB7924"/>
    <w:rsid w:val="00FB7F35"/>
    <w:rsid w:val="00FC11D6"/>
    <w:rsid w:val="00FC3039"/>
    <w:rsid w:val="00FC48DD"/>
    <w:rsid w:val="00FC569E"/>
    <w:rsid w:val="00FC67E5"/>
    <w:rsid w:val="00FC6BFF"/>
    <w:rsid w:val="00FD04EB"/>
    <w:rsid w:val="00FD1036"/>
    <w:rsid w:val="00FD131D"/>
    <w:rsid w:val="00FD13B0"/>
    <w:rsid w:val="00FD3C4F"/>
    <w:rsid w:val="00FD5177"/>
    <w:rsid w:val="00FE35E1"/>
    <w:rsid w:val="00FE6D86"/>
    <w:rsid w:val="00FF0DA7"/>
    <w:rsid w:val="00FF1BAE"/>
    <w:rsid w:val="00FF3276"/>
    <w:rsid w:val="00FF36A7"/>
    <w:rsid w:val="00FF5B26"/>
    <w:rsid w:val="00FF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BVI fnr,Знак сноски 1,16 Point,Superscript 6 Point,Ref,de nota al pie,Char Char Char Char Car Char,Appel note de bas de page,Appel note de bas de,note bp,Error-Fußnotenzeichen5,Error-Fußnotenzeichen6,SUPERS,BVI f,R,stylish"/>
    <w:link w:val="BVIfnrCharCharChar1CharCharCharCharCharCharChar1CharCharChar1Char"/>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locked/>
    <w:rsid w:val="009A4543"/>
    <w:rPr>
      <w:lang w:val="en-US" w:eastAsia="en-US"/>
    </w:rPr>
  </w:style>
  <w:style w:type="paragraph" w:styleId="Revision">
    <w:name w:val="Revision"/>
    <w:hidden/>
    <w:uiPriority w:val="99"/>
    <w:semiHidden/>
    <w:rsid w:val="0050228C"/>
    <w:rPr>
      <w:lang w:val="en-US" w:eastAsia="en-U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D01B14"/>
    <w:pPr>
      <w:widowControl w:val="0"/>
      <w:adjustRightInd w:val="0"/>
      <w:spacing w:line="240" w:lineRule="exact"/>
      <w:jc w:val="both"/>
      <w:textAlignment w:val="baseline"/>
    </w:pPr>
    <w:rPr>
      <w:vertAlign w:val="superscript"/>
      <w:lang w:val="en-GB" w:eastAsia="en-GB"/>
    </w:rPr>
  </w:style>
  <w:style w:type="paragraph" w:styleId="NormalWeb">
    <w:name w:val="Normal (Web)"/>
    <w:basedOn w:val="Normal"/>
    <w:uiPriority w:val="99"/>
    <w:unhideWhenUsed/>
    <w:rsid w:val="002F4881"/>
    <w:pPr>
      <w:widowControl w:val="0"/>
      <w:adjustRightInd w:val="0"/>
      <w:spacing w:before="100" w:beforeAutospacing="1" w:after="100" w:afterAutospacing="1"/>
      <w:jc w:val="both"/>
      <w:textAlignment w:val="baseline"/>
    </w:pPr>
    <w:rPr>
      <w:sz w:val="24"/>
      <w:szCs w:val="24"/>
    </w:rPr>
  </w:style>
  <w:style w:type="character" w:customStyle="1" w:styleId="apple-converted-space">
    <w:name w:val="apple-converted-space"/>
    <w:basedOn w:val="DefaultParagraphFont"/>
    <w:rsid w:val="0084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info.undp.org/global/popp/rma/Pages/internal-control-framework.aspx"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dp.org/content/undp/en/home/operations/accountability/programme_and_operationspoliciesandprocedures.html"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dgs/jrc/index.cfm" TargetMode="External"/><Relationship Id="rId1" Type="http://schemas.openxmlformats.org/officeDocument/2006/relationships/hyperlink" Target="http://www.humanitarianinfo.org/ias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3E9D27A2-7C5B-4FF7-B556-5F4F5257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5844</Words>
  <Characters>35824</Characters>
  <Application>Microsoft Office Word</Application>
  <DocSecurity>0</DocSecurity>
  <Lines>1194</Lines>
  <Paragraphs>416</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41252</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2014-09-16T19:01:00Z</cp:lastPrinted>
  <dcterms:created xsi:type="dcterms:W3CDTF">2016-06-08T18:21:00Z</dcterms:created>
  <dcterms:modified xsi:type="dcterms:W3CDTF">2016-06-08T18:21:00Z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