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F25BE" w14:textId="77777777" w:rsidR="00D20DB1" w:rsidRPr="00517955" w:rsidRDefault="00D20DB1" w:rsidP="00D20DB1">
      <w:pPr>
        <w:pStyle w:val="Heading3"/>
        <w:jc w:val="both"/>
        <w:rPr>
          <w:rFonts w:asciiTheme="minorHAnsi" w:hAnsiTheme="minorHAnsi"/>
          <w:b/>
          <w:bCs w:val="0"/>
        </w:rPr>
      </w:pPr>
      <w:bookmarkStart w:id="0" w:name="_GoBack"/>
      <w:bookmarkEnd w:id="0"/>
      <w:r w:rsidRPr="00517955">
        <w:rPr>
          <w:rFonts w:asciiTheme="minorHAnsi" w:hAnsiTheme="minorHAnsi"/>
          <w:b/>
          <w:bCs w:val="0"/>
        </w:rPr>
        <w:t>COUNTRY PROGRAMME</w:t>
      </w:r>
      <w:r>
        <w:rPr>
          <w:rFonts w:asciiTheme="minorHAnsi" w:hAnsiTheme="minorHAnsi"/>
          <w:b/>
          <w:bCs w:val="0"/>
        </w:rPr>
        <w:t xml:space="preserve"> PERFORMANCE SUMMARY</w:t>
      </w:r>
      <w:r>
        <w:rPr>
          <w:rStyle w:val="FootnoteReference"/>
          <w:rFonts w:asciiTheme="minorHAnsi" w:hAnsiTheme="minorHAnsi"/>
          <w:b/>
          <w:bCs w:val="0"/>
        </w:rPr>
        <w:footnoteReference w:id="1"/>
      </w:r>
    </w:p>
    <w:p w14:paraId="2869F7D6" w14:textId="4D79D84A" w:rsidR="005C6168" w:rsidRPr="00517955" w:rsidRDefault="005C6168" w:rsidP="00E74058">
      <w:pPr>
        <w:pStyle w:val="Heading3"/>
        <w:jc w:val="both"/>
        <w:rPr>
          <w:rFonts w:asciiTheme="minorHAnsi" w:hAnsiTheme="minorHAnsi"/>
        </w:rPr>
      </w:pPr>
      <w:r w:rsidRPr="00517955">
        <w:rPr>
          <w:rFonts w:asciiTheme="minorHAnsi" w:hAnsiTheme="minorHAnsi"/>
        </w:rPr>
        <w:t>Country:</w:t>
      </w:r>
      <w:r w:rsidRPr="00517955">
        <w:rPr>
          <w:rFonts w:asciiTheme="minorHAnsi" w:hAnsiTheme="minorHAnsi"/>
        </w:rPr>
        <w:tab/>
      </w:r>
      <w:r w:rsidRPr="00517955">
        <w:rPr>
          <w:rFonts w:asciiTheme="minorHAnsi" w:hAnsiTheme="minorHAnsi"/>
        </w:rPr>
        <w:tab/>
      </w:r>
      <w:r w:rsidR="00795AE8">
        <w:rPr>
          <w:rFonts w:asciiTheme="minorHAnsi" w:hAnsiTheme="minorHAnsi"/>
        </w:rPr>
        <w:t>Iran</w:t>
      </w:r>
    </w:p>
    <w:p w14:paraId="2869F7DA" w14:textId="41968FDA" w:rsidR="005C6168" w:rsidRPr="00517955" w:rsidRDefault="00795AE8" w:rsidP="00E74058">
      <w:pPr>
        <w:pStyle w:val="Heading3"/>
        <w:jc w:val="both"/>
        <w:rPr>
          <w:rFonts w:asciiTheme="minorHAnsi" w:hAnsiTheme="minorHAnsi"/>
        </w:rPr>
      </w:pPr>
      <w:r>
        <w:rPr>
          <w:rFonts w:asciiTheme="minorHAnsi" w:hAnsiTheme="minorHAnsi"/>
        </w:rPr>
        <w:t xml:space="preserve">Reporting period: </w:t>
      </w:r>
      <w:r>
        <w:rPr>
          <w:rFonts w:asciiTheme="minorHAnsi" w:hAnsiTheme="minorHAnsi"/>
        </w:rPr>
        <w:tab/>
      </w:r>
      <w:r w:rsidR="00735E16">
        <w:rPr>
          <w:rFonts w:asciiTheme="minorHAnsi" w:hAnsiTheme="minorHAnsi"/>
        </w:rPr>
        <w:t>2012</w:t>
      </w:r>
      <w:r w:rsidR="00280850">
        <w:rPr>
          <w:rFonts w:asciiTheme="minorHAnsi" w:hAnsiTheme="minorHAnsi"/>
        </w:rPr>
        <w:t>-201</w:t>
      </w:r>
      <w:r w:rsidR="00301619">
        <w:rPr>
          <w:rFonts w:asciiTheme="minorHAnsi" w:hAnsiTheme="minorHAnsi"/>
        </w:rPr>
        <w:t>5</w:t>
      </w:r>
    </w:p>
    <w:p w14:paraId="2869F7DC" w14:textId="77777777" w:rsidR="005C6168" w:rsidRPr="00517955" w:rsidRDefault="005C6168" w:rsidP="00E74058">
      <w:pPr>
        <w:jc w:val="both"/>
        <w:rPr>
          <w:rFonts w:asciiTheme="minorHAnsi" w:hAnsiTheme="minorHAnsi"/>
        </w:rPr>
      </w:pPr>
    </w:p>
    <w:p w14:paraId="2869F7DD" w14:textId="6446937E" w:rsidR="005C6168" w:rsidRPr="00517955" w:rsidRDefault="005C6168" w:rsidP="00E74058">
      <w:pPr>
        <w:pStyle w:val="Heading3"/>
        <w:jc w:val="both"/>
        <w:rPr>
          <w:rFonts w:asciiTheme="minorHAnsi" w:hAnsiTheme="minorHAnsi"/>
          <w:b/>
          <w:bCs w:val="0"/>
        </w:rPr>
      </w:pPr>
      <w:r w:rsidRPr="00517955">
        <w:rPr>
          <w:rFonts w:asciiTheme="minorHAnsi" w:hAnsiTheme="minorHAnsi"/>
          <w:b/>
          <w:bCs w:val="0"/>
        </w:rPr>
        <w:t xml:space="preserve">I.  </w:t>
      </w:r>
      <w:r w:rsidR="0064746F">
        <w:rPr>
          <w:rFonts w:asciiTheme="minorHAnsi" w:hAnsiTheme="minorHAnsi"/>
          <w:b/>
          <w:bCs w:val="0"/>
        </w:rPr>
        <w:t>EXECUTIVE SUMMARY</w:t>
      </w:r>
      <w:r w:rsidR="00760E32" w:rsidRPr="00517955">
        <w:rPr>
          <w:rFonts w:asciiTheme="minorHAnsi" w:hAnsiTheme="minorHAnsi"/>
          <w:b/>
          <w:bCs w:val="0"/>
        </w:rPr>
        <w:t xml:space="preserve"> </w:t>
      </w:r>
    </w:p>
    <w:p w14:paraId="5D0EEC89" w14:textId="3C4FDAB6" w:rsidR="009A61F9" w:rsidRDefault="00501971" w:rsidP="00E74058">
      <w:pPr>
        <w:pStyle w:val="BodyText2"/>
        <w:jc w:val="both"/>
        <w:rPr>
          <w:rFonts w:asciiTheme="minorHAnsi" w:hAnsiTheme="minorHAnsi"/>
        </w:rPr>
      </w:pPr>
      <w:r w:rsidRPr="00501971">
        <w:rPr>
          <w:rFonts w:asciiTheme="minorHAnsi" w:hAnsiTheme="minorHAnsi"/>
          <w:b/>
        </w:rPr>
        <w:t>Context</w:t>
      </w:r>
      <w:r w:rsidR="00D1370F">
        <w:rPr>
          <w:rFonts w:asciiTheme="minorHAnsi" w:hAnsiTheme="minorHAnsi"/>
          <w:b/>
        </w:rPr>
        <w:t xml:space="preserve">.  </w:t>
      </w:r>
      <w:r w:rsidR="00536F4A">
        <w:rPr>
          <w:rFonts w:asciiTheme="minorHAnsi" w:hAnsiTheme="minorHAnsi"/>
        </w:rPr>
        <w:t>UNDP’s 2012-16 CPD has focused on 4 main areas of work, namely (i) capability poverty and social welfare; (ii) health and development; (iv) environment; and (iv) disaster risk management</w:t>
      </w:r>
      <w:r w:rsidR="005E033A">
        <w:rPr>
          <w:rFonts w:asciiTheme="minorHAnsi" w:hAnsiTheme="minorHAnsi"/>
        </w:rPr>
        <w:t xml:space="preserve"> (DRM)</w:t>
      </w:r>
      <w:r w:rsidR="00536F4A">
        <w:rPr>
          <w:rFonts w:asciiTheme="minorHAnsi" w:hAnsiTheme="minorHAnsi"/>
        </w:rPr>
        <w:t xml:space="preserve">.  </w:t>
      </w:r>
      <w:r w:rsidR="001B0DBA">
        <w:rPr>
          <w:rFonts w:asciiTheme="minorHAnsi" w:hAnsiTheme="minorHAnsi"/>
        </w:rPr>
        <w:t xml:space="preserve">UNDP manages over </w:t>
      </w:r>
      <w:r w:rsidR="001B0DBA" w:rsidRPr="001B0DBA">
        <w:rPr>
          <w:rFonts w:asciiTheme="minorHAnsi" w:hAnsiTheme="minorHAnsi"/>
        </w:rPr>
        <w:t xml:space="preserve">half of the UN’s </w:t>
      </w:r>
      <w:r w:rsidR="00002924">
        <w:rPr>
          <w:rFonts w:asciiTheme="minorHAnsi" w:hAnsiTheme="minorHAnsi"/>
        </w:rPr>
        <w:t xml:space="preserve">financial contribution to </w:t>
      </w:r>
      <w:r w:rsidR="001B0DBA" w:rsidRPr="001B0DBA">
        <w:rPr>
          <w:rFonts w:asciiTheme="minorHAnsi" w:hAnsiTheme="minorHAnsi"/>
        </w:rPr>
        <w:t xml:space="preserve">development </w:t>
      </w:r>
      <w:r w:rsidR="00002924">
        <w:rPr>
          <w:rFonts w:asciiTheme="minorHAnsi" w:hAnsiTheme="minorHAnsi"/>
        </w:rPr>
        <w:t>suppor</w:t>
      </w:r>
      <w:r w:rsidR="001B0DBA" w:rsidRPr="001B0DBA">
        <w:rPr>
          <w:rFonts w:asciiTheme="minorHAnsi" w:hAnsiTheme="minorHAnsi"/>
        </w:rPr>
        <w:t xml:space="preserve">t </w:t>
      </w:r>
      <w:r w:rsidR="00002924">
        <w:rPr>
          <w:rFonts w:asciiTheme="minorHAnsi" w:hAnsiTheme="minorHAnsi"/>
        </w:rPr>
        <w:t>for</w:t>
      </w:r>
      <w:r w:rsidR="001B0DBA" w:rsidRPr="001B0DBA">
        <w:rPr>
          <w:rFonts w:asciiTheme="minorHAnsi" w:hAnsiTheme="minorHAnsi"/>
        </w:rPr>
        <w:t xml:space="preserve"> Iran</w:t>
      </w:r>
      <w:r w:rsidR="00493BA1">
        <w:rPr>
          <w:rFonts w:asciiTheme="minorHAnsi" w:hAnsiTheme="minorHAnsi"/>
        </w:rPr>
        <w:t xml:space="preserve">, including resources from the Global </w:t>
      </w:r>
      <w:r w:rsidR="00536F4A">
        <w:rPr>
          <w:rFonts w:asciiTheme="minorHAnsi" w:hAnsiTheme="minorHAnsi"/>
        </w:rPr>
        <w:t xml:space="preserve">Fund </w:t>
      </w:r>
      <w:r w:rsidR="00493BA1">
        <w:rPr>
          <w:rFonts w:asciiTheme="minorHAnsi" w:hAnsiTheme="minorHAnsi"/>
        </w:rPr>
        <w:t>for T</w:t>
      </w:r>
      <w:r w:rsidR="00536F4A">
        <w:rPr>
          <w:rFonts w:asciiTheme="minorHAnsi" w:hAnsiTheme="minorHAnsi"/>
        </w:rPr>
        <w:t>B</w:t>
      </w:r>
      <w:r w:rsidR="00493BA1">
        <w:rPr>
          <w:rFonts w:asciiTheme="minorHAnsi" w:hAnsiTheme="minorHAnsi"/>
        </w:rPr>
        <w:t xml:space="preserve">, AIDS and Malaria </w:t>
      </w:r>
      <w:r w:rsidR="00B137D1">
        <w:rPr>
          <w:rFonts w:asciiTheme="minorHAnsi" w:hAnsiTheme="minorHAnsi"/>
        </w:rPr>
        <w:t xml:space="preserve">(GFTAM) </w:t>
      </w:r>
      <w:r w:rsidR="00493BA1">
        <w:rPr>
          <w:rFonts w:asciiTheme="minorHAnsi" w:hAnsiTheme="minorHAnsi"/>
        </w:rPr>
        <w:t xml:space="preserve">and the Global Environment </w:t>
      </w:r>
      <w:r w:rsidR="00B137D1">
        <w:rPr>
          <w:rFonts w:asciiTheme="minorHAnsi" w:hAnsiTheme="minorHAnsi"/>
        </w:rPr>
        <w:t>Facility (GEF)</w:t>
      </w:r>
      <w:r w:rsidR="00493BA1">
        <w:rPr>
          <w:rFonts w:asciiTheme="minorHAnsi" w:hAnsiTheme="minorHAnsi"/>
        </w:rPr>
        <w:t xml:space="preserve">.  </w:t>
      </w:r>
      <w:r w:rsidR="001B0DBA" w:rsidRPr="001B0DBA">
        <w:rPr>
          <w:rFonts w:asciiTheme="minorHAnsi" w:hAnsiTheme="minorHAnsi"/>
        </w:rPr>
        <w:t>It is regarded by the Gove</w:t>
      </w:r>
      <w:r w:rsidR="001B0DBA">
        <w:rPr>
          <w:rFonts w:asciiTheme="minorHAnsi" w:hAnsiTheme="minorHAnsi"/>
        </w:rPr>
        <w:t xml:space="preserve">rnment as a trusted partner, particularly with respect to </w:t>
      </w:r>
      <w:r w:rsidR="00493BA1">
        <w:rPr>
          <w:rFonts w:asciiTheme="minorHAnsi" w:hAnsiTheme="minorHAnsi"/>
        </w:rPr>
        <w:t xml:space="preserve">supporting </w:t>
      </w:r>
      <w:r w:rsidR="001B0DBA" w:rsidRPr="001B0DBA">
        <w:rPr>
          <w:rFonts w:asciiTheme="minorHAnsi" w:hAnsiTheme="minorHAnsi"/>
        </w:rPr>
        <w:t>Iran</w:t>
      </w:r>
      <w:r w:rsidR="00493BA1">
        <w:rPr>
          <w:rFonts w:asciiTheme="minorHAnsi" w:hAnsiTheme="minorHAnsi"/>
        </w:rPr>
        <w:t xml:space="preserve">’s </w:t>
      </w:r>
      <w:r w:rsidR="001B0DBA" w:rsidRPr="001B0DBA">
        <w:rPr>
          <w:rFonts w:asciiTheme="minorHAnsi" w:hAnsiTheme="minorHAnsi"/>
        </w:rPr>
        <w:t>engage</w:t>
      </w:r>
      <w:r w:rsidR="00493BA1">
        <w:rPr>
          <w:rFonts w:asciiTheme="minorHAnsi" w:hAnsiTheme="minorHAnsi"/>
        </w:rPr>
        <w:t>ment</w:t>
      </w:r>
      <w:r w:rsidR="001B0DBA" w:rsidRPr="001B0DBA">
        <w:rPr>
          <w:rFonts w:asciiTheme="minorHAnsi" w:hAnsiTheme="minorHAnsi"/>
        </w:rPr>
        <w:t xml:space="preserve"> with the international community</w:t>
      </w:r>
      <w:r w:rsidR="001B0DBA">
        <w:rPr>
          <w:rFonts w:asciiTheme="minorHAnsi" w:hAnsiTheme="minorHAnsi"/>
        </w:rPr>
        <w:t xml:space="preserve"> on development issues of global, regional and national concern. </w:t>
      </w:r>
    </w:p>
    <w:p w14:paraId="38C23963" w14:textId="77777777" w:rsidR="00B137D1" w:rsidRDefault="00B137D1" w:rsidP="00E74058">
      <w:pPr>
        <w:pStyle w:val="BodyText2"/>
        <w:jc w:val="both"/>
        <w:rPr>
          <w:rFonts w:asciiTheme="minorHAnsi" w:hAnsiTheme="minorHAnsi"/>
          <w:b/>
        </w:rPr>
      </w:pPr>
    </w:p>
    <w:p w14:paraId="0AEEA561" w14:textId="46746271" w:rsidR="00501971" w:rsidRDefault="00501971" w:rsidP="00E74058">
      <w:pPr>
        <w:pStyle w:val="BodyText2"/>
        <w:jc w:val="both"/>
        <w:rPr>
          <w:rFonts w:asciiTheme="minorHAnsi" w:hAnsiTheme="minorHAnsi"/>
        </w:rPr>
      </w:pPr>
      <w:r w:rsidRPr="00501971">
        <w:rPr>
          <w:rFonts w:asciiTheme="minorHAnsi" w:hAnsiTheme="minorHAnsi"/>
          <w:b/>
        </w:rPr>
        <w:t>Key Achievements</w:t>
      </w:r>
      <w:r w:rsidR="001A17F8">
        <w:rPr>
          <w:rFonts w:asciiTheme="minorHAnsi" w:hAnsiTheme="minorHAnsi"/>
          <w:b/>
        </w:rPr>
        <w:t xml:space="preserve"> / Results</w:t>
      </w:r>
      <w:r w:rsidR="00D1370F">
        <w:rPr>
          <w:rFonts w:asciiTheme="minorHAnsi" w:hAnsiTheme="minorHAnsi"/>
          <w:b/>
        </w:rPr>
        <w:t xml:space="preserve">.  </w:t>
      </w:r>
      <w:r w:rsidR="00493BA1">
        <w:rPr>
          <w:rFonts w:asciiTheme="minorHAnsi" w:hAnsiTheme="minorHAnsi"/>
        </w:rPr>
        <w:t>UNDP</w:t>
      </w:r>
      <w:r w:rsidR="00AF5A69">
        <w:rPr>
          <w:rFonts w:asciiTheme="minorHAnsi" w:hAnsiTheme="minorHAnsi"/>
        </w:rPr>
        <w:t>’s</w:t>
      </w:r>
      <w:r w:rsidR="00493BA1">
        <w:rPr>
          <w:rFonts w:asciiTheme="minorHAnsi" w:hAnsiTheme="minorHAnsi"/>
        </w:rPr>
        <w:t xml:space="preserve"> contribution</w:t>
      </w:r>
      <w:r w:rsidR="00AF5A69">
        <w:rPr>
          <w:rFonts w:asciiTheme="minorHAnsi" w:hAnsiTheme="minorHAnsi"/>
        </w:rPr>
        <w:t xml:space="preserve"> to results</w:t>
      </w:r>
      <w:r w:rsidR="00493BA1">
        <w:rPr>
          <w:rFonts w:asciiTheme="minorHAnsi" w:hAnsiTheme="minorHAnsi"/>
        </w:rPr>
        <w:t xml:space="preserve"> ha</w:t>
      </w:r>
      <w:r w:rsidR="00AF5A69">
        <w:rPr>
          <w:rFonts w:asciiTheme="minorHAnsi" w:hAnsiTheme="minorHAnsi"/>
        </w:rPr>
        <w:t>s</w:t>
      </w:r>
      <w:r w:rsidR="00493BA1">
        <w:rPr>
          <w:rFonts w:asciiTheme="minorHAnsi" w:hAnsiTheme="minorHAnsi"/>
        </w:rPr>
        <w:t xml:space="preserve"> been most clearly discerned in the areas of health and development</w:t>
      </w:r>
      <w:r w:rsidR="00AF5A69">
        <w:rPr>
          <w:rFonts w:asciiTheme="minorHAnsi" w:hAnsiTheme="minorHAnsi"/>
        </w:rPr>
        <w:t>,</w:t>
      </w:r>
      <w:r w:rsidR="00493BA1">
        <w:rPr>
          <w:rFonts w:asciiTheme="minorHAnsi" w:hAnsiTheme="minorHAnsi"/>
        </w:rPr>
        <w:t xml:space="preserve"> and environment.  </w:t>
      </w:r>
      <w:r w:rsidR="00AF5A69">
        <w:rPr>
          <w:rFonts w:asciiTheme="minorHAnsi" w:hAnsiTheme="minorHAnsi"/>
        </w:rPr>
        <w:t xml:space="preserve">Iran continues to make good progress in </w:t>
      </w:r>
      <w:r w:rsidR="005E033A">
        <w:rPr>
          <w:rFonts w:asciiTheme="minorHAnsi" w:hAnsiTheme="minorHAnsi"/>
        </w:rPr>
        <w:t>the fight against HIV/AIDS</w:t>
      </w:r>
      <w:r w:rsidR="00AF5A69">
        <w:rPr>
          <w:rFonts w:asciiTheme="minorHAnsi" w:hAnsiTheme="minorHAnsi"/>
        </w:rPr>
        <w:t xml:space="preserve">, </w:t>
      </w:r>
      <w:r w:rsidR="00F21F9D">
        <w:rPr>
          <w:rFonts w:asciiTheme="minorHAnsi" w:hAnsiTheme="minorHAnsi"/>
        </w:rPr>
        <w:t xml:space="preserve">eliminating Malaria and controlling TB.  </w:t>
      </w:r>
      <w:r w:rsidR="00AF5A69">
        <w:rPr>
          <w:rFonts w:asciiTheme="minorHAnsi" w:hAnsiTheme="minorHAnsi"/>
        </w:rPr>
        <w:t xml:space="preserve">UNDP, </w:t>
      </w:r>
      <w:r w:rsidR="00F21F9D">
        <w:rPr>
          <w:rFonts w:asciiTheme="minorHAnsi" w:hAnsiTheme="minorHAnsi"/>
        </w:rPr>
        <w:t>working collaboratively with UNAIDS and WHO,</w:t>
      </w:r>
      <w:r w:rsidR="00AF5A69">
        <w:rPr>
          <w:rFonts w:asciiTheme="minorHAnsi" w:hAnsiTheme="minorHAnsi"/>
        </w:rPr>
        <w:t xml:space="preserve"> continues to play a significant role in providing technical </w:t>
      </w:r>
      <w:r w:rsidR="005E033A">
        <w:rPr>
          <w:rFonts w:asciiTheme="minorHAnsi" w:hAnsiTheme="minorHAnsi"/>
        </w:rPr>
        <w:t xml:space="preserve">and financial </w:t>
      </w:r>
      <w:r w:rsidR="00AF5A69">
        <w:rPr>
          <w:rFonts w:asciiTheme="minorHAnsi" w:hAnsiTheme="minorHAnsi"/>
        </w:rPr>
        <w:t xml:space="preserve">support to this effort.  UNDP (working alongside FAO in particular) has also </w:t>
      </w:r>
      <w:r w:rsidR="00002924">
        <w:rPr>
          <w:rFonts w:asciiTheme="minorHAnsi" w:hAnsiTheme="minorHAnsi"/>
        </w:rPr>
        <w:t>contributed to Iran’s efforts to better manage its environmental / natural resources, in particular through piloting and promoting integrated and participatory natural resource management models that are now</w:t>
      </w:r>
      <w:r w:rsidR="00F21F9D">
        <w:rPr>
          <w:rFonts w:asciiTheme="minorHAnsi" w:hAnsiTheme="minorHAnsi"/>
        </w:rPr>
        <w:t xml:space="preserve"> </w:t>
      </w:r>
      <w:r w:rsidR="00002924">
        <w:rPr>
          <w:rFonts w:asciiTheme="minorHAnsi" w:hAnsiTheme="minorHAnsi"/>
        </w:rPr>
        <w:t xml:space="preserve">being </w:t>
      </w:r>
      <w:r w:rsidR="00F21F9D">
        <w:rPr>
          <w:rFonts w:asciiTheme="minorHAnsi" w:hAnsiTheme="minorHAnsi"/>
        </w:rPr>
        <w:t xml:space="preserve">adopted, and to some extent </w:t>
      </w:r>
      <w:r w:rsidR="00002924">
        <w:rPr>
          <w:rFonts w:asciiTheme="minorHAnsi" w:hAnsiTheme="minorHAnsi"/>
        </w:rPr>
        <w:t>replicated</w:t>
      </w:r>
      <w:r w:rsidR="00F21F9D">
        <w:rPr>
          <w:rFonts w:asciiTheme="minorHAnsi" w:hAnsiTheme="minorHAnsi"/>
        </w:rPr>
        <w:t>,</w:t>
      </w:r>
      <w:r w:rsidR="00002924">
        <w:rPr>
          <w:rFonts w:asciiTheme="minorHAnsi" w:hAnsiTheme="minorHAnsi"/>
        </w:rPr>
        <w:t xml:space="preserve"> by Iranian authorities.  With respect to capability </w:t>
      </w:r>
      <w:r w:rsidR="00C04BC2">
        <w:rPr>
          <w:rFonts w:asciiTheme="minorHAnsi" w:hAnsiTheme="minorHAnsi"/>
        </w:rPr>
        <w:t>poverty and</w:t>
      </w:r>
      <w:r w:rsidR="00002924">
        <w:rPr>
          <w:rFonts w:asciiTheme="minorHAnsi" w:hAnsiTheme="minorHAnsi"/>
        </w:rPr>
        <w:t xml:space="preserve"> social welfare, technical outputs have been delivered largely as planned, however </w:t>
      </w:r>
      <w:r w:rsidR="00536F4A">
        <w:rPr>
          <w:rFonts w:asciiTheme="minorHAnsi" w:hAnsiTheme="minorHAnsi"/>
        </w:rPr>
        <w:t xml:space="preserve">an </w:t>
      </w:r>
      <w:r w:rsidR="00536F4A" w:rsidRPr="00536F4A">
        <w:rPr>
          <w:rFonts w:asciiTheme="minorHAnsi" w:hAnsiTheme="minorHAnsi"/>
          <w:lang w:val="en-GB"/>
        </w:rPr>
        <w:t xml:space="preserve">integrated model for achieving inclusive growth, capability development and employment </w:t>
      </w:r>
      <w:r w:rsidR="00536F4A">
        <w:rPr>
          <w:rFonts w:asciiTheme="minorHAnsi" w:hAnsiTheme="minorHAnsi"/>
          <w:lang w:val="en-GB"/>
        </w:rPr>
        <w:t xml:space="preserve">(the primary anticipated outcome) </w:t>
      </w:r>
      <w:r w:rsidR="00C04BC2">
        <w:rPr>
          <w:rFonts w:asciiTheme="minorHAnsi" w:hAnsiTheme="minorHAnsi"/>
        </w:rPr>
        <w:t>has not yet been fully developed or adopted.  UNDP support for improved DRM institutional capacities has made on</w:t>
      </w:r>
      <w:r w:rsidR="003501E4">
        <w:rPr>
          <w:rFonts w:asciiTheme="minorHAnsi" w:hAnsiTheme="minorHAnsi"/>
        </w:rPr>
        <w:t>ly</w:t>
      </w:r>
      <w:r w:rsidR="00C04BC2">
        <w:rPr>
          <w:rFonts w:asciiTheme="minorHAnsi" w:hAnsiTheme="minorHAnsi"/>
        </w:rPr>
        <w:t xml:space="preserve"> limited progress in achieving</w:t>
      </w:r>
      <w:r w:rsidR="005E033A">
        <w:rPr>
          <w:rFonts w:asciiTheme="minorHAnsi" w:hAnsiTheme="minorHAnsi"/>
        </w:rPr>
        <w:t xml:space="preserve"> planned outcomes</w:t>
      </w:r>
      <w:r w:rsidR="00C04BC2">
        <w:rPr>
          <w:rFonts w:asciiTheme="minorHAnsi" w:hAnsiTheme="minorHAnsi"/>
        </w:rPr>
        <w:t xml:space="preserve">, due </w:t>
      </w:r>
      <w:r w:rsidR="00F21F9D">
        <w:rPr>
          <w:rFonts w:asciiTheme="minorHAnsi" w:hAnsiTheme="minorHAnsi"/>
        </w:rPr>
        <w:t xml:space="preserve">largely to </w:t>
      </w:r>
      <w:r w:rsidR="003501E4">
        <w:rPr>
          <w:rFonts w:asciiTheme="minorHAnsi" w:hAnsiTheme="minorHAnsi"/>
        </w:rPr>
        <w:t>difficulties in getting 5 different GOI agencies to effectively engage and coordinate their work programmes</w:t>
      </w:r>
      <w:r w:rsidR="00F21F9D">
        <w:rPr>
          <w:rFonts w:asciiTheme="minorHAnsi" w:hAnsiTheme="minorHAnsi"/>
        </w:rPr>
        <w:t xml:space="preserve"> (reflecting a flaw in project design and implementation arrangements)</w:t>
      </w:r>
      <w:r w:rsidR="003501E4">
        <w:rPr>
          <w:rFonts w:asciiTheme="minorHAnsi" w:hAnsiTheme="minorHAnsi"/>
        </w:rPr>
        <w:t xml:space="preserve">. </w:t>
      </w:r>
    </w:p>
    <w:p w14:paraId="004B31C4" w14:textId="77777777" w:rsidR="00501971" w:rsidRDefault="00501971" w:rsidP="00E74058">
      <w:pPr>
        <w:pStyle w:val="BodyText2"/>
        <w:jc w:val="both"/>
        <w:rPr>
          <w:rFonts w:asciiTheme="minorHAnsi" w:hAnsiTheme="minorHAnsi"/>
        </w:rPr>
      </w:pPr>
    </w:p>
    <w:p w14:paraId="2869F7E8" w14:textId="7C720B66" w:rsidR="0037523B" w:rsidRDefault="00501971" w:rsidP="00E74058">
      <w:pPr>
        <w:pStyle w:val="BodyText2"/>
        <w:jc w:val="both"/>
        <w:rPr>
          <w:rFonts w:asciiTheme="minorHAnsi" w:hAnsiTheme="minorHAnsi"/>
        </w:rPr>
      </w:pPr>
      <w:r w:rsidRPr="00501971">
        <w:rPr>
          <w:rFonts w:asciiTheme="minorHAnsi" w:hAnsiTheme="minorHAnsi"/>
          <w:b/>
        </w:rPr>
        <w:t>Constraints</w:t>
      </w:r>
      <w:r w:rsidR="00D1370F">
        <w:rPr>
          <w:rFonts w:asciiTheme="minorHAnsi" w:hAnsiTheme="minorHAnsi"/>
          <w:b/>
        </w:rPr>
        <w:t xml:space="preserve">.  </w:t>
      </w:r>
      <w:r w:rsidR="003501E4">
        <w:rPr>
          <w:rFonts w:asciiTheme="minorHAnsi" w:hAnsiTheme="minorHAnsi"/>
        </w:rPr>
        <w:t>The main constraints facing UNDP’s work in Iran have included the following:</w:t>
      </w:r>
    </w:p>
    <w:p w14:paraId="34839147" w14:textId="3108DE95" w:rsidR="003501E4" w:rsidRPr="00BD24E5" w:rsidRDefault="003501E4" w:rsidP="00534207">
      <w:pPr>
        <w:pStyle w:val="BodyText2"/>
        <w:numPr>
          <w:ilvl w:val="0"/>
          <w:numId w:val="11"/>
        </w:numPr>
        <w:ind w:left="426" w:hanging="284"/>
        <w:jc w:val="both"/>
        <w:rPr>
          <w:rFonts w:asciiTheme="minorHAnsi" w:hAnsiTheme="minorHAnsi"/>
        </w:rPr>
      </w:pPr>
      <w:r>
        <w:rPr>
          <w:rFonts w:asciiTheme="minorHAnsi" w:hAnsiTheme="minorHAnsi"/>
        </w:rPr>
        <w:t>Iran’s economic situation over the past 4 years (</w:t>
      </w:r>
      <w:r w:rsidR="00F21F9D">
        <w:rPr>
          <w:rFonts w:asciiTheme="minorHAnsi" w:hAnsiTheme="minorHAnsi"/>
        </w:rPr>
        <w:t>low revenues and economic growth</w:t>
      </w:r>
      <w:r>
        <w:rPr>
          <w:rFonts w:asciiTheme="minorHAnsi" w:hAnsiTheme="minorHAnsi"/>
        </w:rPr>
        <w:t xml:space="preserve">) has limited the Government’s ability to commit </w:t>
      </w:r>
      <w:r w:rsidRPr="00534207">
        <w:rPr>
          <w:rFonts w:asciiTheme="minorHAnsi" w:hAnsiTheme="minorHAnsi"/>
        </w:rPr>
        <w:t>recurrent</w:t>
      </w:r>
      <w:r>
        <w:rPr>
          <w:rFonts w:asciiTheme="minorHAnsi" w:hAnsiTheme="minorHAnsi"/>
        </w:rPr>
        <w:t xml:space="preserve"> resources to </w:t>
      </w:r>
      <w:r w:rsidR="009A61F9">
        <w:rPr>
          <w:rFonts w:asciiTheme="minorHAnsi" w:hAnsiTheme="minorHAnsi"/>
        </w:rPr>
        <w:t xml:space="preserve">co-financing, </w:t>
      </w:r>
      <w:r>
        <w:rPr>
          <w:rFonts w:asciiTheme="minorHAnsi" w:hAnsiTheme="minorHAnsi"/>
        </w:rPr>
        <w:t>sustaining and expanding UN supported pilot initiatives</w:t>
      </w:r>
      <w:r w:rsidR="00D24452">
        <w:rPr>
          <w:rFonts w:asciiTheme="minorHAnsi" w:hAnsiTheme="minorHAnsi"/>
        </w:rPr>
        <w:t>.</w:t>
      </w:r>
      <w:r>
        <w:rPr>
          <w:rFonts w:asciiTheme="minorHAnsi" w:hAnsiTheme="minorHAnsi"/>
        </w:rPr>
        <w:t xml:space="preserve"> </w:t>
      </w:r>
    </w:p>
    <w:p w14:paraId="2869F7E9" w14:textId="251ED2CB" w:rsidR="0037523B" w:rsidRDefault="003F470B" w:rsidP="00534207">
      <w:pPr>
        <w:pStyle w:val="BodyText2"/>
        <w:numPr>
          <w:ilvl w:val="0"/>
          <w:numId w:val="11"/>
        </w:numPr>
        <w:ind w:left="426" w:hanging="284"/>
        <w:jc w:val="both"/>
        <w:rPr>
          <w:rFonts w:asciiTheme="minorHAnsi" w:hAnsiTheme="minorHAnsi"/>
        </w:rPr>
      </w:pPr>
      <w:r>
        <w:rPr>
          <w:rFonts w:asciiTheme="minorHAnsi" w:hAnsiTheme="minorHAnsi"/>
        </w:rPr>
        <w:t>I</w:t>
      </w:r>
      <w:r w:rsidR="003501E4">
        <w:rPr>
          <w:rFonts w:asciiTheme="minorHAnsi" w:hAnsiTheme="minorHAnsi"/>
        </w:rPr>
        <w:t>nternational</w:t>
      </w:r>
      <w:r>
        <w:rPr>
          <w:rFonts w:asciiTheme="minorHAnsi" w:hAnsiTheme="minorHAnsi"/>
        </w:rPr>
        <w:t xml:space="preserve"> </w:t>
      </w:r>
      <w:r w:rsidR="00D24452">
        <w:rPr>
          <w:rFonts w:asciiTheme="minorHAnsi" w:hAnsiTheme="minorHAnsi"/>
        </w:rPr>
        <w:t xml:space="preserve">(including UN) </w:t>
      </w:r>
      <w:r w:rsidR="003501E4">
        <w:rPr>
          <w:rFonts w:asciiTheme="minorHAnsi" w:hAnsiTheme="minorHAnsi"/>
        </w:rPr>
        <w:t>sanctions on Iran over its nuclear programme ha</w:t>
      </w:r>
      <w:r>
        <w:rPr>
          <w:rFonts w:asciiTheme="minorHAnsi" w:hAnsiTheme="minorHAnsi"/>
        </w:rPr>
        <w:t>ve</w:t>
      </w:r>
      <w:r w:rsidR="003501E4">
        <w:rPr>
          <w:rFonts w:asciiTheme="minorHAnsi" w:hAnsiTheme="minorHAnsi"/>
        </w:rPr>
        <w:t xml:space="preserve"> made for a delicate political situation </w:t>
      </w:r>
      <w:r>
        <w:rPr>
          <w:rFonts w:asciiTheme="minorHAnsi" w:hAnsiTheme="minorHAnsi"/>
        </w:rPr>
        <w:t>and at times constrained programme / project implementation</w:t>
      </w:r>
      <w:r w:rsidR="00571369">
        <w:rPr>
          <w:rFonts w:asciiTheme="minorHAnsi" w:hAnsiTheme="minorHAnsi"/>
        </w:rPr>
        <w:t>, monitoring and evaluation</w:t>
      </w:r>
      <w:r>
        <w:rPr>
          <w:rFonts w:asciiTheme="minorHAnsi" w:hAnsiTheme="minorHAnsi"/>
        </w:rPr>
        <w:t xml:space="preserve"> for a range of reasons</w:t>
      </w:r>
      <w:r w:rsidR="00D1370F">
        <w:rPr>
          <w:rFonts w:asciiTheme="minorHAnsi" w:hAnsiTheme="minorHAnsi"/>
        </w:rPr>
        <w:t xml:space="preserve">.  Iran’s internal political dynamic </w:t>
      </w:r>
      <w:r w:rsidR="00CE306F">
        <w:rPr>
          <w:rFonts w:asciiTheme="minorHAnsi" w:hAnsiTheme="minorHAnsi"/>
        </w:rPr>
        <w:t xml:space="preserve">has </w:t>
      </w:r>
      <w:r w:rsidR="00D1370F">
        <w:rPr>
          <w:rFonts w:asciiTheme="minorHAnsi" w:hAnsiTheme="minorHAnsi"/>
        </w:rPr>
        <w:t>also ma</w:t>
      </w:r>
      <w:r w:rsidR="00CE306F">
        <w:rPr>
          <w:rFonts w:asciiTheme="minorHAnsi" w:hAnsiTheme="minorHAnsi"/>
        </w:rPr>
        <w:t>de</w:t>
      </w:r>
      <w:r w:rsidR="00D1370F">
        <w:rPr>
          <w:rFonts w:asciiTheme="minorHAnsi" w:hAnsiTheme="minorHAnsi"/>
        </w:rPr>
        <w:t xml:space="preserve"> it difficult for the UN to collaborate openly on issues related to women’s empowerment / gender equality, corruption and human rights.  </w:t>
      </w:r>
    </w:p>
    <w:p w14:paraId="7C814EF6" w14:textId="45937B93" w:rsidR="00B137D1" w:rsidRPr="00BD24E5" w:rsidRDefault="00B137D1" w:rsidP="00534207">
      <w:pPr>
        <w:pStyle w:val="BodyText2"/>
        <w:numPr>
          <w:ilvl w:val="0"/>
          <w:numId w:val="11"/>
        </w:numPr>
        <w:ind w:left="426" w:hanging="284"/>
        <w:jc w:val="both"/>
        <w:rPr>
          <w:rFonts w:asciiTheme="minorHAnsi" w:hAnsiTheme="minorHAnsi"/>
        </w:rPr>
      </w:pPr>
      <w:r>
        <w:rPr>
          <w:rFonts w:asciiTheme="minorHAnsi" w:hAnsiTheme="minorHAnsi"/>
        </w:rPr>
        <w:t>UNDP’s own institutional structures, decision making mechanisms</w:t>
      </w:r>
      <w:r w:rsidR="00D24452">
        <w:rPr>
          <w:rFonts w:asciiTheme="minorHAnsi" w:hAnsiTheme="minorHAnsi"/>
        </w:rPr>
        <w:t>, financing</w:t>
      </w:r>
      <w:r>
        <w:rPr>
          <w:rFonts w:asciiTheme="minorHAnsi" w:hAnsiTheme="minorHAnsi"/>
        </w:rPr>
        <w:t xml:space="preserve"> and administrative arrangements </w:t>
      </w:r>
      <w:r w:rsidR="00536F4A">
        <w:rPr>
          <w:rFonts w:asciiTheme="minorHAnsi" w:hAnsiTheme="minorHAnsi"/>
        </w:rPr>
        <w:t xml:space="preserve">continue to mitigate against full implementation of </w:t>
      </w:r>
      <w:r>
        <w:rPr>
          <w:rFonts w:asciiTheme="minorHAnsi" w:hAnsiTheme="minorHAnsi"/>
        </w:rPr>
        <w:t>a r</w:t>
      </w:r>
      <w:r w:rsidR="009A61F9">
        <w:rPr>
          <w:rFonts w:asciiTheme="minorHAnsi" w:hAnsiTheme="minorHAnsi"/>
        </w:rPr>
        <w:t>esults-based management approach</w:t>
      </w:r>
      <w:r>
        <w:rPr>
          <w:rFonts w:asciiTheme="minorHAnsi" w:hAnsiTheme="minorHAnsi"/>
        </w:rPr>
        <w:t xml:space="preserve">.  </w:t>
      </w:r>
      <w:r w:rsidR="009A61F9">
        <w:rPr>
          <w:rFonts w:asciiTheme="minorHAnsi" w:hAnsiTheme="minorHAnsi"/>
        </w:rPr>
        <w:t xml:space="preserve">Broader UN system reforms also require ongoing attention to better support attainment of One UN objectives.  </w:t>
      </w:r>
    </w:p>
    <w:p w14:paraId="2869F7EA" w14:textId="77777777" w:rsidR="0037523B" w:rsidRPr="00BD24E5" w:rsidRDefault="0037523B" w:rsidP="00E74058">
      <w:pPr>
        <w:pStyle w:val="BodyText2"/>
        <w:jc w:val="both"/>
        <w:rPr>
          <w:rFonts w:asciiTheme="minorHAnsi" w:hAnsiTheme="minorHAnsi"/>
        </w:rPr>
      </w:pPr>
    </w:p>
    <w:p w14:paraId="2869F7EF" w14:textId="05F22173" w:rsidR="0037523B" w:rsidRPr="00BD24E5" w:rsidRDefault="00501971" w:rsidP="00E74058">
      <w:pPr>
        <w:pStyle w:val="BodyText2"/>
        <w:jc w:val="both"/>
        <w:rPr>
          <w:rFonts w:asciiTheme="minorHAnsi" w:hAnsiTheme="minorHAnsi"/>
        </w:rPr>
      </w:pPr>
      <w:r w:rsidRPr="00501971">
        <w:rPr>
          <w:rFonts w:asciiTheme="minorHAnsi" w:hAnsiTheme="minorHAnsi"/>
          <w:b/>
        </w:rPr>
        <w:t>Lessons learned</w:t>
      </w:r>
      <w:r w:rsidR="00D1370F">
        <w:rPr>
          <w:rFonts w:asciiTheme="minorHAnsi" w:hAnsiTheme="minorHAnsi"/>
          <w:b/>
        </w:rPr>
        <w:t xml:space="preserve">.  </w:t>
      </w:r>
      <w:r w:rsidR="00B137D1">
        <w:rPr>
          <w:rFonts w:asciiTheme="minorHAnsi" w:hAnsiTheme="minorHAnsi"/>
        </w:rPr>
        <w:t xml:space="preserve">The </w:t>
      </w:r>
      <w:r w:rsidR="00890064">
        <w:rPr>
          <w:rFonts w:asciiTheme="minorHAnsi" w:hAnsiTheme="minorHAnsi"/>
        </w:rPr>
        <w:t xml:space="preserve">broad / programmatic </w:t>
      </w:r>
      <w:r w:rsidR="00B137D1">
        <w:rPr>
          <w:rFonts w:asciiTheme="minorHAnsi" w:hAnsiTheme="minorHAnsi"/>
        </w:rPr>
        <w:t>lessons learned include:</w:t>
      </w:r>
    </w:p>
    <w:p w14:paraId="7BF0649D" w14:textId="77777777" w:rsidR="00976258" w:rsidRPr="00976258" w:rsidRDefault="00976258" w:rsidP="00976258">
      <w:pPr>
        <w:pStyle w:val="BodyText2"/>
        <w:numPr>
          <w:ilvl w:val="0"/>
          <w:numId w:val="12"/>
        </w:numPr>
        <w:ind w:left="426" w:hanging="284"/>
        <w:jc w:val="both"/>
        <w:rPr>
          <w:rFonts w:asciiTheme="minorHAnsi" w:hAnsiTheme="minorHAnsi"/>
        </w:rPr>
      </w:pPr>
      <w:r w:rsidRPr="00976258">
        <w:rPr>
          <w:rFonts w:asciiTheme="minorHAnsi" w:hAnsiTheme="minorHAnsi"/>
        </w:rPr>
        <w:t xml:space="preserve">The environment, inclusive growth and sustainable employment creation, multi-sectoral approaches to addressing public health threats, and Disaster Risk Reduction are GOI priorities that they would like UNDP to continue to support / engage in. </w:t>
      </w:r>
    </w:p>
    <w:p w14:paraId="08E73D7A" w14:textId="77777777" w:rsidR="00976258" w:rsidRPr="00976258" w:rsidRDefault="00976258" w:rsidP="00976258">
      <w:pPr>
        <w:pStyle w:val="BodyText2"/>
        <w:numPr>
          <w:ilvl w:val="0"/>
          <w:numId w:val="12"/>
        </w:numPr>
        <w:ind w:left="426" w:hanging="284"/>
        <w:jc w:val="both"/>
        <w:rPr>
          <w:rFonts w:asciiTheme="minorHAnsi" w:hAnsiTheme="minorHAnsi"/>
        </w:rPr>
      </w:pPr>
      <w:r w:rsidRPr="00976258">
        <w:rPr>
          <w:rFonts w:asciiTheme="minorHAnsi" w:hAnsiTheme="minorHAnsi"/>
        </w:rPr>
        <w:t xml:space="preserve">Benefits of geographical focus / group targeting.   Allows demonstration of results at local level (positive impacts on people, benefits of participatory approaches) to subsequently help inform and influence policy and practice – up and across.  Can also support ‘joined-up’ action within UNDP and with other UN agencies. </w:t>
      </w:r>
    </w:p>
    <w:p w14:paraId="0D48325F" w14:textId="35E20BCF" w:rsidR="00976258" w:rsidRDefault="00976258" w:rsidP="00976258">
      <w:pPr>
        <w:pStyle w:val="BodyText2"/>
        <w:numPr>
          <w:ilvl w:val="0"/>
          <w:numId w:val="12"/>
        </w:numPr>
        <w:ind w:left="426" w:hanging="284"/>
        <w:jc w:val="both"/>
        <w:rPr>
          <w:rFonts w:asciiTheme="minorHAnsi" w:hAnsiTheme="minorHAnsi"/>
        </w:rPr>
      </w:pPr>
      <w:r>
        <w:rPr>
          <w:rFonts w:asciiTheme="minorHAnsi" w:hAnsiTheme="minorHAnsi"/>
        </w:rPr>
        <w:t xml:space="preserve">UNDP can continue to ‘quietly’ support gender equality and human rights approaches to development, but must do so in a way that is acceptable to Iranian government authorities, culture and law.  </w:t>
      </w:r>
      <w:r w:rsidR="007705AD">
        <w:rPr>
          <w:rFonts w:asciiTheme="minorHAnsi" w:hAnsiTheme="minorHAnsi"/>
        </w:rPr>
        <w:t xml:space="preserve">Work is ongoing in this area, but often cannot be reported in formal documents / reports. </w:t>
      </w:r>
    </w:p>
    <w:p w14:paraId="2A2E1AC2" w14:textId="62CBD624" w:rsidR="00976258" w:rsidRPr="00976258" w:rsidRDefault="00976258" w:rsidP="00976258">
      <w:pPr>
        <w:pStyle w:val="BodyText2"/>
        <w:numPr>
          <w:ilvl w:val="0"/>
          <w:numId w:val="12"/>
        </w:numPr>
        <w:ind w:left="426" w:hanging="284"/>
        <w:jc w:val="both"/>
        <w:rPr>
          <w:rFonts w:asciiTheme="minorHAnsi" w:hAnsiTheme="minorHAnsi"/>
        </w:rPr>
      </w:pPr>
      <w:r w:rsidRPr="00976258">
        <w:rPr>
          <w:rFonts w:asciiTheme="minorHAnsi" w:hAnsiTheme="minorHAnsi"/>
        </w:rPr>
        <w:t xml:space="preserve">UNDP needs to be able to work with </w:t>
      </w:r>
      <w:r w:rsidR="007705AD">
        <w:rPr>
          <w:rFonts w:asciiTheme="minorHAnsi" w:hAnsiTheme="minorHAnsi"/>
        </w:rPr>
        <w:t>a diverse range of stakeholders</w:t>
      </w:r>
      <w:r w:rsidRPr="00976258">
        <w:rPr>
          <w:rFonts w:asciiTheme="minorHAnsi" w:hAnsiTheme="minorHAnsi"/>
        </w:rPr>
        <w:t>. More flexible / inclusive programme / project implementation arrangements would support UNDP’s effectiveness.</w:t>
      </w:r>
    </w:p>
    <w:p w14:paraId="45C5491C" w14:textId="0AC7DFD7" w:rsidR="00976258" w:rsidRDefault="00976258" w:rsidP="00976258">
      <w:pPr>
        <w:pStyle w:val="BodyText2"/>
        <w:numPr>
          <w:ilvl w:val="0"/>
          <w:numId w:val="12"/>
        </w:numPr>
        <w:ind w:left="426" w:hanging="284"/>
        <w:jc w:val="both"/>
        <w:rPr>
          <w:rFonts w:asciiTheme="minorHAnsi" w:hAnsiTheme="minorHAnsi"/>
        </w:rPr>
      </w:pPr>
      <w:r w:rsidRPr="00976258">
        <w:rPr>
          <w:rFonts w:asciiTheme="minorHAnsi" w:hAnsiTheme="minorHAnsi"/>
        </w:rPr>
        <w:t xml:space="preserve">Significant opportunities exist to mobilise more domestic resources for UNDP supported work. </w:t>
      </w:r>
    </w:p>
    <w:p w14:paraId="3C929FB3" w14:textId="6377ECE4" w:rsidR="00976258" w:rsidRPr="00976258" w:rsidRDefault="00976258" w:rsidP="00976258">
      <w:pPr>
        <w:pStyle w:val="BodyText2"/>
        <w:numPr>
          <w:ilvl w:val="0"/>
          <w:numId w:val="12"/>
        </w:numPr>
        <w:ind w:left="426" w:hanging="284"/>
        <w:jc w:val="both"/>
        <w:rPr>
          <w:rFonts w:asciiTheme="minorHAnsi" w:hAnsiTheme="minorHAnsi"/>
        </w:rPr>
      </w:pPr>
      <w:r w:rsidRPr="00976258">
        <w:rPr>
          <w:rFonts w:asciiTheme="minorHAnsi" w:hAnsiTheme="minorHAnsi"/>
        </w:rPr>
        <w:lastRenderedPageBreak/>
        <w:t>More flexible / improved NIM implementation modalities need to be explored and implemented (NIM does not in itself equal National ownership)</w:t>
      </w:r>
      <w:r w:rsidR="007705AD">
        <w:rPr>
          <w:rFonts w:asciiTheme="minorHAnsi" w:hAnsiTheme="minorHAnsi"/>
        </w:rPr>
        <w:t xml:space="preserve">. </w:t>
      </w:r>
    </w:p>
    <w:p w14:paraId="70481755" w14:textId="53AE703C" w:rsidR="00976258" w:rsidRDefault="00976258" w:rsidP="00976258">
      <w:pPr>
        <w:pStyle w:val="BodyText2"/>
        <w:numPr>
          <w:ilvl w:val="0"/>
          <w:numId w:val="12"/>
        </w:numPr>
        <w:ind w:left="426" w:hanging="284"/>
        <w:jc w:val="both"/>
        <w:rPr>
          <w:rFonts w:asciiTheme="minorHAnsi" w:hAnsiTheme="minorHAnsi"/>
        </w:rPr>
      </w:pPr>
      <w:r w:rsidRPr="00D20DB1">
        <w:rPr>
          <w:rFonts w:asciiTheme="minorHAnsi" w:hAnsiTheme="minorHAnsi"/>
        </w:rPr>
        <w:t>UN</w:t>
      </w:r>
      <w:r w:rsidR="004A5309">
        <w:rPr>
          <w:rFonts w:asciiTheme="minorHAnsi" w:hAnsiTheme="minorHAnsi"/>
        </w:rPr>
        <w:t xml:space="preserve">DP is still primarily viewed by many parts of </w:t>
      </w:r>
      <w:r w:rsidRPr="00D20DB1">
        <w:rPr>
          <w:rFonts w:asciiTheme="minorHAnsi" w:hAnsiTheme="minorHAnsi"/>
        </w:rPr>
        <w:t xml:space="preserve">GOI as a source of finance rather than technical expertise / advice.  </w:t>
      </w:r>
      <w:r>
        <w:rPr>
          <w:rFonts w:asciiTheme="minorHAnsi" w:hAnsiTheme="minorHAnsi"/>
        </w:rPr>
        <w:t xml:space="preserve">This needs to change. </w:t>
      </w:r>
    </w:p>
    <w:p w14:paraId="6005586A" w14:textId="30E2FBFF" w:rsidR="00976258" w:rsidRPr="00976258" w:rsidRDefault="00976258" w:rsidP="00976258">
      <w:pPr>
        <w:pStyle w:val="BodyText2"/>
        <w:numPr>
          <w:ilvl w:val="0"/>
          <w:numId w:val="12"/>
        </w:numPr>
        <w:ind w:left="426" w:hanging="284"/>
        <w:jc w:val="both"/>
        <w:rPr>
          <w:rFonts w:asciiTheme="minorHAnsi" w:hAnsiTheme="minorHAnsi"/>
        </w:rPr>
      </w:pPr>
      <w:r w:rsidRPr="00976258">
        <w:rPr>
          <w:rFonts w:asciiTheme="minorHAnsi" w:hAnsiTheme="minorHAnsi"/>
        </w:rPr>
        <w:t>UNDP and the UN system’s own institutional structures and administrative systems (including HRM and finance) are in need of ongoing reform to better support RBM principles and practice,  as well as ‘working as one’ objectives</w:t>
      </w:r>
      <w:r w:rsidR="007705AD">
        <w:rPr>
          <w:rFonts w:asciiTheme="minorHAnsi" w:hAnsiTheme="minorHAnsi"/>
        </w:rPr>
        <w:t xml:space="preserve">.  </w:t>
      </w:r>
    </w:p>
    <w:p w14:paraId="7E6F8222" w14:textId="77777777" w:rsidR="00976258" w:rsidRDefault="00976258" w:rsidP="00976258">
      <w:pPr>
        <w:pStyle w:val="BodyText2"/>
        <w:numPr>
          <w:ilvl w:val="0"/>
          <w:numId w:val="12"/>
        </w:numPr>
        <w:ind w:left="426" w:hanging="284"/>
        <w:jc w:val="both"/>
        <w:rPr>
          <w:rFonts w:asciiTheme="minorHAnsi" w:hAnsiTheme="minorHAnsi"/>
        </w:rPr>
      </w:pPr>
      <w:r w:rsidRPr="00861F0D">
        <w:rPr>
          <w:rFonts w:asciiTheme="minorHAnsi" w:hAnsiTheme="minorHAnsi"/>
        </w:rPr>
        <w:t xml:space="preserve">More involvement of UNDP in advocacy and policy advisory can facilitate processes and encourage the Government to access effective tools and mechanisms. An example is the effective Country Dialogue process coordinated by UNDP that led to the timely submission and approval of the Global Fund grant to the full amount of indicative funding allocated to Iran by the GF. Also more efforts need to be spared to engage in upstream policy work, the challenges at the national level notwithstanding </w:t>
      </w:r>
    </w:p>
    <w:p w14:paraId="32C7AC74" w14:textId="0F2DA065" w:rsidR="00976258" w:rsidRDefault="00976258" w:rsidP="00976258">
      <w:pPr>
        <w:pStyle w:val="BodyText2"/>
        <w:numPr>
          <w:ilvl w:val="0"/>
          <w:numId w:val="12"/>
        </w:numPr>
        <w:ind w:left="426" w:hanging="284"/>
        <w:jc w:val="both"/>
        <w:rPr>
          <w:rFonts w:asciiTheme="minorHAnsi" w:hAnsiTheme="minorHAnsi"/>
        </w:rPr>
      </w:pPr>
      <w:r>
        <w:rPr>
          <w:rFonts w:asciiTheme="minorHAnsi" w:hAnsiTheme="minorHAnsi"/>
        </w:rPr>
        <w:t xml:space="preserve">In order to more effectively monitor and evaluate UNDP contributions to development results, more practical and robust systems need to be put in place that involve regular </w:t>
      </w:r>
      <w:r w:rsidRPr="007705AD">
        <w:rPr>
          <w:rFonts w:asciiTheme="minorHAnsi" w:hAnsiTheme="minorHAnsi"/>
          <w:u w:val="single"/>
        </w:rPr>
        <w:t>joint</w:t>
      </w:r>
      <w:r>
        <w:rPr>
          <w:rFonts w:asciiTheme="minorHAnsi" w:hAnsiTheme="minorHAnsi"/>
        </w:rPr>
        <w:t xml:space="preserve"> monitoring (with GOI partners) of progress and achievements. </w:t>
      </w:r>
      <w:r w:rsidR="007705AD">
        <w:rPr>
          <w:rFonts w:asciiTheme="minorHAnsi" w:hAnsiTheme="minorHAnsi"/>
        </w:rPr>
        <w:t xml:space="preserve"> A better balance between quantitative and qualitative indicators of achievement is required.  </w:t>
      </w:r>
    </w:p>
    <w:p w14:paraId="312FA7F2" w14:textId="77777777" w:rsidR="00976258" w:rsidRDefault="00976258" w:rsidP="00976258">
      <w:pPr>
        <w:pStyle w:val="BodyText2"/>
        <w:numPr>
          <w:ilvl w:val="0"/>
          <w:numId w:val="12"/>
        </w:numPr>
        <w:ind w:left="426" w:hanging="284"/>
        <w:jc w:val="both"/>
        <w:rPr>
          <w:rFonts w:asciiTheme="minorHAnsi" w:hAnsiTheme="minorHAnsi"/>
        </w:rPr>
      </w:pPr>
      <w:r w:rsidRPr="00534207">
        <w:rPr>
          <w:rFonts w:asciiTheme="minorHAnsi" w:hAnsiTheme="minorHAnsi"/>
        </w:rPr>
        <w:t xml:space="preserve">UNDP needs to continue to </w:t>
      </w:r>
      <w:r>
        <w:rPr>
          <w:rFonts w:asciiTheme="minorHAnsi" w:hAnsiTheme="minorHAnsi"/>
        </w:rPr>
        <w:t xml:space="preserve">strengthen its </w:t>
      </w:r>
      <w:r w:rsidRPr="00534207">
        <w:rPr>
          <w:rFonts w:asciiTheme="minorHAnsi" w:hAnsiTheme="minorHAnsi"/>
        </w:rPr>
        <w:t>role in supporting the Resident Coordinator to promote and implement One UN objectives</w:t>
      </w:r>
      <w:r>
        <w:rPr>
          <w:rFonts w:asciiTheme="minorHAnsi" w:hAnsiTheme="minorHAnsi"/>
        </w:rPr>
        <w:t>, and more pro-actively engage in joint programming and implementation with sister UN agencies</w:t>
      </w:r>
      <w:r w:rsidRPr="00534207">
        <w:rPr>
          <w:rFonts w:asciiTheme="minorHAnsi" w:hAnsiTheme="minorHAnsi"/>
        </w:rPr>
        <w:t xml:space="preserve">.  </w:t>
      </w:r>
    </w:p>
    <w:p w14:paraId="481DB1CD" w14:textId="77777777" w:rsidR="00976258" w:rsidRDefault="00976258" w:rsidP="00976258">
      <w:pPr>
        <w:pStyle w:val="BodyText2"/>
        <w:numPr>
          <w:ilvl w:val="0"/>
          <w:numId w:val="12"/>
        </w:numPr>
        <w:ind w:left="426" w:hanging="284"/>
        <w:jc w:val="both"/>
        <w:rPr>
          <w:rFonts w:asciiTheme="minorHAnsi" w:hAnsiTheme="minorHAnsi"/>
        </w:rPr>
      </w:pPr>
      <w:r w:rsidRPr="00976258">
        <w:rPr>
          <w:rFonts w:asciiTheme="minorHAnsi" w:hAnsiTheme="minorHAnsi"/>
        </w:rPr>
        <w:t>For UNDP’s south-south cooperation objectives to be progressed / effectively supported, UNDP and GOI need to develop (and then implement) a clear joint strategy and plan for progressing this area of cooperation</w:t>
      </w:r>
    </w:p>
    <w:p w14:paraId="0BC97E63" w14:textId="77777777" w:rsidR="004347EF" w:rsidRDefault="004347EF" w:rsidP="004347EF">
      <w:pPr>
        <w:pStyle w:val="BodyText2"/>
        <w:ind w:left="142"/>
        <w:jc w:val="both"/>
        <w:rPr>
          <w:rFonts w:asciiTheme="minorHAnsi" w:hAnsiTheme="minorHAnsi"/>
        </w:rPr>
      </w:pPr>
    </w:p>
    <w:p w14:paraId="11316B15" w14:textId="646F0932" w:rsidR="00976258" w:rsidRDefault="00890064" w:rsidP="00D20DB1">
      <w:pPr>
        <w:pStyle w:val="BodyText2"/>
        <w:ind w:left="142"/>
        <w:jc w:val="both"/>
        <w:rPr>
          <w:rFonts w:asciiTheme="minorHAnsi" w:hAnsiTheme="minorHAnsi"/>
        </w:rPr>
      </w:pPr>
      <w:r>
        <w:rPr>
          <w:rFonts w:asciiTheme="minorHAnsi" w:hAnsiTheme="minorHAnsi"/>
        </w:rPr>
        <w:t>Additional lessons learned through the implementation of specific programmes /projects are included in the body of the Results Summary document</w:t>
      </w:r>
      <w:r w:rsidR="007705AD">
        <w:rPr>
          <w:rFonts w:asciiTheme="minorHAnsi" w:hAnsiTheme="minorHAnsi"/>
        </w:rPr>
        <w:t xml:space="preserve">. </w:t>
      </w:r>
    </w:p>
    <w:p w14:paraId="1FBCE4C9" w14:textId="77777777" w:rsidR="00D20DB1" w:rsidRPr="00534207" w:rsidRDefault="00D20DB1" w:rsidP="00D20DB1">
      <w:pPr>
        <w:pStyle w:val="BodyText2"/>
        <w:ind w:left="142"/>
        <w:jc w:val="both"/>
        <w:rPr>
          <w:rFonts w:asciiTheme="minorHAnsi" w:hAnsiTheme="minorHAnsi"/>
        </w:rPr>
      </w:pPr>
    </w:p>
    <w:p w14:paraId="2869F7F7" w14:textId="77777777" w:rsidR="0037523B" w:rsidRDefault="0037523B" w:rsidP="00E74058">
      <w:pPr>
        <w:pStyle w:val="BodyText2"/>
        <w:jc w:val="both"/>
        <w:rPr>
          <w:rFonts w:ascii="Times New Roman" w:hAnsi="Times New Roman"/>
          <w:b/>
          <w:sz w:val="24"/>
        </w:rPr>
        <w:sectPr w:rsidR="0037523B">
          <w:headerReference w:type="default" r:id="rId13"/>
          <w:footerReference w:type="default" r:id="rId14"/>
          <w:endnotePr>
            <w:numFmt w:val="decimal"/>
          </w:endnotePr>
          <w:pgSz w:w="11907" w:h="16840" w:code="9"/>
          <w:pgMar w:top="1440" w:right="1440" w:bottom="1440" w:left="1440" w:header="720" w:footer="720" w:gutter="0"/>
          <w:cols w:space="720"/>
        </w:sectPr>
      </w:pPr>
    </w:p>
    <w:p w14:paraId="2869F7F8" w14:textId="77777777" w:rsidR="00975566" w:rsidRPr="00517955" w:rsidRDefault="006900FE" w:rsidP="00E74058">
      <w:pPr>
        <w:pStyle w:val="Heading3"/>
        <w:jc w:val="both"/>
        <w:rPr>
          <w:rFonts w:asciiTheme="minorHAnsi" w:hAnsiTheme="minorHAnsi"/>
          <w:b/>
        </w:rPr>
      </w:pPr>
      <w:r>
        <w:rPr>
          <w:rFonts w:asciiTheme="minorHAnsi" w:hAnsiTheme="minorHAnsi"/>
          <w:b/>
        </w:rPr>
        <w:lastRenderedPageBreak/>
        <w:t>II</w:t>
      </w:r>
      <w:r w:rsidR="0081403B" w:rsidRPr="00517955">
        <w:rPr>
          <w:rFonts w:asciiTheme="minorHAnsi" w:hAnsiTheme="minorHAnsi"/>
          <w:b/>
        </w:rPr>
        <w:t xml:space="preserve">: </w:t>
      </w:r>
      <w:r w:rsidR="000C09B4" w:rsidRPr="00517955">
        <w:rPr>
          <w:rFonts w:asciiTheme="minorHAnsi" w:hAnsiTheme="minorHAnsi"/>
          <w:b/>
        </w:rPr>
        <w:t xml:space="preserve">Country Programme Performance </w:t>
      </w:r>
      <w:r w:rsidR="00975566" w:rsidRPr="00517955">
        <w:rPr>
          <w:rFonts w:asciiTheme="minorHAnsi" w:hAnsiTheme="minorHAnsi"/>
          <w:b/>
        </w:rPr>
        <w:t>Summary</w:t>
      </w:r>
    </w:p>
    <w:p w14:paraId="2869F7F9" w14:textId="77777777" w:rsidR="00DC7354" w:rsidRDefault="00DC7354" w:rsidP="00E74058">
      <w:pPr>
        <w:pStyle w:val="BodyText2"/>
        <w:jc w:val="both"/>
        <w:rPr>
          <w:rFonts w:ascii="Times New Roman" w:hAnsi="Times New Roman"/>
          <w:b/>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440"/>
        <w:gridCol w:w="3960"/>
        <w:gridCol w:w="5490"/>
      </w:tblGrid>
      <w:tr w:rsidR="003B037A" w:rsidRPr="00DC7354" w14:paraId="2869F805" w14:textId="77777777" w:rsidTr="009E7526">
        <w:tc>
          <w:tcPr>
            <w:tcW w:w="3150" w:type="dxa"/>
          </w:tcPr>
          <w:p w14:paraId="2869F801" w14:textId="5F350DB1" w:rsidR="003B037A" w:rsidRPr="00DC7354" w:rsidRDefault="003B037A" w:rsidP="00E74058">
            <w:pPr>
              <w:pStyle w:val="BodyText2"/>
              <w:jc w:val="both"/>
              <w:rPr>
                <w:rFonts w:asciiTheme="minorHAnsi" w:hAnsiTheme="minorHAnsi"/>
                <w:b/>
                <w:sz w:val="24"/>
              </w:rPr>
            </w:pPr>
            <w:r w:rsidRPr="00DC7354">
              <w:rPr>
                <w:rFonts w:asciiTheme="minorHAnsi" w:hAnsiTheme="minorHAnsi"/>
                <w:b/>
                <w:sz w:val="24"/>
              </w:rPr>
              <w:t>Outcome</w:t>
            </w:r>
            <w:r w:rsidR="00455A82">
              <w:rPr>
                <w:rFonts w:asciiTheme="minorHAnsi" w:hAnsiTheme="minorHAnsi"/>
                <w:b/>
                <w:sz w:val="24"/>
              </w:rPr>
              <w:t xml:space="preserve"> </w:t>
            </w:r>
            <w:r w:rsidR="00AC4E71">
              <w:rPr>
                <w:rFonts w:asciiTheme="minorHAnsi" w:hAnsiTheme="minorHAnsi"/>
                <w:b/>
                <w:sz w:val="24"/>
              </w:rPr>
              <w:t>1 &amp; 2</w:t>
            </w:r>
          </w:p>
        </w:tc>
        <w:tc>
          <w:tcPr>
            <w:tcW w:w="1440" w:type="dxa"/>
            <w:shd w:val="clear" w:color="auto" w:fill="auto"/>
          </w:tcPr>
          <w:p w14:paraId="2869F802" w14:textId="77777777" w:rsidR="003B037A" w:rsidRPr="005F6261" w:rsidRDefault="003B037A" w:rsidP="00E74058">
            <w:pPr>
              <w:pStyle w:val="BodyText2"/>
              <w:jc w:val="both"/>
              <w:rPr>
                <w:rFonts w:asciiTheme="minorHAnsi" w:hAnsiTheme="minorHAnsi"/>
                <w:b/>
                <w:sz w:val="22"/>
              </w:rPr>
            </w:pPr>
            <w:r w:rsidRPr="005F6261">
              <w:rPr>
                <w:rFonts w:asciiTheme="minorHAnsi" w:hAnsiTheme="minorHAnsi"/>
                <w:b/>
                <w:sz w:val="22"/>
              </w:rPr>
              <w:t>Total Expenditure</w:t>
            </w:r>
          </w:p>
        </w:tc>
        <w:tc>
          <w:tcPr>
            <w:tcW w:w="3960" w:type="dxa"/>
            <w:tcBorders>
              <w:left w:val="single" w:sz="4" w:space="0" w:color="auto"/>
            </w:tcBorders>
          </w:tcPr>
          <w:p w14:paraId="2869F803" w14:textId="77777777" w:rsidR="003B037A" w:rsidRPr="005F6261" w:rsidRDefault="003B037A" w:rsidP="00E74058">
            <w:pPr>
              <w:pStyle w:val="BodyText2"/>
              <w:jc w:val="both"/>
              <w:rPr>
                <w:rFonts w:asciiTheme="minorHAnsi" w:hAnsiTheme="minorHAnsi"/>
                <w:b/>
                <w:sz w:val="22"/>
              </w:rPr>
            </w:pPr>
            <w:r w:rsidRPr="005F6261">
              <w:rPr>
                <w:rFonts w:asciiTheme="minorHAnsi" w:hAnsiTheme="minorHAnsi"/>
                <w:b/>
                <w:sz w:val="22"/>
              </w:rPr>
              <w:t>Key Indicators of outcome (1-4 per outcome)</w:t>
            </w:r>
          </w:p>
        </w:tc>
        <w:tc>
          <w:tcPr>
            <w:tcW w:w="5490" w:type="dxa"/>
          </w:tcPr>
          <w:p w14:paraId="2869F804" w14:textId="77777777" w:rsidR="003B037A" w:rsidRPr="005F6261" w:rsidRDefault="003B037A" w:rsidP="00E74058">
            <w:pPr>
              <w:pStyle w:val="BodyText2"/>
              <w:jc w:val="both"/>
              <w:rPr>
                <w:rFonts w:asciiTheme="minorHAnsi" w:hAnsiTheme="minorHAnsi"/>
                <w:b/>
                <w:sz w:val="22"/>
              </w:rPr>
            </w:pPr>
            <w:r w:rsidRPr="005F6261">
              <w:rPr>
                <w:rFonts w:asciiTheme="minorHAnsi" w:hAnsiTheme="minorHAnsi"/>
                <w:b/>
                <w:sz w:val="22"/>
              </w:rPr>
              <w:t>Progress made against key indicators</w:t>
            </w:r>
          </w:p>
        </w:tc>
      </w:tr>
      <w:tr w:rsidR="000823AC" w:rsidRPr="00DC7354" w14:paraId="2869F80E" w14:textId="77777777" w:rsidTr="000823AC">
        <w:tc>
          <w:tcPr>
            <w:tcW w:w="3150" w:type="dxa"/>
            <w:tcBorders>
              <w:bottom w:val="single" w:sz="4" w:space="0" w:color="auto"/>
            </w:tcBorders>
            <w:shd w:val="clear" w:color="auto" w:fill="95B3D7" w:themeFill="accent1" w:themeFillTint="99"/>
          </w:tcPr>
          <w:p w14:paraId="69B7BB8A" w14:textId="0A866D5F" w:rsidR="00857873" w:rsidRPr="00857873" w:rsidRDefault="00857873" w:rsidP="00857873">
            <w:pPr>
              <w:pStyle w:val="BodyText2"/>
              <w:jc w:val="both"/>
              <w:rPr>
                <w:rFonts w:asciiTheme="minorHAnsi" w:hAnsiTheme="minorHAnsi"/>
                <w:lang w:val="en-GB"/>
              </w:rPr>
            </w:pPr>
            <w:r w:rsidRPr="00857873">
              <w:rPr>
                <w:rFonts w:asciiTheme="minorHAnsi" w:hAnsiTheme="minorHAnsi"/>
                <w:b/>
                <w:bCs/>
                <w:lang w:val="en-GB"/>
              </w:rPr>
              <w:t>UNDAF/Country programme Outcome 1</w:t>
            </w:r>
            <w:r w:rsidRPr="00857873">
              <w:rPr>
                <w:rFonts w:asciiTheme="minorHAnsi" w:hAnsiTheme="minorHAnsi"/>
                <w:b/>
                <w:lang w:val="en-GB"/>
              </w:rPr>
              <w:t xml:space="preserve">: </w:t>
            </w:r>
            <w:r w:rsidRPr="00857873">
              <w:rPr>
                <w:rFonts w:asciiTheme="minorHAnsi" w:hAnsiTheme="minorHAnsi"/>
                <w:lang w:val="en-GB"/>
              </w:rPr>
              <w:t>Improved national and subnational capacities contribute to formulating macro-level socio-economic policies and plans to promote inclusive economic growth, sustainable human development, social and economic welfare and the prevention of poverty</w:t>
            </w:r>
          </w:p>
          <w:p w14:paraId="2A46EE78" w14:textId="77777777" w:rsidR="00857873" w:rsidRDefault="00857873" w:rsidP="00857873">
            <w:pPr>
              <w:pStyle w:val="BodyText2"/>
              <w:jc w:val="both"/>
              <w:rPr>
                <w:rFonts w:asciiTheme="minorHAnsi" w:hAnsiTheme="minorHAnsi"/>
                <w:b/>
                <w:bCs/>
                <w:lang w:val="en-GB"/>
              </w:rPr>
            </w:pPr>
          </w:p>
          <w:p w14:paraId="1FA07341" w14:textId="25ACDFAC" w:rsidR="00857873" w:rsidRPr="00857873" w:rsidRDefault="00857873" w:rsidP="00857873">
            <w:pPr>
              <w:pStyle w:val="BodyText2"/>
              <w:jc w:val="both"/>
              <w:rPr>
                <w:rFonts w:asciiTheme="minorHAnsi" w:hAnsiTheme="minorHAnsi"/>
                <w:lang w:val="en-GB"/>
              </w:rPr>
            </w:pPr>
            <w:r w:rsidRPr="00857873">
              <w:rPr>
                <w:rFonts w:asciiTheme="minorHAnsi" w:hAnsiTheme="minorHAnsi"/>
                <w:b/>
                <w:bCs/>
                <w:lang w:val="en-GB"/>
              </w:rPr>
              <w:t xml:space="preserve">UNDAF/Country programme Outcome 2: </w:t>
            </w:r>
            <w:r w:rsidRPr="00857873">
              <w:rPr>
                <w:rFonts w:asciiTheme="minorHAnsi" w:hAnsiTheme="minorHAnsi"/>
                <w:lang w:val="en-GB"/>
              </w:rPr>
              <w:t>Improved national and subnational capacities contribute to people living under the capability poverty line and most at risk of capability poverty having enhanced access to and participating in education, health and social protection programmes, which contribute to national human capital development.</w:t>
            </w:r>
          </w:p>
          <w:p w14:paraId="740D89D8" w14:textId="77777777" w:rsidR="00857873" w:rsidRPr="00857873" w:rsidRDefault="00857873" w:rsidP="00857873">
            <w:pPr>
              <w:pStyle w:val="BodyText2"/>
              <w:jc w:val="both"/>
              <w:rPr>
                <w:rFonts w:asciiTheme="minorHAnsi" w:hAnsiTheme="minorHAnsi"/>
                <w:b/>
                <w:lang w:val="en-GB"/>
              </w:rPr>
            </w:pPr>
          </w:p>
          <w:p w14:paraId="2869F806" w14:textId="33532AF3" w:rsidR="00C5457D" w:rsidRPr="00A369BE" w:rsidRDefault="00C5457D" w:rsidP="00857873">
            <w:pPr>
              <w:pStyle w:val="BodyText2"/>
              <w:jc w:val="both"/>
              <w:rPr>
                <w:rFonts w:asciiTheme="minorHAnsi" w:hAnsiTheme="minorHAnsi"/>
                <w:b/>
              </w:rPr>
            </w:pPr>
          </w:p>
        </w:tc>
        <w:tc>
          <w:tcPr>
            <w:tcW w:w="1440" w:type="dxa"/>
            <w:tcBorders>
              <w:bottom w:val="single" w:sz="4" w:space="0" w:color="auto"/>
            </w:tcBorders>
            <w:shd w:val="clear" w:color="auto" w:fill="auto"/>
          </w:tcPr>
          <w:p w14:paraId="2869F807" w14:textId="6BC46A80" w:rsidR="002C7C02" w:rsidRPr="00DC7354" w:rsidRDefault="002C7C02" w:rsidP="00E74058">
            <w:pPr>
              <w:pStyle w:val="BodyText2"/>
              <w:jc w:val="both"/>
              <w:rPr>
                <w:rFonts w:asciiTheme="minorHAnsi" w:hAnsiTheme="minorHAnsi"/>
              </w:rPr>
            </w:pPr>
          </w:p>
        </w:tc>
        <w:tc>
          <w:tcPr>
            <w:tcW w:w="3960" w:type="dxa"/>
            <w:tcBorders>
              <w:left w:val="single" w:sz="4" w:space="0" w:color="auto"/>
              <w:bottom w:val="single" w:sz="4" w:space="0" w:color="auto"/>
            </w:tcBorders>
          </w:tcPr>
          <w:p w14:paraId="0FCC072E" w14:textId="41ADDBDD" w:rsidR="00857873" w:rsidRPr="00857873" w:rsidRDefault="00857873" w:rsidP="00857873">
            <w:pPr>
              <w:pStyle w:val="BodyText2"/>
              <w:jc w:val="both"/>
              <w:rPr>
                <w:rFonts w:asciiTheme="minorHAnsi" w:hAnsiTheme="minorHAnsi"/>
                <w:b/>
                <w:bCs/>
                <w:i/>
                <w:lang w:val="en-GB"/>
              </w:rPr>
            </w:pPr>
            <w:r w:rsidRPr="00857873">
              <w:rPr>
                <w:rFonts w:asciiTheme="minorHAnsi" w:hAnsiTheme="minorHAnsi"/>
                <w:b/>
                <w:bCs/>
                <w:i/>
                <w:lang w:val="en-GB"/>
              </w:rPr>
              <w:t>Indicator 1</w:t>
            </w:r>
            <w:r w:rsidRPr="00857873">
              <w:rPr>
                <w:rFonts w:asciiTheme="minorHAnsi" w:hAnsiTheme="minorHAnsi"/>
                <w:i/>
                <w:lang w:val="en-GB"/>
              </w:rPr>
              <w:t>: An integrated model for achieving</w:t>
            </w:r>
            <w:r>
              <w:rPr>
                <w:rFonts w:asciiTheme="minorHAnsi" w:hAnsiTheme="minorHAnsi"/>
                <w:i/>
                <w:lang w:val="en-GB"/>
              </w:rPr>
              <w:t xml:space="preserve"> </w:t>
            </w:r>
            <w:r w:rsidRPr="00857873">
              <w:rPr>
                <w:rFonts w:asciiTheme="minorHAnsi" w:hAnsiTheme="minorHAnsi"/>
                <w:i/>
                <w:lang w:val="en-GB"/>
              </w:rPr>
              <w:t>inclusive growth, capability development and</w:t>
            </w:r>
            <w:r>
              <w:rPr>
                <w:rFonts w:asciiTheme="minorHAnsi" w:hAnsiTheme="minorHAnsi"/>
                <w:i/>
                <w:lang w:val="en-GB"/>
              </w:rPr>
              <w:t xml:space="preserve"> </w:t>
            </w:r>
            <w:r w:rsidRPr="00857873">
              <w:rPr>
                <w:rFonts w:asciiTheme="minorHAnsi" w:hAnsiTheme="minorHAnsi"/>
                <w:i/>
                <w:lang w:val="en-GB"/>
              </w:rPr>
              <w:t>employment generation encompassing</w:t>
            </w:r>
            <w:r>
              <w:rPr>
                <w:rFonts w:asciiTheme="minorHAnsi" w:hAnsiTheme="minorHAnsi"/>
                <w:i/>
                <w:lang w:val="en-GB"/>
              </w:rPr>
              <w:t xml:space="preserve"> </w:t>
            </w:r>
            <w:r w:rsidRPr="00857873">
              <w:rPr>
                <w:rFonts w:asciiTheme="minorHAnsi" w:hAnsiTheme="minorHAnsi"/>
                <w:i/>
                <w:lang w:val="en-GB"/>
              </w:rPr>
              <w:t>demographic factors (disaggregated by sex, age</w:t>
            </w:r>
            <w:r>
              <w:rPr>
                <w:rFonts w:asciiTheme="minorHAnsi" w:hAnsiTheme="minorHAnsi"/>
                <w:i/>
                <w:lang w:val="en-GB"/>
              </w:rPr>
              <w:t xml:space="preserve"> </w:t>
            </w:r>
            <w:r w:rsidRPr="00857873">
              <w:rPr>
                <w:rFonts w:asciiTheme="minorHAnsi" w:hAnsiTheme="minorHAnsi"/>
                <w:i/>
                <w:lang w:val="en-GB"/>
              </w:rPr>
              <w:t>and at-risk populations) and environmentally</w:t>
            </w:r>
            <w:r>
              <w:rPr>
                <w:rFonts w:asciiTheme="minorHAnsi" w:hAnsiTheme="minorHAnsi"/>
                <w:i/>
                <w:lang w:val="en-GB"/>
              </w:rPr>
              <w:t xml:space="preserve"> </w:t>
            </w:r>
            <w:r w:rsidRPr="00857873">
              <w:rPr>
                <w:rFonts w:asciiTheme="minorHAnsi" w:hAnsiTheme="minorHAnsi"/>
                <w:i/>
                <w:lang w:val="en-GB"/>
              </w:rPr>
              <w:t>sustainable development (Yes/No</w:t>
            </w:r>
            <w:r w:rsidRPr="00857873">
              <w:rPr>
                <w:rFonts w:asciiTheme="minorHAnsi" w:hAnsiTheme="minorHAnsi"/>
                <w:b/>
                <w:bCs/>
                <w:i/>
                <w:lang w:val="en-GB"/>
              </w:rPr>
              <w:t>)</w:t>
            </w:r>
          </w:p>
          <w:p w14:paraId="19361019" w14:textId="1F2F0384" w:rsidR="00857873" w:rsidRPr="00857873" w:rsidRDefault="00857873" w:rsidP="00857873">
            <w:pPr>
              <w:pStyle w:val="BodyText2"/>
              <w:jc w:val="both"/>
              <w:rPr>
                <w:rFonts w:asciiTheme="minorHAnsi" w:hAnsiTheme="minorHAnsi"/>
                <w:i/>
                <w:lang w:val="en-GB"/>
              </w:rPr>
            </w:pPr>
            <w:r w:rsidRPr="00857873">
              <w:rPr>
                <w:rFonts w:asciiTheme="minorHAnsi" w:hAnsiTheme="minorHAnsi"/>
                <w:b/>
                <w:bCs/>
                <w:i/>
                <w:lang w:val="en-GB"/>
              </w:rPr>
              <w:t>Baseline</w:t>
            </w:r>
            <w:r w:rsidRPr="00857873">
              <w:rPr>
                <w:rFonts w:asciiTheme="minorHAnsi" w:hAnsiTheme="minorHAnsi"/>
                <w:i/>
                <w:lang w:val="en-GB"/>
              </w:rPr>
              <w:t>: Existing growth-oriented economic</w:t>
            </w:r>
            <w:r>
              <w:rPr>
                <w:rFonts w:asciiTheme="minorHAnsi" w:hAnsiTheme="minorHAnsi"/>
                <w:i/>
                <w:lang w:val="en-GB"/>
              </w:rPr>
              <w:t xml:space="preserve"> </w:t>
            </w:r>
            <w:r w:rsidRPr="00857873">
              <w:rPr>
                <w:rFonts w:asciiTheme="minorHAnsi" w:hAnsiTheme="minorHAnsi"/>
                <w:i/>
                <w:lang w:val="en-GB"/>
              </w:rPr>
              <w:t>models</w:t>
            </w:r>
          </w:p>
          <w:p w14:paraId="4A144C26" w14:textId="77777777" w:rsidR="00857873" w:rsidRPr="00857873" w:rsidRDefault="00857873" w:rsidP="00857873">
            <w:pPr>
              <w:pStyle w:val="BodyText2"/>
              <w:jc w:val="both"/>
              <w:rPr>
                <w:rFonts w:asciiTheme="minorHAnsi" w:hAnsiTheme="minorHAnsi"/>
                <w:i/>
                <w:lang w:val="en-GB"/>
              </w:rPr>
            </w:pPr>
            <w:r w:rsidRPr="00857873">
              <w:rPr>
                <w:rFonts w:asciiTheme="minorHAnsi" w:hAnsiTheme="minorHAnsi"/>
                <w:b/>
                <w:bCs/>
                <w:i/>
                <w:lang w:val="en-GB"/>
              </w:rPr>
              <w:t xml:space="preserve">Target: </w:t>
            </w:r>
            <w:r w:rsidRPr="00857873">
              <w:rPr>
                <w:rFonts w:asciiTheme="minorHAnsi" w:hAnsiTheme="minorHAnsi"/>
                <w:i/>
                <w:lang w:val="en-GB"/>
              </w:rPr>
              <w:t>Model introduced before 2016</w:t>
            </w:r>
          </w:p>
          <w:p w14:paraId="18A36C6B" w14:textId="77777777" w:rsidR="00857873" w:rsidRDefault="00857873" w:rsidP="00857873">
            <w:pPr>
              <w:pStyle w:val="BodyText2"/>
              <w:jc w:val="both"/>
              <w:rPr>
                <w:rFonts w:asciiTheme="minorHAnsi" w:hAnsiTheme="minorHAnsi"/>
                <w:b/>
                <w:bCs/>
                <w:i/>
                <w:lang w:val="en-GB"/>
              </w:rPr>
            </w:pPr>
          </w:p>
          <w:p w14:paraId="52975A59" w14:textId="7894392A" w:rsidR="00857873" w:rsidRPr="00857873" w:rsidRDefault="00857873" w:rsidP="00857873">
            <w:pPr>
              <w:pStyle w:val="BodyText2"/>
              <w:jc w:val="both"/>
              <w:rPr>
                <w:rFonts w:asciiTheme="minorHAnsi" w:hAnsiTheme="minorHAnsi"/>
                <w:i/>
                <w:lang w:val="en-GB"/>
              </w:rPr>
            </w:pPr>
            <w:r w:rsidRPr="00857873">
              <w:rPr>
                <w:rFonts w:asciiTheme="minorHAnsi" w:hAnsiTheme="minorHAnsi"/>
                <w:b/>
                <w:bCs/>
                <w:i/>
                <w:lang w:val="en-GB"/>
              </w:rPr>
              <w:t xml:space="preserve">Indicator 2,1. </w:t>
            </w:r>
            <w:r w:rsidRPr="00857873">
              <w:rPr>
                <w:rFonts w:asciiTheme="minorHAnsi" w:hAnsiTheme="minorHAnsi"/>
                <w:i/>
                <w:lang w:val="en-GB"/>
              </w:rPr>
              <w:t>Number of beneficiaries reached</w:t>
            </w:r>
            <w:r>
              <w:rPr>
                <w:rFonts w:asciiTheme="minorHAnsi" w:hAnsiTheme="minorHAnsi"/>
                <w:i/>
                <w:lang w:val="en-GB"/>
              </w:rPr>
              <w:t xml:space="preserve"> </w:t>
            </w:r>
            <w:r w:rsidRPr="00857873">
              <w:rPr>
                <w:rFonts w:asciiTheme="minorHAnsi" w:hAnsiTheme="minorHAnsi"/>
                <w:i/>
                <w:lang w:val="en-GB"/>
              </w:rPr>
              <w:t>by capacity development initiatives under the</w:t>
            </w:r>
            <w:r>
              <w:rPr>
                <w:rFonts w:asciiTheme="minorHAnsi" w:hAnsiTheme="minorHAnsi"/>
                <w:i/>
                <w:lang w:val="en-GB"/>
              </w:rPr>
              <w:t xml:space="preserve"> </w:t>
            </w:r>
            <w:r w:rsidRPr="00857873">
              <w:rPr>
                <w:rFonts w:asciiTheme="minorHAnsi" w:hAnsiTheme="minorHAnsi"/>
                <w:i/>
                <w:lang w:val="en-GB"/>
              </w:rPr>
              <w:t>programme.</w:t>
            </w:r>
          </w:p>
          <w:p w14:paraId="12520B6B" w14:textId="6FAA2155" w:rsidR="00857873" w:rsidRPr="00857873" w:rsidRDefault="00857873" w:rsidP="00857873">
            <w:pPr>
              <w:pStyle w:val="BodyText2"/>
              <w:jc w:val="both"/>
              <w:rPr>
                <w:rFonts w:asciiTheme="minorHAnsi" w:hAnsiTheme="minorHAnsi"/>
                <w:i/>
                <w:lang w:val="en-GB"/>
              </w:rPr>
            </w:pPr>
            <w:r w:rsidRPr="00857873">
              <w:rPr>
                <w:rFonts w:asciiTheme="minorHAnsi" w:hAnsiTheme="minorHAnsi"/>
                <w:b/>
                <w:bCs/>
                <w:i/>
                <w:lang w:val="en-GB"/>
              </w:rPr>
              <w:t xml:space="preserve">Baseline: </w:t>
            </w:r>
            <w:r w:rsidRPr="00857873">
              <w:rPr>
                <w:rFonts w:asciiTheme="minorHAnsi" w:hAnsiTheme="minorHAnsi"/>
                <w:i/>
                <w:lang w:val="en-GB"/>
              </w:rPr>
              <w:t>To be established based on the data</w:t>
            </w:r>
            <w:r>
              <w:rPr>
                <w:rFonts w:asciiTheme="minorHAnsi" w:hAnsiTheme="minorHAnsi"/>
                <w:i/>
                <w:lang w:val="en-GB"/>
              </w:rPr>
              <w:t xml:space="preserve"> </w:t>
            </w:r>
            <w:r w:rsidRPr="00857873">
              <w:rPr>
                <w:rFonts w:asciiTheme="minorHAnsi" w:hAnsiTheme="minorHAnsi"/>
                <w:i/>
                <w:lang w:val="en-GB"/>
              </w:rPr>
              <w:t>from pilot sites.</w:t>
            </w:r>
          </w:p>
          <w:p w14:paraId="647A3A4B" w14:textId="2AC4B0D3" w:rsidR="00857873" w:rsidRPr="00857873" w:rsidRDefault="00857873" w:rsidP="00857873">
            <w:pPr>
              <w:pStyle w:val="BodyText2"/>
              <w:jc w:val="both"/>
              <w:rPr>
                <w:rFonts w:asciiTheme="minorHAnsi" w:hAnsiTheme="minorHAnsi"/>
                <w:i/>
                <w:lang w:val="en-GB"/>
              </w:rPr>
            </w:pPr>
            <w:r w:rsidRPr="00857873">
              <w:rPr>
                <w:rFonts w:asciiTheme="minorHAnsi" w:hAnsiTheme="minorHAnsi"/>
                <w:b/>
                <w:bCs/>
                <w:i/>
                <w:lang w:val="en-GB"/>
              </w:rPr>
              <w:t xml:space="preserve">Target: </w:t>
            </w:r>
            <w:r w:rsidRPr="00857873">
              <w:rPr>
                <w:rFonts w:asciiTheme="minorHAnsi" w:hAnsiTheme="minorHAnsi"/>
                <w:i/>
                <w:lang w:val="en-GB"/>
              </w:rPr>
              <w:t>xx percent to be reached above the</w:t>
            </w:r>
            <w:r>
              <w:rPr>
                <w:rFonts w:asciiTheme="minorHAnsi" w:hAnsiTheme="minorHAnsi"/>
                <w:i/>
                <w:lang w:val="en-GB"/>
              </w:rPr>
              <w:t xml:space="preserve"> </w:t>
            </w:r>
            <w:r w:rsidRPr="00857873">
              <w:rPr>
                <w:rFonts w:asciiTheme="minorHAnsi" w:hAnsiTheme="minorHAnsi"/>
                <w:i/>
                <w:lang w:val="en-GB"/>
              </w:rPr>
              <w:t>baseline</w:t>
            </w:r>
          </w:p>
          <w:p w14:paraId="50830AEE" w14:textId="77777777" w:rsidR="00857873" w:rsidRDefault="00857873" w:rsidP="00857873">
            <w:pPr>
              <w:pStyle w:val="BodyText2"/>
              <w:jc w:val="both"/>
              <w:rPr>
                <w:rFonts w:asciiTheme="minorHAnsi" w:hAnsiTheme="minorHAnsi"/>
                <w:b/>
                <w:bCs/>
                <w:i/>
                <w:lang w:val="en-GB"/>
              </w:rPr>
            </w:pPr>
          </w:p>
          <w:p w14:paraId="7F082618" w14:textId="1ED5043E" w:rsidR="00857873" w:rsidRPr="00857873" w:rsidRDefault="00857873" w:rsidP="00857873">
            <w:pPr>
              <w:pStyle w:val="BodyText2"/>
              <w:jc w:val="both"/>
              <w:rPr>
                <w:rFonts w:asciiTheme="minorHAnsi" w:hAnsiTheme="minorHAnsi"/>
                <w:i/>
                <w:lang w:val="en-GB"/>
              </w:rPr>
            </w:pPr>
            <w:r w:rsidRPr="00857873">
              <w:rPr>
                <w:rFonts w:asciiTheme="minorHAnsi" w:hAnsiTheme="minorHAnsi"/>
                <w:b/>
                <w:bCs/>
                <w:i/>
                <w:lang w:val="en-GB"/>
              </w:rPr>
              <w:t>Indicator 2,2.</w:t>
            </w:r>
            <w:r w:rsidRPr="00857873">
              <w:rPr>
                <w:rFonts w:asciiTheme="minorHAnsi" w:hAnsiTheme="minorHAnsi"/>
                <w:i/>
                <w:lang w:val="en-GB"/>
              </w:rPr>
              <w:t>.A localized (tested and piloted</w:t>
            </w:r>
            <w:r>
              <w:rPr>
                <w:rFonts w:asciiTheme="minorHAnsi" w:hAnsiTheme="minorHAnsi"/>
                <w:i/>
                <w:lang w:val="en-GB"/>
              </w:rPr>
              <w:t xml:space="preserve"> </w:t>
            </w:r>
            <w:r w:rsidRPr="00857873">
              <w:rPr>
                <w:rFonts w:asciiTheme="minorHAnsi" w:hAnsiTheme="minorHAnsi"/>
                <w:i/>
                <w:lang w:val="en-GB"/>
              </w:rPr>
              <w:t>according to national context) and integrated</w:t>
            </w:r>
            <w:r>
              <w:rPr>
                <w:rFonts w:asciiTheme="minorHAnsi" w:hAnsiTheme="minorHAnsi"/>
                <w:i/>
                <w:lang w:val="en-GB"/>
              </w:rPr>
              <w:t xml:space="preserve"> </w:t>
            </w:r>
            <w:r w:rsidRPr="00857873">
              <w:rPr>
                <w:rFonts w:asciiTheme="minorHAnsi" w:hAnsiTheme="minorHAnsi"/>
                <w:i/>
                <w:lang w:val="en-GB"/>
              </w:rPr>
              <w:t>social capability development planning model</w:t>
            </w:r>
            <w:r>
              <w:rPr>
                <w:rFonts w:asciiTheme="minorHAnsi" w:hAnsiTheme="minorHAnsi"/>
                <w:i/>
                <w:lang w:val="en-GB"/>
              </w:rPr>
              <w:t xml:space="preserve"> </w:t>
            </w:r>
            <w:r w:rsidRPr="00857873">
              <w:rPr>
                <w:rFonts w:asciiTheme="minorHAnsi" w:hAnsiTheme="minorHAnsi"/>
                <w:i/>
                <w:lang w:val="en-GB"/>
              </w:rPr>
              <w:t>and system among ministries is in place</w:t>
            </w:r>
            <w:r>
              <w:rPr>
                <w:rFonts w:asciiTheme="minorHAnsi" w:hAnsiTheme="minorHAnsi"/>
                <w:i/>
                <w:lang w:val="en-GB"/>
              </w:rPr>
              <w:t xml:space="preserve"> </w:t>
            </w:r>
            <w:r w:rsidRPr="00857873">
              <w:rPr>
                <w:rFonts w:asciiTheme="minorHAnsi" w:hAnsiTheme="minorHAnsi"/>
                <w:i/>
                <w:lang w:val="en-GB"/>
              </w:rPr>
              <w:t>(Yes/No)</w:t>
            </w:r>
          </w:p>
          <w:p w14:paraId="76AA6186" w14:textId="77777777" w:rsidR="00857873" w:rsidRPr="00857873" w:rsidRDefault="00857873" w:rsidP="00857873">
            <w:pPr>
              <w:pStyle w:val="BodyText2"/>
              <w:jc w:val="both"/>
              <w:rPr>
                <w:rFonts w:asciiTheme="minorHAnsi" w:hAnsiTheme="minorHAnsi"/>
                <w:i/>
                <w:lang w:val="en-GB"/>
              </w:rPr>
            </w:pPr>
            <w:r w:rsidRPr="00857873">
              <w:rPr>
                <w:rFonts w:asciiTheme="minorHAnsi" w:hAnsiTheme="minorHAnsi"/>
                <w:b/>
                <w:bCs/>
                <w:i/>
                <w:lang w:val="en-GB"/>
              </w:rPr>
              <w:t>Baseline</w:t>
            </w:r>
            <w:r w:rsidRPr="00857873">
              <w:rPr>
                <w:rFonts w:asciiTheme="minorHAnsi" w:hAnsiTheme="minorHAnsi"/>
                <w:i/>
                <w:lang w:val="en-GB"/>
              </w:rPr>
              <w:t>: Not a fully integrated system in place.</w:t>
            </w:r>
          </w:p>
          <w:p w14:paraId="2869F80A" w14:textId="2E8CF229" w:rsidR="006A655D" w:rsidRPr="00920DBC" w:rsidRDefault="00857873" w:rsidP="00857873">
            <w:pPr>
              <w:pStyle w:val="BodyText2"/>
              <w:jc w:val="both"/>
              <w:rPr>
                <w:rFonts w:asciiTheme="minorHAnsi" w:hAnsiTheme="minorHAnsi"/>
                <w:i/>
              </w:rPr>
            </w:pPr>
            <w:r w:rsidRPr="00857873">
              <w:rPr>
                <w:rFonts w:asciiTheme="minorHAnsi" w:hAnsiTheme="minorHAnsi"/>
                <w:b/>
                <w:bCs/>
                <w:i/>
                <w:lang w:val="en-GB"/>
              </w:rPr>
              <w:t xml:space="preserve">Target: </w:t>
            </w:r>
            <w:r w:rsidRPr="00857873">
              <w:rPr>
                <w:rFonts w:asciiTheme="minorHAnsi" w:hAnsiTheme="minorHAnsi"/>
                <w:i/>
                <w:lang w:val="en-GB"/>
              </w:rPr>
              <w:t>By 2016, a fully integrated system in</w:t>
            </w:r>
            <w:r>
              <w:rPr>
                <w:rFonts w:asciiTheme="minorHAnsi" w:hAnsiTheme="minorHAnsi"/>
                <w:i/>
                <w:lang w:val="en-GB"/>
              </w:rPr>
              <w:t xml:space="preserve"> </w:t>
            </w:r>
            <w:r w:rsidRPr="00857873">
              <w:rPr>
                <w:rFonts w:asciiTheme="minorHAnsi" w:hAnsiTheme="minorHAnsi"/>
                <w:i/>
                <w:lang w:val="en-GB"/>
              </w:rPr>
              <w:t>place</w:t>
            </w:r>
          </w:p>
        </w:tc>
        <w:tc>
          <w:tcPr>
            <w:tcW w:w="5490" w:type="dxa"/>
            <w:tcBorders>
              <w:bottom w:val="single" w:sz="4" w:space="0" w:color="auto"/>
            </w:tcBorders>
            <w:shd w:val="clear" w:color="auto" w:fill="auto"/>
          </w:tcPr>
          <w:p w14:paraId="11014EAD" w14:textId="28F9DAA3" w:rsidR="003B037A" w:rsidRDefault="003C320A" w:rsidP="00261D84">
            <w:pPr>
              <w:pStyle w:val="BodyText2"/>
              <w:jc w:val="both"/>
              <w:rPr>
                <w:rFonts w:asciiTheme="minorHAnsi" w:hAnsiTheme="minorHAnsi"/>
                <w:i/>
                <w:lang w:val="en-GB"/>
              </w:rPr>
            </w:pPr>
            <w:r>
              <w:rPr>
                <w:rFonts w:asciiTheme="minorHAnsi" w:hAnsiTheme="minorHAnsi"/>
                <w:i/>
              </w:rPr>
              <w:t xml:space="preserve">No.  </w:t>
            </w:r>
            <w:r w:rsidRPr="003C320A">
              <w:rPr>
                <w:rFonts w:asciiTheme="minorHAnsi" w:hAnsiTheme="minorHAnsi"/>
                <w:i/>
                <w:lang w:val="en-GB"/>
              </w:rPr>
              <w:t xml:space="preserve">UNDP </w:t>
            </w:r>
            <w:r>
              <w:rPr>
                <w:rFonts w:asciiTheme="minorHAnsi" w:hAnsiTheme="minorHAnsi"/>
                <w:i/>
                <w:lang w:val="en-GB"/>
              </w:rPr>
              <w:t xml:space="preserve">has </w:t>
            </w:r>
            <w:r w:rsidRPr="003C320A">
              <w:rPr>
                <w:rFonts w:asciiTheme="minorHAnsi" w:hAnsiTheme="minorHAnsi"/>
                <w:i/>
                <w:lang w:val="en-GB"/>
              </w:rPr>
              <w:t>continued its support to the MCLW institutional capacity strengthening process for national policy-making and programming through its National Social Protection Model (NSPM) project</w:t>
            </w:r>
            <w:r w:rsidR="00261D84">
              <w:rPr>
                <w:rFonts w:asciiTheme="minorHAnsi" w:hAnsiTheme="minorHAnsi"/>
                <w:i/>
                <w:lang w:val="en-GB"/>
              </w:rPr>
              <w:t xml:space="preserve">.  </w:t>
            </w:r>
            <w:r w:rsidRPr="003C320A">
              <w:rPr>
                <w:rFonts w:asciiTheme="minorHAnsi" w:hAnsiTheme="minorHAnsi"/>
                <w:i/>
                <w:lang w:val="en-GB"/>
              </w:rPr>
              <w:t xml:space="preserve">SOP’s </w:t>
            </w:r>
            <w:r w:rsidR="00261D84">
              <w:rPr>
                <w:rFonts w:asciiTheme="minorHAnsi" w:hAnsiTheme="minorHAnsi"/>
                <w:i/>
                <w:lang w:val="en-GB"/>
              </w:rPr>
              <w:t xml:space="preserve">have been developed and training carried out – but as yet </w:t>
            </w:r>
            <w:r w:rsidR="00E8333B">
              <w:rPr>
                <w:rFonts w:asciiTheme="minorHAnsi" w:hAnsiTheme="minorHAnsi"/>
                <w:i/>
                <w:lang w:val="en-GB"/>
              </w:rPr>
              <w:t xml:space="preserve">a fully </w:t>
            </w:r>
            <w:r w:rsidR="00261D84">
              <w:rPr>
                <w:rFonts w:asciiTheme="minorHAnsi" w:hAnsiTheme="minorHAnsi"/>
                <w:i/>
                <w:lang w:val="en-GB"/>
              </w:rPr>
              <w:t>integrated development planning model</w:t>
            </w:r>
            <w:r w:rsidR="00E8333B">
              <w:rPr>
                <w:rFonts w:asciiTheme="minorHAnsi" w:hAnsiTheme="minorHAnsi"/>
                <w:i/>
                <w:lang w:val="en-GB"/>
              </w:rPr>
              <w:t xml:space="preserve"> </w:t>
            </w:r>
            <w:r w:rsidR="00280850">
              <w:rPr>
                <w:rFonts w:asciiTheme="minorHAnsi" w:hAnsiTheme="minorHAnsi"/>
                <w:i/>
                <w:lang w:val="en-GB"/>
              </w:rPr>
              <w:t xml:space="preserve">has not been </w:t>
            </w:r>
            <w:r w:rsidR="00587372">
              <w:rPr>
                <w:rFonts w:asciiTheme="minorHAnsi" w:hAnsiTheme="minorHAnsi"/>
                <w:i/>
                <w:lang w:val="en-GB"/>
              </w:rPr>
              <w:t xml:space="preserve">fully </w:t>
            </w:r>
            <w:r w:rsidR="00280850">
              <w:rPr>
                <w:rFonts w:asciiTheme="minorHAnsi" w:hAnsiTheme="minorHAnsi"/>
                <w:i/>
                <w:lang w:val="en-GB"/>
              </w:rPr>
              <w:t>developed or introduced</w:t>
            </w:r>
            <w:r w:rsidR="00261D84">
              <w:rPr>
                <w:rFonts w:asciiTheme="minorHAnsi" w:hAnsiTheme="minorHAnsi"/>
                <w:i/>
                <w:lang w:val="en-GB"/>
              </w:rPr>
              <w:t>.  Nevertheless - t</w:t>
            </w:r>
            <w:r w:rsidRPr="003C320A">
              <w:rPr>
                <w:rFonts w:asciiTheme="minorHAnsi" w:hAnsiTheme="minorHAnsi"/>
                <w:i/>
                <w:lang w:val="en-GB"/>
              </w:rPr>
              <w:t xml:space="preserve">he SOPs </w:t>
            </w:r>
            <w:r w:rsidR="00280850">
              <w:rPr>
                <w:rFonts w:asciiTheme="minorHAnsi" w:hAnsiTheme="minorHAnsi"/>
                <w:i/>
                <w:lang w:val="en-GB"/>
              </w:rPr>
              <w:t>have been used to help guide the preparation of the 6</w:t>
            </w:r>
            <w:r w:rsidR="00280850" w:rsidRPr="00280850">
              <w:rPr>
                <w:rFonts w:asciiTheme="minorHAnsi" w:hAnsiTheme="minorHAnsi"/>
                <w:i/>
                <w:vertAlign w:val="superscript"/>
                <w:lang w:val="en-GB"/>
              </w:rPr>
              <w:t>th</w:t>
            </w:r>
            <w:r w:rsidR="00280850">
              <w:rPr>
                <w:rFonts w:asciiTheme="minorHAnsi" w:hAnsiTheme="minorHAnsi"/>
                <w:i/>
                <w:lang w:val="en-GB"/>
              </w:rPr>
              <w:t xml:space="preserve"> five year National Development Plan for </w:t>
            </w:r>
            <w:r w:rsidRPr="003C320A">
              <w:rPr>
                <w:rFonts w:asciiTheme="minorHAnsi" w:hAnsiTheme="minorHAnsi"/>
                <w:i/>
                <w:lang w:val="en-GB"/>
              </w:rPr>
              <w:t>2016</w:t>
            </w:r>
            <w:r w:rsidR="00280850">
              <w:rPr>
                <w:rFonts w:asciiTheme="minorHAnsi" w:hAnsiTheme="minorHAnsi"/>
                <w:i/>
                <w:lang w:val="en-GB"/>
              </w:rPr>
              <w:t xml:space="preserve"> – 20</w:t>
            </w:r>
            <w:r w:rsidR="00261D84">
              <w:rPr>
                <w:rFonts w:asciiTheme="minorHAnsi" w:hAnsiTheme="minorHAnsi"/>
                <w:i/>
                <w:lang w:val="en-GB"/>
              </w:rPr>
              <w:t>.</w:t>
            </w:r>
          </w:p>
          <w:p w14:paraId="35FF2584" w14:textId="77777777" w:rsidR="00261D84" w:rsidRDefault="00261D84" w:rsidP="00261D84">
            <w:pPr>
              <w:pStyle w:val="BodyText2"/>
              <w:jc w:val="both"/>
              <w:rPr>
                <w:rFonts w:asciiTheme="minorHAnsi" w:hAnsiTheme="minorHAnsi"/>
                <w:i/>
                <w:lang w:val="en-GB"/>
              </w:rPr>
            </w:pPr>
          </w:p>
          <w:p w14:paraId="184F07DB" w14:textId="77777777" w:rsidR="00261D84" w:rsidRDefault="00261D84" w:rsidP="00261D84">
            <w:pPr>
              <w:pStyle w:val="BodyText2"/>
              <w:jc w:val="both"/>
              <w:rPr>
                <w:rFonts w:asciiTheme="minorHAnsi" w:hAnsiTheme="minorHAnsi"/>
                <w:i/>
                <w:lang w:val="en-GB"/>
              </w:rPr>
            </w:pPr>
          </w:p>
          <w:p w14:paraId="2AED1A4D" w14:textId="77777777" w:rsidR="00261D84" w:rsidRDefault="00261D84" w:rsidP="00261D84">
            <w:pPr>
              <w:pStyle w:val="BodyText2"/>
              <w:jc w:val="both"/>
              <w:rPr>
                <w:rFonts w:asciiTheme="minorHAnsi" w:hAnsiTheme="minorHAnsi"/>
                <w:i/>
                <w:lang w:val="en-GB"/>
              </w:rPr>
            </w:pPr>
          </w:p>
          <w:p w14:paraId="131043A1" w14:textId="77777777" w:rsidR="004347EF" w:rsidRPr="004347EF" w:rsidRDefault="004347EF" w:rsidP="004347EF">
            <w:pPr>
              <w:pStyle w:val="BodyText2"/>
              <w:rPr>
                <w:rFonts w:asciiTheme="minorHAnsi" w:hAnsiTheme="minorHAnsi"/>
                <w:i/>
              </w:rPr>
            </w:pPr>
            <w:r w:rsidRPr="004347EF">
              <w:rPr>
                <w:rFonts w:asciiTheme="minorHAnsi" w:hAnsiTheme="minorHAnsi"/>
                <w:i/>
              </w:rPr>
              <w:t xml:space="preserve">A cumulative sum of 6,000 people were engaged in capacity development initiatives to improve their livelihoods and welfare in 23 provinces across the country. </w:t>
            </w:r>
          </w:p>
          <w:p w14:paraId="71FF3A8C" w14:textId="77777777" w:rsidR="004347EF" w:rsidRPr="004347EF" w:rsidRDefault="004347EF" w:rsidP="004347EF">
            <w:pPr>
              <w:pStyle w:val="BodyText2"/>
              <w:rPr>
                <w:rFonts w:asciiTheme="minorHAnsi" w:hAnsiTheme="minorHAnsi"/>
                <w:i/>
              </w:rPr>
            </w:pPr>
          </w:p>
          <w:p w14:paraId="6775FC80" w14:textId="77777777" w:rsidR="004347EF" w:rsidRPr="004347EF" w:rsidRDefault="004347EF" w:rsidP="004347EF">
            <w:pPr>
              <w:pStyle w:val="BodyText2"/>
              <w:rPr>
                <w:rFonts w:asciiTheme="minorHAnsi" w:hAnsiTheme="minorHAnsi"/>
                <w:i/>
              </w:rPr>
            </w:pPr>
          </w:p>
          <w:p w14:paraId="3464AD37" w14:textId="77777777" w:rsidR="004347EF" w:rsidRPr="004347EF" w:rsidRDefault="004347EF" w:rsidP="004347EF">
            <w:pPr>
              <w:pStyle w:val="BodyText2"/>
              <w:rPr>
                <w:rFonts w:asciiTheme="minorHAnsi" w:hAnsiTheme="minorHAnsi"/>
                <w:i/>
              </w:rPr>
            </w:pPr>
          </w:p>
          <w:p w14:paraId="1555F458" w14:textId="77777777" w:rsidR="004347EF" w:rsidRPr="004347EF" w:rsidRDefault="004347EF" w:rsidP="004347EF">
            <w:pPr>
              <w:pStyle w:val="BodyText2"/>
              <w:rPr>
                <w:rFonts w:asciiTheme="minorHAnsi" w:hAnsiTheme="minorHAnsi"/>
                <w:i/>
              </w:rPr>
            </w:pPr>
          </w:p>
          <w:p w14:paraId="1D8B93E3" w14:textId="77777777" w:rsidR="004347EF" w:rsidRPr="004347EF" w:rsidRDefault="004347EF" w:rsidP="004347EF">
            <w:pPr>
              <w:pStyle w:val="BodyText2"/>
              <w:rPr>
                <w:rFonts w:asciiTheme="minorHAnsi" w:hAnsiTheme="minorHAnsi"/>
                <w:i/>
              </w:rPr>
            </w:pPr>
          </w:p>
          <w:p w14:paraId="2869F80D" w14:textId="5517B93B" w:rsidR="00261D84" w:rsidRPr="00BB58F6" w:rsidRDefault="004347EF" w:rsidP="004347EF">
            <w:pPr>
              <w:pStyle w:val="BodyText2"/>
              <w:jc w:val="both"/>
              <w:rPr>
                <w:rFonts w:asciiTheme="minorHAnsi" w:hAnsiTheme="minorHAnsi"/>
                <w:i/>
              </w:rPr>
            </w:pPr>
            <w:r w:rsidRPr="004347EF">
              <w:rPr>
                <w:rFonts w:asciiTheme="minorHAnsi" w:hAnsiTheme="minorHAnsi"/>
                <w:i/>
              </w:rPr>
              <w:t>Not yet achieved due to challenges in inter-sectoral coordination however, new Standard Operating Procedures (SOPs) developed which can lead to better development of the 6</w:t>
            </w:r>
            <w:r w:rsidRPr="004347EF">
              <w:rPr>
                <w:rFonts w:asciiTheme="minorHAnsi" w:hAnsiTheme="minorHAnsi"/>
                <w:i/>
                <w:vertAlign w:val="superscript"/>
              </w:rPr>
              <w:t>th</w:t>
            </w:r>
            <w:r w:rsidRPr="004347EF">
              <w:rPr>
                <w:rFonts w:asciiTheme="minorHAnsi" w:hAnsiTheme="minorHAnsi"/>
                <w:i/>
              </w:rPr>
              <w:t xml:space="preserve"> five-year NDP.</w:t>
            </w:r>
          </w:p>
        </w:tc>
      </w:tr>
      <w:tr w:rsidR="00530FDE" w:rsidRPr="00DC7354" w14:paraId="2869F818" w14:textId="77777777" w:rsidTr="009E7526">
        <w:tc>
          <w:tcPr>
            <w:tcW w:w="14040" w:type="dxa"/>
            <w:gridSpan w:val="4"/>
          </w:tcPr>
          <w:p w14:paraId="2869F80F" w14:textId="7A33F306" w:rsidR="00843006" w:rsidRPr="00E74058" w:rsidRDefault="00837C4B" w:rsidP="00E74058">
            <w:pPr>
              <w:pStyle w:val="BodyText2"/>
              <w:jc w:val="both"/>
              <w:rPr>
                <w:rFonts w:asciiTheme="minorHAnsi" w:hAnsiTheme="minorHAnsi"/>
                <w:b/>
                <w:sz w:val="24"/>
              </w:rPr>
            </w:pPr>
            <w:r w:rsidRPr="00E74058">
              <w:rPr>
                <w:rFonts w:asciiTheme="minorHAnsi" w:hAnsiTheme="minorHAnsi"/>
                <w:b/>
                <w:sz w:val="24"/>
              </w:rPr>
              <w:t>UNDP Contribution:</w:t>
            </w:r>
          </w:p>
          <w:p w14:paraId="2869F812" w14:textId="77777777" w:rsidR="00B00E5C" w:rsidRPr="0052724C" w:rsidRDefault="00B00E5C" w:rsidP="00E74058">
            <w:pPr>
              <w:pStyle w:val="BodyText2"/>
              <w:jc w:val="both"/>
              <w:rPr>
                <w:rFonts w:asciiTheme="minorHAnsi" w:hAnsiTheme="minorHAnsi"/>
                <w:sz w:val="24"/>
              </w:rPr>
            </w:pPr>
            <w:r w:rsidRPr="0052724C">
              <w:rPr>
                <w:rFonts w:asciiTheme="minorHAnsi" w:hAnsiTheme="minorHAnsi"/>
                <w:sz w:val="24"/>
                <w:u w:val="single"/>
              </w:rPr>
              <w:t>CP Outputs</w:t>
            </w:r>
            <w:r w:rsidR="00845340" w:rsidRPr="0052724C">
              <w:rPr>
                <w:rFonts w:asciiTheme="minorHAnsi" w:hAnsiTheme="minorHAnsi"/>
                <w:sz w:val="24"/>
              </w:rPr>
              <w:t>:</w:t>
            </w:r>
          </w:p>
          <w:p w14:paraId="5706804F" w14:textId="19E18CDA" w:rsidR="00857873" w:rsidRPr="00857873" w:rsidRDefault="00857873" w:rsidP="00857873">
            <w:pPr>
              <w:pStyle w:val="BodyText2"/>
              <w:jc w:val="both"/>
              <w:rPr>
                <w:rFonts w:asciiTheme="minorHAnsi" w:hAnsiTheme="minorHAnsi"/>
                <w:lang w:val="en-GB"/>
              </w:rPr>
            </w:pPr>
            <w:r w:rsidRPr="00F73BA8">
              <w:rPr>
                <w:rFonts w:asciiTheme="minorHAnsi" w:hAnsiTheme="minorHAnsi"/>
                <w:bCs/>
                <w:lang w:val="en-GB"/>
              </w:rPr>
              <w:lastRenderedPageBreak/>
              <w:t>1.1</w:t>
            </w:r>
            <w:r w:rsidRPr="00F73BA8">
              <w:rPr>
                <w:rFonts w:asciiTheme="minorHAnsi" w:hAnsiTheme="minorHAnsi"/>
                <w:lang w:val="en-GB"/>
              </w:rPr>
              <w:t>.</w:t>
            </w:r>
            <w:r w:rsidRPr="00857873">
              <w:rPr>
                <w:rFonts w:asciiTheme="minorHAnsi" w:hAnsiTheme="minorHAnsi"/>
                <w:lang w:val="en-GB"/>
              </w:rPr>
              <w:t xml:space="preserve"> Capacities of relevant organizations to</w:t>
            </w:r>
            <w:r>
              <w:rPr>
                <w:rFonts w:asciiTheme="minorHAnsi" w:hAnsiTheme="minorHAnsi"/>
                <w:lang w:val="en-GB"/>
              </w:rPr>
              <w:t xml:space="preserve"> </w:t>
            </w:r>
            <w:r w:rsidRPr="00857873">
              <w:rPr>
                <w:rFonts w:asciiTheme="minorHAnsi" w:hAnsiTheme="minorHAnsi"/>
                <w:lang w:val="en-GB"/>
              </w:rPr>
              <w:t>incorporate human development criteria</w:t>
            </w:r>
            <w:r>
              <w:rPr>
                <w:rFonts w:asciiTheme="minorHAnsi" w:hAnsiTheme="minorHAnsi"/>
                <w:lang w:val="en-GB"/>
              </w:rPr>
              <w:t xml:space="preserve"> </w:t>
            </w:r>
            <w:r w:rsidRPr="00857873">
              <w:rPr>
                <w:rFonts w:asciiTheme="minorHAnsi" w:hAnsiTheme="minorHAnsi"/>
                <w:lang w:val="en-GB"/>
              </w:rPr>
              <w:t>(including basic development needs, local</w:t>
            </w:r>
            <w:r>
              <w:rPr>
                <w:rFonts w:asciiTheme="minorHAnsi" w:hAnsiTheme="minorHAnsi"/>
                <w:lang w:val="en-GB"/>
              </w:rPr>
              <w:t xml:space="preserve"> </w:t>
            </w:r>
            <w:r w:rsidRPr="00857873">
              <w:rPr>
                <w:rFonts w:asciiTheme="minorHAnsi" w:hAnsiTheme="minorHAnsi"/>
                <w:lang w:val="en-GB"/>
              </w:rPr>
              <w:t>participation and capability development</w:t>
            </w:r>
            <w:r>
              <w:rPr>
                <w:rFonts w:asciiTheme="minorHAnsi" w:hAnsiTheme="minorHAnsi"/>
                <w:lang w:val="en-GB"/>
              </w:rPr>
              <w:t xml:space="preserve"> </w:t>
            </w:r>
            <w:r w:rsidRPr="00857873">
              <w:rPr>
                <w:rFonts w:asciiTheme="minorHAnsi" w:hAnsiTheme="minorHAnsi"/>
                <w:lang w:val="en-GB"/>
              </w:rPr>
              <w:t>systems) into macroeconomic planning is</w:t>
            </w:r>
            <w:r>
              <w:rPr>
                <w:rFonts w:asciiTheme="minorHAnsi" w:hAnsiTheme="minorHAnsi"/>
                <w:lang w:val="en-GB"/>
              </w:rPr>
              <w:t xml:space="preserve"> </w:t>
            </w:r>
            <w:r w:rsidRPr="00857873">
              <w:rPr>
                <w:rFonts w:asciiTheme="minorHAnsi" w:hAnsiTheme="minorHAnsi"/>
                <w:lang w:val="en-GB"/>
              </w:rPr>
              <w:t>further improved</w:t>
            </w:r>
          </w:p>
          <w:p w14:paraId="4FD70A35" w14:textId="02B22A2A" w:rsidR="00857873" w:rsidRPr="00857873" w:rsidRDefault="00857873" w:rsidP="00857873">
            <w:pPr>
              <w:pStyle w:val="BodyText2"/>
              <w:jc w:val="both"/>
              <w:rPr>
                <w:rFonts w:asciiTheme="minorHAnsi" w:hAnsiTheme="minorHAnsi"/>
                <w:lang w:val="en-GB"/>
              </w:rPr>
            </w:pPr>
            <w:r w:rsidRPr="00857873">
              <w:rPr>
                <w:rFonts w:asciiTheme="minorHAnsi" w:hAnsiTheme="minorHAnsi"/>
                <w:lang w:val="en-GB"/>
              </w:rPr>
              <w:t>2 .1. Capacity of relevant organizations for</w:t>
            </w:r>
            <w:r>
              <w:rPr>
                <w:rFonts w:asciiTheme="minorHAnsi" w:hAnsiTheme="minorHAnsi"/>
                <w:lang w:val="en-GB"/>
              </w:rPr>
              <w:t xml:space="preserve"> </w:t>
            </w:r>
            <w:r w:rsidRPr="00857873">
              <w:rPr>
                <w:rFonts w:asciiTheme="minorHAnsi" w:hAnsiTheme="minorHAnsi"/>
                <w:lang w:val="en-GB"/>
              </w:rPr>
              <w:t>publicly supported employment- and</w:t>
            </w:r>
            <w:r>
              <w:rPr>
                <w:rFonts w:asciiTheme="minorHAnsi" w:hAnsiTheme="minorHAnsi"/>
                <w:lang w:val="en-GB"/>
              </w:rPr>
              <w:t xml:space="preserve"> </w:t>
            </w:r>
            <w:r w:rsidRPr="00857873">
              <w:rPr>
                <w:rFonts w:asciiTheme="minorHAnsi" w:hAnsiTheme="minorHAnsi"/>
                <w:lang w:val="en-GB"/>
              </w:rPr>
              <w:t>entrepreneurship-generation policies and</w:t>
            </w:r>
            <w:r>
              <w:rPr>
                <w:rFonts w:asciiTheme="minorHAnsi" w:hAnsiTheme="minorHAnsi"/>
                <w:lang w:val="en-GB"/>
              </w:rPr>
              <w:t xml:space="preserve"> </w:t>
            </w:r>
            <w:r w:rsidRPr="00857873">
              <w:rPr>
                <w:rFonts w:asciiTheme="minorHAnsi" w:hAnsiTheme="minorHAnsi"/>
                <w:lang w:val="en-GB"/>
              </w:rPr>
              <w:t>programming for increased access of those most</w:t>
            </w:r>
            <w:r>
              <w:rPr>
                <w:rFonts w:asciiTheme="minorHAnsi" w:hAnsiTheme="minorHAnsi"/>
                <w:lang w:val="en-GB"/>
              </w:rPr>
              <w:t xml:space="preserve"> </w:t>
            </w:r>
            <w:r w:rsidRPr="00857873">
              <w:rPr>
                <w:rFonts w:asciiTheme="minorHAnsi" w:hAnsiTheme="minorHAnsi"/>
                <w:lang w:val="en-GB"/>
              </w:rPr>
              <w:t>at risk and/or living under the capability poverty</w:t>
            </w:r>
            <w:r>
              <w:rPr>
                <w:rFonts w:asciiTheme="minorHAnsi" w:hAnsiTheme="minorHAnsi"/>
                <w:lang w:val="en-GB"/>
              </w:rPr>
              <w:t xml:space="preserve"> </w:t>
            </w:r>
            <w:r w:rsidRPr="00857873">
              <w:rPr>
                <w:rFonts w:asciiTheme="minorHAnsi" w:hAnsiTheme="minorHAnsi"/>
                <w:lang w:val="en-GB"/>
              </w:rPr>
              <w:t>line, to the required basic services, skills and</w:t>
            </w:r>
            <w:r>
              <w:rPr>
                <w:rFonts w:asciiTheme="minorHAnsi" w:hAnsiTheme="minorHAnsi"/>
                <w:lang w:val="en-GB"/>
              </w:rPr>
              <w:t xml:space="preserve"> </w:t>
            </w:r>
            <w:r w:rsidRPr="00857873">
              <w:rPr>
                <w:rFonts w:asciiTheme="minorHAnsi" w:hAnsiTheme="minorHAnsi"/>
                <w:lang w:val="en-GB"/>
              </w:rPr>
              <w:t>resources is further improved.</w:t>
            </w:r>
          </w:p>
          <w:p w14:paraId="2869F814" w14:textId="5ED17C56" w:rsidR="00B00E5C" w:rsidRDefault="00857873" w:rsidP="00857873">
            <w:pPr>
              <w:pStyle w:val="BodyText2"/>
              <w:jc w:val="both"/>
              <w:rPr>
                <w:rFonts w:asciiTheme="minorHAnsi" w:hAnsiTheme="minorHAnsi"/>
                <w:lang w:val="en-GB"/>
              </w:rPr>
            </w:pPr>
            <w:r w:rsidRPr="00857873">
              <w:rPr>
                <w:rFonts w:asciiTheme="minorHAnsi" w:hAnsiTheme="minorHAnsi"/>
                <w:lang w:val="en-GB"/>
              </w:rPr>
              <w:t>2.2 Capacity of relevant organizations to</w:t>
            </w:r>
            <w:r>
              <w:rPr>
                <w:rFonts w:asciiTheme="minorHAnsi" w:hAnsiTheme="minorHAnsi"/>
                <w:lang w:val="en-GB"/>
              </w:rPr>
              <w:t xml:space="preserve"> </w:t>
            </w:r>
            <w:r w:rsidRPr="00857873">
              <w:rPr>
                <w:rFonts w:asciiTheme="minorHAnsi" w:hAnsiTheme="minorHAnsi"/>
                <w:lang w:val="en-GB"/>
              </w:rPr>
              <w:t>coordinate and integrate social capability</w:t>
            </w:r>
            <w:r>
              <w:rPr>
                <w:rFonts w:asciiTheme="minorHAnsi" w:hAnsiTheme="minorHAnsi"/>
                <w:lang w:val="en-GB"/>
              </w:rPr>
              <w:t xml:space="preserve"> </w:t>
            </w:r>
            <w:r w:rsidRPr="00857873">
              <w:rPr>
                <w:rFonts w:asciiTheme="minorHAnsi" w:hAnsiTheme="minorHAnsi"/>
                <w:lang w:val="en-GB"/>
              </w:rPr>
              <w:t>development planning into sector and intersector</w:t>
            </w:r>
            <w:r>
              <w:rPr>
                <w:rFonts w:asciiTheme="minorHAnsi" w:hAnsiTheme="minorHAnsi"/>
                <w:lang w:val="en-GB"/>
              </w:rPr>
              <w:t xml:space="preserve"> </w:t>
            </w:r>
            <w:r w:rsidRPr="00857873">
              <w:rPr>
                <w:rFonts w:asciiTheme="minorHAnsi" w:hAnsiTheme="minorHAnsi"/>
                <w:lang w:val="en-GB"/>
              </w:rPr>
              <w:t>programmes for improved access to</w:t>
            </w:r>
            <w:r>
              <w:rPr>
                <w:rFonts w:asciiTheme="minorHAnsi" w:hAnsiTheme="minorHAnsi"/>
                <w:lang w:val="en-GB"/>
              </w:rPr>
              <w:t xml:space="preserve"> </w:t>
            </w:r>
            <w:r w:rsidRPr="00857873">
              <w:rPr>
                <w:rFonts w:asciiTheme="minorHAnsi" w:hAnsiTheme="minorHAnsi"/>
                <w:lang w:val="en-GB"/>
              </w:rPr>
              <w:t>quality public education, quality public health,</w:t>
            </w:r>
            <w:r>
              <w:rPr>
                <w:rFonts w:asciiTheme="minorHAnsi" w:hAnsiTheme="minorHAnsi"/>
                <w:lang w:val="en-GB"/>
              </w:rPr>
              <w:t xml:space="preserve"> </w:t>
            </w:r>
            <w:r w:rsidRPr="00857873">
              <w:rPr>
                <w:rFonts w:asciiTheme="minorHAnsi" w:hAnsiTheme="minorHAnsi"/>
                <w:lang w:val="en-GB"/>
              </w:rPr>
              <w:t>social protection and optimal food programmes</w:t>
            </w:r>
            <w:r>
              <w:rPr>
                <w:rFonts w:asciiTheme="minorHAnsi" w:hAnsiTheme="minorHAnsi"/>
                <w:lang w:val="en-GB"/>
              </w:rPr>
              <w:t xml:space="preserve"> </w:t>
            </w:r>
            <w:r w:rsidRPr="00857873">
              <w:rPr>
                <w:rFonts w:asciiTheme="minorHAnsi" w:hAnsiTheme="minorHAnsi"/>
                <w:lang w:val="en-GB"/>
              </w:rPr>
              <w:t>and services, including for the most at-risk</w:t>
            </w:r>
            <w:r>
              <w:rPr>
                <w:rFonts w:asciiTheme="minorHAnsi" w:hAnsiTheme="minorHAnsi"/>
                <w:lang w:val="en-GB"/>
              </w:rPr>
              <w:t xml:space="preserve"> </w:t>
            </w:r>
            <w:r w:rsidRPr="00857873">
              <w:rPr>
                <w:rFonts w:asciiTheme="minorHAnsi" w:hAnsiTheme="minorHAnsi"/>
                <w:lang w:val="en-GB"/>
              </w:rPr>
              <w:t>groups/persons, is further enhanced</w:t>
            </w:r>
          </w:p>
          <w:p w14:paraId="4D4B79D5" w14:textId="77777777" w:rsidR="008C72A4" w:rsidRDefault="008C72A4" w:rsidP="00857873">
            <w:pPr>
              <w:pStyle w:val="BodyText2"/>
              <w:jc w:val="both"/>
              <w:rPr>
                <w:rFonts w:asciiTheme="minorHAnsi" w:hAnsiTheme="minorHAnsi"/>
              </w:rPr>
            </w:pPr>
          </w:p>
          <w:p w14:paraId="2869F815" w14:textId="77777777" w:rsidR="00B00E5C" w:rsidRPr="00E74058" w:rsidRDefault="00B00E5C" w:rsidP="00E74058">
            <w:pPr>
              <w:pStyle w:val="BodyText2"/>
              <w:jc w:val="both"/>
              <w:rPr>
                <w:rFonts w:asciiTheme="minorHAnsi" w:hAnsiTheme="minorHAnsi"/>
                <w:sz w:val="24"/>
              </w:rPr>
            </w:pPr>
            <w:r w:rsidRPr="00E74058">
              <w:rPr>
                <w:rFonts w:asciiTheme="minorHAnsi" w:hAnsiTheme="minorHAnsi"/>
                <w:sz w:val="24"/>
                <w:u w:val="single"/>
              </w:rPr>
              <w:t>Progress and Achievements</w:t>
            </w:r>
            <w:r w:rsidR="00845340" w:rsidRPr="00E74058">
              <w:rPr>
                <w:rFonts w:asciiTheme="minorHAnsi" w:hAnsiTheme="minorHAnsi"/>
                <w:sz w:val="24"/>
              </w:rPr>
              <w:t>:</w:t>
            </w:r>
          </w:p>
          <w:p w14:paraId="5EA7006C" w14:textId="77777777" w:rsidR="004347EF" w:rsidRPr="004347EF" w:rsidRDefault="004347EF" w:rsidP="004347EF">
            <w:pPr>
              <w:pStyle w:val="BodyText2"/>
              <w:jc w:val="both"/>
              <w:rPr>
                <w:rFonts w:asciiTheme="minorHAnsi" w:hAnsiTheme="minorHAnsi"/>
                <w:bCs/>
              </w:rPr>
            </w:pPr>
            <w:r w:rsidRPr="004347EF">
              <w:rPr>
                <w:rFonts w:asciiTheme="minorHAnsi" w:hAnsiTheme="minorHAnsi"/>
                <w:bCs/>
              </w:rPr>
              <w:t>Significant progress has been made in a number of areas due to UNDP’s contribution to addressing the financial, technical and programme management capacity gaps with the implementation of the National Strategic Plans on HIV and Malaria by the Ministry of Health and other relevant institutions. Iran was assisted to implement its Malaria Elimination Plan successfully. Through the improved capacities of the health system and relevant institutions for the promotion and implementation of policies and programmes:</w:t>
            </w:r>
          </w:p>
          <w:p w14:paraId="47C8119D" w14:textId="77777777" w:rsidR="004347EF" w:rsidRPr="004347EF" w:rsidRDefault="004347EF" w:rsidP="004347EF">
            <w:pPr>
              <w:pStyle w:val="BodyText2"/>
              <w:numPr>
                <w:ilvl w:val="0"/>
                <w:numId w:val="13"/>
              </w:numPr>
              <w:rPr>
                <w:rFonts w:asciiTheme="minorHAnsi" w:hAnsiTheme="minorHAnsi"/>
                <w:bCs/>
              </w:rPr>
            </w:pPr>
            <w:r w:rsidRPr="004347EF">
              <w:rPr>
                <w:rFonts w:asciiTheme="minorHAnsi" w:hAnsiTheme="minorHAnsi"/>
                <w:bCs/>
              </w:rPr>
              <w:t xml:space="preserve">27,348 men and 6,564 women most at risk of HIV were provided with Harm Reduction services; </w:t>
            </w:r>
          </w:p>
          <w:p w14:paraId="6158A0D4" w14:textId="77777777" w:rsidR="004347EF" w:rsidRPr="004347EF" w:rsidRDefault="004347EF" w:rsidP="004347EF">
            <w:pPr>
              <w:pStyle w:val="BodyText2"/>
              <w:numPr>
                <w:ilvl w:val="0"/>
                <w:numId w:val="13"/>
              </w:numPr>
              <w:jc w:val="both"/>
              <w:rPr>
                <w:rFonts w:asciiTheme="minorHAnsi" w:hAnsiTheme="minorHAnsi"/>
                <w:bCs/>
              </w:rPr>
            </w:pPr>
            <w:r w:rsidRPr="004347EF">
              <w:rPr>
                <w:rFonts w:asciiTheme="minorHAnsi" w:hAnsiTheme="minorHAnsi"/>
                <w:bCs/>
              </w:rPr>
              <w:t>ARV coverage was provided to 4,756 men (132 children, 4,624 adults) and 1903 women (104 children, 1,799 adults);</w:t>
            </w:r>
          </w:p>
          <w:p w14:paraId="201EDB54" w14:textId="77777777" w:rsidR="004347EF" w:rsidRPr="004347EF" w:rsidRDefault="004347EF" w:rsidP="004347EF">
            <w:pPr>
              <w:pStyle w:val="BodyText2"/>
              <w:numPr>
                <w:ilvl w:val="0"/>
                <w:numId w:val="13"/>
              </w:numPr>
              <w:jc w:val="both"/>
              <w:rPr>
                <w:rFonts w:asciiTheme="minorHAnsi" w:hAnsiTheme="minorHAnsi"/>
                <w:bCs/>
              </w:rPr>
            </w:pPr>
            <w:r w:rsidRPr="004347EF">
              <w:rPr>
                <w:rFonts w:asciiTheme="minorHAnsi" w:hAnsiTheme="minorHAnsi"/>
                <w:bCs/>
              </w:rPr>
              <w:t>57.4% of children under5 and 53.8% pregnant women used longlasting insecticidal nets;</w:t>
            </w:r>
          </w:p>
          <w:p w14:paraId="5AD0F816" w14:textId="77777777" w:rsidR="004347EF" w:rsidRPr="004347EF" w:rsidRDefault="004347EF" w:rsidP="004347EF">
            <w:pPr>
              <w:pStyle w:val="BodyText2"/>
              <w:numPr>
                <w:ilvl w:val="0"/>
                <w:numId w:val="13"/>
              </w:numPr>
              <w:jc w:val="both"/>
              <w:rPr>
                <w:rFonts w:asciiTheme="minorHAnsi" w:hAnsiTheme="minorHAnsi"/>
                <w:bCs/>
              </w:rPr>
            </w:pPr>
            <w:r w:rsidRPr="004347EF">
              <w:rPr>
                <w:rFonts w:asciiTheme="minorHAnsi" w:hAnsiTheme="minorHAnsi"/>
                <w:bCs/>
              </w:rPr>
              <w:t>54% reduction in the number of autochthonous malaria cases was materialized;</w:t>
            </w:r>
          </w:p>
          <w:p w14:paraId="1DCA4447" w14:textId="77777777" w:rsidR="004347EF" w:rsidRPr="004347EF" w:rsidRDefault="004347EF" w:rsidP="004347EF">
            <w:pPr>
              <w:pStyle w:val="BodyText2"/>
              <w:numPr>
                <w:ilvl w:val="0"/>
                <w:numId w:val="13"/>
              </w:numPr>
              <w:jc w:val="both"/>
              <w:rPr>
                <w:rFonts w:asciiTheme="minorHAnsi" w:hAnsiTheme="minorHAnsi"/>
                <w:bCs/>
              </w:rPr>
            </w:pPr>
            <w:r w:rsidRPr="004347EF">
              <w:rPr>
                <w:rFonts w:asciiTheme="minorHAnsi" w:hAnsiTheme="minorHAnsi"/>
                <w:bCs/>
              </w:rPr>
              <w:t>TB treatment success rate have been maintained even after the TB project close in 2014;</w:t>
            </w:r>
          </w:p>
          <w:p w14:paraId="73AA1AED" w14:textId="77777777" w:rsidR="004347EF" w:rsidRPr="004347EF" w:rsidRDefault="004347EF" w:rsidP="004347EF">
            <w:pPr>
              <w:pStyle w:val="BodyText2"/>
              <w:numPr>
                <w:ilvl w:val="0"/>
                <w:numId w:val="13"/>
              </w:numPr>
              <w:jc w:val="both"/>
              <w:rPr>
                <w:rFonts w:asciiTheme="minorHAnsi" w:hAnsiTheme="minorHAnsi"/>
                <w:bCs/>
              </w:rPr>
            </w:pPr>
            <w:r w:rsidRPr="004347EF">
              <w:rPr>
                <w:rFonts w:asciiTheme="minorHAnsi" w:hAnsiTheme="minorHAnsi"/>
                <w:bCs/>
              </w:rPr>
              <w:t>91.72% IDUs used sterile equipment (Based on the GARPR 2015).</w:t>
            </w:r>
          </w:p>
          <w:p w14:paraId="5FD7ECB5" w14:textId="77777777" w:rsidR="004347EF" w:rsidRPr="004347EF" w:rsidRDefault="004347EF" w:rsidP="004347EF">
            <w:pPr>
              <w:pStyle w:val="BodyText2"/>
              <w:numPr>
                <w:ilvl w:val="0"/>
                <w:numId w:val="13"/>
              </w:numPr>
              <w:rPr>
                <w:rFonts w:asciiTheme="minorHAnsi" w:hAnsiTheme="minorHAnsi"/>
                <w:bCs/>
              </w:rPr>
            </w:pPr>
            <w:r w:rsidRPr="004347EF">
              <w:rPr>
                <w:rFonts w:asciiTheme="minorHAnsi" w:hAnsiTheme="minorHAnsi"/>
                <w:bCs/>
              </w:rPr>
              <w:t xml:space="preserve">Moreover, The Malaria early warning system was developed and passive case identification was strengthened, with cross-border surveillance providing service to 17,294 persons crossing the borders.  The National Malaria Information System with a nation-wide coverage was developed and rendered operational. . </w:t>
            </w:r>
          </w:p>
          <w:p w14:paraId="287CB633" w14:textId="5BECFD2F" w:rsidR="004347EF" w:rsidRPr="004347EF" w:rsidRDefault="004347EF" w:rsidP="004347EF">
            <w:pPr>
              <w:pStyle w:val="BodyText2"/>
              <w:rPr>
                <w:rFonts w:asciiTheme="minorHAnsi" w:hAnsiTheme="minorHAnsi"/>
                <w:bCs/>
              </w:rPr>
            </w:pPr>
          </w:p>
          <w:p w14:paraId="53668331" w14:textId="77777777" w:rsidR="004347EF" w:rsidRPr="004347EF" w:rsidRDefault="004347EF" w:rsidP="004347EF">
            <w:pPr>
              <w:pStyle w:val="BodyText2"/>
              <w:jc w:val="both"/>
              <w:rPr>
                <w:rFonts w:asciiTheme="minorHAnsi" w:hAnsiTheme="minorHAnsi"/>
                <w:bCs/>
              </w:rPr>
            </w:pPr>
            <w:r w:rsidRPr="004347EF">
              <w:rPr>
                <w:rFonts w:asciiTheme="minorHAnsi" w:hAnsiTheme="minorHAnsi"/>
                <w:bCs/>
              </w:rPr>
              <w:t>During the reporting period, UNDP has served as an active partner to help Iran maintain the function of its CCM: thus ensuring effective coordination among a host of national partners to develop national strategic plans for disease control, holding an inclusive process of country dialogue as a prerequisite to development of the GF grant proposal (concept note) that was approved by GF in March 2015 and ensuring timely and quality implementation of the project/grant activities. Also, the 5th CCM Grant was developed in consultation with CCM and received the approval of the Global Fund.</w:t>
            </w:r>
          </w:p>
          <w:p w14:paraId="1EC3BF47" w14:textId="77777777" w:rsidR="004347EF" w:rsidRPr="004347EF" w:rsidRDefault="004347EF" w:rsidP="004347EF">
            <w:pPr>
              <w:pStyle w:val="BodyText2"/>
              <w:jc w:val="both"/>
              <w:rPr>
                <w:rFonts w:asciiTheme="minorHAnsi" w:hAnsiTheme="minorHAnsi"/>
                <w:bCs/>
              </w:rPr>
            </w:pPr>
            <w:r w:rsidRPr="004347EF">
              <w:rPr>
                <w:rFonts w:asciiTheme="minorHAnsi" w:hAnsiTheme="minorHAnsi"/>
                <w:bCs/>
              </w:rPr>
              <w:t>In coordination with the Ministry of Health and WHO, UNDP provided advisory support to the national dialogue on non-communicable diseases (NCDs). Iran was selected as one of the few countries to be given priority under the joint corporate initiative of UNDP and WHO to address NCDs. Engagement of the academy of medical sciences and their cooperation with UNDP which would be an outcome in the next UNDP CPD. Along the same lines, UNDP was selected as the representative of all residing UN agencies to sit in the Air Pollution Task Team of the National Medical Academy – a multiparty assembly of representatives from all relevant institutions of the country, aiming at the development of the National Air Pollution Advocacy Plan. UNDP hopes to help minimizing social and environmental impacts though it’s too early to</w:t>
            </w:r>
          </w:p>
          <w:p w14:paraId="568DBD6A" w14:textId="77777777" w:rsidR="004347EF" w:rsidRPr="004347EF" w:rsidRDefault="004347EF" w:rsidP="004347EF">
            <w:pPr>
              <w:pStyle w:val="BodyText2"/>
              <w:rPr>
                <w:rFonts w:asciiTheme="minorHAnsi" w:hAnsiTheme="minorHAnsi"/>
              </w:rPr>
            </w:pPr>
            <w:r w:rsidRPr="004347EF">
              <w:rPr>
                <w:rFonts w:asciiTheme="minorHAnsi" w:hAnsiTheme="minorHAnsi"/>
                <w:bCs/>
              </w:rPr>
              <w:t>mention any tangible results as activities are at a very early stage.</w:t>
            </w:r>
          </w:p>
          <w:p w14:paraId="5FC3B9DB" w14:textId="77777777" w:rsidR="008C72A4" w:rsidRDefault="008C72A4" w:rsidP="008C72A4">
            <w:pPr>
              <w:pStyle w:val="BodyText2"/>
              <w:jc w:val="both"/>
              <w:rPr>
                <w:rFonts w:asciiTheme="minorHAnsi" w:hAnsiTheme="minorHAnsi"/>
                <w:lang w:val="en-GB"/>
              </w:rPr>
            </w:pPr>
          </w:p>
          <w:p w14:paraId="12C0C072" w14:textId="77777777" w:rsidR="007705AD" w:rsidRDefault="007705AD" w:rsidP="008C72A4">
            <w:pPr>
              <w:pStyle w:val="BodyText2"/>
              <w:jc w:val="both"/>
              <w:rPr>
                <w:rFonts w:asciiTheme="minorHAnsi" w:hAnsiTheme="minorHAnsi"/>
                <w:lang w:val="en-GB"/>
              </w:rPr>
            </w:pPr>
          </w:p>
          <w:p w14:paraId="07A3A3DE" w14:textId="77777777" w:rsidR="007705AD" w:rsidRDefault="007705AD" w:rsidP="008C72A4">
            <w:pPr>
              <w:pStyle w:val="BodyText2"/>
              <w:jc w:val="both"/>
              <w:rPr>
                <w:rFonts w:asciiTheme="minorHAnsi" w:hAnsiTheme="minorHAnsi"/>
                <w:lang w:val="en-GB"/>
              </w:rPr>
            </w:pPr>
          </w:p>
          <w:p w14:paraId="2BD235F2" w14:textId="77777777" w:rsidR="007705AD" w:rsidRPr="008C72A4" w:rsidRDefault="007705AD" w:rsidP="008C72A4">
            <w:pPr>
              <w:pStyle w:val="BodyText2"/>
              <w:jc w:val="both"/>
              <w:rPr>
                <w:rFonts w:asciiTheme="minorHAnsi" w:hAnsiTheme="minorHAnsi"/>
                <w:lang w:val="en-GB"/>
              </w:rPr>
            </w:pPr>
          </w:p>
          <w:p w14:paraId="2869F817" w14:textId="10598867" w:rsidR="00A51290" w:rsidRPr="00DC7354" w:rsidRDefault="00A51290" w:rsidP="00D013EA">
            <w:pPr>
              <w:widowControl/>
              <w:autoSpaceDE w:val="0"/>
              <w:autoSpaceDN w:val="0"/>
              <w:adjustRightInd w:val="0"/>
              <w:jc w:val="both"/>
              <w:rPr>
                <w:rFonts w:asciiTheme="minorHAnsi" w:hAnsiTheme="minorHAnsi"/>
              </w:rPr>
            </w:pPr>
            <w:r w:rsidRPr="00A51290">
              <w:rPr>
                <w:rFonts w:asciiTheme="minorHAnsi" w:hAnsiTheme="minorHAnsi"/>
                <w:sz w:val="20"/>
                <w:lang w:val="en-GB"/>
              </w:rPr>
              <w:lastRenderedPageBreak/>
              <w:t xml:space="preserve"> </w:t>
            </w:r>
          </w:p>
        </w:tc>
      </w:tr>
      <w:tr w:rsidR="00FC400F" w:rsidRPr="00DC7354" w14:paraId="5BCFC57C" w14:textId="77777777" w:rsidTr="00C40881">
        <w:tc>
          <w:tcPr>
            <w:tcW w:w="3150" w:type="dxa"/>
          </w:tcPr>
          <w:p w14:paraId="3EADD2A8" w14:textId="71763751" w:rsidR="00FC400F" w:rsidRPr="00DC7354" w:rsidRDefault="00FC400F" w:rsidP="00C40881">
            <w:pPr>
              <w:pStyle w:val="BodyText2"/>
              <w:jc w:val="both"/>
              <w:rPr>
                <w:rFonts w:asciiTheme="minorHAnsi" w:hAnsiTheme="minorHAnsi"/>
                <w:b/>
                <w:sz w:val="24"/>
              </w:rPr>
            </w:pPr>
            <w:r w:rsidRPr="00DC7354">
              <w:rPr>
                <w:rFonts w:asciiTheme="minorHAnsi" w:hAnsiTheme="minorHAnsi"/>
                <w:b/>
                <w:sz w:val="24"/>
              </w:rPr>
              <w:lastRenderedPageBreak/>
              <w:t>Outcome</w:t>
            </w:r>
            <w:r>
              <w:rPr>
                <w:rFonts w:asciiTheme="minorHAnsi" w:hAnsiTheme="minorHAnsi"/>
                <w:b/>
                <w:sz w:val="24"/>
              </w:rPr>
              <w:t xml:space="preserve"> </w:t>
            </w:r>
            <w:r w:rsidR="00AC4E71">
              <w:rPr>
                <w:rFonts w:asciiTheme="minorHAnsi" w:hAnsiTheme="minorHAnsi"/>
                <w:b/>
                <w:sz w:val="24"/>
              </w:rPr>
              <w:t>3</w:t>
            </w:r>
          </w:p>
        </w:tc>
        <w:tc>
          <w:tcPr>
            <w:tcW w:w="1440" w:type="dxa"/>
            <w:shd w:val="clear" w:color="auto" w:fill="auto"/>
          </w:tcPr>
          <w:p w14:paraId="2D774422" w14:textId="77777777" w:rsidR="00FC400F" w:rsidRPr="005F6261" w:rsidRDefault="00FC400F" w:rsidP="00C40881">
            <w:pPr>
              <w:pStyle w:val="BodyText2"/>
              <w:jc w:val="both"/>
              <w:rPr>
                <w:rFonts w:asciiTheme="minorHAnsi" w:hAnsiTheme="minorHAnsi"/>
                <w:b/>
                <w:sz w:val="22"/>
              </w:rPr>
            </w:pPr>
            <w:r w:rsidRPr="005F6261">
              <w:rPr>
                <w:rFonts w:asciiTheme="minorHAnsi" w:hAnsiTheme="minorHAnsi"/>
                <w:b/>
                <w:sz w:val="22"/>
              </w:rPr>
              <w:t>Total Expenditure</w:t>
            </w:r>
          </w:p>
        </w:tc>
        <w:tc>
          <w:tcPr>
            <w:tcW w:w="3960" w:type="dxa"/>
            <w:tcBorders>
              <w:left w:val="single" w:sz="4" w:space="0" w:color="auto"/>
            </w:tcBorders>
          </w:tcPr>
          <w:p w14:paraId="537DA2AB" w14:textId="77777777" w:rsidR="00FC400F" w:rsidRPr="005F6261" w:rsidRDefault="00FC400F" w:rsidP="00C40881">
            <w:pPr>
              <w:pStyle w:val="BodyText2"/>
              <w:jc w:val="both"/>
              <w:rPr>
                <w:rFonts w:asciiTheme="minorHAnsi" w:hAnsiTheme="minorHAnsi"/>
                <w:b/>
                <w:sz w:val="22"/>
              </w:rPr>
            </w:pPr>
            <w:r w:rsidRPr="005F6261">
              <w:rPr>
                <w:rFonts w:asciiTheme="minorHAnsi" w:hAnsiTheme="minorHAnsi"/>
                <w:b/>
                <w:sz w:val="22"/>
              </w:rPr>
              <w:t>Key Indicators of outcome (1-4 per outcome)</w:t>
            </w:r>
          </w:p>
        </w:tc>
        <w:tc>
          <w:tcPr>
            <w:tcW w:w="5490" w:type="dxa"/>
          </w:tcPr>
          <w:p w14:paraId="15D65D8E" w14:textId="77777777" w:rsidR="00FC400F" w:rsidRPr="005F6261" w:rsidRDefault="00FC400F" w:rsidP="00C40881">
            <w:pPr>
              <w:pStyle w:val="BodyText2"/>
              <w:jc w:val="both"/>
              <w:rPr>
                <w:rFonts w:asciiTheme="minorHAnsi" w:hAnsiTheme="minorHAnsi"/>
                <w:b/>
                <w:sz w:val="22"/>
              </w:rPr>
            </w:pPr>
            <w:r w:rsidRPr="005F6261">
              <w:rPr>
                <w:rFonts w:asciiTheme="minorHAnsi" w:hAnsiTheme="minorHAnsi"/>
                <w:b/>
                <w:sz w:val="22"/>
              </w:rPr>
              <w:t>Progress made against key indicators</w:t>
            </w:r>
          </w:p>
        </w:tc>
      </w:tr>
      <w:tr w:rsidR="00FC400F" w:rsidRPr="00DC7354" w14:paraId="23272F0B" w14:textId="77777777" w:rsidTr="00C40881">
        <w:tc>
          <w:tcPr>
            <w:tcW w:w="3150" w:type="dxa"/>
            <w:tcBorders>
              <w:bottom w:val="single" w:sz="4" w:space="0" w:color="auto"/>
            </w:tcBorders>
            <w:shd w:val="clear" w:color="auto" w:fill="95B3D7" w:themeFill="accent1" w:themeFillTint="99"/>
          </w:tcPr>
          <w:p w14:paraId="4CD80907" w14:textId="5C1A422F" w:rsidR="00FC400F" w:rsidRPr="000823AC" w:rsidRDefault="00857873" w:rsidP="00857873">
            <w:pPr>
              <w:pStyle w:val="BodyText2"/>
              <w:jc w:val="both"/>
              <w:rPr>
                <w:rFonts w:asciiTheme="minorHAnsi" w:hAnsiTheme="minorHAnsi"/>
                <w:b/>
              </w:rPr>
            </w:pPr>
            <w:r w:rsidRPr="00857873">
              <w:rPr>
                <w:rFonts w:asciiTheme="minorHAnsi" w:hAnsiTheme="minorHAnsi"/>
                <w:b/>
                <w:bCs/>
                <w:lang w:val="en-GB"/>
              </w:rPr>
              <w:t xml:space="preserve">UNDAF/Country programme Outcome 3: </w:t>
            </w:r>
            <w:r w:rsidRPr="00857873">
              <w:rPr>
                <w:rFonts w:asciiTheme="minorHAnsi" w:hAnsiTheme="minorHAnsi"/>
                <w:lang w:val="en-GB"/>
              </w:rPr>
              <w:t>Capacities of the health system and other relevant institutions for the promotion and implementation of policies and programmes to</w:t>
            </w:r>
            <w:r>
              <w:rPr>
                <w:rFonts w:asciiTheme="minorHAnsi" w:hAnsiTheme="minorHAnsi"/>
                <w:lang w:val="en-GB"/>
              </w:rPr>
              <w:t xml:space="preserve"> </w:t>
            </w:r>
            <w:r w:rsidRPr="00857873">
              <w:rPr>
                <w:rFonts w:asciiTheme="minorHAnsi" w:hAnsiTheme="minorHAnsi"/>
                <w:lang w:val="en-GB"/>
              </w:rPr>
              <w:t>reduce non-communicable and communicable diseases are strengthened. Related Strategic Plan focus areas: Poverty Reduction &amp; MDG achievement</w:t>
            </w:r>
          </w:p>
        </w:tc>
        <w:tc>
          <w:tcPr>
            <w:tcW w:w="1440" w:type="dxa"/>
            <w:tcBorders>
              <w:bottom w:val="single" w:sz="4" w:space="0" w:color="auto"/>
            </w:tcBorders>
            <w:shd w:val="clear" w:color="auto" w:fill="auto"/>
          </w:tcPr>
          <w:p w14:paraId="16DF295D" w14:textId="77777777" w:rsidR="00FC400F" w:rsidRPr="00DC7354" w:rsidRDefault="00FC400F" w:rsidP="00C40881">
            <w:pPr>
              <w:pStyle w:val="BodyText2"/>
              <w:jc w:val="both"/>
              <w:rPr>
                <w:rFonts w:asciiTheme="minorHAnsi" w:hAnsiTheme="minorHAnsi"/>
              </w:rPr>
            </w:pPr>
          </w:p>
        </w:tc>
        <w:tc>
          <w:tcPr>
            <w:tcW w:w="3960" w:type="dxa"/>
            <w:tcBorders>
              <w:left w:val="single" w:sz="4" w:space="0" w:color="auto"/>
              <w:bottom w:val="single" w:sz="4" w:space="0" w:color="auto"/>
            </w:tcBorders>
          </w:tcPr>
          <w:p w14:paraId="585BD642" w14:textId="5CB8F20C" w:rsidR="00857873" w:rsidRPr="00857873" w:rsidRDefault="00857873" w:rsidP="00857873">
            <w:pPr>
              <w:pStyle w:val="BodyText2"/>
              <w:jc w:val="both"/>
              <w:rPr>
                <w:rFonts w:asciiTheme="minorHAnsi" w:hAnsiTheme="minorHAnsi"/>
                <w:i/>
                <w:lang w:val="en-GB"/>
              </w:rPr>
            </w:pPr>
            <w:r w:rsidRPr="00857873">
              <w:rPr>
                <w:rFonts w:asciiTheme="minorHAnsi" w:hAnsiTheme="minorHAnsi"/>
                <w:b/>
                <w:bCs/>
                <w:i/>
                <w:lang w:val="en-GB"/>
              </w:rPr>
              <w:t xml:space="preserve">Indicator 3: </w:t>
            </w:r>
            <w:r w:rsidRPr="00857873">
              <w:rPr>
                <w:rFonts w:asciiTheme="minorHAnsi" w:hAnsiTheme="minorHAnsi"/>
                <w:i/>
                <w:lang w:val="en-GB"/>
              </w:rPr>
              <w:t>1. Percentage of</w:t>
            </w:r>
            <w:r>
              <w:rPr>
                <w:rFonts w:asciiTheme="minorHAnsi" w:hAnsiTheme="minorHAnsi"/>
                <w:i/>
                <w:lang w:val="en-GB"/>
              </w:rPr>
              <w:t xml:space="preserve"> </w:t>
            </w:r>
            <w:r w:rsidRPr="00857873">
              <w:rPr>
                <w:rFonts w:asciiTheme="minorHAnsi" w:hAnsiTheme="minorHAnsi"/>
                <w:i/>
                <w:lang w:val="en-GB"/>
              </w:rPr>
              <w:t>children under 5 and pregnant</w:t>
            </w:r>
            <w:r>
              <w:rPr>
                <w:rFonts w:asciiTheme="minorHAnsi" w:hAnsiTheme="minorHAnsi"/>
                <w:i/>
                <w:lang w:val="en-GB"/>
              </w:rPr>
              <w:t xml:space="preserve"> </w:t>
            </w:r>
            <w:r w:rsidRPr="00857873">
              <w:rPr>
                <w:rFonts w:asciiTheme="minorHAnsi" w:hAnsiTheme="minorHAnsi"/>
                <w:i/>
                <w:lang w:val="en-GB"/>
              </w:rPr>
              <w:t>women sleeping under insecticide</w:t>
            </w:r>
            <w:r>
              <w:rPr>
                <w:rFonts w:asciiTheme="minorHAnsi" w:hAnsiTheme="minorHAnsi"/>
                <w:i/>
                <w:lang w:val="en-GB"/>
              </w:rPr>
              <w:t xml:space="preserve"> </w:t>
            </w:r>
            <w:r w:rsidRPr="00857873">
              <w:rPr>
                <w:rFonts w:asciiTheme="minorHAnsi" w:hAnsiTheme="minorHAnsi"/>
                <w:i/>
                <w:lang w:val="en-GB"/>
              </w:rPr>
              <w:t>treated</w:t>
            </w:r>
            <w:r>
              <w:rPr>
                <w:rFonts w:asciiTheme="minorHAnsi" w:hAnsiTheme="minorHAnsi"/>
                <w:i/>
                <w:lang w:val="en-GB"/>
              </w:rPr>
              <w:t xml:space="preserve"> </w:t>
            </w:r>
            <w:r w:rsidRPr="00857873">
              <w:rPr>
                <w:rFonts w:asciiTheme="minorHAnsi" w:hAnsiTheme="minorHAnsi"/>
                <w:i/>
                <w:lang w:val="en-GB"/>
              </w:rPr>
              <w:t>nets; 2. Tuberculosis</w:t>
            </w:r>
            <w:r>
              <w:rPr>
                <w:rFonts w:asciiTheme="minorHAnsi" w:hAnsiTheme="minorHAnsi"/>
                <w:i/>
                <w:lang w:val="en-GB"/>
              </w:rPr>
              <w:t xml:space="preserve"> </w:t>
            </w:r>
            <w:r w:rsidRPr="00857873">
              <w:rPr>
                <w:rFonts w:asciiTheme="minorHAnsi" w:hAnsiTheme="minorHAnsi"/>
                <w:i/>
                <w:lang w:val="en-GB"/>
              </w:rPr>
              <w:t>treatment success rate; 3. Percentage</w:t>
            </w:r>
            <w:r>
              <w:rPr>
                <w:rFonts w:asciiTheme="minorHAnsi" w:hAnsiTheme="minorHAnsi"/>
                <w:i/>
                <w:lang w:val="en-GB"/>
              </w:rPr>
              <w:t xml:space="preserve"> </w:t>
            </w:r>
            <w:r w:rsidRPr="00857873">
              <w:rPr>
                <w:rFonts w:asciiTheme="minorHAnsi" w:hAnsiTheme="minorHAnsi"/>
                <w:i/>
                <w:lang w:val="en-GB"/>
              </w:rPr>
              <w:t>of injecting drug users reported to</w:t>
            </w:r>
            <w:r>
              <w:rPr>
                <w:rFonts w:asciiTheme="minorHAnsi" w:hAnsiTheme="minorHAnsi"/>
                <w:i/>
                <w:lang w:val="en-GB"/>
              </w:rPr>
              <w:t xml:space="preserve"> </w:t>
            </w:r>
            <w:r w:rsidRPr="00857873">
              <w:rPr>
                <w:rFonts w:asciiTheme="minorHAnsi" w:hAnsiTheme="minorHAnsi"/>
                <w:i/>
                <w:lang w:val="en-GB"/>
              </w:rPr>
              <w:t>use sterile injecting equipment</w:t>
            </w:r>
          </w:p>
          <w:p w14:paraId="28E95A5C" w14:textId="21FDA572" w:rsidR="00857873" w:rsidRPr="00857873" w:rsidRDefault="00857873" w:rsidP="00857873">
            <w:pPr>
              <w:pStyle w:val="BodyText2"/>
              <w:jc w:val="both"/>
              <w:rPr>
                <w:rFonts w:asciiTheme="minorHAnsi" w:hAnsiTheme="minorHAnsi"/>
                <w:i/>
                <w:lang w:val="en-GB"/>
              </w:rPr>
            </w:pPr>
            <w:r w:rsidRPr="00857873">
              <w:rPr>
                <w:rFonts w:asciiTheme="minorHAnsi" w:hAnsiTheme="minorHAnsi"/>
                <w:b/>
                <w:bCs/>
                <w:i/>
                <w:lang w:val="en-GB"/>
              </w:rPr>
              <w:t>Baseline</w:t>
            </w:r>
            <w:r w:rsidRPr="00857873">
              <w:rPr>
                <w:rFonts w:asciiTheme="minorHAnsi" w:hAnsiTheme="minorHAnsi"/>
                <w:i/>
                <w:lang w:val="en-GB"/>
              </w:rPr>
              <w:t>: 1. 40% end-2010; 2, 82%</w:t>
            </w:r>
            <w:r>
              <w:rPr>
                <w:rFonts w:asciiTheme="minorHAnsi" w:hAnsiTheme="minorHAnsi"/>
                <w:i/>
                <w:lang w:val="en-GB"/>
              </w:rPr>
              <w:t xml:space="preserve"> </w:t>
            </w:r>
            <w:r w:rsidRPr="00857873">
              <w:rPr>
                <w:rFonts w:asciiTheme="minorHAnsi" w:hAnsiTheme="minorHAnsi"/>
                <w:i/>
                <w:lang w:val="en-GB"/>
              </w:rPr>
              <w:t>in 2006; 3.74% in 2008</w:t>
            </w:r>
          </w:p>
          <w:p w14:paraId="0A4283C5" w14:textId="03BC7141" w:rsidR="00FC400F" w:rsidRPr="00920DBC" w:rsidRDefault="00857873" w:rsidP="00857873">
            <w:pPr>
              <w:pStyle w:val="BodyText2"/>
              <w:jc w:val="both"/>
              <w:rPr>
                <w:rFonts w:asciiTheme="minorHAnsi" w:hAnsiTheme="minorHAnsi"/>
                <w:i/>
              </w:rPr>
            </w:pPr>
            <w:r w:rsidRPr="00857873">
              <w:rPr>
                <w:rFonts w:asciiTheme="minorHAnsi" w:hAnsiTheme="minorHAnsi"/>
                <w:b/>
                <w:bCs/>
                <w:i/>
                <w:lang w:val="en-GB"/>
              </w:rPr>
              <w:t xml:space="preserve">Target: </w:t>
            </w:r>
            <w:r w:rsidRPr="00857873">
              <w:rPr>
                <w:rFonts w:asciiTheme="minorHAnsi" w:hAnsiTheme="minorHAnsi"/>
                <w:i/>
                <w:lang w:val="en-GB"/>
              </w:rPr>
              <w:t>100% of grant targets</w:t>
            </w:r>
            <w:r>
              <w:rPr>
                <w:rFonts w:asciiTheme="minorHAnsi" w:hAnsiTheme="minorHAnsi"/>
                <w:i/>
                <w:lang w:val="en-GB"/>
              </w:rPr>
              <w:t xml:space="preserve"> </w:t>
            </w:r>
            <w:r w:rsidRPr="00857873">
              <w:rPr>
                <w:rFonts w:asciiTheme="minorHAnsi" w:hAnsiTheme="minorHAnsi"/>
                <w:i/>
                <w:lang w:val="en-GB"/>
              </w:rPr>
              <w:t>achieved by end of each grant cycle</w:t>
            </w:r>
          </w:p>
        </w:tc>
        <w:tc>
          <w:tcPr>
            <w:tcW w:w="5490" w:type="dxa"/>
            <w:tcBorders>
              <w:bottom w:val="single" w:sz="4" w:space="0" w:color="auto"/>
            </w:tcBorders>
            <w:shd w:val="clear" w:color="auto" w:fill="auto"/>
          </w:tcPr>
          <w:p w14:paraId="58D254CE" w14:textId="77777777" w:rsidR="003135BB" w:rsidRPr="003135BB" w:rsidRDefault="003135BB" w:rsidP="00F20214">
            <w:pPr>
              <w:pStyle w:val="BodyText2"/>
              <w:numPr>
                <w:ilvl w:val="0"/>
                <w:numId w:val="5"/>
              </w:numPr>
              <w:ind w:left="504" w:hanging="425"/>
              <w:jc w:val="both"/>
              <w:rPr>
                <w:rFonts w:asciiTheme="minorHAnsi" w:hAnsiTheme="minorHAnsi"/>
              </w:rPr>
            </w:pPr>
            <w:r w:rsidRPr="003135BB">
              <w:rPr>
                <w:rFonts w:asciiTheme="minorHAnsi" w:hAnsiTheme="minorHAnsi"/>
              </w:rPr>
              <w:t>57.4% of children under-5 and 53.8% pregnant women used long-lasting insecticidal nets.</w:t>
            </w:r>
          </w:p>
          <w:p w14:paraId="180C5AA6" w14:textId="77777777" w:rsidR="003135BB" w:rsidRPr="003135BB" w:rsidRDefault="003135BB" w:rsidP="00F20214">
            <w:pPr>
              <w:pStyle w:val="BodyText2"/>
              <w:numPr>
                <w:ilvl w:val="0"/>
                <w:numId w:val="5"/>
              </w:numPr>
              <w:ind w:left="504" w:hanging="425"/>
              <w:jc w:val="both"/>
              <w:rPr>
                <w:rFonts w:asciiTheme="minorHAnsi" w:hAnsiTheme="minorHAnsi"/>
              </w:rPr>
            </w:pPr>
            <w:r w:rsidRPr="003135BB">
              <w:rPr>
                <w:rFonts w:asciiTheme="minorHAnsi" w:hAnsiTheme="minorHAnsi"/>
              </w:rPr>
              <w:t>TB treatment success rate; (Not applicable as the TB project was closed in 2014).</w:t>
            </w:r>
          </w:p>
          <w:p w14:paraId="2CFE56CA" w14:textId="77777777" w:rsidR="003135BB" w:rsidRPr="003135BB" w:rsidRDefault="003135BB" w:rsidP="00F20214">
            <w:pPr>
              <w:pStyle w:val="BodyText2"/>
              <w:numPr>
                <w:ilvl w:val="0"/>
                <w:numId w:val="5"/>
              </w:numPr>
              <w:ind w:left="504" w:hanging="425"/>
              <w:jc w:val="both"/>
              <w:rPr>
                <w:rFonts w:asciiTheme="minorHAnsi" w:hAnsiTheme="minorHAnsi"/>
              </w:rPr>
            </w:pPr>
            <w:r w:rsidRPr="003135BB">
              <w:rPr>
                <w:rFonts w:asciiTheme="minorHAnsi" w:hAnsiTheme="minorHAnsi"/>
              </w:rPr>
              <w:t>91.72% IDUs used sterile equipment (Based on the GARPR 2014).</w:t>
            </w:r>
          </w:p>
          <w:p w14:paraId="2A897A9B" w14:textId="77777777" w:rsidR="00FC400F" w:rsidRDefault="00FC400F" w:rsidP="00C40881">
            <w:pPr>
              <w:pStyle w:val="BodyText2"/>
              <w:jc w:val="both"/>
              <w:rPr>
                <w:rFonts w:asciiTheme="minorHAnsi" w:hAnsiTheme="minorHAnsi"/>
              </w:rPr>
            </w:pPr>
          </w:p>
          <w:p w14:paraId="34C5CBC6" w14:textId="0504A16F" w:rsidR="00CE306F" w:rsidRPr="00CE306F" w:rsidRDefault="00CE306F" w:rsidP="009A61F9">
            <w:pPr>
              <w:pStyle w:val="BodyText2"/>
              <w:jc w:val="both"/>
              <w:rPr>
                <w:rFonts w:asciiTheme="minorHAnsi" w:hAnsiTheme="minorHAnsi"/>
              </w:rPr>
            </w:pPr>
            <w:r>
              <w:rPr>
                <w:rFonts w:asciiTheme="minorHAnsi" w:hAnsiTheme="minorHAnsi"/>
              </w:rPr>
              <w:t>Targets have been met or exceeded.  GFTAM assessments of Iran’s performance have been either ‘exceeding</w:t>
            </w:r>
            <w:r w:rsidR="009A61F9">
              <w:rPr>
                <w:rFonts w:asciiTheme="minorHAnsi" w:hAnsiTheme="minorHAnsi"/>
              </w:rPr>
              <w:t xml:space="preserve"> expectations</w:t>
            </w:r>
            <w:r>
              <w:rPr>
                <w:rFonts w:asciiTheme="minorHAnsi" w:hAnsiTheme="minorHAnsi"/>
              </w:rPr>
              <w:t>’ or ‘</w:t>
            </w:r>
            <w:r w:rsidR="009A61F9">
              <w:rPr>
                <w:rFonts w:asciiTheme="minorHAnsi" w:hAnsiTheme="minorHAnsi"/>
              </w:rPr>
              <w:t>sat</w:t>
            </w:r>
            <w:r w:rsidR="005F7183">
              <w:rPr>
                <w:rFonts w:asciiTheme="minorHAnsi" w:hAnsiTheme="minorHAnsi"/>
              </w:rPr>
              <w:t>i</w:t>
            </w:r>
            <w:r w:rsidR="009A61F9">
              <w:rPr>
                <w:rFonts w:asciiTheme="minorHAnsi" w:hAnsiTheme="minorHAnsi"/>
              </w:rPr>
              <w:t>sfactory’</w:t>
            </w:r>
            <w:r>
              <w:rPr>
                <w:rFonts w:asciiTheme="minorHAnsi" w:hAnsiTheme="minorHAnsi"/>
              </w:rPr>
              <w:t xml:space="preserve">. </w:t>
            </w:r>
          </w:p>
        </w:tc>
      </w:tr>
      <w:tr w:rsidR="00700521" w:rsidRPr="00DC7354" w14:paraId="2869F824" w14:textId="77777777" w:rsidTr="009E7526">
        <w:tc>
          <w:tcPr>
            <w:tcW w:w="14040" w:type="dxa"/>
            <w:gridSpan w:val="4"/>
          </w:tcPr>
          <w:p w14:paraId="2869F820" w14:textId="3EFE4C67" w:rsidR="00700521" w:rsidRPr="00FC400F" w:rsidRDefault="00700521" w:rsidP="00E74058">
            <w:pPr>
              <w:pStyle w:val="BodyText2"/>
              <w:jc w:val="both"/>
              <w:rPr>
                <w:rFonts w:asciiTheme="minorHAnsi" w:hAnsiTheme="minorHAnsi"/>
                <w:b/>
                <w:sz w:val="24"/>
              </w:rPr>
            </w:pPr>
            <w:r w:rsidRPr="00FC400F">
              <w:rPr>
                <w:rFonts w:asciiTheme="minorHAnsi" w:hAnsiTheme="minorHAnsi"/>
                <w:b/>
                <w:sz w:val="24"/>
              </w:rPr>
              <w:t>UNDP Contribution:</w:t>
            </w:r>
          </w:p>
          <w:p w14:paraId="4696E08F" w14:textId="77777777" w:rsidR="00694F35" w:rsidRDefault="00694F35" w:rsidP="00E74058">
            <w:pPr>
              <w:pStyle w:val="BodyText2"/>
              <w:jc w:val="both"/>
              <w:rPr>
                <w:rFonts w:asciiTheme="minorHAnsi" w:hAnsiTheme="minorHAnsi"/>
              </w:rPr>
            </w:pPr>
          </w:p>
          <w:p w14:paraId="6B00D9C3" w14:textId="2E748173" w:rsidR="00694F35" w:rsidRPr="0052724C" w:rsidRDefault="00694F35" w:rsidP="00E74058">
            <w:pPr>
              <w:pStyle w:val="BodyText2"/>
              <w:jc w:val="both"/>
              <w:rPr>
                <w:rFonts w:asciiTheme="minorHAnsi" w:hAnsiTheme="minorHAnsi"/>
                <w:sz w:val="24"/>
              </w:rPr>
            </w:pPr>
            <w:r w:rsidRPr="0052724C">
              <w:rPr>
                <w:rFonts w:asciiTheme="minorHAnsi" w:hAnsiTheme="minorHAnsi"/>
                <w:sz w:val="24"/>
                <w:u w:val="single"/>
              </w:rPr>
              <w:t>CP Outputs</w:t>
            </w:r>
            <w:r w:rsidRPr="0052724C">
              <w:rPr>
                <w:rFonts w:asciiTheme="minorHAnsi" w:hAnsiTheme="minorHAnsi"/>
                <w:sz w:val="24"/>
              </w:rPr>
              <w:t>:</w:t>
            </w:r>
          </w:p>
          <w:p w14:paraId="5A8FA48E" w14:textId="718967BA" w:rsidR="0052724C" w:rsidRDefault="00AC4E71" w:rsidP="00AC4E71">
            <w:pPr>
              <w:pStyle w:val="BodyText2"/>
              <w:jc w:val="both"/>
              <w:rPr>
                <w:rFonts w:asciiTheme="minorHAnsi" w:hAnsiTheme="minorHAnsi"/>
                <w:lang w:val="en-GB"/>
              </w:rPr>
            </w:pPr>
            <w:r w:rsidRPr="00AC4E71">
              <w:rPr>
                <w:rFonts w:asciiTheme="minorHAnsi" w:hAnsiTheme="minorHAnsi"/>
                <w:lang w:val="en-GB"/>
              </w:rPr>
              <w:t>UNDP, as principal</w:t>
            </w:r>
            <w:r>
              <w:rPr>
                <w:rFonts w:asciiTheme="minorHAnsi" w:hAnsiTheme="minorHAnsi"/>
                <w:lang w:val="en-GB"/>
              </w:rPr>
              <w:t xml:space="preserve"> </w:t>
            </w:r>
            <w:r w:rsidRPr="00AC4E71">
              <w:rPr>
                <w:rFonts w:asciiTheme="minorHAnsi" w:hAnsiTheme="minorHAnsi"/>
                <w:lang w:val="en-GB"/>
              </w:rPr>
              <w:t>recipient, to deliver</w:t>
            </w:r>
            <w:r>
              <w:rPr>
                <w:rFonts w:asciiTheme="minorHAnsi" w:hAnsiTheme="minorHAnsi"/>
                <w:lang w:val="en-GB"/>
              </w:rPr>
              <w:t xml:space="preserve"> </w:t>
            </w:r>
            <w:r w:rsidRPr="00AC4E71">
              <w:rPr>
                <w:rFonts w:asciiTheme="minorHAnsi" w:hAnsiTheme="minorHAnsi"/>
                <w:lang w:val="en-GB"/>
              </w:rPr>
              <w:t>the programmes</w:t>
            </w:r>
            <w:r>
              <w:rPr>
                <w:rFonts w:asciiTheme="minorHAnsi" w:hAnsiTheme="minorHAnsi"/>
                <w:lang w:val="en-GB"/>
              </w:rPr>
              <w:t xml:space="preserve"> </w:t>
            </w:r>
            <w:r w:rsidRPr="00AC4E71">
              <w:rPr>
                <w:rFonts w:asciiTheme="minorHAnsi" w:hAnsiTheme="minorHAnsi"/>
                <w:lang w:val="en-GB"/>
              </w:rPr>
              <w:t>under GFATM</w:t>
            </w:r>
            <w:r>
              <w:rPr>
                <w:rFonts w:asciiTheme="minorHAnsi" w:hAnsiTheme="minorHAnsi"/>
                <w:lang w:val="en-GB"/>
              </w:rPr>
              <w:t xml:space="preserve"> </w:t>
            </w:r>
            <w:r w:rsidRPr="00AC4E71">
              <w:rPr>
                <w:rFonts w:asciiTheme="minorHAnsi" w:hAnsiTheme="minorHAnsi"/>
                <w:lang w:val="en-GB"/>
              </w:rPr>
              <w:t>grants for</w:t>
            </w:r>
            <w:r>
              <w:rPr>
                <w:rFonts w:asciiTheme="minorHAnsi" w:hAnsiTheme="minorHAnsi"/>
                <w:lang w:val="en-GB"/>
              </w:rPr>
              <w:t xml:space="preserve"> </w:t>
            </w:r>
            <w:r w:rsidRPr="00AC4E71">
              <w:rPr>
                <w:rFonts w:asciiTheme="minorHAnsi" w:hAnsiTheme="minorHAnsi"/>
                <w:lang w:val="en-GB"/>
              </w:rPr>
              <w:t>HIV/AIDS, malaria</w:t>
            </w:r>
            <w:r>
              <w:rPr>
                <w:rFonts w:asciiTheme="minorHAnsi" w:hAnsiTheme="minorHAnsi"/>
                <w:lang w:val="en-GB"/>
              </w:rPr>
              <w:t xml:space="preserve"> </w:t>
            </w:r>
            <w:r w:rsidRPr="00AC4E71">
              <w:rPr>
                <w:rFonts w:asciiTheme="minorHAnsi" w:hAnsiTheme="minorHAnsi"/>
                <w:lang w:val="en-GB"/>
              </w:rPr>
              <w:t>and tuberculosis in</w:t>
            </w:r>
            <w:r>
              <w:rPr>
                <w:rFonts w:asciiTheme="minorHAnsi" w:hAnsiTheme="minorHAnsi"/>
                <w:lang w:val="en-GB"/>
              </w:rPr>
              <w:t xml:space="preserve"> </w:t>
            </w:r>
            <w:r w:rsidRPr="00AC4E71">
              <w:rPr>
                <w:rFonts w:asciiTheme="minorHAnsi" w:hAnsiTheme="minorHAnsi"/>
                <w:lang w:val="en-GB"/>
              </w:rPr>
              <w:t>partnership with</w:t>
            </w:r>
            <w:r>
              <w:rPr>
                <w:rFonts w:asciiTheme="minorHAnsi" w:hAnsiTheme="minorHAnsi"/>
                <w:lang w:val="en-GB"/>
              </w:rPr>
              <w:t xml:space="preserve"> </w:t>
            </w:r>
            <w:r w:rsidRPr="00AC4E71">
              <w:rPr>
                <w:rFonts w:asciiTheme="minorHAnsi" w:hAnsiTheme="minorHAnsi"/>
                <w:lang w:val="en-GB"/>
              </w:rPr>
              <w:t>Government to</w:t>
            </w:r>
            <w:r>
              <w:rPr>
                <w:rFonts w:asciiTheme="minorHAnsi" w:hAnsiTheme="minorHAnsi"/>
                <w:lang w:val="en-GB"/>
              </w:rPr>
              <w:t xml:space="preserve"> </w:t>
            </w:r>
            <w:r w:rsidRPr="00AC4E71">
              <w:rPr>
                <w:rFonts w:asciiTheme="minorHAnsi" w:hAnsiTheme="minorHAnsi"/>
                <w:lang w:val="en-GB"/>
              </w:rPr>
              <w:t>facilitate the</w:t>
            </w:r>
            <w:r>
              <w:rPr>
                <w:rFonts w:asciiTheme="minorHAnsi" w:hAnsiTheme="minorHAnsi"/>
                <w:lang w:val="en-GB"/>
              </w:rPr>
              <w:t xml:space="preserve"> </w:t>
            </w:r>
            <w:r w:rsidRPr="00AC4E71">
              <w:rPr>
                <w:rFonts w:asciiTheme="minorHAnsi" w:hAnsiTheme="minorHAnsi"/>
                <w:lang w:val="en-GB"/>
              </w:rPr>
              <w:t>achieving of the</w:t>
            </w:r>
            <w:r>
              <w:rPr>
                <w:rFonts w:asciiTheme="minorHAnsi" w:hAnsiTheme="minorHAnsi"/>
                <w:lang w:val="en-GB"/>
              </w:rPr>
              <w:t xml:space="preserve"> </w:t>
            </w:r>
            <w:r w:rsidRPr="00AC4E71">
              <w:rPr>
                <w:rFonts w:asciiTheme="minorHAnsi" w:hAnsiTheme="minorHAnsi"/>
                <w:lang w:val="en-GB"/>
              </w:rPr>
              <w:t>NSP.</w:t>
            </w:r>
          </w:p>
          <w:p w14:paraId="2B30285E" w14:textId="77777777" w:rsidR="00AC4E71" w:rsidRPr="00B62C4A" w:rsidRDefault="00AC4E71" w:rsidP="00AC4E71">
            <w:pPr>
              <w:pStyle w:val="BodyText2"/>
              <w:jc w:val="both"/>
              <w:rPr>
                <w:rFonts w:asciiTheme="minorHAnsi" w:hAnsiTheme="minorHAnsi"/>
              </w:rPr>
            </w:pPr>
          </w:p>
          <w:p w14:paraId="1F010093" w14:textId="77777777" w:rsidR="00694F35" w:rsidRPr="0052724C" w:rsidRDefault="00694F35" w:rsidP="00E74058">
            <w:pPr>
              <w:pStyle w:val="BodyText2"/>
              <w:jc w:val="both"/>
              <w:rPr>
                <w:rFonts w:asciiTheme="minorHAnsi" w:hAnsiTheme="minorHAnsi"/>
                <w:sz w:val="24"/>
              </w:rPr>
            </w:pPr>
            <w:r w:rsidRPr="0052724C">
              <w:rPr>
                <w:rFonts w:asciiTheme="minorHAnsi" w:hAnsiTheme="minorHAnsi"/>
                <w:sz w:val="24"/>
                <w:u w:val="single"/>
              </w:rPr>
              <w:t>Progress and Achievements</w:t>
            </w:r>
            <w:r w:rsidRPr="0052724C">
              <w:rPr>
                <w:rFonts w:asciiTheme="minorHAnsi" w:hAnsiTheme="minorHAnsi"/>
                <w:sz w:val="24"/>
              </w:rPr>
              <w:t>:</w:t>
            </w:r>
          </w:p>
          <w:p w14:paraId="333B87B3" w14:textId="4F621236" w:rsidR="00451CCA" w:rsidRPr="00451CCA" w:rsidRDefault="00451CCA" w:rsidP="00451CCA">
            <w:pPr>
              <w:pStyle w:val="BodyText2"/>
              <w:rPr>
                <w:rFonts w:asciiTheme="minorHAnsi" w:hAnsiTheme="minorHAnsi"/>
                <w:bCs/>
              </w:rPr>
            </w:pPr>
            <w:r w:rsidRPr="00451CCA">
              <w:rPr>
                <w:rFonts w:asciiTheme="minorHAnsi" w:hAnsiTheme="minorHAnsi"/>
                <w:bCs/>
              </w:rPr>
              <w:t>In its role as the Principal Recipient of the Global Fund resources as well as a member of the Joint UN Team on HIV/AIDS, UNDP contributed to the development of the 4</w:t>
            </w:r>
            <w:r w:rsidRPr="00451CCA">
              <w:rPr>
                <w:rFonts w:asciiTheme="minorHAnsi" w:hAnsiTheme="minorHAnsi"/>
                <w:bCs/>
                <w:vertAlign w:val="superscript"/>
              </w:rPr>
              <w:t>th</w:t>
            </w:r>
            <w:r w:rsidRPr="00451CCA">
              <w:rPr>
                <w:rFonts w:asciiTheme="minorHAnsi" w:hAnsiTheme="minorHAnsi"/>
                <w:bCs/>
              </w:rPr>
              <w:t xml:space="preserve"> National Strategic Plan (NSP4) on HIV/AIDS in March 2015. </w:t>
            </w:r>
            <w:r>
              <w:rPr>
                <w:rFonts w:asciiTheme="minorHAnsi" w:hAnsiTheme="minorHAnsi"/>
                <w:bCs/>
              </w:rPr>
              <w:t xml:space="preserve"> This set the ground for subsequent</w:t>
            </w:r>
            <w:r w:rsidRPr="00451CCA">
              <w:rPr>
                <w:rFonts w:asciiTheme="minorHAnsi" w:hAnsiTheme="minorHAnsi"/>
                <w:bCs/>
              </w:rPr>
              <w:t xml:space="preserve"> submission and approval of Iran’s HIV grant request to the Global Fund thus maintaining the continuit</w:t>
            </w:r>
            <w:r>
              <w:rPr>
                <w:rFonts w:asciiTheme="minorHAnsi" w:hAnsiTheme="minorHAnsi"/>
                <w:bCs/>
              </w:rPr>
              <w:t>y of life-saving services to</w:t>
            </w:r>
            <w:r w:rsidRPr="00451CCA">
              <w:rPr>
                <w:rFonts w:asciiTheme="minorHAnsi" w:hAnsiTheme="minorHAnsi"/>
                <w:bCs/>
              </w:rPr>
              <w:t xml:space="preserve"> people living with HIV.  Moreover, the NSP was further revised in July 2015 to adopt the new global strategy for elimination of AIDS epidemic by 2030.  The latter revision will help Iran to keep pace with the internat</w:t>
            </w:r>
            <w:r>
              <w:rPr>
                <w:rFonts w:asciiTheme="minorHAnsi" w:hAnsiTheme="minorHAnsi"/>
                <w:bCs/>
              </w:rPr>
              <w:t>ional fight against the disease</w:t>
            </w:r>
            <w:r w:rsidRPr="00451CCA">
              <w:rPr>
                <w:rFonts w:asciiTheme="minorHAnsi" w:hAnsiTheme="minorHAnsi"/>
                <w:bCs/>
              </w:rPr>
              <w:t xml:space="preserve">.   WHO and UNAIDS provided </w:t>
            </w:r>
            <w:r>
              <w:rPr>
                <w:rFonts w:asciiTheme="minorHAnsi" w:hAnsiTheme="minorHAnsi"/>
                <w:bCs/>
              </w:rPr>
              <w:t xml:space="preserve">essential </w:t>
            </w:r>
            <w:r w:rsidRPr="00451CCA">
              <w:rPr>
                <w:rFonts w:asciiTheme="minorHAnsi" w:hAnsiTheme="minorHAnsi"/>
                <w:bCs/>
              </w:rPr>
              <w:t>technical support.</w:t>
            </w:r>
          </w:p>
          <w:p w14:paraId="0DD1BCD1" w14:textId="77777777" w:rsidR="00451CCA" w:rsidRPr="00451CCA" w:rsidRDefault="00451CCA" w:rsidP="00451CCA">
            <w:pPr>
              <w:pStyle w:val="BodyText2"/>
              <w:rPr>
                <w:rFonts w:asciiTheme="minorHAnsi" w:hAnsiTheme="minorHAnsi"/>
                <w:bCs/>
              </w:rPr>
            </w:pPr>
            <w:r w:rsidRPr="00451CCA">
              <w:rPr>
                <w:rFonts w:asciiTheme="minorHAnsi" w:hAnsiTheme="minorHAnsi"/>
                <w:bCs/>
              </w:rPr>
              <w:t xml:space="preserve">During 2015, reported service delivery results include [Project Progress Update Reports]: </w:t>
            </w:r>
          </w:p>
          <w:p w14:paraId="424548C9" w14:textId="77777777" w:rsidR="00451CCA" w:rsidRPr="00451CCA" w:rsidRDefault="00451CCA" w:rsidP="00451CCA">
            <w:pPr>
              <w:pStyle w:val="BodyText2"/>
              <w:numPr>
                <w:ilvl w:val="0"/>
                <w:numId w:val="2"/>
              </w:numPr>
              <w:rPr>
                <w:rFonts w:asciiTheme="minorHAnsi" w:hAnsiTheme="minorHAnsi"/>
                <w:bCs/>
              </w:rPr>
            </w:pPr>
            <w:r w:rsidRPr="00451CCA">
              <w:rPr>
                <w:rFonts w:asciiTheme="minorHAnsi" w:hAnsiTheme="minorHAnsi"/>
                <w:bCs/>
              </w:rPr>
              <w:t xml:space="preserve">27,348 men and 6,564 women most at risk of HIV were provided with Harm Reduction services </w:t>
            </w:r>
          </w:p>
          <w:p w14:paraId="77061CF6" w14:textId="77777777" w:rsidR="00451CCA" w:rsidRPr="00451CCA" w:rsidRDefault="00451CCA" w:rsidP="00451CCA">
            <w:pPr>
              <w:pStyle w:val="BodyText2"/>
              <w:numPr>
                <w:ilvl w:val="0"/>
                <w:numId w:val="2"/>
              </w:numPr>
              <w:rPr>
                <w:rFonts w:asciiTheme="minorHAnsi" w:hAnsiTheme="minorHAnsi"/>
                <w:bCs/>
              </w:rPr>
            </w:pPr>
            <w:r w:rsidRPr="00451CCA">
              <w:rPr>
                <w:rFonts w:asciiTheme="minorHAnsi" w:hAnsiTheme="minorHAnsi"/>
                <w:bCs/>
              </w:rPr>
              <w:t xml:space="preserve">ARV coverage was provided to 4,756 men (132 children, 4,624 adults) and 1903 women (104 children, 1,799 adults). </w:t>
            </w:r>
          </w:p>
          <w:p w14:paraId="4091F052" w14:textId="77777777" w:rsidR="00451CCA" w:rsidRPr="00451CCA" w:rsidRDefault="00451CCA" w:rsidP="00451CCA">
            <w:pPr>
              <w:pStyle w:val="BodyText2"/>
              <w:numPr>
                <w:ilvl w:val="0"/>
                <w:numId w:val="2"/>
              </w:numPr>
              <w:rPr>
                <w:rFonts w:asciiTheme="minorHAnsi" w:hAnsiTheme="minorHAnsi"/>
                <w:bCs/>
              </w:rPr>
            </w:pPr>
            <w:r w:rsidRPr="00451CCA">
              <w:rPr>
                <w:rFonts w:asciiTheme="minorHAnsi" w:hAnsiTheme="minorHAnsi"/>
                <w:bCs/>
              </w:rPr>
              <w:t>91.72% IDUs applied safe injection practices.</w:t>
            </w:r>
          </w:p>
          <w:p w14:paraId="39BD434B" w14:textId="77777777" w:rsidR="00451CCA" w:rsidRPr="00451CCA" w:rsidRDefault="00451CCA" w:rsidP="00451CCA">
            <w:pPr>
              <w:pStyle w:val="BodyText2"/>
              <w:rPr>
                <w:rFonts w:asciiTheme="minorHAnsi" w:hAnsiTheme="minorHAnsi"/>
                <w:bCs/>
              </w:rPr>
            </w:pPr>
          </w:p>
          <w:p w14:paraId="2CCB755B" w14:textId="0061716C" w:rsidR="00451CCA" w:rsidRPr="00451CCA" w:rsidRDefault="00451CCA" w:rsidP="00451CCA">
            <w:pPr>
              <w:pStyle w:val="BodyText2"/>
              <w:rPr>
                <w:rFonts w:asciiTheme="minorHAnsi" w:hAnsiTheme="minorHAnsi"/>
                <w:bCs/>
              </w:rPr>
            </w:pPr>
            <w:r w:rsidRPr="00451CCA">
              <w:rPr>
                <w:rFonts w:asciiTheme="minorHAnsi" w:hAnsiTheme="minorHAnsi"/>
                <w:bCs/>
              </w:rPr>
              <w:t xml:space="preserve">Iran was </w:t>
            </w:r>
            <w:r>
              <w:rPr>
                <w:rFonts w:asciiTheme="minorHAnsi" w:hAnsiTheme="minorHAnsi"/>
                <w:bCs/>
              </w:rPr>
              <w:t xml:space="preserve">also </w:t>
            </w:r>
            <w:r w:rsidRPr="00451CCA">
              <w:rPr>
                <w:rFonts w:asciiTheme="minorHAnsi" w:hAnsiTheme="minorHAnsi"/>
                <w:bCs/>
              </w:rPr>
              <w:t xml:space="preserve">assisted to implement its Malaria Elimination Plan successfully as reflected in the following CPD indicators: </w:t>
            </w:r>
          </w:p>
          <w:p w14:paraId="1461E71F" w14:textId="77777777" w:rsidR="00451CCA" w:rsidRPr="00451CCA" w:rsidRDefault="00451CCA" w:rsidP="00451CCA">
            <w:pPr>
              <w:pStyle w:val="BodyText2"/>
              <w:numPr>
                <w:ilvl w:val="0"/>
                <w:numId w:val="2"/>
              </w:numPr>
              <w:rPr>
                <w:rFonts w:asciiTheme="minorHAnsi" w:hAnsiTheme="minorHAnsi"/>
                <w:bCs/>
              </w:rPr>
            </w:pPr>
            <w:r w:rsidRPr="00451CCA">
              <w:rPr>
                <w:rFonts w:asciiTheme="minorHAnsi" w:hAnsiTheme="minorHAnsi"/>
                <w:bCs/>
              </w:rPr>
              <w:t xml:space="preserve">54% reduction in the number of autochthonous malaria cases was materialized; </w:t>
            </w:r>
          </w:p>
          <w:p w14:paraId="0AEC598C" w14:textId="77777777" w:rsidR="00451CCA" w:rsidRPr="00451CCA" w:rsidRDefault="00451CCA" w:rsidP="00451CCA">
            <w:pPr>
              <w:pStyle w:val="BodyText2"/>
              <w:numPr>
                <w:ilvl w:val="0"/>
                <w:numId w:val="2"/>
              </w:numPr>
              <w:rPr>
                <w:rFonts w:asciiTheme="minorHAnsi" w:hAnsiTheme="minorHAnsi"/>
                <w:bCs/>
              </w:rPr>
            </w:pPr>
            <w:r w:rsidRPr="00451CCA">
              <w:rPr>
                <w:rFonts w:asciiTheme="minorHAnsi" w:hAnsiTheme="minorHAnsi"/>
                <w:bCs/>
              </w:rPr>
              <w:t xml:space="preserve">57.4% of children and 53.8% of pregnant women in malaria prone areas used LLINs as a preventive measure against malaria.  </w:t>
            </w:r>
          </w:p>
          <w:p w14:paraId="2833F5B3" w14:textId="77777777" w:rsidR="00451CCA" w:rsidRPr="00451CCA" w:rsidRDefault="00451CCA" w:rsidP="00451CCA">
            <w:pPr>
              <w:pStyle w:val="BodyText2"/>
              <w:rPr>
                <w:rFonts w:asciiTheme="minorHAnsi" w:hAnsiTheme="minorHAnsi"/>
                <w:bCs/>
              </w:rPr>
            </w:pPr>
          </w:p>
          <w:p w14:paraId="6C65A373" w14:textId="0405201B" w:rsidR="00451CCA" w:rsidRPr="00451CCA" w:rsidRDefault="00451CCA" w:rsidP="00451CCA">
            <w:pPr>
              <w:pStyle w:val="BodyText2"/>
              <w:rPr>
                <w:rFonts w:asciiTheme="minorHAnsi" w:hAnsiTheme="minorHAnsi"/>
              </w:rPr>
            </w:pPr>
            <w:r w:rsidRPr="00451CCA">
              <w:rPr>
                <w:rFonts w:asciiTheme="minorHAnsi" w:hAnsiTheme="minorHAnsi"/>
              </w:rPr>
              <w:lastRenderedPageBreak/>
              <w:t>A</w:t>
            </w:r>
            <w:r>
              <w:rPr>
                <w:rFonts w:asciiTheme="minorHAnsi" w:hAnsiTheme="minorHAnsi"/>
              </w:rPr>
              <w:t xml:space="preserve"> major result</w:t>
            </w:r>
            <w:r w:rsidRPr="00451CCA">
              <w:rPr>
                <w:rFonts w:asciiTheme="minorHAnsi" w:hAnsiTheme="minorHAnsi"/>
              </w:rPr>
              <w:t xml:space="preserve"> was the technical and procedural support provided to the process of updating the National Malaria Elimination Plan. The first ever malaria vector resistance study was </w:t>
            </w:r>
            <w:r>
              <w:rPr>
                <w:rFonts w:asciiTheme="minorHAnsi" w:hAnsiTheme="minorHAnsi"/>
              </w:rPr>
              <w:t xml:space="preserve">also </w:t>
            </w:r>
            <w:r w:rsidRPr="00451CCA">
              <w:rPr>
                <w:rFonts w:asciiTheme="minorHAnsi" w:hAnsiTheme="minorHAnsi"/>
              </w:rPr>
              <w:t xml:space="preserve">carried out in 2015 with the support of UNDP. </w:t>
            </w:r>
          </w:p>
          <w:p w14:paraId="123C614D" w14:textId="77777777" w:rsidR="00451CCA" w:rsidRPr="00451CCA" w:rsidRDefault="00451CCA" w:rsidP="00451CCA">
            <w:pPr>
              <w:pStyle w:val="BodyText2"/>
              <w:rPr>
                <w:rFonts w:asciiTheme="minorHAnsi" w:hAnsiTheme="minorHAnsi"/>
                <w:bCs/>
              </w:rPr>
            </w:pPr>
          </w:p>
          <w:p w14:paraId="316D7774" w14:textId="77777777" w:rsidR="00451CCA" w:rsidRPr="00451CCA" w:rsidRDefault="00451CCA" w:rsidP="00451CCA">
            <w:pPr>
              <w:pStyle w:val="BodyText2"/>
              <w:rPr>
                <w:rFonts w:asciiTheme="minorHAnsi" w:hAnsiTheme="minorHAnsi"/>
                <w:bCs/>
              </w:rPr>
            </w:pPr>
            <w:r w:rsidRPr="00451CCA">
              <w:rPr>
                <w:rFonts w:asciiTheme="minorHAnsi" w:hAnsiTheme="minorHAnsi"/>
                <w:bCs/>
              </w:rPr>
              <w:t xml:space="preserve">The Malaria early warning system was developed and passive case identification was strengthened, with cross-border surveillance providing service to 17,294 persons crossing the borders.  The National Malaria Information System was developed and rendered operational with the financial and technical support of UNDP’ Global Fund project.  The system provides nation-wide coverage. Capacity assistance for malaria prevention, as well as timely identification, registration and treatment of malaria patients were provided to the national counterparts. </w:t>
            </w:r>
          </w:p>
          <w:p w14:paraId="4F8C649F" w14:textId="77777777" w:rsidR="00451CCA" w:rsidRPr="00451CCA" w:rsidRDefault="00451CCA" w:rsidP="00451CCA">
            <w:pPr>
              <w:pStyle w:val="BodyText2"/>
              <w:rPr>
                <w:rFonts w:asciiTheme="minorHAnsi" w:hAnsiTheme="minorHAnsi"/>
                <w:bCs/>
              </w:rPr>
            </w:pPr>
          </w:p>
          <w:p w14:paraId="4DB7E4D3" w14:textId="291D8B29" w:rsidR="00451CCA" w:rsidRPr="00451CCA" w:rsidRDefault="00451CCA" w:rsidP="00451CCA">
            <w:pPr>
              <w:pStyle w:val="BodyText2"/>
              <w:rPr>
                <w:rFonts w:asciiTheme="minorHAnsi" w:hAnsiTheme="minorHAnsi"/>
              </w:rPr>
            </w:pPr>
            <w:r w:rsidRPr="00451CCA">
              <w:rPr>
                <w:rFonts w:asciiTheme="minorHAnsi" w:hAnsiTheme="minorHAnsi"/>
                <w:bCs/>
              </w:rPr>
              <w:t>UNDP has provided programmatic and administrative support to the Global Fund Country Coordinating Mechanism (CCM) to (i) continue functioning as the highest oversight body of the GF grants; and (ii) to submit to – and receive approval of – the Global Fund on 2 new grants in 2015, i.e. the HIV-NFM grant and the 5</w:t>
            </w:r>
            <w:r w:rsidRPr="00451CCA">
              <w:rPr>
                <w:rFonts w:asciiTheme="minorHAnsi" w:hAnsiTheme="minorHAnsi"/>
                <w:bCs/>
                <w:vertAlign w:val="superscript"/>
              </w:rPr>
              <w:t>th</w:t>
            </w:r>
            <w:r w:rsidRPr="00451CCA">
              <w:rPr>
                <w:rFonts w:asciiTheme="minorHAnsi" w:hAnsiTheme="minorHAnsi"/>
                <w:bCs/>
              </w:rPr>
              <w:t xml:space="preserve"> replenishment of the CCM Grant.</w:t>
            </w:r>
            <w:r w:rsidRPr="00451CCA">
              <w:rPr>
                <w:rFonts w:asciiTheme="minorHAnsi" w:hAnsiTheme="minorHAnsi"/>
              </w:rPr>
              <w:t xml:space="preserve">  To help ensure the sustainability of the HIV/AIDS programme, the CCM has embarked on an integration approach to gradually phase out GF </w:t>
            </w:r>
            <w:r w:rsidR="00F21F9D">
              <w:rPr>
                <w:rFonts w:asciiTheme="minorHAnsi" w:hAnsiTheme="minorHAnsi"/>
              </w:rPr>
              <w:t xml:space="preserve">financial </w:t>
            </w:r>
            <w:r w:rsidRPr="00451CCA">
              <w:rPr>
                <w:rFonts w:asciiTheme="minorHAnsi" w:hAnsiTheme="minorHAnsi"/>
              </w:rPr>
              <w:t>contribution</w:t>
            </w:r>
            <w:r w:rsidR="00F21F9D">
              <w:rPr>
                <w:rFonts w:asciiTheme="minorHAnsi" w:hAnsiTheme="minorHAnsi"/>
              </w:rPr>
              <w:t>s</w:t>
            </w:r>
            <w:r w:rsidRPr="00451CCA">
              <w:rPr>
                <w:rFonts w:asciiTheme="minorHAnsi" w:hAnsiTheme="minorHAnsi"/>
              </w:rPr>
              <w:t xml:space="preserve"> by shifting the cost of project activities to nationally provided financing.  Availability of financial data on HIV/AIDS was one of the priority areas in the Round 8 HIV grant. Through the financial support of the GF and technical support from UNAIDS, the first round of the National AIDS Spending Assessment (NASA) was conducted in 2014.</w:t>
            </w:r>
            <w:r>
              <w:rPr>
                <w:rFonts w:asciiTheme="minorHAnsi" w:hAnsiTheme="minorHAnsi"/>
              </w:rPr>
              <w:t xml:space="preserve">  </w:t>
            </w:r>
            <w:r w:rsidRPr="00451CCA">
              <w:rPr>
                <w:rFonts w:asciiTheme="minorHAnsi" w:hAnsiTheme="minorHAnsi"/>
              </w:rPr>
              <w:t>Policy, planning and admin support as well advocacy  were</w:t>
            </w:r>
            <w:r>
              <w:rPr>
                <w:rFonts w:asciiTheme="minorHAnsi" w:hAnsiTheme="minorHAnsi"/>
              </w:rPr>
              <w:t xml:space="preserve"> also </w:t>
            </w:r>
            <w:r w:rsidRPr="00451CCA">
              <w:rPr>
                <w:rFonts w:asciiTheme="minorHAnsi" w:hAnsiTheme="minorHAnsi"/>
              </w:rPr>
              <w:t xml:space="preserve"> provided to backstop Iran in its role as the Global Fund Board Member representing the East Mediterranean Region (14 countries). </w:t>
            </w:r>
          </w:p>
          <w:p w14:paraId="22D25137" w14:textId="77777777" w:rsidR="00451CCA" w:rsidRPr="00451CCA" w:rsidRDefault="00451CCA" w:rsidP="00451CCA">
            <w:pPr>
              <w:pStyle w:val="BodyText2"/>
              <w:rPr>
                <w:rFonts w:asciiTheme="minorHAnsi" w:hAnsiTheme="minorHAnsi"/>
              </w:rPr>
            </w:pPr>
          </w:p>
          <w:p w14:paraId="7982674B" w14:textId="7A4A5125" w:rsidR="00451CCA" w:rsidRPr="00451CCA" w:rsidRDefault="00451CCA" w:rsidP="00451CCA">
            <w:pPr>
              <w:pStyle w:val="BodyText2"/>
              <w:rPr>
                <w:rFonts w:asciiTheme="minorHAnsi" w:hAnsiTheme="minorHAnsi"/>
              </w:rPr>
            </w:pPr>
            <w:r w:rsidRPr="00451CCA">
              <w:rPr>
                <w:rFonts w:asciiTheme="minorHAnsi" w:hAnsiTheme="minorHAnsi"/>
              </w:rPr>
              <w:t xml:space="preserve">In coordination with the Ministry of Health and WHO, UNDP has provided support to the national dialogue on non-communicable diseases (NCDs).  Iran was selected as one of the few countries to be given priority under the joint corporate initiative of UNDP and WHO to pilot addressing NCDs. </w:t>
            </w:r>
            <w:r>
              <w:rPr>
                <w:rFonts w:asciiTheme="minorHAnsi" w:hAnsiTheme="minorHAnsi"/>
              </w:rPr>
              <w:t xml:space="preserve"> </w:t>
            </w:r>
            <w:r w:rsidRPr="00451CCA">
              <w:rPr>
                <w:rFonts w:asciiTheme="minorHAnsi" w:hAnsiTheme="minorHAnsi"/>
              </w:rPr>
              <w:t xml:space="preserve"> UNDP was selected as the representative of all residing UN agencies to sit in the Air Pollution Task Team of the National Medical Academy – a multi-party assembly of representatives from all relevant institutions of the country, aiming at the development of the National Air Pollution Advocacy Plan.  </w:t>
            </w:r>
          </w:p>
          <w:p w14:paraId="2869F823" w14:textId="47399D3B" w:rsidR="00AC4E71" w:rsidRPr="004B31A6" w:rsidRDefault="00AC4E71" w:rsidP="00451CCA">
            <w:pPr>
              <w:pStyle w:val="BodyText2"/>
              <w:jc w:val="both"/>
              <w:rPr>
                <w:rFonts w:asciiTheme="minorHAnsi" w:hAnsiTheme="minorHAnsi"/>
                <w:i/>
              </w:rPr>
            </w:pPr>
          </w:p>
        </w:tc>
      </w:tr>
      <w:tr w:rsidR="00FC400F" w:rsidRPr="00DC7354" w14:paraId="3600BF97" w14:textId="77777777" w:rsidTr="00FC400F">
        <w:tc>
          <w:tcPr>
            <w:tcW w:w="3150" w:type="dxa"/>
          </w:tcPr>
          <w:p w14:paraId="511EFB0F" w14:textId="2079887F" w:rsidR="00FC400F" w:rsidRPr="00DC7354" w:rsidRDefault="00FC400F" w:rsidP="00C40881">
            <w:pPr>
              <w:pStyle w:val="BodyText2"/>
              <w:jc w:val="both"/>
              <w:rPr>
                <w:rFonts w:asciiTheme="minorHAnsi" w:hAnsiTheme="minorHAnsi"/>
                <w:b/>
                <w:sz w:val="24"/>
              </w:rPr>
            </w:pPr>
            <w:r w:rsidRPr="00DC7354">
              <w:rPr>
                <w:rFonts w:asciiTheme="minorHAnsi" w:hAnsiTheme="minorHAnsi"/>
                <w:b/>
                <w:sz w:val="24"/>
              </w:rPr>
              <w:lastRenderedPageBreak/>
              <w:t>Outcome</w:t>
            </w:r>
            <w:r>
              <w:rPr>
                <w:rFonts w:asciiTheme="minorHAnsi" w:hAnsiTheme="minorHAnsi"/>
                <w:b/>
                <w:sz w:val="24"/>
              </w:rPr>
              <w:t xml:space="preserve"> </w:t>
            </w:r>
            <w:r w:rsidR="00AC4E71">
              <w:rPr>
                <w:rFonts w:asciiTheme="minorHAnsi" w:hAnsiTheme="minorHAnsi"/>
                <w:b/>
                <w:sz w:val="24"/>
              </w:rPr>
              <w:t>4</w:t>
            </w:r>
          </w:p>
        </w:tc>
        <w:tc>
          <w:tcPr>
            <w:tcW w:w="1440" w:type="dxa"/>
            <w:shd w:val="clear" w:color="auto" w:fill="auto"/>
          </w:tcPr>
          <w:p w14:paraId="2C924C30" w14:textId="77777777" w:rsidR="00FC400F" w:rsidRPr="005F6261" w:rsidRDefault="00FC400F" w:rsidP="00C40881">
            <w:pPr>
              <w:pStyle w:val="BodyText2"/>
              <w:jc w:val="both"/>
              <w:rPr>
                <w:rFonts w:asciiTheme="minorHAnsi" w:hAnsiTheme="minorHAnsi"/>
                <w:b/>
                <w:sz w:val="22"/>
              </w:rPr>
            </w:pPr>
            <w:r w:rsidRPr="005F6261">
              <w:rPr>
                <w:rFonts w:asciiTheme="minorHAnsi" w:hAnsiTheme="minorHAnsi"/>
                <w:b/>
                <w:sz w:val="22"/>
              </w:rPr>
              <w:t>Total Expenditure</w:t>
            </w:r>
          </w:p>
        </w:tc>
        <w:tc>
          <w:tcPr>
            <w:tcW w:w="3960" w:type="dxa"/>
            <w:tcBorders>
              <w:left w:val="single" w:sz="4" w:space="0" w:color="auto"/>
            </w:tcBorders>
          </w:tcPr>
          <w:p w14:paraId="038189D5" w14:textId="77777777" w:rsidR="00FC400F" w:rsidRPr="005F6261" w:rsidRDefault="00FC400F" w:rsidP="00C40881">
            <w:pPr>
              <w:pStyle w:val="BodyText2"/>
              <w:jc w:val="both"/>
              <w:rPr>
                <w:rFonts w:asciiTheme="minorHAnsi" w:hAnsiTheme="minorHAnsi"/>
                <w:b/>
                <w:sz w:val="22"/>
              </w:rPr>
            </w:pPr>
            <w:r w:rsidRPr="005F6261">
              <w:rPr>
                <w:rFonts w:asciiTheme="minorHAnsi" w:hAnsiTheme="minorHAnsi"/>
                <w:b/>
                <w:sz w:val="22"/>
              </w:rPr>
              <w:t>Key Indicators of outcome (1-4 per outcome)</w:t>
            </w:r>
          </w:p>
        </w:tc>
        <w:tc>
          <w:tcPr>
            <w:tcW w:w="5490" w:type="dxa"/>
          </w:tcPr>
          <w:p w14:paraId="1B91734B" w14:textId="77777777" w:rsidR="00FC400F" w:rsidRPr="005F6261" w:rsidRDefault="00FC400F" w:rsidP="00C40881">
            <w:pPr>
              <w:pStyle w:val="BodyText2"/>
              <w:jc w:val="both"/>
              <w:rPr>
                <w:rFonts w:asciiTheme="minorHAnsi" w:hAnsiTheme="minorHAnsi"/>
                <w:b/>
                <w:sz w:val="22"/>
              </w:rPr>
            </w:pPr>
            <w:r w:rsidRPr="005F6261">
              <w:rPr>
                <w:rFonts w:asciiTheme="minorHAnsi" w:hAnsiTheme="minorHAnsi"/>
                <w:b/>
                <w:sz w:val="22"/>
              </w:rPr>
              <w:t>Progress made against key indicators</w:t>
            </w:r>
          </w:p>
        </w:tc>
      </w:tr>
      <w:tr w:rsidR="00694F35" w:rsidRPr="00DC7354" w14:paraId="60E5D52B" w14:textId="77777777" w:rsidTr="00FC400F">
        <w:tc>
          <w:tcPr>
            <w:tcW w:w="3150" w:type="dxa"/>
            <w:tcBorders>
              <w:bottom w:val="single" w:sz="4" w:space="0" w:color="auto"/>
            </w:tcBorders>
            <w:shd w:val="clear" w:color="auto" w:fill="95B3D7" w:themeFill="accent1" w:themeFillTint="99"/>
          </w:tcPr>
          <w:p w14:paraId="72D494AA" w14:textId="6F5F9FCD" w:rsidR="00694F35" w:rsidRPr="000823AC" w:rsidRDefault="00AC4E71" w:rsidP="00AC4E71">
            <w:pPr>
              <w:pStyle w:val="BodyText2"/>
              <w:jc w:val="both"/>
              <w:rPr>
                <w:rFonts w:asciiTheme="minorHAnsi" w:hAnsiTheme="minorHAnsi"/>
                <w:b/>
              </w:rPr>
            </w:pPr>
            <w:r w:rsidRPr="00AC4E71">
              <w:rPr>
                <w:rFonts w:asciiTheme="minorHAnsi" w:hAnsiTheme="minorHAnsi"/>
                <w:b/>
                <w:bCs/>
                <w:lang w:val="en-GB"/>
              </w:rPr>
              <w:t xml:space="preserve">UNDAF/Country programme Outcome </w:t>
            </w:r>
            <w:r w:rsidRPr="00AC4E71">
              <w:rPr>
                <w:rFonts w:asciiTheme="minorHAnsi" w:hAnsiTheme="minorHAnsi"/>
                <w:b/>
                <w:lang w:val="en-GB"/>
              </w:rPr>
              <w:t xml:space="preserve">4: </w:t>
            </w:r>
            <w:r w:rsidRPr="00AC4E71">
              <w:rPr>
                <w:rFonts w:asciiTheme="minorHAnsi" w:hAnsiTheme="minorHAnsi"/>
                <w:lang w:val="en-GB"/>
              </w:rPr>
              <w:t>National, subnational and local capacities enhanced to ensure 1) integrated management, conservation and sustainable use of</w:t>
            </w:r>
            <w:r>
              <w:rPr>
                <w:rFonts w:asciiTheme="minorHAnsi" w:hAnsiTheme="minorHAnsi"/>
                <w:lang w:val="en-GB"/>
              </w:rPr>
              <w:t xml:space="preserve"> </w:t>
            </w:r>
            <w:r w:rsidRPr="00AC4E71">
              <w:rPr>
                <w:rFonts w:asciiTheme="minorHAnsi" w:hAnsiTheme="minorHAnsi"/>
                <w:lang w:val="en-GB"/>
              </w:rPr>
              <w:t>ecosystems, natural resources and biodiversity; 2. mainstreaming environmental economics into national planning and audits; 3) effective use of knowledge and tools in</w:t>
            </w:r>
            <w:r>
              <w:rPr>
                <w:rFonts w:asciiTheme="minorHAnsi" w:hAnsiTheme="minorHAnsi"/>
                <w:lang w:val="en-GB"/>
              </w:rPr>
              <w:t xml:space="preserve"> </w:t>
            </w:r>
            <w:r w:rsidRPr="00AC4E71">
              <w:rPr>
                <w:rFonts w:asciiTheme="minorHAnsi" w:hAnsiTheme="minorHAnsi"/>
                <w:lang w:val="en-GB"/>
              </w:rPr>
              <w:t xml:space="preserve">prevention, control and response to current and emerging environmental pollution; 4) </w:t>
            </w:r>
            <w:r w:rsidRPr="00AC4E71">
              <w:rPr>
                <w:rFonts w:asciiTheme="minorHAnsi" w:hAnsiTheme="minorHAnsi"/>
                <w:lang w:val="en-GB"/>
              </w:rPr>
              <w:lastRenderedPageBreak/>
              <w:t>formulation and implementation of climate change mitigation and adaptation plans and</w:t>
            </w:r>
            <w:r>
              <w:rPr>
                <w:rFonts w:asciiTheme="minorHAnsi" w:hAnsiTheme="minorHAnsi"/>
                <w:lang w:val="en-GB"/>
              </w:rPr>
              <w:t xml:space="preserve"> </w:t>
            </w:r>
            <w:r w:rsidRPr="00AC4E71">
              <w:rPr>
                <w:rFonts w:asciiTheme="minorHAnsi" w:hAnsiTheme="minorHAnsi"/>
                <w:lang w:val="en-GB"/>
              </w:rPr>
              <w:t>projects</w:t>
            </w:r>
          </w:p>
        </w:tc>
        <w:tc>
          <w:tcPr>
            <w:tcW w:w="1440" w:type="dxa"/>
            <w:tcBorders>
              <w:bottom w:val="single" w:sz="4" w:space="0" w:color="auto"/>
            </w:tcBorders>
            <w:shd w:val="clear" w:color="auto" w:fill="auto"/>
          </w:tcPr>
          <w:p w14:paraId="60583CD6" w14:textId="092FEDED" w:rsidR="00694F35" w:rsidRPr="00DC7354" w:rsidRDefault="00694F35" w:rsidP="00E74058">
            <w:pPr>
              <w:pStyle w:val="BodyText2"/>
              <w:jc w:val="both"/>
              <w:rPr>
                <w:rFonts w:asciiTheme="minorHAnsi" w:hAnsiTheme="minorHAnsi"/>
              </w:rPr>
            </w:pPr>
          </w:p>
        </w:tc>
        <w:tc>
          <w:tcPr>
            <w:tcW w:w="3960" w:type="dxa"/>
            <w:tcBorders>
              <w:left w:val="single" w:sz="4" w:space="0" w:color="auto"/>
              <w:bottom w:val="single" w:sz="4" w:space="0" w:color="auto"/>
            </w:tcBorders>
          </w:tcPr>
          <w:p w14:paraId="3092FF8F" w14:textId="71A26456" w:rsidR="00AC4E71" w:rsidRPr="00AC4E71" w:rsidRDefault="00AC4E71" w:rsidP="00AC4E71">
            <w:pPr>
              <w:pStyle w:val="BodyText2"/>
              <w:jc w:val="both"/>
              <w:rPr>
                <w:rFonts w:asciiTheme="minorHAnsi" w:hAnsiTheme="minorHAnsi"/>
                <w:i/>
                <w:lang w:val="en-GB"/>
              </w:rPr>
            </w:pPr>
            <w:r w:rsidRPr="00AC4E71">
              <w:rPr>
                <w:rFonts w:asciiTheme="minorHAnsi" w:hAnsiTheme="minorHAnsi"/>
                <w:b/>
                <w:bCs/>
                <w:i/>
                <w:lang w:val="en-GB"/>
              </w:rPr>
              <w:t>Indicator 4</w:t>
            </w:r>
            <w:r w:rsidRPr="00AC4E71">
              <w:rPr>
                <w:rFonts w:asciiTheme="minorHAnsi" w:hAnsiTheme="minorHAnsi"/>
                <w:i/>
                <w:lang w:val="en-GB"/>
              </w:rPr>
              <w:t>.</w:t>
            </w:r>
            <w:r w:rsidRPr="00AC4E71">
              <w:rPr>
                <w:rFonts w:asciiTheme="minorHAnsi" w:hAnsiTheme="minorHAnsi"/>
                <w:b/>
                <w:bCs/>
                <w:i/>
                <w:lang w:val="en-GB"/>
              </w:rPr>
              <w:t>1</w:t>
            </w:r>
            <w:r w:rsidRPr="00AC4E71">
              <w:rPr>
                <w:rFonts w:asciiTheme="minorHAnsi" w:hAnsiTheme="minorHAnsi"/>
                <w:i/>
                <w:lang w:val="en-GB"/>
              </w:rPr>
              <w:t>. Number of localized (tailored to national context)</w:t>
            </w:r>
            <w:r>
              <w:rPr>
                <w:rFonts w:asciiTheme="minorHAnsi" w:hAnsiTheme="minorHAnsi"/>
                <w:i/>
                <w:lang w:val="en-GB"/>
              </w:rPr>
              <w:t xml:space="preserve"> </w:t>
            </w:r>
            <w:r w:rsidRPr="00AC4E71">
              <w:rPr>
                <w:rFonts w:asciiTheme="minorHAnsi" w:hAnsiTheme="minorHAnsi"/>
                <w:i/>
                <w:lang w:val="en-GB"/>
              </w:rPr>
              <w:t>frameworks and mechanisms that integrate sustainable</w:t>
            </w:r>
            <w:r>
              <w:rPr>
                <w:rFonts w:asciiTheme="minorHAnsi" w:hAnsiTheme="minorHAnsi"/>
                <w:i/>
                <w:lang w:val="en-GB"/>
              </w:rPr>
              <w:t xml:space="preserve"> </w:t>
            </w:r>
            <w:r w:rsidRPr="00AC4E71">
              <w:rPr>
                <w:rFonts w:asciiTheme="minorHAnsi" w:hAnsiTheme="minorHAnsi"/>
                <w:i/>
                <w:lang w:val="en-GB"/>
              </w:rPr>
              <w:t>environmental management</w:t>
            </w:r>
          </w:p>
          <w:p w14:paraId="73864AB7" w14:textId="02557022" w:rsidR="00AC4E71" w:rsidRPr="00AC4E71" w:rsidRDefault="00AC4E71" w:rsidP="00AC4E71">
            <w:pPr>
              <w:pStyle w:val="BodyText2"/>
              <w:jc w:val="both"/>
              <w:rPr>
                <w:rFonts w:asciiTheme="minorHAnsi" w:hAnsiTheme="minorHAnsi"/>
                <w:i/>
                <w:lang w:val="en-GB"/>
              </w:rPr>
            </w:pPr>
            <w:r w:rsidRPr="00AC4E71">
              <w:rPr>
                <w:rFonts w:asciiTheme="minorHAnsi" w:hAnsiTheme="minorHAnsi"/>
                <w:b/>
                <w:bCs/>
                <w:i/>
                <w:lang w:val="en-GB"/>
              </w:rPr>
              <w:t>Baseline</w:t>
            </w:r>
            <w:r w:rsidRPr="00AC4E71">
              <w:rPr>
                <w:rFonts w:asciiTheme="minorHAnsi" w:hAnsiTheme="minorHAnsi"/>
                <w:i/>
                <w:lang w:val="en-GB"/>
              </w:rPr>
              <w:t>: The 5th NDP provides the legal basis for integration of</w:t>
            </w:r>
            <w:r>
              <w:rPr>
                <w:rFonts w:asciiTheme="minorHAnsi" w:hAnsiTheme="minorHAnsi"/>
                <w:i/>
                <w:lang w:val="en-GB"/>
              </w:rPr>
              <w:t xml:space="preserve"> </w:t>
            </w:r>
            <w:r w:rsidRPr="00AC4E71">
              <w:rPr>
                <w:rFonts w:asciiTheme="minorHAnsi" w:hAnsiTheme="minorHAnsi"/>
                <w:i/>
                <w:lang w:val="en-GB"/>
              </w:rPr>
              <w:t>principles of sustainable development</w:t>
            </w:r>
          </w:p>
          <w:p w14:paraId="2C8D15CB" w14:textId="012E6785" w:rsidR="00AC4E71" w:rsidRDefault="00AC4E71" w:rsidP="00AC4E71">
            <w:pPr>
              <w:pStyle w:val="BodyText2"/>
              <w:jc w:val="both"/>
              <w:rPr>
                <w:rFonts w:asciiTheme="minorHAnsi" w:hAnsiTheme="minorHAnsi"/>
                <w:i/>
                <w:lang w:val="en-GB"/>
              </w:rPr>
            </w:pPr>
            <w:r w:rsidRPr="00AC4E71">
              <w:rPr>
                <w:rFonts w:asciiTheme="minorHAnsi" w:hAnsiTheme="minorHAnsi"/>
                <w:b/>
                <w:bCs/>
                <w:i/>
                <w:lang w:val="en-GB"/>
              </w:rPr>
              <w:t>Target</w:t>
            </w:r>
            <w:r w:rsidRPr="00AC4E71">
              <w:rPr>
                <w:rFonts w:asciiTheme="minorHAnsi" w:hAnsiTheme="minorHAnsi"/>
                <w:i/>
                <w:lang w:val="en-GB"/>
              </w:rPr>
              <w:t>: By 2016, national frameworks for sustainable management</w:t>
            </w:r>
            <w:r>
              <w:rPr>
                <w:rFonts w:asciiTheme="minorHAnsi" w:hAnsiTheme="minorHAnsi"/>
                <w:i/>
                <w:lang w:val="en-GB"/>
              </w:rPr>
              <w:t xml:space="preserve"> </w:t>
            </w:r>
            <w:r w:rsidRPr="00AC4E71">
              <w:rPr>
                <w:rFonts w:asciiTheme="minorHAnsi" w:hAnsiTheme="minorHAnsi"/>
                <w:i/>
                <w:lang w:val="en-GB"/>
              </w:rPr>
              <w:t>of wetlands, mountain ecosystems, dryland and Caspian forests, and</w:t>
            </w:r>
            <w:r>
              <w:rPr>
                <w:rFonts w:asciiTheme="minorHAnsi" w:hAnsiTheme="minorHAnsi"/>
                <w:i/>
                <w:lang w:val="en-GB"/>
              </w:rPr>
              <w:t xml:space="preserve"> </w:t>
            </w:r>
            <w:r w:rsidRPr="00AC4E71">
              <w:rPr>
                <w:rFonts w:asciiTheme="minorHAnsi" w:hAnsiTheme="minorHAnsi"/>
                <w:i/>
                <w:lang w:val="en-GB"/>
              </w:rPr>
              <w:t>biodiversity conservation are in place and piloted.</w:t>
            </w:r>
          </w:p>
          <w:p w14:paraId="6C461867" w14:textId="77777777" w:rsidR="00AC4E71" w:rsidRPr="00AC4E71" w:rsidRDefault="00AC4E71" w:rsidP="00AC4E71">
            <w:pPr>
              <w:pStyle w:val="BodyText2"/>
              <w:jc w:val="both"/>
              <w:rPr>
                <w:rFonts w:asciiTheme="minorHAnsi" w:hAnsiTheme="minorHAnsi"/>
                <w:i/>
                <w:lang w:val="en-GB"/>
              </w:rPr>
            </w:pPr>
          </w:p>
          <w:p w14:paraId="30D04730" w14:textId="038EF0AE" w:rsidR="00AC4E71" w:rsidRPr="00AC4E71" w:rsidRDefault="00AC4E71" w:rsidP="00AC4E71">
            <w:pPr>
              <w:pStyle w:val="BodyText2"/>
              <w:jc w:val="both"/>
              <w:rPr>
                <w:rFonts w:asciiTheme="minorHAnsi" w:hAnsiTheme="minorHAnsi"/>
                <w:b/>
                <w:bCs/>
                <w:i/>
                <w:lang w:val="en-GB"/>
              </w:rPr>
            </w:pPr>
            <w:r w:rsidRPr="00AC4E71">
              <w:rPr>
                <w:rFonts w:asciiTheme="minorHAnsi" w:hAnsiTheme="minorHAnsi"/>
                <w:b/>
                <w:bCs/>
                <w:i/>
                <w:lang w:val="en-GB"/>
              </w:rPr>
              <w:lastRenderedPageBreak/>
              <w:t>Indicator 4.2</w:t>
            </w:r>
            <w:r w:rsidRPr="00AC4E71">
              <w:rPr>
                <w:rFonts w:asciiTheme="minorHAnsi" w:hAnsiTheme="minorHAnsi"/>
                <w:i/>
                <w:lang w:val="en-GB"/>
              </w:rPr>
              <w:t>: Frameworks for improved PCB and HCFC</w:t>
            </w:r>
            <w:r>
              <w:rPr>
                <w:rFonts w:asciiTheme="minorHAnsi" w:hAnsiTheme="minorHAnsi"/>
                <w:i/>
                <w:lang w:val="en-GB"/>
              </w:rPr>
              <w:t xml:space="preserve"> </w:t>
            </w:r>
            <w:r w:rsidRPr="00AC4E71">
              <w:rPr>
                <w:rFonts w:asciiTheme="minorHAnsi" w:hAnsiTheme="minorHAnsi"/>
                <w:i/>
                <w:lang w:val="en-GB"/>
              </w:rPr>
              <w:t>management in place and implementation started</w:t>
            </w:r>
            <w:r>
              <w:rPr>
                <w:rFonts w:asciiTheme="minorHAnsi" w:hAnsiTheme="minorHAnsi"/>
                <w:i/>
                <w:lang w:val="en-GB"/>
              </w:rPr>
              <w:t xml:space="preserve"> </w:t>
            </w:r>
            <w:r w:rsidRPr="00AC4E71">
              <w:rPr>
                <w:rFonts w:asciiTheme="minorHAnsi" w:hAnsiTheme="minorHAnsi"/>
                <w:i/>
                <w:lang w:val="en-GB"/>
              </w:rPr>
              <w:t>(Yes/No</w:t>
            </w:r>
            <w:r w:rsidRPr="00AC4E71">
              <w:rPr>
                <w:rFonts w:asciiTheme="minorHAnsi" w:hAnsiTheme="minorHAnsi"/>
                <w:b/>
                <w:bCs/>
                <w:i/>
                <w:lang w:val="en-GB"/>
              </w:rPr>
              <w:t>)</w:t>
            </w:r>
          </w:p>
          <w:p w14:paraId="79846F86" w14:textId="1B78F635" w:rsidR="00AC4E71" w:rsidRPr="00AC4E71" w:rsidRDefault="00AC4E71" w:rsidP="00AC4E71">
            <w:pPr>
              <w:pStyle w:val="BodyText2"/>
              <w:jc w:val="both"/>
              <w:rPr>
                <w:rFonts w:asciiTheme="minorHAnsi" w:hAnsiTheme="minorHAnsi"/>
                <w:i/>
                <w:lang w:val="en-GB"/>
              </w:rPr>
            </w:pPr>
            <w:r w:rsidRPr="00AC4E71">
              <w:rPr>
                <w:rFonts w:asciiTheme="minorHAnsi" w:hAnsiTheme="minorHAnsi"/>
                <w:b/>
                <w:bCs/>
                <w:i/>
                <w:lang w:val="en-GB"/>
              </w:rPr>
              <w:t xml:space="preserve">Baseline: </w:t>
            </w:r>
            <w:r w:rsidRPr="00AC4E71">
              <w:rPr>
                <w:rFonts w:asciiTheme="minorHAnsi" w:hAnsiTheme="minorHAnsi"/>
                <w:i/>
                <w:lang w:val="en-GB"/>
              </w:rPr>
              <w:t>Inadequate frameworks conducive to national</w:t>
            </w:r>
            <w:r>
              <w:rPr>
                <w:rFonts w:asciiTheme="minorHAnsi" w:hAnsiTheme="minorHAnsi"/>
                <w:i/>
                <w:lang w:val="en-GB"/>
              </w:rPr>
              <w:t xml:space="preserve"> </w:t>
            </w:r>
            <w:r w:rsidRPr="00AC4E71">
              <w:rPr>
                <w:rFonts w:asciiTheme="minorHAnsi" w:hAnsiTheme="minorHAnsi"/>
                <w:i/>
                <w:lang w:val="en-GB"/>
              </w:rPr>
              <w:t>development priorities.</w:t>
            </w:r>
          </w:p>
          <w:p w14:paraId="68B77358" w14:textId="77777777" w:rsidR="00AC4E71" w:rsidRPr="00AC4E71" w:rsidRDefault="00AC4E71" w:rsidP="00AC4E71">
            <w:pPr>
              <w:pStyle w:val="BodyText2"/>
              <w:jc w:val="both"/>
              <w:rPr>
                <w:rFonts w:asciiTheme="minorHAnsi" w:hAnsiTheme="minorHAnsi"/>
                <w:i/>
                <w:lang w:val="en-GB"/>
              </w:rPr>
            </w:pPr>
            <w:r w:rsidRPr="00AC4E71">
              <w:rPr>
                <w:rFonts w:asciiTheme="minorHAnsi" w:hAnsiTheme="minorHAnsi"/>
                <w:b/>
                <w:bCs/>
                <w:i/>
                <w:lang w:val="en-GB"/>
              </w:rPr>
              <w:t xml:space="preserve">Target: </w:t>
            </w:r>
            <w:r w:rsidRPr="00AC4E71">
              <w:rPr>
                <w:rFonts w:asciiTheme="minorHAnsi" w:hAnsiTheme="minorHAnsi"/>
                <w:i/>
                <w:lang w:val="en-GB"/>
              </w:rPr>
              <w:t>Frameworks introduced by 2016</w:t>
            </w:r>
          </w:p>
          <w:p w14:paraId="0A8A14A4" w14:textId="77777777" w:rsidR="00AC4E71" w:rsidRDefault="00AC4E71" w:rsidP="00AC4E71">
            <w:pPr>
              <w:pStyle w:val="BodyText2"/>
              <w:jc w:val="both"/>
              <w:rPr>
                <w:rFonts w:asciiTheme="minorHAnsi" w:hAnsiTheme="minorHAnsi"/>
                <w:b/>
                <w:bCs/>
                <w:i/>
                <w:lang w:val="en-GB"/>
              </w:rPr>
            </w:pPr>
          </w:p>
          <w:p w14:paraId="481401A8" w14:textId="77777777" w:rsidR="00E033A5" w:rsidRDefault="00E033A5" w:rsidP="00AC4E71">
            <w:pPr>
              <w:pStyle w:val="BodyText2"/>
              <w:jc w:val="both"/>
              <w:rPr>
                <w:rFonts w:asciiTheme="minorHAnsi" w:hAnsiTheme="minorHAnsi"/>
                <w:b/>
                <w:bCs/>
                <w:i/>
                <w:lang w:val="en-GB"/>
              </w:rPr>
            </w:pPr>
          </w:p>
          <w:p w14:paraId="42905389" w14:textId="77777777" w:rsidR="00E033A5" w:rsidRDefault="00E033A5" w:rsidP="00AC4E71">
            <w:pPr>
              <w:pStyle w:val="BodyText2"/>
              <w:jc w:val="both"/>
              <w:rPr>
                <w:rFonts w:asciiTheme="minorHAnsi" w:hAnsiTheme="minorHAnsi"/>
                <w:b/>
                <w:bCs/>
                <w:i/>
                <w:lang w:val="en-GB"/>
              </w:rPr>
            </w:pPr>
          </w:p>
          <w:p w14:paraId="5ACCC209" w14:textId="2F22D78F" w:rsidR="00AC4E71" w:rsidRPr="00AC4E71" w:rsidRDefault="00AC4E71" w:rsidP="00AC4E71">
            <w:pPr>
              <w:pStyle w:val="BodyText2"/>
              <w:jc w:val="both"/>
              <w:rPr>
                <w:rFonts w:asciiTheme="minorHAnsi" w:hAnsiTheme="minorHAnsi"/>
                <w:i/>
                <w:lang w:val="en-GB"/>
              </w:rPr>
            </w:pPr>
            <w:r w:rsidRPr="00AC4E71">
              <w:rPr>
                <w:rFonts w:asciiTheme="minorHAnsi" w:hAnsiTheme="minorHAnsi"/>
                <w:b/>
                <w:bCs/>
                <w:i/>
                <w:lang w:val="en-GB"/>
              </w:rPr>
              <w:t xml:space="preserve">Indicator 4.3. </w:t>
            </w:r>
            <w:r w:rsidRPr="00AC4E71">
              <w:rPr>
                <w:rFonts w:asciiTheme="minorHAnsi" w:hAnsiTheme="minorHAnsi"/>
                <w:i/>
                <w:lang w:val="en-GB"/>
              </w:rPr>
              <w:t>Localized frameworks, mechanisms and models</w:t>
            </w:r>
            <w:r>
              <w:rPr>
                <w:rFonts w:asciiTheme="minorHAnsi" w:hAnsiTheme="minorHAnsi"/>
                <w:i/>
                <w:lang w:val="en-GB"/>
              </w:rPr>
              <w:t xml:space="preserve"> </w:t>
            </w:r>
            <w:r w:rsidRPr="00AC4E71">
              <w:rPr>
                <w:rFonts w:asciiTheme="minorHAnsi" w:hAnsiTheme="minorHAnsi"/>
                <w:i/>
                <w:lang w:val="en-GB"/>
              </w:rPr>
              <w:t>(tested and piloted according to national context) on climate change</w:t>
            </w:r>
            <w:r>
              <w:rPr>
                <w:rFonts w:asciiTheme="minorHAnsi" w:hAnsiTheme="minorHAnsi"/>
                <w:i/>
                <w:lang w:val="en-GB"/>
              </w:rPr>
              <w:t xml:space="preserve"> </w:t>
            </w:r>
            <w:r w:rsidRPr="00AC4E71">
              <w:rPr>
                <w:rFonts w:asciiTheme="minorHAnsi" w:hAnsiTheme="minorHAnsi"/>
                <w:i/>
                <w:lang w:val="en-GB"/>
              </w:rPr>
              <w:t>mitigation and adaptation are developed (Yes/No).</w:t>
            </w:r>
          </w:p>
          <w:p w14:paraId="7C3CC3A9" w14:textId="77777777" w:rsidR="00AC4E71" w:rsidRPr="00AC4E71" w:rsidRDefault="00AC4E71" w:rsidP="00AC4E71">
            <w:pPr>
              <w:pStyle w:val="BodyText2"/>
              <w:jc w:val="both"/>
              <w:rPr>
                <w:rFonts w:asciiTheme="minorHAnsi" w:hAnsiTheme="minorHAnsi"/>
                <w:i/>
                <w:lang w:val="en-GB"/>
              </w:rPr>
            </w:pPr>
            <w:r w:rsidRPr="00AC4E71">
              <w:rPr>
                <w:rFonts w:asciiTheme="minorHAnsi" w:hAnsiTheme="minorHAnsi"/>
                <w:b/>
                <w:bCs/>
                <w:i/>
                <w:lang w:val="en-GB"/>
              </w:rPr>
              <w:t>Baseline</w:t>
            </w:r>
            <w:r w:rsidRPr="00AC4E71">
              <w:rPr>
                <w:rFonts w:asciiTheme="minorHAnsi" w:hAnsiTheme="minorHAnsi"/>
                <w:i/>
                <w:lang w:val="en-GB"/>
              </w:rPr>
              <w:t>: Second National Communication in place.</w:t>
            </w:r>
          </w:p>
          <w:p w14:paraId="2FA04000" w14:textId="758A0E93" w:rsidR="00694F35" w:rsidRPr="00920DBC" w:rsidRDefault="00AC4E71" w:rsidP="00AC4E71">
            <w:pPr>
              <w:pStyle w:val="BodyText2"/>
              <w:jc w:val="both"/>
              <w:rPr>
                <w:rFonts w:asciiTheme="minorHAnsi" w:hAnsiTheme="minorHAnsi"/>
                <w:i/>
              </w:rPr>
            </w:pPr>
            <w:r w:rsidRPr="00AC4E71">
              <w:rPr>
                <w:rFonts w:asciiTheme="minorHAnsi" w:hAnsiTheme="minorHAnsi"/>
                <w:b/>
                <w:bCs/>
                <w:i/>
                <w:lang w:val="en-GB"/>
              </w:rPr>
              <w:t xml:space="preserve">Target: </w:t>
            </w:r>
            <w:r w:rsidRPr="00AC4E71">
              <w:rPr>
                <w:rFonts w:asciiTheme="minorHAnsi" w:hAnsiTheme="minorHAnsi"/>
                <w:i/>
                <w:lang w:val="en-GB"/>
              </w:rPr>
              <w:t>By 2016, Third National Communication and Residential</w:t>
            </w:r>
            <w:r>
              <w:rPr>
                <w:rFonts w:asciiTheme="minorHAnsi" w:hAnsiTheme="minorHAnsi"/>
                <w:i/>
                <w:lang w:val="en-GB"/>
              </w:rPr>
              <w:t xml:space="preserve"> </w:t>
            </w:r>
            <w:r w:rsidRPr="00AC4E71">
              <w:rPr>
                <w:rFonts w:asciiTheme="minorHAnsi" w:hAnsiTheme="minorHAnsi"/>
                <w:i/>
                <w:lang w:val="en-GB"/>
              </w:rPr>
              <w:t>Energy Efficiency Frameworks in place</w:t>
            </w:r>
          </w:p>
        </w:tc>
        <w:tc>
          <w:tcPr>
            <w:tcW w:w="5490" w:type="dxa"/>
            <w:tcBorders>
              <w:bottom w:val="single" w:sz="4" w:space="0" w:color="auto"/>
            </w:tcBorders>
            <w:shd w:val="clear" w:color="auto" w:fill="auto"/>
          </w:tcPr>
          <w:p w14:paraId="2728C60A" w14:textId="1D9231EF" w:rsidR="00694F35" w:rsidRDefault="0062401F" w:rsidP="001B3A1A">
            <w:pPr>
              <w:pStyle w:val="BodyText2"/>
              <w:jc w:val="both"/>
              <w:rPr>
                <w:rFonts w:asciiTheme="minorHAnsi" w:hAnsiTheme="minorHAnsi"/>
                <w:i/>
              </w:rPr>
            </w:pPr>
            <w:r w:rsidRPr="0062401F">
              <w:rPr>
                <w:rFonts w:asciiTheme="minorHAnsi" w:hAnsiTheme="minorHAnsi"/>
                <w:i/>
              </w:rPr>
              <w:lastRenderedPageBreak/>
              <w:t>Integrated and sustainable management of different ecosystems has been piloted in 40 areas through application of watershed-level models and ecosystem approach that ensure participation of all stakeholder groups. Over 140 participatory mechanisms at 3 levels of governance/decision making (national, regional and local) launched to promote multi-stakeholder/inter-sectoral coordination as the main vehicle for mainstreaming of biodiversity conservation and natural resources management</w:t>
            </w:r>
            <w:r>
              <w:rPr>
                <w:rFonts w:asciiTheme="minorHAnsi" w:hAnsiTheme="minorHAnsi"/>
                <w:i/>
              </w:rPr>
              <w:t xml:space="preserve">. </w:t>
            </w:r>
            <w:r w:rsidR="00E033A5">
              <w:rPr>
                <w:rFonts w:asciiTheme="minorHAnsi" w:hAnsiTheme="minorHAnsi"/>
                <w:i/>
              </w:rPr>
              <w:t xml:space="preserve"> </w:t>
            </w:r>
            <w:r w:rsidR="00E033A5" w:rsidRPr="00E033A5">
              <w:rPr>
                <w:rFonts w:asciiTheme="minorHAnsi" w:hAnsiTheme="minorHAnsi"/>
                <w:i/>
              </w:rPr>
              <w:t xml:space="preserve">Establishment of the National Committee for Conservation of Wetland Ecosystems has been catalyzed which is functioning based on adoption of </w:t>
            </w:r>
            <w:r w:rsidR="00571369">
              <w:rPr>
                <w:rFonts w:asciiTheme="minorHAnsi" w:hAnsiTheme="minorHAnsi"/>
                <w:i/>
              </w:rPr>
              <w:t xml:space="preserve">the </w:t>
            </w:r>
            <w:r w:rsidR="00E033A5" w:rsidRPr="00E033A5">
              <w:rPr>
                <w:rFonts w:asciiTheme="minorHAnsi" w:hAnsiTheme="minorHAnsi"/>
                <w:i/>
              </w:rPr>
              <w:t>Conservation, Restoration and Sustainable Use of Wetlands Bill in the Parliament.</w:t>
            </w:r>
          </w:p>
          <w:p w14:paraId="6242356A" w14:textId="77777777" w:rsidR="00E033A5" w:rsidRDefault="00E033A5" w:rsidP="001B3A1A">
            <w:pPr>
              <w:pStyle w:val="BodyText2"/>
              <w:jc w:val="both"/>
              <w:rPr>
                <w:rFonts w:asciiTheme="minorHAnsi" w:hAnsiTheme="minorHAnsi"/>
                <w:i/>
              </w:rPr>
            </w:pPr>
          </w:p>
          <w:p w14:paraId="421975AC" w14:textId="77777777" w:rsidR="00E033A5" w:rsidRDefault="00E033A5" w:rsidP="00E033A5">
            <w:pPr>
              <w:pStyle w:val="BodyText2"/>
              <w:rPr>
                <w:rFonts w:asciiTheme="minorHAnsi" w:hAnsiTheme="minorHAnsi"/>
                <w:i/>
              </w:rPr>
            </w:pPr>
            <w:r w:rsidRPr="00E033A5">
              <w:rPr>
                <w:rFonts w:asciiTheme="minorHAnsi" w:hAnsiTheme="minorHAnsi"/>
                <w:i/>
              </w:rPr>
              <w:lastRenderedPageBreak/>
              <w:t xml:space="preserve">National frameworks and mechanisms for management of ODSs (i.e. HCFCs) under the Montreal Protocol established and strengthened. This includes enforcement of regulatory measures for HCFC phase-down and effective monitoring of converted ODS consuming units through National Ozone Cells throughout the country. Control and enforcement of HCFC importation quota was conducted through coordination by the multi-sectoral Quota Allocation Committee. </w:t>
            </w:r>
          </w:p>
          <w:p w14:paraId="65C4284A" w14:textId="77777777" w:rsidR="00E033A5" w:rsidRDefault="00E033A5" w:rsidP="00E033A5">
            <w:pPr>
              <w:pStyle w:val="BodyText2"/>
              <w:rPr>
                <w:rFonts w:asciiTheme="minorHAnsi" w:hAnsiTheme="minorHAnsi"/>
                <w:i/>
              </w:rPr>
            </w:pPr>
          </w:p>
          <w:p w14:paraId="77610ABC" w14:textId="232A25C7" w:rsidR="00E033A5" w:rsidRPr="00920DBC" w:rsidRDefault="00E033A5" w:rsidP="00E033A5">
            <w:pPr>
              <w:pStyle w:val="BodyText2"/>
              <w:rPr>
                <w:rFonts w:asciiTheme="minorHAnsi" w:hAnsiTheme="minorHAnsi"/>
                <w:i/>
              </w:rPr>
            </w:pPr>
            <w:r w:rsidRPr="00E033A5">
              <w:rPr>
                <w:rFonts w:asciiTheme="minorHAnsi" w:hAnsiTheme="minorHAnsi"/>
                <w:i/>
              </w:rPr>
              <w:t>With UNDP’s support a proposal for inclusion of Climate Change provisions in the 6th 5YNDP was submitted which includes: Carbon Exchange, its legal regime and budget requirements. 3rd National Communication to the UNFCCC was drafted which is under finalization. Iran’s Intended Nationally Determined Contributions finalized on 8 November 2015 with the participation of ministers for petroleum, industries and power and submitted to Paris COP 21.</w:t>
            </w:r>
          </w:p>
        </w:tc>
      </w:tr>
      <w:tr w:rsidR="00694F35" w:rsidRPr="00DC7354" w14:paraId="0BF688E3" w14:textId="77777777" w:rsidTr="00FC400F">
        <w:tc>
          <w:tcPr>
            <w:tcW w:w="14040" w:type="dxa"/>
            <w:gridSpan w:val="4"/>
          </w:tcPr>
          <w:p w14:paraId="6C2FAAA9" w14:textId="74575F05" w:rsidR="00694F35" w:rsidRPr="00837C4B" w:rsidRDefault="00694F35" w:rsidP="00E74058">
            <w:pPr>
              <w:pStyle w:val="BodyText2"/>
              <w:jc w:val="both"/>
              <w:rPr>
                <w:rFonts w:asciiTheme="minorHAnsi" w:hAnsiTheme="minorHAnsi"/>
                <w:b/>
              </w:rPr>
            </w:pPr>
            <w:r w:rsidRPr="00FC400F">
              <w:rPr>
                <w:rFonts w:asciiTheme="minorHAnsi" w:hAnsiTheme="minorHAnsi"/>
                <w:b/>
                <w:sz w:val="24"/>
              </w:rPr>
              <w:lastRenderedPageBreak/>
              <w:t>UNDP Contribution:</w:t>
            </w:r>
          </w:p>
          <w:p w14:paraId="1D06264C" w14:textId="77777777" w:rsidR="00694F35" w:rsidRDefault="00694F35" w:rsidP="00E74058">
            <w:pPr>
              <w:pStyle w:val="BodyText2"/>
              <w:jc w:val="both"/>
              <w:rPr>
                <w:rFonts w:asciiTheme="minorHAnsi" w:hAnsiTheme="minorHAnsi"/>
              </w:rPr>
            </w:pPr>
          </w:p>
          <w:p w14:paraId="0FF804DC" w14:textId="77777777" w:rsidR="00694F35" w:rsidRPr="004B31A6" w:rsidRDefault="00694F35" w:rsidP="00E74058">
            <w:pPr>
              <w:pStyle w:val="BodyText2"/>
              <w:jc w:val="both"/>
              <w:rPr>
                <w:rFonts w:asciiTheme="minorHAnsi" w:hAnsiTheme="minorHAnsi"/>
                <w:sz w:val="24"/>
              </w:rPr>
            </w:pPr>
            <w:r w:rsidRPr="004B31A6">
              <w:rPr>
                <w:rFonts w:asciiTheme="minorHAnsi" w:hAnsiTheme="minorHAnsi"/>
                <w:sz w:val="24"/>
                <w:u w:val="single"/>
              </w:rPr>
              <w:t>CP Outputs</w:t>
            </w:r>
            <w:r w:rsidRPr="004B31A6">
              <w:rPr>
                <w:rFonts w:asciiTheme="minorHAnsi" w:hAnsiTheme="minorHAnsi"/>
                <w:sz w:val="24"/>
              </w:rPr>
              <w:t>:</w:t>
            </w:r>
          </w:p>
          <w:p w14:paraId="13940795" w14:textId="4B2AB01C" w:rsidR="00AC4E71" w:rsidRPr="00AC4E71" w:rsidRDefault="00AC4E71" w:rsidP="00AC4E71">
            <w:pPr>
              <w:pStyle w:val="BodyText2"/>
              <w:jc w:val="both"/>
              <w:rPr>
                <w:rFonts w:asciiTheme="minorHAnsi" w:hAnsiTheme="minorHAnsi"/>
                <w:lang w:val="en-GB"/>
              </w:rPr>
            </w:pPr>
            <w:r w:rsidRPr="00AC4E71">
              <w:rPr>
                <w:rFonts w:asciiTheme="minorHAnsi" w:hAnsiTheme="minorHAnsi"/>
                <w:lang w:val="en-GB"/>
              </w:rPr>
              <w:t>1. Institutional capacities</w:t>
            </w:r>
            <w:r>
              <w:rPr>
                <w:rFonts w:asciiTheme="minorHAnsi" w:hAnsiTheme="minorHAnsi"/>
                <w:lang w:val="en-GB"/>
              </w:rPr>
              <w:t xml:space="preserve"> </w:t>
            </w:r>
            <w:r w:rsidRPr="00AC4E71">
              <w:rPr>
                <w:rFonts w:asciiTheme="minorHAnsi" w:hAnsiTheme="minorHAnsi"/>
                <w:lang w:val="en-GB"/>
              </w:rPr>
              <w:t>for integration of</w:t>
            </w:r>
            <w:r>
              <w:rPr>
                <w:rFonts w:asciiTheme="minorHAnsi" w:hAnsiTheme="minorHAnsi"/>
                <w:lang w:val="en-GB"/>
              </w:rPr>
              <w:t xml:space="preserve"> </w:t>
            </w:r>
            <w:r w:rsidRPr="00AC4E71">
              <w:rPr>
                <w:rFonts w:asciiTheme="minorHAnsi" w:hAnsiTheme="minorHAnsi"/>
                <w:lang w:val="en-GB"/>
              </w:rPr>
              <w:t>sustainable</w:t>
            </w:r>
            <w:r>
              <w:rPr>
                <w:rFonts w:asciiTheme="minorHAnsi" w:hAnsiTheme="minorHAnsi"/>
                <w:lang w:val="en-GB"/>
              </w:rPr>
              <w:t xml:space="preserve"> </w:t>
            </w:r>
            <w:r w:rsidRPr="00AC4E71">
              <w:rPr>
                <w:rFonts w:asciiTheme="minorHAnsi" w:hAnsiTheme="minorHAnsi"/>
                <w:lang w:val="en-GB"/>
              </w:rPr>
              <w:t>development in</w:t>
            </w:r>
            <w:r>
              <w:rPr>
                <w:rFonts w:asciiTheme="minorHAnsi" w:hAnsiTheme="minorHAnsi"/>
                <w:lang w:val="en-GB"/>
              </w:rPr>
              <w:t xml:space="preserve"> </w:t>
            </w:r>
            <w:r w:rsidRPr="00AC4E71">
              <w:rPr>
                <w:rFonts w:asciiTheme="minorHAnsi" w:hAnsiTheme="minorHAnsi"/>
                <w:lang w:val="en-GB"/>
              </w:rPr>
              <w:t>national policies</w:t>
            </w:r>
            <w:r>
              <w:rPr>
                <w:rFonts w:asciiTheme="minorHAnsi" w:hAnsiTheme="minorHAnsi"/>
                <w:lang w:val="en-GB"/>
              </w:rPr>
              <w:t xml:space="preserve"> </w:t>
            </w:r>
            <w:r w:rsidRPr="00AC4E71">
              <w:rPr>
                <w:rFonts w:asciiTheme="minorHAnsi" w:hAnsiTheme="minorHAnsi"/>
                <w:lang w:val="en-GB"/>
              </w:rPr>
              <w:t>supported</w:t>
            </w:r>
          </w:p>
          <w:p w14:paraId="6324F8E4" w14:textId="076CF815" w:rsidR="00AC4E71" w:rsidRPr="00AC4E71" w:rsidRDefault="00AC4E71" w:rsidP="00AC4E71">
            <w:pPr>
              <w:pStyle w:val="BodyText2"/>
              <w:jc w:val="both"/>
              <w:rPr>
                <w:rFonts w:asciiTheme="minorHAnsi" w:hAnsiTheme="minorHAnsi"/>
                <w:lang w:val="en-GB"/>
              </w:rPr>
            </w:pPr>
            <w:r w:rsidRPr="00AC4E71">
              <w:rPr>
                <w:rFonts w:asciiTheme="minorHAnsi" w:hAnsiTheme="minorHAnsi"/>
                <w:lang w:val="en-GB"/>
              </w:rPr>
              <w:t>2. Institutional capacities</w:t>
            </w:r>
            <w:r>
              <w:rPr>
                <w:rFonts w:asciiTheme="minorHAnsi" w:hAnsiTheme="minorHAnsi"/>
                <w:lang w:val="en-GB"/>
              </w:rPr>
              <w:t xml:space="preserve"> </w:t>
            </w:r>
            <w:r w:rsidRPr="00AC4E71">
              <w:rPr>
                <w:rFonts w:asciiTheme="minorHAnsi" w:hAnsiTheme="minorHAnsi"/>
                <w:lang w:val="en-GB"/>
              </w:rPr>
              <w:t>for sound chemicals</w:t>
            </w:r>
            <w:r>
              <w:rPr>
                <w:rFonts w:asciiTheme="minorHAnsi" w:hAnsiTheme="minorHAnsi"/>
                <w:lang w:val="en-GB"/>
              </w:rPr>
              <w:t xml:space="preserve"> </w:t>
            </w:r>
            <w:r w:rsidRPr="00AC4E71">
              <w:rPr>
                <w:rFonts w:asciiTheme="minorHAnsi" w:hAnsiTheme="minorHAnsi"/>
                <w:lang w:val="en-GB"/>
              </w:rPr>
              <w:t>management under the</w:t>
            </w:r>
            <w:r>
              <w:rPr>
                <w:rFonts w:asciiTheme="minorHAnsi" w:hAnsiTheme="minorHAnsi"/>
                <w:lang w:val="en-GB"/>
              </w:rPr>
              <w:t xml:space="preserve"> </w:t>
            </w:r>
            <w:r w:rsidRPr="00AC4E71">
              <w:rPr>
                <w:rFonts w:asciiTheme="minorHAnsi" w:hAnsiTheme="minorHAnsi"/>
                <w:lang w:val="en-GB"/>
              </w:rPr>
              <w:t>Montreal Protocol and</w:t>
            </w:r>
            <w:r>
              <w:rPr>
                <w:rFonts w:asciiTheme="minorHAnsi" w:hAnsiTheme="minorHAnsi"/>
                <w:lang w:val="en-GB"/>
              </w:rPr>
              <w:t xml:space="preserve"> </w:t>
            </w:r>
            <w:r w:rsidRPr="00AC4E71">
              <w:rPr>
                <w:rFonts w:asciiTheme="minorHAnsi" w:hAnsiTheme="minorHAnsi"/>
                <w:lang w:val="en-GB"/>
              </w:rPr>
              <w:t>Stockholm Convention</w:t>
            </w:r>
            <w:r>
              <w:rPr>
                <w:rFonts w:asciiTheme="minorHAnsi" w:hAnsiTheme="minorHAnsi"/>
                <w:lang w:val="en-GB"/>
              </w:rPr>
              <w:t xml:space="preserve"> </w:t>
            </w:r>
            <w:r w:rsidRPr="00AC4E71">
              <w:rPr>
                <w:rFonts w:asciiTheme="minorHAnsi" w:hAnsiTheme="minorHAnsi"/>
                <w:lang w:val="en-GB"/>
              </w:rPr>
              <w:t>supported</w:t>
            </w:r>
          </w:p>
          <w:p w14:paraId="61A20AC9" w14:textId="67507907" w:rsidR="00694F35" w:rsidRDefault="00AC4E71" w:rsidP="00AC4E71">
            <w:pPr>
              <w:pStyle w:val="BodyText2"/>
              <w:jc w:val="both"/>
              <w:rPr>
                <w:rFonts w:asciiTheme="minorHAnsi" w:hAnsiTheme="minorHAnsi"/>
                <w:lang w:val="en-GB"/>
              </w:rPr>
            </w:pPr>
            <w:r w:rsidRPr="00AC4E71">
              <w:rPr>
                <w:rFonts w:asciiTheme="minorHAnsi" w:hAnsiTheme="minorHAnsi"/>
                <w:lang w:val="en-GB"/>
              </w:rPr>
              <w:t>3. National capacities for</w:t>
            </w:r>
            <w:r>
              <w:rPr>
                <w:rFonts w:asciiTheme="minorHAnsi" w:hAnsiTheme="minorHAnsi"/>
                <w:lang w:val="en-GB"/>
              </w:rPr>
              <w:t xml:space="preserve"> </w:t>
            </w:r>
            <w:r w:rsidRPr="00AC4E71">
              <w:rPr>
                <w:rFonts w:asciiTheme="minorHAnsi" w:hAnsiTheme="minorHAnsi"/>
                <w:lang w:val="en-GB"/>
              </w:rPr>
              <w:t>mitigation and</w:t>
            </w:r>
            <w:r>
              <w:rPr>
                <w:rFonts w:asciiTheme="minorHAnsi" w:hAnsiTheme="minorHAnsi"/>
                <w:lang w:val="en-GB"/>
              </w:rPr>
              <w:t xml:space="preserve"> </w:t>
            </w:r>
            <w:r w:rsidRPr="00AC4E71">
              <w:rPr>
                <w:rFonts w:asciiTheme="minorHAnsi" w:hAnsiTheme="minorHAnsi"/>
                <w:lang w:val="en-GB"/>
              </w:rPr>
              <w:t>adaptation to Climate</w:t>
            </w:r>
            <w:r>
              <w:rPr>
                <w:rFonts w:asciiTheme="minorHAnsi" w:hAnsiTheme="minorHAnsi"/>
                <w:lang w:val="en-GB"/>
              </w:rPr>
              <w:t xml:space="preserve"> </w:t>
            </w:r>
            <w:r w:rsidRPr="00AC4E71">
              <w:rPr>
                <w:rFonts w:asciiTheme="minorHAnsi" w:hAnsiTheme="minorHAnsi"/>
                <w:lang w:val="en-GB"/>
              </w:rPr>
              <w:t>Change supported</w:t>
            </w:r>
          </w:p>
          <w:p w14:paraId="153FF10A" w14:textId="77777777" w:rsidR="00AC4E71" w:rsidRPr="00B62C4A" w:rsidRDefault="00AC4E71" w:rsidP="00AC4E71">
            <w:pPr>
              <w:pStyle w:val="BodyText2"/>
              <w:jc w:val="both"/>
              <w:rPr>
                <w:rFonts w:asciiTheme="minorHAnsi" w:hAnsiTheme="minorHAnsi"/>
              </w:rPr>
            </w:pPr>
          </w:p>
          <w:p w14:paraId="2084BB01" w14:textId="77777777" w:rsidR="00694F35" w:rsidRPr="004B31A6" w:rsidRDefault="00694F35" w:rsidP="00E74058">
            <w:pPr>
              <w:pStyle w:val="BodyText2"/>
              <w:jc w:val="both"/>
              <w:rPr>
                <w:rFonts w:asciiTheme="minorHAnsi" w:hAnsiTheme="minorHAnsi"/>
                <w:sz w:val="24"/>
              </w:rPr>
            </w:pPr>
            <w:r w:rsidRPr="004B31A6">
              <w:rPr>
                <w:rFonts w:asciiTheme="minorHAnsi" w:hAnsiTheme="minorHAnsi"/>
                <w:sz w:val="24"/>
                <w:u w:val="single"/>
              </w:rPr>
              <w:t>Progress and Achievements</w:t>
            </w:r>
            <w:r w:rsidRPr="004B31A6">
              <w:rPr>
                <w:rFonts w:asciiTheme="minorHAnsi" w:hAnsiTheme="minorHAnsi"/>
                <w:sz w:val="24"/>
              </w:rPr>
              <w:t>:</w:t>
            </w:r>
          </w:p>
          <w:p w14:paraId="73DFD05F" w14:textId="77777777" w:rsidR="00321FD2" w:rsidRPr="00321FD2" w:rsidRDefault="00321FD2" w:rsidP="00321FD2">
            <w:pPr>
              <w:widowControl/>
              <w:autoSpaceDE w:val="0"/>
              <w:autoSpaceDN w:val="0"/>
              <w:adjustRightInd w:val="0"/>
              <w:jc w:val="both"/>
              <w:rPr>
                <w:rFonts w:asciiTheme="minorHAnsi" w:hAnsiTheme="minorHAnsi"/>
                <w:b/>
                <w:sz w:val="20"/>
              </w:rPr>
            </w:pPr>
            <w:r w:rsidRPr="00321FD2">
              <w:rPr>
                <w:rFonts w:asciiTheme="minorHAnsi" w:hAnsiTheme="minorHAnsi"/>
                <w:b/>
                <w:sz w:val="20"/>
              </w:rPr>
              <w:t xml:space="preserve">Sustainable development </w:t>
            </w:r>
          </w:p>
          <w:p w14:paraId="6C49D2EE" w14:textId="77777777" w:rsidR="00321FD2" w:rsidRPr="00321FD2" w:rsidRDefault="00321FD2" w:rsidP="00321FD2">
            <w:pPr>
              <w:widowControl/>
              <w:autoSpaceDE w:val="0"/>
              <w:autoSpaceDN w:val="0"/>
              <w:adjustRightInd w:val="0"/>
              <w:jc w:val="both"/>
              <w:rPr>
                <w:rFonts w:asciiTheme="minorHAnsi" w:hAnsiTheme="minorHAnsi"/>
                <w:sz w:val="20"/>
              </w:rPr>
            </w:pPr>
            <w:r w:rsidRPr="00321FD2">
              <w:rPr>
                <w:rFonts w:asciiTheme="minorHAnsi" w:hAnsiTheme="minorHAnsi"/>
                <w:sz w:val="20"/>
              </w:rPr>
              <w:t>Integrated and sustainable management of different ecosystems has been piloted in 40 areas through application of watershed level models and ecosystem approach that ensure participation of all stakeholder groups. All mechanisms are underpinned appropriate financial tools/mechanisms with source of funds varying from national/provincial budgets to locally established managed funds relying on members’ savings. Establishment of the National Committee for Conservation of Wetland Ecosystems has been catalyzed which is functioning based on adoption of Conservation, Restoration and Sustainable Use of Wetlands Bill in the Parliament. The national Programme for Conservation and Sustainable Development of Central Zagros Mountains drafted which is supported by a laws and policy framework though the Programme is not finalized and applied. Green Development Strategy (GDS) for Caspian Hyrcanian forests was drafted as an overarching strategy for multipurpose management of forest landscapes in northern Iran. GDS is proposed to be incorporated into National Forest Programme while implementation of GDS is assumed to be supported through the 6th 5Year National development Plan (5YNDP).</w:t>
            </w:r>
          </w:p>
          <w:p w14:paraId="672DEF91" w14:textId="77777777" w:rsidR="00321FD2" w:rsidRPr="00321FD2" w:rsidRDefault="00321FD2" w:rsidP="00321FD2">
            <w:pPr>
              <w:widowControl/>
              <w:autoSpaceDE w:val="0"/>
              <w:autoSpaceDN w:val="0"/>
              <w:adjustRightInd w:val="0"/>
              <w:jc w:val="both"/>
              <w:rPr>
                <w:rFonts w:asciiTheme="minorHAnsi" w:hAnsiTheme="minorHAnsi"/>
                <w:sz w:val="20"/>
              </w:rPr>
            </w:pPr>
          </w:p>
          <w:p w14:paraId="684C784C" w14:textId="77777777" w:rsidR="00321FD2" w:rsidRPr="00321FD2" w:rsidRDefault="00321FD2" w:rsidP="00321FD2">
            <w:pPr>
              <w:widowControl/>
              <w:autoSpaceDE w:val="0"/>
              <w:autoSpaceDN w:val="0"/>
              <w:adjustRightInd w:val="0"/>
              <w:jc w:val="both"/>
              <w:rPr>
                <w:rFonts w:asciiTheme="minorHAnsi" w:hAnsiTheme="minorHAnsi"/>
                <w:sz w:val="20"/>
              </w:rPr>
            </w:pPr>
            <w:r w:rsidRPr="00321FD2">
              <w:rPr>
                <w:rFonts w:asciiTheme="minorHAnsi" w:hAnsiTheme="minorHAnsi"/>
                <w:sz w:val="20"/>
              </w:rPr>
              <w:t>3 initiatives were launched for integrating environmental economics into management planning and decision making. To ensure participation of local communities, different empowerment and community mobilization methods were applied through which raising awareness and improving local economy have been targeted. Sustainable alternative livelihood options were promoted and developed to improve local livelihoods and wellbeing and reducing pressure on biodiversity and natural resources. By end 2015, over 4,000 people benefited from interventions facilitated by UNDP projects as per sustainable alternative livelihood options.</w:t>
            </w:r>
          </w:p>
          <w:p w14:paraId="58AFE7A8" w14:textId="77777777" w:rsidR="00321FD2" w:rsidRPr="00321FD2" w:rsidRDefault="00321FD2" w:rsidP="00321FD2">
            <w:pPr>
              <w:widowControl/>
              <w:autoSpaceDE w:val="0"/>
              <w:autoSpaceDN w:val="0"/>
              <w:adjustRightInd w:val="0"/>
              <w:jc w:val="both"/>
              <w:rPr>
                <w:rFonts w:asciiTheme="minorHAnsi" w:hAnsiTheme="minorHAnsi"/>
                <w:sz w:val="20"/>
              </w:rPr>
            </w:pPr>
          </w:p>
          <w:p w14:paraId="6F56EF05" w14:textId="77777777" w:rsidR="00321FD2" w:rsidRPr="00321FD2" w:rsidRDefault="00321FD2" w:rsidP="00321FD2">
            <w:pPr>
              <w:widowControl/>
              <w:autoSpaceDE w:val="0"/>
              <w:autoSpaceDN w:val="0"/>
              <w:adjustRightInd w:val="0"/>
              <w:jc w:val="both"/>
              <w:rPr>
                <w:rFonts w:asciiTheme="minorHAnsi" w:hAnsiTheme="minorHAnsi"/>
                <w:sz w:val="20"/>
              </w:rPr>
            </w:pPr>
            <w:r w:rsidRPr="00321FD2">
              <w:rPr>
                <w:rFonts w:asciiTheme="minorHAnsi" w:hAnsiTheme="minorHAnsi"/>
                <w:sz w:val="20"/>
              </w:rPr>
              <w:t>Participatory natural resources management model which was developed through UNDP’s technical and capacity development support was scaled up in 18 provinces over 23 pilot sites and 99 villages encompassing 44,272 households in a total area of 1,232,000 hectares. The project is now considered as a national model for rural development especially in drylands. This transformation and paradigm shift has conceptualized in a significant reduction in utilization of UNDP core resources and a leveraging noncore resources in the form of national co-financing of project activities. At least 600 people benefited from 50 alternative livelihoods through 17 local and 1 national livelihoods development plans. The number of newly formed Village Development Groups (VDGs) rose from 53 to 284 groups in 2015 and 47 microcredit funds (MCFs) set up. VDGs rehabilitated 1,530 hectares of degraded land and received Rials 1800 M of microcredit loans through Cooperatives and MCFs to run 268 productive and service sector loans. In total 20 training and extension programmes and 17 capacity building workshops on participatory natural resources management approaches were held for 550 facilitators. In addition, 14 capacity building workshops attended by provincial managers, social mobilization consultants and facilitators on deployment of participatory methods for empowerment of local communities, sustainable enterprise generation and local institution building has ensured ownership by local communities. There is a risk of hastily scale up of the project as the HR capacities may not be enough to take control of the process. Lessons learned from implementation of earlier phases of the project should be extracted and applied to ensure robust socioeconomic development results happen.</w:t>
            </w:r>
          </w:p>
          <w:p w14:paraId="751C8E98" w14:textId="77777777" w:rsidR="00321FD2" w:rsidRPr="00321FD2" w:rsidRDefault="00321FD2" w:rsidP="00321FD2">
            <w:pPr>
              <w:widowControl/>
              <w:autoSpaceDE w:val="0"/>
              <w:autoSpaceDN w:val="0"/>
              <w:adjustRightInd w:val="0"/>
              <w:jc w:val="both"/>
              <w:rPr>
                <w:rFonts w:asciiTheme="minorHAnsi" w:hAnsiTheme="minorHAnsi"/>
                <w:sz w:val="20"/>
              </w:rPr>
            </w:pPr>
          </w:p>
          <w:p w14:paraId="6397601E" w14:textId="77777777" w:rsidR="00321FD2" w:rsidRPr="00321FD2" w:rsidRDefault="00321FD2" w:rsidP="00321FD2">
            <w:pPr>
              <w:widowControl/>
              <w:autoSpaceDE w:val="0"/>
              <w:autoSpaceDN w:val="0"/>
              <w:adjustRightInd w:val="0"/>
              <w:jc w:val="both"/>
              <w:rPr>
                <w:rFonts w:asciiTheme="minorHAnsi" w:hAnsiTheme="minorHAnsi"/>
                <w:sz w:val="20"/>
              </w:rPr>
            </w:pPr>
            <w:r w:rsidRPr="00321FD2">
              <w:rPr>
                <w:rFonts w:asciiTheme="minorHAnsi" w:hAnsiTheme="minorHAnsi"/>
                <w:sz w:val="20"/>
              </w:rPr>
              <w:t>National model for Integrated Natural Resources Management (INRM) was developed in close consultation with different stakeholder. The model now is institutionalized and being up-scaled in 13 provinces where 40 group leaders were trained and are in charge of participatory development and implementation of INRMs.</w:t>
            </w:r>
          </w:p>
          <w:p w14:paraId="414F4553" w14:textId="77777777" w:rsidR="00321FD2" w:rsidRPr="00321FD2" w:rsidRDefault="00321FD2" w:rsidP="00321FD2">
            <w:pPr>
              <w:widowControl/>
              <w:autoSpaceDE w:val="0"/>
              <w:autoSpaceDN w:val="0"/>
              <w:adjustRightInd w:val="0"/>
              <w:jc w:val="both"/>
              <w:rPr>
                <w:rFonts w:asciiTheme="minorHAnsi" w:hAnsiTheme="minorHAnsi"/>
                <w:sz w:val="20"/>
              </w:rPr>
            </w:pPr>
          </w:p>
          <w:p w14:paraId="1923669C" w14:textId="77777777" w:rsidR="00321FD2" w:rsidRPr="00321FD2" w:rsidRDefault="00321FD2" w:rsidP="00321FD2">
            <w:pPr>
              <w:widowControl/>
              <w:autoSpaceDE w:val="0"/>
              <w:autoSpaceDN w:val="0"/>
              <w:adjustRightInd w:val="0"/>
              <w:jc w:val="both"/>
              <w:rPr>
                <w:rFonts w:asciiTheme="minorHAnsi" w:hAnsiTheme="minorHAnsi"/>
                <w:sz w:val="20"/>
              </w:rPr>
            </w:pPr>
            <w:r w:rsidRPr="00321FD2">
              <w:rPr>
                <w:rFonts w:asciiTheme="minorHAnsi" w:hAnsiTheme="minorHAnsi"/>
                <w:sz w:val="20"/>
              </w:rPr>
              <w:t>In Cheetah habitats, enhanced protection and implementation of the participatory livestock model in Touran and Miandasht manifested in an increase in prey population by about 20% and decrease in poaching violations by about 30%. To explore and test protected area sustainable financing models, an innovative community reserve piloted over 130,000 hectares in Yazd province has been designated and already under protection by communities.</w:t>
            </w:r>
          </w:p>
          <w:p w14:paraId="7E241FE5" w14:textId="77777777" w:rsidR="00321FD2" w:rsidRPr="00321FD2" w:rsidRDefault="00321FD2" w:rsidP="00321FD2">
            <w:pPr>
              <w:widowControl/>
              <w:autoSpaceDE w:val="0"/>
              <w:autoSpaceDN w:val="0"/>
              <w:adjustRightInd w:val="0"/>
              <w:jc w:val="both"/>
              <w:rPr>
                <w:rFonts w:asciiTheme="minorHAnsi" w:hAnsiTheme="minorHAnsi"/>
                <w:sz w:val="20"/>
              </w:rPr>
            </w:pPr>
          </w:p>
          <w:p w14:paraId="4AE8A15B" w14:textId="77777777" w:rsidR="00321FD2" w:rsidRPr="00321FD2" w:rsidRDefault="00321FD2" w:rsidP="00321FD2">
            <w:pPr>
              <w:widowControl/>
              <w:autoSpaceDE w:val="0"/>
              <w:autoSpaceDN w:val="0"/>
              <w:adjustRightInd w:val="0"/>
              <w:jc w:val="both"/>
              <w:rPr>
                <w:rFonts w:asciiTheme="minorHAnsi" w:hAnsiTheme="minorHAnsi"/>
                <w:sz w:val="20"/>
              </w:rPr>
            </w:pPr>
            <w:r w:rsidRPr="00321FD2">
              <w:rPr>
                <w:rFonts w:asciiTheme="minorHAnsi" w:hAnsiTheme="minorHAnsi"/>
                <w:sz w:val="20"/>
              </w:rPr>
              <w:t>Participatory Integrated Wetlands Management Planning (PIWMP) was up-scaled in 5 wetland PAs and is underway in 7 more. The model was adopted and funded for upscaling in 50 wetland Protected Areas. Integrated Participatory Crop Management was implemented in 41 villages covering 30,000 hectares in Lake Urmia basin to contribute to restoration of Lake Urmia.</w:t>
            </w:r>
          </w:p>
          <w:p w14:paraId="598301FD" w14:textId="77777777" w:rsidR="00321FD2" w:rsidRPr="00321FD2" w:rsidRDefault="00321FD2" w:rsidP="00321FD2">
            <w:pPr>
              <w:widowControl/>
              <w:autoSpaceDE w:val="0"/>
              <w:autoSpaceDN w:val="0"/>
              <w:adjustRightInd w:val="0"/>
              <w:jc w:val="both"/>
              <w:rPr>
                <w:rFonts w:asciiTheme="minorHAnsi" w:hAnsiTheme="minorHAnsi"/>
                <w:sz w:val="20"/>
              </w:rPr>
            </w:pPr>
          </w:p>
          <w:p w14:paraId="11F03043" w14:textId="77777777" w:rsidR="00321FD2" w:rsidRPr="00321FD2" w:rsidRDefault="00321FD2" w:rsidP="00321FD2">
            <w:pPr>
              <w:widowControl/>
              <w:autoSpaceDE w:val="0"/>
              <w:autoSpaceDN w:val="0"/>
              <w:adjustRightInd w:val="0"/>
              <w:jc w:val="both"/>
              <w:rPr>
                <w:rFonts w:asciiTheme="minorHAnsi" w:hAnsiTheme="minorHAnsi"/>
                <w:b/>
                <w:sz w:val="20"/>
              </w:rPr>
            </w:pPr>
            <w:r w:rsidRPr="00321FD2">
              <w:rPr>
                <w:rFonts w:asciiTheme="minorHAnsi" w:hAnsiTheme="minorHAnsi"/>
                <w:b/>
                <w:sz w:val="20"/>
              </w:rPr>
              <w:t xml:space="preserve">Montreal Protocol </w:t>
            </w:r>
          </w:p>
          <w:p w14:paraId="46783CA7" w14:textId="77777777" w:rsidR="00321FD2" w:rsidRPr="00321FD2" w:rsidRDefault="00321FD2" w:rsidP="00321FD2">
            <w:pPr>
              <w:widowControl/>
              <w:autoSpaceDE w:val="0"/>
              <w:autoSpaceDN w:val="0"/>
              <w:adjustRightInd w:val="0"/>
              <w:jc w:val="both"/>
              <w:rPr>
                <w:rFonts w:asciiTheme="minorHAnsi" w:hAnsiTheme="minorHAnsi"/>
                <w:sz w:val="20"/>
              </w:rPr>
            </w:pPr>
            <w:r w:rsidRPr="00321FD2">
              <w:rPr>
                <w:rFonts w:asciiTheme="minorHAnsi" w:hAnsiTheme="minorHAnsi"/>
                <w:sz w:val="20"/>
              </w:rPr>
              <w:t>National frameworks and mechanisms for management of ODSs (i.e. HCFCs) under the Montreal Protocol established and strengthened. This includes enforcement of regulatory measures for HCFC phasedown and effective monitoring of converted ODS consuming units through National Ozone Cells throughout the country. Control and enforcement of HCFC importation quota was conducted through coordination by the multi-sectoral</w:t>
            </w:r>
          </w:p>
          <w:p w14:paraId="0DBBA2FF" w14:textId="77777777" w:rsidR="00321FD2" w:rsidRPr="00321FD2" w:rsidRDefault="00321FD2" w:rsidP="00321FD2">
            <w:pPr>
              <w:widowControl/>
              <w:autoSpaceDE w:val="0"/>
              <w:autoSpaceDN w:val="0"/>
              <w:adjustRightInd w:val="0"/>
              <w:jc w:val="both"/>
              <w:rPr>
                <w:rFonts w:asciiTheme="minorHAnsi" w:hAnsiTheme="minorHAnsi"/>
                <w:sz w:val="20"/>
              </w:rPr>
            </w:pPr>
            <w:r w:rsidRPr="00321FD2">
              <w:rPr>
                <w:rFonts w:asciiTheme="minorHAnsi" w:hAnsiTheme="minorHAnsi"/>
                <w:sz w:val="20"/>
              </w:rPr>
              <w:t>Quota Allocation Committee. Smuggling activities were also controlled through registration of issued licenses to ODS importers and countering counterfeit importation activities. Public awareness and educational campaigns were held for ODS importers and relevant industries to change behavior of target groups. In addition, commercial production of 7 types of domestic A/Cs achieved at Mehrasl Mfg. Co. based on R410Abased technology has led to the elimination of 532.72 MT of HCFC22.</w:t>
            </w:r>
          </w:p>
          <w:p w14:paraId="7268B952" w14:textId="77777777" w:rsidR="00321FD2" w:rsidRDefault="00321FD2" w:rsidP="00321FD2">
            <w:pPr>
              <w:widowControl/>
              <w:autoSpaceDE w:val="0"/>
              <w:autoSpaceDN w:val="0"/>
              <w:adjustRightInd w:val="0"/>
              <w:jc w:val="both"/>
              <w:rPr>
                <w:rFonts w:asciiTheme="minorHAnsi" w:hAnsiTheme="minorHAnsi"/>
                <w:sz w:val="20"/>
              </w:rPr>
            </w:pPr>
          </w:p>
          <w:p w14:paraId="3A6C4487" w14:textId="77777777" w:rsidR="007705AD" w:rsidRPr="00321FD2" w:rsidRDefault="007705AD" w:rsidP="00321FD2">
            <w:pPr>
              <w:widowControl/>
              <w:autoSpaceDE w:val="0"/>
              <w:autoSpaceDN w:val="0"/>
              <w:adjustRightInd w:val="0"/>
              <w:jc w:val="both"/>
              <w:rPr>
                <w:rFonts w:asciiTheme="minorHAnsi" w:hAnsiTheme="minorHAnsi"/>
                <w:sz w:val="20"/>
              </w:rPr>
            </w:pPr>
          </w:p>
          <w:p w14:paraId="369A70D5" w14:textId="77777777" w:rsidR="00321FD2" w:rsidRPr="00321FD2" w:rsidRDefault="00321FD2" w:rsidP="00321FD2">
            <w:pPr>
              <w:widowControl/>
              <w:autoSpaceDE w:val="0"/>
              <w:autoSpaceDN w:val="0"/>
              <w:adjustRightInd w:val="0"/>
              <w:jc w:val="both"/>
              <w:rPr>
                <w:rFonts w:asciiTheme="minorHAnsi" w:hAnsiTheme="minorHAnsi"/>
                <w:b/>
                <w:sz w:val="20"/>
              </w:rPr>
            </w:pPr>
            <w:r w:rsidRPr="00321FD2">
              <w:rPr>
                <w:rFonts w:asciiTheme="minorHAnsi" w:hAnsiTheme="minorHAnsi"/>
                <w:b/>
                <w:sz w:val="20"/>
              </w:rPr>
              <w:t>Climate change</w:t>
            </w:r>
          </w:p>
          <w:p w14:paraId="7DE5368D" w14:textId="668DD10C" w:rsidR="000C2317" w:rsidRPr="001B3A1A" w:rsidRDefault="00321FD2" w:rsidP="001B3A1A">
            <w:pPr>
              <w:widowControl/>
              <w:autoSpaceDE w:val="0"/>
              <w:autoSpaceDN w:val="0"/>
              <w:adjustRightInd w:val="0"/>
              <w:jc w:val="both"/>
              <w:rPr>
                <w:rFonts w:asciiTheme="minorHAnsi" w:hAnsiTheme="minorHAnsi"/>
                <w:sz w:val="20"/>
              </w:rPr>
            </w:pPr>
            <w:r w:rsidRPr="00321FD2">
              <w:rPr>
                <w:rFonts w:asciiTheme="minorHAnsi" w:hAnsiTheme="minorHAnsi"/>
                <w:sz w:val="20"/>
              </w:rPr>
              <w:t>Consultation meetings were held with midlevel managers and experts in different sector agencies to arrive at a strategic document on mainstreaming of climate change in national and sectoral development planning. Draft Mitigation Policies and draft National Adaptation Plan were prepared which are under review. A proposal for inclusion of Climate Change provisions in the 6th 5YNDP was submitted which includes: Carbon Exchange, its legal regime and budget requirements. 3rd National Communication to the UNFCCC was drafted which is under finalization. Iran’s Intended Nationally Determined Contributions finalized on 8 November 2015 with the participation of ministers for petroleum, industries and power and submitted to Paris COP 21.</w:t>
            </w:r>
          </w:p>
          <w:p w14:paraId="666A02B3" w14:textId="49FFF13E" w:rsidR="00661871" w:rsidRPr="00DC7354" w:rsidRDefault="00661871" w:rsidP="00661871">
            <w:pPr>
              <w:widowControl/>
              <w:autoSpaceDE w:val="0"/>
              <w:autoSpaceDN w:val="0"/>
              <w:adjustRightInd w:val="0"/>
              <w:jc w:val="both"/>
              <w:rPr>
                <w:rFonts w:asciiTheme="minorHAnsi" w:hAnsiTheme="minorHAnsi"/>
              </w:rPr>
            </w:pPr>
          </w:p>
        </w:tc>
      </w:tr>
      <w:tr w:rsidR="00FC400F" w:rsidRPr="00DC7354" w14:paraId="6ADC98CB" w14:textId="77777777" w:rsidTr="00C40881">
        <w:tc>
          <w:tcPr>
            <w:tcW w:w="3150" w:type="dxa"/>
          </w:tcPr>
          <w:p w14:paraId="3AB1F473" w14:textId="65490993" w:rsidR="00FC400F" w:rsidRPr="00DC7354" w:rsidRDefault="00FC400F" w:rsidP="00C40881">
            <w:pPr>
              <w:pStyle w:val="BodyText2"/>
              <w:jc w:val="both"/>
              <w:rPr>
                <w:rFonts w:asciiTheme="minorHAnsi" w:hAnsiTheme="minorHAnsi"/>
                <w:b/>
                <w:sz w:val="24"/>
              </w:rPr>
            </w:pPr>
            <w:r w:rsidRPr="00DC7354">
              <w:rPr>
                <w:rFonts w:asciiTheme="minorHAnsi" w:hAnsiTheme="minorHAnsi"/>
                <w:b/>
                <w:sz w:val="24"/>
              </w:rPr>
              <w:lastRenderedPageBreak/>
              <w:t>Outcome</w:t>
            </w:r>
            <w:r>
              <w:rPr>
                <w:rFonts w:asciiTheme="minorHAnsi" w:hAnsiTheme="minorHAnsi"/>
                <w:b/>
                <w:sz w:val="24"/>
              </w:rPr>
              <w:t xml:space="preserve"> </w:t>
            </w:r>
            <w:r w:rsidR="00F73BA8">
              <w:rPr>
                <w:rFonts w:asciiTheme="minorHAnsi" w:hAnsiTheme="minorHAnsi"/>
                <w:b/>
                <w:sz w:val="24"/>
              </w:rPr>
              <w:t>5</w:t>
            </w:r>
          </w:p>
        </w:tc>
        <w:tc>
          <w:tcPr>
            <w:tcW w:w="1440" w:type="dxa"/>
            <w:shd w:val="clear" w:color="auto" w:fill="auto"/>
          </w:tcPr>
          <w:p w14:paraId="57FBB87E" w14:textId="77777777" w:rsidR="00FC400F" w:rsidRPr="005F6261" w:rsidRDefault="00FC400F" w:rsidP="00C40881">
            <w:pPr>
              <w:pStyle w:val="BodyText2"/>
              <w:jc w:val="both"/>
              <w:rPr>
                <w:rFonts w:asciiTheme="minorHAnsi" w:hAnsiTheme="minorHAnsi"/>
                <w:b/>
                <w:sz w:val="22"/>
              </w:rPr>
            </w:pPr>
            <w:r w:rsidRPr="005F6261">
              <w:rPr>
                <w:rFonts w:asciiTheme="minorHAnsi" w:hAnsiTheme="minorHAnsi"/>
                <w:b/>
                <w:sz w:val="22"/>
              </w:rPr>
              <w:t>Total Expenditure</w:t>
            </w:r>
          </w:p>
        </w:tc>
        <w:tc>
          <w:tcPr>
            <w:tcW w:w="3960" w:type="dxa"/>
            <w:tcBorders>
              <w:left w:val="single" w:sz="4" w:space="0" w:color="auto"/>
            </w:tcBorders>
          </w:tcPr>
          <w:p w14:paraId="6EE19602" w14:textId="77777777" w:rsidR="00FC400F" w:rsidRPr="005F6261" w:rsidRDefault="00FC400F" w:rsidP="00C40881">
            <w:pPr>
              <w:pStyle w:val="BodyText2"/>
              <w:jc w:val="both"/>
              <w:rPr>
                <w:rFonts w:asciiTheme="minorHAnsi" w:hAnsiTheme="minorHAnsi"/>
                <w:b/>
                <w:sz w:val="22"/>
              </w:rPr>
            </w:pPr>
            <w:r w:rsidRPr="005F6261">
              <w:rPr>
                <w:rFonts w:asciiTheme="minorHAnsi" w:hAnsiTheme="minorHAnsi"/>
                <w:b/>
                <w:sz w:val="22"/>
              </w:rPr>
              <w:t>Key Indicators of outcome (1-4 per outcome)</w:t>
            </w:r>
          </w:p>
        </w:tc>
        <w:tc>
          <w:tcPr>
            <w:tcW w:w="5490" w:type="dxa"/>
          </w:tcPr>
          <w:p w14:paraId="5F44BB91" w14:textId="77777777" w:rsidR="00FC400F" w:rsidRPr="005F6261" w:rsidRDefault="00FC400F" w:rsidP="00C40881">
            <w:pPr>
              <w:pStyle w:val="BodyText2"/>
              <w:jc w:val="both"/>
              <w:rPr>
                <w:rFonts w:asciiTheme="minorHAnsi" w:hAnsiTheme="minorHAnsi"/>
                <w:b/>
                <w:sz w:val="22"/>
              </w:rPr>
            </w:pPr>
            <w:r w:rsidRPr="005F6261">
              <w:rPr>
                <w:rFonts w:asciiTheme="minorHAnsi" w:hAnsiTheme="minorHAnsi"/>
                <w:b/>
                <w:sz w:val="22"/>
              </w:rPr>
              <w:t>Progress made against key indicators</w:t>
            </w:r>
          </w:p>
        </w:tc>
      </w:tr>
      <w:tr w:rsidR="00694F35" w:rsidRPr="00DC7354" w14:paraId="733AEE8C" w14:textId="77777777" w:rsidTr="00FC400F">
        <w:tc>
          <w:tcPr>
            <w:tcW w:w="3150" w:type="dxa"/>
            <w:tcBorders>
              <w:bottom w:val="single" w:sz="4" w:space="0" w:color="auto"/>
            </w:tcBorders>
            <w:shd w:val="clear" w:color="auto" w:fill="95B3D7" w:themeFill="accent1" w:themeFillTint="99"/>
          </w:tcPr>
          <w:p w14:paraId="1EC44627" w14:textId="5EAED2D4" w:rsidR="00AC4E71" w:rsidRPr="00AC4E71" w:rsidRDefault="00AC4E71" w:rsidP="00AC4E71">
            <w:pPr>
              <w:pStyle w:val="BodyText2"/>
              <w:jc w:val="both"/>
              <w:rPr>
                <w:rFonts w:asciiTheme="minorHAnsi" w:hAnsiTheme="minorHAnsi"/>
                <w:lang w:val="en-GB"/>
              </w:rPr>
            </w:pPr>
            <w:r w:rsidRPr="00AC4E71">
              <w:rPr>
                <w:rFonts w:asciiTheme="minorHAnsi" w:hAnsiTheme="minorHAnsi"/>
                <w:b/>
                <w:bCs/>
                <w:lang w:val="en-GB"/>
              </w:rPr>
              <w:t>UNDAF/Country programme Outcome 5</w:t>
            </w:r>
            <w:r w:rsidRPr="00AC4E71">
              <w:rPr>
                <w:rFonts w:asciiTheme="minorHAnsi" w:hAnsiTheme="minorHAnsi"/>
                <w:b/>
                <w:lang w:val="en-GB"/>
              </w:rPr>
              <w:t xml:space="preserve">: </w:t>
            </w:r>
            <w:r w:rsidRPr="00AC4E71">
              <w:rPr>
                <w:rFonts w:asciiTheme="minorHAnsi" w:hAnsiTheme="minorHAnsi"/>
                <w:lang w:val="en-GB"/>
              </w:rPr>
              <w:t>Disaster risk reduction and management concepts and standards integrated into national development policies/programmes and</w:t>
            </w:r>
            <w:r>
              <w:rPr>
                <w:rFonts w:asciiTheme="minorHAnsi" w:hAnsiTheme="minorHAnsi"/>
                <w:lang w:val="en-GB"/>
              </w:rPr>
              <w:t xml:space="preserve"> </w:t>
            </w:r>
            <w:r w:rsidRPr="00AC4E71">
              <w:rPr>
                <w:rFonts w:asciiTheme="minorHAnsi" w:hAnsiTheme="minorHAnsi"/>
                <w:lang w:val="en-GB"/>
              </w:rPr>
              <w:t>institutional, operational and coordination capacities for effective disaster risk reduction and response strengthened</w:t>
            </w:r>
          </w:p>
          <w:p w14:paraId="0BEE299C" w14:textId="73DAF1B1" w:rsidR="00694F35" w:rsidRPr="000823AC" w:rsidRDefault="00694F35" w:rsidP="00AC4E71">
            <w:pPr>
              <w:pStyle w:val="BodyText2"/>
              <w:jc w:val="both"/>
              <w:rPr>
                <w:rFonts w:asciiTheme="minorHAnsi" w:hAnsiTheme="minorHAnsi"/>
                <w:b/>
              </w:rPr>
            </w:pPr>
          </w:p>
        </w:tc>
        <w:tc>
          <w:tcPr>
            <w:tcW w:w="1440" w:type="dxa"/>
            <w:tcBorders>
              <w:bottom w:val="single" w:sz="4" w:space="0" w:color="auto"/>
            </w:tcBorders>
            <w:shd w:val="clear" w:color="auto" w:fill="auto"/>
          </w:tcPr>
          <w:p w14:paraId="4ABF018A" w14:textId="532579E1" w:rsidR="00694F35" w:rsidRPr="00DC7354" w:rsidRDefault="00694F35" w:rsidP="00E74058">
            <w:pPr>
              <w:pStyle w:val="BodyText2"/>
              <w:jc w:val="both"/>
              <w:rPr>
                <w:rFonts w:asciiTheme="minorHAnsi" w:hAnsiTheme="minorHAnsi"/>
              </w:rPr>
            </w:pPr>
          </w:p>
        </w:tc>
        <w:tc>
          <w:tcPr>
            <w:tcW w:w="3960" w:type="dxa"/>
            <w:tcBorders>
              <w:left w:val="single" w:sz="4" w:space="0" w:color="auto"/>
              <w:bottom w:val="single" w:sz="4" w:space="0" w:color="auto"/>
            </w:tcBorders>
          </w:tcPr>
          <w:p w14:paraId="7D678AE6" w14:textId="4A5FF3B4" w:rsidR="00AC4E71" w:rsidRPr="00AC4E71" w:rsidRDefault="00AC4E71" w:rsidP="00AC4E71">
            <w:pPr>
              <w:pStyle w:val="BodyText2"/>
              <w:jc w:val="both"/>
              <w:rPr>
                <w:rFonts w:asciiTheme="minorHAnsi" w:hAnsiTheme="minorHAnsi"/>
                <w:i/>
                <w:lang w:val="en-GB"/>
              </w:rPr>
            </w:pPr>
            <w:r w:rsidRPr="00AC4E71">
              <w:rPr>
                <w:rFonts w:asciiTheme="minorHAnsi" w:hAnsiTheme="minorHAnsi"/>
                <w:b/>
                <w:bCs/>
                <w:i/>
                <w:lang w:val="en-GB"/>
              </w:rPr>
              <w:t xml:space="preserve">Indicator 5.1: </w:t>
            </w:r>
            <w:r w:rsidRPr="00AC4E71">
              <w:rPr>
                <w:rFonts w:asciiTheme="minorHAnsi" w:hAnsiTheme="minorHAnsi"/>
                <w:i/>
                <w:lang w:val="en-GB"/>
              </w:rPr>
              <w:t>Number of multisectoral DRR and DRM plans</w:t>
            </w:r>
            <w:r>
              <w:rPr>
                <w:rFonts w:asciiTheme="minorHAnsi" w:hAnsiTheme="minorHAnsi"/>
                <w:i/>
                <w:lang w:val="en-GB"/>
              </w:rPr>
              <w:t xml:space="preserve"> </w:t>
            </w:r>
            <w:r w:rsidRPr="00AC4E71">
              <w:rPr>
                <w:rFonts w:asciiTheme="minorHAnsi" w:hAnsiTheme="minorHAnsi"/>
                <w:i/>
                <w:lang w:val="en-GB"/>
              </w:rPr>
              <w:t>developed</w:t>
            </w:r>
          </w:p>
          <w:p w14:paraId="634B244A" w14:textId="6B9ECF77" w:rsidR="00AC4E71" w:rsidRPr="00AC4E71" w:rsidRDefault="00AC4E71" w:rsidP="00AC4E71">
            <w:pPr>
              <w:pStyle w:val="BodyText2"/>
              <w:jc w:val="both"/>
              <w:rPr>
                <w:rFonts w:asciiTheme="minorHAnsi" w:hAnsiTheme="minorHAnsi"/>
                <w:i/>
                <w:lang w:val="en-GB"/>
              </w:rPr>
            </w:pPr>
            <w:r w:rsidRPr="00AC4E71">
              <w:rPr>
                <w:rFonts w:asciiTheme="minorHAnsi" w:hAnsiTheme="minorHAnsi"/>
                <w:b/>
                <w:bCs/>
                <w:i/>
                <w:lang w:val="en-GB"/>
              </w:rPr>
              <w:t xml:space="preserve">Baseline: </w:t>
            </w:r>
            <w:r w:rsidRPr="00AC4E71">
              <w:rPr>
                <w:rFonts w:asciiTheme="minorHAnsi" w:hAnsiTheme="minorHAnsi"/>
                <w:i/>
                <w:lang w:val="en-GB"/>
              </w:rPr>
              <w:t>5th National Development Plan does not have a specific</w:t>
            </w:r>
            <w:r>
              <w:rPr>
                <w:rFonts w:asciiTheme="minorHAnsi" w:hAnsiTheme="minorHAnsi"/>
                <w:i/>
                <w:lang w:val="en-GB"/>
              </w:rPr>
              <w:t xml:space="preserve"> </w:t>
            </w:r>
            <w:r w:rsidRPr="00AC4E71">
              <w:rPr>
                <w:rFonts w:asciiTheme="minorHAnsi" w:hAnsiTheme="minorHAnsi"/>
                <w:i/>
                <w:lang w:val="en-GB"/>
              </w:rPr>
              <w:t>chapter on DRR/DM.</w:t>
            </w:r>
          </w:p>
          <w:p w14:paraId="4ED3FEEF" w14:textId="348A0914" w:rsidR="00AC4E71" w:rsidRDefault="00AC4E71" w:rsidP="00AC4E71">
            <w:pPr>
              <w:pStyle w:val="BodyText2"/>
              <w:jc w:val="both"/>
              <w:rPr>
                <w:rFonts w:asciiTheme="minorHAnsi" w:hAnsiTheme="minorHAnsi"/>
                <w:i/>
                <w:lang w:val="en-GB"/>
              </w:rPr>
            </w:pPr>
            <w:r w:rsidRPr="00AC4E71">
              <w:rPr>
                <w:rFonts w:asciiTheme="minorHAnsi" w:hAnsiTheme="minorHAnsi"/>
                <w:b/>
                <w:bCs/>
                <w:i/>
                <w:lang w:val="en-GB"/>
              </w:rPr>
              <w:t xml:space="preserve">Target: </w:t>
            </w:r>
            <w:r w:rsidRPr="00AC4E71">
              <w:rPr>
                <w:rFonts w:asciiTheme="minorHAnsi" w:hAnsiTheme="minorHAnsi"/>
                <w:i/>
                <w:lang w:val="en-GB"/>
              </w:rPr>
              <w:t>By 2016, two sectoral plans that incorporate DRR/DM</w:t>
            </w:r>
            <w:r>
              <w:rPr>
                <w:rFonts w:asciiTheme="minorHAnsi" w:hAnsiTheme="minorHAnsi"/>
                <w:i/>
                <w:lang w:val="en-GB"/>
              </w:rPr>
              <w:t xml:space="preserve"> </w:t>
            </w:r>
            <w:r w:rsidRPr="00AC4E71">
              <w:rPr>
                <w:rFonts w:asciiTheme="minorHAnsi" w:hAnsiTheme="minorHAnsi"/>
                <w:i/>
                <w:lang w:val="en-GB"/>
              </w:rPr>
              <w:t>concepts</w:t>
            </w:r>
          </w:p>
          <w:p w14:paraId="2E8B0CF3" w14:textId="77777777" w:rsidR="00AC4E71" w:rsidRPr="00AC4E71" w:rsidRDefault="00AC4E71" w:rsidP="00AC4E71">
            <w:pPr>
              <w:pStyle w:val="BodyText2"/>
              <w:jc w:val="both"/>
              <w:rPr>
                <w:rFonts w:asciiTheme="minorHAnsi" w:hAnsiTheme="minorHAnsi"/>
                <w:i/>
                <w:lang w:val="en-GB"/>
              </w:rPr>
            </w:pPr>
          </w:p>
          <w:p w14:paraId="1C8C227D" w14:textId="77777777" w:rsidR="00966317" w:rsidRDefault="00966317" w:rsidP="00AC4E71">
            <w:pPr>
              <w:pStyle w:val="BodyText2"/>
              <w:jc w:val="both"/>
              <w:rPr>
                <w:rFonts w:asciiTheme="minorHAnsi" w:hAnsiTheme="minorHAnsi"/>
                <w:b/>
                <w:bCs/>
                <w:i/>
                <w:lang w:val="en-GB"/>
              </w:rPr>
            </w:pPr>
          </w:p>
          <w:p w14:paraId="20A63D4D" w14:textId="6E71661C" w:rsidR="00AC4E71" w:rsidRPr="00AC4E71" w:rsidRDefault="00AC4E71" w:rsidP="00AC4E71">
            <w:pPr>
              <w:pStyle w:val="BodyText2"/>
              <w:jc w:val="both"/>
              <w:rPr>
                <w:rFonts w:asciiTheme="minorHAnsi" w:hAnsiTheme="minorHAnsi"/>
                <w:i/>
                <w:lang w:val="en-GB"/>
              </w:rPr>
            </w:pPr>
            <w:r w:rsidRPr="00AC4E71">
              <w:rPr>
                <w:rFonts w:asciiTheme="minorHAnsi" w:hAnsiTheme="minorHAnsi"/>
                <w:b/>
                <w:bCs/>
                <w:i/>
                <w:lang w:val="en-GB"/>
              </w:rPr>
              <w:t xml:space="preserve">Indicator 5. 2: </w:t>
            </w:r>
            <w:r w:rsidRPr="00AC4E71">
              <w:rPr>
                <w:rFonts w:asciiTheme="minorHAnsi" w:hAnsiTheme="minorHAnsi"/>
                <w:i/>
                <w:lang w:val="en-GB"/>
              </w:rPr>
              <w:t>Tehran Disaster Preparedness, Response, Recovery</w:t>
            </w:r>
            <w:r>
              <w:rPr>
                <w:rFonts w:asciiTheme="minorHAnsi" w:hAnsiTheme="minorHAnsi"/>
                <w:i/>
                <w:lang w:val="en-GB"/>
              </w:rPr>
              <w:t xml:space="preserve"> </w:t>
            </w:r>
            <w:r w:rsidRPr="00AC4E71">
              <w:rPr>
                <w:rFonts w:asciiTheme="minorHAnsi" w:hAnsiTheme="minorHAnsi"/>
                <w:i/>
                <w:lang w:val="en-GB"/>
              </w:rPr>
              <w:t>and Reconstruction plan developed (Yes/No)</w:t>
            </w:r>
          </w:p>
          <w:p w14:paraId="57283476" w14:textId="3C9C6F67" w:rsidR="00AC4E71" w:rsidRPr="00AC4E71" w:rsidRDefault="00AC4E71" w:rsidP="00AC4E71">
            <w:pPr>
              <w:pStyle w:val="BodyText2"/>
              <w:jc w:val="both"/>
              <w:rPr>
                <w:rFonts w:asciiTheme="minorHAnsi" w:hAnsiTheme="minorHAnsi"/>
                <w:i/>
                <w:lang w:val="en-GB"/>
              </w:rPr>
            </w:pPr>
            <w:r w:rsidRPr="00AC4E71">
              <w:rPr>
                <w:rFonts w:asciiTheme="minorHAnsi" w:hAnsiTheme="minorHAnsi"/>
                <w:b/>
                <w:bCs/>
                <w:i/>
                <w:lang w:val="en-GB"/>
              </w:rPr>
              <w:t xml:space="preserve">Baseline: </w:t>
            </w:r>
            <w:r w:rsidRPr="00AC4E71">
              <w:rPr>
                <w:rFonts w:asciiTheme="minorHAnsi" w:hAnsiTheme="minorHAnsi"/>
                <w:i/>
                <w:lang w:val="en-GB"/>
              </w:rPr>
              <w:t>Urban planning in Tehran requires better resilience for</w:t>
            </w:r>
            <w:r>
              <w:rPr>
                <w:rFonts w:asciiTheme="minorHAnsi" w:hAnsiTheme="minorHAnsi"/>
                <w:i/>
                <w:lang w:val="en-GB"/>
              </w:rPr>
              <w:t xml:space="preserve"> </w:t>
            </w:r>
            <w:r w:rsidRPr="00AC4E71">
              <w:rPr>
                <w:rFonts w:asciiTheme="minorHAnsi" w:hAnsiTheme="minorHAnsi"/>
                <w:i/>
                <w:lang w:val="en-GB"/>
              </w:rPr>
              <w:t>earthquake risk and the oversight system in enforcement of national</w:t>
            </w:r>
            <w:r>
              <w:rPr>
                <w:rFonts w:asciiTheme="minorHAnsi" w:hAnsiTheme="minorHAnsi"/>
                <w:i/>
                <w:lang w:val="en-GB"/>
              </w:rPr>
              <w:t xml:space="preserve"> </w:t>
            </w:r>
            <w:r w:rsidRPr="00AC4E71">
              <w:rPr>
                <w:rFonts w:asciiTheme="minorHAnsi" w:hAnsiTheme="minorHAnsi"/>
                <w:i/>
                <w:lang w:val="en-GB"/>
              </w:rPr>
              <w:t>building codes needs strengthening</w:t>
            </w:r>
          </w:p>
          <w:p w14:paraId="69388CD5" w14:textId="0CD9C313" w:rsidR="00AC4E71" w:rsidRDefault="00AC4E71" w:rsidP="00AC4E71">
            <w:pPr>
              <w:pStyle w:val="BodyText2"/>
              <w:jc w:val="both"/>
              <w:rPr>
                <w:rFonts w:asciiTheme="minorHAnsi" w:hAnsiTheme="minorHAnsi"/>
                <w:i/>
                <w:lang w:val="en-GB"/>
              </w:rPr>
            </w:pPr>
            <w:r w:rsidRPr="00AC4E71">
              <w:rPr>
                <w:rFonts w:asciiTheme="minorHAnsi" w:hAnsiTheme="minorHAnsi"/>
                <w:b/>
                <w:bCs/>
                <w:i/>
                <w:lang w:val="en-GB"/>
              </w:rPr>
              <w:t xml:space="preserve">Target: </w:t>
            </w:r>
            <w:r w:rsidRPr="00AC4E71">
              <w:rPr>
                <w:rFonts w:asciiTheme="minorHAnsi" w:hAnsiTheme="minorHAnsi"/>
                <w:i/>
                <w:lang w:val="en-GB"/>
              </w:rPr>
              <w:t>By 2016, a comprehensive earthquake mitigation plan for</w:t>
            </w:r>
            <w:r>
              <w:rPr>
                <w:rFonts w:asciiTheme="minorHAnsi" w:hAnsiTheme="minorHAnsi"/>
                <w:i/>
                <w:lang w:val="en-GB"/>
              </w:rPr>
              <w:t xml:space="preserve"> </w:t>
            </w:r>
            <w:r w:rsidRPr="00AC4E71">
              <w:rPr>
                <w:rFonts w:asciiTheme="minorHAnsi" w:hAnsiTheme="minorHAnsi"/>
                <w:i/>
                <w:lang w:val="en-GB"/>
              </w:rPr>
              <w:t>Tehran is formulated and approved</w:t>
            </w:r>
          </w:p>
          <w:p w14:paraId="191D69E6" w14:textId="77777777" w:rsidR="00AC4E71" w:rsidRPr="00AC4E71" w:rsidRDefault="00AC4E71" w:rsidP="00AC4E71">
            <w:pPr>
              <w:pStyle w:val="BodyText2"/>
              <w:jc w:val="both"/>
              <w:rPr>
                <w:rFonts w:asciiTheme="minorHAnsi" w:hAnsiTheme="minorHAnsi"/>
                <w:i/>
                <w:lang w:val="en-GB"/>
              </w:rPr>
            </w:pPr>
          </w:p>
          <w:p w14:paraId="0B1EE275" w14:textId="6997A8FD" w:rsidR="00AC4E71" w:rsidRPr="00AC4E71" w:rsidRDefault="00AC4E71" w:rsidP="00AC4E71">
            <w:pPr>
              <w:pStyle w:val="BodyText2"/>
              <w:jc w:val="both"/>
              <w:rPr>
                <w:rFonts w:asciiTheme="minorHAnsi" w:hAnsiTheme="minorHAnsi"/>
                <w:i/>
                <w:lang w:val="en-GB"/>
              </w:rPr>
            </w:pPr>
            <w:r w:rsidRPr="00AC4E71">
              <w:rPr>
                <w:rFonts w:asciiTheme="minorHAnsi" w:hAnsiTheme="minorHAnsi"/>
                <w:b/>
                <w:bCs/>
                <w:i/>
                <w:lang w:val="en-GB"/>
              </w:rPr>
              <w:t xml:space="preserve">Indicator 5.3: </w:t>
            </w:r>
            <w:r w:rsidRPr="00AC4E71">
              <w:rPr>
                <w:rFonts w:asciiTheme="minorHAnsi" w:hAnsiTheme="minorHAnsi"/>
                <w:i/>
                <w:lang w:val="en-GB"/>
              </w:rPr>
              <w:t>Comprehensive DRR and DM training packages</w:t>
            </w:r>
            <w:r>
              <w:rPr>
                <w:rFonts w:asciiTheme="minorHAnsi" w:hAnsiTheme="minorHAnsi"/>
                <w:i/>
                <w:lang w:val="en-GB"/>
              </w:rPr>
              <w:t xml:space="preserve"> </w:t>
            </w:r>
            <w:r w:rsidRPr="00AC4E71">
              <w:rPr>
                <w:rFonts w:asciiTheme="minorHAnsi" w:hAnsiTheme="minorHAnsi"/>
                <w:i/>
                <w:lang w:val="en-GB"/>
              </w:rPr>
              <w:t>developed and community-based disaster risk management guidelines</w:t>
            </w:r>
            <w:r>
              <w:rPr>
                <w:rFonts w:asciiTheme="minorHAnsi" w:hAnsiTheme="minorHAnsi"/>
                <w:i/>
                <w:lang w:val="en-GB"/>
              </w:rPr>
              <w:t xml:space="preserve"> </w:t>
            </w:r>
            <w:r w:rsidRPr="00AC4E71">
              <w:rPr>
                <w:rFonts w:asciiTheme="minorHAnsi" w:hAnsiTheme="minorHAnsi"/>
                <w:i/>
                <w:lang w:val="en-GB"/>
              </w:rPr>
              <w:t>piloted.</w:t>
            </w:r>
          </w:p>
          <w:p w14:paraId="19B2BCB8" w14:textId="41E2DA28" w:rsidR="00AC4E71" w:rsidRPr="00AC4E71" w:rsidRDefault="00AC4E71" w:rsidP="00AC4E71">
            <w:pPr>
              <w:pStyle w:val="BodyText2"/>
              <w:jc w:val="both"/>
              <w:rPr>
                <w:rFonts w:asciiTheme="minorHAnsi" w:hAnsiTheme="minorHAnsi"/>
                <w:i/>
                <w:lang w:val="en-GB"/>
              </w:rPr>
            </w:pPr>
            <w:r w:rsidRPr="00AC4E71">
              <w:rPr>
                <w:rFonts w:asciiTheme="minorHAnsi" w:hAnsiTheme="minorHAnsi"/>
                <w:b/>
                <w:bCs/>
                <w:i/>
                <w:lang w:val="en-GB"/>
              </w:rPr>
              <w:t xml:space="preserve">Baseline: </w:t>
            </w:r>
            <w:r w:rsidRPr="00AC4E71">
              <w:rPr>
                <w:rFonts w:asciiTheme="minorHAnsi" w:hAnsiTheme="minorHAnsi"/>
                <w:i/>
                <w:lang w:val="en-GB"/>
              </w:rPr>
              <w:t>Disaster preparedness and response training manuals are</w:t>
            </w:r>
            <w:r>
              <w:rPr>
                <w:rFonts w:asciiTheme="minorHAnsi" w:hAnsiTheme="minorHAnsi"/>
                <w:i/>
                <w:lang w:val="en-GB"/>
              </w:rPr>
              <w:t xml:space="preserve"> </w:t>
            </w:r>
            <w:r w:rsidRPr="00AC4E71">
              <w:rPr>
                <w:rFonts w:asciiTheme="minorHAnsi" w:hAnsiTheme="minorHAnsi"/>
                <w:i/>
                <w:lang w:val="en-GB"/>
              </w:rPr>
              <w:t>available.</w:t>
            </w:r>
          </w:p>
          <w:p w14:paraId="2A9A3A0D" w14:textId="18AB34D8" w:rsidR="00694F35" w:rsidRPr="00920DBC" w:rsidRDefault="00AC4E71" w:rsidP="00AC4E71">
            <w:pPr>
              <w:pStyle w:val="BodyText2"/>
              <w:jc w:val="both"/>
              <w:rPr>
                <w:rFonts w:asciiTheme="minorHAnsi" w:hAnsiTheme="minorHAnsi"/>
                <w:i/>
              </w:rPr>
            </w:pPr>
            <w:r w:rsidRPr="00AC4E71">
              <w:rPr>
                <w:rFonts w:asciiTheme="minorHAnsi" w:hAnsiTheme="minorHAnsi"/>
                <w:b/>
                <w:bCs/>
                <w:i/>
                <w:lang w:val="en-GB"/>
              </w:rPr>
              <w:lastRenderedPageBreak/>
              <w:t xml:space="preserve">Target: </w:t>
            </w:r>
            <w:r w:rsidRPr="00AC4E71">
              <w:rPr>
                <w:rFonts w:asciiTheme="minorHAnsi" w:hAnsiTheme="minorHAnsi"/>
                <w:i/>
                <w:lang w:val="en-GB"/>
              </w:rPr>
              <w:t>Comprehensive and standardized training manuals developed</w:t>
            </w:r>
            <w:r>
              <w:rPr>
                <w:rFonts w:asciiTheme="minorHAnsi" w:hAnsiTheme="minorHAnsi"/>
                <w:i/>
                <w:lang w:val="en-GB"/>
              </w:rPr>
              <w:t xml:space="preserve"> </w:t>
            </w:r>
            <w:r w:rsidRPr="00AC4E71">
              <w:rPr>
                <w:rFonts w:asciiTheme="minorHAnsi" w:hAnsiTheme="minorHAnsi"/>
                <w:i/>
                <w:lang w:val="en-GB"/>
              </w:rPr>
              <w:t>by 2016</w:t>
            </w:r>
          </w:p>
        </w:tc>
        <w:tc>
          <w:tcPr>
            <w:tcW w:w="5490" w:type="dxa"/>
            <w:tcBorders>
              <w:bottom w:val="single" w:sz="4" w:space="0" w:color="auto"/>
            </w:tcBorders>
            <w:shd w:val="clear" w:color="auto" w:fill="auto"/>
          </w:tcPr>
          <w:p w14:paraId="4189AD0E" w14:textId="63AA6FB3" w:rsidR="00694F35" w:rsidRDefault="0062401F" w:rsidP="00F73BA8">
            <w:pPr>
              <w:pStyle w:val="BodyText2"/>
              <w:jc w:val="both"/>
              <w:rPr>
                <w:rFonts w:asciiTheme="minorHAnsi" w:hAnsiTheme="minorHAnsi"/>
                <w:i/>
              </w:rPr>
            </w:pPr>
            <w:r w:rsidRPr="0062401F">
              <w:rPr>
                <w:rFonts w:asciiTheme="minorHAnsi" w:hAnsiTheme="minorHAnsi"/>
                <w:i/>
              </w:rPr>
              <w:lastRenderedPageBreak/>
              <w:t>The outline for national DRM Strategy and Action Plan was developed by NDMO</w:t>
            </w:r>
            <w:r w:rsidR="00966317">
              <w:rPr>
                <w:rFonts w:asciiTheme="minorHAnsi" w:hAnsiTheme="minorHAnsi"/>
                <w:i/>
              </w:rPr>
              <w:t>.  However no -sectoral plans incorporating DRR/DM concepts have yet been developed with UNDP support</w:t>
            </w:r>
            <w:r w:rsidRPr="0062401F">
              <w:rPr>
                <w:rFonts w:asciiTheme="minorHAnsi" w:hAnsiTheme="minorHAnsi"/>
                <w:i/>
              </w:rPr>
              <w:t>. Multi-sectoral coordination has been a big area of challenge as a result of which development of indicators and standards for DRM- based development planning was not achieved.</w:t>
            </w:r>
          </w:p>
          <w:p w14:paraId="59C0C794" w14:textId="77777777" w:rsidR="0062401F" w:rsidRDefault="0062401F" w:rsidP="00F73BA8">
            <w:pPr>
              <w:pStyle w:val="BodyText2"/>
              <w:jc w:val="both"/>
              <w:rPr>
                <w:rFonts w:asciiTheme="minorHAnsi" w:hAnsiTheme="minorHAnsi"/>
                <w:i/>
              </w:rPr>
            </w:pPr>
          </w:p>
          <w:p w14:paraId="6B85A2D7" w14:textId="77777777" w:rsidR="0062401F" w:rsidRDefault="0062401F" w:rsidP="00F73BA8">
            <w:pPr>
              <w:pStyle w:val="BodyText2"/>
              <w:jc w:val="both"/>
              <w:rPr>
                <w:rFonts w:asciiTheme="minorHAnsi" w:hAnsiTheme="minorHAnsi"/>
                <w:i/>
              </w:rPr>
            </w:pPr>
          </w:p>
          <w:p w14:paraId="5164480A" w14:textId="77777777" w:rsidR="0062401F" w:rsidRDefault="0062401F" w:rsidP="00F73BA8">
            <w:pPr>
              <w:pStyle w:val="BodyText2"/>
              <w:jc w:val="both"/>
              <w:rPr>
                <w:rFonts w:asciiTheme="minorHAnsi" w:hAnsiTheme="minorHAnsi"/>
                <w:i/>
              </w:rPr>
            </w:pPr>
            <w:r w:rsidRPr="0062401F">
              <w:rPr>
                <w:rFonts w:asciiTheme="minorHAnsi" w:hAnsiTheme="minorHAnsi"/>
                <w:i/>
              </w:rPr>
              <w:t>No.  Plan is still in process but not yet completed or approved primarily due to multi-sectoral coordination and institutional challenges. Nevertheless, in line with achievement of this outcome, the national model for urban seismic risk assessment was developed, finalized and shared with relevant national DRM entities. New modules for earthquake loss estimation model are under development as well. In addition to that, Hazard analysis and information on at risk assets of the Capital City of Tehran were updated. The vulnerability assessment</w:t>
            </w:r>
            <w:r w:rsidRPr="0062401F" w:rsidDel="00E53575">
              <w:rPr>
                <w:rFonts w:asciiTheme="minorHAnsi" w:hAnsiTheme="minorHAnsi"/>
                <w:i/>
              </w:rPr>
              <w:t xml:space="preserve"> </w:t>
            </w:r>
            <w:r w:rsidRPr="0062401F">
              <w:rPr>
                <w:rFonts w:asciiTheme="minorHAnsi" w:hAnsiTheme="minorHAnsi"/>
                <w:i/>
              </w:rPr>
              <w:t>will be conducted in 2016 as the next step</w:t>
            </w:r>
          </w:p>
          <w:p w14:paraId="38BD98A6" w14:textId="77777777" w:rsidR="0062401F" w:rsidRDefault="0062401F" w:rsidP="00F73BA8">
            <w:pPr>
              <w:pStyle w:val="BodyText2"/>
              <w:jc w:val="both"/>
              <w:rPr>
                <w:rFonts w:asciiTheme="minorHAnsi" w:hAnsiTheme="minorHAnsi"/>
                <w:i/>
              </w:rPr>
            </w:pPr>
          </w:p>
          <w:p w14:paraId="6A58FEFC" w14:textId="5ECEE9F6" w:rsidR="0062401F" w:rsidRPr="00920DBC" w:rsidRDefault="0062401F" w:rsidP="00F73BA8">
            <w:pPr>
              <w:pStyle w:val="BodyText2"/>
              <w:jc w:val="both"/>
              <w:rPr>
                <w:rFonts w:asciiTheme="minorHAnsi" w:hAnsiTheme="minorHAnsi"/>
                <w:i/>
              </w:rPr>
            </w:pPr>
            <w:r w:rsidRPr="0062401F">
              <w:rPr>
                <w:rFonts w:asciiTheme="minorHAnsi" w:hAnsiTheme="minorHAnsi"/>
                <w:i/>
              </w:rPr>
              <w:t>A national plan for standardization of DRM training and evaluation within National Disaster Management Organization (NDMO) was developed and finalized</w:t>
            </w:r>
            <w:r>
              <w:rPr>
                <w:rFonts w:asciiTheme="minorHAnsi" w:hAnsiTheme="minorHAnsi"/>
                <w:i/>
              </w:rPr>
              <w:t xml:space="preserve"> in 2015</w:t>
            </w:r>
            <w:r w:rsidRPr="0062401F">
              <w:rPr>
                <w:rFonts w:asciiTheme="minorHAnsi" w:hAnsiTheme="minorHAnsi"/>
                <w:i/>
              </w:rPr>
              <w:t>.</w:t>
            </w:r>
            <w:r w:rsidR="00966317">
              <w:rPr>
                <w:rFonts w:asciiTheme="minorHAnsi" w:hAnsiTheme="minorHAnsi"/>
                <w:i/>
              </w:rPr>
              <w:t xml:space="preserve">  Training Manuals have yet to be developed</w:t>
            </w:r>
          </w:p>
        </w:tc>
      </w:tr>
      <w:tr w:rsidR="00694F35" w:rsidRPr="00DC7354" w14:paraId="1338EECF" w14:textId="77777777" w:rsidTr="00FC400F">
        <w:tc>
          <w:tcPr>
            <w:tcW w:w="14040" w:type="dxa"/>
            <w:gridSpan w:val="4"/>
          </w:tcPr>
          <w:p w14:paraId="36DE6B5E" w14:textId="24EE4D8E" w:rsidR="00694F35" w:rsidRPr="00837C4B" w:rsidRDefault="00694F35" w:rsidP="00E74058">
            <w:pPr>
              <w:pStyle w:val="BodyText2"/>
              <w:jc w:val="both"/>
              <w:rPr>
                <w:rFonts w:asciiTheme="minorHAnsi" w:hAnsiTheme="minorHAnsi"/>
                <w:b/>
              </w:rPr>
            </w:pPr>
            <w:r w:rsidRPr="00FC400F">
              <w:rPr>
                <w:rFonts w:asciiTheme="minorHAnsi" w:hAnsiTheme="minorHAnsi"/>
                <w:b/>
                <w:sz w:val="24"/>
              </w:rPr>
              <w:t>UNDP Contribution</w:t>
            </w:r>
            <w:r w:rsidRPr="00837C4B">
              <w:rPr>
                <w:rFonts w:asciiTheme="minorHAnsi" w:hAnsiTheme="minorHAnsi"/>
                <w:b/>
              </w:rPr>
              <w:t>:</w:t>
            </w:r>
          </w:p>
          <w:p w14:paraId="11FF929F" w14:textId="77777777" w:rsidR="00694F35" w:rsidRDefault="00694F35" w:rsidP="00E74058">
            <w:pPr>
              <w:pStyle w:val="BodyText2"/>
              <w:jc w:val="both"/>
              <w:rPr>
                <w:rFonts w:asciiTheme="minorHAnsi" w:hAnsiTheme="minorHAnsi"/>
              </w:rPr>
            </w:pPr>
          </w:p>
          <w:p w14:paraId="14A88B65" w14:textId="77777777" w:rsidR="00694F35" w:rsidRPr="00F92B5D" w:rsidRDefault="00694F35" w:rsidP="00E74058">
            <w:pPr>
              <w:pStyle w:val="BodyText2"/>
              <w:jc w:val="both"/>
              <w:rPr>
                <w:rFonts w:asciiTheme="minorHAnsi" w:hAnsiTheme="minorHAnsi"/>
                <w:sz w:val="24"/>
              </w:rPr>
            </w:pPr>
            <w:r w:rsidRPr="00F92B5D">
              <w:rPr>
                <w:rFonts w:asciiTheme="minorHAnsi" w:hAnsiTheme="minorHAnsi"/>
                <w:sz w:val="24"/>
                <w:u w:val="single"/>
              </w:rPr>
              <w:t>CP Outputs</w:t>
            </w:r>
            <w:r w:rsidRPr="00F92B5D">
              <w:rPr>
                <w:rFonts w:asciiTheme="minorHAnsi" w:hAnsiTheme="minorHAnsi"/>
                <w:sz w:val="24"/>
              </w:rPr>
              <w:t>:</w:t>
            </w:r>
          </w:p>
          <w:p w14:paraId="21BFFC52" w14:textId="237CC3B9" w:rsidR="00AC4E71" w:rsidRPr="00AC4E71" w:rsidRDefault="00AC4E71" w:rsidP="00AC4E71">
            <w:pPr>
              <w:pStyle w:val="BodyText2"/>
              <w:jc w:val="both"/>
              <w:rPr>
                <w:rFonts w:asciiTheme="minorHAnsi" w:hAnsiTheme="minorHAnsi"/>
                <w:lang w:val="en-GB"/>
              </w:rPr>
            </w:pPr>
            <w:r w:rsidRPr="00AC4E71">
              <w:rPr>
                <w:rFonts w:asciiTheme="minorHAnsi" w:hAnsiTheme="minorHAnsi"/>
                <w:lang w:val="en-GB"/>
              </w:rPr>
              <w:t>1. Institutional</w:t>
            </w:r>
            <w:r>
              <w:rPr>
                <w:rFonts w:asciiTheme="minorHAnsi" w:hAnsiTheme="minorHAnsi"/>
                <w:lang w:val="en-GB"/>
              </w:rPr>
              <w:t xml:space="preserve"> </w:t>
            </w:r>
            <w:r w:rsidRPr="00AC4E71">
              <w:rPr>
                <w:rFonts w:asciiTheme="minorHAnsi" w:hAnsiTheme="minorHAnsi"/>
                <w:lang w:val="en-GB"/>
              </w:rPr>
              <w:t>capacities for</w:t>
            </w:r>
            <w:r>
              <w:rPr>
                <w:rFonts w:asciiTheme="minorHAnsi" w:hAnsiTheme="minorHAnsi"/>
                <w:lang w:val="en-GB"/>
              </w:rPr>
              <w:t xml:space="preserve"> </w:t>
            </w:r>
            <w:r w:rsidRPr="00AC4E71">
              <w:rPr>
                <w:rFonts w:asciiTheme="minorHAnsi" w:hAnsiTheme="minorHAnsi"/>
                <w:lang w:val="en-GB"/>
              </w:rPr>
              <w:t>multi</w:t>
            </w:r>
            <w:r w:rsidR="00E94DA3">
              <w:rPr>
                <w:rFonts w:asciiTheme="minorHAnsi" w:hAnsiTheme="minorHAnsi"/>
                <w:lang w:val="en-GB"/>
              </w:rPr>
              <w:t>-</w:t>
            </w:r>
            <w:r w:rsidRPr="00AC4E71">
              <w:rPr>
                <w:rFonts w:asciiTheme="minorHAnsi" w:hAnsiTheme="minorHAnsi"/>
                <w:lang w:val="en-GB"/>
              </w:rPr>
              <w:t>sectoral</w:t>
            </w:r>
            <w:r>
              <w:rPr>
                <w:rFonts w:asciiTheme="minorHAnsi" w:hAnsiTheme="minorHAnsi"/>
                <w:lang w:val="en-GB"/>
              </w:rPr>
              <w:t xml:space="preserve"> </w:t>
            </w:r>
            <w:r w:rsidRPr="00AC4E71">
              <w:rPr>
                <w:rFonts w:asciiTheme="minorHAnsi" w:hAnsiTheme="minorHAnsi"/>
                <w:lang w:val="en-GB"/>
              </w:rPr>
              <w:t>DRR/DM plans</w:t>
            </w:r>
            <w:r>
              <w:rPr>
                <w:rFonts w:asciiTheme="minorHAnsi" w:hAnsiTheme="minorHAnsi"/>
                <w:lang w:val="en-GB"/>
              </w:rPr>
              <w:t xml:space="preserve"> </w:t>
            </w:r>
            <w:r w:rsidRPr="00AC4E71">
              <w:rPr>
                <w:rFonts w:asciiTheme="minorHAnsi" w:hAnsiTheme="minorHAnsi"/>
                <w:lang w:val="en-GB"/>
              </w:rPr>
              <w:t>advanced</w:t>
            </w:r>
            <w:r>
              <w:rPr>
                <w:rFonts w:asciiTheme="minorHAnsi" w:hAnsiTheme="minorHAnsi"/>
                <w:lang w:val="en-GB"/>
              </w:rPr>
              <w:t xml:space="preserve"> </w:t>
            </w:r>
          </w:p>
          <w:p w14:paraId="4C413E43" w14:textId="77777777" w:rsidR="00AC4E71" w:rsidRDefault="00AC4E71" w:rsidP="00AC4E71">
            <w:pPr>
              <w:pStyle w:val="BodyText2"/>
              <w:jc w:val="both"/>
              <w:rPr>
                <w:rFonts w:asciiTheme="minorHAnsi" w:hAnsiTheme="minorHAnsi"/>
                <w:lang w:val="en-GB"/>
              </w:rPr>
            </w:pPr>
            <w:r w:rsidRPr="00AC4E71">
              <w:rPr>
                <w:rFonts w:asciiTheme="minorHAnsi" w:hAnsiTheme="minorHAnsi"/>
                <w:lang w:val="en-GB"/>
              </w:rPr>
              <w:t>2. Institutional</w:t>
            </w:r>
            <w:r>
              <w:rPr>
                <w:rFonts w:asciiTheme="minorHAnsi" w:hAnsiTheme="minorHAnsi"/>
                <w:lang w:val="en-GB"/>
              </w:rPr>
              <w:t xml:space="preserve"> </w:t>
            </w:r>
            <w:r w:rsidRPr="00AC4E71">
              <w:rPr>
                <w:rFonts w:asciiTheme="minorHAnsi" w:hAnsiTheme="minorHAnsi"/>
                <w:lang w:val="en-GB"/>
              </w:rPr>
              <w:t>capacities for DM</w:t>
            </w:r>
            <w:r>
              <w:rPr>
                <w:rFonts w:asciiTheme="minorHAnsi" w:hAnsiTheme="minorHAnsi"/>
                <w:lang w:val="en-GB"/>
              </w:rPr>
              <w:t xml:space="preserve"> </w:t>
            </w:r>
            <w:r w:rsidRPr="00AC4E71">
              <w:rPr>
                <w:rFonts w:asciiTheme="minorHAnsi" w:hAnsiTheme="minorHAnsi"/>
                <w:lang w:val="en-GB"/>
              </w:rPr>
              <w:t>contingency plans</w:t>
            </w:r>
            <w:r>
              <w:rPr>
                <w:rFonts w:asciiTheme="minorHAnsi" w:hAnsiTheme="minorHAnsi"/>
                <w:lang w:val="en-GB"/>
              </w:rPr>
              <w:t xml:space="preserve"> </w:t>
            </w:r>
            <w:r w:rsidRPr="00AC4E71">
              <w:rPr>
                <w:rFonts w:asciiTheme="minorHAnsi" w:hAnsiTheme="minorHAnsi"/>
                <w:lang w:val="en-GB"/>
              </w:rPr>
              <w:t>and risk assessment</w:t>
            </w:r>
            <w:r>
              <w:rPr>
                <w:rFonts w:asciiTheme="minorHAnsi" w:hAnsiTheme="minorHAnsi"/>
                <w:lang w:val="en-GB"/>
              </w:rPr>
              <w:t xml:space="preserve"> </w:t>
            </w:r>
            <w:r w:rsidRPr="00AC4E71">
              <w:rPr>
                <w:rFonts w:asciiTheme="minorHAnsi" w:hAnsiTheme="minorHAnsi"/>
                <w:lang w:val="en-GB"/>
              </w:rPr>
              <w:t>standards in urban</w:t>
            </w:r>
            <w:r>
              <w:rPr>
                <w:rFonts w:asciiTheme="minorHAnsi" w:hAnsiTheme="minorHAnsi"/>
                <w:lang w:val="en-GB"/>
              </w:rPr>
              <w:t xml:space="preserve"> </w:t>
            </w:r>
            <w:r w:rsidRPr="00AC4E71">
              <w:rPr>
                <w:rFonts w:asciiTheme="minorHAnsi" w:hAnsiTheme="minorHAnsi"/>
                <w:lang w:val="en-GB"/>
              </w:rPr>
              <w:t>areas supported</w:t>
            </w:r>
            <w:r>
              <w:rPr>
                <w:rFonts w:asciiTheme="minorHAnsi" w:hAnsiTheme="minorHAnsi"/>
                <w:lang w:val="en-GB"/>
              </w:rPr>
              <w:t xml:space="preserve"> </w:t>
            </w:r>
          </w:p>
          <w:p w14:paraId="75775B4B" w14:textId="200B394C" w:rsidR="00694F35" w:rsidRDefault="00AC4E71" w:rsidP="00AC4E71">
            <w:pPr>
              <w:pStyle w:val="BodyText2"/>
              <w:jc w:val="both"/>
              <w:rPr>
                <w:rFonts w:asciiTheme="minorHAnsi" w:hAnsiTheme="minorHAnsi"/>
                <w:lang w:val="en-GB"/>
              </w:rPr>
            </w:pPr>
            <w:r w:rsidRPr="00AC4E71">
              <w:rPr>
                <w:rFonts w:asciiTheme="minorHAnsi" w:hAnsiTheme="minorHAnsi"/>
                <w:lang w:val="en-GB"/>
              </w:rPr>
              <w:t>3. National capacities</w:t>
            </w:r>
            <w:r>
              <w:rPr>
                <w:rFonts w:asciiTheme="minorHAnsi" w:hAnsiTheme="minorHAnsi"/>
                <w:lang w:val="en-GB"/>
              </w:rPr>
              <w:t xml:space="preserve"> </w:t>
            </w:r>
            <w:r w:rsidRPr="00AC4E71">
              <w:rPr>
                <w:rFonts w:asciiTheme="minorHAnsi" w:hAnsiTheme="minorHAnsi"/>
                <w:lang w:val="en-GB"/>
              </w:rPr>
              <w:t>for community</w:t>
            </w:r>
            <w:r>
              <w:rPr>
                <w:rFonts w:asciiTheme="minorHAnsi" w:hAnsiTheme="minorHAnsi"/>
                <w:lang w:val="en-GB"/>
              </w:rPr>
              <w:t xml:space="preserve"> </w:t>
            </w:r>
            <w:r w:rsidRPr="00AC4E71">
              <w:rPr>
                <w:rFonts w:asciiTheme="minorHAnsi" w:hAnsiTheme="minorHAnsi"/>
                <w:lang w:val="en-GB"/>
              </w:rPr>
              <w:t>based</w:t>
            </w:r>
            <w:r>
              <w:rPr>
                <w:rFonts w:asciiTheme="minorHAnsi" w:hAnsiTheme="minorHAnsi"/>
                <w:lang w:val="en-GB"/>
              </w:rPr>
              <w:t xml:space="preserve"> </w:t>
            </w:r>
            <w:r w:rsidRPr="00AC4E71">
              <w:rPr>
                <w:rFonts w:asciiTheme="minorHAnsi" w:hAnsiTheme="minorHAnsi"/>
                <w:lang w:val="en-GB"/>
              </w:rPr>
              <w:t>disaster risk</w:t>
            </w:r>
            <w:r>
              <w:rPr>
                <w:rFonts w:asciiTheme="minorHAnsi" w:hAnsiTheme="minorHAnsi"/>
                <w:lang w:val="en-GB"/>
              </w:rPr>
              <w:t xml:space="preserve"> </w:t>
            </w:r>
            <w:r w:rsidRPr="00AC4E71">
              <w:rPr>
                <w:rFonts w:asciiTheme="minorHAnsi" w:hAnsiTheme="minorHAnsi"/>
                <w:lang w:val="en-GB"/>
              </w:rPr>
              <w:t>management in</w:t>
            </w:r>
            <w:r>
              <w:rPr>
                <w:rFonts w:asciiTheme="minorHAnsi" w:hAnsiTheme="minorHAnsi"/>
                <w:lang w:val="en-GB"/>
              </w:rPr>
              <w:t xml:space="preserve"> </w:t>
            </w:r>
            <w:r w:rsidRPr="00AC4E71">
              <w:rPr>
                <w:rFonts w:asciiTheme="minorHAnsi" w:hAnsiTheme="minorHAnsi"/>
                <w:lang w:val="en-GB"/>
              </w:rPr>
              <w:t>urban earthquake</w:t>
            </w:r>
            <w:r>
              <w:rPr>
                <w:rFonts w:asciiTheme="minorHAnsi" w:hAnsiTheme="minorHAnsi"/>
                <w:lang w:val="en-GB"/>
              </w:rPr>
              <w:t xml:space="preserve"> </w:t>
            </w:r>
            <w:r w:rsidRPr="00AC4E71">
              <w:rPr>
                <w:rFonts w:asciiTheme="minorHAnsi" w:hAnsiTheme="minorHAnsi"/>
                <w:lang w:val="en-GB"/>
              </w:rPr>
              <w:t>and flood</w:t>
            </w:r>
            <w:r>
              <w:rPr>
                <w:rFonts w:asciiTheme="minorHAnsi" w:hAnsiTheme="minorHAnsi"/>
                <w:lang w:val="en-GB"/>
              </w:rPr>
              <w:t xml:space="preserve"> </w:t>
            </w:r>
            <w:r w:rsidRPr="00AC4E71">
              <w:rPr>
                <w:rFonts w:asciiTheme="minorHAnsi" w:hAnsiTheme="minorHAnsi"/>
                <w:lang w:val="en-GB"/>
              </w:rPr>
              <w:t>management</w:t>
            </w:r>
            <w:r>
              <w:rPr>
                <w:rFonts w:asciiTheme="minorHAnsi" w:hAnsiTheme="minorHAnsi"/>
                <w:lang w:val="en-GB"/>
              </w:rPr>
              <w:t xml:space="preserve"> </w:t>
            </w:r>
            <w:r w:rsidRPr="00AC4E71">
              <w:rPr>
                <w:rFonts w:asciiTheme="minorHAnsi" w:hAnsiTheme="minorHAnsi"/>
                <w:lang w:val="en-GB"/>
              </w:rPr>
              <w:t>supported</w:t>
            </w:r>
          </w:p>
          <w:p w14:paraId="69A1E5DC" w14:textId="77777777" w:rsidR="00AC4E71" w:rsidRPr="00B62C4A" w:rsidRDefault="00AC4E71" w:rsidP="00AC4E71">
            <w:pPr>
              <w:pStyle w:val="BodyText2"/>
              <w:jc w:val="both"/>
              <w:rPr>
                <w:rFonts w:asciiTheme="minorHAnsi" w:hAnsiTheme="minorHAnsi"/>
              </w:rPr>
            </w:pPr>
          </w:p>
          <w:p w14:paraId="7EF649F9" w14:textId="77777777" w:rsidR="00694F35" w:rsidRPr="00F92B5D" w:rsidRDefault="00694F35" w:rsidP="00E74058">
            <w:pPr>
              <w:pStyle w:val="BodyText2"/>
              <w:jc w:val="both"/>
              <w:rPr>
                <w:rFonts w:asciiTheme="minorHAnsi" w:hAnsiTheme="minorHAnsi"/>
                <w:sz w:val="24"/>
              </w:rPr>
            </w:pPr>
            <w:r w:rsidRPr="00F92B5D">
              <w:rPr>
                <w:rFonts w:asciiTheme="minorHAnsi" w:hAnsiTheme="minorHAnsi"/>
                <w:sz w:val="24"/>
                <w:u w:val="single"/>
              </w:rPr>
              <w:t>Progress and Achievements</w:t>
            </w:r>
            <w:r w:rsidRPr="00F92B5D">
              <w:rPr>
                <w:rFonts w:asciiTheme="minorHAnsi" w:hAnsiTheme="minorHAnsi"/>
                <w:sz w:val="24"/>
              </w:rPr>
              <w:t>:</w:t>
            </w:r>
          </w:p>
          <w:p w14:paraId="49D9959B" w14:textId="77777777" w:rsidR="006B162E" w:rsidRPr="006B162E" w:rsidRDefault="006B162E" w:rsidP="006B162E">
            <w:pPr>
              <w:pStyle w:val="BodyText2"/>
              <w:jc w:val="both"/>
              <w:rPr>
                <w:rFonts w:asciiTheme="minorHAnsi" w:hAnsiTheme="minorHAnsi"/>
              </w:rPr>
            </w:pPr>
            <w:r w:rsidRPr="006B162E">
              <w:rPr>
                <w:rFonts w:asciiTheme="minorHAnsi" w:hAnsiTheme="minorHAnsi"/>
              </w:rPr>
              <w:t>UNDP provided technical and capacity development support to National Disaster Management Organization (NDMO) to develop and finalize a national plan for standardization of DRM training and evaluation. The outline for national DRM Strategy and Action Plan was also developed by NDMO and through UNDP technical assistant. Multi-sectoral coordination has been a big area of challenge as a result of which, development of indicators and standards for DRM-based development planning was not achieved. Development of Tehran Disaster Preparedness, Response, Recovery and Reconstruction Plan is under process, notwithstanding delay, multi-sectoral coordination and institutional challenges. In line with achievement of this output, the national model for urban seismic risk assessment was developed, finalized and shared with relevant national DRM entities through UNDP technical and coordination support. New modules for earthquake loss estimation model are under development as well. In addition to that, Hazard analysis and information on at risk assets of the Capital City of Tehran were updated. The vulnerability assessment will be conducted in 2016 as the next step. Though the project envisaged support to Iranian Red Crescent Society (IRCS) to implement community based DRM, no acceptable result was achieved. Development of training packages and community based DRM guidelines were not achieved as planned.</w:t>
            </w:r>
          </w:p>
          <w:p w14:paraId="3B4D49C1" w14:textId="77777777" w:rsidR="006B162E" w:rsidRPr="006B162E" w:rsidRDefault="006B162E" w:rsidP="006B162E">
            <w:pPr>
              <w:pStyle w:val="BodyText2"/>
              <w:rPr>
                <w:rFonts w:asciiTheme="minorHAnsi" w:hAnsiTheme="minorHAnsi"/>
              </w:rPr>
            </w:pPr>
          </w:p>
          <w:p w14:paraId="1F1340EA" w14:textId="77777777" w:rsidR="006B162E" w:rsidRPr="006B162E" w:rsidRDefault="006B162E" w:rsidP="006B162E">
            <w:pPr>
              <w:pStyle w:val="BodyText2"/>
              <w:jc w:val="both"/>
              <w:rPr>
                <w:rFonts w:asciiTheme="minorHAnsi" w:hAnsiTheme="minorHAnsi"/>
              </w:rPr>
            </w:pPr>
            <w:r w:rsidRPr="006B162E">
              <w:rPr>
                <w:rFonts w:asciiTheme="minorHAnsi" w:hAnsiTheme="minorHAnsi"/>
              </w:rPr>
              <w:t>The national model for assessment of seismic risk in urban areas (drafted in 2014) was further developed and piloted in Gorgan city (north of Iran) in 2015. The Model was finalized through Government of Iran and UNDP partnership in Strengthening Disaster Risk Reduction in Iran. UNDP provided (insert nature of) support together with cooperation of the Building and Housing Research Center and National Disaster Management Organization. The model is expected to be integrated and mainstreamed into national guidelines in 2016.</w:t>
            </w:r>
          </w:p>
          <w:p w14:paraId="40AE15A4" w14:textId="77777777" w:rsidR="006B162E" w:rsidRPr="006B162E" w:rsidRDefault="006B162E" w:rsidP="006B162E">
            <w:pPr>
              <w:pStyle w:val="BodyText2"/>
              <w:rPr>
                <w:rFonts w:asciiTheme="minorHAnsi" w:hAnsiTheme="minorHAnsi"/>
              </w:rPr>
            </w:pPr>
          </w:p>
          <w:p w14:paraId="71811D1A" w14:textId="77777777" w:rsidR="006B162E" w:rsidRPr="006B162E" w:rsidRDefault="006B162E" w:rsidP="006B162E">
            <w:pPr>
              <w:pStyle w:val="BodyText2"/>
              <w:jc w:val="both"/>
              <w:rPr>
                <w:rFonts w:asciiTheme="minorHAnsi" w:hAnsiTheme="minorHAnsi"/>
              </w:rPr>
            </w:pPr>
            <w:r w:rsidRPr="006B162E">
              <w:rPr>
                <w:rFonts w:asciiTheme="minorHAnsi" w:hAnsiTheme="minorHAnsi"/>
              </w:rPr>
              <w:t>Identification of seismic parameters, stakeholders analysis, review of laws and regulations, development of Tehran earthquake damage and loss estimation software were the most important accomplishments of the UNDP supported project “Strengthening Disaster Risk Reduction in Iran (SDRR)” during 2015. Development of new module for damage estimation of hospitals was one of the most important achievements during the reporting period.</w:t>
            </w:r>
          </w:p>
          <w:p w14:paraId="01465733" w14:textId="77777777" w:rsidR="006B162E" w:rsidRPr="006B162E" w:rsidRDefault="006B162E" w:rsidP="006B162E">
            <w:pPr>
              <w:pStyle w:val="BodyText2"/>
              <w:rPr>
                <w:rFonts w:asciiTheme="minorHAnsi" w:hAnsiTheme="minorHAnsi"/>
              </w:rPr>
            </w:pPr>
          </w:p>
          <w:p w14:paraId="028BF09C" w14:textId="77777777" w:rsidR="006B162E" w:rsidRPr="006B162E" w:rsidRDefault="006B162E" w:rsidP="006B162E">
            <w:pPr>
              <w:pStyle w:val="BodyText2"/>
              <w:jc w:val="both"/>
              <w:rPr>
                <w:rFonts w:asciiTheme="minorHAnsi" w:hAnsiTheme="minorHAnsi"/>
              </w:rPr>
            </w:pPr>
            <w:r w:rsidRPr="006B162E">
              <w:rPr>
                <w:rFonts w:asciiTheme="minorHAnsi" w:hAnsiTheme="minorHAnsi"/>
              </w:rPr>
              <w:t>After comprehensive baseline studies in 2013 and a participatory approach with participation of national and provincial managers of NDMO, a standard for disaster risk management training and evaluation is now developed and finalized by UNDP support to National Disaster Management Organization. This support is planned to be continued in 2016 with institutionalization of the standards within NDMO.</w:t>
            </w:r>
          </w:p>
          <w:p w14:paraId="6999A9AD" w14:textId="77777777" w:rsidR="00176D39" w:rsidRDefault="00176D39" w:rsidP="006B162E">
            <w:pPr>
              <w:pStyle w:val="BodyText2"/>
              <w:jc w:val="both"/>
              <w:rPr>
                <w:rFonts w:asciiTheme="minorHAnsi" w:hAnsiTheme="minorHAnsi"/>
              </w:rPr>
            </w:pPr>
          </w:p>
          <w:p w14:paraId="470F3667" w14:textId="77777777" w:rsidR="007705AD" w:rsidRDefault="007705AD" w:rsidP="006B162E">
            <w:pPr>
              <w:pStyle w:val="BodyText2"/>
              <w:jc w:val="both"/>
              <w:rPr>
                <w:rFonts w:asciiTheme="minorHAnsi" w:hAnsiTheme="minorHAnsi"/>
              </w:rPr>
            </w:pPr>
          </w:p>
          <w:p w14:paraId="2DA6DE1E" w14:textId="77777777" w:rsidR="007705AD" w:rsidRDefault="007705AD" w:rsidP="006B162E">
            <w:pPr>
              <w:pStyle w:val="BodyText2"/>
              <w:jc w:val="both"/>
              <w:rPr>
                <w:rFonts w:asciiTheme="minorHAnsi" w:hAnsiTheme="minorHAnsi"/>
              </w:rPr>
            </w:pPr>
          </w:p>
          <w:p w14:paraId="75A3F06C" w14:textId="77777777" w:rsidR="007705AD" w:rsidRDefault="007705AD" w:rsidP="006B162E">
            <w:pPr>
              <w:pStyle w:val="BodyText2"/>
              <w:jc w:val="both"/>
              <w:rPr>
                <w:rFonts w:asciiTheme="minorHAnsi" w:hAnsiTheme="minorHAnsi"/>
              </w:rPr>
            </w:pPr>
          </w:p>
          <w:p w14:paraId="2D4B6309" w14:textId="77777777" w:rsidR="007705AD" w:rsidRDefault="007705AD" w:rsidP="006B162E">
            <w:pPr>
              <w:pStyle w:val="BodyText2"/>
              <w:jc w:val="both"/>
              <w:rPr>
                <w:rFonts w:asciiTheme="minorHAnsi" w:hAnsiTheme="minorHAnsi"/>
              </w:rPr>
            </w:pPr>
          </w:p>
          <w:p w14:paraId="6D669397" w14:textId="66A6DB4E" w:rsidR="007705AD" w:rsidRPr="00DC7354" w:rsidRDefault="007705AD" w:rsidP="006B162E">
            <w:pPr>
              <w:pStyle w:val="BodyText2"/>
              <w:jc w:val="both"/>
              <w:rPr>
                <w:rFonts w:asciiTheme="minorHAnsi" w:hAnsiTheme="minorHAnsi"/>
              </w:rPr>
            </w:pPr>
          </w:p>
        </w:tc>
      </w:tr>
      <w:tr w:rsidR="009E7526" w:rsidRPr="00F01FDE" w14:paraId="2869F837" w14:textId="77777777" w:rsidTr="00FC400F">
        <w:tc>
          <w:tcPr>
            <w:tcW w:w="14040" w:type="dxa"/>
            <w:gridSpan w:val="4"/>
          </w:tcPr>
          <w:p w14:paraId="309A6F78" w14:textId="7D8F968F" w:rsidR="00011331" w:rsidRDefault="00011331" w:rsidP="00E74058">
            <w:pPr>
              <w:jc w:val="both"/>
              <w:rPr>
                <w:rFonts w:asciiTheme="minorHAnsi" w:hAnsiTheme="minorHAnsi"/>
                <w:sz w:val="20"/>
                <w:u w:val="single"/>
              </w:rPr>
            </w:pPr>
          </w:p>
          <w:p w14:paraId="2869F832" w14:textId="77777777" w:rsidR="009E7526" w:rsidRPr="00B838D8" w:rsidRDefault="009E7526" w:rsidP="00B838D8">
            <w:pPr>
              <w:pStyle w:val="BodyText2"/>
              <w:jc w:val="both"/>
              <w:rPr>
                <w:rFonts w:asciiTheme="minorHAnsi" w:hAnsiTheme="minorHAnsi"/>
                <w:b/>
                <w:sz w:val="24"/>
              </w:rPr>
            </w:pPr>
            <w:r w:rsidRPr="00B838D8">
              <w:rPr>
                <w:rFonts w:asciiTheme="minorHAnsi" w:hAnsiTheme="minorHAnsi"/>
                <w:b/>
                <w:sz w:val="24"/>
              </w:rPr>
              <w:t>Summary of evaluation</w:t>
            </w:r>
            <w:r w:rsidR="00674B1A" w:rsidRPr="00B838D8">
              <w:rPr>
                <w:rFonts w:asciiTheme="minorHAnsi" w:hAnsiTheme="minorHAnsi"/>
                <w:b/>
                <w:sz w:val="24"/>
              </w:rPr>
              <w:t xml:space="preserve"> finding</w:t>
            </w:r>
            <w:r w:rsidRPr="00B838D8">
              <w:rPr>
                <w:rFonts w:asciiTheme="minorHAnsi" w:hAnsiTheme="minorHAnsi"/>
                <w:b/>
                <w:sz w:val="24"/>
              </w:rPr>
              <w:t>s (</w:t>
            </w:r>
            <w:r w:rsidR="008F0A97" w:rsidRPr="00B838D8">
              <w:rPr>
                <w:rFonts w:asciiTheme="minorHAnsi" w:hAnsiTheme="minorHAnsi"/>
                <w:b/>
                <w:sz w:val="24"/>
              </w:rPr>
              <w:t xml:space="preserve">e.g. from outcome and project evaluations, UNDAF </w:t>
            </w:r>
            <w:r w:rsidRPr="00B838D8">
              <w:rPr>
                <w:rFonts w:asciiTheme="minorHAnsi" w:hAnsiTheme="minorHAnsi"/>
                <w:b/>
                <w:sz w:val="24"/>
              </w:rPr>
              <w:t xml:space="preserve">reviews, </w:t>
            </w:r>
            <w:r w:rsidR="008F0A97" w:rsidRPr="00B838D8">
              <w:rPr>
                <w:rFonts w:asciiTheme="minorHAnsi" w:hAnsiTheme="minorHAnsi"/>
                <w:b/>
                <w:sz w:val="24"/>
              </w:rPr>
              <w:t xml:space="preserve">and other </w:t>
            </w:r>
            <w:r w:rsidRPr="00B838D8">
              <w:rPr>
                <w:rFonts w:asciiTheme="minorHAnsi" w:hAnsiTheme="minorHAnsi"/>
                <w:b/>
                <w:sz w:val="24"/>
              </w:rPr>
              <w:t>assessments)</w:t>
            </w:r>
          </w:p>
          <w:p w14:paraId="2869F834" w14:textId="77777777" w:rsidR="00674B1A" w:rsidRDefault="00674B1A" w:rsidP="00E74058">
            <w:pPr>
              <w:jc w:val="both"/>
              <w:rPr>
                <w:rFonts w:asciiTheme="minorHAnsi" w:hAnsiTheme="minorHAnsi"/>
                <w:sz w:val="20"/>
              </w:rPr>
            </w:pPr>
          </w:p>
          <w:p w14:paraId="07060876" w14:textId="77777777" w:rsidR="001D3A31" w:rsidRPr="00175B60" w:rsidRDefault="009E7526" w:rsidP="00E74058">
            <w:pPr>
              <w:jc w:val="both"/>
              <w:rPr>
                <w:rFonts w:ascii="Calibri" w:hAnsi="Calibri"/>
              </w:rPr>
            </w:pPr>
            <w:r w:rsidRPr="00175B60">
              <w:rPr>
                <w:rFonts w:ascii="Calibri" w:hAnsi="Calibri"/>
                <w:u w:val="single"/>
              </w:rPr>
              <w:t>Key Achievements</w:t>
            </w:r>
            <w:r w:rsidR="005F6261" w:rsidRPr="00175B60">
              <w:rPr>
                <w:rFonts w:ascii="Calibri" w:hAnsi="Calibri"/>
              </w:rPr>
              <w:t>:</w:t>
            </w:r>
          </w:p>
          <w:p w14:paraId="39FBA686" w14:textId="77777777" w:rsidR="00E94DA3" w:rsidRDefault="00E94DA3" w:rsidP="00B62C4A">
            <w:pPr>
              <w:jc w:val="both"/>
              <w:rPr>
                <w:b/>
                <w:sz w:val="20"/>
              </w:rPr>
            </w:pPr>
          </w:p>
          <w:p w14:paraId="5E5503B4" w14:textId="7F8944E0" w:rsidR="00B838D8" w:rsidRDefault="00B838D8" w:rsidP="00B62C4A">
            <w:pPr>
              <w:jc w:val="both"/>
              <w:rPr>
                <w:b/>
                <w:sz w:val="20"/>
              </w:rPr>
            </w:pPr>
            <w:r>
              <w:rPr>
                <w:b/>
                <w:sz w:val="20"/>
              </w:rPr>
              <w:t xml:space="preserve">Capability poverty and social protection: </w:t>
            </w:r>
          </w:p>
          <w:p w14:paraId="1A4C88E5" w14:textId="4F42E567" w:rsidR="00B838D8" w:rsidRPr="004A5309" w:rsidRDefault="00B96724" w:rsidP="00B62C4A">
            <w:pPr>
              <w:jc w:val="both"/>
              <w:rPr>
                <w:rFonts w:asciiTheme="minorHAnsi" w:hAnsiTheme="minorHAnsi"/>
                <w:sz w:val="20"/>
              </w:rPr>
            </w:pPr>
            <w:r w:rsidRPr="004A5309">
              <w:rPr>
                <w:rFonts w:asciiTheme="minorHAnsi" w:hAnsiTheme="minorHAnsi"/>
                <w:sz w:val="20"/>
              </w:rPr>
              <w:t>N</w:t>
            </w:r>
            <w:r w:rsidRPr="00D44015">
              <w:rPr>
                <w:rFonts w:asciiTheme="minorHAnsi" w:hAnsiTheme="minorHAnsi"/>
                <w:sz w:val="20"/>
              </w:rPr>
              <w:t xml:space="preserve">o independent evaluations or reviews of this specific area of work have been conducted during the CPD cycle so far. </w:t>
            </w:r>
          </w:p>
          <w:p w14:paraId="6CB0E019" w14:textId="77777777" w:rsidR="00B96724" w:rsidRPr="00D44015" w:rsidRDefault="00B96724" w:rsidP="00B62C4A">
            <w:pPr>
              <w:jc w:val="both"/>
              <w:rPr>
                <w:rFonts w:asciiTheme="minorHAnsi" w:hAnsiTheme="minorHAnsi"/>
                <w:sz w:val="20"/>
              </w:rPr>
            </w:pPr>
          </w:p>
          <w:p w14:paraId="58920642" w14:textId="21AA3D90" w:rsidR="00B96724" w:rsidRPr="00BD24E5" w:rsidRDefault="00B96724" w:rsidP="00B62C4A">
            <w:pPr>
              <w:jc w:val="both"/>
              <w:rPr>
                <w:rFonts w:asciiTheme="minorHAnsi" w:hAnsiTheme="minorHAnsi"/>
                <w:sz w:val="20"/>
              </w:rPr>
            </w:pPr>
            <w:r w:rsidRPr="00D44015">
              <w:rPr>
                <w:rFonts w:asciiTheme="minorHAnsi" w:hAnsiTheme="minorHAnsi"/>
                <w:sz w:val="20"/>
              </w:rPr>
              <w:t>Nevertheless, could include mention of some of the achievements under environment with respect to livelihood generation</w:t>
            </w:r>
          </w:p>
          <w:p w14:paraId="052C7BBB" w14:textId="77777777" w:rsidR="00B838D8" w:rsidRPr="00BD24E5" w:rsidRDefault="00B838D8" w:rsidP="00B62C4A">
            <w:pPr>
              <w:jc w:val="both"/>
              <w:rPr>
                <w:rFonts w:asciiTheme="minorHAnsi" w:hAnsiTheme="minorHAnsi"/>
                <w:sz w:val="20"/>
              </w:rPr>
            </w:pPr>
          </w:p>
          <w:p w14:paraId="1EEADC35" w14:textId="77777777" w:rsidR="00BD24E5" w:rsidRDefault="00B62C4A" w:rsidP="00B62C4A">
            <w:pPr>
              <w:jc w:val="both"/>
              <w:rPr>
                <w:bCs/>
                <w:sz w:val="20"/>
              </w:rPr>
            </w:pPr>
            <w:r w:rsidRPr="00B62C4A">
              <w:rPr>
                <w:b/>
                <w:sz w:val="20"/>
              </w:rPr>
              <w:t>Health and Development:</w:t>
            </w:r>
            <w:r w:rsidRPr="00B62C4A">
              <w:rPr>
                <w:bCs/>
                <w:sz w:val="20"/>
              </w:rPr>
              <w:t xml:space="preserve"> </w:t>
            </w:r>
          </w:p>
          <w:p w14:paraId="0B345C90" w14:textId="0196B3E9" w:rsidR="00571369" w:rsidRPr="00571369" w:rsidRDefault="00571369" w:rsidP="00571369">
            <w:pPr>
              <w:jc w:val="both"/>
              <w:rPr>
                <w:rFonts w:asciiTheme="minorHAnsi" w:hAnsiTheme="minorHAnsi"/>
                <w:bCs/>
                <w:sz w:val="20"/>
                <w:lang w:val="en-GB"/>
              </w:rPr>
            </w:pPr>
            <w:r w:rsidRPr="00571369">
              <w:rPr>
                <w:rFonts w:asciiTheme="minorHAnsi" w:hAnsiTheme="minorHAnsi"/>
                <w:bCs/>
                <w:sz w:val="20"/>
                <w:lang w:val="en-GB"/>
              </w:rPr>
              <w:t xml:space="preserve">With regard to </w:t>
            </w:r>
            <w:r>
              <w:rPr>
                <w:rFonts w:asciiTheme="minorHAnsi" w:hAnsiTheme="minorHAnsi"/>
                <w:bCs/>
                <w:sz w:val="20"/>
                <w:lang w:val="en-GB"/>
              </w:rPr>
              <w:t xml:space="preserve">TB, </w:t>
            </w:r>
            <w:r w:rsidR="00327574">
              <w:rPr>
                <w:rFonts w:asciiTheme="minorHAnsi" w:hAnsiTheme="minorHAnsi"/>
                <w:bCs/>
                <w:sz w:val="20"/>
                <w:lang w:val="en-GB"/>
              </w:rPr>
              <w:t xml:space="preserve">the Terminal Evaluation Report for the ‘Tuberculosis prevention in high burden areas’ </w:t>
            </w:r>
            <w:r w:rsidRPr="00571369">
              <w:rPr>
                <w:rFonts w:asciiTheme="minorHAnsi" w:hAnsiTheme="minorHAnsi"/>
                <w:bCs/>
                <w:sz w:val="20"/>
                <w:lang w:val="en-GB"/>
              </w:rPr>
              <w:t>reported the following</w:t>
            </w:r>
            <w:r>
              <w:rPr>
                <w:rFonts w:asciiTheme="minorHAnsi" w:hAnsiTheme="minorHAnsi"/>
                <w:bCs/>
                <w:sz w:val="20"/>
                <w:lang w:val="en-GB"/>
              </w:rPr>
              <w:t xml:space="preserve"> with regard to project effectiveness</w:t>
            </w:r>
            <w:r w:rsidRPr="00571369">
              <w:rPr>
                <w:rFonts w:asciiTheme="minorHAnsi" w:hAnsiTheme="minorHAnsi"/>
                <w:bCs/>
                <w:sz w:val="20"/>
                <w:lang w:val="en-GB"/>
              </w:rPr>
              <w:t>: ‘</w:t>
            </w:r>
            <w:r w:rsidRPr="00571369">
              <w:rPr>
                <w:rFonts w:asciiTheme="minorHAnsi" w:hAnsiTheme="minorHAnsi"/>
                <w:bCs/>
                <w:i/>
                <w:sz w:val="20"/>
                <w:lang w:val="en-GB"/>
              </w:rPr>
              <w:t>Project services and interventions have been highly effective in bringing forward good results. Project monitoring has been based on a set of measurable indicators that could provide a clear picture of the achievements, fallbacks and areas in need of greater focus. The project has definitely had a role in further strengthening the national TB control planning and implementation systems, significantly improved infrastructure, better case finding, registration and tracking, more effective treatment practices, forging inter-agency coordination and better public awareness; hence the significant improvement in TB control indicators. The project is therefore rated as highly effective’</w:t>
            </w:r>
            <w:r w:rsidRPr="00571369">
              <w:rPr>
                <w:rFonts w:asciiTheme="minorHAnsi" w:hAnsiTheme="minorHAnsi"/>
                <w:bCs/>
                <w:sz w:val="20"/>
                <w:lang w:val="en-GB"/>
              </w:rPr>
              <w:t xml:space="preserve">.  With respect to sustainability, the following conclusions were made: ‘ </w:t>
            </w:r>
            <w:r w:rsidRPr="00571369">
              <w:rPr>
                <w:rFonts w:asciiTheme="minorHAnsi" w:hAnsiTheme="minorHAnsi"/>
                <w:bCs/>
                <w:i/>
                <w:sz w:val="20"/>
                <w:lang w:val="en-GB"/>
              </w:rPr>
              <w:t>The project has been able to design a transition and sustainability plan (TSP). The TSP provides for integration of the project processes, human resources, and services into national planning schemes. If appropriately implemented, the TSP will provide for smooth transition and long-term sustainability of project results. The TSP has made some recommendations to further strengthen the sustainability programme of the project. While the actual sustainability of the project results is a matter of future assessment, the TE rates the endeavor as well designed and practically sound’</w:t>
            </w:r>
            <w:r w:rsidRPr="00571369">
              <w:rPr>
                <w:rFonts w:asciiTheme="minorHAnsi" w:hAnsiTheme="minorHAnsi"/>
                <w:bCs/>
                <w:sz w:val="20"/>
                <w:lang w:val="en-GB"/>
              </w:rPr>
              <w:t xml:space="preserve">. </w:t>
            </w:r>
          </w:p>
          <w:p w14:paraId="72CFB090" w14:textId="77777777" w:rsidR="00571369" w:rsidRPr="00571369" w:rsidRDefault="00571369" w:rsidP="00571369">
            <w:pPr>
              <w:jc w:val="both"/>
              <w:rPr>
                <w:rFonts w:asciiTheme="minorHAnsi" w:hAnsiTheme="minorHAnsi"/>
                <w:bCs/>
                <w:sz w:val="20"/>
                <w:lang w:val="en-GB"/>
              </w:rPr>
            </w:pPr>
          </w:p>
          <w:p w14:paraId="320A4783" w14:textId="565E0F90" w:rsidR="00571369" w:rsidRPr="00571369" w:rsidRDefault="00571369" w:rsidP="00571369">
            <w:pPr>
              <w:jc w:val="both"/>
              <w:rPr>
                <w:rFonts w:asciiTheme="minorHAnsi" w:hAnsiTheme="minorHAnsi"/>
                <w:bCs/>
                <w:sz w:val="20"/>
              </w:rPr>
            </w:pPr>
            <w:r w:rsidRPr="00571369">
              <w:rPr>
                <w:rFonts w:asciiTheme="minorHAnsi" w:hAnsiTheme="minorHAnsi"/>
                <w:bCs/>
                <w:sz w:val="20"/>
              </w:rPr>
              <w:t>With respect to HIV/AIDS</w:t>
            </w:r>
            <w:r w:rsidR="005F7183">
              <w:rPr>
                <w:rFonts w:asciiTheme="minorHAnsi" w:hAnsiTheme="minorHAnsi"/>
                <w:bCs/>
                <w:sz w:val="20"/>
              </w:rPr>
              <w:t>,</w:t>
            </w:r>
            <w:r w:rsidRPr="00571369">
              <w:rPr>
                <w:rFonts w:asciiTheme="minorHAnsi" w:hAnsiTheme="minorHAnsi"/>
                <w:bCs/>
                <w:sz w:val="20"/>
              </w:rPr>
              <w:t xml:space="preserve"> Malaria</w:t>
            </w:r>
            <w:r w:rsidR="005F7183">
              <w:rPr>
                <w:rFonts w:asciiTheme="minorHAnsi" w:hAnsiTheme="minorHAnsi"/>
                <w:bCs/>
                <w:sz w:val="20"/>
              </w:rPr>
              <w:t xml:space="preserve"> and TB, t</w:t>
            </w:r>
            <w:r w:rsidRPr="00571369">
              <w:rPr>
                <w:rFonts w:asciiTheme="minorHAnsi" w:hAnsiTheme="minorHAnsi"/>
                <w:bCs/>
                <w:sz w:val="20"/>
              </w:rPr>
              <w:t>hroughout the CP period the performance ratings assigned by the GF to the projects in Iran have all been “exceeding expectation” or “satisfactory.”</w:t>
            </w:r>
          </w:p>
          <w:p w14:paraId="5E6F65EA" w14:textId="519CC4B5" w:rsidR="00B62C4A" w:rsidRPr="00571369" w:rsidRDefault="00B62C4A" w:rsidP="00571369">
            <w:pPr>
              <w:jc w:val="both"/>
              <w:rPr>
                <w:rFonts w:asciiTheme="minorHAnsi" w:hAnsiTheme="minorHAnsi"/>
                <w:bCs/>
                <w:sz w:val="20"/>
              </w:rPr>
            </w:pPr>
          </w:p>
          <w:p w14:paraId="2D456B37" w14:textId="77777777" w:rsidR="00BD24E5" w:rsidRDefault="00B838D8" w:rsidP="00B838D8">
            <w:pPr>
              <w:jc w:val="both"/>
              <w:rPr>
                <w:bCs/>
                <w:sz w:val="20"/>
              </w:rPr>
            </w:pPr>
            <w:r w:rsidRPr="00B62C4A">
              <w:rPr>
                <w:b/>
                <w:sz w:val="20"/>
              </w:rPr>
              <w:t>Environment:</w:t>
            </w:r>
            <w:r w:rsidR="00C644D9">
              <w:rPr>
                <w:bCs/>
                <w:sz w:val="20"/>
              </w:rPr>
              <w:t xml:space="preserve"> </w:t>
            </w:r>
          </w:p>
          <w:p w14:paraId="2541B25A" w14:textId="5A63423F" w:rsidR="00F352FE" w:rsidRDefault="00F352FE" w:rsidP="00F352FE">
            <w:pPr>
              <w:jc w:val="both"/>
              <w:rPr>
                <w:rFonts w:asciiTheme="minorHAnsi" w:hAnsiTheme="minorHAnsi"/>
                <w:bCs/>
                <w:sz w:val="20"/>
              </w:rPr>
            </w:pPr>
            <w:r>
              <w:rPr>
                <w:rFonts w:asciiTheme="minorHAnsi" w:hAnsiTheme="minorHAnsi"/>
                <w:bCs/>
                <w:sz w:val="20"/>
              </w:rPr>
              <w:t xml:space="preserve">The independent evaluation of the Conservation of Iranian Wetlands Project (Jan 2013) noted that the </w:t>
            </w:r>
            <w:r w:rsidRPr="00F352FE">
              <w:rPr>
                <w:rFonts w:asciiTheme="minorHAnsi" w:hAnsiTheme="minorHAnsi"/>
                <w:bCs/>
                <w:sz w:val="20"/>
              </w:rPr>
              <w:t xml:space="preserve">wetland management system </w:t>
            </w:r>
            <w:r>
              <w:rPr>
                <w:rFonts w:asciiTheme="minorHAnsi" w:hAnsiTheme="minorHAnsi"/>
                <w:bCs/>
                <w:sz w:val="20"/>
              </w:rPr>
              <w:t xml:space="preserve">supported by UNDP </w:t>
            </w:r>
            <w:r w:rsidRPr="00F352FE">
              <w:rPr>
                <w:rFonts w:asciiTheme="minorHAnsi" w:hAnsiTheme="minorHAnsi"/>
                <w:bCs/>
                <w:sz w:val="20"/>
              </w:rPr>
              <w:t>ha</w:t>
            </w:r>
            <w:r>
              <w:rPr>
                <w:rFonts w:asciiTheme="minorHAnsi" w:hAnsiTheme="minorHAnsi"/>
                <w:bCs/>
                <w:sz w:val="20"/>
              </w:rPr>
              <w:t>s</w:t>
            </w:r>
            <w:r w:rsidRPr="00F352FE">
              <w:rPr>
                <w:rFonts w:asciiTheme="minorHAnsi" w:hAnsiTheme="minorHAnsi"/>
                <w:bCs/>
                <w:sz w:val="20"/>
              </w:rPr>
              <w:t xml:space="preserve"> been</w:t>
            </w:r>
            <w:r>
              <w:rPr>
                <w:rFonts w:asciiTheme="minorHAnsi" w:hAnsiTheme="minorHAnsi"/>
                <w:bCs/>
                <w:sz w:val="20"/>
              </w:rPr>
              <w:t xml:space="preserve"> </w:t>
            </w:r>
            <w:r w:rsidRPr="00F352FE">
              <w:rPr>
                <w:rFonts w:asciiTheme="minorHAnsi" w:hAnsiTheme="minorHAnsi"/>
                <w:bCs/>
                <w:sz w:val="20"/>
              </w:rPr>
              <w:t>institutionalized and the Drought Risk Management Plan has been</w:t>
            </w:r>
            <w:r>
              <w:rPr>
                <w:rFonts w:asciiTheme="minorHAnsi" w:hAnsiTheme="minorHAnsi"/>
                <w:bCs/>
                <w:sz w:val="20"/>
              </w:rPr>
              <w:t xml:space="preserve"> </w:t>
            </w:r>
            <w:r w:rsidRPr="00F352FE">
              <w:rPr>
                <w:rFonts w:asciiTheme="minorHAnsi" w:hAnsiTheme="minorHAnsi"/>
                <w:bCs/>
                <w:sz w:val="20"/>
              </w:rPr>
              <w:t>translated into operational terms, which are major achievements.</w:t>
            </w:r>
            <w:r>
              <w:rPr>
                <w:rFonts w:asciiTheme="minorHAnsi" w:hAnsiTheme="minorHAnsi"/>
                <w:bCs/>
                <w:sz w:val="20"/>
              </w:rPr>
              <w:t xml:space="preserve">  However, support for a</w:t>
            </w:r>
            <w:r w:rsidRPr="00F352FE">
              <w:rPr>
                <w:rFonts w:asciiTheme="minorHAnsi" w:hAnsiTheme="minorHAnsi"/>
                <w:bCs/>
                <w:sz w:val="20"/>
              </w:rPr>
              <w:t>lternative livelihood activities, natural resources based conflict</w:t>
            </w:r>
            <w:r>
              <w:rPr>
                <w:rFonts w:asciiTheme="minorHAnsi" w:hAnsiTheme="minorHAnsi"/>
                <w:bCs/>
                <w:sz w:val="20"/>
              </w:rPr>
              <w:t xml:space="preserve"> </w:t>
            </w:r>
            <w:r w:rsidRPr="00F352FE">
              <w:rPr>
                <w:rFonts w:asciiTheme="minorHAnsi" w:hAnsiTheme="minorHAnsi"/>
                <w:bCs/>
                <w:sz w:val="20"/>
              </w:rPr>
              <w:t xml:space="preserve">settlement and advocacy by civil society organizations </w:t>
            </w:r>
            <w:r>
              <w:rPr>
                <w:rFonts w:asciiTheme="minorHAnsi" w:hAnsiTheme="minorHAnsi"/>
                <w:bCs/>
                <w:sz w:val="20"/>
              </w:rPr>
              <w:t>had made limited progress</w:t>
            </w:r>
            <w:r w:rsidRPr="00F352FE">
              <w:rPr>
                <w:rFonts w:asciiTheme="minorHAnsi" w:hAnsiTheme="minorHAnsi"/>
                <w:bCs/>
                <w:sz w:val="20"/>
              </w:rPr>
              <w:t>. This</w:t>
            </w:r>
            <w:r w:rsidR="00203B04">
              <w:rPr>
                <w:rFonts w:asciiTheme="minorHAnsi" w:hAnsiTheme="minorHAnsi"/>
                <w:bCs/>
                <w:sz w:val="20"/>
              </w:rPr>
              <w:t>, it was felt,</w:t>
            </w:r>
            <w:r w:rsidRPr="00F352FE">
              <w:rPr>
                <w:rFonts w:asciiTheme="minorHAnsi" w:hAnsiTheme="minorHAnsi"/>
                <w:bCs/>
                <w:sz w:val="20"/>
              </w:rPr>
              <w:t xml:space="preserve"> might jeopardize the government’s political</w:t>
            </w:r>
            <w:r>
              <w:rPr>
                <w:rFonts w:asciiTheme="minorHAnsi" w:hAnsiTheme="minorHAnsi"/>
                <w:bCs/>
                <w:sz w:val="20"/>
              </w:rPr>
              <w:t xml:space="preserve"> </w:t>
            </w:r>
            <w:r w:rsidRPr="00F352FE">
              <w:rPr>
                <w:rFonts w:asciiTheme="minorHAnsi" w:hAnsiTheme="minorHAnsi"/>
                <w:bCs/>
                <w:sz w:val="20"/>
              </w:rPr>
              <w:t>will to take unpopular decision</w:t>
            </w:r>
            <w:r w:rsidR="00203B04">
              <w:rPr>
                <w:rFonts w:asciiTheme="minorHAnsi" w:hAnsiTheme="minorHAnsi"/>
                <w:bCs/>
                <w:sz w:val="20"/>
              </w:rPr>
              <w:t>s</w:t>
            </w:r>
            <w:r w:rsidRPr="00F352FE">
              <w:rPr>
                <w:rFonts w:asciiTheme="minorHAnsi" w:hAnsiTheme="minorHAnsi"/>
                <w:bCs/>
                <w:sz w:val="20"/>
              </w:rPr>
              <w:t xml:space="preserve"> with regards to recovery of ecosystem</w:t>
            </w:r>
            <w:r>
              <w:rPr>
                <w:rFonts w:asciiTheme="minorHAnsi" w:hAnsiTheme="minorHAnsi"/>
                <w:bCs/>
                <w:sz w:val="20"/>
              </w:rPr>
              <w:t xml:space="preserve"> </w:t>
            </w:r>
            <w:r w:rsidRPr="00F352FE">
              <w:rPr>
                <w:rFonts w:asciiTheme="minorHAnsi" w:hAnsiTheme="minorHAnsi"/>
                <w:bCs/>
                <w:sz w:val="20"/>
              </w:rPr>
              <w:t>services</w:t>
            </w:r>
            <w:r>
              <w:rPr>
                <w:rFonts w:asciiTheme="minorHAnsi" w:hAnsiTheme="minorHAnsi"/>
                <w:bCs/>
                <w:sz w:val="20"/>
              </w:rPr>
              <w:t xml:space="preserve"> </w:t>
            </w:r>
            <w:r w:rsidRPr="00F352FE">
              <w:rPr>
                <w:rFonts w:asciiTheme="minorHAnsi" w:hAnsiTheme="minorHAnsi"/>
                <w:bCs/>
                <w:sz w:val="20"/>
              </w:rPr>
              <w:t>(e.g. closure of illegal wells).</w:t>
            </w:r>
            <w:r w:rsidR="00203B04">
              <w:rPr>
                <w:rFonts w:asciiTheme="minorHAnsi" w:hAnsiTheme="minorHAnsi"/>
                <w:bCs/>
                <w:sz w:val="20"/>
              </w:rPr>
              <w:t xml:space="preserve">  </w:t>
            </w:r>
            <w:r w:rsidR="0032641F">
              <w:rPr>
                <w:rFonts w:asciiTheme="minorHAnsi" w:hAnsiTheme="minorHAnsi"/>
                <w:bCs/>
                <w:sz w:val="20"/>
              </w:rPr>
              <w:t>Nevertheless, since this evaluation, significant progress has been made in demonstrating tangible results with respect to supporting livelihood activities</w:t>
            </w:r>
            <w:r w:rsidR="007705AD">
              <w:rPr>
                <w:rFonts w:asciiTheme="minorHAnsi" w:hAnsiTheme="minorHAnsi"/>
                <w:bCs/>
                <w:sz w:val="20"/>
              </w:rPr>
              <w:t xml:space="preserve"> and community engagement</w:t>
            </w:r>
            <w:r w:rsidR="0032641F">
              <w:rPr>
                <w:rFonts w:asciiTheme="minorHAnsi" w:hAnsiTheme="minorHAnsi"/>
                <w:bCs/>
                <w:sz w:val="20"/>
              </w:rPr>
              <w:t xml:space="preserve">. </w:t>
            </w:r>
            <w:r w:rsidR="007705AD">
              <w:rPr>
                <w:rFonts w:asciiTheme="minorHAnsi" w:hAnsiTheme="minorHAnsi"/>
                <w:bCs/>
                <w:sz w:val="20"/>
              </w:rPr>
              <w:t xml:space="preserve">Also – the Government has since seen these results and started replicating the model.  </w:t>
            </w:r>
          </w:p>
          <w:p w14:paraId="1738C60B" w14:textId="77777777" w:rsidR="00203B04" w:rsidRDefault="00203B04" w:rsidP="00F352FE">
            <w:pPr>
              <w:jc w:val="both"/>
              <w:rPr>
                <w:rFonts w:asciiTheme="minorHAnsi" w:hAnsiTheme="minorHAnsi"/>
                <w:bCs/>
                <w:sz w:val="20"/>
              </w:rPr>
            </w:pPr>
          </w:p>
          <w:p w14:paraId="74910D7B" w14:textId="6DE3A411" w:rsidR="00203B04" w:rsidRDefault="00203B04" w:rsidP="00203B04">
            <w:pPr>
              <w:jc w:val="both"/>
              <w:rPr>
                <w:rFonts w:asciiTheme="minorHAnsi" w:hAnsiTheme="minorHAnsi"/>
                <w:bCs/>
                <w:sz w:val="20"/>
              </w:rPr>
            </w:pPr>
            <w:r>
              <w:rPr>
                <w:rFonts w:asciiTheme="minorHAnsi" w:hAnsiTheme="minorHAnsi"/>
                <w:bCs/>
                <w:sz w:val="20"/>
              </w:rPr>
              <w:t>The Mid-Term Evaluation of the MENARID project (</w:t>
            </w:r>
            <w:r w:rsidRPr="00203B04">
              <w:rPr>
                <w:rFonts w:asciiTheme="minorHAnsi" w:hAnsiTheme="minorHAnsi"/>
                <w:bCs/>
                <w:sz w:val="20"/>
              </w:rPr>
              <w:t>Institutional Strengthening and Coherence for</w:t>
            </w:r>
            <w:r>
              <w:rPr>
                <w:rFonts w:asciiTheme="minorHAnsi" w:hAnsiTheme="minorHAnsi"/>
                <w:bCs/>
                <w:sz w:val="20"/>
              </w:rPr>
              <w:t xml:space="preserve"> </w:t>
            </w:r>
            <w:r w:rsidRPr="00203B04">
              <w:rPr>
                <w:rFonts w:asciiTheme="minorHAnsi" w:hAnsiTheme="minorHAnsi"/>
                <w:bCs/>
                <w:sz w:val="20"/>
              </w:rPr>
              <w:t>Integrated Natural Resources Management in Iran</w:t>
            </w:r>
            <w:r>
              <w:rPr>
                <w:rFonts w:asciiTheme="minorHAnsi" w:hAnsiTheme="minorHAnsi"/>
                <w:bCs/>
                <w:sz w:val="20"/>
              </w:rPr>
              <w:t>) conducted in March 2014 concludes that: ‘</w:t>
            </w:r>
            <w:r w:rsidRPr="00203B04">
              <w:rPr>
                <w:rFonts w:asciiTheme="minorHAnsi" w:hAnsiTheme="minorHAnsi"/>
                <w:bCs/>
                <w:i/>
                <w:sz w:val="20"/>
                <w:lang w:val="en-GB"/>
              </w:rPr>
              <w:t xml:space="preserve">MENARID Iran has potential as an umbrella sustainable development program for UNDP, GEF and GOIRI, capturing international resources like </w:t>
            </w:r>
            <w:r w:rsidRPr="00203B04">
              <w:rPr>
                <w:rFonts w:asciiTheme="minorHAnsi" w:hAnsiTheme="minorHAnsi"/>
                <w:bCs/>
                <w:i/>
                <w:sz w:val="20"/>
                <w:lang w:val="en-GB"/>
              </w:rPr>
              <w:lastRenderedPageBreak/>
              <w:t>International Waters, REDD, CCA and bilateral support through coordinating and sharing lessons on environment and INRM projects, linking other social and economic development activities across sectors and serving the country's sustainable development programs through a systemic knowledge network approach. Such vision, nevertheless, needs renewed commitment, cooperation and common understanding from the three partner agencies, GEF, UNDP and FRWO, in order to realize the MENARID project’s potential. A functioning Project Board and a directed, motivated and capacitated PMU is central to such a vision. Cooperation and close involvement of all partners (UNDP, FRWO and GEF) are needed to make it a reality</w:t>
            </w:r>
            <w:r>
              <w:rPr>
                <w:rFonts w:asciiTheme="minorHAnsi" w:hAnsiTheme="minorHAnsi"/>
                <w:bCs/>
                <w:sz w:val="20"/>
                <w:lang w:val="en-GB"/>
              </w:rPr>
              <w:t>’</w:t>
            </w:r>
            <w:r w:rsidRPr="00203B04">
              <w:rPr>
                <w:rFonts w:asciiTheme="minorHAnsi" w:hAnsiTheme="minorHAnsi"/>
                <w:bCs/>
                <w:sz w:val="20"/>
                <w:lang w:val="en-GB"/>
              </w:rPr>
              <w:t>.</w:t>
            </w:r>
            <w:r>
              <w:rPr>
                <w:rFonts w:asciiTheme="minorHAnsi" w:hAnsiTheme="minorHAnsi"/>
                <w:bCs/>
                <w:sz w:val="20"/>
                <w:lang w:val="en-GB"/>
              </w:rPr>
              <w:t xml:space="preserve">  </w:t>
            </w:r>
            <w:r w:rsidR="00C57D45">
              <w:rPr>
                <w:rFonts w:asciiTheme="minorHAnsi" w:hAnsiTheme="minorHAnsi"/>
                <w:bCs/>
                <w:sz w:val="20"/>
                <w:lang w:val="en-GB"/>
              </w:rPr>
              <w:t xml:space="preserve">The main message seems to be that while some local-level initiatives have been well-received (quick wins on the ground) – the more strategic intent of the project has yet to be realised.  </w:t>
            </w:r>
          </w:p>
          <w:p w14:paraId="769656CE" w14:textId="77777777" w:rsidR="00203B04" w:rsidRDefault="00203B04" w:rsidP="00B838D8">
            <w:pPr>
              <w:jc w:val="both"/>
              <w:rPr>
                <w:rFonts w:asciiTheme="minorHAnsi" w:hAnsiTheme="minorHAnsi"/>
                <w:bCs/>
                <w:sz w:val="20"/>
              </w:rPr>
            </w:pPr>
          </w:p>
          <w:p w14:paraId="15CE7D86" w14:textId="36596CED" w:rsidR="00B838D8" w:rsidRPr="00BD24E5" w:rsidRDefault="00C644D9" w:rsidP="00B838D8">
            <w:pPr>
              <w:jc w:val="both"/>
              <w:rPr>
                <w:rFonts w:asciiTheme="minorHAnsi" w:hAnsiTheme="minorHAnsi"/>
                <w:bCs/>
                <w:sz w:val="20"/>
              </w:rPr>
            </w:pPr>
            <w:r w:rsidRPr="00BD24E5">
              <w:rPr>
                <w:rFonts w:asciiTheme="minorHAnsi" w:hAnsiTheme="minorHAnsi"/>
                <w:bCs/>
                <w:sz w:val="20"/>
              </w:rPr>
              <w:t>The m</w:t>
            </w:r>
            <w:r w:rsidR="00B838D8" w:rsidRPr="00BD24E5">
              <w:rPr>
                <w:rFonts w:asciiTheme="minorHAnsi" w:hAnsiTheme="minorHAnsi"/>
                <w:bCs/>
                <w:sz w:val="20"/>
              </w:rPr>
              <w:t xml:space="preserve">odel which was developed through </w:t>
            </w:r>
            <w:r w:rsidRPr="00BD24E5">
              <w:rPr>
                <w:rFonts w:asciiTheme="minorHAnsi" w:hAnsiTheme="minorHAnsi"/>
                <w:bCs/>
                <w:sz w:val="20"/>
              </w:rPr>
              <w:t xml:space="preserve">the </w:t>
            </w:r>
            <w:r w:rsidR="00B838D8" w:rsidRPr="00BD24E5">
              <w:rPr>
                <w:rFonts w:asciiTheme="minorHAnsi" w:hAnsiTheme="minorHAnsi"/>
                <w:bCs/>
                <w:sz w:val="20"/>
              </w:rPr>
              <w:t xml:space="preserve">Carbon Sequestration Project is </w:t>
            </w:r>
            <w:r w:rsidRPr="00BD24E5">
              <w:rPr>
                <w:rFonts w:asciiTheme="minorHAnsi" w:hAnsiTheme="minorHAnsi"/>
                <w:bCs/>
                <w:sz w:val="20"/>
              </w:rPr>
              <w:t xml:space="preserve">now </w:t>
            </w:r>
            <w:r w:rsidR="00B838D8" w:rsidRPr="00BD24E5">
              <w:rPr>
                <w:rFonts w:asciiTheme="minorHAnsi" w:hAnsiTheme="minorHAnsi"/>
                <w:bCs/>
                <w:sz w:val="20"/>
              </w:rPr>
              <w:t>nationally-accepted for participato</w:t>
            </w:r>
            <w:r w:rsidRPr="00BD24E5">
              <w:rPr>
                <w:rFonts w:asciiTheme="minorHAnsi" w:hAnsiTheme="minorHAnsi"/>
                <w:bCs/>
                <w:sz w:val="20"/>
              </w:rPr>
              <w:t xml:space="preserve">ry management of drylands and has been </w:t>
            </w:r>
            <w:r w:rsidR="00B838D8" w:rsidRPr="00BD24E5">
              <w:rPr>
                <w:rFonts w:asciiTheme="minorHAnsi" w:hAnsiTheme="minorHAnsi"/>
                <w:bCs/>
                <w:sz w:val="20"/>
              </w:rPr>
              <w:t>replicated in 23 areas in 18 provinces</w:t>
            </w:r>
            <w:r w:rsidRPr="00BD24E5">
              <w:rPr>
                <w:rFonts w:asciiTheme="minorHAnsi" w:hAnsiTheme="minorHAnsi"/>
                <w:bCs/>
                <w:sz w:val="20"/>
              </w:rPr>
              <w:t xml:space="preserve"> (</w:t>
            </w:r>
            <w:r w:rsidR="007705AD">
              <w:rPr>
                <w:rFonts w:asciiTheme="minorHAnsi" w:hAnsiTheme="minorHAnsi"/>
                <w:bCs/>
                <w:sz w:val="20"/>
              </w:rPr>
              <w:t>ROAR reports and specific project reports</w:t>
            </w:r>
            <w:r w:rsidRPr="00BD24E5">
              <w:rPr>
                <w:rFonts w:asciiTheme="minorHAnsi" w:hAnsiTheme="minorHAnsi"/>
                <w:bCs/>
                <w:sz w:val="20"/>
              </w:rPr>
              <w:t>)</w:t>
            </w:r>
            <w:r w:rsidR="00B838D8" w:rsidRPr="00BD24E5">
              <w:rPr>
                <w:rFonts w:asciiTheme="minorHAnsi" w:hAnsiTheme="minorHAnsi"/>
                <w:bCs/>
                <w:sz w:val="20"/>
              </w:rPr>
              <w:t xml:space="preserve">.  The Integrated Participatory Crop Management Approach (IPCM) piloted </w:t>
            </w:r>
            <w:r w:rsidRPr="00BD24E5">
              <w:rPr>
                <w:rFonts w:asciiTheme="minorHAnsi" w:hAnsiTheme="minorHAnsi"/>
                <w:bCs/>
                <w:sz w:val="20"/>
              </w:rPr>
              <w:t xml:space="preserve">through the </w:t>
            </w:r>
            <w:r w:rsidR="00B838D8" w:rsidRPr="00BD24E5">
              <w:rPr>
                <w:rFonts w:asciiTheme="minorHAnsi" w:hAnsiTheme="minorHAnsi"/>
                <w:bCs/>
                <w:sz w:val="20"/>
              </w:rPr>
              <w:t>Zagros and wetlands initiatives has resulted in an average of 35% water saving as well as 40% pesticides/fertilizers consumption reduction</w:t>
            </w:r>
            <w:r w:rsidRPr="00BD24E5">
              <w:rPr>
                <w:rFonts w:asciiTheme="minorHAnsi" w:hAnsiTheme="minorHAnsi"/>
                <w:bCs/>
                <w:sz w:val="20"/>
              </w:rPr>
              <w:t xml:space="preserve"> (</w:t>
            </w:r>
            <w:r w:rsidR="007705AD">
              <w:rPr>
                <w:rFonts w:asciiTheme="minorHAnsi" w:hAnsiTheme="minorHAnsi"/>
                <w:bCs/>
                <w:sz w:val="20"/>
              </w:rPr>
              <w:t>UNDP reports)</w:t>
            </w:r>
          </w:p>
          <w:p w14:paraId="2DB22F96" w14:textId="1B08882B" w:rsidR="00B838D8" w:rsidRPr="00BD24E5" w:rsidRDefault="00B838D8" w:rsidP="00B838D8">
            <w:pPr>
              <w:jc w:val="both"/>
              <w:rPr>
                <w:rFonts w:asciiTheme="minorHAnsi" w:hAnsiTheme="minorHAnsi"/>
                <w:bCs/>
                <w:sz w:val="20"/>
              </w:rPr>
            </w:pPr>
            <w:r w:rsidRPr="00D44015">
              <w:rPr>
                <w:rFonts w:asciiTheme="minorHAnsi" w:hAnsiTheme="minorHAnsi"/>
                <w:bCs/>
                <w:sz w:val="20"/>
              </w:rPr>
              <w:t>C</w:t>
            </w:r>
            <w:r w:rsidR="004A5309" w:rsidRPr="00D44015">
              <w:rPr>
                <w:rFonts w:asciiTheme="minorHAnsi" w:hAnsiTheme="minorHAnsi"/>
                <w:bCs/>
                <w:sz w:val="20"/>
              </w:rPr>
              <w:t xml:space="preserve">onservation of </w:t>
            </w:r>
            <w:r w:rsidRPr="00D44015">
              <w:rPr>
                <w:rFonts w:asciiTheme="minorHAnsi" w:hAnsiTheme="minorHAnsi"/>
                <w:bCs/>
                <w:sz w:val="20"/>
              </w:rPr>
              <w:t>A</w:t>
            </w:r>
            <w:r w:rsidR="004A5309" w:rsidRPr="00D44015">
              <w:rPr>
                <w:rFonts w:asciiTheme="minorHAnsi" w:hAnsiTheme="minorHAnsi"/>
                <w:bCs/>
                <w:sz w:val="20"/>
              </w:rPr>
              <w:t xml:space="preserve">siatic </w:t>
            </w:r>
            <w:r w:rsidRPr="00D44015">
              <w:rPr>
                <w:rFonts w:asciiTheme="minorHAnsi" w:hAnsiTheme="minorHAnsi"/>
                <w:bCs/>
                <w:sz w:val="20"/>
              </w:rPr>
              <w:t>C</w:t>
            </w:r>
            <w:r w:rsidR="004A5309" w:rsidRPr="00D44015">
              <w:rPr>
                <w:rFonts w:asciiTheme="minorHAnsi" w:hAnsiTheme="minorHAnsi"/>
                <w:bCs/>
                <w:sz w:val="20"/>
              </w:rPr>
              <w:t xml:space="preserve">heetah </w:t>
            </w:r>
            <w:r w:rsidRPr="00D44015">
              <w:rPr>
                <w:rFonts w:asciiTheme="minorHAnsi" w:hAnsiTheme="minorHAnsi"/>
                <w:bCs/>
                <w:sz w:val="20"/>
              </w:rPr>
              <w:t>P</w:t>
            </w:r>
            <w:r w:rsidR="004A5309" w:rsidRPr="00D44015">
              <w:rPr>
                <w:rFonts w:asciiTheme="minorHAnsi" w:hAnsiTheme="minorHAnsi"/>
                <w:bCs/>
                <w:sz w:val="20"/>
              </w:rPr>
              <w:t>rogramme</w:t>
            </w:r>
            <w:r w:rsidRPr="00D44015">
              <w:rPr>
                <w:rFonts w:asciiTheme="minorHAnsi" w:hAnsiTheme="minorHAnsi"/>
                <w:bCs/>
                <w:sz w:val="20"/>
              </w:rPr>
              <w:t>’</w:t>
            </w:r>
            <w:r w:rsidR="00C644D9" w:rsidRPr="00BD24E5">
              <w:rPr>
                <w:rFonts w:asciiTheme="minorHAnsi" w:hAnsiTheme="minorHAnsi"/>
                <w:bCs/>
                <w:sz w:val="20"/>
              </w:rPr>
              <w:t>s</w:t>
            </w:r>
            <w:r w:rsidR="004A5309">
              <w:rPr>
                <w:rFonts w:asciiTheme="minorHAnsi" w:hAnsiTheme="minorHAnsi"/>
                <w:bCs/>
                <w:sz w:val="20"/>
              </w:rPr>
              <w:t xml:space="preserve"> (CACP) </w:t>
            </w:r>
            <w:r w:rsidR="00C644D9" w:rsidRPr="00BD24E5">
              <w:rPr>
                <w:rFonts w:asciiTheme="minorHAnsi" w:hAnsiTheme="minorHAnsi"/>
                <w:bCs/>
                <w:sz w:val="20"/>
              </w:rPr>
              <w:t xml:space="preserve">work on </w:t>
            </w:r>
            <w:r w:rsidRPr="00BD24E5">
              <w:rPr>
                <w:rFonts w:asciiTheme="minorHAnsi" w:hAnsiTheme="minorHAnsi"/>
                <w:bCs/>
                <w:sz w:val="20"/>
              </w:rPr>
              <w:t xml:space="preserve">national public awareness </w:t>
            </w:r>
            <w:r w:rsidR="00C644D9" w:rsidRPr="00BD24E5">
              <w:rPr>
                <w:rFonts w:asciiTheme="minorHAnsi" w:hAnsiTheme="minorHAnsi"/>
                <w:bCs/>
                <w:sz w:val="20"/>
              </w:rPr>
              <w:t>(</w:t>
            </w:r>
            <w:r w:rsidRPr="00BD24E5">
              <w:rPr>
                <w:rFonts w:asciiTheme="minorHAnsi" w:hAnsiTheme="minorHAnsi"/>
                <w:bCs/>
                <w:sz w:val="20"/>
              </w:rPr>
              <w:t xml:space="preserve">and in particular </w:t>
            </w:r>
            <w:r w:rsidR="00C644D9" w:rsidRPr="00BD24E5">
              <w:rPr>
                <w:rFonts w:asciiTheme="minorHAnsi" w:hAnsiTheme="minorHAnsi"/>
                <w:bCs/>
                <w:sz w:val="20"/>
              </w:rPr>
              <w:t xml:space="preserve">the awareness of </w:t>
            </w:r>
            <w:r w:rsidRPr="00BD24E5">
              <w:rPr>
                <w:rFonts w:asciiTheme="minorHAnsi" w:hAnsiTheme="minorHAnsi"/>
                <w:bCs/>
                <w:sz w:val="20"/>
              </w:rPr>
              <w:t>children through the education system</w:t>
            </w:r>
            <w:r w:rsidR="00C644D9" w:rsidRPr="00BD24E5">
              <w:rPr>
                <w:rFonts w:asciiTheme="minorHAnsi" w:hAnsiTheme="minorHAnsi"/>
                <w:bCs/>
                <w:sz w:val="20"/>
              </w:rPr>
              <w:t>)</w:t>
            </w:r>
            <w:r w:rsidRPr="00BD24E5">
              <w:rPr>
                <w:rFonts w:asciiTheme="minorHAnsi" w:hAnsiTheme="minorHAnsi"/>
                <w:bCs/>
                <w:sz w:val="20"/>
              </w:rPr>
              <w:t xml:space="preserve"> has translated into </w:t>
            </w:r>
            <w:r w:rsidR="00C644D9" w:rsidRPr="00BD24E5">
              <w:rPr>
                <w:rFonts w:asciiTheme="minorHAnsi" w:hAnsiTheme="minorHAnsi"/>
                <w:bCs/>
                <w:sz w:val="20"/>
              </w:rPr>
              <w:t xml:space="preserve">greater </w:t>
            </w:r>
            <w:r w:rsidRPr="00BD24E5">
              <w:rPr>
                <w:rFonts w:asciiTheme="minorHAnsi" w:hAnsiTheme="minorHAnsi"/>
                <w:bCs/>
                <w:sz w:val="20"/>
              </w:rPr>
              <w:t>national consciousness to preserve wildlife and biodiversity in general</w:t>
            </w:r>
            <w:r w:rsidR="00C644D9" w:rsidRPr="00BD24E5">
              <w:rPr>
                <w:rFonts w:asciiTheme="minorHAnsi" w:hAnsiTheme="minorHAnsi"/>
                <w:bCs/>
                <w:sz w:val="20"/>
              </w:rPr>
              <w:t xml:space="preserve"> (</w:t>
            </w:r>
            <w:r w:rsidR="00C644D9" w:rsidRPr="00BD24E5">
              <w:rPr>
                <w:rFonts w:asciiTheme="minorHAnsi" w:hAnsiTheme="minorHAnsi"/>
                <w:bCs/>
                <w:sz w:val="20"/>
                <w:highlight w:val="yellow"/>
              </w:rPr>
              <w:t>evidence?</w:t>
            </w:r>
            <w:r w:rsidR="00C644D9" w:rsidRPr="00BD24E5">
              <w:rPr>
                <w:rFonts w:asciiTheme="minorHAnsi" w:hAnsiTheme="minorHAnsi"/>
                <w:bCs/>
                <w:sz w:val="20"/>
              </w:rPr>
              <w:t>)</w:t>
            </w:r>
            <w:r w:rsidRPr="00BD24E5">
              <w:rPr>
                <w:rFonts w:asciiTheme="minorHAnsi" w:hAnsiTheme="minorHAnsi"/>
                <w:bCs/>
                <w:sz w:val="20"/>
              </w:rPr>
              <w:t>. New models of PA conservation such as Community Reserves are being debated at the Cabinet level and could well transform the conservation landscape from the current top-down approach to a community-based and civil society centered one.</w:t>
            </w:r>
          </w:p>
          <w:p w14:paraId="27D856EC" w14:textId="77777777" w:rsidR="00B838D8" w:rsidRPr="00BD24E5" w:rsidRDefault="00B838D8" w:rsidP="00B838D8">
            <w:pPr>
              <w:jc w:val="both"/>
              <w:rPr>
                <w:rFonts w:asciiTheme="minorHAnsi" w:hAnsiTheme="minorHAnsi"/>
                <w:bCs/>
                <w:sz w:val="20"/>
              </w:rPr>
            </w:pPr>
          </w:p>
          <w:p w14:paraId="318B75E0" w14:textId="204D499C" w:rsidR="00B838D8" w:rsidRPr="00BD24E5" w:rsidRDefault="00B838D8" w:rsidP="00B838D8">
            <w:pPr>
              <w:jc w:val="both"/>
              <w:rPr>
                <w:rFonts w:asciiTheme="minorHAnsi" w:hAnsiTheme="minorHAnsi"/>
                <w:bCs/>
                <w:sz w:val="20"/>
              </w:rPr>
            </w:pPr>
            <w:r w:rsidRPr="00BD24E5">
              <w:rPr>
                <w:rFonts w:asciiTheme="minorHAnsi" w:hAnsiTheme="minorHAnsi"/>
                <w:bCs/>
                <w:sz w:val="20"/>
              </w:rPr>
              <w:t>UNDP’s long-standing contribution to INRM piloting and advocacy is</w:t>
            </w:r>
            <w:r w:rsidR="00C644D9" w:rsidRPr="00BD24E5">
              <w:rPr>
                <w:rFonts w:asciiTheme="minorHAnsi" w:hAnsiTheme="minorHAnsi"/>
                <w:bCs/>
                <w:sz w:val="20"/>
              </w:rPr>
              <w:t xml:space="preserve"> now being transformed into </w:t>
            </w:r>
            <w:r w:rsidRPr="00BD24E5">
              <w:rPr>
                <w:rFonts w:asciiTheme="minorHAnsi" w:hAnsiTheme="minorHAnsi"/>
                <w:bCs/>
                <w:sz w:val="20"/>
              </w:rPr>
              <w:t xml:space="preserve">national </w:t>
            </w:r>
            <w:r w:rsidR="00C644D9" w:rsidRPr="00BD24E5">
              <w:rPr>
                <w:rFonts w:asciiTheme="minorHAnsi" w:hAnsiTheme="minorHAnsi"/>
                <w:bCs/>
                <w:sz w:val="20"/>
              </w:rPr>
              <w:t xml:space="preserve">policy and </w:t>
            </w:r>
            <w:r w:rsidRPr="00BD24E5">
              <w:rPr>
                <w:rFonts w:asciiTheme="minorHAnsi" w:hAnsiTheme="minorHAnsi"/>
                <w:bCs/>
                <w:sz w:val="20"/>
              </w:rPr>
              <w:t xml:space="preserve">practice </w:t>
            </w:r>
            <w:r w:rsidR="00C644D9" w:rsidRPr="00BD24E5">
              <w:rPr>
                <w:rFonts w:asciiTheme="minorHAnsi" w:hAnsiTheme="minorHAnsi"/>
                <w:bCs/>
                <w:sz w:val="20"/>
              </w:rPr>
              <w:t xml:space="preserve">for </w:t>
            </w:r>
            <w:r w:rsidRPr="00BD24E5">
              <w:rPr>
                <w:rFonts w:asciiTheme="minorHAnsi" w:hAnsiTheme="minorHAnsi"/>
                <w:bCs/>
                <w:sz w:val="20"/>
              </w:rPr>
              <w:t xml:space="preserve">addressing soil erosion, improper land use planning and </w:t>
            </w:r>
            <w:r w:rsidR="00C644D9" w:rsidRPr="00BD24E5">
              <w:rPr>
                <w:rFonts w:asciiTheme="minorHAnsi" w:hAnsiTheme="minorHAnsi"/>
                <w:bCs/>
                <w:sz w:val="20"/>
              </w:rPr>
              <w:t xml:space="preserve">supporting </w:t>
            </w:r>
            <w:r w:rsidRPr="00BD24E5">
              <w:rPr>
                <w:rFonts w:asciiTheme="minorHAnsi" w:hAnsiTheme="minorHAnsi"/>
                <w:bCs/>
                <w:sz w:val="20"/>
              </w:rPr>
              <w:t>integrated basin-level governance</w:t>
            </w:r>
            <w:r w:rsidR="00C644D9" w:rsidRPr="00BD24E5">
              <w:rPr>
                <w:rFonts w:asciiTheme="minorHAnsi" w:hAnsiTheme="minorHAnsi"/>
                <w:bCs/>
                <w:sz w:val="20"/>
              </w:rPr>
              <w:t xml:space="preserve"> (</w:t>
            </w:r>
            <w:r w:rsidR="007705AD" w:rsidRPr="007705AD">
              <w:rPr>
                <w:rFonts w:asciiTheme="minorHAnsi" w:hAnsiTheme="minorHAnsi"/>
                <w:bCs/>
                <w:sz w:val="20"/>
                <w:highlight w:val="yellow"/>
              </w:rPr>
              <w:t>some further detail /evidence</w:t>
            </w:r>
            <w:r w:rsidR="007705AD">
              <w:rPr>
                <w:rFonts w:asciiTheme="minorHAnsi" w:hAnsiTheme="minorHAnsi"/>
                <w:bCs/>
                <w:sz w:val="20"/>
              </w:rPr>
              <w:t>?</w:t>
            </w:r>
            <w:r w:rsidR="00C644D9" w:rsidRPr="00BD24E5">
              <w:rPr>
                <w:rFonts w:asciiTheme="minorHAnsi" w:hAnsiTheme="minorHAnsi"/>
                <w:bCs/>
                <w:sz w:val="20"/>
              </w:rPr>
              <w:t>)</w:t>
            </w:r>
            <w:r w:rsidRPr="00BD24E5">
              <w:rPr>
                <w:rFonts w:asciiTheme="minorHAnsi" w:hAnsiTheme="minorHAnsi"/>
                <w:bCs/>
                <w:sz w:val="20"/>
              </w:rPr>
              <w:t>.</w:t>
            </w:r>
          </w:p>
          <w:p w14:paraId="7C18FA3B" w14:textId="77777777" w:rsidR="00B838D8" w:rsidRPr="00BD24E5" w:rsidRDefault="00B838D8" w:rsidP="00B62C4A">
            <w:pPr>
              <w:jc w:val="both"/>
              <w:rPr>
                <w:rFonts w:asciiTheme="minorHAnsi" w:hAnsiTheme="minorHAnsi"/>
                <w:bCs/>
                <w:sz w:val="20"/>
              </w:rPr>
            </w:pPr>
          </w:p>
          <w:p w14:paraId="58AE8A9A" w14:textId="1F066FD4" w:rsidR="00B62C4A" w:rsidRDefault="00B62C4A" w:rsidP="00B62C4A">
            <w:pPr>
              <w:jc w:val="both"/>
              <w:rPr>
                <w:rFonts w:asciiTheme="minorHAnsi" w:hAnsiTheme="minorHAnsi"/>
                <w:bCs/>
                <w:sz w:val="20"/>
              </w:rPr>
            </w:pPr>
            <w:r w:rsidRPr="00BD24E5">
              <w:rPr>
                <w:rFonts w:asciiTheme="minorHAnsi" w:hAnsiTheme="minorHAnsi"/>
                <w:b/>
                <w:sz w:val="20"/>
              </w:rPr>
              <w:t>D</w:t>
            </w:r>
            <w:r w:rsidR="00B838D8" w:rsidRPr="00BD24E5">
              <w:rPr>
                <w:rFonts w:asciiTheme="minorHAnsi" w:hAnsiTheme="minorHAnsi"/>
                <w:b/>
                <w:sz w:val="20"/>
              </w:rPr>
              <w:t>isaster risk management</w:t>
            </w:r>
            <w:r w:rsidRPr="00BD24E5">
              <w:rPr>
                <w:rFonts w:asciiTheme="minorHAnsi" w:hAnsiTheme="minorHAnsi"/>
                <w:b/>
                <w:sz w:val="20"/>
              </w:rPr>
              <w:t>:</w:t>
            </w:r>
            <w:r w:rsidRPr="00BD24E5">
              <w:rPr>
                <w:rFonts w:asciiTheme="minorHAnsi" w:hAnsiTheme="minorHAnsi"/>
                <w:bCs/>
                <w:sz w:val="20"/>
              </w:rPr>
              <w:t xml:space="preserve"> </w:t>
            </w:r>
          </w:p>
          <w:p w14:paraId="54FCD23C" w14:textId="485C0883" w:rsidR="0032641F" w:rsidRPr="00BD24E5" w:rsidRDefault="0032641F" w:rsidP="00B62C4A">
            <w:pPr>
              <w:jc w:val="both"/>
              <w:rPr>
                <w:rFonts w:asciiTheme="minorHAnsi" w:hAnsiTheme="minorHAnsi"/>
                <w:bCs/>
                <w:sz w:val="20"/>
              </w:rPr>
            </w:pPr>
            <w:r>
              <w:rPr>
                <w:rFonts w:asciiTheme="minorHAnsi" w:hAnsiTheme="minorHAnsi"/>
                <w:bCs/>
                <w:sz w:val="20"/>
              </w:rPr>
              <w:t xml:space="preserve">There have been no independent reviews or evaluations of UNDP’s work on DRM since 2011.  As noted elsewhere, ongoing internal progress reports (including UNDAF progress reports) note that achievements have been limited.  </w:t>
            </w:r>
            <w:r w:rsidR="007705AD">
              <w:rPr>
                <w:rFonts w:asciiTheme="minorHAnsi" w:hAnsiTheme="minorHAnsi"/>
                <w:bCs/>
                <w:sz w:val="20"/>
              </w:rPr>
              <w:t xml:space="preserve">Technical inputs of good quality have been delivered but have not yet translated into enhanced insititional capacities.  </w:t>
            </w:r>
            <w:r>
              <w:rPr>
                <w:rFonts w:asciiTheme="minorHAnsi" w:hAnsiTheme="minorHAnsi"/>
                <w:bCs/>
                <w:sz w:val="20"/>
              </w:rPr>
              <w:t xml:space="preserve">The primary reason is seen to be a flawed project design, and the subsequent inability of UNDP and GOI partners to change track / revise the scope of support </w:t>
            </w:r>
            <w:r w:rsidR="00C663D5">
              <w:rPr>
                <w:rFonts w:asciiTheme="minorHAnsi" w:hAnsiTheme="minorHAnsi"/>
                <w:bCs/>
                <w:sz w:val="20"/>
              </w:rPr>
              <w:t xml:space="preserve">(in particular project management /institutional arrangements) </w:t>
            </w:r>
            <w:r>
              <w:rPr>
                <w:rFonts w:asciiTheme="minorHAnsi" w:hAnsiTheme="minorHAnsi"/>
                <w:bCs/>
                <w:sz w:val="20"/>
              </w:rPr>
              <w:t xml:space="preserve">in a timely manner.  </w:t>
            </w:r>
          </w:p>
          <w:p w14:paraId="3B082883" w14:textId="77777777" w:rsidR="00B62C4A" w:rsidRPr="00B62C4A" w:rsidRDefault="00B62C4A" w:rsidP="00B62C4A">
            <w:pPr>
              <w:jc w:val="both"/>
              <w:rPr>
                <w:i/>
                <w:sz w:val="20"/>
              </w:rPr>
            </w:pPr>
          </w:p>
          <w:p w14:paraId="0DC13BEA" w14:textId="77777777" w:rsidR="009E7526" w:rsidRPr="00175B60" w:rsidRDefault="009E7526" w:rsidP="00795AE8">
            <w:pPr>
              <w:jc w:val="both"/>
              <w:rPr>
                <w:rFonts w:asciiTheme="minorHAnsi" w:hAnsiTheme="minorHAnsi"/>
                <w:u w:val="single"/>
              </w:rPr>
            </w:pPr>
            <w:r w:rsidRPr="00175B60">
              <w:rPr>
                <w:rFonts w:asciiTheme="minorHAnsi" w:hAnsiTheme="minorHAnsi"/>
                <w:u w:val="single"/>
              </w:rPr>
              <w:t>Major Lessons Learnt</w:t>
            </w:r>
            <w:r w:rsidR="005F6261" w:rsidRPr="00175B60">
              <w:rPr>
                <w:rFonts w:asciiTheme="minorHAnsi" w:hAnsiTheme="minorHAnsi"/>
                <w:u w:val="single"/>
              </w:rPr>
              <w:t>:</w:t>
            </w:r>
          </w:p>
          <w:p w14:paraId="6DDC4553" w14:textId="77777777" w:rsidR="00175B60" w:rsidRPr="00F352FE" w:rsidRDefault="00175B60" w:rsidP="00F52DF3">
            <w:pPr>
              <w:jc w:val="both"/>
              <w:rPr>
                <w:rFonts w:asciiTheme="minorHAnsi" w:hAnsiTheme="minorHAnsi"/>
                <w:b/>
                <w:bCs/>
                <w:sz w:val="20"/>
              </w:rPr>
            </w:pPr>
          </w:p>
          <w:p w14:paraId="06303614" w14:textId="266260C4" w:rsidR="00E94DA3" w:rsidRPr="00F352FE" w:rsidRDefault="00E94DA3" w:rsidP="00F52DF3">
            <w:pPr>
              <w:jc w:val="both"/>
              <w:rPr>
                <w:rFonts w:asciiTheme="minorHAnsi" w:hAnsiTheme="minorHAnsi"/>
                <w:b/>
                <w:bCs/>
                <w:sz w:val="20"/>
              </w:rPr>
            </w:pPr>
            <w:r w:rsidRPr="00F352FE">
              <w:rPr>
                <w:rFonts w:asciiTheme="minorHAnsi" w:hAnsiTheme="minorHAnsi"/>
                <w:b/>
                <w:bCs/>
                <w:sz w:val="20"/>
              </w:rPr>
              <w:t>General</w:t>
            </w:r>
          </w:p>
          <w:p w14:paraId="5191F713" w14:textId="77777777" w:rsidR="001B76F1" w:rsidRDefault="00C40881" w:rsidP="00F52DF3">
            <w:pPr>
              <w:jc w:val="both"/>
              <w:rPr>
                <w:rFonts w:asciiTheme="minorHAnsi" w:hAnsiTheme="minorHAnsi"/>
                <w:bCs/>
                <w:sz w:val="20"/>
              </w:rPr>
            </w:pPr>
            <w:r w:rsidRPr="00F352FE">
              <w:rPr>
                <w:rFonts w:asciiTheme="minorHAnsi" w:hAnsiTheme="minorHAnsi"/>
                <w:bCs/>
                <w:sz w:val="20"/>
              </w:rPr>
              <w:t xml:space="preserve">UNDP </w:t>
            </w:r>
            <w:r w:rsidR="006767EF" w:rsidRPr="00F352FE">
              <w:rPr>
                <w:rFonts w:asciiTheme="minorHAnsi" w:hAnsiTheme="minorHAnsi"/>
                <w:bCs/>
                <w:sz w:val="20"/>
              </w:rPr>
              <w:t>Country Office</w:t>
            </w:r>
            <w:r w:rsidR="0027654E" w:rsidRPr="00F352FE">
              <w:rPr>
                <w:rFonts w:asciiTheme="minorHAnsi" w:hAnsiTheme="minorHAnsi"/>
                <w:bCs/>
                <w:sz w:val="20"/>
              </w:rPr>
              <w:t>’s</w:t>
            </w:r>
            <w:r w:rsidR="006767EF" w:rsidRPr="00F352FE">
              <w:rPr>
                <w:rFonts w:asciiTheme="minorHAnsi" w:hAnsiTheme="minorHAnsi"/>
                <w:bCs/>
                <w:sz w:val="20"/>
              </w:rPr>
              <w:t xml:space="preserve"> </w:t>
            </w:r>
            <w:r w:rsidRPr="00F352FE">
              <w:rPr>
                <w:rFonts w:asciiTheme="minorHAnsi" w:hAnsiTheme="minorHAnsi"/>
                <w:bCs/>
                <w:sz w:val="20"/>
              </w:rPr>
              <w:t xml:space="preserve">ability to influence national development outcomes remains highly dependent on factors </w:t>
            </w:r>
            <w:r w:rsidR="006767EF" w:rsidRPr="00F352FE">
              <w:rPr>
                <w:rFonts w:asciiTheme="minorHAnsi" w:hAnsiTheme="minorHAnsi"/>
                <w:bCs/>
                <w:sz w:val="20"/>
              </w:rPr>
              <w:t xml:space="preserve">that are </w:t>
            </w:r>
            <w:r w:rsidRPr="00F352FE">
              <w:rPr>
                <w:rFonts w:asciiTheme="minorHAnsi" w:hAnsiTheme="minorHAnsi"/>
                <w:bCs/>
                <w:sz w:val="20"/>
              </w:rPr>
              <w:t xml:space="preserve">largely beyond its </w:t>
            </w:r>
            <w:r w:rsidR="006767EF" w:rsidRPr="00F352FE">
              <w:rPr>
                <w:rFonts w:asciiTheme="minorHAnsi" w:hAnsiTheme="minorHAnsi"/>
                <w:bCs/>
                <w:sz w:val="20"/>
              </w:rPr>
              <w:t xml:space="preserve">direct </w:t>
            </w:r>
            <w:r w:rsidRPr="00F352FE">
              <w:rPr>
                <w:rFonts w:asciiTheme="minorHAnsi" w:hAnsiTheme="minorHAnsi"/>
                <w:bCs/>
                <w:sz w:val="20"/>
              </w:rPr>
              <w:t xml:space="preserve">control, including: (i) allocation of GOI budget to </w:t>
            </w:r>
            <w:r w:rsidR="006767EF" w:rsidRPr="00F352FE">
              <w:rPr>
                <w:rFonts w:asciiTheme="minorHAnsi" w:hAnsiTheme="minorHAnsi"/>
                <w:bCs/>
                <w:sz w:val="20"/>
              </w:rPr>
              <w:t xml:space="preserve">support </w:t>
            </w:r>
            <w:r w:rsidRPr="00F352FE">
              <w:rPr>
                <w:rFonts w:asciiTheme="minorHAnsi" w:hAnsiTheme="minorHAnsi"/>
                <w:bCs/>
                <w:sz w:val="20"/>
              </w:rPr>
              <w:t>both development and recurrent costs</w:t>
            </w:r>
            <w:r w:rsidR="006767EF" w:rsidRPr="00F352FE">
              <w:rPr>
                <w:rFonts w:asciiTheme="minorHAnsi" w:hAnsiTheme="minorHAnsi"/>
                <w:bCs/>
                <w:sz w:val="20"/>
              </w:rPr>
              <w:t xml:space="preserve"> of UNDP supported initiatives</w:t>
            </w:r>
            <w:r w:rsidRPr="00F352FE">
              <w:rPr>
                <w:rFonts w:asciiTheme="minorHAnsi" w:hAnsiTheme="minorHAnsi"/>
                <w:bCs/>
                <w:sz w:val="20"/>
              </w:rPr>
              <w:t xml:space="preserve">; (ii) </w:t>
            </w:r>
            <w:r w:rsidR="006767EF" w:rsidRPr="00F352FE">
              <w:rPr>
                <w:rFonts w:asciiTheme="minorHAnsi" w:hAnsiTheme="minorHAnsi"/>
                <w:bCs/>
                <w:sz w:val="20"/>
              </w:rPr>
              <w:t>geo-political constraints and complexities, including ongoing restrictions placed by both the GOI and the international community on what the UN (and other development</w:t>
            </w:r>
            <w:r w:rsidR="00C01C71">
              <w:rPr>
                <w:rFonts w:asciiTheme="minorHAnsi" w:hAnsiTheme="minorHAnsi"/>
                <w:bCs/>
                <w:sz w:val="20"/>
              </w:rPr>
              <w:t xml:space="preserve"> actors</w:t>
            </w:r>
            <w:r w:rsidR="006767EF" w:rsidRPr="00F352FE">
              <w:rPr>
                <w:rFonts w:asciiTheme="minorHAnsi" w:hAnsiTheme="minorHAnsi"/>
                <w:bCs/>
                <w:sz w:val="20"/>
              </w:rPr>
              <w:t xml:space="preserve">) can and cannot do in Iran; and (iii) UNDP’s own institutional </w:t>
            </w:r>
            <w:r w:rsidR="00B43E78" w:rsidRPr="00F352FE">
              <w:rPr>
                <w:rFonts w:asciiTheme="minorHAnsi" w:hAnsiTheme="minorHAnsi"/>
                <w:bCs/>
                <w:sz w:val="20"/>
              </w:rPr>
              <w:t>(</w:t>
            </w:r>
            <w:r w:rsidR="006767EF" w:rsidRPr="00F352FE">
              <w:rPr>
                <w:rFonts w:asciiTheme="minorHAnsi" w:hAnsiTheme="minorHAnsi"/>
                <w:bCs/>
                <w:sz w:val="20"/>
              </w:rPr>
              <w:t>administrative</w:t>
            </w:r>
            <w:r w:rsidR="0027654E" w:rsidRPr="00F352FE">
              <w:rPr>
                <w:rFonts w:asciiTheme="minorHAnsi" w:hAnsiTheme="minorHAnsi"/>
                <w:bCs/>
                <w:sz w:val="20"/>
              </w:rPr>
              <w:t xml:space="preserve">, </w:t>
            </w:r>
            <w:r w:rsidR="00B43E78" w:rsidRPr="00F352FE">
              <w:rPr>
                <w:rFonts w:asciiTheme="minorHAnsi" w:hAnsiTheme="minorHAnsi"/>
                <w:bCs/>
                <w:sz w:val="20"/>
              </w:rPr>
              <w:t xml:space="preserve">HRM, </w:t>
            </w:r>
            <w:r w:rsidR="0027654E" w:rsidRPr="00F352FE">
              <w:rPr>
                <w:rFonts w:asciiTheme="minorHAnsi" w:hAnsiTheme="minorHAnsi"/>
                <w:bCs/>
                <w:sz w:val="20"/>
              </w:rPr>
              <w:t>financing</w:t>
            </w:r>
            <w:r w:rsidR="00DB0288" w:rsidRPr="00F352FE">
              <w:rPr>
                <w:rFonts w:asciiTheme="minorHAnsi" w:hAnsiTheme="minorHAnsi"/>
                <w:bCs/>
                <w:sz w:val="20"/>
              </w:rPr>
              <w:t>)</w:t>
            </w:r>
            <w:r w:rsidR="006767EF" w:rsidRPr="00F352FE">
              <w:rPr>
                <w:rFonts w:asciiTheme="minorHAnsi" w:hAnsiTheme="minorHAnsi"/>
                <w:bCs/>
                <w:sz w:val="20"/>
              </w:rPr>
              <w:t xml:space="preserve"> complexities.  </w:t>
            </w:r>
          </w:p>
          <w:p w14:paraId="5F431740" w14:textId="77777777" w:rsidR="0027654E" w:rsidRPr="00F352FE" w:rsidRDefault="0027654E" w:rsidP="00F52DF3">
            <w:pPr>
              <w:jc w:val="both"/>
              <w:rPr>
                <w:rFonts w:asciiTheme="minorHAnsi" w:hAnsiTheme="minorHAnsi"/>
                <w:bCs/>
                <w:sz w:val="20"/>
              </w:rPr>
            </w:pPr>
          </w:p>
          <w:p w14:paraId="45F2A584" w14:textId="7F9B1379" w:rsidR="0027654E" w:rsidRPr="00F352FE" w:rsidRDefault="0027654E" w:rsidP="00F52DF3">
            <w:pPr>
              <w:jc w:val="both"/>
              <w:rPr>
                <w:rFonts w:asciiTheme="minorHAnsi" w:hAnsiTheme="minorHAnsi"/>
                <w:bCs/>
                <w:sz w:val="20"/>
              </w:rPr>
            </w:pPr>
            <w:r w:rsidRPr="00F352FE">
              <w:rPr>
                <w:rFonts w:asciiTheme="minorHAnsi" w:hAnsiTheme="minorHAnsi"/>
                <w:bCs/>
                <w:sz w:val="20"/>
              </w:rPr>
              <w:t xml:space="preserve">UNDP’s comparative advantage, </w:t>
            </w:r>
            <w:r w:rsidR="00327574">
              <w:rPr>
                <w:rFonts w:asciiTheme="minorHAnsi" w:hAnsiTheme="minorHAnsi"/>
                <w:bCs/>
                <w:sz w:val="20"/>
              </w:rPr>
              <w:t xml:space="preserve">at least in theory, lies in working in a programmatic way at the ‘upstream’ policy / programming level, promoting sustainable development objectives (including the SDGs) and multi-sectoral approaches to addressing development challenges, facilitating access to international development expertise, promoting south-south cooperation and </w:t>
            </w:r>
            <w:r w:rsidR="00F00EE2" w:rsidRPr="00F352FE">
              <w:rPr>
                <w:rFonts w:asciiTheme="minorHAnsi" w:hAnsiTheme="minorHAnsi"/>
                <w:bCs/>
                <w:sz w:val="20"/>
              </w:rPr>
              <w:t>the enhanced coordination of international development assistance</w:t>
            </w:r>
            <w:r w:rsidR="00B43E78" w:rsidRPr="00F352FE">
              <w:rPr>
                <w:rFonts w:asciiTheme="minorHAnsi" w:hAnsiTheme="minorHAnsi"/>
                <w:bCs/>
                <w:sz w:val="20"/>
              </w:rPr>
              <w:t xml:space="preserve"> (including One UN delivery objectives)</w:t>
            </w:r>
            <w:r w:rsidR="00F00EE2" w:rsidRPr="00F352FE">
              <w:rPr>
                <w:rFonts w:asciiTheme="minorHAnsi" w:hAnsiTheme="minorHAnsi"/>
                <w:bCs/>
                <w:sz w:val="20"/>
              </w:rPr>
              <w:t xml:space="preserve">.  </w:t>
            </w:r>
            <w:r w:rsidR="00246E1F" w:rsidRPr="00F352FE">
              <w:rPr>
                <w:rFonts w:asciiTheme="minorHAnsi" w:hAnsiTheme="minorHAnsi"/>
                <w:bCs/>
                <w:sz w:val="20"/>
              </w:rPr>
              <w:t>However,</w:t>
            </w:r>
            <w:r w:rsidR="00327574">
              <w:rPr>
                <w:rFonts w:asciiTheme="minorHAnsi" w:hAnsiTheme="minorHAnsi"/>
                <w:bCs/>
                <w:sz w:val="20"/>
              </w:rPr>
              <w:t xml:space="preserve"> programmatic resources to support this upstream work are highly constrained.  In practice most donors, as well as the GOI, require / prefer the development and approval of specific time </w:t>
            </w:r>
            <w:r w:rsidR="00327574">
              <w:rPr>
                <w:rFonts w:asciiTheme="minorHAnsi" w:hAnsiTheme="minorHAnsi"/>
                <w:bCs/>
                <w:sz w:val="20"/>
              </w:rPr>
              <w:lastRenderedPageBreak/>
              <w:t>and resource bound projects</w:t>
            </w:r>
            <w:r w:rsidR="00952B76">
              <w:rPr>
                <w:rFonts w:asciiTheme="minorHAnsi" w:hAnsiTheme="minorHAnsi"/>
                <w:bCs/>
                <w:sz w:val="20"/>
              </w:rPr>
              <w:t xml:space="preserve"> that can demonstrate impact on specific target groups in defined geographic areas</w:t>
            </w:r>
            <w:r w:rsidR="00C01C71">
              <w:rPr>
                <w:rFonts w:asciiTheme="minorHAnsi" w:hAnsiTheme="minorHAnsi"/>
                <w:bCs/>
                <w:sz w:val="20"/>
              </w:rPr>
              <w:t xml:space="preserve">. </w:t>
            </w:r>
            <w:r w:rsidR="00327574">
              <w:rPr>
                <w:rFonts w:asciiTheme="minorHAnsi" w:hAnsiTheme="minorHAnsi"/>
                <w:bCs/>
                <w:sz w:val="20"/>
              </w:rPr>
              <w:t xml:space="preserve"> </w:t>
            </w:r>
            <w:r w:rsidR="00952B76">
              <w:rPr>
                <w:rFonts w:asciiTheme="minorHAnsi" w:hAnsiTheme="minorHAnsi"/>
                <w:bCs/>
                <w:sz w:val="20"/>
              </w:rPr>
              <w:t xml:space="preserve">Accepting and working with this reality is important.  Indeed, in practice, pilot projects which target specific geographic areas and groups (rather than just national policies /systems) can provide an effective means of influencing national policies and strategic plans at the national level.  Demonstrating something that works on the ground (providing clear evidence of results / benefits for people) can then ‘trickle up’ into national policy making and strategic planning.   </w:t>
            </w:r>
          </w:p>
          <w:p w14:paraId="57A9FBCE" w14:textId="77777777" w:rsidR="001B76F1" w:rsidRDefault="001B76F1" w:rsidP="00F52DF3">
            <w:pPr>
              <w:jc w:val="both"/>
              <w:rPr>
                <w:rFonts w:asciiTheme="minorHAnsi" w:hAnsiTheme="minorHAnsi"/>
                <w:bCs/>
                <w:sz w:val="20"/>
              </w:rPr>
            </w:pPr>
          </w:p>
          <w:p w14:paraId="416A0756" w14:textId="29F9DE51" w:rsidR="00F84486" w:rsidRDefault="001B76F1" w:rsidP="00F52DF3">
            <w:pPr>
              <w:jc w:val="both"/>
              <w:rPr>
                <w:rFonts w:asciiTheme="minorHAnsi" w:hAnsiTheme="minorHAnsi"/>
                <w:bCs/>
                <w:sz w:val="20"/>
              </w:rPr>
            </w:pPr>
            <w:r>
              <w:rPr>
                <w:rFonts w:asciiTheme="minorHAnsi" w:hAnsiTheme="minorHAnsi"/>
                <w:bCs/>
                <w:sz w:val="20"/>
              </w:rPr>
              <w:t>Nevertheless, p</w:t>
            </w:r>
            <w:r w:rsidRPr="00F352FE">
              <w:rPr>
                <w:rFonts w:asciiTheme="minorHAnsi" w:hAnsiTheme="minorHAnsi"/>
                <w:bCs/>
                <w:sz w:val="20"/>
              </w:rPr>
              <w:t>roject objectives and work plans are often over-ambitious, particularly with respect to the speed which project based activities can be mobilized.  Project evaluations consistently reflect this fact.</w:t>
            </w:r>
          </w:p>
          <w:p w14:paraId="6E6814FB" w14:textId="77777777" w:rsidR="001B76F1" w:rsidRPr="00F352FE" w:rsidRDefault="001B76F1" w:rsidP="00F52DF3">
            <w:pPr>
              <w:jc w:val="both"/>
              <w:rPr>
                <w:rFonts w:asciiTheme="minorHAnsi" w:hAnsiTheme="minorHAnsi"/>
                <w:bCs/>
                <w:sz w:val="20"/>
              </w:rPr>
            </w:pPr>
          </w:p>
          <w:p w14:paraId="1BA84CE1" w14:textId="7ADC8640" w:rsidR="00F84486" w:rsidRPr="00F352FE" w:rsidRDefault="00F84486" w:rsidP="00F52DF3">
            <w:pPr>
              <w:jc w:val="both"/>
              <w:rPr>
                <w:rFonts w:asciiTheme="minorHAnsi" w:hAnsiTheme="minorHAnsi"/>
                <w:bCs/>
                <w:sz w:val="20"/>
              </w:rPr>
            </w:pPr>
            <w:r w:rsidRPr="00F352FE">
              <w:rPr>
                <w:rFonts w:asciiTheme="minorHAnsi" w:hAnsiTheme="minorHAnsi"/>
                <w:bCs/>
                <w:sz w:val="20"/>
              </w:rPr>
              <w:t xml:space="preserve">UNDP CO’s ability to effectively monitor and evaluate the results that it contributes to is highly dependent on GOI inputs, both in terms of </w:t>
            </w:r>
            <w:r w:rsidR="00C01C71">
              <w:rPr>
                <w:rFonts w:asciiTheme="minorHAnsi" w:hAnsiTheme="minorHAnsi"/>
                <w:bCs/>
                <w:sz w:val="20"/>
              </w:rPr>
              <w:t xml:space="preserve">collecting and documenting </w:t>
            </w:r>
            <w:r w:rsidRPr="00F352FE">
              <w:rPr>
                <w:rFonts w:asciiTheme="minorHAnsi" w:hAnsiTheme="minorHAnsi"/>
                <w:bCs/>
                <w:sz w:val="20"/>
              </w:rPr>
              <w:t xml:space="preserve">GOI partner staff </w:t>
            </w:r>
            <w:r w:rsidR="00C01C71">
              <w:rPr>
                <w:rFonts w:asciiTheme="minorHAnsi" w:hAnsiTheme="minorHAnsi"/>
                <w:bCs/>
                <w:sz w:val="20"/>
              </w:rPr>
              <w:t xml:space="preserve">(and other local stakeholder) </w:t>
            </w:r>
            <w:r w:rsidRPr="00F352FE">
              <w:rPr>
                <w:rFonts w:asciiTheme="minorHAnsi" w:hAnsiTheme="minorHAnsi"/>
                <w:bCs/>
                <w:sz w:val="20"/>
              </w:rPr>
              <w:t xml:space="preserve">perceptions </w:t>
            </w:r>
            <w:r w:rsidR="00C01C71">
              <w:rPr>
                <w:rFonts w:asciiTheme="minorHAnsi" w:hAnsiTheme="minorHAnsi"/>
                <w:bCs/>
                <w:sz w:val="20"/>
              </w:rPr>
              <w:t xml:space="preserve">of results </w:t>
            </w:r>
            <w:r w:rsidRPr="00F352FE">
              <w:rPr>
                <w:rFonts w:asciiTheme="minorHAnsi" w:hAnsiTheme="minorHAnsi"/>
                <w:bCs/>
                <w:sz w:val="20"/>
              </w:rPr>
              <w:t xml:space="preserve">and </w:t>
            </w:r>
            <w:r w:rsidR="00C01C71">
              <w:rPr>
                <w:rFonts w:asciiTheme="minorHAnsi" w:hAnsiTheme="minorHAnsi"/>
                <w:bCs/>
                <w:sz w:val="20"/>
              </w:rPr>
              <w:t xml:space="preserve">getting </w:t>
            </w:r>
            <w:r w:rsidR="00CA6DEF" w:rsidRPr="00F352FE">
              <w:rPr>
                <w:rFonts w:asciiTheme="minorHAnsi" w:hAnsiTheme="minorHAnsi"/>
                <w:bCs/>
                <w:sz w:val="20"/>
              </w:rPr>
              <w:t xml:space="preserve">timely access to </w:t>
            </w:r>
            <w:r w:rsidRPr="00F352FE">
              <w:rPr>
                <w:rFonts w:asciiTheme="minorHAnsi" w:hAnsiTheme="minorHAnsi"/>
                <w:bCs/>
                <w:sz w:val="20"/>
              </w:rPr>
              <w:t>GOI official data</w:t>
            </w:r>
            <w:r w:rsidR="00CA6DEF" w:rsidRPr="00F352FE">
              <w:rPr>
                <w:rFonts w:asciiTheme="minorHAnsi" w:hAnsiTheme="minorHAnsi"/>
                <w:bCs/>
                <w:sz w:val="20"/>
              </w:rPr>
              <w:t xml:space="preserve">.  Joint monitoring and evaluation mechanisms are in need </w:t>
            </w:r>
            <w:r w:rsidR="00C01C71">
              <w:rPr>
                <w:rFonts w:asciiTheme="minorHAnsi" w:hAnsiTheme="minorHAnsi"/>
                <w:bCs/>
                <w:sz w:val="20"/>
              </w:rPr>
              <w:t xml:space="preserve">of </w:t>
            </w:r>
            <w:r w:rsidR="00CA6DEF" w:rsidRPr="00F352FE">
              <w:rPr>
                <w:rFonts w:asciiTheme="minorHAnsi" w:hAnsiTheme="minorHAnsi"/>
                <w:bCs/>
                <w:sz w:val="20"/>
              </w:rPr>
              <w:t xml:space="preserve">further strengthening.  The conduct of </w:t>
            </w:r>
            <w:r w:rsidR="00C01C71">
              <w:rPr>
                <w:rFonts w:asciiTheme="minorHAnsi" w:hAnsiTheme="minorHAnsi"/>
                <w:bCs/>
                <w:sz w:val="20"/>
              </w:rPr>
              <w:t xml:space="preserve">more </w:t>
            </w:r>
            <w:r w:rsidR="0032741A">
              <w:rPr>
                <w:rFonts w:asciiTheme="minorHAnsi" w:hAnsiTheme="minorHAnsi"/>
                <w:bCs/>
                <w:sz w:val="20"/>
              </w:rPr>
              <w:t xml:space="preserve">(and higher quality) </w:t>
            </w:r>
            <w:r w:rsidR="00CA6DEF" w:rsidRPr="00F352FE">
              <w:rPr>
                <w:rFonts w:asciiTheme="minorHAnsi" w:hAnsiTheme="minorHAnsi"/>
                <w:bCs/>
                <w:sz w:val="20"/>
              </w:rPr>
              <w:t xml:space="preserve">independent evaluations of </w:t>
            </w:r>
            <w:r w:rsidR="0032741A">
              <w:rPr>
                <w:rFonts w:asciiTheme="minorHAnsi" w:hAnsiTheme="minorHAnsi"/>
                <w:bCs/>
                <w:sz w:val="20"/>
              </w:rPr>
              <w:t xml:space="preserve">UNDP </w:t>
            </w:r>
            <w:r w:rsidR="00CA6DEF" w:rsidRPr="00F352FE">
              <w:rPr>
                <w:rFonts w:asciiTheme="minorHAnsi" w:hAnsiTheme="minorHAnsi"/>
                <w:bCs/>
                <w:sz w:val="20"/>
              </w:rPr>
              <w:t>programme / project effectiveness</w:t>
            </w:r>
            <w:r w:rsidR="00C01C71">
              <w:rPr>
                <w:rFonts w:asciiTheme="minorHAnsi" w:hAnsiTheme="minorHAnsi"/>
                <w:bCs/>
                <w:sz w:val="20"/>
              </w:rPr>
              <w:t xml:space="preserve"> would be helpful, although GOI sensitivities make this a challenge</w:t>
            </w:r>
            <w:r w:rsidR="00246E1F" w:rsidRPr="00F352FE">
              <w:rPr>
                <w:rFonts w:asciiTheme="minorHAnsi" w:hAnsiTheme="minorHAnsi"/>
                <w:bCs/>
                <w:sz w:val="20"/>
              </w:rPr>
              <w:t xml:space="preserve">. </w:t>
            </w:r>
            <w:r w:rsidR="00CA6DEF" w:rsidRPr="00F352FE">
              <w:rPr>
                <w:rFonts w:asciiTheme="minorHAnsi" w:hAnsiTheme="minorHAnsi"/>
                <w:bCs/>
                <w:sz w:val="20"/>
              </w:rPr>
              <w:t xml:space="preserve">  </w:t>
            </w:r>
          </w:p>
          <w:p w14:paraId="02F5AFB5" w14:textId="77777777" w:rsidR="00E94DA3" w:rsidRPr="00F352FE" w:rsidRDefault="00E94DA3" w:rsidP="00F52DF3">
            <w:pPr>
              <w:jc w:val="both"/>
              <w:rPr>
                <w:rFonts w:asciiTheme="minorHAnsi" w:hAnsiTheme="minorHAnsi"/>
                <w:bCs/>
                <w:sz w:val="20"/>
              </w:rPr>
            </w:pPr>
          </w:p>
          <w:p w14:paraId="2726F78C" w14:textId="77777777" w:rsidR="00E94DA3" w:rsidRPr="00F352FE" w:rsidRDefault="00E94DA3" w:rsidP="00F52DF3">
            <w:pPr>
              <w:jc w:val="both"/>
              <w:rPr>
                <w:rFonts w:asciiTheme="minorHAnsi" w:hAnsiTheme="minorHAnsi"/>
                <w:b/>
                <w:bCs/>
                <w:sz w:val="20"/>
              </w:rPr>
            </w:pPr>
            <w:r w:rsidRPr="00F352FE">
              <w:rPr>
                <w:rFonts w:asciiTheme="minorHAnsi" w:hAnsiTheme="minorHAnsi"/>
                <w:b/>
                <w:bCs/>
                <w:sz w:val="20"/>
              </w:rPr>
              <w:t>Capability poverty and social protection</w:t>
            </w:r>
          </w:p>
          <w:p w14:paraId="70922753" w14:textId="66FB8549" w:rsidR="00BC186D" w:rsidRDefault="00BC186D" w:rsidP="00F52DF3">
            <w:pPr>
              <w:jc w:val="both"/>
              <w:rPr>
                <w:rFonts w:asciiTheme="minorHAnsi" w:hAnsiTheme="minorHAnsi"/>
                <w:bCs/>
                <w:sz w:val="20"/>
              </w:rPr>
            </w:pPr>
            <w:r>
              <w:rPr>
                <w:rFonts w:asciiTheme="minorHAnsi" w:hAnsiTheme="minorHAnsi"/>
                <w:bCs/>
                <w:sz w:val="20"/>
              </w:rPr>
              <w:t xml:space="preserve">UNDP’s comparative advantage lies in its multi-sectoral approach to promoting sustainable human development and poverty elimination.  UNDP must continue to strengthen One UN approaches to its work in this area, in particular with agencies such as UNICEF, UNFPA, UNIDO, UNHABITAT and FAO.  Greater complementarity of effort will strengthen the UN systems ability to influence and support. </w:t>
            </w:r>
            <w:r w:rsidR="00966317">
              <w:rPr>
                <w:rFonts w:asciiTheme="minorHAnsi" w:hAnsiTheme="minorHAnsi"/>
                <w:bCs/>
                <w:sz w:val="20"/>
              </w:rPr>
              <w:t xml:space="preserve"> UNDP’s comparative advantage should primarily lie in its multi-sectoral / integrated </w:t>
            </w:r>
            <w:r w:rsidR="00351DEA">
              <w:rPr>
                <w:rFonts w:asciiTheme="minorHAnsi" w:hAnsiTheme="minorHAnsi"/>
                <w:bCs/>
                <w:sz w:val="20"/>
              </w:rPr>
              <w:t xml:space="preserve">/ holistic view of, and </w:t>
            </w:r>
            <w:r w:rsidR="00966317">
              <w:rPr>
                <w:rFonts w:asciiTheme="minorHAnsi" w:hAnsiTheme="minorHAnsi"/>
                <w:bCs/>
                <w:sz w:val="20"/>
              </w:rPr>
              <w:t>approaches to</w:t>
            </w:r>
            <w:r w:rsidR="00351DEA">
              <w:rPr>
                <w:rFonts w:asciiTheme="minorHAnsi" w:hAnsiTheme="minorHAnsi"/>
                <w:bCs/>
                <w:sz w:val="20"/>
              </w:rPr>
              <w:t>,</w:t>
            </w:r>
            <w:r w:rsidR="00966317">
              <w:rPr>
                <w:rFonts w:asciiTheme="minorHAnsi" w:hAnsiTheme="minorHAnsi"/>
                <w:bCs/>
                <w:sz w:val="20"/>
              </w:rPr>
              <w:t xml:space="preserve"> </w:t>
            </w:r>
            <w:r w:rsidR="00351DEA">
              <w:rPr>
                <w:rFonts w:asciiTheme="minorHAnsi" w:hAnsiTheme="minorHAnsi"/>
                <w:bCs/>
                <w:sz w:val="20"/>
              </w:rPr>
              <w:t xml:space="preserve">human </w:t>
            </w:r>
            <w:r w:rsidR="00966317">
              <w:rPr>
                <w:rFonts w:asciiTheme="minorHAnsi" w:hAnsiTheme="minorHAnsi"/>
                <w:bCs/>
                <w:sz w:val="20"/>
              </w:rPr>
              <w:t>development</w:t>
            </w:r>
            <w:r w:rsidR="00351DEA">
              <w:rPr>
                <w:rFonts w:asciiTheme="minorHAnsi" w:hAnsiTheme="minorHAnsi"/>
                <w:bCs/>
                <w:sz w:val="20"/>
              </w:rPr>
              <w:t xml:space="preserve">. </w:t>
            </w:r>
          </w:p>
          <w:p w14:paraId="3A4B808E" w14:textId="5F842569" w:rsidR="00BC186D" w:rsidRDefault="00BC186D" w:rsidP="00F52DF3">
            <w:pPr>
              <w:jc w:val="both"/>
              <w:rPr>
                <w:rFonts w:asciiTheme="minorHAnsi" w:hAnsiTheme="minorHAnsi"/>
                <w:bCs/>
                <w:sz w:val="20"/>
              </w:rPr>
            </w:pPr>
          </w:p>
          <w:p w14:paraId="6767ECD5" w14:textId="7AB799BF" w:rsidR="000F530D" w:rsidRDefault="000F530D" w:rsidP="00F52DF3">
            <w:pPr>
              <w:jc w:val="both"/>
              <w:rPr>
                <w:rFonts w:asciiTheme="minorHAnsi" w:hAnsiTheme="minorHAnsi"/>
                <w:bCs/>
                <w:sz w:val="20"/>
              </w:rPr>
            </w:pPr>
            <w:r>
              <w:rPr>
                <w:rFonts w:asciiTheme="minorHAnsi" w:hAnsiTheme="minorHAnsi"/>
                <w:bCs/>
                <w:sz w:val="20"/>
              </w:rPr>
              <w:t>UNDP needs to be more realistic about what it can and cannot</w:t>
            </w:r>
            <w:r w:rsidR="0032741A">
              <w:rPr>
                <w:rFonts w:asciiTheme="minorHAnsi" w:hAnsiTheme="minorHAnsi"/>
                <w:bCs/>
                <w:sz w:val="20"/>
              </w:rPr>
              <w:t xml:space="preserve"> effectively achieve / contribute to</w:t>
            </w:r>
            <w:r>
              <w:rPr>
                <w:rFonts w:asciiTheme="minorHAnsi" w:hAnsiTheme="minorHAnsi"/>
                <w:bCs/>
                <w:sz w:val="20"/>
              </w:rPr>
              <w:t xml:space="preserve">, more strategic in selecting where it should provide support, </w:t>
            </w:r>
            <w:r w:rsidR="00CE1D8D">
              <w:rPr>
                <w:rFonts w:asciiTheme="minorHAnsi" w:hAnsiTheme="minorHAnsi"/>
                <w:bCs/>
                <w:sz w:val="20"/>
              </w:rPr>
              <w:t xml:space="preserve">but also </w:t>
            </w:r>
            <w:r>
              <w:rPr>
                <w:rFonts w:asciiTheme="minorHAnsi" w:hAnsiTheme="minorHAnsi"/>
                <w:bCs/>
                <w:sz w:val="20"/>
              </w:rPr>
              <w:t>more flexible / less bureaucratic in the way that it responds to emerging opportunities</w:t>
            </w:r>
            <w:r w:rsidR="00CE1D8D">
              <w:rPr>
                <w:rFonts w:asciiTheme="minorHAnsi" w:hAnsiTheme="minorHAnsi"/>
                <w:bCs/>
                <w:sz w:val="20"/>
              </w:rPr>
              <w:t xml:space="preserve">.  UNDP must also more effectively promote its role as a source of international TA / </w:t>
            </w:r>
            <w:r w:rsidR="0032741A">
              <w:rPr>
                <w:rFonts w:asciiTheme="minorHAnsi" w:hAnsiTheme="minorHAnsi"/>
                <w:bCs/>
                <w:sz w:val="20"/>
              </w:rPr>
              <w:t xml:space="preserve">expertise </w:t>
            </w:r>
            <w:r w:rsidR="00CE1D8D">
              <w:rPr>
                <w:rFonts w:asciiTheme="minorHAnsi" w:hAnsiTheme="minorHAnsi"/>
                <w:bCs/>
                <w:sz w:val="20"/>
              </w:rPr>
              <w:t xml:space="preserve">rather than finance.  </w:t>
            </w:r>
          </w:p>
          <w:p w14:paraId="54188950" w14:textId="77777777" w:rsidR="00371A26" w:rsidRDefault="00371A26" w:rsidP="00F52DF3">
            <w:pPr>
              <w:jc w:val="both"/>
              <w:rPr>
                <w:rFonts w:asciiTheme="minorHAnsi" w:hAnsiTheme="minorHAnsi"/>
                <w:bCs/>
                <w:sz w:val="20"/>
              </w:rPr>
            </w:pPr>
          </w:p>
          <w:p w14:paraId="4C58B35B" w14:textId="7577CA47" w:rsidR="00371A26" w:rsidRDefault="00371A26" w:rsidP="00F52DF3">
            <w:pPr>
              <w:jc w:val="both"/>
              <w:rPr>
                <w:rFonts w:asciiTheme="minorHAnsi" w:hAnsiTheme="minorHAnsi"/>
                <w:bCs/>
                <w:sz w:val="20"/>
              </w:rPr>
            </w:pPr>
            <w:r>
              <w:rPr>
                <w:rFonts w:asciiTheme="minorHAnsi" w:hAnsiTheme="minorHAnsi"/>
                <w:bCs/>
                <w:sz w:val="20"/>
              </w:rPr>
              <w:t xml:space="preserve">While working in line with, and supporting implementation of, UNDP’s own Strategic Plan and objectives, national level ownership and policy priorities are paramount in framing what UNDP can work on and how it works.  The local context is critical.  </w:t>
            </w:r>
          </w:p>
          <w:p w14:paraId="271A32A4" w14:textId="77777777" w:rsidR="000F530D" w:rsidRPr="00F352FE" w:rsidRDefault="000F530D" w:rsidP="00F52DF3">
            <w:pPr>
              <w:jc w:val="both"/>
              <w:rPr>
                <w:rFonts w:asciiTheme="minorHAnsi" w:hAnsiTheme="minorHAnsi"/>
                <w:bCs/>
                <w:sz w:val="20"/>
              </w:rPr>
            </w:pPr>
          </w:p>
          <w:p w14:paraId="4CF56B92" w14:textId="77777777" w:rsidR="000F530D" w:rsidRDefault="00F52DF3" w:rsidP="000F530D">
            <w:pPr>
              <w:jc w:val="both"/>
              <w:rPr>
                <w:rFonts w:asciiTheme="minorHAnsi" w:hAnsiTheme="minorHAnsi"/>
                <w:sz w:val="20"/>
              </w:rPr>
            </w:pPr>
            <w:r w:rsidRPr="00F352FE">
              <w:rPr>
                <w:rFonts w:asciiTheme="minorHAnsi" w:hAnsiTheme="minorHAnsi"/>
                <w:b/>
                <w:bCs/>
                <w:sz w:val="20"/>
              </w:rPr>
              <w:t>H</w:t>
            </w:r>
            <w:r w:rsidR="00B43E78" w:rsidRPr="00F352FE">
              <w:rPr>
                <w:rFonts w:asciiTheme="minorHAnsi" w:hAnsiTheme="minorHAnsi"/>
                <w:b/>
                <w:bCs/>
                <w:sz w:val="20"/>
              </w:rPr>
              <w:t xml:space="preserve">ealth and </w:t>
            </w:r>
            <w:r w:rsidRPr="00F352FE">
              <w:rPr>
                <w:rFonts w:asciiTheme="minorHAnsi" w:hAnsiTheme="minorHAnsi"/>
                <w:b/>
                <w:bCs/>
                <w:sz w:val="20"/>
              </w:rPr>
              <w:t>D</w:t>
            </w:r>
            <w:r w:rsidR="00B43E78" w:rsidRPr="00F352FE">
              <w:rPr>
                <w:rFonts w:asciiTheme="minorHAnsi" w:hAnsiTheme="minorHAnsi"/>
                <w:b/>
                <w:bCs/>
                <w:sz w:val="20"/>
              </w:rPr>
              <w:t>evelopment</w:t>
            </w:r>
            <w:r w:rsidRPr="00F352FE">
              <w:rPr>
                <w:rFonts w:asciiTheme="minorHAnsi" w:hAnsiTheme="minorHAnsi"/>
                <w:b/>
                <w:bCs/>
                <w:sz w:val="20"/>
              </w:rPr>
              <w:t>:</w:t>
            </w:r>
            <w:r w:rsidRPr="00F352FE">
              <w:rPr>
                <w:rFonts w:asciiTheme="minorHAnsi" w:hAnsiTheme="minorHAnsi"/>
                <w:sz w:val="20"/>
              </w:rPr>
              <w:t xml:space="preserve"> </w:t>
            </w:r>
            <w:r w:rsidR="00246E1F" w:rsidRPr="00F352FE">
              <w:rPr>
                <w:rFonts w:asciiTheme="minorHAnsi" w:hAnsiTheme="minorHAnsi"/>
                <w:sz w:val="20"/>
              </w:rPr>
              <w:t xml:space="preserve"> </w:t>
            </w:r>
          </w:p>
          <w:p w14:paraId="5ACA4656" w14:textId="3C4D69F8" w:rsidR="000F530D" w:rsidRDefault="000F530D" w:rsidP="00C053AE">
            <w:pPr>
              <w:jc w:val="both"/>
              <w:rPr>
                <w:rFonts w:asciiTheme="minorHAnsi" w:hAnsiTheme="minorHAnsi"/>
                <w:sz w:val="20"/>
              </w:rPr>
            </w:pPr>
            <w:r w:rsidRPr="00C053AE">
              <w:rPr>
                <w:rFonts w:asciiTheme="minorHAnsi" w:hAnsiTheme="minorHAnsi"/>
                <w:sz w:val="20"/>
              </w:rPr>
              <w:t xml:space="preserve">While UNDP supported interventions have significantly contributed to the achievement of results in the fight against HIV/AIDS, tuberculosis and malaria, extensive sustainability plans will have to be </w:t>
            </w:r>
            <w:r w:rsidR="00371A26" w:rsidRPr="00C053AE">
              <w:rPr>
                <w:rFonts w:asciiTheme="minorHAnsi" w:hAnsiTheme="minorHAnsi"/>
                <w:sz w:val="20"/>
              </w:rPr>
              <w:t xml:space="preserve">(further) </w:t>
            </w:r>
            <w:r w:rsidRPr="00C053AE">
              <w:rPr>
                <w:rFonts w:asciiTheme="minorHAnsi" w:hAnsiTheme="minorHAnsi"/>
                <w:sz w:val="20"/>
              </w:rPr>
              <w:t>developed and implemented to ensure long term sustainability of the results.</w:t>
            </w:r>
            <w:r w:rsidR="00371A26" w:rsidRPr="00C053AE">
              <w:rPr>
                <w:rFonts w:asciiTheme="minorHAnsi" w:hAnsiTheme="minorHAnsi"/>
                <w:sz w:val="20"/>
              </w:rPr>
              <w:t xml:space="preserve">  Critical to this is GOI </w:t>
            </w:r>
            <w:r w:rsidR="00C053AE">
              <w:rPr>
                <w:rFonts w:asciiTheme="minorHAnsi" w:hAnsiTheme="minorHAnsi"/>
                <w:sz w:val="20"/>
              </w:rPr>
              <w:t xml:space="preserve">taking on the </w:t>
            </w:r>
            <w:r w:rsidR="00371A26" w:rsidRPr="00C053AE">
              <w:rPr>
                <w:rFonts w:asciiTheme="minorHAnsi" w:hAnsiTheme="minorHAnsi"/>
                <w:sz w:val="20"/>
              </w:rPr>
              <w:t xml:space="preserve">financing of </w:t>
            </w:r>
            <w:r w:rsidR="00C053AE">
              <w:rPr>
                <w:rFonts w:asciiTheme="minorHAnsi" w:hAnsiTheme="minorHAnsi"/>
                <w:sz w:val="20"/>
              </w:rPr>
              <w:t xml:space="preserve">the recurrent costs of service delivery </w:t>
            </w:r>
            <w:r w:rsidR="00371A26" w:rsidRPr="00C053AE">
              <w:rPr>
                <w:rFonts w:asciiTheme="minorHAnsi" w:hAnsiTheme="minorHAnsi"/>
                <w:sz w:val="20"/>
              </w:rPr>
              <w:t xml:space="preserve">activities currently supported by the GF.  </w:t>
            </w:r>
          </w:p>
          <w:p w14:paraId="07F27C73" w14:textId="77777777" w:rsidR="00C053AE" w:rsidRPr="00C053AE" w:rsidRDefault="00C053AE" w:rsidP="00C053AE">
            <w:pPr>
              <w:jc w:val="both"/>
              <w:rPr>
                <w:rFonts w:asciiTheme="minorHAnsi" w:hAnsiTheme="minorHAnsi"/>
                <w:sz w:val="20"/>
              </w:rPr>
            </w:pPr>
          </w:p>
          <w:p w14:paraId="1CF939C5" w14:textId="0F97F969" w:rsidR="000F530D" w:rsidRDefault="000F530D" w:rsidP="00C053AE">
            <w:pPr>
              <w:jc w:val="both"/>
              <w:rPr>
                <w:rFonts w:asciiTheme="minorHAnsi" w:hAnsiTheme="minorHAnsi"/>
                <w:sz w:val="20"/>
              </w:rPr>
            </w:pPr>
            <w:r w:rsidRPr="00C053AE">
              <w:rPr>
                <w:rFonts w:asciiTheme="minorHAnsi" w:hAnsiTheme="minorHAnsi"/>
                <w:sz w:val="20"/>
              </w:rPr>
              <w:t xml:space="preserve">The Country Coordination Mechanism provides an essential forum for inter-sectoral coordination and its role </w:t>
            </w:r>
            <w:r w:rsidR="0032741A" w:rsidRPr="00C053AE">
              <w:rPr>
                <w:rFonts w:asciiTheme="minorHAnsi" w:hAnsiTheme="minorHAnsi"/>
                <w:sz w:val="20"/>
              </w:rPr>
              <w:t xml:space="preserve">needs </w:t>
            </w:r>
            <w:r w:rsidRPr="00C053AE">
              <w:rPr>
                <w:rFonts w:asciiTheme="minorHAnsi" w:hAnsiTheme="minorHAnsi"/>
                <w:sz w:val="20"/>
              </w:rPr>
              <w:t xml:space="preserve">to be </w:t>
            </w:r>
            <w:r w:rsidR="00371A26" w:rsidRPr="00C053AE">
              <w:rPr>
                <w:rFonts w:asciiTheme="minorHAnsi" w:hAnsiTheme="minorHAnsi"/>
                <w:sz w:val="20"/>
              </w:rPr>
              <w:t xml:space="preserve">further </w:t>
            </w:r>
            <w:r w:rsidRPr="00C053AE">
              <w:rPr>
                <w:rFonts w:asciiTheme="minorHAnsi" w:hAnsiTheme="minorHAnsi"/>
                <w:sz w:val="20"/>
              </w:rPr>
              <w:t>strengthened and facilitated.</w:t>
            </w:r>
          </w:p>
          <w:p w14:paraId="500A9819" w14:textId="77777777" w:rsidR="00C053AE" w:rsidRPr="00C053AE" w:rsidRDefault="00C053AE" w:rsidP="00C053AE">
            <w:pPr>
              <w:jc w:val="both"/>
              <w:rPr>
                <w:rFonts w:asciiTheme="minorHAnsi" w:hAnsiTheme="minorHAnsi"/>
                <w:sz w:val="20"/>
              </w:rPr>
            </w:pPr>
          </w:p>
          <w:p w14:paraId="0A6DC6DF" w14:textId="72D87F0A" w:rsidR="000F530D" w:rsidRPr="00C053AE" w:rsidRDefault="000F530D" w:rsidP="00C053AE">
            <w:pPr>
              <w:jc w:val="both"/>
              <w:rPr>
                <w:rFonts w:asciiTheme="minorHAnsi" w:hAnsiTheme="minorHAnsi"/>
                <w:sz w:val="20"/>
              </w:rPr>
            </w:pPr>
            <w:r w:rsidRPr="00C053AE">
              <w:rPr>
                <w:rFonts w:asciiTheme="minorHAnsi" w:hAnsiTheme="minorHAnsi"/>
                <w:sz w:val="20"/>
                <w:lang w:val="en-GB"/>
              </w:rPr>
              <w:t>In the interest of the country and the region, Iran should continue to be supported to smoothly discharge its service as the Member of the Global Fund Board representing the East Mediterranean countries</w:t>
            </w:r>
            <w:r w:rsidR="00371A26" w:rsidRPr="00C053AE">
              <w:rPr>
                <w:rFonts w:asciiTheme="minorHAnsi" w:hAnsiTheme="minorHAnsi"/>
                <w:sz w:val="20"/>
                <w:lang w:val="en-GB"/>
              </w:rPr>
              <w:t xml:space="preserve">.  Opportunities for UNDP and the UN system to support Iran’s role in south-south /triangular cooperation on Health and Development issues need to be further explored and, as appropriate, invested in.  </w:t>
            </w:r>
          </w:p>
          <w:p w14:paraId="452D9953" w14:textId="77777777" w:rsidR="00E94DA3" w:rsidRPr="00F352FE" w:rsidRDefault="00E94DA3" w:rsidP="00E94DA3">
            <w:pPr>
              <w:jc w:val="both"/>
              <w:rPr>
                <w:rFonts w:asciiTheme="minorHAnsi" w:hAnsiTheme="minorHAnsi"/>
                <w:bCs/>
                <w:sz w:val="20"/>
              </w:rPr>
            </w:pPr>
          </w:p>
          <w:p w14:paraId="27678D03" w14:textId="77777777" w:rsidR="00C053AE" w:rsidRDefault="00E94DA3" w:rsidP="00E94DA3">
            <w:pPr>
              <w:jc w:val="both"/>
              <w:rPr>
                <w:rFonts w:asciiTheme="minorHAnsi" w:hAnsiTheme="minorHAnsi"/>
                <w:sz w:val="20"/>
              </w:rPr>
            </w:pPr>
            <w:r w:rsidRPr="00F352FE">
              <w:rPr>
                <w:rFonts w:asciiTheme="minorHAnsi" w:hAnsiTheme="minorHAnsi"/>
                <w:b/>
                <w:bCs/>
                <w:sz w:val="20"/>
              </w:rPr>
              <w:t>Environment:</w:t>
            </w:r>
            <w:r w:rsidRPr="00F352FE">
              <w:rPr>
                <w:rFonts w:asciiTheme="minorHAnsi" w:hAnsiTheme="minorHAnsi"/>
                <w:sz w:val="20"/>
              </w:rPr>
              <w:t xml:space="preserve"> </w:t>
            </w:r>
            <w:r w:rsidR="00DB0288" w:rsidRPr="00F352FE">
              <w:rPr>
                <w:rFonts w:asciiTheme="minorHAnsi" w:hAnsiTheme="minorHAnsi"/>
                <w:sz w:val="20"/>
              </w:rPr>
              <w:t xml:space="preserve"> </w:t>
            </w:r>
          </w:p>
          <w:p w14:paraId="6033FC74" w14:textId="77777777" w:rsidR="00C053AE" w:rsidRDefault="005C3427" w:rsidP="00E94DA3">
            <w:pPr>
              <w:jc w:val="both"/>
              <w:rPr>
                <w:rFonts w:asciiTheme="minorHAnsi" w:hAnsiTheme="minorHAnsi"/>
                <w:sz w:val="20"/>
              </w:rPr>
            </w:pPr>
            <w:r w:rsidRPr="00F352FE">
              <w:rPr>
                <w:rFonts w:asciiTheme="minorHAnsi" w:hAnsiTheme="minorHAnsi"/>
                <w:sz w:val="20"/>
              </w:rPr>
              <w:t xml:space="preserve">UNDP can usefully give </w:t>
            </w:r>
            <w:r w:rsidR="00F84486" w:rsidRPr="00F352FE">
              <w:rPr>
                <w:rFonts w:asciiTheme="minorHAnsi" w:hAnsiTheme="minorHAnsi"/>
                <w:sz w:val="20"/>
              </w:rPr>
              <w:t xml:space="preserve">ongoing (and enhanced) </w:t>
            </w:r>
            <w:r w:rsidRPr="00F352FE">
              <w:rPr>
                <w:rFonts w:asciiTheme="minorHAnsi" w:hAnsiTheme="minorHAnsi"/>
                <w:sz w:val="20"/>
              </w:rPr>
              <w:t>focus to advocating for</w:t>
            </w:r>
            <w:r w:rsidR="00F84486" w:rsidRPr="00F352FE">
              <w:rPr>
                <w:rFonts w:asciiTheme="minorHAnsi" w:hAnsiTheme="minorHAnsi"/>
                <w:sz w:val="20"/>
              </w:rPr>
              <w:t xml:space="preserve">, and providing technical inputs to, the strengthening of </w:t>
            </w:r>
            <w:r w:rsidRPr="00F352FE">
              <w:rPr>
                <w:rFonts w:asciiTheme="minorHAnsi" w:hAnsiTheme="minorHAnsi"/>
                <w:sz w:val="20"/>
              </w:rPr>
              <w:t>sustainable development / green growth approaches at the national policy and planning level</w:t>
            </w:r>
            <w:r w:rsidR="00CA6DEF" w:rsidRPr="00F352FE">
              <w:rPr>
                <w:rFonts w:asciiTheme="minorHAnsi" w:hAnsiTheme="minorHAnsi"/>
                <w:sz w:val="20"/>
              </w:rPr>
              <w:t>s</w:t>
            </w:r>
            <w:r w:rsidR="00F84486" w:rsidRPr="00F352FE">
              <w:rPr>
                <w:rFonts w:asciiTheme="minorHAnsi" w:hAnsiTheme="minorHAnsi"/>
                <w:sz w:val="20"/>
              </w:rPr>
              <w:t xml:space="preserve">.  </w:t>
            </w:r>
          </w:p>
          <w:p w14:paraId="00E71096" w14:textId="77777777" w:rsidR="00C053AE" w:rsidRDefault="00C053AE" w:rsidP="00E94DA3">
            <w:pPr>
              <w:jc w:val="both"/>
              <w:rPr>
                <w:rFonts w:asciiTheme="minorHAnsi" w:hAnsiTheme="minorHAnsi"/>
                <w:sz w:val="20"/>
              </w:rPr>
            </w:pPr>
          </w:p>
          <w:p w14:paraId="5F87BCF5" w14:textId="0846D3EB" w:rsidR="00C053AE" w:rsidRDefault="005C3427" w:rsidP="00E94DA3">
            <w:pPr>
              <w:jc w:val="both"/>
              <w:rPr>
                <w:rFonts w:asciiTheme="minorHAnsi" w:hAnsiTheme="minorHAnsi"/>
                <w:sz w:val="20"/>
              </w:rPr>
            </w:pPr>
            <w:r w:rsidRPr="00F352FE">
              <w:rPr>
                <w:rFonts w:asciiTheme="minorHAnsi" w:hAnsiTheme="minorHAnsi"/>
                <w:sz w:val="20"/>
              </w:rPr>
              <w:t xml:space="preserve">At the same time, given the decentralization of some funding allocation decisions to the Provincial level, targeted support to identified high priority provinces (where there is </w:t>
            </w:r>
            <w:r w:rsidR="00BB793E">
              <w:rPr>
                <w:rFonts w:asciiTheme="minorHAnsi" w:hAnsiTheme="minorHAnsi"/>
                <w:sz w:val="20"/>
              </w:rPr>
              <w:t xml:space="preserve">also </w:t>
            </w:r>
            <w:r w:rsidRPr="00F352FE">
              <w:rPr>
                <w:rFonts w:asciiTheme="minorHAnsi" w:hAnsiTheme="minorHAnsi"/>
                <w:sz w:val="20"/>
              </w:rPr>
              <w:t xml:space="preserve">clear demand for UNDP / development partner assistance) </w:t>
            </w:r>
            <w:r w:rsidR="00F84486" w:rsidRPr="00F352FE">
              <w:rPr>
                <w:rFonts w:asciiTheme="minorHAnsi" w:hAnsiTheme="minorHAnsi"/>
                <w:sz w:val="20"/>
              </w:rPr>
              <w:t xml:space="preserve">is merited.  </w:t>
            </w:r>
            <w:r w:rsidR="00C053AE">
              <w:rPr>
                <w:rFonts w:asciiTheme="minorHAnsi" w:hAnsiTheme="minorHAnsi"/>
                <w:sz w:val="20"/>
              </w:rPr>
              <w:t xml:space="preserve">Demonstrating results on the ground in target areas and with specific target groups is an effective way to subsequently influence national policies, strategies and resource allocation and thus promote scaling up of effective initiatives. </w:t>
            </w:r>
          </w:p>
          <w:p w14:paraId="3B73F487" w14:textId="77777777" w:rsidR="00C053AE" w:rsidRDefault="00C053AE" w:rsidP="00E94DA3">
            <w:pPr>
              <w:jc w:val="both"/>
              <w:rPr>
                <w:rFonts w:asciiTheme="minorHAnsi" w:hAnsiTheme="minorHAnsi"/>
                <w:sz w:val="20"/>
              </w:rPr>
            </w:pPr>
          </w:p>
          <w:p w14:paraId="203CA614" w14:textId="77777777" w:rsidR="00C053AE" w:rsidRDefault="00F84486" w:rsidP="00E94DA3">
            <w:pPr>
              <w:jc w:val="both"/>
              <w:rPr>
                <w:rFonts w:asciiTheme="minorHAnsi" w:hAnsiTheme="minorHAnsi"/>
                <w:sz w:val="20"/>
              </w:rPr>
            </w:pPr>
            <w:r w:rsidRPr="00F352FE">
              <w:rPr>
                <w:rFonts w:asciiTheme="minorHAnsi" w:hAnsiTheme="minorHAnsi"/>
                <w:sz w:val="20"/>
              </w:rPr>
              <w:t xml:space="preserve">At all levels, the incorporation of </w:t>
            </w:r>
            <w:r w:rsidR="00CA6DEF" w:rsidRPr="00F352FE">
              <w:rPr>
                <w:rFonts w:asciiTheme="minorHAnsi" w:hAnsiTheme="minorHAnsi"/>
                <w:sz w:val="20"/>
              </w:rPr>
              <w:t xml:space="preserve">more rigorous </w:t>
            </w:r>
            <w:r w:rsidRPr="00F352FE">
              <w:rPr>
                <w:rFonts w:asciiTheme="minorHAnsi" w:hAnsiTheme="minorHAnsi"/>
                <w:sz w:val="20"/>
              </w:rPr>
              <w:t xml:space="preserve">environmental economic analysis into investment </w:t>
            </w:r>
            <w:r w:rsidR="00CA6DEF" w:rsidRPr="00F352FE">
              <w:rPr>
                <w:rFonts w:asciiTheme="minorHAnsi" w:hAnsiTheme="minorHAnsi"/>
                <w:sz w:val="20"/>
              </w:rPr>
              <w:t xml:space="preserve">/ development </w:t>
            </w:r>
            <w:r w:rsidRPr="00F352FE">
              <w:rPr>
                <w:rFonts w:asciiTheme="minorHAnsi" w:hAnsiTheme="minorHAnsi"/>
                <w:sz w:val="20"/>
              </w:rPr>
              <w:t xml:space="preserve">planning </w:t>
            </w:r>
            <w:r w:rsidR="00BB793E">
              <w:rPr>
                <w:rFonts w:asciiTheme="minorHAnsi" w:hAnsiTheme="minorHAnsi"/>
                <w:sz w:val="20"/>
              </w:rPr>
              <w:t xml:space="preserve">and implementation </w:t>
            </w:r>
            <w:r w:rsidRPr="00F352FE">
              <w:rPr>
                <w:rFonts w:asciiTheme="minorHAnsi" w:hAnsiTheme="minorHAnsi"/>
                <w:sz w:val="20"/>
              </w:rPr>
              <w:t xml:space="preserve">needs significant strengthening.  </w:t>
            </w:r>
            <w:r w:rsidR="00CA6DEF" w:rsidRPr="00F352FE">
              <w:rPr>
                <w:rFonts w:asciiTheme="minorHAnsi" w:hAnsiTheme="minorHAnsi"/>
                <w:sz w:val="20"/>
              </w:rPr>
              <w:t xml:space="preserve">The political will to enforce environmental laws /regulations, as well as institutional capacities to do so, are also areas that require complementary support.  </w:t>
            </w:r>
          </w:p>
          <w:p w14:paraId="33C6F9D6" w14:textId="77777777" w:rsidR="00C053AE" w:rsidRDefault="00C053AE" w:rsidP="00E94DA3">
            <w:pPr>
              <w:jc w:val="both"/>
              <w:rPr>
                <w:rFonts w:asciiTheme="minorHAnsi" w:hAnsiTheme="minorHAnsi"/>
                <w:sz w:val="20"/>
              </w:rPr>
            </w:pPr>
          </w:p>
          <w:p w14:paraId="47CE01F3" w14:textId="6A78B50F" w:rsidR="00E94DA3" w:rsidRPr="00F352FE" w:rsidRDefault="00CA6DEF" w:rsidP="00E94DA3">
            <w:pPr>
              <w:jc w:val="both"/>
              <w:rPr>
                <w:rFonts w:asciiTheme="minorHAnsi" w:hAnsiTheme="minorHAnsi"/>
                <w:sz w:val="20"/>
              </w:rPr>
            </w:pPr>
            <w:r w:rsidRPr="00F352FE">
              <w:rPr>
                <w:rFonts w:asciiTheme="minorHAnsi" w:hAnsiTheme="minorHAnsi"/>
                <w:sz w:val="20"/>
              </w:rPr>
              <w:t xml:space="preserve">Increased energy efficiency (EE) could result in substantial GHG reductions with relatively </w:t>
            </w:r>
            <w:r w:rsidR="00246E1F" w:rsidRPr="00F352FE">
              <w:rPr>
                <w:rFonts w:asciiTheme="minorHAnsi" w:hAnsiTheme="minorHAnsi"/>
                <w:sz w:val="20"/>
              </w:rPr>
              <w:t xml:space="preserve">limited cost / </w:t>
            </w:r>
            <w:r w:rsidRPr="00F352FE">
              <w:rPr>
                <w:rFonts w:asciiTheme="minorHAnsi" w:hAnsiTheme="minorHAnsi"/>
                <w:sz w:val="20"/>
              </w:rPr>
              <w:t>technology input</w:t>
            </w:r>
            <w:r w:rsidR="00246E1F" w:rsidRPr="00F352FE">
              <w:rPr>
                <w:rFonts w:asciiTheme="minorHAnsi" w:hAnsiTheme="minorHAnsi"/>
                <w:sz w:val="20"/>
              </w:rPr>
              <w:t xml:space="preserve">s.  </w:t>
            </w:r>
          </w:p>
          <w:p w14:paraId="5E889318" w14:textId="77777777" w:rsidR="00F52DF3" w:rsidRPr="00F352FE" w:rsidRDefault="00F52DF3" w:rsidP="00F52DF3">
            <w:pPr>
              <w:jc w:val="both"/>
              <w:rPr>
                <w:rFonts w:asciiTheme="minorHAnsi" w:hAnsiTheme="minorHAnsi"/>
                <w:sz w:val="20"/>
              </w:rPr>
            </w:pPr>
          </w:p>
          <w:p w14:paraId="7520B6F1" w14:textId="77777777" w:rsidR="00C053AE" w:rsidRDefault="00F52DF3" w:rsidP="00F52DF3">
            <w:pPr>
              <w:jc w:val="both"/>
              <w:rPr>
                <w:rFonts w:asciiTheme="minorHAnsi" w:hAnsiTheme="minorHAnsi"/>
                <w:sz w:val="20"/>
              </w:rPr>
            </w:pPr>
            <w:r w:rsidRPr="00F352FE">
              <w:rPr>
                <w:rFonts w:asciiTheme="minorHAnsi" w:hAnsiTheme="minorHAnsi"/>
                <w:b/>
                <w:bCs/>
                <w:sz w:val="20"/>
              </w:rPr>
              <w:t>DRM:</w:t>
            </w:r>
            <w:r w:rsidRPr="00F352FE">
              <w:rPr>
                <w:rFonts w:asciiTheme="minorHAnsi" w:hAnsiTheme="minorHAnsi"/>
                <w:sz w:val="20"/>
              </w:rPr>
              <w:t xml:space="preserve"> </w:t>
            </w:r>
            <w:r w:rsidR="00246E1F" w:rsidRPr="00F352FE">
              <w:rPr>
                <w:rFonts w:asciiTheme="minorHAnsi" w:hAnsiTheme="minorHAnsi"/>
                <w:sz w:val="20"/>
              </w:rPr>
              <w:t xml:space="preserve"> </w:t>
            </w:r>
          </w:p>
          <w:p w14:paraId="387FEEEA" w14:textId="62550E07" w:rsidR="00F52DF3" w:rsidRDefault="00C644D9" w:rsidP="00F52DF3">
            <w:pPr>
              <w:jc w:val="both"/>
              <w:rPr>
                <w:rFonts w:asciiTheme="minorHAnsi" w:hAnsiTheme="minorHAnsi"/>
                <w:sz w:val="20"/>
              </w:rPr>
            </w:pPr>
            <w:r w:rsidRPr="00F352FE">
              <w:rPr>
                <w:rFonts w:asciiTheme="minorHAnsi" w:hAnsiTheme="minorHAnsi"/>
                <w:sz w:val="20"/>
              </w:rPr>
              <w:t xml:space="preserve">Future UNDP support for DRM needs to be based on a more </w:t>
            </w:r>
            <w:r w:rsidR="0032741A">
              <w:rPr>
                <w:rFonts w:asciiTheme="minorHAnsi" w:hAnsiTheme="minorHAnsi"/>
                <w:sz w:val="20"/>
              </w:rPr>
              <w:t xml:space="preserve">thorough (and </w:t>
            </w:r>
            <w:r w:rsidRPr="00F352FE">
              <w:rPr>
                <w:rFonts w:asciiTheme="minorHAnsi" w:hAnsiTheme="minorHAnsi"/>
                <w:sz w:val="20"/>
              </w:rPr>
              <w:t>realistic</w:t>
            </w:r>
            <w:r w:rsidR="0032741A">
              <w:rPr>
                <w:rFonts w:asciiTheme="minorHAnsi" w:hAnsiTheme="minorHAnsi"/>
                <w:sz w:val="20"/>
              </w:rPr>
              <w:t>)</w:t>
            </w:r>
            <w:r w:rsidRPr="00F352FE">
              <w:rPr>
                <w:rFonts w:asciiTheme="minorHAnsi" w:hAnsiTheme="minorHAnsi"/>
                <w:sz w:val="20"/>
              </w:rPr>
              <w:t xml:space="preserve"> assessment of both GOI institutional complexities and constraints, as well as UNDP’s own ability to influence and impact on change. </w:t>
            </w:r>
            <w:r w:rsidR="0032641F">
              <w:rPr>
                <w:rFonts w:asciiTheme="minorHAnsi" w:hAnsiTheme="minorHAnsi"/>
                <w:sz w:val="20"/>
              </w:rPr>
              <w:t xml:space="preserve"> Better, and more participatory, project planning and design is required. </w:t>
            </w:r>
          </w:p>
          <w:p w14:paraId="0B69A1DD" w14:textId="77777777" w:rsidR="00EB5A31" w:rsidRDefault="00EB5A31" w:rsidP="00F52DF3">
            <w:pPr>
              <w:jc w:val="both"/>
              <w:rPr>
                <w:rFonts w:asciiTheme="minorHAnsi" w:hAnsiTheme="minorHAnsi"/>
                <w:sz w:val="20"/>
              </w:rPr>
            </w:pPr>
          </w:p>
          <w:p w14:paraId="2C427989" w14:textId="548620B2" w:rsidR="00C053AE" w:rsidRDefault="00C053AE" w:rsidP="00F52DF3">
            <w:pPr>
              <w:jc w:val="both"/>
              <w:rPr>
                <w:rFonts w:asciiTheme="minorHAnsi" w:hAnsiTheme="minorHAnsi"/>
                <w:sz w:val="20"/>
              </w:rPr>
            </w:pPr>
            <w:r>
              <w:rPr>
                <w:rFonts w:asciiTheme="minorHAnsi" w:hAnsiTheme="minorHAnsi"/>
                <w:sz w:val="20"/>
              </w:rPr>
              <w:t>While NDMO will remain the UNDPs main institutional partner, UNDP also needs to be able to work directly with other key agencies involved in DRM, including the Department of Environment (</w:t>
            </w:r>
            <w:r w:rsidR="00EB5A31">
              <w:rPr>
                <w:rFonts w:asciiTheme="minorHAnsi" w:hAnsiTheme="minorHAnsi"/>
                <w:sz w:val="20"/>
              </w:rPr>
              <w:t xml:space="preserve">e.g. </w:t>
            </w:r>
            <w:r>
              <w:rPr>
                <w:rFonts w:asciiTheme="minorHAnsi" w:hAnsiTheme="minorHAnsi"/>
                <w:sz w:val="20"/>
              </w:rPr>
              <w:t xml:space="preserve">risk mitigation with respect to </w:t>
            </w:r>
            <w:r w:rsidR="00EB5A31">
              <w:rPr>
                <w:rFonts w:asciiTheme="minorHAnsi" w:hAnsiTheme="minorHAnsi"/>
                <w:sz w:val="20"/>
              </w:rPr>
              <w:t>floods and droughts)</w:t>
            </w:r>
            <w:r>
              <w:rPr>
                <w:rFonts w:asciiTheme="minorHAnsi" w:hAnsiTheme="minorHAnsi"/>
                <w:sz w:val="20"/>
              </w:rPr>
              <w:t xml:space="preserve">. </w:t>
            </w:r>
          </w:p>
          <w:p w14:paraId="2DDBB64B" w14:textId="77777777" w:rsidR="00EB5A31" w:rsidRDefault="00EB5A31" w:rsidP="00F52DF3">
            <w:pPr>
              <w:jc w:val="both"/>
              <w:rPr>
                <w:rFonts w:asciiTheme="minorHAnsi" w:hAnsiTheme="minorHAnsi"/>
                <w:sz w:val="20"/>
              </w:rPr>
            </w:pPr>
          </w:p>
          <w:p w14:paraId="1B573D21" w14:textId="36E507D1" w:rsidR="00EB5A31" w:rsidRDefault="00EB5A31" w:rsidP="00F52DF3">
            <w:pPr>
              <w:jc w:val="both"/>
              <w:rPr>
                <w:rFonts w:asciiTheme="minorHAnsi" w:hAnsiTheme="minorHAnsi"/>
                <w:sz w:val="20"/>
              </w:rPr>
            </w:pPr>
            <w:r>
              <w:rPr>
                <w:rFonts w:asciiTheme="minorHAnsi" w:hAnsiTheme="minorHAnsi"/>
                <w:sz w:val="20"/>
              </w:rPr>
              <w:t xml:space="preserve">Working only at the upstream level (e.g. on national coordination mechanisms, policies, institutional capacities, etc) has its limitations.  Lessons learned from UNDP’s work on integrated land and water management at the local level indicates that some support to targeted initiatives at the sub-national level (pilot projects) is an effective way to demonstrate tangible results that can then be used to influence ‘upstream’ policy and practice. </w:t>
            </w:r>
          </w:p>
          <w:p w14:paraId="60ED31F0" w14:textId="77777777" w:rsidR="00EB5A31" w:rsidRDefault="00EB5A31" w:rsidP="00F52DF3">
            <w:pPr>
              <w:jc w:val="both"/>
              <w:rPr>
                <w:rFonts w:asciiTheme="minorHAnsi" w:hAnsiTheme="minorHAnsi"/>
                <w:sz w:val="20"/>
              </w:rPr>
            </w:pPr>
          </w:p>
          <w:p w14:paraId="695001AF" w14:textId="246C936C" w:rsidR="00C053AE" w:rsidRPr="00F352FE" w:rsidRDefault="00772F5C" w:rsidP="00F52DF3">
            <w:pPr>
              <w:jc w:val="both"/>
              <w:rPr>
                <w:rFonts w:asciiTheme="minorHAnsi" w:hAnsiTheme="minorHAnsi"/>
                <w:sz w:val="20"/>
              </w:rPr>
            </w:pPr>
            <w:r>
              <w:rPr>
                <w:rFonts w:asciiTheme="minorHAnsi" w:hAnsiTheme="minorHAnsi"/>
                <w:sz w:val="20"/>
              </w:rPr>
              <w:t xml:space="preserve">Strengthened internal </w:t>
            </w:r>
            <w:r w:rsidR="00C053AE">
              <w:rPr>
                <w:rFonts w:asciiTheme="minorHAnsi" w:hAnsiTheme="minorHAnsi"/>
                <w:sz w:val="20"/>
              </w:rPr>
              <w:t>synergies are required between UNDP’s work on DRM and the Environment</w:t>
            </w:r>
            <w:r>
              <w:rPr>
                <w:rFonts w:asciiTheme="minorHAnsi" w:hAnsiTheme="minorHAnsi"/>
                <w:sz w:val="20"/>
              </w:rPr>
              <w:t xml:space="preserve">. </w:t>
            </w:r>
          </w:p>
          <w:p w14:paraId="2869F836" w14:textId="77777777" w:rsidR="00B2431D" w:rsidRPr="00F01FDE" w:rsidRDefault="00B2431D" w:rsidP="00E94DA3">
            <w:pPr>
              <w:jc w:val="both"/>
            </w:pPr>
          </w:p>
        </w:tc>
      </w:tr>
    </w:tbl>
    <w:p w14:paraId="2869F838" w14:textId="77777777" w:rsidR="004B3911" w:rsidRDefault="004B3911" w:rsidP="00E74058">
      <w:pPr>
        <w:pStyle w:val="BodyText2"/>
        <w:jc w:val="both"/>
        <w:rPr>
          <w:rFonts w:ascii="Times New Roman" w:hAnsi="Times New Roman"/>
          <w:sz w:val="24"/>
        </w:rPr>
      </w:pPr>
    </w:p>
    <w:p w14:paraId="0D1A4972" w14:textId="77777777" w:rsidR="0076065B" w:rsidRDefault="0076065B" w:rsidP="00E74058">
      <w:pPr>
        <w:pStyle w:val="BodyText2"/>
        <w:jc w:val="both"/>
        <w:rPr>
          <w:rFonts w:ascii="Times New Roman" w:hAnsi="Times New Roman"/>
          <w:sz w:val="24"/>
        </w:rPr>
      </w:pPr>
    </w:p>
    <w:p w14:paraId="44805C80" w14:textId="77777777" w:rsidR="0076065B" w:rsidRDefault="0076065B" w:rsidP="00E74058">
      <w:pPr>
        <w:pStyle w:val="BodyText2"/>
        <w:jc w:val="both"/>
        <w:rPr>
          <w:rFonts w:ascii="Times New Roman" w:hAnsi="Times New Roman"/>
          <w:sz w:val="24"/>
        </w:rPr>
      </w:pPr>
    </w:p>
    <w:p w14:paraId="63041EF4" w14:textId="77777777" w:rsidR="00FC400F" w:rsidRDefault="00FC400F">
      <w:pPr>
        <w:widowControl/>
        <w:rPr>
          <w:rFonts w:asciiTheme="minorHAnsi" w:hAnsiTheme="minorHAnsi"/>
        </w:rPr>
      </w:pPr>
      <w:r>
        <w:rPr>
          <w:rFonts w:asciiTheme="minorHAnsi" w:hAnsiTheme="minorHAnsi"/>
        </w:rPr>
        <w:br w:type="page"/>
      </w:r>
    </w:p>
    <w:p w14:paraId="2869F839" w14:textId="56BB1AE8" w:rsidR="00E37E7A" w:rsidRPr="00FC400F" w:rsidRDefault="00EA7740" w:rsidP="00FC400F">
      <w:pPr>
        <w:pStyle w:val="Heading3"/>
        <w:jc w:val="both"/>
        <w:rPr>
          <w:rFonts w:asciiTheme="minorHAnsi" w:hAnsiTheme="minorHAnsi"/>
          <w:b/>
        </w:rPr>
      </w:pPr>
      <w:r w:rsidRPr="00FC400F">
        <w:rPr>
          <w:rFonts w:asciiTheme="minorHAnsi" w:hAnsiTheme="minorHAnsi"/>
          <w:b/>
        </w:rPr>
        <w:lastRenderedPageBreak/>
        <w:t xml:space="preserve">III. </w:t>
      </w:r>
      <w:r w:rsidR="00673710" w:rsidRPr="00FC400F">
        <w:rPr>
          <w:rFonts w:asciiTheme="minorHAnsi" w:hAnsiTheme="minorHAnsi"/>
          <w:b/>
        </w:rPr>
        <w:t xml:space="preserve">Country Programme </w:t>
      </w:r>
      <w:r w:rsidR="00E37E7A" w:rsidRPr="00FC400F">
        <w:rPr>
          <w:rFonts w:asciiTheme="minorHAnsi" w:hAnsiTheme="minorHAnsi"/>
          <w:b/>
        </w:rPr>
        <w:t>Resources</w:t>
      </w:r>
    </w:p>
    <w:tbl>
      <w:tblPr>
        <w:tblW w:w="10743" w:type="dxa"/>
        <w:tblInd w:w="-3" w:type="dxa"/>
        <w:tblCellMar>
          <w:left w:w="0" w:type="dxa"/>
          <w:right w:w="0" w:type="dxa"/>
        </w:tblCellMar>
        <w:tblLook w:val="04A0" w:firstRow="1" w:lastRow="0" w:firstColumn="1" w:lastColumn="0" w:noHBand="0" w:noVBand="1"/>
      </w:tblPr>
      <w:tblGrid>
        <w:gridCol w:w="4420"/>
        <w:gridCol w:w="1674"/>
        <w:gridCol w:w="1725"/>
        <w:gridCol w:w="1662"/>
        <w:gridCol w:w="1262"/>
      </w:tblGrid>
      <w:tr w:rsidR="006E506F" w14:paraId="05C3469A" w14:textId="3B7B1285" w:rsidTr="006E506F">
        <w:trPr>
          <w:gridAfter w:val="1"/>
          <w:wAfter w:w="1262" w:type="dxa"/>
          <w:trHeight w:val="300"/>
        </w:trPr>
        <w:tc>
          <w:tcPr>
            <w:tcW w:w="4420" w:type="dxa"/>
            <w:noWrap/>
            <w:tcMar>
              <w:top w:w="0" w:type="dxa"/>
              <w:left w:w="108" w:type="dxa"/>
              <w:bottom w:w="0" w:type="dxa"/>
              <w:right w:w="108" w:type="dxa"/>
            </w:tcMar>
            <w:vAlign w:val="bottom"/>
          </w:tcPr>
          <w:p w14:paraId="0B4177B2" w14:textId="69231F8F" w:rsidR="006E506F" w:rsidRDefault="006E506F">
            <w:pPr>
              <w:rPr>
                <w:rFonts w:ascii="Calibri" w:eastAsiaTheme="minorHAnsi" w:hAnsi="Calibri"/>
                <w:color w:val="000000"/>
                <w:sz w:val="18"/>
                <w:szCs w:val="18"/>
              </w:rPr>
            </w:pPr>
          </w:p>
        </w:tc>
        <w:tc>
          <w:tcPr>
            <w:tcW w:w="5061" w:type="dxa"/>
            <w:gridSpan w:val="3"/>
          </w:tcPr>
          <w:p w14:paraId="7B825214" w14:textId="77777777" w:rsidR="006E506F" w:rsidRDefault="006E506F">
            <w:pPr>
              <w:rPr>
                <w:rFonts w:ascii="Calibri" w:eastAsiaTheme="minorHAnsi" w:hAnsi="Calibri"/>
                <w:color w:val="000000"/>
                <w:sz w:val="18"/>
                <w:szCs w:val="18"/>
              </w:rPr>
            </w:pPr>
          </w:p>
        </w:tc>
      </w:tr>
      <w:tr w:rsidR="006E506F" w14:paraId="456A5C8D" w14:textId="5193BA55" w:rsidTr="006E506F">
        <w:trPr>
          <w:gridAfter w:val="1"/>
          <w:wAfter w:w="1262" w:type="dxa"/>
          <w:trHeight w:val="300"/>
        </w:trPr>
        <w:tc>
          <w:tcPr>
            <w:tcW w:w="4420" w:type="dxa"/>
            <w:noWrap/>
            <w:tcMar>
              <w:top w:w="0" w:type="dxa"/>
              <w:left w:w="108" w:type="dxa"/>
              <w:bottom w:w="0" w:type="dxa"/>
              <w:right w:w="108" w:type="dxa"/>
            </w:tcMar>
            <w:vAlign w:val="bottom"/>
          </w:tcPr>
          <w:p w14:paraId="2F783A84" w14:textId="5FE821AB" w:rsidR="006E506F" w:rsidRDefault="006E506F">
            <w:pPr>
              <w:rPr>
                <w:rFonts w:ascii="Calibri" w:eastAsiaTheme="minorHAnsi" w:hAnsi="Calibri"/>
                <w:color w:val="000000"/>
                <w:sz w:val="18"/>
                <w:szCs w:val="18"/>
              </w:rPr>
            </w:pPr>
          </w:p>
        </w:tc>
        <w:tc>
          <w:tcPr>
            <w:tcW w:w="5061" w:type="dxa"/>
            <w:gridSpan w:val="3"/>
          </w:tcPr>
          <w:p w14:paraId="2B602C77" w14:textId="77777777" w:rsidR="006E506F" w:rsidRDefault="006E506F">
            <w:pPr>
              <w:rPr>
                <w:rFonts w:ascii="Calibri" w:eastAsiaTheme="minorHAnsi" w:hAnsi="Calibri"/>
                <w:color w:val="000000"/>
                <w:sz w:val="18"/>
                <w:szCs w:val="18"/>
              </w:rPr>
            </w:pPr>
          </w:p>
        </w:tc>
      </w:tr>
      <w:tr w:rsidR="006E506F" w14:paraId="704CB74F" w14:textId="2396A60D" w:rsidTr="006E506F">
        <w:trPr>
          <w:trHeight w:val="300"/>
        </w:trPr>
        <w:tc>
          <w:tcPr>
            <w:tcW w:w="4420" w:type="dxa"/>
            <w:vMerge w:val="restart"/>
            <w:tcBorders>
              <w:top w:val="single" w:sz="8" w:space="0" w:color="FFFFFF"/>
              <w:left w:val="single" w:sz="8" w:space="0" w:color="FFFFFF"/>
              <w:bottom w:val="single" w:sz="8" w:space="0" w:color="FFFFFF"/>
              <w:right w:val="single" w:sz="8" w:space="0" w:color="FFFFFF"/>
            </w:tcBorders>
            <w:shd w:val="clear" w:color="auto" w:fill="002060"/>
            <w:noWrap/>
            <w:tcMar>
              <w:top w:w="0" w:type="dxa"/>
              <w:left w:w="108" w:type="dxa"/>
              <w:bottom w:w="0" w:type="dxa"/>
              <w:right w:w="108" w:type="dxa"/>
            </w:tcMar>
            <w:vAlign w:val="bottom"/>
            <w:hideMark/>
          </w:tcPr>
          <w:p w14:paraId="1AECFFA3" w14:textId="0674B7D1" w:rsidR="006E506F" w:rsidRDefault="006E506F">
            <w:pPr>
              <w:jc w:val="center"/>
              <w:rPr>
                <w:rFonts w:ascii="Calibri" w:eastAsiaTheme="minorHAnsi" w:hAnsi="Calibri"/>
                <w:color w:val="FFFFFF"/>
                <w:sz w:val="18"/>
                <w:szCs w:val="18"/>
              </w:rPr>
            </w:pPr>
            <w:r>
              <w:rPr>
                <w:color w:val="FFFFFF"/>
                <w:sz w:val="18"/>
                <w:szCs w:val="18"/>
              </w:rPr>
              <w:t> Focus Area</w:t>
            </w:r>
            <w:r w:rsidR="00482F74">
              <w:rPr>
                <w:color w:val="FFFFFF"/>
                <w:sz w:val="18"/>
                <w:szCs w:val="18"/>
              </w:rPr>
              <w:t xml:space="preserve"> / Outcome</w:t>
            </w:r>
          </w:p>
        </w:tc>
        <w:tc>
          <w:tcPr>
            <w:tcW w:w="5061" w:type="dxa"/>
            <w:gridSpan w:val="3"/>
            <w:tcBorders>
              <w:top w:val="single" w:sz="8" w:space="0" w:color="FFFFFF"/>
              <w:left w:val="nil"/>
              <w:bottom w:val="single" w:sz="8" w:space="0" w:color="FFFFFF"/>
              <w:right w:val="single" w:sz="8" w:space="0" w:color="FFFFFF"/>
            </w:tcBorders>
            <w:shd w:val="clear" w:color="auto" w:fill="002060"/>
            <w:noWrap/>
            <w:tcMar>
              <w:top w:w="0" w:type="dxa"/>
              <w:left w:w="108" w:type="dxa"/>
              <w:bottom w:w="0" w:type="dxa"/>
              <w:right w:w="108" w:type="dxa"/>
            </w:tcMar>
            <w:vAlign w:val="bottom"/>
            <w:hideMark/>
          </w:tcPr>
          <w:p w14:paraId="6821B5EA" w14:textId="2E122DB5" w:rsidR="006E506F" w:rsidRDefault="006E506F" w:rsidP="00482F74">
            <w:pPr>
              <w:jc w:val="center"/>
              <w:rPr>
                <w:rFonts w:ascii="Calibri" w:eastAsiaTheme="minorHAnsi" w:hAnsi="Calibri"/>
                <w:color w:val="FFFFFF"/>
                <w:sz w:val="18"/>
                <w:szCs w:val="18"/>
              </w:rPr>
            </w:pPr>
            <w:r>
              <w:rPr>
                <w:color w:val="FFFFFF"/>
                <w:sz w:val="18"/>
                <w:szCs w:val="18"/>
              </w:rPr>
              <w:t>Programme Expenditure ($)  201</w:t>
            </w:r>
            <w:r w:rsidR="00482F74">
              <w:rPr>
                <w:color w:val="FFFFFF"/>
                <w:sz w:val="18"/>
                <w:szCs w:val="18"/>
              </w:rPr>
              <w:t>2 – 2015</w:t>
            </w:r>
            <w:r>
              <w:rPr>
                <w:color w:val="FFFFFF"/>
                <w:sz w:val="18"/>
                <w:szCs w:val="18"/>
              </w:rPr>
              <w:t xml:space="preserve"> </w:t>
            </w:r>
          </w:p>
        </w:tc>
        <w:tc>
          <w:tcPr>
            <w:tcW w:w="1262" w:type="dxa"/>
            <w:tcBorders>
              <w:top w:val="single" w:sz="8" w:space="0" w:color="FFFFFF"/>
              <w:left w:val="nil"/>
              <w:bottom w:val="single" w:sz="8" w:space="0" w:color="FFFFFF"/>
              <w:right w:val="single" w:sz="8" w:space="0" w:color="FFFFFF"/>
            </w:tcBorders>
            <w:shd w:val="clear" w:color="auto" w:fill="002060"/>
          </w:tcPr>
          <w:p w14:paraId="656D0BE0" w14:textId="3C96799C" w:rsidR="006E506F" w:rsidRDefault="006E506F">
            <w:pPr>
              <w:jc w:val="center"/>
              <w:rPr>
                <w:color w:val="FFFFFF"/>
                <w:sz w:val="18"/>
                <w:szCs w:val="18"/>
              </w:rPr>
            </w:pPr>
            <w:r>
              <w:rPr>
                <w:color w:val="FFFFFF"/>
                <w:sz w:val="18"/>
                <w:szCs w:val="18"/>
              </w:rPr>
              <w:t>% of Total</w:t>
            </w:r>
          </w:p>
        </w:tc>
      </w:tr>
      <w:tr w:rsidR="006E506F" w14:paraId="37BCDABB" w14:textId="236D7156" w:rsidTr="006E506F">
        <w:trPr>
          <w:trHeight w:val="300"/>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A2141B7" w14:textId="77777777" w:rsidR="006E506F" w:rsidRDefault="006E506F">
            <w:pPr>
              <w:rPr>
                <w:rFonts w:ascii="Calibri" w:eastAsiaTheme="minorHAnsi" w:hAnsi="Calibri"/>
                <w:color w:val="FFFFFF"/>
                <w:sz w:val="18"/>
                <w:szCs w:val="18"/>
              </w:rPr>
            </w:pPr>
          </w:p>
        </w:tc>
        <w:tc>
          <w:tcPr>
            <w:tcW w:w="1674" w:type="dxa"/>
            <w:tcBorders>
              <w:top w:val="nil"/>
              <w:left w:val="nil"/>
              <w:bottom w:val="single" w:sz="8" w:space="0" w:color="FFFFFF"/>
              <w:right w:val="single" w:sz="8" w:space="0" w:color="FFFFFF"/>
            </w:tcBorders>
            <w:shd w:val="clear" w:color="auto" w:fill="002060"/>
            <w:noWrap/>
            <w:tcMar>
              <w:top w:w="0" w:type="dxa"/>
              <w:left w:w="108" w:type="dxa"/>
              <w:bottom w:w="0" w:type="dxa"/>
              <w:right w:w="108" w:type="dxa"/>
            </w:tcMar>
            <w:vAlign w:val="bottom"/>
            <w:hideMark/>
          </w:tcPr>
          <w:p w14:paraId="4F4D071E" w14:textId="77777777" w:rsidR="006E506F" w:rsidRDefault="006E506F">
            <w:pPr>
              <w:jc w:val="center"/>
              <w:rPr>
                <w:rFonts w:ascii="Calibri" w:eastAsiaTheme="minorHAnsi" w:hAnsi="Calibri"/>
                <w:color w:val="FFFFFF"/>
                <w:sz w:val="18"/>
                <w:szCs w:val="18"/>
              </w:rPr>
            </w:pPr>
            <w:r>
              <w:rPr>
                <w:color w:val="FFFFFF"/>
                <w:sz w:val="18"/>
                <w:szCs w:val="18"/>
              </w:rPr>
              <w:t xml:space="preserve"> TRAC </w:t>
            </w:r>
          </w:p>
        </w:tc>
        <w:tc>
          <w:tcPr>
            <w:tcW w:w="1725" w:type="dxa"/>
            <w:tcBorders>
              <w:top w:val="nil"/>
              <w:left w:val="nil"/>
              <w:bottom w:val="single" w:sz="8" w:space="0" w:color="FFFFFF"/>
              <w:right w:val="single" w:sz="8" w:space="0" w:color="FFFFFF"/>
            </w:tcBorders>
            <w:shd w:val="clear" w:color="auto" w:fill="002060"/>
            <w:noWrap/>
            <w:tcMar>
              <w:top w:w="0" w:type="dxa"/>
              <w:left w:w="108" w:type="dxa"/>
              <w:bottom w:w="0" w:type="dxa"/>
              <w:right w:w="108" w:type="dxa"/>
            </w:tcMar>
            <w:vAlign w:val="bottom"/>
            <w:hideMark/>
          </w:tcPr>
          <w:p w14:paraId="5916F74B" w14:textId="77777777" w:rsidR="006E506F" w:rsidRDefault="006E506F">
            <w:pPr>
              <w:jc w:val="center"/>
              <w:rPr>
                <w:rFonts w:ascii="Calibri" w:eastAsiaTheme="minorHAnsi" w:hAnsi="Calibri"/>
                <w:color w:val="FFFFFF"/>
                <w:sz w:val="18"/>
                <w:szCs w:val="18"/>
              </w:rPr>
            </w:pPr>
            <w:r>
              <w:rPr>
                <w:color w:val="FFFFFF"/>
                <w:sz w:val="18"/>
                <w:szCs w:val="18"/>
              </w:rPr>
              <w:t xml:space="preserve"> Other </w:t>
            </w:r>
          </w:p>
        </w:tc>
        <w:tc>
          <w:tcPr>
            <w:tcW w:w="1662" w:type="dxa"/>
            <w:tcBorders>
              <w:top w:val="nil"/>
              <w:left w:val="nil"/>
              <w:bottom w:val="single" w:sz="8" w:space="0" w:color="FFFFFF"/>
              <w:right w:val="single" w:sz="8" w:space="0" w:color="FFFFFF"/>
            </w:tcBorders>
            <w:shd w:val="clear" w:color="auto" w:fill="002060"/>
            <w:noWrap/>
            <w:tcMar>
              <w:top w:w="0" w:type="dxa"/>
              <w:left w:w="108" w:type="dxa"/>
              <w:bottom w:w="0" w:type="dxa"/>
              <w:right w:w="108" w:type="dxa"/>
            </w:tcMar>
            <w:vAlign w:val="bottom"/>
            <w:hideMark/>
          </w:tcPr>
          <w:p w14:paraId="6119D994" w14:textId="77777777" w:rsidR="006E506F" w:rsidRDefault="006E506F">
            <w:pPr>
              <w:jc w:val="center"/>
              <w:rPr>
                <w:rFonts w:ascii="Calibri" w:eastAsiaTheme="minorHAnsi" w:hAnsi="Calibri"/>
                <w:color w:val="FFFFFF"/>
                <w:sz w:val="18"/>
                <w:szCs w:val="18"/>
              </w:rPr>
            </w:pPr>
            <w:r>
              <w:rPr>
                <w:color w:val="FFFFFF"/>
                <w:sz w:val="18"/>
                <w:szCs w:val="18"/>
              </w:rPr>
              <w:t xml:space="preserve"> Total </w:t>
            </w:r>
          </w:p>
        </w:tc>
        <w:tc>
          <w:tcPr>
            <w:tcW w:w="1262" w:type="dxa"/>
            <w:tcBorders>
              <w:top w:val="nil"/>
              <w:left w:val="nil"/>
              <w:bottom w:val="single" w:sz="8" w:space="0" w:color="FFFFFF"/>
              <w:right w:val="single" w:sz="8" w:space="0" w:color="FFFFFF"/>
            </w:tcBorders>
            <w:shd w:val="clear" w:color="auto" w:fill="002060"/>
          </w:tcPr>
          <w:p w14:paraId="38A1A55E" w14:textId="77777777" w:rsidR="006E506F" w:rsidRDefault="006E506F">
            <w:pPr>
              <w:jc w:val="center"/>
              <w:rPr>
                <w:color w:val="FFFFFF"/>
                <w:sz w:val="18"/>
                <w:szCs w:val="18"/>
              </w:rPr>
            </w:pPr>
          </w:p>
        </w:tc>
      </w:tr>
      <w:tr w:rsidR="006E506F" w14:paraId="5A37221C" w14:textId="2C51D8AC" w:rsidTr="00FC400F">
        <w:trPr>
          <w:trHeight w:val="300"/>
        </w:trPr>
        <w:tc>
          <w:tcPr>
            <w:tcW w:w="4420" w:type="dxa"/>
            <w:noWrap/>
            <w:tcMar>
              <w:top w:w="0" w:type="dxa"/>
              <w:left w:w="108" w:type="dxa"/>
              <w:bottom w:w="0" w:type="dxa"/>
              <w:right w:w="108" w:type="dxa"/>
            </w:tcMar>
            <w:vAlign w:val="bottom"/>
          </w:tcPr>
          <w:p w14:paraId="63201B36" w14:textId="2E999352" w:rsidR="006E506F" w:rsidRDefault="00482F74">
            <w:pPr>
              <w:rPr>
                <w:rFonts w:ascii="Calibri" w:eastAsiaTheme="minorHAnsi" w:hAnsi="Calibri"/>
                <w:color w:val="000000"/>
                <w:sz w:val="18"/>
                <w:szCs w:val="18"/>
              </w:rPr>
            </w:pPr>
            <w:r>
              <w:rPr>
                <w:rFonts w:ascii="Calibri" w:eastAsiaTheme="minorHAnsi" w:hAnsi="Calibri"/>
                <w:color w:val="000000"/>
                <w:sz w:val="18"/>
                <w:szCs w:val="18"/>
              </w:rPr>
              <w:t>1 &amp; 2.  Capability poverty and social welfare</w:t>
            </w:r>
          </w:p>
        </w:tc>
        <w:tc>
          <w:tcPr>
            <w:tcW w:w="1674" w:type="dxa"/>
            <w:noWrap/>
            <w:tcMar>
              <w:top w:w="0" w:type="dxa"/>
              <w:left w:w="108" w:type="dxa"/>
              <w:bottom w:w="0" w:type="dxa"/>
              <w:right w:w="108" w:type="dxa"/>
            </w:tcMar>
            <w:vAlign w:val="bottom"/>
          </w:tcPr>
          <w:p w14:paraId="6BC4D8F5" w14:textId="10977E9D" w:rsidR="006E506F" w:rsidRDefault="006E506F">
            <w:pPr>
              <w:rPr>
                <w:rFonts w:ascii="Calibri" w:eastAsiaTheme="minorHAnsi" w:hAnsi="Calibri"/>
                <w:color w:val="000000"/>
                <w:sz w:val="18"/>
                <w:szCs w:val="18"/>
              </w:rPr>
            </w:pPr>
          </w:p>
        </w:tc>
        <w:tc>
          <w:tcPr>
            <w:tcW w:w="1725" w:type="dxa"/>
            <w:noWrap/>
            <w:tcMar>
              <w:top w:w="0" w:type="dxa"/>
              <w:left w:w="108" w:type="dxa"/>
              <w:bottom w:w="0" w:type="dxa"/>
              <w:right w:w="108" w:type="dxa"/>
            </w:tcMar>
            <w:vAlign w:val="bottom"/>
          </w:tcPr>
          <w:p w14:paraId="79C41C79" w14:textId="095EB020" w:rsidR="006E506F" w:rsidRDefault="006E506F">
            <w:pPr>
              <w:rPr>
                <w:rFonts w:ascii="Calibri" w:eastAsiaTheme="minorHAnsi" w:hAnsi="Calibri"/>
                <w:color w:val="000000"/>
                <w:sz w:val="18"/>
                <w:szCs w:val="18"/>
              </w:rPr>
            </w:pPr>
          </w:p>
        </w:tc>
        <w:tc>
          <w:tcPr>
            <w:tcW w:w="1662" w:type="dxa"/>
            <w:noWrap/>
            <w:tcMar>
              <w:top w:w="0" w:type="dxa"/>
              <w:left w:w="108" w:type="dxa"/>
              <w:bottom w:w="0" w:type="dxa"/>
              <w:right w:w="108" w:type="dxa"/>
            </w:tcMar>
            <w:vAlign w:val="bottom"/>
          </w:tcPr>
          <w:p w14:paraId="738541B8" w14:textId="4F5BA1E5" w:rsidR="006E506F" w:rsidRDefault="006E506F">
            <w:pPr>
              <w:rPr>
                <w:rFonts w:ascii="Calibri" w:eastAsiaTheme="minorHAnsi" w:hAnsi="Calibri"/>
                <w:color w:val="000000"/>
                <w:sz w:val="18"/>
                <w:szCs w:val="18"/>
              </w:rPr>
            </w:pPr>
          </w:p>
        </w:tc>
        <w:tc>
          <w:tcPr>
            <w:tcW w:w="1262" w:type="dxa"/>
          </w:tcPr>
          <w:p w14:paraId="5AF209F0" w14:textId="3EF4C5F8" w:rsidR="006E506F" w:rsidRDefault="006E506F" w:rsidP="006E506F">
            <w:pPr>
              <w:jc w:val="right"/>
              <w:rPr>
                <w:color w:val="000000"/>
                <w:sz w:val="18"/>
                <w:szCs w:val="18"/>
              </w:rPr>
            </w:pPr>
          </w:p>
        </w:tc>
      </w:tr>
      <w:tr w:rsidR="006E506F" w14:paraId="0D978CF4" w14:textId="127412A8" w:rsidTr="00FC400F">
        <w:trPr>
          <w:trHeight w:val="300"/>
        </w:trPr>
        <w:tc>
          <w:tcPr>
            <w:tcW w:w="4420" w:type="dxa"/>
            <w:noWrap/>
            <w:tcMar>
              <w:top w:w="0" w:type="dxa"/>
              <w:left w:w="108" w:type="dxa"/>
              <w:bottom w:w="0" w:type="dxa"/>
              <w:right w:w="108" w:type="dxa"/>
            </w:tcMar>
            <w:vAlign w:val="bottom"/>
          </w:tcPr>
          <w:p w14:paraId="1024662A" w14:textId="54B58AC7" w:rsidR="006E506F" w:rsidRDefault="00482F74">
            <w:pPr>
              <w:rPr>
                <w:rFonts w:ascii="Calibri" w:eastAsiaTheme="minorHAnsi" w:hAnsi="Calibri"/>
                <w:color w:val="000000"/>
                <w:sz w:val="18"/>
                <w:szCs w:val="18"/>
              </w:rPr>
            </w:pPr>
            <w:r>
              <w:rPr>
                <w:rFonts w:ascii="Calibri" w:eastAsiaTheme="minorHAnsi" w:hAnsi="Calibri"/>
                <w:color w:val="000000"/>
                <w:sz w:val="18"/>
                <w:szCs w:val="18"/>
              </w:rPr>
              <w:t>3. Health and Development</w:t>
            </w:r>
          </w:p>
        </w:tc>
        <w:tc>
          <w:tcPr>
            <w:tcW w:w="1674" w:type="dxa"/>
            <w:noWrap/>
            <w:tcMar>
              <w:top w:w="0" w:type="dxa"/>
              <w:left w:w="108" w:type="dxa"/>
              <w:bottom w:w="0" w:type="dxa"/>
              <w:right w:w="108" w:type="dxa"/>
            </w:tcMar>
            <w:vAlign w:val="bottom"/>
          </w:tcPr>
          <w:p w14:paraId="7B06D27F" w14:textId="178101DC" w:rsidR="006E506F" w:rsidRDefault="006E506F">
            <w:pPr>
              <w:rPr>
                <w:rFonts w:ascii="Calibri" w:eastAsiaTheme="minorHAnsi" w:hAnsi="Calibri"/>
                <w:color w:val="000000"/>
                <w:sz w:val="18"/>
                <w:szCs w:val="18"/>
              </w:rPr>
            </w:pPr>
          </w:p>
        </w:tc>
        <w:tc>
          <w:tcPr>
            <w:tcW w:w="1725" w:type="dxa"/>
            <w:noWrap/>
            <w:tcMar>
              <w:top w:w="0" w:type="dxa"/>
              <w:left w:w="108" w:type="dxa"/>
              <w:bottom w:w="0" w:type="dxa"/>
              <w:right w:w="108" w:type="dxa"/>
            </w:tcMar>
            <w:vAlign w:val="bottom"/>
          </w:tcPr>
          <w:p w14:paraId="4FC63FE8" w14:textId="55F79E4E" w:rsidR="006E506F" w:rsidRDefault="006E506F">
            <w:pPr>
              <w:rPr>
                <w:rFonts w:ascii="Calibri" w:eastAsiaTheme="minorHAnsi" w:hAnsi="Calibri"/>
                <w:color w:val="000000"/>
                <w:sz w:val="18"/>
                <w:szCs w:val="18"/>
              </w:rPr>
            </w:pPr>
          </w:p>
        </w:tc>
        <w:tc>
          <w:tcPr>
            <w:tcW w:w="1662" w:type="dxa"/>
            <w:noWrap/>
            <w:tcMar>
              <w:top w:w="0" w:type="dxa"/>
              <w:left w:w="108" w:type="dxa"/>
              <w:bottom w:w="0" w:type="dxa"/>
              <w:right w:w="108" w:type="dxa"/>
            </w:tcMar>
            <w:vAlign w:val="bottom"/>
          </w:tcPr>
          <w:p w14:paraId="038E852C" w14:textId="6D119114" w:rsidR="006E506F" w:rsidRDefault="006E506F">
            <w:pPr>
              <w:rPr>
                <w:rFonts w:ascii="Calibri" w:eastAsiaTheme="minorHAnsi" w:hAnsi="Calibri"/>
                <w:color w:val="000000"/>
                <w:sz w:val="18"/>
                <w:szCs w:val="18"/>
              </w:rPr>
            </w:pPr>
          </w:p>
        </w:tc>
        <w:tc>
          <w:tcPr>
            <w:tcW w:w="1262" w:type="dxa"/>
          </w:tcPr>
          <w:p w14:paraId="09FC820A" w14:textId="3B1699A8" w:rsidR="006E506F" w:rsidRDefault="006E506F" w:rsidP="006E506F">
            <w:pPr>
              <w:jc w:val="right"/>
              <w:rPr>
                <w:color w:val="000000"/>
                <w:sz w:val="18"/>
                <w:szCs w:val="18"/>
              </w:rPr>
            </w:pPr>
          </w:p>
        </w:tc>
      </w:tr>
      <w:tr w:rsidR="006E506F" w14:paraId="7769A1EE" w14:textId="3715664A" w:rsidTr="00FC400F">
        <w:trPr>
          <w:trHeight w:val="300"/>
        </w:trPr>
        <w:tc>
          <w:tcPr>
            <w:tcW w:w="4420" w:type="dxa"/>
            <w:noWrap/>
            <w:tcMar>
              <w:top w:w="0" w:type="dxa"/>
              <w:left w:w="108" w:type="dxa"/>
              <w:bottom w:w="0" w:type="dxa"/>
              <w:right w:w="108" w:type="dxa"/>
            </w:tcMar>
            <w:vAlign w:val="bottom"/>
          </w:tcPr>
          <w:p w14:paraId="0A072750" w14:textId="5399D3E7" w:rsidR="006E506F" w:rsidRDefault="00482F74">
            <w:pPr>
              <w:rPr>
                <w:rFonts w:ascii="Calibri" w:eastAsiaTheme="minorHAnsi" w:hAnsi="Calibri"/>
                <w:color w:val="000000"/>
                <w:sz w:val="18"/>
                <w:szCs w:val="18"/>
              </w:rPr>
            </w:pPr>
            <w:r>
              <w:rPr>
                <w:rFonts w:ascii="Calibri" w:eastAsiaTheme="minorHAnsi" w:hAnsi="Calibri"/>
                <w:color w:val="000000"/>
                <w:sz w:val="18"/>
                <w:szCs w:val="18"/>
              </w:rPr>
              <w:t>4. Environment</w:t>
            </w:r>
          </w:p>
        </w:tc>
        <w:tc>
          <w:tcPr>
            <w:tcW w:w="1674" w:type="dxa"/>
            <w:noWrap/>
            <w:tcMar>
              <w:top w:w="0" w:type="dxa"/>
              <w:left w:w="108" w:type="dxa"/>
              <w:bottom w:w="0" w:type="dxa"/>
              <w:right w:w="108" w:type="dxa"/>
            </w:tcMar>
            <w:vAlign w:val="bottom"/>
          </w:tcPr>
          <w:p w14:paraId="624FEA8F" w14:textId="39F70896" w:rsidR="006E506F" w:rsidRDefault="006E506F">
            <w:pPr>
              <w:rPr>
                <w:rFonts w:ascii="Calibri" w:eastAsiaTheme="minorHAnsi" w:hAnsi="Calibri"/>
                <w:color w:val="000000"/>
                <w:sz w:val="18"/>
                <w:szCs w:val="18"/>
              </w:rPr>
            </w:pPr>
          </w:p>
        </w:tc>
        <w:tc>
          <w:tcPr>
            <w:tcW w:w="1725" w:type="dxa"/>
            <w:noWrap/>
            <w:tcMar>
              <w:top w:w="0" w:type="dxa"/>
              <w:left w:w="108" w:type="dxa"/>
              <w:bottom w:w="0" w:type="dxa"/>
              <w:right w:w="108" w:type="dxa"/>
            </w:tcMar>
            <w:vAlign w:val="bottom"/>
          </w:tcPr>
          <w:p w14:paraId="2EE653C1" w14:textId="21A10985" w:rsidR="006E506F" w:rsidRDefault="006E506F">
            <w:pPr>
              <w:rPr>
                <w:rFonts w:ascii="Calibri" w:eastAsiaTheme="minorHAnsi" w:hAnsi="Calibri"/>
                <w:color w:val="000000"/>
                <w:sz w:val="18"/>
                <w:szCs w:val="18"/>
              </w:rPr>
            </w:pPr>
          </w:p>
        </w:tc>
        <w:tc>
          <w:tcPr>
            <w:tcW w:w="1662" w:type="dxa"/>
            <w:noWrap/>
            <w:tcMar>
              <w:top w:w="0" w:type="dxa"/>
              <w:left w:w="108" w:type="dxa"/>
              <w:bottom w:w="0" w:type="dxa"/>
              <w:right w:w="108" w:type="dxa"/>
            </w:tcMar>
            <w:vAlign w:val="bottom"/>
          </w:tcPr>
          <w:p w14:paraId="5527EADA" w14:textId="22C60456" w:rsidR="006E506F" w:rsidRDefault="006E506F">
            <w:pPr>
              <w:rPr>
                <w:rFonts w:ascii="Calibri" w:eastAsiaTheme="minorHAnsi" w:hAnsi="Calibri"/>
                <w:color w:val="000000"/>
                <w:sz w:val="18"/>
                <w:szCs w:val="18"/>
              </w:rPr>
            </w:pPr>
          </w:p>
        </w:tc>
        <w:tc>
          <w:tcPr>
            <w:tcW w:w="1262" w:type="dxa"/>
          </w:tcPr>
          <w:p w14:paraId="4B02089D" w14:textId="36DEF767" w:rsidR="006E506F" w:rsidRDefault="006E506F" w:rsidP="006E506F">
            <w:pPr>
              <w:jc w:val="right"/>
              <w:rPr>
                <w:color w:val="000000"/>
                <w:sz w:val="18"/>
                <w:szCs w:val="18"/>
              </w:rPr>
            </w:pPr>
          </w:p>
        </w:tc>
      </w:tr>
      <w:tr w:rsidR="006E506F" w14:paraId="5239C82E" w14:textId="28113FCF" w:rsidTr="00FC400F">
        <w:trPr>
          <w:trHeight w:val="300"/>
        </w:trPr>
        <w:tc>
          <w:tcPr>
            <w:tcW w:w="4420" w:type="dxa"/>
            <w:noWrap/>
            <w:tcMar>
              <w:top w:w="0" w:type="dxa"/>
              <w:left w:w="108" w:type="dxa"/>
              <w:bottom w:w="0" w:type="dxa"/>
              <w:right w:w="108" w:type="dxa"/>
            </w:tcMar>
            <w:vAlign w:val="bottom"/>
          </w:tcPr>
          <w:p w14:paraId="2A762784" w14:textId="4F631611" w:rsidR="006E506F" w:rsidRDefault="00482F74">
            <w:pPr>
              <w:rPr>
                <w:rFonts w:ascii="Calibri" w:eastAsiaTheme="minorHAnsi" w:hAnsi="Calibri"/>
                <w:color w:val="000000"/>
                <w:sz w:val="18"/>
                <w:szCs w:val="18"/>
              </w:rPr>
            </w:pPr>
            <w:r>
              <w:rPr>
                <w:rFonts w:ascii="Calibri" w:eastAsiaTheme="minorHAnsi" w:hAnsi="Calibri"/>
                <w:color w:val="000000"/>
                <w:sz w:val="18"/>
                <w:szCs w:val="18"/>
              </w:rPr>
              <w:t>5. Disaster Risk Management</w:t>
            </w:r>
          </w:p>
        </w:tc>
        <w:tc>
          <w:tcPr>
            <w:tcW w:w="1674" w:type="dxa"/>
            <w:noWrap/>
            <w:tcMar>
              <w:top w:w="0" w:type="dxa"/>
              <w:left w:w="108" w:type="dxa"/>
              <w:bottom w:w="0" w:type="dxa"/>
              <w:right w:w="108" w:type="dxa"/>
            </w:tcMar>
            <w:vAlign w:val="bottom"/>
          </w:tcPr>
          <w:p w14:paraId="43209ADD" w14:textId="4D8E91BE" w:rsidR="006E506F" w:rsidRDefault="006E506F">
            <w:pPr>
              <w:rPr>
                <w:rFonts w:ascii="Calibri" w:eastAsiaTheme="minorHAnsi" w:hAnsi="Calibri"/>
                <w:color w:val="000000"/>
                <w:sz w:val="18"/>
                <w:szCs w:val="18"/>
              </w:rPr>
            </w:pPr>
          </w:p>
        </w:tc>
        <w:tc>
          <w:tcPr>
            <w:tcW w:w="1725" w:type="dxa"/>
            <w:noWrap/>
            <w:tcMar>
              <w:top w:w="0" w:type="dxa"/>
              <w:left w:w="108" w:type="dxa"/>
              <w:bottom w:w="0" w:type="dxa"/>
              <w:right w:w="108" w:type="dxa"/>
            </w:tcMar>
            <w:vAlign w:val="bottom"/>
          </w:tcPr>
          <w:p w14:paraId="54E1DF09" w14:textId="3DFDD2D9" w:rsidR="006E506F" w:rsidRDefault="006E506F">
            <w:pPr>
              <w:rPr>
                <w:rFonts w:ascii="Calibri" w:eastAsiaTheme="minorHAnsi" w:hAnsi="Calibri"/>
                <w:color w:val="000000"/>
                <w:sz w:val="18"/>
                <w:szCs w:val="18"/>
              </w:rPr>
            </w:pPr>
          </w:p>
        </w:tc>
        <w:tc>
          <w:tcPr>
            <w:tcW w:w="1662" w:type="dxa"/>
            <w:noWrap/>
            <w:tcMar>
              <w:top w:w="0" w:type="dxa"/>
              <w:left w:w="108" w:type="dxa"/>
              <w:bottom w:w="0" w:type="dxa"/>
              <w:right w:w="108" w:type="dxa"/>
            </w:tcMar>
            <w:vAlign w:val="bottom"/>
          </w:tcPr>
          <w:p w14:paraId="7836326F" w14:textId="6910A103" w:rsidR="006E506F" w:rsidRDefault="006E506F">
            <w:pPr>
              <w:rPr>
                <w:rFonts w:ascii="Calibri" w:eastAsiaTheme="minorHAnsi" w:hAnsi="Calibri"/>
                <w:color w:val="000000"/>
                <w:sz w:val="18"/>
                <w:szCs w:val="18"/>
              </w:rPr>
            </w:pPr>
          </w:p>
        </w:tc>
        <w:tc>
          <w:tcPr>
            <w:tcW w:w="1262" w:type="dxa"/>
          </w:tcPr>
          <w:p w14:paraId="38C9BAB2" w14:textId="0F952DF4" w:rsidR="006E506F" w:rsidRDefault="006E506F" w:rsidP="006E506F">
            <w:pPr>
              <w:jc w:val="right"/>
              <w:rPr>
                <w:color w:val="000000"/>
                <w:sz w:val="18"/>
                <w:szCs w:val="18"/>
              </w:rPr>
            </w:pPr>
          </w:p>
        </w:tc>
      </w:tr>
      <w:tr w:rsidR="006E506F" w14:paraId="1EFBAAC0" w14:textId="2E0C17FB" w:rsidTr="00FC400F">
        <w:trPr>
          <w:trHeight w:val="300"/>
        </w:trPr>
        <w:tc>
          <w:tcPr>
            <w:tcW w:w="4420" w:type="dxa"/>
            <w:noWrap/>
            <w:tcMar>
              <w:top w:w="0" w:type="dxa"/>
              <w:left w:w="108" w:type="dxa"/>
              <w:bottom w:w="0" w:type="dxa"/>
              <w:right w:w="108" w:type="dxa"/>
            </w:tcMar>
            <w:vAlign w:val="bottom"/>
          </w:tcPr>
          <w:p w14:paraId="0DC1704B" w14:textId="2BF12BD2" w:rsidR="006E506F" w:rsidRDefault="006E506F">
            <w:pPr>
              <w:rPr>
                <w:rFonts w:ascii="Calibri" w:eastAsiaTheme="minorHAnsi" w:hAnsi="Calibri"/>
                <w:color w:val="000000"/>
                <w:sz w:val="18"/>
                <w:szCs w:val="18"/>
              </w:rPr>
            </w:pPr>
          </w:p>
        </w:tc>
        <w:tc>
          <w:tcPr>
            <w:tcW w:w="1674" w:type="dxa"/>
            <w:noWrap/>
            <w:tcMar>
              <w:top w:w="0" w:type="dxa"/>
              <w:left w:w="108" w:type="dxa"/>
              <w:bottom w:w="0" w:type="dxa"/>
              <w:right w:w="108" w:type="dxa"/>
            </w:tcMar>
            <w:vAlign w:val="bottom"/>
          </w:tcPr>
          <w:p w14:paraId="265B6246" w14:textId="2341BCB5" w:rsidR="006E506F" w:rsidRDefault="006E506F">
            <w:pPr>
              <w:rPr>
                <w:rFonts w:ascii="Calibri" w:eastAsiaTheme="minorHAnsi" w:hAnsi="Calibri"/>
                <w:color w:val="000000"/>
                <w:sz w:val="18"/>
                <w:szCs w:val="18"/>
              </w:rPr>
            </w:pPr>
          </w:p>
        </w:tc>
        <w:tc>
          <w:tcPr>
            <w:tcW w:w="1725" w:type="dxa"/>
            <w:noWrap/>
            <w:tcMar>
              <w:top w:w="0" w:type="dxa"/>
              <w:left w:w="108" w:type="dxa"/>
              <w:bottom w:w="0" w:type="dxa"/>
              <w:right w:w="108" w:type="dxa"/>
            </w:tcMar>
            <w:vAlign w:val="bottom"/>
          </w:tcPr>
          <w:p w14:paraId="1AD5E941" w14:textId="76EAA826" w:rsidR="006E506F" w:rsidRDefault="006E506F">
            <w:pPr>
              <w:rPr>
                <w:rFonts w:ascii="Calibri" w:eastAsiaTheme="minorHAnsi" w:hAnsi="Calibri"/>
                <w:color w:val="000000"/>
                <w:sz w:val="18"/>
                <w:szCs w:val="18"/>
              </w:rPr>
            </w:pPr>
          </w:p>
        </w:tc>
        <w:tc>
          <w:tcPr>
            <w:tcW w:w="1662" w:type="dxa"/>
            <w:noWrap/>
            <w:tcMar>
              <w:top w:w="0" w:type="dxa"/>
              <w:left w:w="108" w:type="dxa"/>
              <w:bottom w:w="0" w:type="dxa"/>
              <w:right w:w="108" w:type="dxa"/>
            </w:tcMar>
            <w:vAlign w:val="bottom"/>
          </w:tcPr>
          <w:p w14:paraId="1B622394" w14:textId="724908FC" w:rsidR="006E506F" w:rsidRDefault="006E506F">
            <w:pPr>
              <w:rPr>
                <w:rFonts w:ascii="Calibri" w:eastAsiaTheme="minorHAnsi" w:hAnsi="Calibri"/>
                <w:color w:val="000000"/>
                <w:sz w:val="18"/>
                <w:szCs w:val="18"/>
              </w:rPr>
            </w:pPr>
          </w:p>
        </w:tc>
        <w:tc>
          <w:tcPr>
            <w:tcW w:w="1262" w:type="dxa"/>
          </w:tcPr>
          <w:p w14:paraId="2100BF71" w14:textId="71876560" w:rsidR="006E506F" w:rsidRDefault="006E506F" w:rsidP="006E506F">
            <w:pPr>
              <w:jc w:val="right"/>
              <w:rPr>
                <w:color w:val="000000"/>
                <w:sz w:val="18"/>
                <w:szCs w:val="18"/>
              </w:rPr>
            </w:pPr>
          </w:p>
        </w:tc>
      </w:tr>
      <w:tr w:rsidR="006E506F" w14:paraId="0BD88242" w14:textId="34BD21ED" w:rsidTr="00FC400F">
        <w:trPr>
          <w:trHeight w:val="315"/>
        </w:trPr>
        <w:tc>
          <w:tcPr>
            <w:tcW w:w="4420"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14:paraId="37D25441" w14:textId="77777777" w:rsidR="006E506F" w:rsidRDefault="006E506F">
            <w:pPr>
              <w:rPr>
                <w:rFonts w:ascii="Calibri" w:eastAsiaTheme="minorHAnsi" w:hAnsi="Calibri"/>
                <w:color w:val="000000"/>
                <w:sz w:val="18"/>
                <w:szCs w:val="18"/>
              </w:rPr>
            </w:pPr>
            <w:r>
              <w:rPr>
                <w:color w:val="000000"/>
                <w:sz w:val="18"/>
                <w:szCs w:val="18"/>
              </w:rPr>
              <w:t xml:space="preserve"> Total </w:t>
            </w:r>
          </w:p>
        </w:tc>
        <w:tc>
          <w:tcPr>
            <w:tcW w:w="1674" w:type="dxa"/>
            <w:tcBorders>
              <w:top w:val="single" w:sz="8" w:space="0" w:color="auto"/>
              <w:left w:val="nil"/>
              <w:bottom w:val="single" w:sz="8" w:space="0" w:color="auto"/>
              <w:right w:val="nil"/>
            </w:tcBorders>
            <w:noWrap/>
            <w:tcMar>
              <w:top w:w="0" w:type="dxa"/>
              <w:left w:w="108" w:type="dxa"/>
              <w:bottom w:w="0" w:type="dxa"/>
              <w:right w:w="108" w:type="dxa"/>
            </w:tcMar>
            <w:vAlign w:val="bottom"/>
          </w:tcPr>
          <w:p w14:paraId="275C03C7" w14:textId="6A2CE0DB" w:rsidR="006E506F" w:rsidRDefault="006E506F">
            <w:pPr>
              <w:rPr>
                <w:rFonts w:ascii="Calibri" w:eastAsiaTheme="minorHAnsi" w:hAnsi="Calibri"/>
                <w:color w:val="000000"/>
                <w:sz w:val="18"/>
                <w:szCs w:val="18"/>
              </w:rPr>
            </w:pPr>
          </w:p>
        </w:tc>
        <w:tc>
          <w:tcPr>
            <w:tcW w:w="1725" w:type="dxa"/>
            <w:tcBorders>
              <w:top w:val="single" w:sz="8" w:space="0" w:color="auto"/>
              <w:left w:val="nil"/>
              <w:bottom w:val="single" w:sz="8" w:space="0" w:color="auto"/>
              <w:right w:val="nil"/>
            </w:tcBorders>
            <w:noWrap/>
            <w:tcMar>
              <w:top w:w="0" w:type="dxa"/>
              <w:left w:w="108" w:type="dxa"/>
              <w:bottom w:w="0" w:type="dxa"/>
              <w:right w:w="108" w:type="dxa"/>
            </w:tcMar>
            <w:vAlign w:val="bottom"/>
          </w:tcPr>
          <w:p w14:paraId="1009C0D1" w14:textId="3DFE91D1" w:rsidR="006E506F" w:rsidRDefault="006E506F">
            <w:pPr>
              <w:rPr>
                <w:rFonts w:ascii="Calibri" w:eastAsiaTheme="minorHAnsi" w:hAnsi="Calibri"/>
                <w:color w:val="000000"/>
                <w:sz w:val="18"/>
                <w:szCs w:val="18"/>
              </w:rPr>
            </w:pPr>
          </w:p>
        </w:tc>
        <w:tc>
          <w:tcPr>
            <w:tcW w:w="1662" w:type="dxa"/>
            <w:tcBorders>
              <w:top w:val="single" w:sz="8" w:space="0" w:color="auto"/>
              <w:left w:val="nil"/>
              <w:bottom w:val="single" w:sz="8" w:space="0" w:color="auto"/>
              <w:right w:val="nil"/>
            </w:tcBorders>
            <w:noWrap/>
            <w:tcMar>
              <w:top w:w="0" w:type="dxa"/>
              <w:left w:w="108" w:type="dxa"/>
              <w:bottom w:w="0" w:type="dxa"/>
              <w:right w:w="108" w:type="dxa"/>
            </w:tcMar>
            <w:vAlign w:val="bottom"/>
          </w:tcPr>
          <w:p w14:paraId="6136BC09" w14:textId="2C6F1ED5" w:rsidR="006E506F" w:rsidRDefault="006E506F">
            <w:pPr>
              <w:rPr>
                <w:rFonts w:ascii="Calibri" w:eastAsiaTheme="minorHAnsi" w:hAnsi="Calibri"/>
                <w:color w:val="000000"/>
                <w:sz w:val="18"/>
                <w:szCs w:val="18"/>
              </w:rPr>
            </w:pPr>
          </w:p>
        </w:tc>
        <w:tc>
          <w:tcPr>
            <w:tcW w:w="1262" w:type="dxa"/>
            <w:tcBorders>
              <w:top w:val="single" w:sz="8" w:space="0" w:color="auto"/>
              <w:left w:val="nil"/>
              <w:bottom w:val="single" w:sz="8" w:space="0" w:color="auto"/>
              <w:right w:val="nil"/>
            </w:tcBorders>
          </w:tcPr>
          <w:p w14:paraId="56CB4CB3" w14:textId="5E2AD661" w:rsidR="006E506F" w:rsidRDefault="006E506F" w:rsidP="006E506F">
            <w:pPr>
              <w:jc w:val="right"/>
              <w:rPr>
                <w:color w:val="000000"/>
                <w:sz w:val="18"/>
                <w:szCs w:val="18"/>
              </w:rPr>
            </w:pPr>
          </w:p>
        </w:tc>
      </w:tr>
      <w:tr w:rsidR="006E506F" w14:paraId="7BBBA37D" w14:textId="504A536E" w:rsidTr="006E506F">
        <w:trPr>
          <w:gridAfter w:val="1"/>
          <w:wAfter w:w="1262" w:type="dxa"/>
          <w:trHeight w:val="300"/>
        </w:trPr>
        <w:tc>
          <w:tcPr>
            <w:tcW w:w="4420" w:type="dxa"/>
            <w:noWrap/>
            <w:tcMar>
              <w:top w:w="0" w:type="dxa"/>
              <w:left w:w="108" w:type="dxa"/>
              <w:bottom w:w="0" w:type="dxa"/>
              <w:right w:w="108" w:type="dxa"/>
            </w:tcMar>
            <w:vAlign w:val="bottom"/>
          </w:tcPr>
          <w:p w14:paraId="28153E49" w14:textId="125CA00C" w:rsidR="006E506F" w:rsidRPr="006E506F" w:rsidRDefault="006E506F" w:rsidP="006E506F">
            <w:pPr>
              <w:ind w:left="360"/>
              <w:rPr>
                <w:rFonts w:ascii="Calibri" w:eastAsiaTheme="minorHAnsi" w:hAnsi="Calibri"/>
                <w:color w:val="000000"/>
                <w:sz w:val="18"/>
                <w:szCs w:val="18"/>
              </w:rPr>
            </w:pPr>
          </w:p>
          <w:p w14:paraId="5203500F" w14:textId="77777777" w:rsidR="006E506F" w:rsidRDefault="006E506F">
            <w:pPr>
              <w:rPr>
                <w:rFonts w:ascii="Calibri" w:eastAsiaTheme="minorHAnsi" w:hAnsi="Calibri"/>
                <w:color w:val="000000"/>
                <w:sz w:val="18"/>
                <w:szCs w:val="18"/>
              </w:rPr>
            </w:pPr>
          </w:p>
          <w:p w14:paraId="1C6D6989" w14:textId="0D9D4761" w:rsidR="006E506F" w:rsidRDefault="006E506F">
            <w:pPr>
              <w:rPr>
                <w:rFonts w:ascii="Calibri" w:eastAsiaTheme="minorHAnsi" w:hAnsi="Calibri"/>
                <w:color w:val="000000"/>
                <w:sz w:val="18"/>
                <w:szCs w:val="18"/>
              </w:rPr>
            </w:pPr>
          </w:p>
        </w:tc>
        <w:tc>
          <w:tcPr>
            <w:tcW w:w="5061" w:type="dxa"/>
            <w:gridSpan w:val="3"/>
          </w:tcPr>
          <w:p w14:paraId="4E6F8C16" w14:textId="77777777" w:rsidR="006E506F" w:rsidRDefault="006E506F">
            <w:pPr>
              <w:rPr>
                <w:rFonts w:ascii="Calibri" w:eastAsiaTheme="minorHAnsi" w:hAnsi="Calibri"/>
                <w:color w:val="000000"/>
                <w:sz w:val="18"/>
                <w:szCs w:val="18"/>
              </w:rPr>
            </w:pPr>
          </w:p>
        </w:tc>
      </w:tr>
    </w:tbl>
    <w:tbl>
      <w:tblPr>
        <w:tblStyle w:val="TableGrid"/>
        <w:tblW w:w="0" w:type="auto"/>
        <w:tblLook w:val="04A0" w:firstRow="1" w:lastRow="0" w:firstColumn="1" w:lastColumn="0" w:noHBand="0" w:noVBand="1"/>
      </w:tblPr>
      <w:tblGrid>
        <w:gridCol w:w="13950"/>
      </w:tblGrid>
      <w:tr w:rsidR="002547CF" w:rsidRPr="006900FE" w14:paraId="2869F864" w14:textId="77777777" w:rsidTr="00B64ACA">
        <w:tc>
          <w:tcPr>
            <w:tcW w:w="14176" w:type="dxa"/>
          </w:tcPr>
          <w:p w14:paraId="2869F863" w14:textId="0C01DFD6" w:rsidR="002547CF" w:rsidRPr="006900FE" w:rsidRDefault="002547CF" w:rsidP="00FC400F">
            <w:pPr>
              <w:pStyle w:val="BodyText2"/>
              <w:jc w:val="both"/>
              <w:rPr>
                <w:rFonts w:asciiTheme="minorHAnsi" w:hAnsiTheme="minorHAnsi"/>
                <w:b/>
              </w:rPr>
            </w:pPr>
            <w:r w:rsidRPr="006900FE">
              <w:rPr>
                <w:rFonts w:asciiTheme="minorHAnsi" w:hAnsiTheme="minorHAnsi"/>
                <w:b/>
              </w:rPr>
              <w:t xml:space="preserve">Data sources:  </w:t>
            </w:r>
          </w:p>
        </w:tc>
      </w:tr>
      <w:tr w:rsidR="00B64ACA" w:rsidRPr="006900FE" w14:paraId="2869F86A" w14:textId="77777777" w:rsidTr="00B64ACA">
        <w:tc>
          <w:tcPr>
            <w:tcW w:w="14176" w:type="dxa"/>
          </w:tcPr>
          <w:p w14:paraId="4909222A" w14:textId="084437DA" w:rsidR="008D791F" w:rsidRDefault="00890064" w:rsidP="00E74058">
            <w:pPr>
              <w:pStyle w:val="BodyText2"/>
              <w:jc w:val="both"/>
              <w:rPr>
                <w:rFonts w:asciiTheme="minorHAnsi" w:hAnsiTheme="minorHAnsi"/>
              </w:rPr>
            </w:pPr>
            <w:r>
              <w:rPr>
                <w:rFonts w:asciiTheme="minorHAnsi" w:hAnsiTheme="minorHAnsi"/>
              </w:rPr>
              <w:t>The primary data sources used to prepare the Results Summary document include:</w:t>
            </w:r>
          </w:p>
          <w:p w14:paraId="5A31C35D" w14:textId="77777777" w:rsidR="00890064" w:rsidRDefault="00890064" w:rsidP="00890064">
            <w:pPr>
              <w:pStyle w:val="BodyText2"/>
              <w:numPr>
                <w:ilvl w:val="0"/>
                <w:numId w:val="14"/>
              </w:numPr>
              <w:jc w:val="both"/>
              <w:rPr>
                <w:rFonts w:asciiTheme="minorHAnsi" w:hAnsiTheme="minorHAnsi"/>
              </w:rPr>
            </w:pPr>
            <w:r>
              <w:rPr>
                <w:rFonts w:asciiTheme="minorHAnsi" w:hAnsiTheme="minorHAnsi"/>
              </w:rPr>
              <w:t>Annual ROARs prepared by the UNDP country office</w:t>
            </w:r>
          </w:p>
          <w:p w14:paraId="7A401A77" w14:textId="631E127A" w:rsidR="00890064" w:rsidRDefault="00890064" w:rsidP="00890064">
            <w:pPr>
              <w:pStyle w:val="BodyText2"/>
              <w:numPr>
                <w:ilvl w:val="0"/>
                <w:numId w:val="14"/>
              </w:numPr>
              <w:jc w:val="both"/>
              <w:rPr>
                <w:rFonts w:asciiTheme="minorHAnsi" w:hAnsiTheme="minorHAnsi"/>
              </w:rPr>
            </w:pPr>
            <w:r>
              <w:rPr>
                <w:rFonts w:asciiTheme="minorHAnsi" w:hAnsiTheme="minorHAnsi"/>
              </w:rPr>
              <w:t>Project specific documents / reports including available independent review and evaluation reports</w:t>
            </w:r>
          </w:p>
          <w:p w14:paraId="1D7E6F90" w14:textId="77777777" w:rsidR="00890064" w:rsidRDefault="00890064" w:rsidP="00890064">
            <w:pPr>
              <w:pStyle w:val="BodyText2"/>
              <w:numPr>
                <w:ilvl w:val="0"/>
                <w:numId w:val="14"/>
              </w:numPr>
              <w:jc w:val="both"/>
              <w:rPr>
                <w:rFonts w:asciiTheme="minorHAnsi" w:hAnsiTheme="minorHAnsi"/>
              </w:rPr>
            </w:pPr>
            <w:r>
              <w:rPr>
                <w:rFonts w:asciiTheme="minorHAnsi" w:hAnsiTheme="minorHAnsi"/>
              </w:rPr>
              <w:t xml:space="preserve">UNDAF progress reports </w:t>
            </w:r>
          </w:p>
          <w:p w14:paraId="2869F869" w14:textId="168ABA69" w:rsidR="00890064" w:rsidRPr="00890064" w:rsidRDefault="00890064" w:rsidP="00890064">
            <w:pPr>
              <w:pStyle w:val="BodyText2"/>
              <w:jc w:val="both"/>
              <w:rPr>
                <w:rFonts w:asciiTheme="minorHAnsi" w:hAnsiTheme="minorHAnsi"/>
              </w:rPr>
            </w:pPr>
            <w:r>
              <w:rPr>
                <w:rFonts w:asciiTheme="minorHAnsi" w:hAnsiTheme="minorHAnsi"/>
              </w:rPr>
              <w:t xml:space="preserve"> </w:t>
            </w:r>
          </w:p>
        </w:tc>
      </w:tr>
    </w:tbl>
    <w:p w14:paraId="2869F86B" w14:textId="77777777" w:rsidR="00635929" w:rsidRDefault="00635929" w:rsidP="00E74058">
      <w:pPr>
        <w:pStyle w:val="BodyText2"/>
        <w:jc w:val="both"/>
        <w:rPr>
          <w:rFonts w:ascii="Times New Roman" w:hAnsi="Times New Roman"/>
          <w:sz w:val="24"/>
        </w:rPr>
      </w:pPr>
    </w:p>
    <w:sectPr w:rsidR="00635929"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6E6C7" w14:textId="77777777" w:rsidR="00FD07D4" w:rsidRDefault="00FD07D4">
      <w:r>
        <w:separator/>
      </w:r>
    </w:p>
  </w:endnote>
  <w:endnote w:type="continuationSeparator" w:id="0">
    <w:p w14:paraId="74657011" w14:textId="77777777" w:rsidR="00FD07D4" w:rsidRDefault="00FD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407"/>
      <w:docPartObj>
        <w:docPartGallery w:val="Page Numbers (Bottom of Page)"/>
        <w:docPartUnique/>
      </w:docPartObj>
    </w:sdtPr>
    <w:sdtEndPr/>
    <w:sdtContent>
      <w:p w14:paraId="2869F871" w14:textId="77777777" w:rsidR="001B76F1" w:rsidRDefault="001B76F1">
        <w:pPr>
          <w:pStyle w:val="Footer"/>
          <w:jc w:val="center"/>
        </w:pPr>
        <w:r>
          <w:fldChar w:fldCharType="begin"/>
        </w:r>
        <w:r>
          <w:instrText xml:space="preserve"> PAGE   \* MERGEFORMAT </w:instrText>
        </w:r>
        <w:r>
          <w:fldChar w:fldCharType="separate"/>
        </w:r>
        <w:r w:rsidR="005722FE">
          <w:rPr>
            <w:noProof/>
          </w:rPr>
          <w:t>2</w:t>
        </w:r>
        <w:r>
          <w:rPr>
            <w:noProof/>
          </w:rPr>
          <w:fldChar w:fldCharType="end"/>
        </w:r>
      </w:p>
    </w:sdtContent>
  </w:sdt>
  <w:p w14:paraId="2869F872" w14:textId="77777777" w:rsidR="001B76F1" w:rsidRDefault="001B7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8A197" w14:textId="77777777" w:rsidR="00FD07D4" w:rsidRDefault="00FD07D4">
      <w:r>
        <w:separator/>
      </w:r>
    </w:p>
  </w:footnote>
  <w:footnote w:type="continuationSeparator" w:id="0">
    <w:p w14:paraId="45F3722F" w14:textId="77777777" w:rsidR="00FD07D4" w:rsidRDefault="00FD07D4">
      <w:r>
        <w:continuationSeparator/>
      </w:r>
    </w:p>
  </w:footnote>
  <w:footnote w:id="1">
    <w:p w14:paraId="6677A105" w14:textId="4278F880" w:rsidR="001B76F1" w:rsidRPr="0064746F" w:rsidRDefault="001B76F1" w:rsidP="00D20DB1">
      <w:pPr>
        <w:pStyle w:val="FootnoteText"/>
        <w:rPr>
          <w:rFonts w:asciiTheme="minorHAnsi" w:hAnsiTheme="minorHAnsi"/>
        </w:rPr>
      </w:pPr>
      <w:r w:rsidRPr="0064746F">
        <w:rPr>
          <w:rStyle w:val="FootnoteReference"/>
          <w:rFonts w:asciiTheme="minorHAnsi" w:hAnsiTheme="minorHAnsi"/>
        </w:rPr>
        <w:footnoteRef/>
      </w:r>
      <w:r w:rsidRPr="0064746F">
        <w:rPr>
          <w:rFonts w:asciiTheme="minorHAnsi" w:hAnsiTheme="minorHAnsi"/>
        </w:rPr>
        <w:t xml:space="preserve"> This assessment of results </w:t>
      </w:r>
      <w:r>
        <w:rPr>
          <w:rFonts w:asciiTheme="minorHAnsi" w:hAnsiTheme="minorHAnsi"/>
        </w:rPr>
        <w:t>has been</w:t>
      </w:r>
      <w:r w:rsidRPr="0064746F">
        <w:rPr>
          <w:rFonts w:asciiTheme="minorHAnsi" w:hAnsiTheme="minorHAnsi"/>
        </w:rPr>
        <w:t xml:space="preserve"> prepared in the absence of a completed Assessment of Development Results (ADR) for the cycle.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9F870" w14:textId="5222CF14" w:rsidR="001B76F1" w:rsidRPr="00517955" w:rsidRDefault="001B76F1">
    <w:pPr>
      <w:pStyle w:val="Header"/>
      <w:rPr>
        <w:rFonts w:asciiTheme="minorHAnsi" w:hAnsiTheme="minorHAnsi"/>
      </w:rPr>
    </w:pPr>
    <w:r>
      <w:rPr>
        <w:rFonts w:asciiTheme="minorHAnsi" w:hAnsiTheme="minorHAnsi"/>
      </w:rPr>
      <w:t xml:space="preserve">UNDP Iran Country Office - Results Summary 2012-15 - </w:t>
    </w:r>
    <w:r w:rsidRPr="00517955">
      <w:rPr>
        <w:rFonts w:asciiTheme="minorHAnsi" w:hAnsiTheme="minorHAnsi"/>
      </w:rPr>
      <w:t>DRAFT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85802"/>
    <w:multiLevelType w:val="hybridMultilevel"/>
    <w:tmpl w:val="17EAC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C7A69"/>
    <w:multiLevelType w:val="hybridMultilevel"/>
    <w:tmpl w:val="9D2E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21289"/>
    <w:multiLevelType w:val="hybridMultilevel"/>
    <w:tmpl w:val="B102409E"/>
    <w:lvl w:ilvl="0" w:tplc="4D065F14">
      <w:start w:val="1"/>
      <w:numFmt w:val="decimal"/>
      <w:pStyle w:val="NormanlNumber"/>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AD451B"/>
    <w:multiLevelType w:val="hybridMultilevel"/>
    <w:tmpl w:val="AD82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92C97"/>
    <w:multiLevelType w:val="hybridMultilevel"/>
    <w:tmpl w:val="032CEB40"/>
    <w:lvl w:ilvl="0" w:tplc="136EBAD4">
      <w:start w:val="5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70C1A"/>
    <w:multiLevelType w:val="hybridMultilevel"/>
    <w:tmpl w:val="CE4CB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1271A2"/>
    <w:multiLevelType w:val="hybridMultilevel"/>
    <w:tmpl w:val="46B04C92"/>
    <w:lvl w:ilvl="0" w:tplc="A76AF71A">
      <w:start w:val="1"/>
      <w:numFmt w:val="decimal"/>
      <w:lvlText w:val="%1."/>
      <w:lvlJc w:val="left"/>
      <w:pPr>
        <w:ind w:left="928"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76688"/>
    <w:multiLevelType w:val="hybridMultilevel"/>
    <w:tmpl w:val="69C8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76160"/>
    <w:multiLevelType w:val="hybridMultilevel"/>
    <w:tmpl w:val="415E199E"/>
    <w:lvl w:ilvl="0" w:tplc="AB2EB3B8">
      <w:numFmt w:val="bullet"/>
      <w:lvlText w:val="-"/>
      <w:lvlJc w:val="left"/>
      <w:pPr>
        <w:ind w:left="786" w:hanging="360"/>
      </w:pPr>
      <w:rPr>
        <w:rFonts w:ascii="Calibri" w:eastAsia="MS Mincho" w:hAnsi="Calibr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E6DA7"/>
    <w:multiLevelType w:val="hybridMultilevel"/>
    <w:tmpl w:val="FA72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B4571"/>
    <w:multiLevelType w:val="hybridMultilevel"/>
    <w:tmpl w:val="8FEE39D8"/>
    <w:lvl w:ilvl="0" w:tplc="0809000F">
      <w:start w:val="1"/>
      <w:numFmt w:val="decimal"/>
      <w:lvlText w:val="%1."/>
      <w:lvlJc w:val="left"/>
      <w:pPr>
        <w:ind w:left="928"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9452F7"/>
    <w:multiLevelType w:val="hybridMultilevel"/>
    <w:tmpl w:val="12B64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0310F8"/>
    <w:multiLevelType w:val="hybridMultilevel"/>
    <w:tmpl w:val="93BC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443DD1"/>
    <w:multiLevelType w:val="hybridMultilevel"/>
    <w:tmpl w:val="550874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12"/>
  </w:num>
  <w:num w:numId="5">
    <w:abstractNumId w:val="9"/>
  </w:num>
  <w:num w:numId="6">
    <w:abstractNumId w:val="3"/>
  </w:num>
  <w:num w:numId="7">
    <w:abstractNumId w:val="7"/>
  </w:num>
  <w:num w:numId="8">
    <w:abstractNumId w:val="0"/>
  </w:num>
  <w:num w:numId="9">
    <w:abstractNumId w:val="13"/>
  </w:num>
  <w:num w:numId="10">
    <w:abstractNumId w:val="1"/>
  </w:num>
  <w:num w:numId="11">
    <w:abstractNumId w:val="10"/>
  </w:num>
  <w:num w:numId="12">
    <w:abstractNumId w:val="6"/>
  </w:num>
  <w:num w:numId="13">
    <w:abstractNumId w:val="4"/>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2924"/>
    <w:rsid w:val="00003590"/>
    <w:rsid w:val="00007461"/>
    <w:rsid w:val="000079CC"/>
    <w:rsid w:val="0001014E"/>
    <w:rsid w:val="00011331"/>
    <w:rsid w:val="00011A63"/>
    <w:rsid w:val="00014C03"/>
    <w:rsid w:val="00017B8E"/>
    <w:rsid w:val="0003789A"/>
    <w:rsid w:val="00044DDE"/>
    <w:rsid w:val="000502AD"/>
    <w:rsid w:val="0005534A"/>
    <w:rsid w:val="000631EE"/>
    <w:rsid w:val="00080667"/>
    <w:rsid w:val="000823AC"/>
    <w:rsid w:val="000A049E"/>
    <w:rsid w:val="000B1091"/>
    <w:rsid w:val="000C09B4"/>
    <w:rsid w:val="000C1FD3"/>
    <w:rsid w:val="000C2317"/>
    <w:rsid w:val="000C4457"/>
    <w:rsid w:val="000D2F8C"/>
    <w:rsid w:val="000D6DE5"/>
    <w:rsid w:val="000E1370"/>
    <w:rsid w:val="000E1419"/>
    <w:rsid w:val="000E3F60"/>
    <w:rsid w:val="000F530D"/>
    <w:rsid w:val="000F77FD"/>
    <w:rsid w:val="00103A84"/>
    <w:rsid w:val="00106A18"/>
    <w:rsid w:val="00125FB0"/>
    <w:rsid w:val="00135E07"/>
    <w:rsid w:val="0015409F"/>
    <w:rsid w:val="00157815"/>
    <w:rsid w:val="00165CA3"/>
    <w:rsid w:val="001663A4"/>
    <w:rsid w:val="00167DA9"/>
    <w:rsid w:val="00167FE0"/>
    <w:rsid w:val="00170F90"/>
    <w:rsid w:val="00175B60"/>
    <w:rsid w:val="00176076"/>
    <w:rsid w:val="00176D39"/>
    <w:rsid w:val="00180273"/>
    <w:rsid w:val="001956C7"/>
    <w:rsid w:val="0019587C"/>
    <w:rsid w:val="001A17F8"/>
    <w:rsid w:val="001A4D75"/>
    <w:rsid w:val="001B0DBA"/>
    <w:rsid w:val="001B3A1A"/>
    <w:rsid w:val="001B721D"/>
    <w:rsid w:val="001B76F1"/>
    <w:rsid w:val="001D03D4"/>
    <w:rsid w:val="001D3A31"/>
    <w:rsid w:val="001F098F"/>
    <w:rsid w:val="001F3524"/>
    <w:rsid w:val="0020236C"/>
    <w:rsid w:val="00203B04"/>
    <w:rsid w:val="002058BA"/>
    <w:rsid w:val="00213C92"/>
    <w:rsid w:val="00220822"/>
    <w:rsid w:val="00230A0E"/>
    <w:rsid w:val="002315A5"/>
    <w:rsid w:val="00232597"/>
    <w:rsid w:val="00241933"/>
    <w:rsid w:val="00246E1F"/>
    <w:rsid w:val="002547CF"/>
    <w:rsid w:val="00261D84"/>
    <w:rsid w:val="0026321D"/>
    <w:rsid w:val="002672F1"/>
    <w:rsid w:val="00270A1A"/>
    <w:rsid w:val="0027654E"/>
    <w:rsid w:val="00280850"/>
    <w:rsid w:val="0029439F"/>
    <w:rsid w:val="002A6172"/>
    <w:rsid w:val="002B1719"/>
    <w:rsid w:val="002C33D0"/>
    <w:rsid w:val="002C4B80"/>
    <w:rsid w:val="002C7C02"/>
    <w:rsid w:val="002D43B6"/>
    <w:rsid w:val="002F7E65"/>
    <w:rsid w:val="00301619"/>
    <w:rsid w:val="00311F21"/>
    <w:rsid w:val="003135BB"/>
    <w:rsid w:val="00315A12"/>
    <w:rsid w:val="00316520"/>
    <w:rsid w:val="0032170C"/>
    <w:rsid w:val="0032175A"/>
    <w:rsid w:val="00321FD2"/>
    <w:rsid w:val="00322DEA"/>
    <w:rsid w:val="00326283"/>
    <w:rsid w:val="0032641F"/>
    <w:rsid w:val="0032741A"/>
    <w:rsid w:val="00327574"/>
    <w:rsid w:val="00334BF1"/>
    <w:rsid w:val="00334DA2"/>
    <w:rsid w:val="00337508"/>
    <w:rsid w:val="00346615"/>
    <w:rsid w:val="003476A7"/>
    <w:rsid w:val="00347861"/>
    <w:rsid w:val="003501E4"/>
    <w:rsid w:val="00351DEA"/>
    <w:rsid w:val="00354CB5"/>
    <w:rsid w:val="00357B0E"/>
    <w:rsid w:val="00363EC5"/>
    <w:rsid w:val="00366AD1"/>
    <w:rsid w:val="00370F74"/>
    <w:rsid w:val="00371A26"/>
    <w:rsid w:val="0037523B"/>
    <w:rsid w:val="003752A0"/>
    <w:rsid w:val="00396F34"/>
    <w:rsid w:val="003A51F5"/>
    <w:rsid w:val="003B037A"/>
    <w:rsid w:val="003B0607"/>
    <w:rsid w:val="003B24E2"/>
    <w:rsid w:val="003B422F"/>
    <w:rsid w:val="003B42E1"/>
    <w:rsid w:val="003C320A"/>
    <w:rsid w:val="003D4219"/>
    <w:rsid w:val="003D4A1C"/>
    <w:rsid w:val="003D653B"/>
    <w:rsid w:val="003E5E09"/>
    <w:rsid w:val="003F470B"/>
    <w:rsid w:val="003F4F4C"/>
    <w:rsid w:val="004004FC"/>
    <w:rsid w:val="004042C9"/>
    <w:rsid w:val="00404B02"/>
    <w:rsid w:val="00404E3F"/>
    <w:rsid w:val="00416050"/>
    <w:rsid w:val="00416177"/>
    <w:rsid w:val="0041690E"/>
    <w:rsid w:val="00417008"/>
    <w:rsid w:val="00420CEC"/>
    <w:rsid w:val="00421A9B"/>
    <w:rsid w:val="00424E4F"/>
    <w:rsid w:val="00427B78"/>
    <w:rsid w:val="004347EF"/>
    <w:rsid w:val="0043559F"/>
    <w:rsid w:val="00437A8C"/>
    <w:rsid w:val="004475E6"/>
    <w:rsid w:val="00451CCA"/>
    <w:rsid w:val="00454C6D"/>
    <w:rsid w:val="00455A82"/>
    <w:rsid w:val="00461D62"/>
    <w:rsid w:val="00465E0E"/>
    <w:rsid w:val="00472098"/>
    <w:rsid w:val="004732D4"/>
    <w:rsid w:val="0047429E"/>
    <w:rsid w:val="00482F74"/>
    <w:rsid w:val="00493BA1"/>
    <w:rsid w:val="00495C48"/>
    <w:rsid w:val="004A5309"/>
    <w:rsid w:val="004B31A6"/>
    <w:rsid w:val="004B3911"/>
    <w:rsid w:val="004C595C"/>
    <w:rsid w:val="004D031E"/>
    <w:rsid w:val="004D2B27"/>
    <w:rsid w:val="004D3DBE"/>
    <w:rsid w:val="004D713F"/>
    <w:rsid w:val="00501971"/>
    <w:rsid w:val="00516AC8"/>
    <w:rsid w:val="00517955"/>
    <w:rsid w:val="0052724C"/>
    <w:rsid w:val="00530FDE"/>
    <w:rsid w:val="005311E2"/>
    <w:rsid w:val="00534207"/>
    <w:rsid w:val="0053698B"/>
    <w:rsid w:val="00536F4A"/>
    <w:rsid w:val="00537584"/>
    <w:rsid w:val="00544E8C"/>
    <w:rsid w:val="00545695"/>
    <w:rsid w:val="005474ED"/>
    <w:rsid w:val="005555FD"/>
    <w:rsid w:val="00571369"/>
    <w:rsid w:val="005722FE"/>
    <w:rsid w:val="005836A2"/>
    <w:rsid w:val="00587372"/>
    <w:rsid w:val="00587DD1"/>
    <w:rsid w:val="005A5F0C"/>
    <w:rsid w:val="005A73E1"/>
    <w:rsid w:val="005A7B65"/>
    <w:rsid w:val="005B2EC0"/>
    <w:rsid w:val="005C0B9B"/>
    <w:rsid w:val="005C3427"/>
    <w:rsid w:val="005C6168"/>
    <w:rsid w:val="005D0F06"/>
    <w:rsid w:val="005E033A"/>
    <w:rsid w:val="005E0C05"/>
    <w:rsid w:val="005E689E"/>
    <w:rsid w:val="005F2E08"/>
    <w:rsid w:val="005F6261"/>
    <w:rsid w:val="005F7183"/>
    <w:rsid w:val="00600197"/>
    <w:rsid w:val="00607AA1"/>
    <w:rsid w:val="00607D5C"/>
    <w:rsid w:val="00612159"/>
    <w:rsid w:val="00615727"/>
    <w:rsid w:val="00623DEE"/>
    <w:rsid w:val="0062401F"/>
    <w:rsid w:val="00634354"/>
    <w:rsid w:val="00635929"/>
    <w:rsid w:val="00640761"/>
    <w:rsid w:val="00645E6A"/>
    <w:rsid w:val="006473C6"/>
    <w:rsid w:val="0064746F"/>
    <w:rsid w:val="00661871"/>
    <w:rsid w:val="0067326C"/>
    <w:rsid w:val="00673710"/>
    <w:rsid w:val="00674B1A"/>
    <w:rsid w:val="006767EF"/>
    <w:rsid w:val="006810AC"/>
    <w:rsid w:val="006900FE"/>
    <w:rsid w:val="00691AD4"/>
    <w:rsid w:val="00694F35"/>
    <w:rsid w:val="006A655D"/>
    <w:rsid w:val="006A6F03"/>
    <w:rsid w:val="006A7AB0"/>
    <w:rsid w:val="006B162E"/>
    <w:rsid w:val="006E3007"/>
    <w:rsid w:val="006E506F"/>
    <w:rsid w:val="006F5D19"/>
    <w:rsid w:val="0070037B"/>
    <w:rsid w:val="00700521"/>
    <w:rsid w:val="007040C3"/>
    <w:rsid w:val="00713461"/>
    <w:rsid w:val="00735E16"/>
    <w:rsid w:val="0074064B"/>
    <w:rsid w:val="00742C09"/>
    <w:rsid w:val="00745866"/>
    <w:rsid w:val="00747930"/>
    <w:rsid w:val="007479D7"/>
    <w:rsid w:val="00752CFD"/>
    <w:rsid w:val="0075431F"/>
    <w:rsid w:val="0076065B"/>
    <w:rsid w:val="00760E32"/>
    <w:rsid w:val="00764111"/>
    <w:rsid w:val="00764E41"/>
    <w:rsid w:val="007705AD"/>
    <w:rsid w:val="00771515"/>
    <w:rsid w:val="00772F5C"/>
    <w:rsid w:val="00776056"/>
    <w:rsid w:val="00790C12"/>
    <w:rsid w:val="007948A1"/>
    <w:rsid w:val="00795AE8"/>
    <w:rsid w:val="00795E5B"/>
    <w:rsid w:val="007A1499"/>
    <w:rsid w:val="007A5E04"/>
    <w:rsid w:val="007C1B15"/>
    <w:rsid w:val="007D1143"/>
    <w:rsid w:val="007E1663"/>
    <w:rsid w:val="007F3CE7"/>
    <w:rsid w:val="008018C5"/>
    <w:rsid w:val="00802EAF"/>
    <w:rsid w:val="00806C5A"/>
    <w:rsid w:val="00813F1E"/>
    <w:rsid w:val="0081403B"/>
    <w:rsid w:val="00835892"/>
    <w:rsid w:val="00837C4B"/>
    <w:rsid w:val="0084052F"/>
    <w:rsid w:val="008425BE"/>
    <w:rsid w:val="00842737"/>
    <w:rsid w:val="00843006"/>
    <w:rsid w:val="008440D9"/>
    <w:rsid w:val="00845340"/>
    <w:rsid w:val="00857873"/>
    <w:rsid w:val="00860E6B"/>
    <w:rsid w:val="00863707"/>
    <w:rsid w:val="00867AAC"/>
    <w:rsid w:val="008769FC"/>
    <w:rsid w:val="0087756F"/>
    <w:rsid w:val="00880F28"/>
    <w:rsid w:val="00882595"/>
    <w:rsid w:val="00882ECA"/>
    <w:rsid w:val="00883368"/>
    <w:rsid w:val="00890064"/>
    <w:rsid w:val="00891490"/>
    <w:rsid w:val="00892478"/>
    <w:rsid w:val="008932E2"/>
    <w:rsid w:val="008B06DD"/>
    <w:rsid w:val="008B2AE8"/>
    <w:rsid w:val="008B7708"/>
    <w:rsid w:val="008C2EBA"/>
    <w:rsid w:val="008C3968"/>
    <w:rsid w:val="008C72A4"/>
    <w:rsid w:val="008C7456"/>
    <w:rsid w:val="008D4556"/>
    <w:rsid w:val="008D791F"/>
    <w:rsid w:val="008E4017"/>
    <w:rsid w:val="008E6178"/>
    <w:rsid w:val="008E664E"/>
    <w:rsid w:val="008F0A97"/>
    <w:rsid w:val="008F5F73"/>
    <w:rsid w:val="00901EE4"/>
    <w:rsid w:val="00911297"/>
    <w:rsid w:val="00913DA6"/>
    <w:rsid w:val="00920DBC"/>
    <w:rsid w:val="009353D7"/>
    <w:rsid w:val="00942B3B"/>
    <w:rsid w:val="00943B70"/>
    <w:rsid w:val="00952556"/>
    <w:rsid w:val="00952B76"/>
    <w:rsid w:val="00966317"/>
    <w:rsid w:val="00967F59"/>
    <w:rsid w:val="009711F9"/>
    <w:rsid w:val="0097197E"/>
    <w:rsid w:val="00975566"/>
    <w:rsid w:val="00976258"/>
    <w:rsid w:val="009813F1"/>
    <w:rsid w:val="00990CED"/>
    <w:rsid w:val="009A61F9"/>
    <w:rsid w:val="009B03A0"/>
    <w:rsid w:val="009B0E47"/>
    <w:rsid w:val="009B76A1"/>
    <w:rsid w:val="009C23CD"/>
    <w:rsid w:val="009C3E77"/>
    <w:rsid w:val="009C7BA8"/>
    <w:rsid w:val="009E7526"/>
    <w:rsid w:val="009F21FD"/>
    <w:rsid w:val="00A0001A"/>
    <w:rsid w:val="00A046D3"/>
    <w:rsid w:val="00A06BBE"/>
    <w:rsid w:val="00A15A72"/>
    <w:rsid w:val="00A15ADF"/>
    <w:rsid w:val="00A1786A"/>
    <w:rsid w:val="00A210CD"/>
    <w:rsid w:val="00A26211"/>
    <w:rsid w:val="00A26AD9"/>
    <w:rsid w:val="00A30EBB"/>
    <w:rsid w:val="00A31539"/>
    <w:rsid w:val="00A369BE"/>
    <w:rsid w:val="00A37A50"/>
    <w:rsid w:val="00A40130"/>
    <w:rsid w:val="00A40576"/>
    <w:rsid w:val="00A41B5A"/>
    <w:rsid w:val="00A447AF"/>
    <w:rsid w:val="00A44F24"/>
    <w:rsid w:val="00A45528"/>
    <w:rsid w:val="00A45893"/>
    <w:rsid w:val="00A51290"/>
    <w:rsid w:val="00A53E21"/>
    <w:rsid w:val="00A57912"/>
    <w:rsid w:val="00A63B14"/>
    <w:rsid w:val="00A74149"/>
    <w:rsid w:val="00A8418D"/>
    <w:rsid w:val="00A85E34"/>
    <w:rsid w:val="00A95B56"/>
    <w:rsid w:val="00A95D0B"/>
    <w:rsid w:val="00AA513A"/>
    <w:rsid w:val="00AA684A"/>
    <w:rsid w:val="00AC4E71"/>
    <w:rsid w:val="00AC7477"/>
    <w:rsid w:val="00AD2166"/>
    <w:rsid w:val="00AF5A69"/>
    <w:rsid w:val="00B00E5C"/>
    <w:rsid w:val="00B053BE"/>
    <w:rsid w:val="00B10D6B"/>
    <w:rsid w:val="00B137D1"/>
    <w:rsid w:val="00B2050D"/>
    <w:rsid w:val="00B2431D"/>
    <w:rsid w:val="00B25B8C"/>
    <w:rsid w:val="00B32ADA"/>
    <w:rsid w:val="00B3381A"/>
    <w:rsid w:val="00B43E78"/>
    <w:rsid w:val="00B50E12"/>
    <w:rsid w:val="00B62C4A"/>
    <w:rsid w:val="00B64ACA"/>
    <w:rsid w:val="00B65B29"/>
    <w:rsid w:val="00B71CC0"/>
    <w:rsid w:val="00B838D8"/>
    <w:rsid w:val="00B85BEA"/>
    <w:rsid w:val="00B91215"/>
    <w:rsid w:val="00B96724"/>
    <w:rsid w:val="00BB58F6"/>
    <w:rsid w:val="00BB793E"/>
    <w:rsid w:val="00BC186D"/>
    <w:rsid w:val="00BC38E0"/>
    <w:rsid w:val="00BC6690"/>
    <w:rsid w:val="00BD0173"/>
    <w:rsid w:val="00BD24E5"/>
    <w:rsid w:val="00BD2ECC"/>
    <w:rsid w:val="00BD67C5"/>
    <w:rsid w:val="00BE2925"/>
    <w:rsid w:val="00BE4B50"/>
    <w:rsid w:val="00BF23A1"/>
    <w:rsid w:val="00C01C71"/>
    <w:rsid w:val="00C04783"/>
    <w:rsid w:val="00C04BC2"/>
    <w:rsid w:val="00C05008"/>
    <w:rsid w:val="00C053AE"/>
    <w:rsid w:val="00C13737"/>
    <w:rsid w:val="00C26234"/>
    <w:rsid w:val="00C26F75"/>
    <w:rsid w:val="00C27670"/>
    <w:rsid w:val="00C33773"/>
    <w:rsid w:val="00C40881"/>
    <w:rsid w:val="00C43E81"/>
    <w:rsid w:val="00C450D4"/>
    <w:rsid w:val="00C46DA3"/>
    <w:rsid w:val="00C5457D"/>
    <w:rsid w:val="00C57D45"/>
    <w:rsid w:val="00C644D9"/>
    <w:rsid w:val="00C663D5"/>
    <w:rsid w:val="00C66DE1"/>
    <w:rsid w:val="00C83182"/>
    <w:rsid w:val="00C8680D"/>
    <w:rsid w:val="00C90A1C"/>
    <w:rsid w:val="00C97E31"/>
    <w:rsid w:val="00CA6DEF"/>
    <w:rsid w:val="00CB647D"/>
    <w:rsid w:val="00CC7F48"/>
    <w:rsid w:val="00CD35DB"/>
    <w:rsid w:val="00CD66B2"/>
    <w:rsid w:val="00CE1D8D"/>
    <w:rsid w:val="00CE306F"/>
    <w:rsid w:val="00CE7F11"/>
    <w:rsid w:val="00CF26FC"/>
    <w:rsid w:val="00D0030A"/>
    <w:rsid w:val="00D013EA"/>
    <w:rsid w:val="00D13502"/>
    <w:rsid w:val="00D1370F"/>
    <w:rsid w:val="00D1469C"/>
    <w:rsid w:val="00D15BC0"/>
    <w:rsid w:val="00D15FE8"/>
    <w:rsid w:val="00D1775E"/>
    <w:rsid w:val="00D20DB1"/>
    <w:rsid w:val="00D24452"/>
    <w:rsid w:val="00D27C8C"/>
    <w:rsid w:val="00D30BE3"/>
    <w:rsid w:val="00D44015"/>
    <w:rsid w:val="00D55B6C"/>
    <w:rsid w:val="00D80A4F"/>
    <w:rsid w:val="00D879D4"/>
    <w:rsid w:val="00D9192E"/>
    <w:rsid w:val="00D9662F"/>
    <w:rsid w:val="00DA12F1"/>
    <w:rsid w:val="00DA23B1"/>
    <w:rsid w:val="00DB0288"/>
    <w:rsid w:val="00DC4D86"/>
    <w:rsid w:val="00DC7354"/>
    <w:rsid w:val="00DD4368"/>
    <w:rsid w:val="00DD6439"/>
    <w:rsid w:val="00DE7B50"/>
    <w:rsid w:val="00DF0357"/>
    <w:rsid w:val="00DF1D1B"/>
    <w:rsid w:val="00E033A5"/>
    <w:rsid w:val="00E05F1A"/>
    <w:rsid w:val="00E06A4E"/>
    <w:rsid w:val="00E1547F"/>
    <w:rsid w:val="00E278CA"/>
    <w:rsid w:val="00E32ACA"/>
    <w:rsid w:val="00E37E7A"/>
    <w:rsid w:val="00E44CF8"/>
    <w:rsid w:val="00E50523"/>
    <w:rsid w:val="00E74058"/>
    <w:rsid w:val="00E76B5F"/>
    <w:rsid w:val="00E770DC"/>
    <w:rsid w:val="00E77ABB"/>
    <w:rsid w:val="00E8333B"/>
    <w:rsid w:val="00E87529"/>
    <w:rsid w:val="00E94DA3"/>
    <w:rsid w:val="00EA76E3"/>
    <w:rsid w:val="00EA7740"/>
    <w:rsid w:val="00EB499A"/>
    <w:rsid w:val="00EB5215"/>
    <w:rsid w:val="00EB5A31"/>
    <w:rsid w:val="00EC4E64"/>
    <w:rsid w:val="00EC7BBC"/>
    <w:rsid w:val="00EE0972"/>
    <w:rsid w:val="00EE1D60"/>
    <w:rsid w:val="00EE3F74"/>
    <w:rsid w:val="00F00EE2"/>
    <w:rsid w:val="00F01BDE"/>
    <w:rsid w:val="00F01FDE"/>
    <w:rsid w:val="00F03EB8"/>
    <w:rsid w:val="00F1587E"/>
    <w:rsid w:val="00F16195"/>
    <w:rsid w:val="00F20214"/>
    <w:rsid w:val="00F21F9D"/>
    <w:rsid w:val="00F22323"/>
    <w:rsid w:val="00F31949"/>
    <w:rsid w:val="00F34D6F"/>
    <w:rsid w:val="00F352FE"/>
    <w:rsid w:val="00F37FA7"/>
    <w:rsid w:val="00F476CA"/>
    <w:rsid w:val="00F479B6"/>
    <w:rsid w:val="00F51106"/>
    <w:rsid w:val="00F52DF3"/>
    <w:rsid w:val="00F57622"/>
    <w:rsid w:val="00F73BA8"/>
    <w:rsid w:val="00F826EC"/>
    <w:rsid w:val="00F84486"/>
    <w:rsid w:val="00F846AB"/>
    <w:rsid w:val="00F84FD4"/>
    <w:rsid w:val="00F92B5D"/>
    <w:rsid w:val="00FB2C4C"/>
    <w:rsid w:val="00FB3DB2"/>
    <w:rsid w:val="00FB778F"/>
    <w:rsid w:val="00FC165E"/>
    <w:rsid w:val="00FC400F"/>
    <w:rsid w:val="00FC49E0"/>
    <w:rsid w:val="00FC5FF7"/>
    <w:rsid w:val="00FD07D4"/>
    <w:rsid w:val="00FE3711"/>
    <w:rsid w:val="00FF15F4"/>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9F7D6"/>
  <w15:docId w15:val="{9544AC46-41F5-4E6A-8624-F4130AC6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00F"/>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link w:val="BodyText2Char"/>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aliases w:val="single space,Footnote Text Char Char Char,Footnote Text Char Char Char1,Footnote Text Char Char Char2 Char,Footnote Text Char Char Char1 Char,Footnote Text Char Char"/>
    <w:basedOn w:val="Normal"/>
    <w:link w:val="FootnoteTextChar"/>
    <w:uiPriority w:val="99"/>
    <w:rsid w:val="001F3524"/>
    <w:rPr>
      <w:sz w:val="20"/>
    </w:rPr>
  </w:style>
  <w:style w:type="character" w:customStyle="1" w:styleId="FootnoteTextChar">
    <w:name w:val="Footnote Text Char"/>
    <w:aliases w:val="single space Char,Footnote Text Char Char Char Char,Footnote Text Char Char Char1 Char1,Footnote Text Char Char Char2 Char Char,Footnote Text Char Char Char1 Char Char,Footnote Text Char Char Char2"/>
    <w:basedOn w:val="DefaultParagraphFont"/>
    <w:link w:val="FootnoteText"/>
    <w:uiPriority w:val="99"/>
    <w:rsid w:val="001F3524"/>
  </w:style>
  <w:style w:type="character" w:styleId="FootnoteReference">
    <w:name w:val="footnote reference"/>
    <w:basedOn w:val="DefaultParagraphFont"/>
    <w:uiPriority w:val="99"/>
    <w:rsid w:val="001F3524"/>
    <w:rPr>
      <w:vertAlign w:val="superscript"/>
    </w:rPr>
  </w:style>
  <w:style w:type="paragraph" w:styleId="BalloonText">
    <w:name w:val="Balloon Text"/>
    <w:basedOn w:val="Normal"/>
    <w:link w:val="BalloonTextChar"/>
    <w:semiHidden/>
    <w:unhideWhenUsed/>
    <w:rsid w:val="00CD66B2"/>
    <w:rPr>
      <w:rFonts w:ascii="Segoe UI" w:hAnsi="Segoe UI" w:cs="Segoe UI"/>
      <w:sz w:val="18"/>
      <w:szCs w:val="18"/>
    </w:rPr>
  </w:style>
  <w:style w:type="character" w:customStyle="1" w:styleId="BalloonTextChar">
    <w:name w:val="Balloon Text Char"/>
    <w:basedOn w:val="DefaultParagraphFont"/>
    <w:link w:val="BalloonText"/>
    <w:semiHidden/>
    <w:rsid w:val="00CD66B2"/>
    <w:rPr>
      <w:rFonts w:ascii="Segoe UI" w:hAnsi="Segoe UI" w:cs="Segoe UI"/>
      <w:sz w:val="18"/>
      <w:szCs w:val="18"/>
    </w:rPr>
  </w:style>
  <w:style w:type="paragraph" w:styleId="CommentText">
    <w:name w:val="annotation text"/>
    <w:basedOn w:val="Normal"/>
    <w:link w:val="CommentTextChar"/>
    <w:uiPriority w:val="99"/>
    <w:rsid w:val="004475E6"/>
    <w:pPr>
      <w:widowControl/>
    </w:pPr>
    <w:rPr>
      <w:rFonts w:eastAsia="MS Mincho"/>
      <w:sz w:val="20"/>
    </w:rPr>
  </w:style>
  <w:style w:type="character" w:customStyle="1" w:styleId="CommentTextChar">
    <w:name w:val="Comment Text Char"/>
    <w:basedOn w:val="DefaultParagraphFont"/>
    <w:link w:val="CommentText"/>
    <w:uiPriority w:val="99"/>
    <w:rsid w:val="004475E6"/>
    <w:rPr>
      <w:rFonts w:eastAsia="MS Mincho"/>
    </w:rPr>
  </w:style>
  <w:style w:type="paragraph" w:styleId="ListParagraph">
    <w:name w:val="List Paragraph"/>
    <w:basedOn w:val="Normal"/>
    <w:link w:val="ListParagraphChar"/>
    <w:uiPriority w:val="34"/>
    <w:qFormat/>
    <w:rsid w:val="00F01BDE"/>
    <w:pPr>
      <w:ind w:left="720"/>
      <w:contextualSpacing/>
    </w:pPr>
  </w:style>
  <w:style w:type="paragraph" w:customStyle="1" w:styleId="NormanlNumber">
    <w:name w:val="Normanl Number"/>
    <w:basedOn w:val="ListParagraph"/>
    <w:link w:val="NormanlNumberChar"/>
    <w:qFormat/>
    <w:rsid w:val="001D3A31"/>
    <w:pPr>
      <w:widowControl/>
      <w:numPr>
        <w:numId w:val="1"/>
      </w:numPr>
      <w:spacing w:before="120" w:after="120" w:line="276" w:lineRule="auto"/>
      <w:jc w:val="both"/>
    </w:pPr>
    <w:rPr>
      <w:rFonts w:asciiTheme="minorHAnsi" w:eastAsiaTheme="minorHAnsi" w:hAnsiTheme="minorHAnsi" w:cstheme="minorBidi"/>
      <w:sz w:val="22"/>
      <w:szCs w:val="22"/>
      <w:lang w:val="en-AU"/>
    </w:rPr>
  </w:style>
  <w:style w:type="character" w:customStyle="1" w:styleId="NormanlNumberChar">
    <w:name w:val="Normanl Number Char"/>
    <w:basedOn w:val="DefaultParagraphFont"/>
    <w:link w:val="NormanlNumber"/>
    <w:rsid w:val="001D3A31"/>
    <w:rPr>
      <w:rFonts w:asciiTheme="minorHAnsi" w:eastAsiaTheme="minorHAnsi" w:hAnsiTheme="minorHAnsi" w:cstheme="minorBidi"/>
      <w:sz w:val="22"/>
      <w:szCs w:val="22"/>
      <w:lang w:val="en-AU"/>
    </w:rPr>
  </w:style>
  <w:style w:type="character" w:customStyle="1" w:styleId="ListParagraphChar">
    <w:name w:val="List Paragraph Char"/>
    <w:basedOn w:val="DefaultParagraphFont"/>
    <w:link w:val="ListParagraph"/>
    <w:uiPriority w:val="34"/>
    <w:rsid w:val="00C33773"/>
    <w:rPr>
      <w:sz w:val="24"/>
    </w:rPr>
  </w:style>
  <w:style w:type="character" w:customStyle="1" w:styleId="BodyText2Char">
    <w:name w:val="Body Text 2 Char"/>
    <w:basedOn w:val="DefaultParagraphFont"/>
    <w:link w:val="BodyText2"/>
    <w:rsid w:val="00FC400F"/>
    <w:rPr>
      <w:rFonts w:ascii="Arial" w:hAnsi="Arial"/>
    </w:rPr>
  </w:style>
  <w:style w:type="character" w:styleId="PlaceholderText">
    <w:name w:val="Placeholder Text"/>
    <w:uiPriority w:val="99"/>
    <w:semiHidden/>
    <w:rsid w:val="003135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359819">
      <w:bodyDiv w:val="1"/>
      <w:marLeft w:val="0"/>
      <w:marRight w:val="0"/>
      <w:marTop w:val="0"/>
      <w:marBottom w:val="0"/>
      <w:divBdr>
        <w:top w:val="none" w:sz="0" w:space="0" w:color="auto"/>
        <w:left w:val="none" w:sz="0" w:space="0" w:color="auto"/>
        <w:bottom w:val="none" w:sz="0" w:space="0" w:color="auto"/>
        <w:right w:val="none" w:sz="0" w:space="0" w:color="auto"/>
      </w:divBdr>
    </w:div>
    <w:div w:id="206525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UNDPEffectiveDate xmlns="83ed2304-0f0e-45ba-b0cc-7d360cbc1769"/>
    <UNDPResponsibleUnit xmlns="83ed2304-0f0e-45ba-b0cc-7d360cbc1769"/>
    <UNDPCreator xmlns="83ed2304-0f0e-45ba-b0cc-7d360cbc1769">
      <UserInfo>
        <DisplayName/>
        <AccountId/>
        <AccountType/>
      </UserInfo>
    </UNDPCreator>
    <UNDPApplicability xmlns="83ed2304-0f0e-45ba-b0cc-7d360cbc1769"/>
    <UNDPActualReviewDate xmlns="83ed2304-0f0e-45ba-b0cc-7d360cbc1769" xsi:nil="true"/>
    <UNDPPOPPFunctionalArea xmlns="83ed2304-0f0e-45ba-b0cc-7d360cbc1769">Programme and Project</UNDPPOPPFunctionalArea>
    <UNDPPOPPSubprocess xmlns="83ed2304-0f0e-45ba-b0cc-7d360cbc1769">Programme Completion and Transition</UNDPPOPPSubprocess>
    <UNDPPublishedDate xmlns="83ed2304-0f0e-45ba-b0cc-7d360cbc1769"/>
    <UNDPPOPPProcess xmlns="83ed2304-0f0e-45ba-b0cc-7d360cbc1769">Programme Management</UNDPPOPPProcess>
    <UNDPPOPPSubsubprocess xmlns="83ed2304-0f0e-45ba-b0cc-7d360cbc1769" xsi:nil="true"/>
    <UNDPIssuanceDate xmlns="83ed2304-0f0e-45ba-b0cc-7d360cbc1769"/>
    <UNDPSummary xmlns="83ed2304-0f0e-45ba-b0cc-7d360cbc1769" xsi:nil="true"/>
    <UNDPFocalpoint xmlns="83ed2304-0f0e-45ba-b0cc-7d360cbc1769">
      <UserInfo>
        <DisplayName/>
        <AccountId/>
        <AccountType/>
      </UserInfo>
    </UNDPFocalpoint>
    <UNDPPOPPKeywordsTaxHTField0 xmlns="83ed2304-0f0e-45ba-b0cc-7d360cbc1769">
      <Terms xmlns="http://schemas.microsoft.com/office/infopath/2007/PartnerControls"/>
    </UNDPPOPPKeywordsTaxHTField0>
    <UNDPPOPPSubsubsubprocess xmlns="83ed2304-0f0e-45ba-b0cc-7d360cbc1769" xsi:nil="true"/>
    <UNDPPOPPPrescriptiveContentSelection xmlns="83ed2304-0f0e-45ba-b0cc-7d360cbc1769"/>
  </documentManagement>
</p:properties>
</file>

<file path=customXml/item3.xml><?xml version="1.0" encoding="utf-8"?>
<ct:contentTypeSchema xmlns:ct="http://schemas.microsoft.com/office/2006/metadata/contentType" xmlns:ma="http://schemas.microsoft.com/office/2006/metadata/properties/metaAttributes" ct:_="" ma:_="" ma:contentTypeName="POPP Deliverable" ma:contentTypeID="0x01010023A92725C93E4830A7421C44D384B7FC00AA2C51EDC20547BE9D8059E930612AF900BB1DAF2B020D674E95D024E21C9B8446" ma:contentTypeVersion="271" ma:contentTypeDescription="Create a new POPP Deliverable document" ma:contentTypeScope="" ma:versionID="8f51a9bb55ccdb67ad49e9de7ce83471">
  <xsd:schema xmlns:xsd="http://www.w3.org/2001/XMLSchema" xmlns:xs="http://www.w3.org/2001/XMLSchema" xmlns:p="http://schemas.microsoft.com/office/2006/metadata/properties" xmlns:ns2="83ed2304-0f0e-45ba-b0cc-7d360cbc1769" targetNamespace="http://schemas.microsoft.com/office/2006/metadata/properties" ma:root="true" ma:fieldsID="d37ea4175c3e3aa15f908f44740efddf" ns2:_="">
    <xsd:import namespace="83ed2304-0f0e-45ba-b0cc-7d360cbc1769"/>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OPPKeywordsTaxHTField0" minOccurs="0"/>
                <xsd:element ref="ns2:UNDPFocalpoint"/>
                <xsd:element ref="ns2:UNDPPublishedDate"/>
                <xsd:element ref="ns2:UNDPEffectiveDate"/>
                <xsd:element ref="ns2:UNDPResponsibleUnit"/>
                <xsd:element ref="ns2:UNDPCreator"/>
                <xsd:element ref="ns2:UNDPIssuanceDate"/>
                <xsd:element ref="ns2:UNDPPlannedReviewDate"/>
                <xsd:element ref="ns2:UNDPActualReviewDate" minOccurs="0"/>
                <xsd:element ref="ns2:UNDPSummary" minOccurs="0"/>
                <xsd:element ref="ns2:UNDPApplicabil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ma:readOnly="false">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dexed="true"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OPPKeywordsTaxHTField0" ma:index="15"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6" ma:displayName="Focalpoint" ma:SearchPeopleOnly="false" ma:SharePointGroup="0" ma:internalName="Focalpoin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PublishedDate" ma:index="17" ma:displayName="Published Date" ma:description="The date the document was published" ma:format="DateOnly" ma:internalName="UNDPPublishedDate">
      <xsd:simpleType>
        <xsd:restriction base="dms:DateTime"/>
      </xsd:simpleType>
    </xsd:element>
    <xsd:element name="UNDPEffectiveDate" ma:index="18" ma:displayName="Effective Date" ma:format="DateOnly" ma:internalName="UNDPEffectiveDate">
      <xsd:simpleType>
        <xsd:restriction base="dms:DateTime"/>
      </xsd:simpleType>
    </xsd:element>
    <xsd:element name="UNDPResponsibleUnit" ma:index="19" ma:displayName="Responsible Unit" ma:internalName="UNDPResponsibleUnit">
      <xsd:simpleType>
        <xsd:restriction base="dms:Text"/>
      </xsd:simpleType>
    </xsd:element>
    <xsd:element name="UNDPCreator" ma:index="20"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IssuanceDate" ma:index="21" ma:displayName="Approval Date" ma:format="DateOnly" ma:internalName="UNDPIssuanceDate">
      <xsd:simpleType>
        <xsd:restriction base="dms:DateTime"/>
      </xsd:simpleType>
    </xsd:element>
    <xsd:element name="UNDPPlannedReviewDate" ma:index="22" ma:displayName="Planned Review Date" ma:format="DateOnly" ma:internalName="UNDPPlannedReviewDate">
      <xsd:simpleType>
        <xsd:restriction base="dms:DateTime"/>
      </xsd:simpleType>
    </xsd:element>
    <xsd:element name="UNDPActualReviewDate" ma:index="23" nillable="true" ma:displayName="Actual Review Date" ma:format="DateOnly" ma:internalName="UNDPActualReviewDate">
      <xsd:simpleType>
        <xsd:restriction base="dms:DateTime"/>
      </xsd:simpleType>
    </xsd:element>
    <xsd:element name="UNDPSummary" ma:index="24"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5" ma:displayName="Applicability" ma:internalName="UNDPApplicabil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6c43a-9e99-4bdd-9574-a0fa4ea3b61e" ContentTypeId="0x01010023A92725C93E4830A7421C44D384B7FC00AA2C51EDC20547BE9D8059E930612AF9"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2.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 ds:uri="83ed2304-0f0e-45ba-b0cc-7d360cbc1769"/>
  </ds:schemaRefs>
</ds:datastoreItem>
</file>

<file path=customXml/itemProps3.xml><?xml version="1.0" encoding="utf-8"?>
<ds:datastoreItem xmlns:ds="http://schemas.openxmlformats.org/officeDocument/2006/customXml" ds:itemID="{0D982BBA-3E97-4EE8-9D3B-0DAE4F36B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BF1EB-6965-48EE-990A-C332F8C77939}">
  <ds:schemaRefs>
    <ds:schemaRef ds:uri="Microsoft.SharePoint.Taxonomy.ContentTypeSync"/>
  </ds:schemaRefs>
</ds:datastoreItem>
</file>

<file path=customXml/itemProps5.xml><?xml version="1.0" encoding="utf-8"?>
<ds:datastoreItem xmlns:ds="http://schemas.openxmlformats.org/officeDocument/2006/customXml" ds:itemID="{780500B2-D380-49CC-890B-C8F8A14A95BC}">
  <ds:schemaRefs>
    <ds:schemaRef ds:uri="http://schemas.microsoft.com/sharepoint/events"/>
  </ds:schemaRefs>
</ds:datastoreItem>
</file>

<file path=customXml/itemProps6.xml><?xml version="1.0" encoding="utf-8"?>
<ds:datastoreItem xmlns:ds="http://schemas.openxmlformats.org/officeDocument/2006/customXml" ds:itemID="{E4ACE83F-05EB-4B2C-B566-85F91F13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6754</Words>
  <Characters>40260</Characters>
  <Application>Microsoft Office Word</Application>
  <DocSecurity>0</DocSecurity>
  <Lines>1118</Lines>
  <Paragraphs>408</Paragraphs>
  <ScaleCrop>false</ScaleCrop>
  <HeadingPairs>
    <vt:vector size="2" baseType="variant">
      <vt:variant>
        <vt:lpstr>Title</vt:lpstr>
      </vt:variant>
      <vt:variant>
        <vt:i4>1</vt:i4>
      </vt:variant>
    </vt:vector>
  </HeadingPairs>
  <TitlesOfParts>
    <vt:vector size="1" baseType="lpstr">
      <vt:lpstr>CP results summary</vt:lpstr>
    </vt:vector>
  </TitlesOfParts>
  <Company>UNDP</Company>
  <LinksUpToDate>false</LinksUpToDate>
  <CharactersWithSpaces>46606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creator>DGO</dc:creator>
  <cp:lastModifiedBy>Svetlana Iazykova</cp:lastModifiedBy>
  <cp:revision>2</cp:revision>
  <cp:lastPrinted>2015-04-06T07:06:00Z</cp:lastPrinted>
  <dcterms:created xsi:type="dcterms:W3CDTF">2016-06-02T21:31:00Z</dcterms:created>
  <dcterms:modified xsi:type="dcterms:W3CDTF">2016-06-02T21:31:00Z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0x01010023A92725C93E4830A7421C44D384B7FC00AA2C51EDC20547BE9D8059E930612AF900BB1DAF2B020D674E95D024E21C9B8446</vt:lpwstr>
  </property>
  <property fmtid="{D5CDD505-2E9C-101B-9397-08002B2CF9AE}" pid="3" name="_dlc_DocIdItemGuid">
    <vt:lpwstr>d1e13303-6ece-4102-9f8f-5a459fba30ed</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ies>
</file>