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FA362B" w:rsidRDefault="00675517" w:rsidP="00336DF2">
      <w:pPr>
        <w:pStyle w:val="Heading3"/>
        <w:rPr>
          <w:rFonts w:asciiTheme="minorHAnsi" w:hAnsiTheme="minorHAnsi"/>
          <w:sz w:val="18"/>
          <w:szCs w:val="18"/>
        </w:rPr>
      </w:pPr>
      <w:bookmarkStart w:id="0" w:name="_GoBack"/>
      <w:bookmarkEnd w:id="0"/>
      <w:r>
        <w:rPr>
          <w:rFonts w:asciiTheme="minorHAnsi" w:hAnsiTheme="minorHAnsi"/>
          <w:bCs w:val="0"/>
          <w:sz w:val="18"/>
          <w:szCs w:val="18"/>
        </w:rPr>
        <w:t>Country:</w:t>
      </w:r>
      <w:r>
        <w:rPr>
          <w:rFonts w:asciiTheme="minorHAnsi" w:hAnsiTheme="minorHAnsi"/>
          <w:bCs w:val="0"/>
          <w:sz w:val="18"/>
          <w:szCs w:val="18"/>
        </w:rPr>
        <w:tab/>
      </w:r>
      <w:r>
        <w:rPr>
          <w:rFonts w:asciiTheme="minorHAnsi" w:hAnsiTheme="minorHAnsi"/>
          <w:bCs w:val="0"/>
          <w:sz w:val="18"/>
          <w:szCs w:val="18"/>
        </w:rPr>
        <w:tab/>
        <w:t>Chad</w:t>
      </w:r>
    </w:p>
    <w:p w:rsidR="00675517" w:rsidRPr="00FA362B" w:rsidRDefault="00675517" w:rsidP="00336DF2">
      <w:pPr>
        <w:pStyle w:val="Heading3"/>
        <w:rPr>
          <w:rFonts w:asciiTheme="minorHAnsi" w:hAnsiTheme="minorHAnsi"/>
          <w:sz w:val="18"/>
          <w:szCs w:val="18"/>
        </w:rPr>
      </w:pPr>
    </w:p>
    <w:p w:rsidR="005C6168" w:rsidRPr="00FA362B" w:rsidRDefault="00BC38E0" w:rsidP="00336DF2">
      <w:pPr>
        <w:pStyle w:val="Heading3"/>
        <w:rPr>
          <w:rFonts w:asciiTheme="minorHAnsi" w:hAnsiTheme="minorHAnsi"/>
          <w:b/>
          <w:bCs w:val="0"/>
          <w:sz w:val="18"/>
          <w:szCs w:val="18"/>
        </w:rPr>
      </w:pPr>
      <w:r>
        <w:rPr>
          <w:rFonts w:asciiTheme="minorHAnsi" w:hAnsiTheme="minorHAnsi"/>
          <w:b/>
          <w:sz w:val="18"/>
          <w:szCs w:val="18"/>
        </w:rPr>
        <w:t>COUNTRY PROGRAMME PERFORMANCE SUMMARY</w:t>
      </w:r>
      <w:r>
        <w:rPr>
          <w:rStyle w:val="FootnoteReference"/>
          <w:rFonts w:asciiTheme="minorHAnsi" w:hAnsiTheme="minorHAnsi"/>
          <w:b/>
          <w:sz w:val="18"/>
          <w:szCs w:val="18"/>
        </w:rPr>
        <w:footnoteReference w:id="1"/>
      </w:r>
    </w:p>
    <w:p w:rsidR="005C6168" w:rsidRPr="00FA362B" w:rsidRDefault="005C6168" w:rsidP="00336DF2">
      <w:pPr>
        <w:pStyle w:val="Heading3"/>
        <w:rPr>
          <w:rFonts w:asciiTheme="minorHAnsi" w:hAnsiTheme="minorHAnsi"/>
          <w:b/>
          <w:sz w:val="18"/>
          <w:szCs w:val="18"/>
        </w:rPr>
      </w:pPr>
    </w:p>
    <w:p w:rsidR="005C6168" w:rsidRPr="00FA362B" w:rsidRDefault="005C6168" w:rsidP="00336DF2">
      <w:pPr>
        <w:pStyle w:val="Heading3"/>
        <w:rPr>
          <w:rFonts w:asciiTheme="minorHAnsi" w:hAnsiTheme="minorHAnsi"/>
          <w:sz w:val="18"/>
          <w:szCs w:val="18"/>
        </w:rPr>
      </w:pPr>
      <w:r>
        <w:rPr>
          <w:rFonts w:asciiTheme="minorHAnsi" w:hAnsiTheme="minorHAnsi"/>
          <w:bCs w:val="0"/>
          <w:sz w:val="18"/>
          <w:szCs w:val="18"/>
        </w:rPr>
        <w:t xml:space="preserve">Reporting period: </w:t>
      </w:r>
      <w:r>
        <w:rPr>
          <w:rFonts w:asciiTheme="minorHAnsi" w:hAnsiTheme="minorHAnsi"/>
          <w:bCs w:val="0"/>
          <w:sz w:val="18"/>
          <w:szCs w:val="18"/>
        </w:rPr>
        <w:tab/>
        <w:t>January 2012–December 2015</w:t>
      </w:r>
    </w:p>
    <w:p w:rsidR="005C6168" w:rsidRPr="00FA362B" w:rsidRDefault="005C6168">
      <w:pPr>
        <w:pStyle w:val="Heading3"/>
        <w:rPr>
          <w:rFonts w:asciiTheme="minorHAnsi" w:hAnsiTheme="minorHAnsi"/>
          <w:sz w:val="18"/>
          <w:szCs w:val="18"/>
        </w:rPr>
      </w:pPr>
    </w:p>
    <w:p w:rsidR="005C6168" w:rsidRPr="00AB430F" w:rsidRDefault="005C6168">
      <w:pPr>
        <w:rPr>
          <w:rFonts w:asciiTheme="minorHAnsi" w:hAnsiTheme="minorHAnsi"/>
        </w:rPr>
      </w:pPr>
    </w:p>
    <w:p w:rsidR="0037523B" w:rsidRPr="00BB30F5" w:rsidRDefault="005C6168" w:rsidP="00FC09D9">
      <w:pPr>
        <w:pStyle w:val="Heading3"/>
        <w:rPr>
          <w:rFonts w:asciiTheme="minorHAnsi" w:hAnsiTheme="minorHAnsi"/>
          <w:b/>
          <w:bCs w:val="0"/>
        </w:rPr>
      </w:pPr>
      <w:r>
        <w:rPr>
          <w:rFonts w:asciiTheme="minorHAnsi" w:hAnsiTheme="minorHAnsi"/>
          <w:b/>
        </w:rPr>
        <w:t>I.  EXECUTIVE SUMMARY (1/2 page maximum)</w:t>
      </w:r>
    </w:p>
    <w:p w:rsidR="006446C6" w:rsidRPr="00BB30F5" w:rsidRDefault="006446C6" w:rsidP="006446C6">
      <w:pPr>
        <w:jc w:val="both"/>
        <w:rPr>
          <w:rFonts w:asciiTheme="minorHAnsi" w:hAnsiTheme="minorHAnsi" w:cs="Calibri"/>
          <w:sz w:val="2"/>
          <w:szCs w:val="22"/>
        </w:rPr>
      </w:pPr>
    </w:p>
    <w:p w:rsidR="00E7272A" w:rsidRDefault="00E7272A" w:rsidP="00E7272A">
      <w:pPr>
        <w:spacing w:after="160"/>
        <w:contextualSpacing/>
        <w:jc w:val="both"/>
        <w:rPr>
          <w:rFonts w:asciiTheme="minorHAnsi" w:hAnsiTheme="minorHAnsi"/>
          <w:sz w:val="18"/>
          <w:szCs w:val="18"/>
        </w:rPr>
      </w:pPr>
    </w:p>
    <w:p w:rsidR="00942295" w:rsidRPr="00ED7E8B" w:rsidRDefault="001A1919" w:rsidP="00FE6525">
      <w:pPr>
        <w:spacing w:after="160" w:line="259"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The current country programme document covers the 2012–2015 period but was extended one year (until the end of 2016) so that it could be aligned with the national programming cycle (Five-Year Plan starting in 2016) and </w:t>
      </w:r>
      <w:proofErr w:type="spellStart"/>
      <w:r>
        <w:rPr>
          <w:rFonts w:asciiTheme="minorHAnsi" w:hAnsiTheme="minorHAnsi"/>
          <w:color w:val="000000" w:themeColor="text1"/>
          <w:sz w:val="22"/>
          <w:szCs w:val="22"/>
        </w:rPr>
        <w:t>harmonised</w:t>
      </w:r>
      <w:proofErr w:type="spellEnd"/>
      <w:r>
        <w:rPr>
          <w:rFonts w:asciiTheme="minorHAnsi" w:hAnsiTheme="minorHAnsi"/>
          <w:color w:val="000000" w:themeColor="text1"/>
          <w:sz w:val="22"/>
          <w:szCs w:val="22"/>
        </w:rPr>
        <w:t xml:space="preserve"> with the next UNDP cycle and those of other agencies within the UNDAF framework. Since 2012, Chad has experienced political stability, noteworthy infrastructure development, increased interest in promoting basic social sectors and increased investment in sectors with economic potential. Despite falling oil prices, the deterioration of regional security and the arrival of refugees, the results achieved as part of the IMF-supported economic programme were considered successful and enabled the country to reach the completion point of the Heavily Indebted Poor Countries (HIPC) Initiative. Chad became eligible for a nominal debt service reduction under the Multilateral Debt Relief Initiative.</w:t>
      </w:r>
    </w:p>
    <w:p w:rsidR="00942295" w:rsidRPr="00ED7E8B" w:rsidRDefault="00942295" w:rsidP="00FE6525">
      <w:pPr>
        <w:spacing w:after="160" w:line="259" w:lineRule="auto"/>
        <w:contextualSpacing/>
        <w:jc w:val="both"/>
        <w:rPr>
          <w:rFonts w:asciiTheme="minorHAnsi" w:hAnsiTheme="minorHAnsi"/>
          <w:color w:val="000000" w:themeColor="text1"/>
          <w:sz w:val="22"/>
          <w:szCs w:val="22"/>
        </w:rPr>
      </w:pPr>
    </w:p>
    <w:p w:rsidR="00942295" w:rsidRPr="00ED7E8B" w:rsidRDefault="00A52A94" w:rsidP="00942295">
      <w:pPr>
        <w:spacing w:after="160" w:line="259" w:lineRule="auto"/>
        <w:contextualSpacing/>
        <w:jc w:val="both"/>
        <w:rPr>
          <w:rFonts w:asciiTheme="minorHAnsi" w:hAnsiTheme="minorHAnsi"/>
          <w:sz w:val="22"/>
          <w:szCs w:val="22"/>
        </w:rPr>
      </w:pPr>
      <w:r w:rsidRPr="006E1871">
        <w:rPr>
          <w:rFonts w:asciiTheme="minorHAnsi" w:hAnsiTheme="minorHAnsi"/>
          <w:sz w:val="22"/>
          <w:szCs w:val="22"/>
        </w:rPr>
        <w:t>Regarding programming, UNDP assistance has helped the country establish a National Development P</w:t>
      </w:r>
      <w:r w:rsidR="006E1871">
        <w:rPr>
          <w:rFonts w:asciiTheme="minorHAnsi" w:hAnsiTheme="minorHAnsi"/>
          <w:sz w:val="22"/>
          <w:szCs w:val="22"/>
        </w:rPr>
        <w:t>lan (NDP 2013</w:t>
      </w:r>
      <w:r w:rsidRPr="006E1871">
        <w:rPr>
          <w:rFonts w:asciiTheme="minorHAnsi" w:hAnsiTheme="minorHAnsi"/>
          <w:sz w:val="22"/>
          <w:szCs w:val="22"/>
        </w:rPr>
        <w:t xml:space="preserve">–2015). </w:t>
      </w:r>
      <w:r w:rsidR="006E1871">
        <w:rPr>
          <w:rFonts w:asciiTheme="minorHAnsi" w:hAnsiTheme="minorHAnsi"/>
          <w:sz w:val="22"/>
          <w:szCs w:val="22"/>
        </w:rPr>
        <w:t>The N</w:t>
      </w:r>
      <w:r>
        <w:rPr>
          <w:rFonts w:asciiTheme="minorHAnsi" w:hAnsiTheme="minorHAnsi"/>
          <w:sz w:val="22"/>
          <w:szCs w:val="22"/>
        </w:rPr>
        <w:t>D</w:t>
      </w:r>
      <w:r w:rsidR="006E1871">
        <w:rPr>
          <w:rFonts w:asciiTheme="minorHAnsi" w:hAnsiTheme="minorHAnsi"/>
          <w:sz w:val="22"/>
          <w:szCs w:val="22"/>
        </w:rPr>
        <w:t>P</w:t>
      </w:r>
      <w:r>
        <w:rPr>
          <w:rFonts w:asciiTheme="minorHAnsi" w:hAnsiTheme="minorHAnsi"/>
          <w:sz w:val="22"/>
          <w:szCs w:val="22"/>
        </w:rPr>
        <w:t xml:space="preserve"> </w:t>
      </w:r>
      <w:r w:rsidRPr="006E1871">
        <w:rPr>
          <w:rFonts w:asciiTheme="minorHAnsi" w:hAnsiTheme="minorHAnsi"/>
          <w:sz w:val="22"/>
          <w:szCs w:val="22"/>
        </w:rPr>
        <w:t xml:space="preserve">strengthened policy dialogue and helped mobilize 1000 billion FCFA in resources to fund its gap (Paris Conference, June 2014). </w:t>
      </w:r>
      <w:r>
        <w:rPr>
          <w:rFonts w:asciiTheme="minorHAnsi" w:hAnsiTheme="minorHAnsi"/>
          <w:sz w:val="22"/>
          <w:szCs w:val="22"/>
        </w:rPr>
        <w:t>Bolstered by its conviction to build an emerging country by 2030, the country developed the “Chad Vision 2030” to overcome the lack of articulation between development plans with a longer-term view. Chad has become “compliant” with the global EITI transparency standard, an indication that Chad is on the path towards open and accountable governance of its natural resources.</w:t>
      </w:r>
    </w:p>
    <w:p w:rsidR="00B70309" w:rsidRPr="00ED7E8B" w:rsidRDefault="00B70309" w:rsidP="00942295">
      <w:pPr>
        <w:spacing w:after="160" w:line="259" w:lineRule="auto"/>
        <w:contextualSpacing/>
        <w:jc w:val="both"/>
        <w:rPr>
          <w:rFonts w:asciiTheme="minorHAnsi" w:hAnsiTheme="minorHAnsi"/>
          <w:color w:val="000000" w:themeColor="text1"/>
          <w:sz w:val="22"/>
          <w:szCs w:val="22"/>
        </w:rPr>
      </w:pPr>
    </w:p>
    <w:p w:rsidR="000E0518" w:rsidRPr="00ED7E8B" w:rsidRDefault="00B70309" w:rsidP="00942295">
      <w:pPr>
        <w:spacing w:after="160" w:line="259"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On the political front, dialogue between political actors resulted in the adoption of Law 17 on the revision of the Electoral Code. The new inclusive law facilitated biometric voter registration across the entire country. UNDP strengthened local officials’ capacities in planning and managing local affairs. Advocacy by partner agencies and UNDP about gender issues led to the adoption of the law to prohibit and punish child marriage as well as ratification of the Maputo Protocol. In October 2013, Chad was appointed a non-permanent member of the United Nations Security Council.</w:t>
      </w:r>
    </w:p>
    <w:p w:rsidR="000E0518" w:rsidRPr="00ED7E8B" w:rsidRDefault="000E0518" w:rsidP="00942295">
      <w:pPr>
        <w:spacing w:after="160" w:line="259" w:lineRule="auto"/>
        <w:contextualSpacing/>
        <w:jc w:val="both"/>
        <w:rPr>
          <w:rFonts w:asciiTheme="minorHAnsi" w:hAnsiTheme="minorHAnsi"/>
          <w:color w:val="000000" w:themeColor="text1"/>
          <w:sz w:val="22"/>
          <w:szCs w:val="22"/>
        </w:rPr>
      </w:pPr>
    </w:p>
    <w:p w:rsidR="00942295" w:rsidRPr="00ED7E8B" w:rsidRDefault="009422B0" w:rsidP="00942295">
      <w:pPr>
        <w:spacing w:after="160" w:line="259"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Chad continues to play a determining role in peacebuilding operations in the sub-region </w:t>
      </w:r>
      <w:r>
        <w:rPr>
          <w:rFonts w:asciiTheme="minorHAnsi" w:hAnsiTheme="minorHAnsi"/>
          <w:sz w:val="22"/>
          <w:szCs w:val="22"/>
        </w:rPr>
        <w:t>(Libya, Central African Republic, Mali, and Nigeria)</w:t>
      </w:r>
      <w:r>
        <w:rPr>
          <w:rFonts w:asciiTheme="minorHAnsi" w:hAnsiTheme="minorHAnsi"/>
          <w:color w:val="000000" w:themeColor="text1"/>
          <w:sz w:val="22"/>
          <w:szCs w:val="22"/>
        </w:rPr>
        <w:t xml:space="preserve">. This regional instability puts Chad in a difficult socioeconomic and humanitarian situation, with the country hosting over 500,000 refugees. Chad adopted a law on the suppression of acts of terrorism. </w:t>
      </w:r>
      <w:r>
        <w:rPr>
          <w:rFonts w:asciiTheme="minorHAnsi" w:hAnsiTheme="minorHAnsi"/>
          <w:sz w:val="22"/>
          <w:szCs w:val="22"/>
        </w:rPr>
        <w:t>The country has a Response Plan for various crises</w:t>
      </w:r>
      <w:r>
        <w:rPr>
          <w:rFonts w:asciiTheme="minorHAnsi" w:hAnsiTheme="minorHAnsi"/>
          <w:color w:val="000000" w:themeColor="text1"/>
          <w:sz w:val="22"/>
          <w:szCs w:val="22"/>
        </w:rPr>
        <w:t xml:space="preserve">. </w:t>
      </w:r>
      <w:r>
        <w:rPr>
          <w:rFonts w:asciiTheme="minorHAnsi" w:hAnsiTheme="minorHAnsi"/>
          <w:sz w:val="22"/>
          <w:szCs w:val="22"/>
        </w:rPr>
        <w:t xml:space="preserve">Assistance from UNDP through the United Nations Peacebuilding Fund has provided support to local structures and helped </w:t>
      </w:r>
      <w:proofErr w:type="spellStart"/>
      <w:r>
        <w:rPr>
          <w:rFonts w:asciiTheme="minorHAnsi" w:hAnsiTheme="minorHAnsi"/>
          <w:sz w:val="22"/>
          <w:szCs w:val="22"/>
        </w:rPr>
        <w:t>stabilise</w:t>
      </w:r>
      <w:proofErr w:type="spellEnd"/>
      <w:r>
        <w:rPr>
          <w:rFonts w:asciiTheme="minorHAnsi" w:hAnsiTheme="minorHAnsi"/>
          <w:sz w:val="22"/>
          <w:szCs w:val="22"/>
        </w:rPr>
        <w:t xml:space="preserve"> regions affected by the crises in Central African Republic and Libya.</w:t>
      </w:r>
    </w:p>
    <w:p w:rsidR="00942295" w:rsidRPr="00ED7E8B" w:rsidRDefault="00942295" w:rsidP="00942295">
      <w:pPr>
        <w:autoSpaceDE w:val="0"/>
        <w:autoSpaceDN w:val="0"/>
        <w:adjustRightInd w:val="0"/>
        <w:spacing w:after="200" w:line="276" w:lineRule="auto"/>
        <w:contextualSpacing/>
        <w:jc w:val="both"/>
        <w:rPr>
          <w:rFonts w:asciiTheme="minorHAnsi" w:hAnsiTheme="minorHAnsi"/>
          <w:sz w:val="22"/>
          <w:szCs w:val="22"/>
        </w:rPr>
      </w:pPr>
    </w:p>
    <w:p w:rsidR="006A62C8" w:rsidRPr="00ED7E8B" w:rsidRDefault="003A7AA3" w:rsidP="00B70309">
      <w:pPr>
        <w:spacing w:after="160" w:line="259" w:lineRule="auto"/>
        <w:contextualSpacing/>
        <w:jc w:val="both"/>
        <w:rPr>
          <w:rFonts w:asciiTheme="minorHAnsi" w:hAnsiTheme="minorHAnsi"/>
          <w:color w:val="000000" w:themeColor="text1"/>
          <w:sz w:val="22"/>
          <w:szCs w:val="22"/>
        </w:rPr>
      </w:pPr>
      <w:r>
        <w:rPr>
          <w:rFonts w:asciiTheme="minorHAnsi" w:hAnsiTheme="minorHAnsi"/>
          <w:sz w:val="22"/>
          <w:szCs w:val="22"/>
        </w:rPr>
        <w:t>Chad continues to face climate hazards, especially drought and flooding</w:t>
      </w:r>
      <w:r w:rsidR="005F0E24">
        <w:rPr>
          <w:rFonts w:asciiTheme="minorHAnsi" w:hAnsiTheme="minorHAnsi"/>
          <w:color w:val="000000" w:themeColor="text1"/>
          <w:sz w:val="22"/>
          <w:szCs w:val="22"/>
        </w:rPr>
        <w:t>.</w:t>
      </w:r>
      <w:r>
        <w:rPr>
          <w:rFonts w:asciiTheme="minorHAnsi" w:hAnsiTheme="minorHAnsi"/>
          <w:color w:val="000000" w:themeColor="text1"/>
          <w:sz w:val="22"/>
          <w:szCs w:val="22"/>
        </w:rPr>
        <w:t xml:space="preserve"> The last National Food Security Survey, conducted in 2014, highlighted Chadian rural households’ high sensitivity to environmental shocks (40% of households). At the COP21, the main focus underscored the environmental, human and major security issue posed by Lake Chad. In the area of access to energy services to improve women’s living conditions and social status, the Government agreed to a loan from the African Development Bank and the Development Bank of Central African States for 807 </w:t>
      </w:r>
      <w:r>
        <w:rPr>
          <w:rFonts w:asciiTheme="minorHAnsi" w:hAnsiTheme="minorHAnsi"/>
          <w:color w:val="000000" w:themeColor="text1"/>
          <w:sz w:val="22"/>
          <w:szCs w:val="22"/>
        </w:rPr>
        <w:lastRenderedPageBreak/>
        <w:t xml:space="preserve">million FCFA to replicate the multifunctional platform experience. </w:t>
      </w:r>
    </w:p>
    <w:p w:rsidR="006A62C8" w:rsidRPr="00ED7E8B" w:rsidRDefault="006A62C8" w:rsidP="00B70309">
      <w:pPr>
        <w:spacing w:after="160" w:line="259" w:lineRule="auto"/>
        <w:contextualSpacing/>
        <w:jc w:val="both"/>
        <w:rPr>
          <w:rFonts w:asciiTheme="minorHAnsi" w:hAnsiTheme="minorHAnsi"/>
          <w:color w:val="000000" w:themeColor="text1"/>
          <w:sz w:val="22"/>
          <w:szCs w:val="22"/>
        </w:rPr>
      </w:pPr>
    </w:p>
    <w:p w:rsidR="006A04FC" w:rsidRPr="00ED7E8B" w:rsidRDefault="00866368" w:rsidP="00B70309">
      <w:pPr>
        <w:spacing w:after="160" w:line="259"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During the cycle, UNDP support helped to support oversight of microfinance institutions (MFIs) by the State, including their professionalization, geographic coverage, operational autonomy and an increased number of beneficiaries, from 151,101 in 2009 to 500,000 in 2015, 52% of whom were women. Indicator trends can be summarized as follows: (i) 101 microfinance institutions authorized in 2015 compared to 172 in 2011; (ii) 200,000 clients compared to 127,389; (iii) 10.287 billion FCFA savings deposits compared to 6.941 billion; (iv) 18.037 billion outstanding loans compared to 7.565 billion; (v) 15.862 billion consolidated gross capital compared to 11.789 billion; (vi) 7.452 billion consolidated net capital compared to 3.498 billion; (viii) over 900 employees compared to 800; and (ix) more than 20 authorized trainers, compared to zero in the sector in 2011. The number of authorized MFIs went from 172 to 101 in the period, which illustrates the sector’s actual stabilization. </w:t>
      </w:r>
    </w:p>
    <w:p w:rsidR="006A04FC" w:rsidRPr="00ED7E8B" w:rsidRDefault="006A04FC" w:rsidP="00B70309">
      <w:pPr>
        <w:spacing w:after="160" w:line="259" w:lineRule="auto"/>
        <w:contextualSpacing/>
        <w:jc w:val="both"/>
        <w:rPr>
          <w:rFonts w:asciiTheme="minorHAnsi" w:hAnsiTheme="minorHAnsi"/>
          <w:color w:val="000000" w:themeColor="text1"/>
          <w:sz w:val="22"/>
          <w:szCs w:val="22"/>
        </w:rPr>
      </w:pPr>
    </w:p>
    <w:p w:rsidR="009422B0" w:rsidRPr="00ED7E8B" w:rsidRDefault="00942295" w:rsidP="00B70309">
      <w:pPr>
        <w:spacing w:after="160" w:line="259" w:lineRule="auto"/>
        <w:contextualSpacing/>
        <w:jc w:val="both"/>
        <w:rPr>
          <w:rFonts w:asciiTheme="minorHAnsi" w:hAnsiTheme="minorHAnsi"/>
          <w:color w:val="000000" w:themeColor="text1"/>
          <w:sz w:val="22"/>
          <w:szCs w:val="22"/>
        </w:rPr>
      </w:pPr>
      <w:r>
        <w:rPr>
          <w:rFonts w:asciiTheme="minorHAnsi" w:hAnsiTheme="minorHAnsi"/>
          <w:color w:val="000000" w:themeColor="text1"/>
          <w:sz w:val="22"/>
          <w:szCs w:val="22"/>
        </w:rPr>
        <w:t>For the coordination of malaria control, UNDP, with support from the Global Fund, helped increase the percentage of children under five who sleep under insecticide-treated nets (ITNs), which rose from 9.8% in 2010 to 45.6% in 2014 (DHS-MICS 2014–2015). This was primarily due to the delivery of preventive treatment to 126,683 pregnant women and the distribution of 477,670 insecticide-treated nets in 2015 as part of the project funded by the Global Fund.</w:t>
      </w:r>
      <w:r>
        <w:rPr>
          <w:rFonts w:asciiTheme="minorHAnsi" w:hAnsiTheme="minorHAnsi"/>
          <w:sz w:val="22"/>
          <w:szCs w:val="22"/>
        </w:rPr>
        <w:t xml:space="preserve"> </w:t>
      </w:r>
      <w:r>
        <w:rPr>
          <w:rFonts w:asciiTheme="minorHAnsi" w:hAnsiTheme="minorHAnsi"/>
          <w:color w:val="000000" w:themeColor="text1"/>
          <w:sz w:val="22"/>
          <w:szCs w:val="22"/>
        </w:rPr>
        <w:t>Following repayment by the Government of one million US dollars of expenses deemed ineligible by the Global Fund and the completion of a rigorous audit, the UNDP was able to show genuine capacities in accountability, efficiency and efficacy. As a result, UNDP has been designated as the next Principal Recipient for the Global Fund New Funding Mechanism, for a budget of US$ 80 million.</w:t>
      </w:r>
    </w:p>
    <w:p w:rsidR="009422B0" w:rsidRPr="00ED7E8B" w:rsidRDefault="009422B0" w:rsidP="00B70309">
      <w:pPr>
        <w:spacing w:after="160" w:line="259" w:lineRule="auto"/>
        <w:contextualSpacing/>
        <w:jc w:val="both"/>
        <w:rPr>
          <w:rFonts w:asciiTheme="minorHAnsi" w:hAnsiTheme="minorHAnsi"/>
          <w:color w:val="000000" w:themeColor="text1"/>
          <w:sz w:val="22"/>
          <w:szCs w:val="22"/>
        </w:rPr>
      </w:pPr>
    </w:p>
    <w:p w:rsidR="009422B0" w:rsidRPr="00ED7E8B" w:rsidRDefault="009422B0" w:rsidP="00B70309">
      <w:pPr>
        <w:spacing w:after="160" w:line="259" w:lineRule="auto"/>
        <w:contextualSpacing/>
        <w:jc w:val="both"/>
        <w:rPr>
          <w:rFonts w:asciiTheme="minorHAnsi" w:hAnsiTheme="minorHAnsi"/>
          <w:color w:val="000000" w:themeColor="text1"/>
          <w:sz w:val="22"/>
          <w:szCs w:val="22"/>
        </w:rPr>
      </w:pPr>
    </w:p>
    <w:p w:rsidR="00942295" w:rsidRDefault="00942295" w:rsidP="00942295">
      <w:pPr>
        <w:autoSpaceDE w:val="0"/>
        <w:autoSpaceDN w:val="0"/>
        <w:adjustRightInd w:val="0"/>
        <w:spacing w:after="200" w:line="276" w:lineRule="auto"/>
        <w:contextualSpacing/>
        <w:jc w:val="both"/>
      </w:pPr>
    </w:p>
    <w:p w:rsidR="00B70309" w:rsidRDefault="00B70309" w:rsidP="00942295">
      <w:pPr>
        <w:autoSpaceDE w:val="0"/>
        <w:autoSpaceDN w:val="0"/>
        <w:adjustRightInd w:val="0"/>
        <w:spacing w:after="200" w:line="276" w:lineRule="auto"/>
        <w:contextualSpacing/>
        <w:jc w:val="both"/>
      </w:pPr>
    </w:p>
    <w:p w:rsidR="00B70309" w:rsidRDefault="00B70309" w:rsidP="00942295">
      <w:pPr>
        <w:autoSpaceDE w:val="0"/>
        <w:autoSpaceDN w:val="0"/>
        <w:adjustRightInd w:val="0"/>
        <w:spacing w:after="200" w:line="276" w:lineRule="auto"/>
        <w:contextualSpacing/>
        <w:jc w:val="both"/>
      </w:pPr>
    </w:p>
    <w:p w:rsidR="00B70309" w:rsidRPr="00942295" w:rsidRDefault="00B70309" w:rsidP="00942295">
      <w:pPr>
        <w:autoSpaceDE w:val="0"/>
        <w:autoSpaceDN w:val="0"/>
        <w:adjustRightInd w:val="0"/>
        <w:spacing w:after="200" w:line="276" w:lineRule="auto"/>
        <w:contextualSpacing/>
        <w:jc w:val="both"/>
        <w:sectPr w:rsidR="00B70309" w:rsidRPr="00942295" w:rsidSect="006104C5">
          <w:headerReference w:type="default" r:id="rId13"/>
          <w:footerReference w:type="default" r:id="rId14"/>
          <w:endnotePr>
            <w:numFmt w:val="decimal"/>
          </w:endnotePr>
          <w:pgSz w:w="11907" w:h="16840" w:code="9"/>
          <w:pgMar w:top="1440" w:right="1440" w:bottom="1440" w:left="1440" w:header="720" w:footer="720" w:gutter="0"/>
          <w:cols w:space="720"/>
        </w:sectPr>
      </w:pPr>
    </w:p>
    <w:p w:rsidR="00975566" w:rsidRPr="005677F1" w:rsidRDefault="006900FE" w:rsidP="008440D9">
      <w:pPr>
        <w:pStyle w:val="Heading3"/>
        <w:jc w:val="left"/>
        <w:rPr>
          <w:rFonts w:asciiTheme="minorHAnsi" w:hAnsiTheme="minorHAnsi"/>
          <w:b/>
          <w:sz w:val="20"/>
        </w:rPr>
      </w:pPr>
      <w:r>
        <w:rPr>
          <w:rFonts w:asciiTheme="minorHAnsi" w:hAnsiTheme="minorHAnsi"/>
          <w:b/>
          <w:sz w:val="20"/>
        </w:rPr>
        <w:lastRenderedPageBreak/>
        <w:t>II: Country Programme Performance Summary</w:t>
      </w:r>
    </w:p>
    <w:p w:rsidR="00DC7354" w:rsidRPr="005677F1" w:rsidRDefault="00DC7354" w:rsidP="00975566">
      <w:pPr>
        <w:pStyle w:val="BodyText2"/>
        <w:jc w:val="center"/>
        <w:rPr>
          <w:rFonts w:asciiTheme="minorHAnsi" w:hAnsiTheme="minorHAnsi"/>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5677F1" w:rsidTr="00A95CD7">
        <w:tc>
          <w:tcPr>
            <w:tcW w:w="3150" w:type="dxa"/>
            <w:gridSpan w:val="2"/>
            <w:tcBorders>
              <w:right w:val="nil"/>
            </w:tcBorders>
            <w:shd w:val="clear" w:color="auto" w:fill="FFC000"/>
          </w:tcPr>
          <w:p w:rsidR="00CB647D" w:rsidRPr="005677F1" w:rsidRDefault="00CB647D">
            <w:pPr>
              <w:pStyle w:val="BodyText2"/>
              <w:rPr>
                <w:rFonts w:asciiTheme="minorHAnsi" w:hAnsiTheme="minorHAnsi"/>
                <w:b/>
              </w:rPr>
            </w:pPr>
            <w:r>
              <w:rPr>
                <w:rFonts w:asciiTheme="minorHAnsi" w:hAnsiTheme="minorHAnsi"/>
                <w:b/>
                <w:bCs/>
              </w:rPr>
              <w:t>Country information</w:t>
            </w:r>
          </w:p>
        </w:tc>
        <w:tc>
          <w:tcPr>
            <w:tcW w:w="10890" w:type="dxa"/>
            <w:gridSpan w:val="3"/>
            <w:tcBorders>
              <w:left w:val="nil"/>
            </w:tcBorders>
            <w:shd w:val="clear" w:color="auto" w:fill="FFC000"/>
          </w:tcPr>
          <w:p w:rsidR="00CB647D" w:rsidRPr="005677F1" w:rsidRDefault="00CB647D">
            <w:pPr>
              <w:pStyle w:val="BodyText2"/>
              <w:rPr>
                <w:rFonts w:asciiTheme="minorHAnsi" w:hAnsiTheme="minorHAnsi"/>
                <w:b/>
              </w:rPr>
            </w:pPr>
          </w:p>
        </w:tc>
      </w:tr>
      <w:tr w:rsidR="009B76A1" w:rsidRPr="005677F1" w:rsidTr="00A95CD7">
        <w:tc>
          <w:tcPr>
            <w:tcW w:w="14040" w:type="dxa"/>
            <w:gridSpan w:val="5"/>
          </w:tcPr>
          <w:p w:rsidR="009B76A1" w:rsidRPr="005677F1" w:rsidRDefault="009B76A1" w:rsidP="00235CF4">
            <w:pPr>
              <w:pStyle w:val="BodyText2"/>
              <w:rPr>
                <w:rFonts w:asciiTheme="minorHAnsi" w:hAnsiTheme="minorHAnsi"/>
                <w:b/>
              </w:rPr>
            </w:pPr>
            <w:r>
              <w:rPr>
                <w:rFonts w:asciiTheme="minorHAnsi" w:hAnsiTheme="minorHAnsi"/>
                <w:b/>
                <w:bCs/>
              </w:rPr>
              <w:t>Country name: Chad</w:t>
            </w:r>
          </w:p>
        </w:tc>
      </w:tr>
      <w:tr w:rsidR="009B76A1" w:rsidRPr="005677F1" w:rsidTr="00A95CD7">
        <w:tc>
          <w:tcPr>
            <w:tcW w:w="14040" w:type="dxa"/>
            <w:gridSpan w:val="5"/>
          </w:tcPr>
          <w:p w:rsidR="009B76A1" w:rsidRPr="005677F1" w:rsidRDefault="009B76A1" w:rsidP="00235CF4">
            <w:pPr>
              <w:pStyle w:val="BodyText2"/>
              <w:rPr>
                <w:rFonts w:asciiTheme="minorHAnsi" w:hAnsiTheme="minorHAnsi"/>
                <w:b/>
              </w:rPr>
            </w:pPr>
            <w:r>
              <w:rPr>
                <w:rFonts w:asciiTheme="minorHAnsi" w:hAnsiTheme="minorHAnsi"/>
                <w:b/>
                <w:bCs/>
              </w:rPr>
              <w:t>Current country programme period: 2012–2016</w:t>
            </w:r>
          </w:p>
        </w:tc>
      </w:tr>
      <w:tr w:rsidR="003B037A" w:rsidRPr="005677F1" w:rsidTr="00A95CD7">
        <w:tc>
          <w:tcPr>
            <w:tcW w:w="3150" w:type="dxa"/>
            <w:gridSpan w:val="2"/>
          </w:tcPr>
          <w:p w:rsidR="003B037A" w:rsidRPr="005677F1" w:rsidRDefault="003B037A">
            <w:pPr>
              <w:pStyle w:val="BodyText2"/>
              <w:rPr>
                <w:rFonts w:asciiTheme="minorHAnsi" w:hAnsiTheme="minorHAnsi"/>
                <w:b/>
              </w:rPr>
            </w:pPr>
            <w:r>
              <w:rPr>
                <w:rFonts w:asciiTheme="minorHAnsi" w:hAnsiTheme="minorHAnsi"/>
                <w:b/>
                <w:bCs/>
              </w:rPr>
              <w:t>Outcomes</w:t>
            </w:r>
          </w:p>
        </w:tc>
        <w:tc>
          <w:tcPr>
            <w:tcW w:w="1440" w:type="dxa"/>
            <w:shd w:val="clear" w:color="auto" w:fill="auto"/>
          </w:tcPr>
          <w:p w:rsidR="003B037A" w:rsidRPr="005677F1" w:rsidRDefault="003B037A">
            <w:pPr>
              <w:pStyle w:val="BodyText2"/>
              <w:rPr>
                <w:rFonts w:asciiTheme="minorHAnsi" w:hAnsiTheme="minorHAnsi"/>
                <w:b/>
              </w:rPr>
            </w:pPr>
            <w:r>
              <w:rPr>
                <w:rFonts w:asciiTheme="minorHAnsi" w:hAnsiTheme="minorHAnsi"/>
                <w:b/>
                <w:bCs/>
              </w:rPr>
              <w:t>Total Expenditure</w:t>
            </w:r>
          </w:p>
        </w:tc>
        <w:tc>
          <w:tcPr>
            <w:tcW w:w="3960" w:type="dxa"/>
            <w:tcBorders>
              <w:left w:val="single" w:sz="4" w:space="0" w:color="auto"/>
            </w:tcBorders>
          </w:tcPr>
          <w:p w:rsidR="003B037A" w:rsidRPr="005677F1" w:rsidRDefault="003B037A">
            <w:pPr>
              <w:pStyle w:val="BodyText2"/>
              <w:rPr>
                <w:rFonts w:asciiTheme="minorHAnsi" w:hAnsiTheme="minorHAnsi"/>
                <w:b/>
              </w:rPr>
            </w:pPr>
            <w:r>
              <w:rPr>
                <w:rFonts w:asciiTheme="minorHAnsi" w:hAnsiTheme="minorHAnsi"/>
                <w:b/>
                <w:bCs/>
              </w:rPr>
              <w:t>Key Indicators of outcome (1-4 per outcome)</w:t>
            </w:r>
          </w:p>
        </w:tc>
        <w:tc>
          <w:tcPr>
            <w:tcW w:w="5490" w:type="dxa"/>
          </w:tcPr>
          <w:p w:rsidR="003B037A" w:rsidRPr="005677F1" w:rsidRDefault="003B037A">
            <w:pPr>
              <w:pStyle w:val="BodyText2"/>
              <w:rPr>
                <w:rFonts w:asciiTheme="minorHAnsi" w:hAnsiTheme="minorHAnsi"/>
                <w:b/>
              </w:rPr>
            </w:pPr>
            <w:r>
              <w:rPr>
                <w:rFonts w:asciiTheme="minorHAnsi" w:hAnsiTheme="minorHAnsi"/>
                <w:b/>
                <w:bCs/>
              </w:rPr>
              <w:t>Progress made against key indicators</w:t>
            </w:r>
          </w:p>
        </w:tc>
      </w:tr>
      <w:tr w:rsidR="000823AC" w:rsidRPr="00F64BC8" w:rsidTr="00A95CD7">
        <w:tc>
          <w:tcPr>
            <w:tcW w:w="3150" w:type="dxa"/>
            <w:gridSpan w:val="2"/>
            <w:tcBorders>
              <w:bottom w:val="single" w:sz="4" w:space="0" w:color="auto"/>
            </w:tcBorders>
            <w:shd w:val="clear" w:color="auto" w:fill="95B3D7" w:themeFill="accent1" w:themeFillTint="99"/>
          </w:tcPr>
          <w:p w:rsidR="003B037A" w:rsidRPr="005677F1" w:rsidRDefault="003B037A" w:rsidP="00675517">
            <w:pPr>
              <w:pStyle w:val="BodyText2"/>
              <w:rPr>
                <w:rFonts w:asciiTheme="minorHAnsi" w:hAnsiTheme="minorHAnsi"/>
                <w:b/>
              </w:rPr>
            </w:pPr>
            <w:r>
              <w:rPr>
                <w:rFonts w:asciiTheme="minorHAnsi" w:hAnsiTheme="minorHAnsi"/>
                <w:b/>
                <w:bCs/>
              </w:rPr>
              <w:t xml:space="preserve">1. </w:t>
            </w:r>
            <w:r>
              <w:rPr>
                <w:rFonts w:asciiTheme="minorHAnsi" w:hAnsiTheme="minorHAnsi"/>
                <w:b/>
                <w:bCs/>
                <w:color w:val="333333"/>
              </w:rPr>
              <w:t>Support for the national poverty reduction strategy and the enhancement of sustainable development</w:t>
            </w:r>
            <w:r>
              <w:rPr>
                <w:rFonts w:asciiTheme="minorHAnsi" w:hAnsiTheme="minorHAnsi"/>
                <w:b/>
                <w:bCs/>
              </w:rPr>
              <w:t>.</w:t>
            </w:r>
          </w:p>
          <w:p w:rsidR="00675517" w:rsidRPr="005677F1" w:rsidRDefault="00675517" w:rsidP="00675517">
            <w:pPr>
              <w:pStyle w:val="BodyText2"/>
              <w:rPr>
                <w:rFonts w:asciiTheme="minorHAnsi" w:hAnsiTheme="minorHAnsi"/>
                <w:b/>
              </w:rPr>
            </w:pPr>
          </w:p>
          <w:p w:rsidR="00675517" w:rsidRPr="005677F1" w:rsidRDefault="00675517" w:rsidP="00675517">
            <w:pPr>
              <w:pStyle w:val="BodyText2"/>
              <w:rPr>
                <w:rFonts w:asciiTheme="minorHAnsi" w:hAnsiTheme="minorHAnsi"/>
                <w:b/>
              </w:rPr>
            </w:pPr>
          </w:p>
        </w:tc>
        <w:tc>
          <w:tcPr>
            <w:tcW w:w="1440" w:type="dxa"/>
            <w:tcBorders>
              <w:bottom w:val="single" w:sz="4" w:space="0" w:color="auto"/>
            </w:tcBorders>
            <w:shd w:val="clear" w:color="auto" w:fill="auto"/>
          </w:tcPr>
          <w:p w:rsidR="00675517" w:rsidRPr="005677F1" w:rsidRDefault="009610DE" w:rsidP="00A20542">
            <w:pPr>
              <w:pStyle w:val="BodyText2"/>
              <w:rPr>
                <w:rFonts w:asciiTheme="minorHAnsi" w:hAnsiTheme="minorHAnsi"/>
              </w:rPr>
            </w:pPr>
            <w:r w:rsidRPr="009610DE">
              <w:rPr>
                <w:rFonts w:asciiTheme="minorHAnsi" w:hAnsiTheme="minorHAnsi"/>
              </w:rPr>
              <w:t>36,831,135</w:t>
            </w:r>
          </w:p>
        </w:tc>
        <w:tc>
          <w:tcPr>
            <w:tcW w:w="3960" w:type="dxa"/>
            <w:tcBorders>
              <w:left w:val="single" w:sz="4" w:space="0" w:color="auto"/>
              <w:bottom w:val="single" w:sz="4" w:space="0" w:color="auto"/>
            </w:tcBorders>
          </w:tcPr>
          <w:p w:rsidR="006A559A" w:rsidRPr="005677F1" w:rsidRDefault="006A559A" w:rsidP="00B05B08">
            <w:pPr>
              <w:pStyle w:val="BodyText2"/>
              <w:numPr>
                <w:ilvl w:val="0"/>
                <w:numId w:val="1"/>
              </w:numPr>
              <w:ind w:left="319" w:hanging="319"/>
              <w:rPr>
                <w:rFonts w:asciiTheme="minorHAnsi" w:hAnsiTheme="minorHAnsi"/>
                <w:i/>
              </w:rPr>
            </w:pPr>
            <w:r>
              <w:rPr>
                <w:rFonts w:asciiTheme="minorHAnsi" w:hAnsiTheme="minorHAnsi"/>
                <w:i/>
                <w:iCs/>
              </w:rPr>
              <w:t xml:space="preserve">Tools and budgeting instruments, financial and macroeconomic policy analysis (macroeconomic framework, general equilibrium model, support management platform policy </w:t>
            </w:r>
            <w:r w:rsidR="00EF0D80">
              <w:rPr>
                <w:rFonts w:asciiTheme="minorHAnsi" w:hAnsiTheme="minorHAnsi"/>
                <w:i/>
                <w:iCs/>
              </w:rPr>
              <w:t>paper economic and social</w:t>
            </w:r>
            <w:r>
              <w:rPr>
                <w:rFonts w:asciiTheme="minorHAnsi" w:hAnsiTheme="minorHAnsi"/>
                <w:i/>
                <w:iCs/>
              </w:rPr>
              <w:t>) are available.</w:t>
            </w:r>
          </w:p>
        </w:tc>
        <w:tc>
          <w:tcPr>
            <w:tcW w:w="5490" w:type="dxa"/>
            <w:tcBorders>
              <w:bottom w:val="single" w:sz="4" w:space="0" w:color="auto"/>
            </w:tcBorders>
            <w:shd w:val="clear" w:color="auto" w:fill="auto"/>
          </w:tcPr>
          <w:p w:rsidR="001D4BC7" w:rsidRPr="00233570" w:rsidRDefault="00CE351E" w:rsidP="00287EAB">
            <w:pPr>
              <w:pStyle w:val="BodyText2"/>
              <w:rPr>
                <w:rFonts w:asciiTheme="minorHAnsi" w:hAnsiTheme="minorHAnsi"/>
                <w:i/>
              </w:rPr>
            </w:pPr>
            <w:r w:rsidRPr="00287EAB">
              <w:rPr>
                <w:rFonts w:asciiTheme="minorHAnsi" w:hAnsiTheme="minorHAnsi"/>
                <w:i/>
                <w:iCs/>
              </w:rPr>
              <w:t>Considerable progress was achieved with the development of th</w:t>
            </w:r>
            <w:r w:rsidR="006E1871" w:rsidRPr="00287EAB">
              <w:rPr>
                <w:rFonts w:asciiTheme="minorHAnsi" w:hAnsiTheme="minorHAnsi"/>
                <w:i/>
                <w:iCs/>
              </w:rPr>
              <w:t>e National Development Plan (NDP</w:t>
            </w:r>
            <w:r w:rsidRPr="00287EAB">
              <w:rPr>
                <w:rFonts w:asciiTheme="minorHAnsi" w:hAnsiTheme="minorHAnsi"/>
                <w:i/>
                <w:iCs/>
              </w:rPr>
              <w:t xml:space="preserve"> 2012–2015), the National MDG Report 2015, the National Human Development Report and country notes on the African Economic Outlook (2014, 2015 and 2016). However, the implementation of economic and budget programming instruments was slowed down with the reduction in UNDP resources. The static versi</w:t>
            </w:r>
            <w:r w:rsidR="00EF0D80" w:rsidRPr="00287EAB">
              <w:rPr>
                <w:rFonts w:asciiTheme="minorHAnsi" w:hAnsiTheme="minorHAnsi"/>
                <w:i/>
                <w:iCs/>
              </w:rPr>
              <w:t>on of the Computable General</w:t>
            </w:r>
            <w:r w:rsidRPr="00287EAB">
              <w:rPr>
                <w:rFonts w:asciiTheme="minorHAnsi" w:hAnsiTheme="minorHAnsi"/>
                <w:i/>
                <w:iCs/>
              </w:rPr>
              <w:t xml:space="preserve"> Equilibrium Model (CGEM) of the Chadian economy is operational, and the aid management platform needs the input of aid data from partners.</w:t>
            </w:r>
            <w:r>
              <w:rPr>
                <w:rFonts w:asciiTheme="minorHAnsi" w:hAnsiTheme="minorHAnsi"/>
                <w:i/>
                <w:iCs/>
                <w:color w:val="000000" w:themeColor="text1"/>
              </w:rPr>
              <w:t xml:space="preserve"> </w:t>
            </w:r>
          </w:p>
        </w:tc>
      </w:tr>
      <w:tr w:rsidR="00530FDE" w:rsidRPr="00F64BC8" w:rsidTr="00A95CD7">
        <w:tc>
          <w:tcPr>
            <w:tcW w:w="14040" w:type="dxa"/>
            <w:gridSpan w:val="5"/>
          </w:tcPr>
          <w:p w:rsidR="00843006" w:rsidRPr="00233570" w:rsidRDefault="00837C4B" w:rsidP="00366CF6">
            <w:pPr>
              <w:pStyle w:val="BodyText2"/>
              <w:spacing w:before="120" w:after="120"/>
              <w:jc w:val="both"/>
              <w:rPr>
                <w:rFonts w:asciiTheme="minorHAnsi" w:hAnsiTheme="minorHAnsi"/>
                <w:b/>
                <w:sz w:val="22"/>
                <w:szCs w:val="22"/>
              </w:rPr>
            </w:pPr>
            <w:r>
              <w:rPr>
                <w:rFonts w:asciiTheme="minorHAnsi" w:hAnsiTheme="minorHAnsi"/>
                <w:b/>
                <w:bCs/>
                <w:sz w:val="22"/>
                <w:szCs w:val="22"/>
              </w:rPr>
              <w:t>UNDP Contribution</w:t>
            </w:r>
          </w:p>
          <w:p w:rsidR="006A559A" w:rsidRPr="00233570" w:rsidRDefault="00B00E5C" w:rsidP="00BB6970">
            <w:pPr>
              <w:widowControl/>
              <w:autoSpaceDE w:val="0"/>
              <w:autoSpaceDN w:val="0"/>
              <w:adjustRightInd w:val="0"/>
              <w:jc w:val="both"/>
              <w:rPr>
                <w:rFonts w:asciiTheme="minorHAnsi" w:hAnsiTheme="minorHAnsi"/>
                <w:sz w:val="22"/>
                <w:szCs w:val="22"/>
              </w:rPr>
            </w:pPr>
            <w:r>
              <w:rPr>
                <w:rFonts w:asciiTheme="minorHAnsi" w:hAnsiTheme="minorHAnsi"/>
                <w:sz w:val="22"/>
                <w:szCs w:val="22"/>
                <w:u w:val="single"/>
              </w:rPr>
              <w:t>CP Outputs</w:t>
            </w:r>
            <w:r>
              <w:rPr>
                <w:rFonts w:asciiTheme="minorHAnsi" w:hAnsiTheme="minorHAnsi"/>
                <w:sz w:val="22"/>
                <w:szCs w:val="22"/>
              </w:rPr>
              <w:t xml:space="preserve">: The national poverty reduction strategy and the enhancement of sustainable development </w:t>
            </w:r>
          </w:p>
          <w:p w:rsidR="002C02D1" w:rsidRPr="00233570" w:rsidRDefault="006A559A" w:rsidP="002C02D1">
            <w:pPr>
              <w:spacing w:after="160" w:line="252" w:lineRule="auto"/>
              <w:contextualSpacing/>
              <w:jc w:val="both"/>
              <w:rPr>
                <w:sz w:val="22"/>
                <w:szCs w:val="22"/>
              </w:rPr>
            </w:pPr>
            <w:r>
              <w:rPr>
                <w:rFonts w:asciiTheme="minorHAnsi" w:hAnsiTheme="minorHAnsi"/>
                <w:color w:val="333333"/>
                <w:sz w:val="22"/>
                <w:szCs w:val="22"/>
              </w:rPr>
              <w:br w:type="textWrapping" w:clear="all"/>
            </w:r>
            <w:r>
              <w:rPr>
                <w:rFonts w:asciiTheme="minorHAnsi" w:hAnsiTheme="minorHAnsi"/>
                <w:sz w:val="22"/>
                <w:szCs w:val="22"/>
                <w:u w:val="single"/>
              </w:rPr>
              <w:t>Progress and Achievements</w:t>
            </w:r>
            <w:r>
              <w:rPr>
                <w:rFonts w:asciiTheme="minorHAnsi" w:hAnsiTheme="minorHAnsi"/>
                <w:sz w:val="22"/>
                <w:szCs w:val="22"/>
              </w:rPr>
              <w:t xml:space="preserve">: </w:t>
            </w:r>
            <w:r>
              <w:rPr>
                <w:rFonts w:asciiTheme="minorHAnsi" w:hAnsiTheme="minorHAnsi"/>
                <w:color w:val="000000" w:themeColor="text1"/>
                <w:sz w:val="22"/>
                <w:szCs w:val="22"/>
              </w:rPr>
              <w:t>Overall, progress was made in programming by strengthening capacities in the development of the macro-economic framework for national frameworks, the on-time provision of the National Development Plan (2012–2015) and documents in preparation of the resources mobilization Roundtable, the resumption of dialogue with partners and the organization of the Resources Mobilization Conferen</w:t>
            </w:r>
            <w:r w:rsidR="006E1871">
              <w:rPr>
                <w:rFonts w:asciiTheme="minorHAnsi" w:hAnsiTheme="minorHAnsi"/>
                <w:color w:val="000000" w:themeColor="text1"/>
                <w:sz w:val="22"/>
                <w:szCs w:val="22"/>
              </w:rPr>
              <w:t>ce to finance the gap in the NDP</w:t>
            </w:r>
            <w:r>
              <w:rPr>
                <w:rFonts w:asciiTheme="minorHAnsi" w:hAnsiTheme="minorHAnsi"/>
                <w:color w:val="000000" w:themeColor="text1"/>
                <w:sz w:val="22"/>
                <w:szCs w:val="22"/>
              </w:rPr>
              <w:t xml:space="preserve"> 2013–2015, where 1000 billion FCFA was forecast. UNDP, in partnership with the Government of Chad and the International Organization for Migration (IOM), mobilized expertise from the Chadian diaspora in France (TOKTEN): 11 physicians and 8 university professors were deployed to Chad to provide support in hospitals and universities (Faculty of Medicine and the Faculty of Pure and Applied Sciences). Of the 11 physicians, 10 have settled permanently in Chad, including 1 who is the Director of the modern hospital in N’Djamena. A legal expert has returned permanently through support from this assistance programme and serves on the Supreme Court of N’Djamena. A caravan of Chadian physicians from France stayed in </w:t>
            </w:r>
            <w:proofErr w:type="spellStart"/>
            <w:r>
              <w:rPr>
                <w:rFonts w:asciiTheme="minorHAnsi" w:hAnsiTheme="minorHAnsi"/>
                <w:color w:val="000000" w:themeColor="text1"/>
                <w:sz w:val="22"/>
                <w:szCs w:val="22"/>
              </w:rPr>
              <w:t>Béré</w:t>
            </w:r>
            <w:proofErr w:type="spellEnd"/>
            <w:r>
              <w:rPr>
                <w:rFonts w:asciiTheme="minorHAnsi" w:hAnsiTheme="minorHAnsi"/>
                <w:color w:val="000000" w:themeColor="text1"/>
                <w:sz w:val="22"/>
                <w:szCs w:val="22"/>
              </w:rPr>
              <w:t xml:space="preserve"> (southern Chad) in November 2015 to provide eye care to people in this region. Through the adoption of the National Strategy for the Promotion of Renewable Energy and the national plan for disaster risk reduction, priorities were clearly defined for the following: servicing renewable energy, mechanisms for disaster risk preparedness and management, the multi-sector and multi-partner working group, and the strengthening of coordination and national leadership in disaster risk reduction. In the micro-finance sector, the UNDP intervention has enabled the professionalization of MFIs. This has shown encouraging results for increasing their clientele, particularly among women (151,101 clients in 2009 compared to 500,000 on 30 June 2015, including 52% women), to improve their services </w:t>
            </w:r>
            <w:r>
              <w:rPr>
                <w:rFonts w:asciiTheme="minorHAnsi" w:hAnsiTheme="minorHAnsi"/>
                <w:color w:val="000000" w:themeColor="text1"/>
                <w:sz w:val="22"/>
                <w:szCs w:val="22"/>
              </w:rPr>
              <w:lastRenderedPageBreak/>
              <w:t>(operational self-sufficien</w:t>
            </w:r>
            <w:r w:rsidR="00C30257">
              <w:rPr>
                <w:rFonts w:asciiTheme="minorHAnsi" w:hAnsiTheme="minorHAnsi"/>
                <w:color w:val="000000" w:themeColor="text1"/>
                <w:sz w:val="22"/>
                <w:szCs w:val="22"/>
              </w:rPr>
              <w:t>cy: 1 to 5, range</w:t>
            </w:r>
            <w:r>
              <w:rPr>
                <w:rFonts w:asciiTheme="minorHAnsi" w:hAnsiTheme="minorHAnsi"/>
                <w:color w:val="000000" w:themeColor="text1"/>
                <w:sz w:val="22"/>
                <w:szCs w:val="22"/>
              </w:rPr>
              <w:t>). Participation in the management of natural resources backed by microfinancing has promoted learning about local governance, poverty reduction through income generated by NRM conventions (cantons have accounts in microfinance institutions that receive funds from fishing industry concessions). The MFPs that were installed with UNDP support helped lighten women’s burden of domestic work (milling grains and grinding peanuts), created access to IGAs and supported the empowerment of women and communities, particularly among youth, through access to multimedia (television) and local jobs.</w:t>
            </w:r>
            <w:r>
              <w:rPr>
                <w:rFonts w:asciiTheme="minorHAnsi" w:hAnsiTheme="minorHAnsi"/>
                <w:sz w:val="22"/>
                <w:szCs w:val="22"/>
              </w:rPr>
              <w:t xml:space="preserve"> </w:t>
            </w:r>
            <w:r>
              <w:rPr>
                <w:rFonts w:asciiTheme="minorHAnsi" w:hAnsiTheme="minorHAnsi"/>
                <w:color w:val="000000" w:themeColor="text1"/>
                <w:sz w:val="22"/>
                <w:szCs w:val="22"/>
              </w:rPr>
              <w:t xml:space="preserve">As part of promoting renewable energy, 4000 households in the suburbs of N’Djamena received solar cookers, and 644 women received 875 manufactured improved </w:t>
            </w:r>
            <w:proofErr w:type="spellStart"/>
            <w:r>
              <w:rPr>
                <w:rFonts w:asciiTheme="minorHAnsi" w:hAnsiTheme="minorHAnsi"/>
                <w:color w:val="000000" w:themeColor="text1"/>
                <w:sz w:val="22"/>
                <w:szCs w:val="22"/>
              </w:rPr>
              <w:t>cookstoves</w:t>
            </w:r>
            <w:proofErr w:type="spellEnd"/>
            <w:r>
              <w:rPr>
                <w:rFonts w:asciiTheme="minorHAnsi" w:hAnsiTheme="minorHAnsi"/>
                <w:color w:val="000000" w:themeColor="text1"/>
                <w:sz w:val="22"/>
                <w:szCs w:val="22"/>
              </w:rPr>
              <w:t xml:space="preserve">. Women’s skills were strengthened in the manufacturing of improved </w:t>
            </w:r>
            <w:proofErr w:type="spellStart"/>
            <w:r>
              <w:rPr>
                <w:rFonts w:asciiTheme="minorHAnsi" w:hAnsiTheme="minorHAnsi"/>
                <w:color w:val="000000" w:themeColor="text1"/>
                <w:sz w:val="22"/>
                <w:szCs w:val="22"/>
              </w:rPr>
              <w:t>cookstoves</w:t>
            </w:r>
            <w:proofErr w:type="spellEnd"/>
            <w:r>
              <w:rPr>
                <w:rFonts w:asciiTheme="minorHAnsi" w:hAnsiTheme="minorHAnsi"/>
                <w:color w:val="000000" w:themeColor="text1"/>
                <w:sz w:val="22"/>
                <w:szCs w:val="22"/>
              </w:rPr>
              <w:t xml:space="preserve"> in six villages in </w:t>
            </w:r>
            <w:proofErr w:type="spellStart"/>
            <w:r>
              <w:rPr>
                <w:rFonts w:asciiTheme="minorHAnsi" w:hAnsiTheme="minorHAnsi"/>
                <w:color w:val="000000" w:themeColor="text1"/>
                <w:sz w:val="22"/>
                <w:szCs w:val="22"/>
              </w:rPr>
              <w:t>Ouaddaï</w:t>
            </w:r>
            <w:proofErr w:type="spellEnd"/>
            <w:r>
              <w:rPr>
                <w:rFonts w:asciiTheme="minorHAnsi" w:hAnsiTheme="minorHAnsi"/>
                <w:color w:val="000000" w:themeColor="text1"/>
                <w:sz w:val="22"/>
                <w:szCs w:val="22"/>
              </w:rPr>
              <w:t>. T</w:t>
            </w:r>
            <w:r w:rsidR="002D79EB">
              <w:rPr>
                <w:rFonts w:asciiTheme="minorHAnsi" w:hAnsiTheme="minorHAnsi"/>
                <w:color w:val="000000" w:themeColor="text1"/>
                <w:sz w:val="22"/>
                <w:szCs w:val="22"/>
              </w:rPr>
              <w:t>he t</w:t>
            </w:r>
            <w:r>
              <w:rPr>
                <w:rFonts w:asciiTheme="minorHAnsi" w:hAnsiTheme="minorHAnsi"/>
                <w:color w:val="000000" w:themeColor="text1"/>
                <w:sz w:val="22"/>
                <w:szCs w:val="22"/>
              </w:rPr>
              <w:t xml:space="preserve">en multifunctional platforms installed in </w:t>
            </w:r>
            <w:proofErr w:type="spellStart"/>
            <w:r>
              <w:rPr>
                <w:rFonts w:asciiTheme="minorHAnsi" w:hAnsiTheme="minorHAnsi"/>
                <w:color w:val="000000" w:themeColor="text1"/>
                <w:sz w:val="22"/>
                <w:szCs w:val="22"/>
              </w:rPr>
              <w:t>Abéché</w:t>
            </w:r>
            <w:proofErr w:type="spellEnd"/>
            <w:r>
              <w:rPr>
                <w:rFonts w:asciiTheme="minorHAnsi" w:hAnsiTheme="minorHAnsi"/>
                <w:color w:val="000000" w:themeColor="text1"/>
                <w:sz w:val="22"/>
                <w:szCs w:val="22"/>
              </w:rPr>
              <w:t xml:space="preserve"> in the </w:t>
            </w:r>
            <w:proofErr w:type="spellStart"/>
            <w:r>
              <w:rPr>
                <w:rFonts w:asciiTheme="minorHAnsi" w:hAnsiTheme="minorHAnsi"/>
                <w:color w:val="000000" w:themeColor="text1"/>
                <w:sz w:val="22"/>
                <w:szCs w:val="22"/>
              </w:rPr>
              <w:t>Sila</w:t>
            </w:r>
            <w:proofErr w:type="spellEnd"/>
            <w:r>
              <w:rPr>
                <w:rFonts w:asciiTheme="minorHAnsi" w:hAnsiTheme="minorHAnsi"/>
                <w:color w:val="000000" w:themeColor="text1"/>
                <w:sz w:val="22"/>
                <w:szCs w:val="22"/>
              </w:rPr>
              <w:t xml:space="preserve"> and six being installed in the </w:t>
            </w:r>
            <w:proofErr w:type="spellStart"/>
            <w:r>
              <w:rPr>
                <w:rFonts w:asciiTheme="minorHAnsi" w:hAnsiTheme="minorHAnsi"/>
                <w:color w:val="000000" w:themeColor="text1"/>
                <w:sz w:val="22"/>
                <w:szCs w:val="22"/>
              </w:rPr>
              <w:t>Guéra</w:t>
            </w:r>
            <w:proofErr w:type="spellEnd"/>
            <w:r>
              <w:rPr>
                <w:rFonts w:asciiTheme="minorHAnsi" w:hAnsiTheme="minorHAnsi"/>
                <w:color w:val="000000" w:themeColor="text1"/>
                <w:sz w:val="22"/>
                <w:szCs w:val="22"/>
              </w:rPr>
              <w:t xml:space="preserve"> will help 11,480 women perform their daily work.</w:t>
            </w:r>
            <w:r>
              <w:rPr>
                <w:rFonts w:asciiTheme="minorHAnsi" w:hAnsiTheme="minorHAnsi"/>
                <w:sz w:val="22"/>
                <w:szCs w:val="22"/>
              </w:rPr>
              <w:t xml:space="preserve"> </w:t>
            </w:r>
          </w:p>
          <w:p w:rsidR="002C02D1" w:rsidRPr="00233570" w:rsidRDefault="002C02D1" w:rsidP="002C02D1">
            <w:pPr>
              <w:spacing w:after="160" w:line="252" w:lineRule="auto"/>
              <w:contextualSpacing/>
              <w:jc w:val="both"/>
              <w:rPr>
                <w:rFonts w:asciiTheme="minorHAnsi" w:hAnsiTheme="minorHAnsi"/>
                <w:sz w:val="22"/>
                <w:szCs w:val="22"/>
              </w:rPr>
            </w:pPr>
          </w:p>
          <w:p w:rsidR="00CC6154" w:rsidRPr="00233570" w:rsidRDefault="00F174A2" w:rsidP="002C02D1">
            <w:pPr>
              <w:spacing w:after="160" w:line="252" w:lineRule="auto"/>
              <w:contextualSpacing/>
              <w:jc w:val="both"/>
              <w:rPr>
                <w:rFonts w:asciiTheme="minorHAnsi" w:hAnsiTheme="minorHAnsi"/>
                <w:sz w:val="22"/>
                <w:szCs w:val="22"/>
              </w:rPr>
            </w:pPr>
            <w:r>
              <w:rPr>
                <w:rFonts w:asciiTheme="minorHAnsi" w:hAnsiTheme="minorHAnsi"/>
                <w:sz w:val="22"/>
                <w:szCs w:val="22"/>
              </w:rPr>
              <w:t>The poverty profile showed that poverty was greater in rural settings and among the female population. The challenge is to implement the commitments made to achieve basic rights for girls and women. Efforts must also still focus on ensuring that sector policies are consistent with the new agenda for the Sustainable Development Goals (SDGs) and on mobilizing internal and external resources for the operationalization of development programmes. Reforms will be needed in public administration in the areas of guidance and routine evaluation of public policies.</w:t>
            </w:r>
            <w:r w:rsidR="005F0E24">
              <w:rPr>
                <w:rStyle w:val="apple-converted-space"/>
                <w:rFonts w:asciiTheme="minorHAnsi" w:hAnsiTheme="minorHAnsi"/>
                <w:color w:val="0C0C0C"/>
                <w:sz w:val="22"/>
                <w:szCs w:val="22"/>
                <w:shd w:val="clear" w:color="auto" w:fill="FFFFFF"/>
              </w:rPr>
              <w:t> </w:t>
            </w:r>
            <w:r>
              <w:rPr>
                <w:rStyle w:val="apple-converted-space"/>
                <w:rFonts w:asciiTheme="minorHAnsi" w:hAnsiTheme="minorHAnsi"/>
                <w:color w:val="0C0C0C"/>
                <w:sz w:val="22"/>
                <w:szCs w:val="22"/>
                <w:shd w:val="clear" w:color="auto" w:fill="FFFFFF"/>
              </w:rPr>
              <w:t> </w:t>
            </w:r>
          </w:p>
          <w:p w:rsidR="002C02D1" w:rsidRPr="00233570" w:rsidRDefault="002C02D1" w:rsidP="002C02D1">
            <w:pPr>
              <w:spacing w:after="160" w:line="252" w:lineRule="auto"/>
              <w:contextualSpacing/>
              <w:jc w:val="both"/>
              <w:rPr>
                <w:sz w:val="22"/>
                <w:szCs w:val="22"/>
              </w:rPr>
            </w:pPr>
          </w:p>
        </w:tc>
      </w:tr>
      <w:tr w:rsidR="003B037A" w:rsidRPr="00F64BC8" w:rsidTr="00A95CD7">
        <w:tc>
          <w:tcPr>
            <w:tcW w:w="3060" w:type="dxa"/>
            <w:shd w:val="clear" w:color="auto" w:fill="95B3D7" w:themeFill="accent1" w:themeFillTint="99"/>
          </w:tcPr>
          <w:p w:rsidR="00D464F1" w:rsidRPr="005677F1" w:rsidRDefault="003B037A" w:rsidP="00D464F1">
            <w:pPr>
              <w:pStyle w:val="BodyText2"/>
              <w:rPr>
                <w:rFonts w:asciiTheme="minorHAnsi" w:hAnsiTheme="minorHAnsi"/>
                <w:b/>
              </w:rPr>
            </w:pPr>
            <w:r>
              <w:rPr>
                <w:rFonts w:asciiTheme="minorHAnsi" w:hAnsiTheme="minorHAnsi"/>
                <w:b/>
                <w:bCs/>
              </w:rPr>
              <w:lastRenderedPageBreak/>
              <w:t>2.</w:t>
            </w:r>
            <w:r>
              <w:rPr>
                <w:rFonts w:asciiTheme="minorHAnsi" w:hAnsiTheme="minorHAnsi"/>
              </w:rPr>
              <w:t xml:space="preserve"> </w:t>
            </w:r>
            <w:r>
              <w:rPr>
                <w:rFonts w:asciiTheme="minorHAnsi" w:hAnsiTheme="minorHAnsi"/>
                <w:b/>
                <w:bCs/>
                <w:color w:val="333333"/>
              </w:rPr>
              <w:t>Support for strengthening good governance and advancement of human security</w:t>
            </w:r>
          </w:p>
        </w:tc>
        <w:tc>
          <w:tcPr>
            <w:tcW w:w="1530" w:type="dxa"/>
            <w:gridSpan w:val="2"/>
            <w:shd w:val="clear" w:color="auto" w:fill="auto"/>
          </w:tcPr>
          <w:p w:rsidR="003B037A" w:rsidRPr="005677F1" w:rsidRDefault="009610DE" w:rsidP="00A20542">
            <w:pPr>
              <w:pStyle w:val="BodyText2"/>
              <w:rPr>
                <w:rFonts w:asciiTheme="minorHAnsi" w:hAnsiTheme="minorHAnsi"/>
              </w:rPr>
            </w:pPr>
            <w:r w:rsidRPr="009610DE">
              <w:rPr>
                <w:rFonts w:asciiTheme="minorHAnsi" w:hAnsiTheme="minorHAnsi"/>
              </w:rPr>
              <w:t>28,458,865</w:t>
            </w:r>
            <w:r>
              <w:rPr>
                <w:rFonts w:asciiTheme="minorHAnsi" w:hAnsiTheme="minorHAnsi"/>
              </w:rPr>
              <w:t xml:space="preserve"> </w:t>
            </w:r>
            <w:r w:rsidR="00A20542">
              <w:rPr>
                <w:rFonts w:asciiTheme="minorHAnsi" w:hAnsiTheme="minorHAnsi"/>
              </w:rPr>
              <w:t>USD</w:t>
            </w:r>
          </w:p>
        </w:tc>
        <w:tc>
          <w:tcPr>
            <w:tcW w:w="3960" w:type="dxa"/>
            <w:tcBorders>
              <w:left w:val="single" w:sz="4" w:space="0" w:color="auto"/>
            </w:tcBorders>
          </w:tcPr>
          <w:p w:rsidR="003B037A" w:rsidRPr="005677F1" w:rsidRDefault="006A559A" w:rsidP="00B05B08">
            <w:pPr>
              <w:pStyle w:val="BodyText2"/>
              <w:numPr>
                <w:ilvl w:val="0"/>
                <w:numId w:val="2"/>
              </w:numPr>
              <w:ind w:left="229" w:hanging="229"/>
              <w:rPr>
                <w:rFonts w:asciiTheme="minorHAnsi" w:hAnsiTheme="minorHAnsi"/>
                <w:i/>
              </w:rPr>
            </w:pPr>
            <w:r>
              <w:rPr>
                <w:rFonts w:asciiTheme="minorHAnsi" w:hAnsiTheme="minorHAnsi"/>
                <w:i/>
                <w:iCs/>
              </w:rPr>
              <w:t>Number of verdicts delivered to defendants by judges during the mobile courts</w:t>
            </w:r>
          </w:p>
          <w:p w:rsidR="006A559A" w:rsidRPr="005677F1" w:rsidRDefault="006E1871" w:rsidP="00B05B08">
            <w:pPr>
              <w:pStyle w:val="BodyText2"/>
              <w:numPr>
                <w:ilvl w:val="0"/>
                <w:numId w:val="2"/>
              </w:numPr>
              <w:ind w:left="229" w:hanging="229"/>
              <w:rPr>
                <w:rFonts w:asciiTheme="minorHAnsi" w:hAnsiTheme="minorHAnsi"/>
                <w:i/>
              </w:rPr>
            </w:pPr>
            <w:r>
              <w:rPr>
                <w:rFonts w:asciiTheme="minorHAnsi" w:hAnsiTheme="minorHAnsi"/>
                <w:i/>
                <w:iCs/>
              </w:rPr>
              <w:t>Number</w:t>
            </w:r>
            <w:r w:rsidR="006A559A">
              <w:rPr>
                <w:rFonts w:asciiTheme="minorHAnsi" w:hAnsiTheme="minorHAnsi"/>
                <w:i/>
                <w:iCs/>
              </w:rPr>
              <w:t xml:space="preserve"> of country reports t</w:t>
            </w:r>
            <w:r>
              <w:rPr>
                <w:rFonts w:asciiTheme="minorHAnsi" w:hAnsiTheme="minorHAnsi"/>
                <w:i/>
                <w:iCs/>
              </w:rPr>
              <w:t>hat conform with the EITI standards</w:t>
            </w:r>
          </w:p>
          <w:p w:rsidR="006A559A" w:rsidRPr="005677F1" w:rsidRDefault="006E1871" w:rsidP="00B05B08">
            <w:pPr>
              <w:pStyle w:val="BodyText2"/>
              <w:numPr>
                <w:ilvl w:val="0"/>
                <w:numId w:val="2"/>
              </w:numPr>
              <w:ind w:left="229" w:hanging="229"/>
              <w:rPr>
                <w:rFonts w:asciiTheme="minorHAnsi" w:hAnsiTheme="minorHAnsi"/>
                <w:i/>
              </w:rPr>
            </w:pPr>
            <w:r>
              <w:rPr>
                <w:rFonts w:asciiTheme="minorHAnsi" w:hAnsiTheme="minorHAnsi"/>
                <w:i/>
                <w:iCs/>
              </w:rPr>
              <w:t>Number</w:t>
            </w:r>
            <w:r w:rsidR="006A559A">
              <w:rPr>
                <w:rFonts w:asciiTheme="minorHAnsi" w:hAnsiTheme="minorHAnsi"/>
                <w:i/>
                <w:iCs/>
              </w:rPr>
              <w:t xml:space="preserve"> of funct</w:t>
            </w:r>
            <w:r w:rsidR="00B9241D">
              <w:rPr>
                <w:rFonts w:asciiTheme="minorHAnsi" w:hAnsiTheme="minorHAnsi"/>
                <w:i/>
                <w:iCs/>
              </w:rPr>
              <w:t>ional frameworks for dialogue/</w:t>
            </w:r>
            <w:r w:rsidR="006A559A">
              <w:rPr>
                <w:rFonts w:asciiTheme="minorHAnsi" w:hAnsiTheme="minorHAnsi"/>
                <w:i/>
                <w:iCs/>
              </w:rPr>
              <w:t>consulta</w:t>
            </w:r>
            <w:r w:rsidR="00B9241D">
              <w:rPr>
                <w:rFonts w:asciiTheme="minorHAnsi" w:hAnsiTheme="minorHAnsi"/>
                <w:i/>
                <w:iCs/>
              </w:rPr>
              <w:t>tion of civil society with the G</w:t>
            </w:r>
            <w:r w:rsidR="006A559A">
              <w:rPr>
                <w:rFonts w:asciiTheme="minorHAnsi" w:hAnsiTheme="minorHAnsi"/>
                <w:i/>
                <w:iCs/>
              </w:rPr>
              <w:t>overnment on issues of gender, youth employment, social cohesion and local development</w:t>
            </w:r>
          </w:p>
          <w:p w:rsidR="00122F5A" w:rsidRPr="005677F1" w:rsidRDefault="006E1871" w:rsidP="00B05B08">
            <w:pPr>
              <w:pStyle w:val="BodyText2"/>
              <w:numPr>
                <w:ilvl w:val="0"/>
                <w:numId w:val="2"/>
              </w:numPr>
              <w:ind w:left="229" w:hanging="270"/>
              <w:rPr>
                <w:rFonts w:asciiTheme="minorHAnsi" w:hAnsiTheme="minorHAnsi"/>
                <w:i/>
              </w:rPr>
            </w:pPr>
            <w:r>
              <w:rPr>
                <w:rFonts w:asciiTheme="minorHAnsi" w:hAnsiTheme="minorHAnsi"/>
                <w:i/>
                <w:iCs/>
              </w:rPr>
              <w:t>Percentage</w:t>
            </w:r>
            <w:r w:rsidR="00841EAA">
              <w:rPr>
                <w:rFonts w:asciiTheme="minorHAnsi" w:hAnsiTheme="minorHAnsi"/>
                <w:i/>
                <w:iCs/>
              </w:rPr>
              <w:t xml:space="preserve"> of international conventions, treaties, agreements ratified</w:t>
            </w:r>
          </w:p>
        </w:tc>
        <w:tc>
          <w:tcPr>
            <w:tcW w:w="5490" w:type="dxa"/>
            <w:shd w:val="clear" w:color="auto" w:fill="auto"/>
          </w:tcPr>
          <w:p w:rsidR="00D64104" w:rsidRPr="006C5BBF" w:rsidRDefault="004605E8" w:rsidP="009F13B4">
            <w:pPr>
              <w:spacing w:line="276" w:lineRule="auto"/>
              <w:contextualSpacing/>
              <w:jc w:val="both"/>
              <w:rPr>
                <w:rFonts w:asciiTheme="minorHAnsi" w:hAnsiTheme="minorHAnsi"/>
                <w:i/>
                <w:sz w:val="20"/>
              </w:rPr>
            </w:pPr>
            <w:r>
              <w:rPr>
                <w:rFonts w:asciiTheme="minorHAnsi" w:hAnsiTheme="minorHAnsi"/>
                <w:i/>
                <w:iCs/>
                <w:sz w:val="20"/>
              </w:rPr>
              <w:t xml:space="preserve">Progress was made </w:t>
            </w:r>
            <w:r>
              <w:rPr>
                <w:rFonts w:asciiTheme="minorHAnsi" w:hAnsiTheme="minorHAnsi"/>
                <w:i/>
                <w:iCs/>
                <w:color w:val="000000" w:themeColor="text1"/>
                <w:sz w:val="20"/>
              </w:rPr>
              <w:t xml:space="preserve">with </w:t>
            </w:r>
            <w:r>
              <w:rPr>
                <w:rFonts w:asciiTheme="minorHAnsi" w:hAnsiTheme="minorHAnsi"/>
                <w:i/>
                <w:iCs/>
                <w:sz w:val="20"/>
              </w:rPr>
              <w:t xml:space="preserve">the organization of two criminal sessions and eight mobile courts set up in the jurisdictions of the Appeals Court of </w:t>
            </w:r>
            <w:proofErr w:type="spellStart"/>
            <w:r>
              <w:rPr>
                <w:rFonts w:asciiTheme="minorHAnsi" w:hAnsiTheme="minorHAnsi"/>
                <w:i/>
                <w:iCs/>
                <w:sz w:val="20"/>
              </w:rPr>
              <w:t>Abéché</w:t>
            </w:r>
            <w:proofErr w:type="spellEnd"/>
            <w:r>
              <w:rPr>
                <w:rFonts w:asciiTheme="minorHAnsi" w:hAnsiTheme="minorHAnsi"/>
                <w:i/>
                <w:iCs/>
                <w:sz w:val="20"/>
              </w:rPr>
              <w:t xml:space="preserve"> and </w:t>
            </w:r>
            <w:proofErr w:type="spellStart"/>
            <w:r>
              <w:rPr>
                <w:rFonts w:asciiTheme="minorHAnsi" w:hAnsiTheme="minorHAnsi"/>
                <w:i/>
                <w:iCs/>
                <w:sz w:val="20"/>
              </w:rPr>
              <w:t>Moundou</w:t>
            </w:r>
            <w:proofErr w:type="spellEnd"/>
            <w:r>
              <w:rPr>
                <w:rFonts w:asciiTheme="minorHAnsi" w:hAnsiTheme="minorHAnsi"/>
                <w:i/>
                <w:iCs/>
                <w:sz w:val="20"/>
              </w:rPr>
              <w:t>.</w:t>
            </w:r>
            <w:r>
              <w:rPr>
                <w:rFonts w:asciiTheme="minorHAnsi" w:hAnsiTheme="minorHAnsi"/>
                <w:sz w:val="20"/>
              </w:rPr>
              <w:t xml:space="preserve"> </w:t>
            </w:r>
            <w:r>
              <w:rPr>
                <w:rFonts w:asciiTheme="minorHAnsi" w:hAnsiTheme="minorHAnsi"/>
                <w:i/>
                <w:iCs/>
                <w:sz w:val="20"/>
              </w:rPr>
              <w:t xml:space="preserve">Some 231 examined criminal case files resulted in the redaction of 68 judgments, the implementation of 5 Ministerial Units on gender and 14 functioning Local Peace Committees, the ratification of 60% of the international conventions on human rights, and </w:t>
            </w:r>
            <w:r>
              <w:rPr>
                <w:rFonts w:asciiTheme="minorHAnsi" w:hAnsiTheme="minorHAnsi"/>
                <w:i/>
                <w:iCs/>
                <w:color w:val="000000" w:themeColor="text1"/>
                <w:sz w:val="20"/>
              </w:rPr>
              <w:t>the writing of EITI reports: three prepared in 2012, three in 2013 and one in 2014.</w:t>
            </w:r>
            <w:r>
              <w:rPr>
                <w:rFonts w:asciiTheme="minorHAnsi" w:hAnsiTheme="minorHAnsi"/>
                <w:color w:val="000000" w:themeColor="text1"/>
                <w:sz w:val="20"/>
              </w:rPr>
              <w:t xml:space="preserve"> </w:t>
            </w:r>
            <w:r>
              <w:rPr>
                <w:rFonts w:asciiTheme="minorHAnsi" w:hAnsiTheme="minorHAnsi"/>
                <w:i/>
                <w:iCs/>
                <w:color w:val="000000" w:themeColor="text1"/>
                <w:sz w:val="20"/>
              </w:rPr>
              <w:t>Alt</w:t>
            </w:r>
            <w:r>
              <w:rPr>
                <w:rFonts w:asciiTheme="minorHAnsi" w:hAnsiTheme="minorHAnsi"/>
                <w:i/>
                <w:iCs/>
                <w:sz w:val="20"/>
              </w:rPr>
              <w:t>hough consultation framew</w:t>
            </w:r>
            <w:r w:rsidR="00B9241D">
              <w:rPr>
                <w:rFonts w:asciiTheme="minorHAnsi" w:hAnsiTheme="minorHAnsi"/>
                <w:i/>
                <w:iCs/>
                <w:sz w:val="20"/>
              </w:rPr>
              <w:t>orks for civil society and the G</w:t>
            </w:r>
            <w:r>
              <w:rPr>
                <w:rFonts w:asciiTheme="minorHAnsi" w:hAnsiTheme="minorHAnsi"/>
                <w:i/>
                <w:iCs/>
                <w:sz w:val="20"/>
              </w:rPr>
              <w:t>overnment have been implemented, dialogue on issues regarding gender, youth employment, social cohesion and local development was low.</w:t>
            </w:r>
          </w:p>
        </w:tc>
      </w:tr>
      <w:tr w:rsidR="00700521" w:rsidRPr="00F64BC8" w:rsidTr="00A95CD7">
        <w:tc>
          <w:tcPr>
            <w:tcW w:w="14040" w:type="dxa"/>
            <w:gridSpan w:val="5"/>
          </w:tcPr>
          <w:p w:rsidR="00700521" w:rsidRPr="005677F1" w:rsidRDefault="00DB5BCA" w:rsidP="00366CF6">
            <w:pPr>
              <w:pStyle w:val="BodyText2"/>
              <w:spacing w:before="120" w:after="120"/>
              <w:jc w:val="both"/>
              <w:rPr>
                <w:rFonts w:asciiTheme="minorHAnsi" w:hAnsiTheme="minorHAnsi"/>
                <w:b/>
              </w:rPr>
            </w:pPr>
            <w:r>
              <w:rPr>
                <w:rFonts w:asciiTheme="minorHAnsi" w:hAnsiTheme="minorHAnsi"/>
                <w:b/>
                <w:bCs/>
              </w:rPr>
              <w:t>UNDP Contribution</w:t>
            </w:r>
          </w:p>
          <w:p w:rsidR="00366CF6" w:rsidRPr="006C5BBF" w:rsidRDefault="008B06DD" w:rsidP="00957D8C">
            <w:pPr>
              <w:widowControl/>
              <w:autoSpaceDE w:val="0"/>
              <w:autoSpaceDN w:val="0"/>
              <w:adjustRightInd w:val="0"/>
              <w:jc w:val="both"/>
              <w:rPr>
                <w:rFonts w:asciiTheme="minorHAnsi" w:hAnsiTheme="minorHAnsi"/>
                <w:bCs/>
                <w:sz w:val="22"/>
                <w:szCs w:val="22"/>
              </w:rPr>
            </w:pPr>
            <w:r>
              <w:rPr>
                <w:rFonts w:asciiTheme="minorHAnsi" w:hAnsiTheme="minorHAnsi"/>
                <w:sz w:val="22"/>
                <w:szCs w:val="22"/>
                <w:u w:val="single"/>
              </w:rPr>
              <w:t>CP Outputs</w:t>
            </w:r>
            <w:r>
              <w:rPr>
                <w:rFonts w:asciiTheme="minorHAnsi" w:hAnsiTheme="minorHAnsi"/>
                <w:sz w:val="22"/>
                <w:szCs w:val="22"/>
              </w:rPr>
              <w:t xml:space="preserve">: The strengthening of good governance and advancement of human security </w:t>
            </w:r>
          </w:p>
          <w:p w:rsidR="004A520C" w:rsidRPr="006C5BBF" w:rsidRDefault="008B06DD" w:rsidP="004A520C">
            <w:pPr>
              <w:pStyle w:val="BodyText2"/>
              <w:spacing w:before="120" w:after="120"/>
              <w:jc w:val="both"/>
              <w:rPr>
                <w:rFonts w:asciiTheme="minorHAnsi" w:hAnsiTheme="minorHAnsi"/>
                <w:color w:val="000000" w:themeColor="text1"/>
                <w:sz w:val="22"/>
                <w:szCs w:val="22"/>
              </w:rPr>
            </w:pPr>
            <w:r>
              <w:rPr>
                <w:rFonts w:asciiTheme="minorHAnsi" w:hAnsiTheme="minorHAnsi"/>
                <w:sz w:val="22"/>
                <w:szCs w:val="22"/>
                <w:u w:val="single"/>
              </w:rPr>
              <w:t>Progress and Achievements</w:t>
            </w:r>
            <w:r>
              <w:rPr>
                <w:rFonts w:asciiTheme="minorHAnsi" w:hAnsiTheme="minorHAnsi"/>
                <w:sz w:val="22"/>
                <w:szCs w:val="22"/>
              </w:rPr>
              <w:t xml:space="preserve">: </w:t>
            </w:r>
            <w:r>
              <w:rPr>
                <w:rFonts w:asciiTheme="minorHAnsi" w:hAnsiTheme="minorHAnsi"/>
                <w:color w:val="000000" w:themeColor="text1"/>
                <w:sz w:val="22"/>
                <w:szCs w:val="22"/>
              </w:rPr>
              <w:t xml:space="preserve">UNDP played a determining role in: de-escalating the political environment after presidential, legislative and local elections in 2011; promoting political dialogue, which resulted in the signing of the 4 April 2013 agreement between various actors (presidential majority, democratic opposition and civil society organizations); and implementing the National Framework for Political Dialogue (NFPD). UNDP supported Chad in joining the </w:t>
            </w:r>
            <w:r>
              <w:rPr>
                <w:rFonts w:asciiTheme="minorHAnsi" w:hAnsiTheme="minorHAnsi"/>
                <w:color w:val="000000" w:themeColor="text1"/>
                <w:sz w:val="22"/>
                <w:szCs w:val="22"/>
              </w:rPr>
              <w:lastRenderedPageBreak/>
              <w:t>African Peer Review Mechanism (APRM) by signing the Memorandum of Understanding on 26 January 2013, making Chad the 33</w:t>
            </w:r>
            <w:r>
              <w:rPr>
                <w:rFonts w:asciiTheme="minorHAnsi" w:hAnsiTheme="minorHAnsi"/>
                <w:color w:val="000000" w:themeColor="text1"/>
                <w:sz w:val="22"/>
                <w:szCs w:val="22"/>
                <w:vertAlign w:val="superscript"/>
              </w:rPr>
              <w:t>rd</w:t>
            </w:r>
            <w:r>
              <w:rPr>
                <w:rFonts w:asciiTheme="minorHAnsi" w:hAnsiTheme="minorHAnsi"/>
                <w:color w:val="000000" w:themeColor="text1"/>
                <w:sz w:val="22"/>
                <w:szCs w:val="22"/>
              </w:rPr>
              <w:t xml:space="preserve"> member country after joining NEPAD in 2003. Membership involves Chadian officials agreeing to independent assessments of progress made in governance at various levels of the African Union (Heads of State; regional and sub-regional structures, such as the Pan-African Parliament, the African Commission on Human and Peoples' Rights, the Peace and Security Council, and the Economic, Social and Cultural Council (ECOSOCC)). </w:t>
            </w:r>
          </w:p>
          <w:p w:rsidR="004A520C" w:rsidRPr="006C5BBF" w:rsidRDefault="009543F7" w:rsidP="004A520C">
            <w:pPr>
              <w:pStyle w:val="BodyText2"/>
              <w:spacing w:before="120" w:after="120"/>
              <w:jc w:val="both"/>
              <w:rPr>
                <w:rFonts w:asciiTheme="minorHAnsi" w:hAnsiTheme="minorHAnsi"/>
                <w:color w:val="000000" w:themeColor="text1"/>
                <w:sz w:val="22"/>
                <w:szCs w:val="22"/>
              </w:rPr>
            </w:pPr>
            <w:r>
              <w:rPr>
                <w:rFonts w:asciiTheme="minorHAnsi" w:hAnsiTheme="minorHAnsi"/>
                <w:color w:val="000000" w:themeColor="text1"/>
                <w:sz w:val="22"/>
                <w:szCs w:val="22"/>
              </w:rPr>
              <w:t>The delivery of social services in 12 communes in sanitation and urban development has increased with UNDP support. Some 621 local officials have been trained on their roles, mandates and responsibilities. Planning and management tools for local development have been developed. The capacities of parliamentarians were strengthened through an intensified training for newly elected deputies on their mandate to ensure oversight of government actions. The training addressed relevant topics that improved the deputies’ knowledge, particularly on budget review, techniques for developing laws and monitoring</w:t>
            </w:r>
            <w:r w:rsidR="00D07AEB">
              <w:rPr>
                <w:rFonts w:asciiTheme="minorHAnsi" w:hAnsiTheme="minorHAnsi"/>
                <w:color w:val="000000" w:themeColor="text1"/>
                <w:sz w:val="22"/>
                <w:szCs w:val="22"/>
              </w:rPr>
              <w:t xml:space="preserve"> of</w:t>
            </w:r>
            <w:r>
              <w:rPr>
                <w:rFonts w:asciiTheme="minorHAnsi" w:hAnsiTheme="minorHAnsi"/>
                <w:color w:val="000000" w:themeColor="text1"/>
                <w:sz w:val="22"/>
                <w:szCs w:val="22"/>
              </w:rPr>
              <w:t xml:space="preserve"> government policies and strategies. These training sessions had an impact on the quality of the deputies’ interventions and the debate in the National Assembly. The National Assembly’s operational capacities and delivery of administrative and logistics services have improved due to equipment provided as part of UNDP assistance. </w:t>
            </w:r>
          </w:p>
          <w:p w:rsidR="00193C0F" w:rsidRPr="006C5BBF" w:rsidRDefault="0013215B" w:rsidP="004A520C">
            <w:pPr>
              <w:pStyle w:val="BodyText2"/>
              <w:spacing w:before="120" w:after="120"/>
              <w:jc w:val="both"/>
              <w:rPr>
                <w:rFonts w:asciiTheme="minorHAnsi" w:hAnsiTheme="minorHAnsi"/>
                <w:sz w:val="22"/>
                <w:szCs w:val="22"/>
                <w:shd w:val="clear" w:color="auto" w:fill="FFFFFF"/>
              </w:rPr>
            </w:pPr>
            <w:r>
              <w:rPr>
                <w:rFonts w:asciiTheme="minorHAnsi" w:hAnsiTheme="minorHAnsi"/>
                <w:color w:val="000000" w:themeColor="text1"/>
                <w:sz w:val="22"/>
                <w:szCs w:val="22"/>
              </w:rPr>
              <w:t xml:space="preserve">Progress was reported in the submission of periodic reports and compliance with international commitments on human rights. Out of the total 10 reports that Chad is late in submitting, 6 have been written and 4 are pending, thanks to assistance from UNDP in partnership with the Office of the United Nations High Commissioner for Human Rights. This involves the validation of Chad’s periodic report on economic, social and cultural rights and on racial discrimination. A draft law to revise the status of the National Human Rights Commission (NHRC) to ensure it is compliant with the Paris Principals was adopted. </w:t>
            </w:r>
          </w:p>
          <w:p w:rsidR="0013215B" w:rsidRPr="006C5BBF" w:rsidRDefault="00111668" w:rsidP="004A520C">
            <w:pPr>
              <w:spacing w:after="160" w:line="259" w:lineRule="auto"/>
              <w:contextualSpacing/>
              <w:jc w:val="both"/>
              <w:rPr>
                <w:rFonts w:asciiTheme="minorHAnsi" w:hAnsiTheme="minorHAnsi"/>
                <w:bCs/>
                <w:iCs/>
                <w:sz w:val="22"/>
                <w:szCs w:val="22"/>
                <w:shd w:val="clear" w:color="auto" w:fill="FFFFFF"/>
              </w:rPr>
            </w:pPr>
            <w:r>
              <w:rPr>
                <w:rFonts w:asciiTheme="minorHAnsi" w:hAnsiTheme="minorHAnsi"/>
                <w:color w:val="000000" w:themeColor="text1"/>
                <w:sz w:val="22"/>
                <w:szCs w:val="22"/>
              </w:rPr>
              <w:t>In the areas of peacebuilding, social cohesion and conflict prevention, 150 inter- and intra-community conflicts were solved peacefully between 2011 and 2015, particularly through 14 Local Peace Committees (LPCs) and community radio shows.</w:t>
            </w:r>
            <w:r w:rsidR="00D07AEB">
              <w:rPr>
                <w:rFonts w:asciiTheme="minorHAnsi" w:hAnsiTheme="minorHAnsi"/>
                <w:color w:val="000000" w:themeColor="text1"/>
                <w:sz w:val="22"/>
                <w:szCs w:val="22"/>
              </w:rPr>
              <w:t xml:space="preserve"> </w:t>
            </w:r>
            <w:r>
              <w:rPr>
                <w:rFonts w:asciiTheme="minorHAnsi" w:hAnsiTheme="minorHAnsi"/>
                <w:sz w:val="22"/>
                <w:szCs w:val="22"/>
                <w:shd w:val="clear" w:color="auto" w:fill="FFFFFF"/>
              </w:rPr>
              <w:t>Assistance from UNDP helped improve acce</w:t>
            </w:r>
            <w:r w:rsidR="00D07AEB">
              <w:rPr>
                <w:rFonts w:asciiTheme="minorHAnsi" w:hAnsiTheme="minorHAnsi"/>
                <w:sz w:val="22"/>
                <w:szCs w:val="22"/>
                <w:shd w:val="clear" w:color="auto" w:fill="FFFFFF"/>
              </w:rPr>
              <w:t>ss to justice in remote areas. For example, e</w:t>
            </w:r>
            <w:r>
              <w:rPr>
                <w:rFonts w:asciiTheme="minorHAnsi" w:hAnsiTheme="minorHAnsi"/>
                <w:sz w:val="22"/>
                <w:szCs w:val="22"/>
                <w:shd w:val="clear" w:color="auto" w:fill="FFFFFF"/>
              </w:rPr>
              <w:t xml:space="preserve">ight mobile courts and two criminal sessions were able to examine </w:t>
            </w:r>
            <w:r>
              <w:rPr>
                <w:rFonts w:asciiTheme="minorHAnsi" w:hAnsiTheme="minorHAnsi"/>
                <w:sz w:val="22"/>
                <w:szCs w:val="22"/>
              </w:rPr>
              <w:t xml:space="preserve">231 pending criminal cases in the courts. In addition, </w:t>
            </w:r>
            <w:r>
              <w:rPr>
                <w:rFonts w:asciiTheme="minorHAnsi" w:hAnsiTheme="minorHAnsi"/>
                <w:sz w:val="22"/>
                <w:szCs w:val="22"/>
                <w:shd w:val="clear" w:color="auto" w:fill="FFFFFF"/>
              </w:rPr>
              <w:t>those charged with crimes are more informed and aware of their rights and responsibilities in the targeted areas, through the implementation of a network of paralegals (four Legal Assistance Offices and three Orientation Centers for Defendants) and the roll-out of awareness-raising campaigns on access to rights, in partnership with the media, etc. The partnerships with the Ministries of Women, of Justice and of Women’s Associations led to an increase in formal complaints of gender-based violence. At least 150 claims per year of cases of</w:t>
            </w:r>
            <w:r w:rsidR="006E1871">
              <w:rPr>
                <w:rFonts w:asciiTheme="minorHAnsi" w:hAnsiTheme="minorHAnsi"/>
                <w:sz w:val="22"/>
                <w:szCs w:val="22"/>
                <w:shd w:val="clear" w:color="auto" w:fill="FFFFFF"/>
              </w:rPr>
              <w:t xml:space="preserve"> violence (source MFPPESN</w:t>
            </w:r>
            <w:r>
              <w:rPr>
                <w:rFonts w:asciiTheme="minorHAnsi" w:hAnsiTheme="minorHAnsi"/>
                <w:sz w:val="22"/>
                <w:szCs w:val="22"/>
                <w:shd w:val="clear" w:color="auto" w:fill="FFFFFF"/>
              </w:rPr>
              <w:t xml:space="preserve">) have been reported by the Ministry of Women and associations each year since 2013; this marks a significant change in attitudes in a context characterized by structural constraints. </w:t>
            </w:r>
          </w:p>
          <w:p w:rsidR="002243C4" w:rsidRDefault="002243C4" w:rsidP="002243C4">
            <w:pPr>
              <w:spacing w:after="160" w:line="252" w:lineRule="auto"/>
              <w:contextualSpacing/>
              <w:jc w:val="both"/>
            </w:pPr>
          </w:p>
          <w:p w:rsidR="002243C4" w:rsidRPr="002243C4" w:rsidRDefault="009543F7" w:rsidP="002243C4">
            <w:pPr>
              <w:spacing w:after="160" w:line="252" w:lineRule="auto"/>
              <w:contextualSpacing/>
              <w:jc w:val="both"/>
              <w:rPr>
                <w:rFonts w:asciiTheme="minorHAnsi" w:hAnsiTheme="minorHAnsi"/>
                <w:sz w:val="22"/>
                <w:szCs w:val="22"/>
              </w:rPr>
            </w:pPr>
            <w:r>
              <w:rPr>
                <w:rFonts w:asciiTheme="minorHAnsi" w:hAnsiTheme="minorHAnsi"/>
                <w:sz w:val="22"/>
                <w:szCs w:val="22"/>
              </w:rPr>
              <w:t xml:space="preserve">The challenge is to strengthen the rule of law and to create an environment where the judiciary, legislative and executive bodies and civil society fulfill their mandates by promoting individual rights, especially women’s rights. </w:t>
            </w:r>
          </w:p>
          <w:p w:rsidR="002243C4" w:rsidRPr="004A520C" w:rsidRDefault="002243C4" w:rsidP="004A520C">
            <w:pPr>
              <w:spacing w:after="160" w:line="259" w:lineRule="auto"/>
              <w:contextualSpacing/>
              <w:jc w:val="both"/>
              <w:rPr>
                <w:rFonts w:asciiTheme="minorHAnsi" w:hAnsiTheme="minorHAnsi"/>
                <w:shd w:val="clear" w:color="auto" w:fill="FFFFFF"/>
              </w:rPr>
            </w:pPr>
          </w:p>
        </w:tc>
      </w:tr>
    </w:tbl>
    <w:p w:rsidR="00D9192E" w:rsidRPr="005677F1" w:rsidRDefault="00D9192E">
      <w:pPr>
        <w:rPr>
          <w:rFonts w:asciiTheme="minorHAnsi" w:hAnsiTheme="minorHAnsi"/>
          <w:sz w:val="20"/>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0"/>
      </w:tblGrid>
      <w:tr w:rsidR="009E7526" w:rsidRPr="00F64BC8" w:rsidTr="00463C72">
        <w:tc>
          <w:tcPr>
            <w:tcW w:w="14040" w:type="dxa"/>
          </w:tcPr>
          <w:p w:rsidR="009E7526" w:rsidRPr="000264F0" w:rsidRDefault="009E7526" w:rsidP="00366CF6">
            <w:pPr>
              <w:jc w:val="both"/>
              <w:rPr>
                <w:rFonts w:asciiTheme="minorHAnsi" w:hAnsiTheme="minorHAnsi"/>
                <w:sz w:val="22"/>
                <w:szCs w:val="22"/>
                <w:u w:val="single"/>
              </w:rPr>
            </w:pPr>
            <w:r>
              <w:rPr>
                <w:rFonts w:asciiTheme="minorHAnsi" w:hAnsiTheme="minorHAnsi"/>
                <w:sz w:val="22"/>
                <w:szCs w:val="22"/>
                <w:u w:val="single"/>
              </w:rPr>
              <w:t>Summary of evaluation findings (e.g. from outcome and project evaluations, UNDAF reviews, and other assessments)</w:t>
            </w:r>
          </w:p>
          <w:p w:rsidR="004A7DB8" w:rsidRPr="000264F0" w:rsidRDefault="004A7DB8" w:rsidP="00366CF6">
            <w:pPr>
              <w:jc w:val="both"/>
              <w:rPr>
                <w:rFonts w:asciiTheme="minorHAnsi" w:hAnsiTheme="minorHAnsi"/>
                <w:sz w:val="22"/>
                <w:szCs w:val="22"/>
                <w:u w:val="single"/>
              </w:rPr>
            </w:pPr>
          </w:p>
          <w:p w:rsidR="00F174A2" w:rsidRPr="000264F0" w:rsidRDefault="00F174A2" w:rsidP="00F174A2">
            <w:pPr>
              <w:jc w:val="both"/>
              <w:rPr>
                <w:rFonts w:asciiTheme="minorHAnsi" w:hAnsiTheme="minorHAnsi"/>
                <w:b/>
                <w:sz w:val="22"/>
                <w:szCs w:val="22"/>
              </w:rPr>
            </w:pPr>
            <w:r>
              <w:rPr>
                <w:rFonts w:asciiTheme="minorHAnsi" w:hAnsiTheme="minorHAnsi"/>
                <w:b/>
                <w:bCs/>
                <w:sz w:val="22"/>
                <w:szCs w:val="22"/>
              </w:rPr>
              <w:lastRenderedPageBreak/>
              <w:t>Mid-term Evaluation of the CPAP 2012–2015:</w:t>
            </w:r>
          </w:p>
          <w:p w:rsidR="00F174A2" w:rsidRPr="000264F0" w:rsidRDefault="00F174A2" w:rsidP="00F174A2">
            <w:pPr>
              <w:jc w:val="both"/>
              <w:rPr>
                <w:rFonts w:asciiTheme="minorHAnsi" w:hAnsiTheme="minorHAnsi"/>
                <w:sz w:val="22"/>
                <w:szCs w:val="22"/>
              </w:rPr>
            </w:pPr>
          </w:p>
          <w:p w:rsidR="00F174A2" w:rsidRPr="000264F0" w:rsidRDefault="003D336A" w:rsidP="00F174A2">
            <w:pPr>
              <w:jc w:val="both"/>
              <w:rPr>
                <w:rFonts w:asciiTheme="minorHAnsi" w:hAnsiTheme="minorHAnsi"/>
                <w:sz w:val="22"/>
                <w:szCs w:val="22"/>
              </w:rPr>
            </w:pPr>
            <w:r>
              <w:rPr>
                <w:rFonts w:asciiTheme="minorHAnsi" w:hAnsiTheme="minorHAnsi"/>
                <w:sz w:val="22"/>
                <w:szCs w:val="22"/>
              </w:rPr>
              <w:t>Key achievements:</w:t>
            </w: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The creation of Legal Assi</w:t>
            </w:r>
            <w:r w:rsidR="006E1871">
              <w:rPr>
                <w:rFonts w:asciiTheme="minorHAnsi" w:hAnsiTheme="minorHAnsi"/>
                <w:sz w:val="22"/>
                <w:szCs w:val="22"/>
              </w:rPr>
              <w:t>stance Offices (LAOs</w:t>
            </w:r>
            <w:r>
              <w:rPr>
                <w:rFonts w:asciiTheme="minorHAnsi" w:hAnsiTheme="minorHAnsi"/>
                <w:sz w:val="22"/>
                <w:szCs w:val="22"/>
              </w:rPr>
              <w:t>) and Local Peace Committees (LPCs) helped renew the public’s confidence in securing access to justice.</w:t>
            </w: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The National Development Plan is available and recognized as the sole national reference framework for all development activities.</w:t>
            </w:r>
          </w:p>
          <w:p w:rsidR="00F174A2" w:rsidRPr="000264F0" w:rsidRDefault="00F174A2" w:rsidP="00F174A2">
            <w:pPr>
              <w:jc w:val="both"/>
              <w:rPr>
                <w:rFonts w:asciiTheme="minorHAnsi" w:hAnsiTheme="minorHAnsi"/>
                <w:sz w:val="22"/>
                <w:szCs w:val="22"/>
              </w:rPr>
            </w:pPr>
          </w:p>
          <w:p w:rsidR="00F174A2" w:rsidRPr="000264F0" w:rsidRDefault="003D336A" w:rsidP="00F174A2">
            <w:pPr>
              <w:jc w:val="both"/>
              <w:rPr>
                <w:rFonts w:asciiTheme="minorHAnsi" w:hAnsiTheme="minorHAnsi"/>
                <w:sz w:val="22"/>
                <w:szCs w:val="22"/>
              </w:rPr>
            </w:pPr>
            <w:r>
              <w:rPr>
                <w:rFonts w:asciiTheme="minorHAnsi" w:hAnsiTheme="minorHAnsi"/>
                <w:sz w:val="22"/>
                <w:szCs w:val="22"/>
              </w:rPr>
              <w:t>Major lessons learned:</w:t>
            </w:r>
          </w:p>
          <w:p w:rsidR="00F174A2" w:rsidRPr="000264F0" w:rsidRDefault="00F174A2" w:rsidP="00F174A2">
            <w:pPr>
              <w:jc w:val="both"/>
              <w:rPr>
                <w:rFonts w:asciiTheme="minorHAnsi" w:hAnsiTheme="minorHAnsi"/>
                <w:sz w:val="22"/>
                <w:szCs w:val="22"/>
              </w:rPr>
            </w:pP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UNDP’s low financial weight is a handicap in its leadership role in the areas where it has a comparative advantage, recognized by other development partners. Advocacy and a strategic partnership should be developed in order to mobilize additional resources, including thos</w:t>
            </w:r>
            <w:r w:rsidR="00D07AEB">
              <w:rPr>
                <w:rFonts w:asciiTheme="minorHAnsi" w:hAnsiTheme="minorHAnsi"/>
                <w:sz w:val="22"/>
                <w:szCs w:val="22"/>
              </w:rPr>
              <w:t>e of the Government counterpart.</w:t>
            </w: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The lack of internal monitoring and evaluation capacities exacerbated by the weak coordination role assumed by the Ministry of Planning does not promote rigorous monitoring of out</w:t>
            </w:r>
            <w:r w:rsidR="00D07AEB">
              <w:rPr>
                <w:rFonts w:asciiTheme="minorHAnsi" w:hAnsiTheme="minorHAnsi"/>
                <w:sz w:val="22"/>
                <w:szCs w:val="22"/>
              </w:rPr>
              <w:t>comes assigned to the programme.</w:t>
            </w: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The use of the national execution modality promotes greater ownership of programmes but must be supported by subsequent strengthening of the capacities of national structures and of civil society, particularly for women.</w:t>
            </w:r>
          </w:p>
          <w:p w:rsidR="00F174A2" w:rsidRPr="000264F0" w:rsidRDefault="00F174A2" w:rsidP="00F174A2">
            <w:pPr>
              <w:jc w:val="both"/>
              <w:rPr>
                <w:rFonts w:asciiTheme="minorHAnsi" w:hAnsiTheme="minorHAnsi"/>
                <w:sz w:val="22"/>
                <w:szCs w:val="22"/>
              </w:rPr>
            </w:pPr>
          </w:p>
          <w:p w:rsidR="00F174A2" w:rsidRPr="000264F0" w:rsidRDefault="003D336A" w:rsidP="00F174A2">
            <w:pPr>
              <w:jc w:val="both"/>
              <w:rPr>
                <w:rFonts w:asciiTheme="minorHAnsi" w:hAnsiTheme="minorHAnsi"/>
                <w:b/>
                <w:sz w:val="22"/>
                <w:szCs w:val="22"/>
              </w:rPr>
            </w:pPr>
            <w:r>
              <w:rPr>
                <w:rFonts w:asciiTheme="minorHAnsi" w:hAnsiTheme="minorHAnsi"/>
                <w:b/>
                <w:bCs/>
                <w:sz w:val="22"/>
                <w:szCs w:val="22"/>
              </w:rPr>
              <w:t>Final Evaluation of the Interim Strategic Framework 2012–2015 (Draft):</w:t>
            </w:r>
          </w:p>
          <w:p w:rsidR="00F174A2" w:rsidRPr="000264F0" w:rsidRDefault="00F174A2" w:rsidP="00F174A2">
            <w:pPr>
              <w:jc w:val="both"/>
              <w:rPr>
                <w:rFonts w:asciiTheme="minorHAnsi" w:hAnsiTheme="minorHAnsi"/>
                <w:sz w:val="22"/>
                <w:szCs w:val="22"/>
              </w:rPr>
            </w:pPr>
          </w:p>
          <w:p w:rsidR="00F174A2" w:rsidRPr="000264F0" w:rsidRDefault="00F174A2" w:rsidP="00F174A2">
            <w:pPr>
              <w:jc w:val="both"/>
              <w:rPr>
                <w:rFonts w:asciiTheme="minorHAnsi" w:hAnsiTheme="minorHAnsi"/>
                <w:sz w:val="22"/>
                <w:szCs w:val="22"/>
              </w:rPr>
            </w:pPr>
            <w:r>
              <w:rPr>
                <w:rFonts w:asciiTheme="minorHAnsi" w:hAnsiTheme="minorHAnsi"/>
                <w:sz w:val="22"/>
                <w:szCs w:val="22"/>
              </w:rPr>
              <w:t>Key achievements:</w:t>
            </w: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The development of the Capacity</w:t>
            </w:r>
            <w:r w:rsidR="006E1871">
              <w:rPr>
                <w:rFonts w:asciiTheme="minorHAnsi" w:hAnsiTheme="minorHAnsi"/>
                <w:sz w:val="22"/>
                <w:szCs w:val="22"/>
              </w:rPr>
              <w:t xml:space="preserve"> Strengthening Initiative</w:t>
            </w:r>
            <w:r>
              <w:rPr>
                <w:rFonts w:asciiTheme="minorHAnsi" w:hAnsiTheme="minorHAnsi"/>
                <w:sz w:val="22"/>
                <w:szCs w:val="22"/>
              </w:rPr>
              <w:t xml:space="preserve"> (CSI) in itself establishes an organized and participatory framework that by its very nature will help stren</w:t>
            </w:r>
            <w:r w:rsidR="00D07AEB">
              <w:rPr>
                <w:rFonts w:asciiTheme="minorHAnsi" w:hAnsiTheme="minorHAnsi"/>
                <w:sz w:val="22"/>
                <w:szCs w:val="22"/>
              </w:rPr>
              <w:t>gthen development interventions.</w:t>
            </w: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Numerous projects were initiated and implemented with technical support from the UN system. The UN system thus helped achieve certain outcomes in several sectors (including education and health, among others, which were explicitly mentioned),</w:t>
            </w:r>
            <w:r w:rsidR="00D07AEB">
              <w:rPr>
                <w:rFonts w:asciiTheme="minorHAnsi" w:hAnsiTheme="minorHAnsi"/>
                <w:sz w:val="22"/>
                <w:szCs w:val="22"/>
              </w:rPr>
              <w:t xml:space="preserve"> through specialized programmes.</w:t>
            </w:r>
          </w:p>
          <w:p w:rsidR="00F174A2" w:rsidRDefault="00F174A2" w:rsidP="00F174A2">
            <w:pPr>
              <w:jc w:val="both"/>
              <w:rPr>
                <w:rFonts w:asciiTheme="minorHAnsi" w:hAnsiTheme="minorHAnsi"/>
                <w:sz w:val="22"/>
                <w:szCs w:val="22"/>
              </w:rPr>
            </w:pPr>
          </w:p>
          <w:p w:rsidR="000264F0" w:rsidRPr="000264F0" w:rsidRDefault="000264F0" w:rsidP="00F174A2">
            <w:pPr>
              <w:jc w:val="both"/>
              <w:rPr>
                <w:rFonts w:asciiTheme="minorHAnsi" w:hAnsiTheme="minorHAnsi"/>
                <w:sz w:val="22"/>
                <w:szCs w:val="22"/>
              </w:rPr>
            </w:pPr>
          </w:p>
          <w:p w:rsidR="00F174A2" w:rsidRPr="000264F0" w:rsidRDefault="003D336A" w:rsidP="00F174A2">
            <w:pPr>
              <w:jc w:val="both"/>
              <w:rPr>
                <w:rFonts w:asciiTheme="minorHAnsi" w:hAnsiTheme="minorHAnsi"/>
                <w:sz w:val="22"/>
                <w:szCs w:val="22"/>
              </w:rPr>
            </w:pPr>
            <w:r>
              <w:rPr>
                <w:rFonts w:asciiTheme="minorHAnsi" w:hAnsiTheme="minorHAnsi"/>
                <w:sz w:val="22"/>
                <w:szCs w:val="22"/>
              </w:rPr>
              <w:t>Major lessons learned:</w:t>
            </w:r>
          </w:p>
          <w:p w:rsidR="00F174A2" w:rsidRPr="000264F0" w:rsidRDefault="00F174A2" w:rsidP="00F174A2">
            <w:pPr>
              <w:jc w:val="both"/>
              <w:rPr>
                <w:rFonts w:asciiTheme="minorHAnsi" w:hAnsiTheme="minorHAnsi"/>
                <w:sz w:val="22"/>
                <w:szCs w:val="22"/>
              </w:rPr>
            </w:pP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Flexibility in the strategic planning process makes it possible to deal with the lack of any reference framework at the national level</w:t>
            </w:r>
            <w:r w:rsidR="00D07AEB">
              <w:rPr>
                <w:rFonts w:asciiTheme="minorHAnsi" w:hAnsiTheme="minorHAnsi"/>
                <w:sz w:val="22"/>
                <w:szCs w:val="22"/>
              </w:rPr>
              <w:t>.</w:t>
            </w:r>
          </w:p>
          <w:p w:rsidR="00F174A2" w:rsidRPr="000264F0" w:rsidRDefault="00F174A2" w:rsidP="00F174A2">
            <w:pPr>
              <w:pStyle w:val="ListParagraph"/>
              <w:numPr>
                <w:ilvl w:val="0"/>
                <w:numId w:val="8"/>
              </w:numPr>
              <w:jc w:val="both"/>
              <w:rPr>
                <w:rFonts w:asciiTheme="minorHAnsi" w:hAnsiTheme="minorHAnsi"/>
                <w:sz w:val="22"/>
                <w:szCs w:val="22"/>
              </w:rPr>
            </w:pPr>
            <w:r>
              <w:rPr>
                <w:rFonts w:asciiTheme="minorHAnsi" w:hAnsiTheme="minorHAnsi"/>
                <w:sz w:val="22"/>
                <w:szCs w:val="22"/>
              </w:rPr>
              <w:t>The lack of a steering system and monitoring and evaluation mechanism is a serious handicap to implementing programming f</w:t>
            </w:r>
            <w:r w:rsidR="00D07AEB">
              <w:rPr>
                <w:rFonts w:asciiTheme="minorHAnsi" w:hAnsiTheme="minorHAnsi"/>
                <w:sz w:val="22"/>
                <w:szCs w:val="22"/>
              </w:rPr>
              <w:t>rameworks and tools.</w:t>
            </w:r>
          </w:p>
          <w:p w:rsidR="00B31074" w:rsidRPr="000264F0" w:rsidRDefault="00F174A2" w:rsidP="00B31074">
            <w:pPr>
              <w:pStyle w:val="ListParagraph"/>
              <w:numPr>
                <w:ilvl w:val="0"/>
                <w:numId w:val="8"/>
              </w:numPr>
              <w:jc w:val="both"/>
              <w:rPr>
                <w:rFonts w:asciiTheme="minorHAnsi" w:hAnsiTheme="minorHAnsi"/>
                <w:sz w:val="22"/>
                <w:szCs w:val="22"/>
              </w:rPr>
            </w:pPr>
            <w:r>
              <w:rPr>
                <w:rFonts w:asciiTheme="minorHAnsi" w:hAnsiTheme="minorHAnsi"/>
                <w:sz w:val="22"/>
                <w:szCs w:val="22"/>
              </w:rPr>
              <w:t>The comparative advantages of the United Nations System positions it as a key partner in the implementation of national development strategies. The diversity of its Agencies and Funds was able to synergistically cover a wide range of key sectors.</w:t>
            </w:r>
          </w:p>
          <w:p w:rsidR="00B31074" w:rsidRPr="005677F1" w:rsidRDefault="00B31074" w:rsidP="00B31074">
            <w:pPr>
              <w:jc w:val="both"/>
              <w:rPr>
                <w:rFonts w:asciiTheme="minorHAnsi" w:hAnsiTheme="minorHAnsi"/>
                <w:sz w:val="20"/>
              </w:rPr>
            </w:pPr>
          </w:p>
        </w:tc>
      </w:tr>
    </w:tbl>
    <w:p w:rsidR="00584C12" w:rsidRPr="005677F1" w:rsidRDefault="00584C12">
      <w:pPr>
        <w:pStyle w:val="BodyText2"/>
        <w:rPr>
          <w:rFonts w:asciiTheme="minorHAnsi" w:hAnsiTheme="minorHAnsi"/>
        </w:rPr>
      </w:pPr>
    </w:p>
    <w:p w:rsidR="00E37E7A" w:rsidRPr="005677F1" w:rsidRDefault="00EA7740" w:rsidP="00584C12">
      <w:pPr>
        <w:pStyle w:val="Heading3"/>
        <w:jc w:val="left"/>
        <w:rPr>
          <w:rFonts w:asciiTheme="minorHAnsi" w:hAnsiTheme="minorHAnsi"/>
          <w:b/>
          <w:sz w:val="20"/>
        </w:rPr>
      </w:pPr>
      <w:r>
        <w:rPr>
          <w:rFonts w:asciiTheme="minorHAnsi" w:hAnsiTheme="minorHAnsi"/>
          <w:b/>
          <w:sz w:val="20"/>
        </w:rPr>
        <w:lastRenderedPageBreak/>
        <w:t>III. Country Programme Resources</w:t>
      </w:r>
    </w:p>
    <w:p w:rsidR="00635929" w:rsidRPr="005677F1" w:rsidRDefault="00635929" w:rsidP="002315A5">
      <w:pPr>
        <w:pStyle w:val="BodyText2"/>
        <w:rPr>
          <w:rFonts w:asciiTheme="minorHAnsi" w:hAnsiTheme="minorHAnsi"/>
        </w:rPr>
      </w:pPr>
    </w:p>
    <w:tbl>
      <w:tblPr>
        <w:tblStyle w:val="TableGrid"/>
        <w:tblW w:w="0" w:type="auto"/>
        <w:tblLook w:val="04A0" w:firstRow="1" w:lastRow="0" w:firstColumn="1" w:lastColumn="0" w:noHBand="0" w:noVBand="1"/>
      </w:tblPr>
      <w:tblGrid>
        <w:gridCol w:w="6117"/>
        <w:gridCol w:w="1866"/>
        <w:gridCol w:w="2039"/>
        <w:gridCol w:w="1949"/>
        <w:gridCol w:w="1979"/>
      </w:tblGrid>
      <w:tr w:rsidR="00BD43BE" w:rsidRPr="005677F1" w:rsidTr="00BD43BE">
        <w:tc>
          <w:tcPr>
            <w:tcW w:w="6117"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D43BE" w:rsidRPr="005677F1" w:rsidRDefault="00BD43BE">
            <w:pPr>
              <w:pStyle w:val="BodyText2"/>
              <w:jc w:val="center"/>
              <w:rPr>
                <w:rFonts w:asciiTheme="minorHAnsi" w:hAnsiTheme="minorHAnsi"/>
                <w:b/>
                <w:color w:val="FFFFFF" w:themeColor="background1"/>
              </w:rPr>
            </w:pPr>
            <w:r>
              <w:rPr>
                <w:rFonts w:asciiTheme="minorHAnsi" w:hAnsiTheme="minorHAnsi"/>
                <w:b/>
                <w:bCs/>
                <w:color w:val="FFFFFF" w:themeColor="background1"/>
              </w:rPr>
              <w:t>Focus Area</w:t>
            </w:r>
          </w:p>
        </w:tc>
        <w:tc>
          <w:tcPr>
            <w:tcW w:w="5854"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rsidR="00BD43BE" w:rsidRPr="005677F1" w:rsidRDefault="00BD43BE">
            <w:pPr>
              <w:pStyle w:val="BodyText2"/>
              <w:jc w:val="center"/>
              <w:rPr>
                <w:rFonts w:asciiTheme="minorHAnsi" w:hAnsiTheme="minorHAnsi"/>
                <w:b/>
                <w:color w:val="FFFFFF" w:themeColor="background1"/>
              </w:rPr>
            </w:pPr>
            <w:r>
              <w:rPr>
                <w:rFonts w:asciiTheme="minorHAnsi" w:hAnsiTheme="minorHAnsi"/>
                <w:b/>
                <w:bCs/>
                <w:color w:val="FFFFFF" w:themeColor="background1"/>
              </w:rPr>
              <w:t>Programme Expenditure 2012–2015 ($)</w:t>
            </w:r>
          </w:p>
        </w:tc>
        <w:tc>
          <w:tcPr>
            <w:tcW w:w="197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BD43BE" w:rsidRPr="005677F1" w:rsidRDefault="00BD43BE">
            <w:pPr>
              <w:pStyle w:val="BodyText2"/>
              <w:jc w:val="center"/>
              <w:rPr>
                <w:rFonts w:asciiTheme="minorHAnsi" w:hAnsiTheme="minorHAnsi"/>
                <w:b/>
                <w:color w:val="FFFFFF" w:themeColor="background1"/>
              </w:rPr>
            </w:pPr>
            <w:r>
              <w:rPr>
                <w:rFonts w:asciiTheme="minorHAnsi" w:hAnsiTheme="minorHAnsi"/>
                <w:b/>
                <w:bCs/>
                <w:color w:val="FFFFFF" w:themeColor="background1"/>
              </w:rPr>
              <w:t>% of Total</w:t>
            </w:r>
          </w:p>
        </w:tc>
      </w:tr>
      <w:tr w:rsidR="00BD43BE" w:rsidRPr="005677F1" w:rsidTr="00BD43BE">
        <w:tc>
          <w:tcPr>
            <w:tcW w:w="6117" w:type="dxa"/>
            <w:tcBorders>
              <w:top w:val="single" w:sz="4" w:space="0" w:color="auto"/>
              <w:left w:val="single" w:sz="4" w:space="0" w:color="auto"/>
              <w:bottom w:val="single" w:sz="4" w:space="0" w:color="auto"/>
              <w:right w:val="single" w:sz="4" w:space="0" w:color="auto"/>
            </w:tcBorders>
          </w:tcPr>
          <w:p w:rsidR="00BD43BE" w:rsidRPr="005677F1" w:rsidRDefault="00BD43BE">
            <w:pPr>
              <w:pStyle w:val="BodyText2"/>
              <w:rPr>
                <w:rFonts w:asciiTheme="minorHAnsi" w:hAnsiTheme="minorHAnsi"/>
              </w:rPr>
            </w:pPr>
          </w:p>
        </w:tc>
        <w:tc>
          <w:tcPr>
            <w:tcW w:w="1866" w:type="dxa"/>
            <w:tcBorders>
              <w:top w:val="single" w:sz="4" w:space="0" w:color="auto"/>
              <w:left w:val="single" w:sz="4" w:space="0" w:color="auto"/>
              <w:bottom w:val="single" w:sz="4" w:space="0" w:color="auto"/>
              <w:right w:val="single" w:sz="4" w:space="0" w:color="auto"/>
            </w:tcBorders>
            <w:hideMark/>
          </w:tcPr>
          <w:p w:rsidR="00BD43BE" w:rsidRPr="005677F1" w:rsidRDefault="00BD43BE">
            <w:pPr>
              <w:pStyle w:val="BodyText2"/>
              <w:jc w:val="center"/>
              <w:rPr>
                <w:rFonts w:asciiTheme="minorHAnsi" w:hAnsiTheme="minorHAnsi"/>
              </w:rPr>
            </w:pPr>
            <w:r>
              <w:rPr>
                <w:rFonts w:asciiTheme="minorHAnsi" w:hAnsiTheme="minorHAnsi"/>
              </w:rPr>
              <w:t>Regular (TRAC)</w:t>
            </w:r>
          </w:p>
        </w:tc>
        <w:tc>
          <w:tcPr>
            <w:tcW w:w="2039" w:type="dxa"/>
            <w:tcBorders>
              <w:top w:val="single" w:sz="4" w:space="0" w:color="auto"/>
              <w:left w:val="single" w:sz="4" w:space="0" w:color="auto"/>
              <w:bottom w:val="single" w:sz="4" w:space="0" w:color="auto"/>
              <w:right w:val="single" w:sz="4" w:space="0" w:color="auto"/>
            </w:tcBorders>
            <w:hideMark/>
          </w:tcPr>
          <w:p w:rsidR="00BD43BE" w:rsidRPr="005677F1" w:rsidRDefault="00BD43BE">
            <w:pPr>
              <w:pStyle w:val="BodyText2"/>
              <w:jc w:val="center"/>
              <w:rPr>
                <w:rFonts w:asciiTheme="minorHAnsi" w:hAnsiTheme="minorHAnsi"/>
              </w:rPr>
            </w:pPr>
            <w:r>
              <w:rPr>
                <w:rFonts w:asciiTheme="minorHAnsi" w:hAnsiTheme="minorHAnsi"/>
              </w:rPr>
              <w:t>Other</w:t>
            </w:r>
          </w:p>
        </w:tc>
        <w:tc>
          <w:tcPr>
            <w:tcW w:w="1949" w:type="dxa"/>
            <w:tcBorders>
              <w:top w:val="single" w:sz="4" w:space="0" w:color="auto"/>
              <w:left w:val="single" w:sz="4" w:space="0" w:color="auto"/>
              <w:bottom w:val="single" w:sz="4" w:space="0" w:color="auto"/>
              <w:right w:val="single" w:sz="4" w:space="0" w:color="auto"/>
            </w:tcBorders>
            <w:hideMark/>
          </w:tcPr>
          <w:p w:rsidR="00BD43BE" w:rsidRPr="005677F1" w:rsidRDefault="00BD43BE">
            <w:pPr>
              <w:pStyle w:val="BodyText2"/>
              <w:jc w:val="center"/>
              <w:rPr>
                <w:rFonts w:asciiTheme="minorHAnsi" w:hAnsiTheme="minorHAnsi"/>
              </w:rPr>
            </w:pPr>
            <w:r>
              <w:rPr>
                <w:rFonts w:asciiTheme="minorHAnsi" w:hAnsiTheme="minorHAnsi"/>
              </w:rPr>
              <w:t>Total</w:t>
            </w:r>
          </w:p>
        </w:tc>
        <w:tc>
          <w:tcPr>
            <w:tcW w:w="1979" w:type="dxa"/>
            <w:tcBorders>
              <w:top w:val="single" w:sz="4" w:space="0" w:color="auto"/>
              <w:left w:val="single" w:sz="4" w:space="0" w:color="auto"/>
              <w:bottom w:val="single" w:sz="4" w:space="0" w:color="auto"/>
              <w:right w:val="single" w:sz="4" w:space="0" w:color="auto"/>
            </w:tcBorders>
          </w:tcPr>
          <w:p w:rsidR="00BD43BE" w:rsidRPr="005677F1" w:rsidRDefault="00BD43BE">
            <w:pPr>
              <w:pStyle w:val="BodyText2"/>
              <w:jc w:val="center"/>
              <w:rPr>
                <w:rFonts w:asciiTheme="minorHAnsi" w:hAnsiTheme="minorHAnsi"/>
              </w:rPr>
            </w:pPr>
          </w:p>
        </w:tc>
      </w:tr>
      <w:tr w:rsidR="00BD43BE" w:rsidRPr="005677F1" w:rsidTr="00122F5A">
        <w:tc>
          <w:tcPr>
            <w:tcW w:w="6117" w:type="dxa"/>
            <w:tcBorders>
              <w:top w:val="single" w:sz="4" w:space="0" w:color="auto"/>
              <w:left w:val="single" w:sz="4" w:space="0" w:color="auto"/>
              <w:bottom w:val="single" w:sz="4" w:space="0" w:color="auto"/>
              <w:right w:val="single" w:sz="4" w:space="0" w:color="auto"/>
            </w:tcBorders>
            <w:vAlign w:val="bottom"/>
          </w:tcPr>
          <w:p w:rsidR="00BD43BE" w:rsidRPr="005677F1" w:rsidRDefault="00FB523F" w:rsidP="002218B9">
            <w:pPr>
              <w:pStyle w:val="BodyText2"/>
              <w:rPr>
                <w:rFonts w:asciiTheme="minorHAnsi" w:hAnsiTheme="minorHAnsi"/>
              </w:rPr>
            </w:pPr>
            <w:r>
              <w:rPr>
                <w:rFonts w:asciiTheme="minorHAnsi" w:hAnsiTheme="minorHAnsi"/>
              </w:rPr>
              <w:t>Governance and human security</w:t>
            </w:r>
          </w:p>
        </w:tc>
        <w:tc>
          <w:tcPr>
            <w:tcW w:w="1866" w:type="dxa"/>
            <w:tcBorders>
              <w:top w:val="single" w:sz="4" w:space="0" w:color="auto"/>
              <w:left w:val="single" w:sz="4" w:space="0" w:color="auto"/>
              <w:bottom w:val="single" w:sz="4" w:space="0" w:color="auto"/>
              <w:right w:val="single" w:sz="4" w:space="0" w:color="auto"/>
            </w:tcBorders>
          </w:tcPr>
          <w:p w:rsidR="00BD43BE" w:rsidRPr="005677F1" w:rsidRDefault="003E66F4" w:rsidP="003E66F4">
            <w:pPr>
              <w:pStyle w:val="BodyText2"/>
              <w:jc w:val="center"/>
              <w:rPr>
                <w:rFonts w:asciiTheme="minorHAnsi" w:hAnsiTheme="minorHAnsi"/>
              </w:rPr>
            </w:pPr>
            <w:r>
              <w:rPr>
                <w:rFonts w:asciiTheme="minorHAnsi" w:hAnsiTheme="minorHAnsi"/>
              </w:rPr>
              <w:t>12</w:t>
            </w:r>
            <w:r w:rsidR="00FB523F">
              <w:rPr>
                <w:rFonts w:asciiTheme="minorHAnsi" w:hAnsiTheme="minorHAnsi"/>
              </w:rPr>
              <w:t>,</w:t>
            </w:r>
            <w:r>
              <w:rPr>
                <w:rFonts w:asciiTheme="minorHAnsi" w:hAnsiTheme="minorHAnsi"/>
              </w:rPr>
              <w:t>294</w:t>
            </w:r>
            <w:r w:rsidR="00FB523F">
              <w:rPr>
                <w:rFonts w:asciiTheme="minorHAnsi" w:hAnsiTheme="minorHAnsi"/>
              </w:rPr>
              <w:t>,</w:t>
            </w:r>
            <w:r>
              <w:rPr>
                <w:rFonts w:asciiTheme="minorHAnsi" w:hAnsiTheme="minorHAnsi"/>
              </w:rPr>
              <w:t>229</w:t>
            </w:r>
          </w:p>
        </w:tc>
        <w:tc>
          <w:tcPr>
            <w:tcW w:w="2039" w:type="dxa"/>
            <w:tcBorders>
              <w:top w:val="single" w:sz="4" w:space="0" w:color="auto"/>
              <w:left w:val="single" w:sz="4" w:space="0" w:color="auto"/>
              <w:bottom w:val="single" w:sz="4" w:space="0" w:color="auto"/>
              <w:right w:val="single" w:sz="4" w:space="0" w:color="auto"/>
            </w:tcBorders>
          </w:tcPr>
          <w:p w:rsidR="00BD43BE" w:rsidRPr="005677F1" w:rsidRDefault="00FB523F" w:rsidP="003E66F4">
            <w:pPr>
              <w:pStyle w:val="BodyText2"/>
              <w:jc w:val="center"/>
              <w:rPr>
                <w:rFonts w:asciiTheme="minorHAnsi" w:hAnsiTheme="minorHAnsi"/>
              </w:rPr>
            </w:pPr>
            <w:r>
              <w:rPr>
                <w:rFonts w:asciiTheme="minorHAnsi" w:hAnsiTheme="minorHAnsi"/>
              </w:rPr>
              <w:t>1</w:t>
            </w:r>
            <w:r w:rsidR="003E66F4">
              <w:rPr>
                <w:rFonts w:asciiTheme="minorHAnsi" w:hAnsiTheme="minorHAnsi"/>
              </w:rPr>
              <w:t>6</w:t>
            </w:r>
            <w:r>
              <w:rPr>
                <w:rFonts w:asciiTheme="minorHAnsi" w:hAnsiTheme="minorHAnsi"/>
              </w:rPr>
              <w:t>,</w:t>
            </w:r>
            <w:r w:rsidR="003E66F4">
              <w:rPr>
                <w:rFonts w:asciiTheme="minorHAnsi" w:hAnsiTheme="minorHAnsi"/>
              </w:rPr>
              <w:t>164</w:t>
            </w:r>
            <w:r>
              <w:rPr>
                <w:rFonts w:asciiTheme="minorHAnsi" w:hAnsiTheme="minorHAnsi"/>
              </w:rPr>
              <w:t>,</w:t>
            </w:r>
            <w:r w:rsidR="003E66F4">
              <w:rPr>
                <w:rFonts w:asciiTheme="minorHAnsi" w:hAnsiTheme="minorHAnsi"/>
              </w:rPr>
              <w:t>636</w:t>
            </w:r>
          </w:p>
        </w:tc>
        <w:tc>
          <w:tcPr>
            <w:tcW w:w="1949" w:type="dxa"/>
            <w:tcBorders>
              <w:top w:val="single" w:sz="4" w:space="0" w:color="auto"/>
              <w:left w:val="single" w:sz="4" w:space="0" w:color="auto"/>
              <w:bottom w:val="single" w:sz="4" w:space="0" w:color="auto"/>
              <w:right w:val="single" w:sz="4" w:space="0" w:color="auto"/>
            </w:tcBorders>
          </w:tcPr>
          <w:p w:rsidR="00BD43BE" w:rsidRPr="005677F1" w:rsidRDefault="003825C8" w:rsidP="003E66F4">
            <w:pPr>
              <w:pStyle w:val="BodyText2"/>
              <w:jc w:val="center"/>
              <w:rPr>
                <w:rFonts w:asciiTheme="minorHAnsi" w:hAnsiTheme="minorHAnsi"/>
              </w:rPr>
            </w:pPr>
            <w:r>
              <w:rPr>
                <w:rFonts w:asciiTheme="minorHAnsi" w:hAnsiTheme="minorHAnsi"/>
              </w:rPr>
              <w:t>2</w:t>
            </w:r>
            <w:r w:rsidR="003E66F4">
              <w:rPr>
                <w:rFonts w:asciiTheme="minorHAnsi" w:hAnsiTheme="minorHAnsi"/>
              </w:rPr>
              <w:t>8</w:t>
            </w:r>
            <w:r w:rsidR="009610DE">
              <w:rPr>
                <w:rFonts w:asciiTheme="minorHAnsi" w:hAnsiTheme="minorHAnsi"/>
              </w:rPr>
              <w:t>,</w:t>
            </w:r>
            <w:r w:rsidR="003E66F4">
              <w:rPr>
                <w:rFonts w:asciiTheme="minorHAnsi" w:hAnsiTheme="minorHAnsi"/>
              </w:rPr>
              <w:t>458</w:t>
            </w:r>
            <w:r w:rsidR="009610DE">
              <w:rPr>
                <w:rFonts w:asciiTheme="minorHAnsi" w:hAnsiTheme="minorHAnsi"/>
              </w:rPr>
              <w:t>,</w:t>
            </w:r>
            <w:r>
              <w:rPr>
                <w:rFonts w:asciiTheme="minorHAnsi" w:hAnsiTheme="minorHAnsi"/>
              </w:rPr>
              <w:t>8</w:t>
            </w:r>
            <w:r w:rsidR="003E66F4">
              <w:rPr>
                <w:rFonts w:asciiTheme="minorHAnsi" w:hAnsiTheme="minorHAnsi"/>
              </w:rPr>
              <w:t>65</w:t>
            </w:r>
          </w:p>
        </w:tc>
        <w:tc>
          <w:tcPr>
            <w:tcW w:w="1979" w:type="dxa"/>
            <w:tcBorders>
              <w:top w:val="single" w:sz="4" w:space="0" w:color="auto"/>
              <w:left w:val="single" w:sz="4" w:space="0" w:color="auto"/>
              <w:bottom w:val="single" w:sz="4" w:space="0" w:color="auto"/>
              <w:right w:val="single" w:sz="4" w:space="0" w:color="auto"/>
            </w:tcBorders>
          </w:tcPr>
          <w:p w:rsidR="00BD43BE" w:rsidRPr="005677F1" w:rsidRDefault="00376DF1" w:rsidP="007627BA">
            <w:pPr>
              <w:pStyle w:val="BodyText2"/>
              <w:jc w:val="center"/>
              <w:rPr>
                <w:rFonts w:asciiTheme="minorHAnsi" w:hAnsiTheme="minorHAnsi"/>
              </w:rPr>
            </w:pPr>
            <w:r>
              <w:rPr>
                <w:rFonts w:asciiTheme="minorHAnsi" w:hAnsiTheme="minorHAnsi"/>
              </w:rPr>
              <w:t>43.58</w:t>
            </w:r>
          </w:p>
        </w:tc>
      </w:tr>
      <w:tr w:rsidR="00BD43BE" w:rsidRPr="005677F1" w:rsidTr="00122F5A">
        <w:tc>
          <w:tcPr>
            <w:tcW w:w="6117" w:type="dxa"/>
            <w:tcBorders>
              <w:top w:val="single" w:sz="4" w:space="0" w:color="auto"/>
              <w:left w:val="single" w:sz="4" w:space="0" w:color="auto"/>
              <w:bottom w:val="single" w:sz="4" w:space="0" w:color="auto"/>
              <w:right w:val="single" w:sz="4" w:space="0" w:color="auto"/>
            </w:tcBorders>
            <w:vAlign w:val="bottom"/>
          </w:tcPr>
          <w:p w:rsidR="00BD43BE" w:rsidRPr="005677F1" w:rsidRDefault="00FB523F">
            <w:pPr>
              <w:pStyle w:val="BodyText2"/>
              <w:rPr>
                <w:rFonts w:asciiTheme="minorHAnsi" w:hAnsiTheme="minorHAnsi"/>
              </w:rPr>
            </w:pPr>
            <w:r>
              <w:rPr>
                <w:rFonts w:asciiTheme="minorHAnsi" w:hAnsiTheme="minorHAnsi"/>
              </w:rPr>
              <w:t>Sustainable development</w:t>
            </w:r>
          </w:p>
        </w:tc>
        <w:tc>
          <w:tcPr>
            <w:tcW w:w="1866" w:type="dxa"/>
            <w:tcBorders>
              <w:top w:val="single" w:sz="4" w:space="0" w:color="auto"/>
              <w:left w:val="single" w:sz="4" w:space="0" w:color="auto"/>
              <w:bottom w:val="single" w:sz="4" w:space="0" w:color="auto"/>
              <w:right w:val="single" w:sz="4" w:space="0" w:color="auto"/>
            </w:tcBorders>
          </w:tcPr>
          <w:p w:rsidR="00BD43BE" w:rsidRPr="005677F1" w:rsidRDefault="003E66F4" w:rsidP="003E66F4">
            <w:pPr>
              <w:pStyle w:val="BodyText2"/>
              <w:jc w:val="center"/>
              <w:rPr>
                <w:rFonts w:asciiTheme="minorHAnsi" w:hAnsiTheme="minorHAnsi"/>
              </w:rPr>
            </w:pPr>
            <w:r>
              <w:rPr>
                <w:rFonts w:asciiTheme="minorHAnsi" w:hAnsiTheme="minorHAnsi"/>
              </w:rPr>
              <w:t>9,167</w:t>
            </w:r>
            <w:r w:rsidR="00FB523F">
              <w:rPr>
                <w:rFonts w:asciiTheme="minorHAnsi" w:hAnsiTheme="minorHAnsi"/>
              </w:rPr>
              <w:t>,</w:t>
            </w:r>
            <w:r>
              <w:rPr>
                <w:rFonts w:asciiTheme="minorHAnsi" w:hAnsiTheme="minorHAnsi"/>
              </w:rPr>
              <w:t>943</w:t>
            </w:r>
          </w:p>
        </w:tc>
        <w:tc>
          <w:tcPr>
            <w:tcW w:w="2039" w:type="dxa"/>
            <w:tcBorders>
              <w:top w:val="single" w:sz="4" w:space="0" w:color="auto"/>
              <w:left w:val="single" w:sz="4" w:space="0" w:color="auto"/>
              <w:bottom w:val="single" w:sz="4" w:space="0" w:color="auto"/>
              <w:right w:val="single" w:sz="4" w:space="0" w:color="auto"/>
            </w:tcBorders>
          </w:tcPr>
          <w:p w:rsidR="00BD43BE" w:rsidRPr="005677F1" w:rsidRDefault="00FB523F">
            <w:pPr>
              <w:pStyle w:val="BodyText2"/>
              <w:jc w:val="center"/>
              <w:rPr>
                <w:rFonts w:asciiTheme="minorHAnsi" w:hAnsiTheme="minorHAnsi"/>
              </w:rPr>
            </w:pPr>
            <w:r>
              <w:rPr>
                <w:rFonts w:asciiTheme="minorHAnsi" w:hAnsiTheme="minorHAnsi"/>
              </w:rPr>
              <w:t>2</w:t>
            </w:r>
            <w:r w:rsidR="003E66F4">
              <w:rPr>
                <w:rFonts w:asciiTheme="minorHAnsi" w:hAnsiTheme="minorHAnsi"/>
              </w:rPr>
              <w:t>7,</w:t>
            </w:r>
            <w:r>
              <w:rPr>
                <w:rFonts w:asciiTheme="minorHAnsi" w:hAnsiTheme="minorHAnsi"/>
              </w:rPr>
              <w:t>6</w:t>
            </w:r>
            <w:r w:rsidR="003E66F4">
              <w:rPr>
                <w:rFonts w:asciiTheme="minorHAnsi" w:hAnsiTheme="minorHAnsi"/>
              </w:rPr>
              <w:t>63,192</w:t>
            </w:r>
          </w:p>
        </w:tc>
        <w:tc>
          <w:tcPr>
            <w:tcW w:w="1949" w:type="dxa"/>
            <w:tcBorders>
              <w:top w:val="single" w:sz="4" w:space="0" w:color="auto"/>
              <w:left w:val="single" w:sz="4" w:space="0" w:color="auto"/>
              <w:bottom w:val="single" w:sz="4" w:space="0" w:color="auto"/>
              <w:right w:val="single" w:sz="4" w:space="0" w:color="auto"/>
            </w:tcBorders>
          </w:tcPr>
          <w:p w:rsidR="00BD43BE" w:rsidRPr="005677F1" w:rsidRDefault="003E66F4" w:rsidP="003E66F4">
            <w:pPr>
              <w:pStyle w:val="BodyText2"/>
              <w:jc w:val="center"/>
              <w:rPr>
                <w:rFonts w:asciiTheme="minorHAnsi" w:hAnsiTheme="minorHAnsi"/>
              </w:rPr>
            </w:pPr>
            <w:r>
              <w:rPr>
                <w:rFonts w:asciiTheme="minorHAnsi" w:hAnsiTheme="minorHAnsi"/>
              </w:rPr>
              <w:t>36,831</w:t>
            </w:r>
            <w:r w:rsidR="00FB523F">
              <w:rPr>
                <w:rFonts w:asciiTheme="minorHAnsi" w:hAnsiTheme="minorHAnsi"/>
              </w:rPr>
              <w:t>,</w:t>
            </w:r>
            <w:r>
              <w:rPr>
                <w:rFonts w:asciiTheme="minorHAnsi" w:hAnsiTheme="minorHAnsi"/>
              </w:rPr>
              <w:t>135</w:t>
            </w:r>
          </w:p>
        </w:tc>
        <w:tc>
          <w:tcPr>
            <w:tcW w:w="1979" w:type="dxa"/>
            <w:tcBorders>
              <w:top w:val="single" w:sz="4" w:space="0" w:color="auto"/>
              <w:left w:val="single" w:sz="4" w:space="0" w:color="auto"/>
              <w:bottom w:val="single" w:sz="4" w:space="0" w:color="auto"/>
              <w:right w:val="single" w:sz="4" w:space="0" w:color="auto"/>
            </w:tcBorders>
          </w:tcPr>
          <w:p w:rsidR="00BD43BE" w:rsidRPr="005677F1" w:rsidRDefault="00376DF1" w:rsidP="007627BA">
            <w:pPr>
              <w:pStyle w:val="BodyText2"/>
              <w:jc w:val="center"/>
              <w:rPr>
                <w:rFonts w:asciiTheme="minorHAnsi" w:hAnsiTheme="minorHAnsi"/>
              </w:rPr>
            </w:pPr>
            <w:r>
              <w:rPr>
                <w:rFonts w:asciiTheme="minorHAnsi" w:hAnsiTheme="minorHAnsi"/>
              </w:rPr>
              <w:t>56.42</w:t>
            </w:r>
          </w:p>
        </w:tc>
      </w:tr>
      <w:tr w:rsidR="00BD43BE" w:rsidRPr="005677F1" w:rsidTr="00122F5A">
        <w:tc>
          <w:tcPr>
            <w:tcW w:w="6117" w:type="dxa"/>
            <w:tcBorders>
              <w:top w:val="single" w:sz="4" w:space="0" w:color="auto"/>
              <w:left w:val="single" w:sz="4" w:space="0" w:color="auto"/>
              <w:bottom w:val="single" w:sz="4" w:space="0" w:color="auto"/>
              <w:right w:val="single" w:sz="4" w:space="0" w:color="auto"/>
            </w:tcBorders>
            <w:shd w:val="clear" w:color="auto" w:fill="00B0F0"/>
            <w:hideMark/>
          </w:tcPr>
          <w:p w:rsidR="00BD43BE" w:rsidRPr="005677F1" w:rsidRDefault="00BD43BE">
            <w:pPr>
              <w:pStyle w:val="BodyText2"/>
              <w:jc w:val="center"/>
              <w:rPr>
                <w:rFonts w:asciiTheme="minorHAnsi" w:hAnsiTheme="minorHAnsi"/>
                <w:b/>
              </w:rPr>
            </w:pPr>
            <w:r>
              <w:rPr>
                <w:rFonts w:asciiTheme="minorHAnsi" w:hAnsiTheme="minorHAnsi"/>
                <w:b/>
                <w:bCs/>
              </w:rPr>
              <w:t>Total</w:t>
            </w:r>
          </w:p>
        </w:tc>
        <w:tc>
          <w:tcPr>
            <w:tcW w:w="1866" w:type="dxa"/>
            <w:tcBorders>
              <w:top w:val="single" w:sz="4" w:space="0" w:color="auto"/>
              <w:left w:val="single" w:sz="4" w:space="0" w:color="auto"/>
              <w:bottom w:val="single" w:sz="4" w:space="0" w:color="auto"/>
              <w:right w:val="single" w:sz="4" w:space="0" w:color="auto"/>
            </w:tcBorders>
            <w:shd w:val="clear" w:color="auto" w:fill="00B0F0"/>
          </w:tcPr>
          <w:p w:rsidR="00BD43BE" w:rsidRPr="005677F1" w:rsidRDefault="003E66F4" w:rsidP="003E66F4">
            <w:pPr>
              <w:pStyle w:val="BodyText2"/>
              <w:jc w:val="center"/>
              <w:rPr>
                <w:rFonts w:asciiTheme="minorHAnsi" w:hAnsiTheme="minorHAnsi"/>
                <w:b/>
              </w:rPr>
            </w:pPr>
            <w:r>
              <w:rPr>
                <w:rFonts w:asciiTheme="minorHAnsi" w:hAnsiTheme="minorHAnsi"/>
                <w:b/>
                <w:bCs/>
              </w:rPr>
              <w:t>21,462,172</w:t>
            </w:r>
          </w:p>
        </w:tc>
        <w:tc>
          <w:tcPr>
            <w:tcW w:w="2039" w:type="dxa"/>
            <w:tcBorders>
              <w:top w:val="single" w:sz="4" w:space="0" w:color="auto"/>
              <w:left w:val="single" w:sz="4" w:space="0" w:color="auto"/>
              <w:bottom w:val="single" w:sz="4" w:space="0" w:color="auto"/>
              <w:right w:val="single" w:sz="4" w:space="0" w:color="auto"/>
            </w:tcBorders>
            <w:shd w:val="clear" w:color="auto" w:fill="00B0F0"/>
          </w:tcPr>
          <w:p w:rsidR="00BD43BE" w:rsidRPr="005677F1" w:rsidRDefault="003E66F4" w:rsidP="003E66F4">
            <w:pPr>
              <w:pStyle w:val="BodyText2"/>
              <w:jc w:val="center"/>
              <w:rPr>
                <w:rFonts w:asciiTheme="minorHAnsi" w:hAnsiTheme="minorHAnsi"/>
                <w:b/>
              </w:rPr>
            </w:pPr>
            <w:r>
              <w:rPr>
                <w:rFonts w:asciiTheme="minorHAnsi" w:hAnsiTheme="minorHAnsi"/>
                <w:b/>
                <w:bCs/>
              </w:rPr>
              <w:t>43</w:t>
            </w:r>
            <w:r w:rsidR="00FB523F">
              <w:rPr>
                <w:rFonts w:asciiTheme="minorHAnsi" w:hAnsiTheme="minorHAnsi"/>
                <w:b/>
                <w:bCs/>
              </w:rPr>
              <w:t>,</w:t>
            </w:r>
            <w:r>
              <w:rPr>
                <w:rFonts w:asciiTheme="minorHAnsi" w:hAnsiTheme="minorHAnsi"/>
                <w:b/>
                <w:bCs/>
              </w:rPr>
              <w:t>827</w:t>
            </w:r>
            <w:r w:rsidR="00FB523F">
              <w:rPr>
                <w:rFonts w:asciiTheme="minorHAnsi" w:hAnsiTheme="minorHAnsi"/>
                <w:b/>
                <w:bCs/>
              </w:rPr>
              <w:t>,</w:t>
            </w:r>
            <w:r>
              <w:rPr>
                <w:rFonts w:asciiTheme="minorHAnsi" w:hAnsiTheme="minorHAnsi"/>
                <w:b/>
                <w:bCs/>
              </w:rPr>
              <w:t>828</w:t>
            </w:r>
          </w:p>
        </w:tc>
        <w:tc>
          <w:tcPr>
            <w:tcW w:w="1949" w:type="dxa"/>
            <w:tcBorders>
              <w:top w:val="single" w:sz="4" w:space="0" w:color="auto"/>
              <w:left w:val="single" w:sz="4" w:space="0" w:color="auto"/>
              <w:bottom w:val="single" w:sz="4" w:space="0" w:color="auto"/>
              <w:right w:val="single" w:sz="4" w:space="0" w:color="auto"/>
            </w:tcBorders>
            <w:shd w:val="clear" w:color="auto" w:fill="00B0F0"/>
          </w:tcPr>
          <w:p w:rsidR="00BD43BE" w:rsidRPr="005677F1" w:rsidRDefault="00D80390">
            <w:pPr>
              <w:pStyle w:val="BodyText2"/>
              <w:jc w:val="center"/>
              <w:rPr>
                <w:rFonts w:asciiTheme="minorHAnsi" w:hAnsiTheme="minorHAnsi"/>
                <w:b/>
              </w:rPr>
            </w:pPr>
            <w:r>
              <w:rPr>
                <w:rFonts w:asciiTheme="minorHAnsi" w:hAnsiTheme="minorHAnsi"/>
                <w:b/>
                <w:bCs/>
              </w:rPr>
              <w:t>65,290,000</w:t>
            </w:r>
          </w:p>
        </w:tc>
        <w:tc>
          <w:tcPr>
            <w:tcW w:w="1979" w:type="dxa"/>
            <w:tcBorders>
              <w:top w:val="single" w:sz="4" w:space="0" w:color="auto"/>
              <w:left w:val="single" w:sz="4" w:space="0" w:color="auto"/>
              <w:bottom w:val="single" w:sz="4" w:space="0" w:color="auto"/>
              <w:right w:val="single" w:sz="4" w:space="0" w:color="auto"/>
            </w:tcBorders>
            <w:shd w:val="clear" w:color="auto" w:fill="00B0F0"/>
          </w:tcPr>
          <w:p w:rsidR="00BD43BE" w:rsidRPr="005677F1" w:rsidRDefault="005D023F">
            <w:pPr>
              <w:pStyle w:val="BodyText2"/>
              <w:jc w:val="center"/>
              <w:rPr>
                <w:rFonts w:asciiTheme="minorHAnsi" w:hAnsiTheme="minorHAnsi"/>
                <w:b/>
              </w:rPr>
            </w:pPr>
            <w:r>
              <w:rPr>
                <w:rFonts w:asciiTheme="minorHAnsi" w:hAnsiTheme="minorHAnsi"/>
                <w:b/>
                <w:bCs/>
              </w:rPr>
              <w:t>100</w:t>
            </w:r>
          </w:p>
        </w:tc>
      </w:tr>
    </w:tbl>
    <w:p w:rsidR="009031AA" w:rsidRPr="005677F1" w:rsidRDefault="009031AA" w:rsidP="002315A5">
      <w:pPr>
        <w:pStyle w:val="BodyText2"/>
        <w:rPr>
          <w:rFonts w:asciiTheme="minorHAnsi" w:hAnsiTheme="minorHAnsi"/>
        </w:rPr>
      </w:pPr>
    </w:p>
    <w:p w:rsidR="009031AA" w:rsidRPr="005677F1" w:rsidRDefault="009031AA" w:rsidP="002315A5">
      <w:pPr>
        <w:pStyle w:val="BodyText2"/>
        <w:rPr>
          <w:rFonts w:asciiTheme="minorHAnsi" w:hAnsiTheme="minorHAnsi"/>
        </w:rPr>
      </w:pPr>
    </w:p>
    <w:tbl>
      <w:tblPr>
        <w:tblStyle w:val="TableGrid"/>
        <w:tblW w:w="0" w:type="auto"/>
        <w:tblLook w:val="04A0" w:firstRow="1" w:lastRow="0" w:firstColumn="1" w:lastColumn="0" w:noHBand="0" w:noVBand="1"/>
      </w:tblPr>
      <w:tblGrid>
        <w:gridCol w:w="13950"/>
      </w:tblGrid>
      <w:tr w:rsidR="002547CF" w:rsidRPr="005677F1" w:rsidTr="00B64ACA">
        <w:tc>
          <w:tcPr>
            <w:tcW w:w="14176" w:type="dxa"/>
          </w:tcPr>
          <w:p w:rsidR="002547CF" w:rsidRPr="005677F1" w:rsidRDefault="00764461" w:rsidP="005E0C05">
            <w:pPr>
              <w:pStyle w:val="BodyText2"/>
              <w:rPr>
                <w:rFonts w:asciiTheme="minorHAnsi" w:hAnsiTheme="minorHAnsi"/>
                <w:b/>
              </w:rPr>
            </w:pPr>
            <w:r>
              <w:rPr>
                <w:rFonts w:asciiTheme="minorHAnsi" w:hAnsiTheme="minorHAnsi"/>
                <w:b/>
                <w:bCs/>
              </w:rPr>
              <w:t xml:space="preserve">Data sources: </w:t>
            </w:r>
            <w:r w:rsidR="002547CF">
              <w:rPr>
                <w:rFonts w:asciiTheme="minorHAnsi" w:hAnsiTheme="minorHAnsi"/>
                <w:b/>
                <w:bCs/>
              </w:rPr>
              <w:t xml:space="preserve">(please indicate the main sources from which data were obtained for this report.) </w:t>
            </w:r>
          </w:p>
        </w:tc>
      </w:tr>
      <w:tr w:rsidR="00B64ACA" w:rsidRPr="005677F1" w:rsidTr="00B64ACA">
        <w:tc>
          <w:tcPr>
            <w:tcW w:w="14176" w:type="dxa"/>
          </w:tcPr>
          <w:p w:rsidR="00FC6570" w:rsidRPr="005677F1" w:rsidRDefault="00D07AEB" w:rsidP="002315A5">
            <w:pPr>
              <w:pStyle w:val="BodyText2"/>
              <w:rPr>
                <w:rFonts w:asciiTheme="minorHAnsi" w:hAnsiTheme="minorHAnsi"/>
              </w:rPr>
            </w:pPr>
            <w:r>
              <w:rPr>
                <w:rFonts w:asciiTheme="minorHAnsi" w:hAnsiTheme="minorHAnsi"/>
              </w:rPr>
              <w:t>Country Programme Document 2012–</w:t>
            </w:r>
            <w:r w:rsidR="00584C12">
              <w:rPr>
                <w:rFonts w:asciiTheme="minorHAnsi" w:hAnsiTheme="minorHAnsi"/>
              </w:rPr>
              <w:t>2015</w:t>
            </w:r>
          </w:p>
          <w:p w:rsidR="00463C72" w:rsidRPr="005677F1" w:rsidRDefault="00FC6570" w:rsidP="002315A5">
            <w:pPr>
              <w:pStyle w:val="BodyText2"/>
              <w:rPr>
                <w:rFonts w:asciiTheme="minorHAnsi" w:hAnsiTheme="minorHAnsi"/>
              </w:rPr>
            </w:pPr>
            <w:r>
              <w:rPr>
                <w:rFonts w:asciiTheme="minorHAnsi" w:hAnsiTheme="minorHAnsi"/>
              </w:rPr>
              <w:t>Results Oriented Annual Report, (2012, 2013, 2014, 2015)</w:t>
            </w:r>
          </w:p>
          <w:p w:rsidR="00376A25" w:rsidRPr="005677F1" w:rsidRDefault="00EF0D80" w:rsidP="002315A5">
            <w:pPr>
              <w:pStyle w:val="BodyText2"/>
              <w:rPr>
                <w:rFonts w:asciiTheme="minorHAnsi" w:hAnsiTheme="minorHAnsi"/>
              </w:rPr>
            </w:pPr>
            <w:r>
              <w:rPr>
                <w:rFonts w:asciiTheme="minorHAnsi" w:hAnsiTheme="minorHAnsi"/>
              </w:rPr>
              <w:t>IWP</w:t>
            </w:r>
            <w:r w:rsidR="00376A25">
              <w:rPr>
                <w:rFonts w:asciiTheme="minorHAnsi" w:hAnsiTheme="minorHAnsi"/>
              </w:rPr>
              <w:t xml:space="preserve"> (2015 and 2016)</w:t>
            </w:r>
          </w:p>
          <w:p w:rsidR="00376A25" w:rsidRPr="005677F1" w:rsidRDefault="00376A25" w:rsidP="002315A5">
            <w:pPr>
              <w:pStyle w:val="BodyText2"/>
              <w:rPr>
                <w:rFonts w:asciiTheme="minorHAnsi" w:hAnsiTheme="minorHAnsi"/>
              </w:rPr>
            </w:pPr>
            <w:r>
              <w:rPr>
                <w:rFonts w:asciiTheme="minorHAnsi" w:hAnsiTheme="minorHAnsi"/>
              </w:rPr>
              <w:t>Mid-term review report of the CPAP 2012–2015</w:t>
            </w:r>
          </w:p>
          <w:p w:rsidR="00A20542" w:rsidRPr="005677F1" w:rsidRDefault="00A20542" w:rsidP="002315A5">
            <w:pPr>
              <w:pStyle w:val="BodyText2"/>
              <w:rPr>
                <w:rFonts w:asciiTheme="minorHAnsi" w:hAnsiTheme="minorHAnsi"/>
              </w:rPr>
            </w:pPr>
            <w:r>
              <w:rPr>
                <w:rFonts w:asciiTheme="minorHAnsi" w:hAnsiTheme="minorHAnsi"/>
              </w:rPr>
              <w:t>Executive snapshots</w:t>
            </w:r>
          </w:p>
          <w:p w:rsidR="008D791F" w:rsidRPr="005677F1" w:rsidRDefault="00FB523F" w:rsidP="002315A5">
            <w:pPr>
              <w:pStyle w:val="BodyText2"/>
              <w:rPr>
                <w:rFonts w:asciiTheme="minorHAnsi" w:hAnsiTheme="minorHAnsi"/>
              </w:rPr>
            </w:pPr>
            <w:r>
              <w:rPr>
                <w:rFonts w:asciiTheme="minorHAnsi" w:hAnsiTheme="minorHAnsi"/>
              </w:rPr>
              <w:t>Atlas</w:t>
            </w:r>
          </w:p>
        </w:tc>
      </w:tr>
    </w:tbl>
    <w:p w:rsidR="00635929" w:rsidRPr="00667024" w:rsidRDefault="00635929" w:rsidP="005E0C05">
      <w:pPr>
        <w:pStyle w:val="BodyText2"/>
        <w:rPr>
          <w:rFonts w:ascii="Times New Roman" w:hAnsi="Times New Roman"/>
          <w:sz w:val="16"/>
          <w:szCs w:val="16"/>
        </w:rPr>
      </w:pPr>
    </w:p>
    <w:sectPr w:rsidR="00635929" w:rsidRPr="00667024" w:rsidSect="0037523B">
      <w:headerReference w:type="default" r:id="rId15"/>
      <w:footerReference w:type="default" r:id="rId16"/>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00A" w:rsidRDefault="007F000A">
      <w:r>
        <w:separator/>
      </w:r>
    </w:p>
  </w:endnote>
  <w:endnote w:type="continuationSeparator" w:id="0">
    <w:p w:rsidR="007F000A" w:rsidRDefault="007F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934863"/>
      <w:docPartObj>
        <w:docPartGallery w:val="Page Numbers (Bottom of Page)"/>
        <w:docPartUnique/>
      </w:docPartObj>
    </w:sdtPr>
    <w:sdtEndPr/>
    <w:sdtContent>
      <w:p w:rsidR="00942295" w:rsidRDefault="00942295">
        <w:pPr>
          <w:pStyle w:val="Footer"/>
          <w:jc w:val="center"/>
        </w:pPr>
        <w:r>
          <w:fldChar w:fldCharType="begin"/>
        </w:r>
        <w:r>
          <w:instrText xml:space="preserve"> PAGE   \* MERGEFORMAT </w:instrText>
        </w:r>
        <w:r>
          <w:fldChar w:fldCharType="separate"/>
        </w:r>
        <w:r w:rsidR="00650093">
          <w:rPr>
            <w:noProof/>
          </w:rPr>
          <w:t>1</w:t>
        </w:r>
        <w:r>
          <w:rPr>
            <w:noProof/>
          </w:rPr>
          <w:fldChar w:fldCharType="end"/>
        </w:r>
      </w:p>
    </w:sdtContent>
  </w:sdt>
  <w:p w:rsidR="00942295" w:rsidRDefault="00942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362518"/>
      <w:docPartObj>
        <w:docPartGallery w:val="Page Numbers (Bottom of Page)"/>
        <w:docPartUnique/>
      </w:docPartObj>
    </w:sdtPr>
    <w:sdtEndPr/>
    <w:sdtContent>
      <w:p w:rsidR="001640A1" w:rsidRDefault="004964A5">
        <w:pPr>
          <w:pStyle w:val="Footer"/>
          <w:jc w:val="center"/>
        </w:pPr>
        <w:r>
          <w:fldChar w:fldCharType="begin"/>
        </w:r>
        <w:r>
          <w:instrText xml:space="preserve"> PAGE   \* MERGEFORMAT </w:instrText>
        </w:r>
        <w:r>
          <w:fldChar w:fldCharType="separate"/>
        </w:r>
        <w:r w:rsidR="00650093">
          <w:rPr>
            <w:noProof/>
          </w:rPr>
          <w:t>7</w:t>
        </w:r>
        <w:r>
          <w:rPr>
            <w:noProof/>
          </w:rPr>
          <w:fldChar w:fldCharType="end"/>
        </w:r>
      </w:p>
    </w:sdtContent>
  </w:sdt>
  <w:p w:rsidR="001640A1" w:rsidRDefault="00164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00A" w:rsidRDefault="007F000A">
      <w:r>
        <w:separator/>
      </w:r>
    </w:p>
  </w:footnote>
  <w:footnote w:type="continuationSeparator" w:id="0">
    <w:p w:rsidR="007F000A" w:rsidRDefault="007F000A">
      <w:r>
        <w:continuationSeparator/>
      </w:r>
    </w:p>
  </w:footnote>
  <w:footnote w:id="1">
    <w:p w:rsidR="001640A1" w:rsidRPr="004F1256" w:rsidRDefault="001640A1">
      <w:pPr>
        <w:pStyle w:val="FootnoteText"/>
        <w:rPr>
          <w:rFonts w:asciiTheme="minorHAnsi" w:hAnsiTheme="minorHAnsi"/>
          <w:sz w:val="16"/>
          <w:szCs w:val="16"/>
        </w:rPr>
      </w:pPr>
      <w:r>
        <w:rPr>
          <w:rStyle w:val="FootnoteReference"/>
          <w:rFonts w:asciiTheme="minorHAnsi" w:hAnsiTheme="minorHAnsi"/>
          <w:sz w:val="16"/>
          <w:szCs w:val="16"/>
        </w:rPr>
        <w:footnoteRef/>
      </w:r>
      <w:r>
        <w:rPr>
          <w:rFonts w:asciiTheme="minorHAnsi" w:hAnsiTheme="minorHAnsi"/>
          <w:sz w:val="16"/>
          <w:szCs w:val="16"/>
        </w:rPr>
        <w:t>This assessment of results is to be prepared only in the absence of a completed Assessment of Development Results (ADR) for the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95" w:rsidRPr="00517955" w:rsidRDefault="00942295">
    <w:pPr>
      <w:pStyle w:val="Header"/>
      <w:rPr>
        <w:rFonts w:asciiTheme="minorHAnsi" w:hAnsiTheme="minorHAnsi"/>
      </w:rPr>
    </w:pPr>
    <w:r>
      <w:rPr>
        <w:rFonts w:asciiTheme="minorHAnsi" w:hAnsiTheme="minorHAnsi"/>
      </w:rPr>
      <w:t>DRAFT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A1" w:rsidRPr="00517955" w:rsidRDefault="001640A1">
    <w:pPr>
      <w:pStyle w:val="Header"/>
      <w:rPr>
        <w:rFonts w:asciiTheme="minorHAnsi" w:hAnsiTheme="minorHAnsi"/>
      </w:rPr>
    </w:pPr>
    <w:r>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7A7B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27B4C"/>
    <w:multiLevelType w:val="hybridMultilevel"/>
    <w:tmpl w:val="7BF0123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A282711"/>
    <w:multiLevelType w:val="hybridMultilevel"/>
    <w:tmpl w:val="920E941A"/>
    <w:lvl w:ilvl="0" w:tplc="8B58255C">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9E1D86"/>
    <w:multiLevelType w:val="hybridMultilevel"/>
    <w:tmpl w:val="C4FCA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022288"/>
    <w:multiLevelType w:val="hybridMultilevel"/>
    <w:tmpl w:val="DC82E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CD1D49"/>
    <w:multiLevelType w:val="hybridMultilevel"/>
    <w:tmpl w:val="77B0F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902AEA"/>
    <w:multiLevelType w:val="hybridMultilevel"/>
    <w:tmpl w:val="F8E0529A"/>
    <w:lvl w:ilvl="0" w:tplc="FF0C2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83CC7"/>
    <w:multiLevelType w:val="hybridMultilevel"/>
    <w:tmpl w:val="DA4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0"/>
  </w:num>
  <w:num w:numId="6">
    <w:abstractNumId w:val="2"/>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D61"/>
    <w:rsid w:val="00007461"/>
    <w:rsid w:val="000079CC"/>
    <w:rsid w:val="00011A63"/>
    <w:rsid w:val="000264F0"/>
    <w:rsid w:val="000479C6"/>
    <w:rsid w:val="000502AD"/>
    <w:rsid w:val="00052654"/>
    <w:rsid w:val="00072937"/>
    <w:rsid w:val="00074A8B"/>
    <w:rsid w:val="00077B07"/>
    <w:rsid w:val="000823AC"/>
    <w:rsid w:val="00085E44"/>
    <w:rsid w:val="000920D6"/>
    <w:rsid w:val="000A049E"/>
    <w:rsid w:val="000A185C"/>
    <w:rsid w:val="000C09B4"/>
    <w:rsid w:val="000C4457"/>
    <w:rsid w:val="000C760E"/>
    <w:rsid w:val="000D62C8"/>
    <w:rsid w:val="000D6DE5"/>
    <w:rsid w:val="000E0518"/>
    <w:rsid w:val="000E2A86"/>
    <w:rsid w:val="000E47E7"/>
    <w:rsid w:val="000F4082"/>
    <w:rsid w:val="000F77FD"/>
    <w:rsid w:val="00100BFB"/>
    <w:rsid w:val="00111668"/>
    <w:rsid w:val="00122F5A"/>
    <w:rsid w:val="0013215B"/>
    <w:rsid w:val="00136ADE"/>
    <w:rsid w:val="001374F8"/>
    <w:rsid w:val="0015409F"/>
    <w:rsid w:val="001545CD"/>
    <w:rsid w:val="00154A85"/>
    <w:rsid w:val="00157061"/>
    <w:rsid w:val="00157815"/>
    <w:rsid w:val="00163B64"/>
    <w:rsid w:val="001640A1"/>
    <w:rsid w:val="001663A4"/>
    <w:rsid w:val="00167DA9"/>
    <w:rsid w:val="00172709"/>
    <w:rsid w:val="00176076"/>
    <w:rsid w:val="00193C0F"/>
    <w:rsid w:val="001956C7"/>
    <w:rsid w:val="001A1919"/>
    <w:rsid w:val="001A4D75"/>
    <w:rsid w:val="001B6393"/>
    <w:rsid w:val="001B721D"/>
    <w:rsid w:val="001C0E27"/>
    <w:rsid w:val="001C7DB4"/>
    <w:rsid w:val="001D4BC7"/>
    <w:rsid w:val="001F1880"/>
    <w:rsid w:val="001F3524"/>
    <w:rsid w:val="002011E2"/>
    <w:rsid w:val="00201C96"/>
    <w:rsid w:val="0021015A"/>
    <w:rsid w:val="00210A6D"/>
    <w:rsid w:val="002119D2"/>
    <w:rsid w:val="00212E7B"/>
    <w:rsid w:val="00216EC3"/>
    <w:rsid w:val="002218B9"/>
    <w:rsid w:val="00222D04"/>
    <w:rsid w:val="002243C4"/>
    <w:rsid w:val="00230A0E"/>
    <w:rsid w:val="002315A5"/>
    <w:rsid w:val="00232597"/>
    <w:rsid w:val="00233570"/>
    <w:rsid w:val="00235CF4"/>
    <w:rsid w:val="002371A7"/>
    <w:rsid w:val="002547CF"/>
    <w:rsid w:val="00255293"/>
    <w:rsid w:val="00257F2E"/>
    <w:rsid w:val="0026321D"/>
    <w:rsid w:val="0026447A"/>
    <w:rsid w:val="00266146"/>
    <w:rsid w:val="002665E2"/>
    <w:rsid w:val="002746C2"/>
    <w:rsid w:val="00287EAB"/>
    <w:rsid w:val="002A2750"/>
    <w:rsid w:val="002B08E1"/>
    <w:rsid w:val="002C02D1"/>
    <w:rsid w:val="002C4B80"/>
    <w:rsid w:val="002C5CBA"/>
    <w:rsid w:val="002D79EB"/>
    <w:rsid w:val="002F1037"/>
    <w:rsid w:val="002F336A"/>
    <w:rsid w:val="002F37EC"/>
    <w:rsid w:val="002F5D96"/>
    <w:rsid w:val="002F7E65"/>
    <w:rsid w:val="0030332F"/>
    <w:rsid w:val="00316789"/>
    <w:rsid w:val="0032175A"/>
    <w:rsid w:val="00322DEA"/>
    <w:rsid w:val="003238D9"/>
    <w:rsid w:val="00326858"/>
    <w:rsid w:val="00336DF2"/>
    <w:rsid w:val="00343514"/>
    <w:rsid w:val="00343A61"/>
    <w:rsid w:val="00346615"/>
    <w:rsid w:val="00350A97"/>
    <w:rsid w:val="00354578"/>
    <w:rsid w:val="00354865"/>
    <w:rsid w:val="00354CB5"/>
    <w:rsid w:val="00357B0E"/>
    <w:rsid w:val="00363EC5"/>
    <w:rsid w:val="00365E93"/>
    <w:rsid w:val="00366AD1"/>
    <w:rsid w:val="00366CF6"/>
    <w:rsid w:val="0037523B"/>
    <w:rsid w:val="00376A25"/>
    <w:rsid w:val="00376DF1"/>
    <w:rsid w:val="003825C8"/>
    <w:rsid w:val="00385983"/>
    <w:rsid w:val="003947ED"/>
    <w:rsid w:val="00396CB0"/>
    <w:rsid w:val="003A4923"/>
    <w:rsid w:val="003A6CF9"/>
    <w:rsid w:val="003A7AA3"/>
    <w:rsid w:val="003B037A"/>
    <w:rsid w:val="003B422F"/>
    <w:rsid w:val="003B4508"/>
    <w:rsid w:val="003C3615"/>
    <w:rsid w:val="003C399A"/>
    <w:rsid w:val="003C4E83"/>
    <w:rsid w:val="003D336A"/>
    <w:rsid w:val="003D653B"/>
    <w:rsid w:val="003E66F4"/>
    <w:rsid w:val="003E7E2A"/>
    <w:rsid w:val="003F4B0D"/>
    <w:rsid w:val="003F6BBA"/>
    <w:rsid w:val="003F7E39"/>
    <w:rsid w:val="004004FC"/>
    <w:rsid w:val="004164B0"/>
    <w:rsid w:val="00417008"/>
    <w:rsid w:val="00424E4F"/>
    <w:rsid w:val="00447075"/>
    <w:rsid w:val="004605E8"/>
    <w:rsid w:val="00461D62"/>
    <w:rsid w:val="00463C72"/>
    <w:rsid w:val="00471E35"/>
    <w:rsid w:val="00482AEE"/>
    <w:rsid w:val="004923E0"/>
    <w:rsid w:val="004951FD"/>
    <w:rsid w:val="004964A5"/>
    <w:rsid w:val="004A520C"/>
    <w:rsid w:val="004A7DB8"/>
    <w:rsid w:val="004B3911"/>
    <w:rsid w:val="004B42D4"/>
    <w:rsid w:val="004B43C5"/>
    <w:rsid w:val="004B7BCA"/>
    <w:rsid w:val="004C595C"/>
    <w:rsid w:val="004D3DBE"/>
    <w:rsid w:val="004E51EF"/>
    <w:rsid w:val="004F1256"/>
    <w:rsid w:val="004F5C8A"/>
    <w:rsid w:val="00503226"/>
    <w:rsid w:val="00513A25"/>
    <w:rsid w:val="00516AC8"/>
    <w:rsid w:val="00517955"/>
    <w:rsid w:val="00530FDE"/>
    <w:rsid w:val="00533AD2"/>
    <w:rsid w:val="00533F4B"/>
    <w:rsid w:val="00535F54"/>
    <w:rsid w:val="005371F8"/>
    <w:rsid w:val="00544CD3"/>
    <w:rsid w:val="005474ED"/>
    <w:rsid w:val="00553492"/>
    <w:rsid w:val="00553530"/>
    <w:rsid w:val="00562449"/>
    <w:rsid w:val="005677F1"/>
    <w:rsid w:val="005729A4"/>
    <w:rsid w:val="00572BBB"/>
    <w:rsid w:val="00576972"/>
    <w:rsid w:val="00584C12"/>
    <w:rsid w:val="00586AE4"/>
    <w:rsid w:val="005A7B65"/>
    <w:rsid w:val="005B11FE"/>
    <w:rsid w:val="005C6168"/>
    <w:rsid w:val="005D023F"/>
    <w:rsid w:val="005D6385"/>
    <w:rsid w:val="005D7F24"/>
    <w:rsid w:val="005E0C05"/>
    <w:rsid w:val="005F0E24"/>
    <w:rsid w:val="005F29B6"/>
    <w:rsid w:val="005F2E08"/>
    <w:rsid w:val="005F45A2"/>
    <w:rsid w:val="005F6261"/>
    <w:rsid w:val="00600F89"/>
    <w:rsid w:val="00612159"/>
    <w:rsid w:val="00623772"/>
    <w:rsid w:val="00635929"/>
    <w:rsid w:val="006370E2"/>
    <w:rsid w:val="006446C6"/>
    <w:rsid w:val="0064746F"/>
    <w:rsid w:val="00650093"/>
    <w:rsid w:val="00654870"/>
    <w:rsid w:val="0066301C"/>
    <w:rsid w:val="0066628E"/>
    <w:rsid w:val="0066648B"/>
    <w:rsid w:val="00667024"/>
    <w:rsid w:val="00667A46"/>
    <w:rsid w:val="00673710"/>
    <w:rsid w:val="00674B1A"/>
    <w:rsid w:val="00675517"/>
    <w:rsid w:val="006900FE"/>
    <w:rsid w:val="00691655"/>
    <w:rsid w:val="006923DA"/>
    <w:rsid w:val="006A04FC"/>
    <w:rsid w:val="006A559A"/>
    <w:rsid w:val="006A62C8"/>
    <w:rsid w:val="006B2B6C"/>
    <w:rsid w:val="006B2EA5"/>
    <w:rsid w:val="006B3765"/>
    <w:rsid w:val="006B596B"/>
    <w:rsid w:val="006C2880"/>
    <w:rsid w:val="006C55D6"/>
    <w:rsid w:val="006C5BBF"/>
    <w:rsid w:val="006C7859"/>
    <w:rsid w:val="006D24E7"/>
    <w:rsid w:val="006D532F"/>
    <w:rsid w:val="006E13DA"/>
    <w:rsid w:val="006E1871"/>
    <w:rsid w:val="006E4792"/>
    <w:rsid w:val="006F6399"/>
    <w:rsid w:val="00700521"/>
    <w:rsid w:val="007065F9"/>
    <w:rsid w:val="00723FFE"/>
    <w:rsid w:val="00726F3C"/>
    <w:rsid w:val="007402FC"/>
    <w:rsid w:val="00744157"/>
    <w:rsid w:val="00744B45"/>
    <w:rsid w:val="00760E32"/>
    <w:rsid w:val="007627BA"/>
    <w:rsid w:val="00764461"/>
    <w:rsid w:val="00764E41"/>
    <w:rsid w:val="00771515"/>
    <w:rsid w:val="00776056"/>
    <w:rsid w:val="00790C12"/>
    <w:rsid w:val="00794421"/>
    <w:rsid w:val="0079473E"/>
    <w:rsid w:val="007A6544"/>
    <w:rsid w:val="007C1B15"/>
    <w:rsid w:val="007C2C04"/>
    <w:rsid w:val="007C3521"/>
    <w:rsid w:val="007C5205"/>
    <w:rsid w:val="007C7291"/>
    <w:rsid w:val="007D4271"/>
    <w:rsid w:val="007E01C4"/>
    <w:rsid w:val="007E1663"/>
    <w:rsid w:val="007E21DF"/>
    <w:rsid w:val="007F000A"/>
    <w:rsid w:val="007F5D1F"/>
    <w:rsid w:val="007F62AB"/>
    <w:rsid w:val="008018C5"/>
    <w:rsid w:val="00804B54"/>
    <w:rsid w:val="00813F1E"/>
    <w:rsid w:val="0081403B"/>
    <w:rsid w:val="00815167"/>
    <w:rsid w:val="008221DC"/>
    <w:rsid w:val="00824154"/>
    <w:rsid w:val="00832BFE"/>
    <w:rsid w:val="00837C4B"/>
    <w:rsid w:val="00841EAA"/>
    <w:rsid w:val="00842737"/>
    <w:rsid w:val="00843006"/>
    <w:rsid w:val="008440D9"/>
    <w:rsid w:val="00845340"/>
    <w:rsid w:val="008514D3"/>
    <w:rsid w:val="00855D02"/>
    <w:rsid w:val="008579AB"/>
    <w:rsid w:val="00866368"/>
    <w:rsid w:val="00867AAC"/>
    <w:rsid w:val="00882ECA"/>
    <w:rsid w:val="0088525D"/>
    <w:rsid w:val="008A06CB"/>
    <w:rsid w:val="008B06DD"/>
    <w:rsid w:val="008D182E"/>
    <w:rsid w:val="008D1D8A"/>
    <w:rsid w:val="008D4556"/>
    <w:rsid w:val="008D5C8E"/>
    <w:rsid w:val="008D791F"/>
    <w:rsid w:val="008E6BA6"/>
    <w:rsid w:val="008F0A97"/>
    <w:rsid w:val="008F1A96"/>
    <w:rsid w:val="008F3B83"/>
    <w:rsid w:val="009031AA"/>
    <w:rsid w:val="00904D01"/>
    <w:rsid w:val="009137AB"/>
    <w:rsid w:val="00915AB4"/>
    <w:rsid w:val="00920DBC"/>
    <w:rsid w:val="0093018A"/>
    <w:rsid w:val="009316F1"/>
    <w:rsid w:val="009353D7"/>
    <w:rsid w:val="00942295"/>
    <w:rsid w:val="009422B0"/>
    <w:rsid w:val="00942B3B"/>
    <w:rsid w:val="00942F8D"/>
    <w:rsid w:val="00951FA3"/>
    <w:rsid w:val="0095201E"/>
    <w:rsid w:val="009543F7"/>
    <w:rsid w:val="00957D8C"/>
    <w:rsid w:val="009610DE"/>
    <w:rsid w:val="00967A36"/>
    <w:rsid w:val="0097197E"/>
    <w:rsid w:val="00975566"/>
    <w:rsid w:val="00975A5D"/>
    <w:rsid w:val="00975AC2"/>
    <w:rsid w:val="00976AD4"/>
    <w:rsid w:val="00990209"/>
    <w:rsid w:val="00990CED"/>
    <w:rsid w:val="009B0E99"/>
    <w:rsid w:val="009B4488"/>
    <w:rsid w:val="009B76A1"/>
    <w:rsid w:val="009C6E76"/>
    <w:rsid w:val="009D04FD"/>
    <w:rsid w:val="009E513F"/>
    <w:rsid w:val="009E6D81"/>
    <w:rsid w:val="009E7526"/>
    <w:rsid w:val="009F0CEC"/>
    <w:rsid w:val="009F13B4"/>
    <w:rsid w:val="009F21FD"/>
    <w:rsid w:val="009F3A59"/>
    <w:rsid w:val="00A0001A"/>
    <w:rsid w:val="00A040EE"/>
    <w:rsid w:val="00A10A1C"/>
    <w:rsid w:val="00A11168"/>
    <w:rsid w:val="00A1786A"/>
    <w:rsid w:val="00A20542"/>
    <w:rsid w:val="00A210CD"/>
    <w:rsid w:val="00A22278"/>
    <w:rsid w:val="00A244CA"/>
    <w:rsid w:val="00A30EBB"/>
    <w:rsid w:val="00A3246D"/>
    <w:rsid w:val="00A35318"/>
    <w:rsid w:val="00A40130"/>
    <w:rsid w:val="00A44F24"/>
    <w:rsid w:val="00A45528"/>
    <w:rsid w:val="00A508C8"/>
    <w:rsid w:val="00A52A94"/>
    <w:rsid w:val="00A57912"/>
    <w:rsid w:val="00A74149"/>
    <w:rsid w:val="00A77EB4"/>
    <w:rsid w:val="00A8161E"/>
    <w:rsid w:val="00A82539"/>
    <w:rsid w:val="00A85E34"/>
    <w:rsid w:val="00A90A69"/>
    <w:rsid w:val="00A95CD7"/>
    <w:rsid w:val="00A96279"/>
    <w:rsid w:val="00A96DBE"/>
    <w:rsid w:val="00AB430F"/>
    <w:rsid w:val="00AD203B"/>
    <w:rsid w:val="00AD2EE0"/>
    <w:rsid w:val="00AE2632"/>
    <w:rsid w:val="00AF5353"/>
    <w:rsid w:val="00AF6AB8"/>
    <w:rsid w:val="00B00E5C"/>
    <w:rsid w:val="00B053BE"/>
    <w:rsid w:val="00B05B08"/>
    <w:rsid w:val="00B2050D"/>
    <w:rsid w:val="00B20E1D"/>
    <w:rsid w:val="00B228B6"/>
    <w:rsid w:val="00B25913"/>
    <w:rsid w:val="00B25B8C"/>
    <w:rsid w:val="00B3035F"/>
    <w:rsid w:val="00B31074"/>
    <w:rsid w:val="00B32ADA"/>
    <w:rsid w:val="00B3765D"/>
    <w:rsid w:val="00B45026"/>
    <w:rsid w:val="00B64ACA"/>
    <w:rsid w:val="00B67A65"/>
    <w:rsid w:val="00B70309"/>
    <w:rsid w:val="00B72347"/>
    <w:rsid w:val="00B75A8F"/>
    <w:rsid w:val="00B7670B"/>
    <w:rsid w:val="00B8410C"/>
    <w:rsid w:val="00B85204"/>
    <w:rsid w:val="00B904D5"/>
    <w:rsid w:val="00B9241D"/>
    <w:rsid w:val="00B94149"/>
    <w:rsid w:val="00B95878"/>
    <w:rsid w:val="00BA2AC2"/>
    <w:rsid w:val="00BA3646"/>
    <w:rsid w:val="00BB30F5"/>
    <w:rsid w:val="00BB6970"/>
    <w:rsid w:val="00BC0F06"/>
    <w:rsid w:val="00BC2FEA"/>
    <w:rsid w:val="00BC38E0"/>
    <w:rsid w:val="00BC608B"/>
    <w:rsid w:val="00BC6549"/>
    <w:rsid w:val="00BC65CB"/>
    <w:rsid w:val="00BC7C45"/>
    <w:rsid w:val="00BD43BE"/>
    <w:rsid w:val="00BD4EDB"/>
    <w:rsid w:val="00BE2925"/>
    <w:rsid w:val="00BF222D"/>
    <w:rsid w:val="00BF5391"/>
    <w:rsid w:val="00C06B6E"/>
    <w:rsid w:val="00C27A1E"/>
    <w:rsid w:val="00C30257"/>
    <w:rsid w:val="00C33226"/>
    <w:rsid w:val="00C440D3"/>
    <w:rsid w:val="00C650EF"/>
    <w:rsid w:val="00C66DE1"/>
    <w:rsid w:val="00C765E6"/>
    <w:rsid w:val="00C96C62"/>
    <w:rsid w:val="00C97E31"/>
    <w:rsid w:val="00CA268F"/>
    <w:rsid w:val="00CA4DBB"/>
    <w:rsid w:val="00CA7FAC"/>
    <w:rsid w:val="00CB2E84"/>
    <w:rsid w:val="00CB647D"/>
    <w:rsid w:val="00CC6154"/>
    <w:rsid w:val="00CD6DA7"/>
    <w:rsid w:val="00CD7143"/>
    <w:rsid w:val="00CE351E"/>
    <w:rsid w:val="00CF0CAF"/>
    <w:rsid w:val="00CF148D"/>
    <w:rsid w:val="00CF1E08"/>
    <w:rsid w:val="00D00658"/>
    <w:rsid w:val="00D03FCE"/>
    <w:rsid w:val="00D07AEB"/>
    <w:rsid w:val="00D12884"/>
    <w:rsid w:val="00D13415"/>
    <w:rsid w:val="00D30BE3"/>
    <w:rsid w:val="00D42AEC"/>
    <w:rsid w:val="00D464F1"/>
    <w:rsid w:val="00D46746"/>
    <w:rsid w:val="00D514C6"/>
    <w:rsid w:val="00D51936"/>
    <w:rsid w:val="00D51BD3"/>
    <w:rsid w:val="00D53CF3"/>
    <w:rsid w:val="00D57397"/>
    <w:rsid w:val="00D64104"/>
    <w:rsid w:val="00D64744"/>
    <w:rsid w:val="00D736EF"/>
    <w:rsid w:val="00D80390"/>
    <w:rsid w:val="00D80A4F"/>
    <w:rsid w:val="00D85AAD"/>
    <w:rsid w:val="00D87D23"/>
    <w:rsid w:val="00D9192E"/>
    <w:rsid w:val="00D93CF1"/>
    <w:rsid w:val="00DA1F19"/>
    <w:rsid w:val="00DB5BCA"/>
    <w:rsid w:val="00DB619C"/>
    <w:rsid w:val="00DC4D86"/>
    <w:rsid w:val="00DC7354"/>
    <w:rsid w:val="00DD4368"/>
    <w:rsid w:val="00DE05E0"/>
    <w:rsid w:val="00DF0357"/>
    <w:rsid w:val="00E06A4E"/>
    <w:rsid w:val="00E1547F"/>
    <w:rsid w:val="00E21158"/>
    <w:rsid w:val="00E27864"/>
    <w:rsid w:val="00E32ACA"/>
    <w:rsid w:val="00E34223"/>
    <w:rsid w:val="00E37E7A"/>
    <w:rsid w:val="00E471F8"/>
    <w:rsid w:val="00E6160E"/>
    <w:rsid w:val="00E62FC8"/>
    <w:rsid w:val="00E70A4D"/>
    <w:rsid w:val="00E7272A"/>
    <w:rsid w:val="00E72BAA"/>
    <w:rsid w:val="00E75F81"/>
    <w:rsid w:val="00E7688C"/>
    <w:rsid w:val="00E770DC"/>
    <w:rsid w:val="00E859AD"/>
    <w:rsid w:val="00EA39B6"/>
    <w:rsid w:val="00EA3CCD"/>
    <w:rsid w:val="00EA4672"/>
    <w:rsid w:val="00EA7740"/>
    <w:rsid w:val="00EA7AB0"/>
    <w:rsid w:val="00EA7F98"/>
    <w:rsid w:val="00EC7BBC"/>
    <w:rsid w:val="00ED6271"/>
    <w:rsid w:val="00ED7E8B"/>
    <w:rsid w:val="00EE1BB4"/>
    <w:rsid w:val="00EE1D60"/>
    <w:rsid w:val="00EE3180"/>
    <w:rsid w:val="00EF0D80"/>
    <w:rsid w:val="00EF4321"/>
    <w:rsid w:val="00EF7E22"/>
    <w:rsid w:val="00F01FDE"/>
    <w:rsid w:val="00F11659"/>
    <w:rsid w:val="00F13D34"/>
    <w:rsid w:val="00F16195"/>
    <w:rsid w:val="00F174A2"/>
    <w:rsid w:val="00F17ED4"/>
    <w:rsid w:val="00F2546F"/>
    <w:rsid w:val="00F31949"/>
    <w:rsid w:val="00F37FA7"/>
    <w:rsid w:val="00F5203A"/>
    <w:rsid w:val="00F617B3"/>
    <w:rsid w:val="00F64BC8"/>
    <w:rsid w:val="00F6615A"/>
    <w:rsid w:val="00F7622D"/>
    <w:rsid w:val="00F77BA0"/>
    <w:rsid w:val="00F822DE"/>
    <w:rsid w:val="00F826EC"/>
    <w:rsid w:val="00F83FF1"/>
    <w:rsid w:val="00F84FD4"/>
    <w:rsid w:val="00FA362B"/>
    <w:rsid w:val="00FA47F6"/>
    <w:rsid w:val="00FB2C4C"/>
    <w:rsid w:val="00FB3DB2"/>
    <w:rsid w:val="00FB523F"/>
    <w:rsid w:val="00FC09D9"/>
    <w:rsid w:val="00FC6570"/>
    <w:rsid w:val="00FC7B3C"/>
    <w:rsid w:val="00FD6321"/>
    <w:rsid w:val="00FE3711"/>
    <w:rsid w:val="00FE6525"/>
    <w:rsid w:val="00FF1E33"/>
    <w:rsid w:val="00FF5BC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545BE-74A0-423C-83B4-EA6D7B9D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FOOTNOTES,fn,single space,ALTS FOOTNOTE,footnote text,Fodnotetekst Tegn,footnote text Char,Fodnotetekst Tegn Char,single space Char,footnote text Char Char Char,Fodnotetekst Tegn Char1,single space Char1,Footnote,Geneva 9,Boston 10,f"/>
    <w:basedOn w:val="Normal"/>
    <w:link w:val="FootnoteTextChar"/>
    <w:uiPriority w:val="99"/>
    <w:qFormat/>
    <w:rsid w:val="001F3524"/>
    <w:rPr>
      <w:sz w:val="20"/>
    </w:rPr>
  </w:style>
  <w:style w:type="character" w:customStyle="1" w:styleId="FootnoteTextChar">
    <w:name w:val="Footnote Text Char"/>
    <w:aliases w:val="FOOTNOTES Char,fn Char,single space Char2,ALTS FOOTNOTE Char,footnote text Char1,Fodnotetekst Tegn Char2,footnote text Char Char,Fodnotetekst Tegn Char Char,single space Char Char,footnote text Char Char Char Char,Footnote Char,f Char"/>
    <w:basedOn w:val="DefaultParagraphFont"/>
    <w:link w:val="FootnoteText"/>
    <w:uiPriority w:val="99"/>
    <w:rsid w:val="001F3524"/>
  </w:style>
  <w:style w:type="character" w:styleId="FootnoteReference">
    <w:name w:val="footnote reference"/>
    <w:aliases w:val="ftref,Car Car Char Car Char Car Car Char Car Char Char,Car Car Car Car Car Car Car Car Char Car Car Char Car Car Car Char Car Char Char Char,Ref,de nota al pie,16 Point,BVI fnr, Car Car Char Car Char Car Car Char Car Char Char"/>
    <w:basedOn w:val="DefaultParagraphFont"/>
    <w:uiPriority w:val="99"/>
    <w:rsid w:val="001F3524"/>
    <w:rPr>
      <w:vertAlign w:val="superscript"/>
    </w:rPr>
  </w:style>
  <w:style w:type="character" w:customStyle="1" w:styleId="apple-converted-space">
    <w:name w:val="apple-converted-space"/>
    <w:basedOn w:val="DefaultParagraphFont"/>
    <w:rsid w:val="0066648B"/>
  </w:style>
  <w:style w:type="character" w:customStyle="1" w:styleId="roaranswertext">
    <w:name w:val="roar_answertext"/>
    <w:basedOn w:val="DefaultParagraphFont"/>
    <w:rsid w:val="007E21DF"/>
  </w:style>
  <w:style w:type="character" w:styleId="CommentReference">
    <w:name w:val="annotation reference"/>
    <w:basedOn w:val="DefaultParagraphFont"/>
    <w:uiPriority w:val="99"/>
    <w:semiHidden/>
    <w:unhideWhenUsed/>
    <w:rsid w:val="00FC6570"/>
    <w:rPr>
      <w:sz w:val="16"/>
      <w:szCs w:val="16"/>
    </w:rPr>
  </w:style>
  <w:style w:type="paragraph" w:styleId="CommentText">
    <w:name w:val="annotation text"/>
    <w:basedOn w:val="Normal"/>
    <w:link w:val="CommentTextChar"/>
    <w:uiPriority w:val="99"/>
    <w:unhideWhenUsed/>
    <w:rsid w:val="00FC6570"/>
    <w:rPr>
      <w:sz w:val="20"/>
    </w:rPr>
  </w:style>
  <w:style w:type="character" w:customStyle="1" w:styleId="CommentTextChar">
    <w:name w:val="Comment Text Char"/>
    <w:basedOn w:val="DefaultParagraphFont"/>
    <w:link w:val="CommentText"/>
    <w:uiPriority w:val="99"/>
    <w:rsid w:val="00FC6570"/>
  </w:style>
  <w:style w:type="paragraph" w:styleId="CommentSubject">
    <w:name w:val="annotation subject"/>
    <w:basedOn w:val="CommentText"/>
    <w:next w:val="CommentText"/>
    <w:link w:val="CommentSubjectChar"/>
    <w:semiHidden/>
    <w:unhideWhenUsed/>
    <w:rsid w:val="00FC6570"/>
    <w:rPr>
      <w:b/>
      <w:bCs/>
    </w:rPr>
  </w:style>
  <w:style w:type="character" w:customStyle="1" w:styleId="CommentSubjectChar">
    <w:name w:val="Comment Subject Char"/>
    <w:basedOn w:val="CommentTextChar"/>
    <w:link w:val="CommentSubject"/>
    <w:semiHidden/>
    <w:rsid w:val="00FC6570"/>
    <w:rPr>
      <w:b/>
      <w:bCs/>
    </w:rPr>
  </w:style>
  <w:style w:type="paragraph" w:styleId="BalloonText">
    <w:name w:val="Balloon Text"/>
    <w:basedOn w:val="Normal"/>
    <w:link w:val="BalloonTextChar"/>
    <w:semiHidden/>
    <w:unhideWhenUsed/>
    <w:rsid w:val="00FC6570"/>
    <w:rPr>
      <w:rFonts w:ascii="Segoe UI" w:hAnsi="Segoe UI" w:cs="Segoe UI"/>
      <w:sz w:val="18"/>
      <w:szCs w:val="18"/>
    </w:rPr>
  </w:style>
  <w:style w:type="character" w:customStyle="1" w:styleId="BalloonTextChar">
    <w:name w:val="Balloon Text Char"/>
    <w:basedOn w:val="DefaultParagraphFont"/>
    <w:link w:val="BalloonText"/>
    <w:semiHidden/>
    <w:rsid w:val="00FC6570"/>
    <w:rPr>
      <w:rFonts w:ascii="Segoe UI" w:hAnsi="Segoe UI" w:cs="Segoe UI"/>
      <w:sz w:val="18"/>
      <w:szCs w:val="18"/>
    </w:rPr>
  </w:style>
  <w:style w:type="character" w:customStyle="1" w:styleId="EmailStyle161">
    <w:name w:val="EmailStyle161"/>
    <w:basedOn w:val="DefaultParagraphFont"/>
    <w:semiHidden/>
    <w:rsid w:val="00BD4EDB"/>
    <w:rPr>
      <w:rFonts w:ascii="Arial" w:hAnsi="Arial" w:cs="Arial" w:hint="default"/>
      <w:color w:val="000000"/>
    </w:rPr>
  </w:style>
  <w:style w:type="paragraph" w:styleId="ListParagraph">
    <w:name w:val="List Paragraph"/>
    <w:aliases w:val="Lapis Bulleted List,List Paragraph (numbered (a)),References"/>
    <w:basedOn w:val="Normal"/>
    <w:link w:val="ListParagraphChar"/>
    <w:uiPriority w:val="34"/>
    <w:qFormat/>
    <w:rsid w:val="005729A4"/>
    <w:pPr>
      <w:widowControl/>
      <w:ind w:left="720"/>
    </w:pPr>
    <w:rPr>
      <w:sz w:val="20"/>
    </w:rPr>
  </w:style>
  <w:style w:type="character" w:customStyle="1" w:styleId="roarquestion">
    <w:name w:val="roar_question"/>
    <w:basedOn w:val="DefaultParagraphFont"/>
    <w:rsid w:val="009137AB"/>
  </w:style>
  <w:style w:type="character" w:customStyle="1" w:styleId="BodyText2Char">
    <w:name w:val="Body Text 2 Char"/>
    <w:basedOn w:val="DefaultParagraphFont"/>
    <w:link w:val="BodyText2"/>
    <w:rsid w:val="00BD43BE"/>
    <w:rPr>
      <w:rFonts w:ascii="Arial" w:hAnsi="Arial"/>
    </w:rPr>
  </w:style>
  <w:style w:type="character" w:styleId="Hyperlink">
    <w:name w:val="Hyperlink"/>
    <w:basedOn w:val="DefaultParagraphFont"/>
    <w:uiPriority w:val="99"/>
    <w:semiHidden/>
    <w:unhideWhenUsed/>
    <w:rsid w:val="006A559A"/>
    <w:rPr>
      <w:color w:val="0000FF"/>
      <w:u w:val="single"/>
    </w:rPr>
  </w:style>
  <w:style w:type="character" w:customStyle="1" w:styleId="ListParagraphChar">
    <w:name w:val="List Paragraph Char"/>
    <w:aliases w:val="Lapis Bulleted List Char,List Paragraph (numbered (a)) Char,References Char"/>
    <w:link w:val="ListParagraph"/>
    <w:uiPriority w:val="34"/>
    <w:locked/>
    <w:rsid w:val="00A35318"/>
  </w:style>
  <w:style w:type="paragraph" w:styleId="ListBullet">
    <w:name w:val="List Bullet"/>
    <w:basedOn w:val="Normal"/>
    <w:unhideWhenUsed/>
    <w:rsid w:val="00D64104"/>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6192">
      <w:bodyDiv w:val="1"/>
      <w:marLeft w:val="0"/>
      <w:marRight w:val="0"/>
      <w:marTop w:val="0"/>
      <w:marBottom w:val="0"/>
      <w:divBdr>
        <w:top w:val="none" w:sz="0" w:space="0" w:color="auto"/>
        <w:left w:val="none" w:sz="0" w:space="0" w:color="auto"/>
        <w:bottom w:val="none" w:sz="0" w:space="0" w:color="auto"/>
        <w:right w:val="none" w:sz="0" w:space="0" w:color="auto"/>
      </w:divBdr>
      <w:divsChild>
        <w:div w:id="1831750673">
          <w:marLeft w:val="30"/>
          <w:marRight w:val="30"/>
          <w:marTop w:val="30"/>
          <w:marBottom w:val="30"/>
          <w:divBdr>
            <w:top w:val="none" w:sz="0" w:space="0" w:color="auto"/>
            <w:left w:val="none" w:sz="0" w:space="0" w:color="auto"/>
            <w:bottom w:val="none" w:sz="0" w:space="0" w:color="auto"/>
            <w:right w:val="none" w:sz="0" w:space="0" w:color="auto"/>
          </w:divBdr>
        </w:div>
        <w:div w:id="1413351578">
          <w:marLeft w:val="0"/>
          <w:marRight w:val="0"/>
          <w:marTop w:val="0"/>
          <w:marBottom w:val="0"/>
          <w:divBdr>
            <w:top w:val="single" w:sz="6" w:space="0" w:color="ABABAB"/>
            <w:left w:val="single" w:sz="6" w:space="0" w:color="ABABAB"/>
            <w:bottom w:val="single" w:sz="6" w:space="0" w:color="ABABAB"/>
            <w:right w:val="single" w:sz="6" w:space="0" w:color="ABABAB"/>
          </w:divBdr>
          <w:divsChild>
            <w:div w:id="1708990161">
              <w:marLeft w:val="0"/>
              <w:marRight w:val="0"/>
              <w:marTop w:val="0"/>
              <w:marBottom w:val="0"/>
              <w:divBdr>
                <w:top w:val="none" w:sz="0" w:space="0" w:color="auto"/>
                <w:left w:val="none" w:sz="0" w:space="0" w:color="auto"/>
                <w:bottom w:val="none" w:sz="0" w:space="0" w:color="auto"/>
                <w:right w:val="none" w:sz="0" w:space="0" w:color="auto"/>
              </w:divBdr>
              <w:divsChild>
                <w:div w:id="1551334198">
                  <w:marLeft w:val="0"/>
                  <w:marRight w:val="0"/>
                  <w:marTop w:val="0"/>
                  <w:marBottom w:val="0"/>
                  <w:divBdr>
                    <w:top w:val="none" w:sz="0" w:space="0" w:color="auto"/>
                    <w:left w:val="none" w:sz="0" w:space="0" w:color="auto"/>
                    <w:bottom w:val="none" w:sz="0" w:space="0" w:color="auto"/>
                    <w:right w:val="none" w:sz="0" w:space="0" w:color="auto"/>
                  </w:divBdr>
                  <w:divsChild>
                    <w:div w:id="1742021597">
                      <w:marLeft w:val="0"/>
                      <w:marRight w:val="0"/>
                      <w:marTop w:val="0"/>
                      <w:marBottom w:val="0"/>
                      <w:divBdr>
                        <w:top w:val="none" w:sz="0" w:space="0" w:color="auto"/>
                        <w:left w:val="none" w:sz="0" w:space="0" w:color="auto"/>
                        <w:bottom w:val="none" w:sz="0" w:space="0" w:color="auto"/>
                        <w:right w:val="none" w:sz="0" w:space="0" w:color="auto"/>
                      </w:divBdr>
                      <w:divsChild>
                        <w:div w:id="2104256522">
                          <w:marLeft w:val="0"/>
                          <w:marRight w:val="0"/>
                          <w:marTop w:val="0"/>
                          <w:marBottom w:val="0"/>
                          <w:divBdr>
                            <w:top w:val="single" w:sz="2" w:space="0" w:color="D4D4D4"/>
                            <w:left w:val="single" w:sz="2" w:space="0" w:color="D4D4D4"/>
                            <w:bottom w:val="single" w:sz="2" w:space="0" w:color="D4D4D4"/>
                            <w:right w:val="single" w:sz="2" w:space="0" w:color="D4D4D4"/>
                          </w:divBdr>
                          <w:divsChild>
                            <w:div w:id="1053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17900">
      <w:bodyDiv w:val="1"/>
      <w:marLeft w:val="0"/>
      <w:marRight w:val="0"/>
      <w:marTop w:val="0"/>
      <w:marBottom w:val="0"/>
      <w:divBdr>
        <w:top w:val="none" w:sz="0" w:space="0" w:color="auto"/>
        <w:left w:val="none" w:sz="0" w:space="0" w:color="auto"/>
        <w:bottom w:val="none" w:sz="0" w:space="0" w:color="auto"/>
        <w:right w:val="none" w:sz="0" w:space="0" w:color="auto"/>
      </w:divBdr>
    </w:div>
    <w:div w:id="278030056">
      <w:bodyDiv w:val="1"/>
      <w:marLeft w:val="0"/>
      <w:marRight w:val="0"/>
      <w:marTop w:val="0"/>
      <w:marBottom w:val="0"/>
      <w:divBdr>
        <w:top w:val="none" w:sz="0" w:space="0" w:color="auto"/>
        <w:left w:val="none" w:sz="0" w:space="0" w:color="auto"/>
        <w:bottom w:val="none" w:sz="0" w:space="0" w:color="auto"/>
        <w:right w:val="none" w:sz="0" w:space="0" w:color="auto"/>
      </w:divBdr>
    </w:div>
    <w:div w:id="546113043">
      <w:bodyDiv w:val="1"/>
      <w:marLeft w:val="0"/>
      <w:marRight w:val="0"/>
      <w:marTop w:val="0"/>
      <w:marBottom w:val="0"/>
      <w:divBdr>
        <w:top w:val="none" w:sz="0" w:space="0" w:color="auto"/>
        <w:left w:val="none" w:sz="0" w:space="0" w:color="auto"/>
        <w:bottom w:val="none" w:sz="0" w:space="0" w:color="auto"/>
        <w:right w:val="none" w:sz="0" w:space="0" w:color="auto"/>
      </w:divBdr>
    </w:div>
    <w:div w:id="562983160">
      <w:bodyDiv w:val="1"/>
      <w:marLeft w:val="0"/>
      <w:marRight w:val="0"/>
      <w:marTop w:val="0"/>
      <w:marBottom w:val="0"/>
      <w:divBdr>
        <w:top w:val="none" w:sz="0" w:space="0" w:color="auto"/>
        <w:left w:val="none" w:sz="0" w:space="0" w:color="auto"/>
        <w:bottom w:val="none" w:sz="0" w:space="0" w:color="auto"/>
        <w:right w:val="none" w:sz="0" w:space="0" w:color="auto"/>
      </w:divBdr>
    </w:div>
    <w:div w:id="636028826">
      <w:bodyDiv w:val="1"/>
      <w:marLeft w:val="0"/>
      <w:marRight w:val="0"/>
      <w:marTop w:val="0"/>
      <w:marBottom w:val="0"/>
      <w:divBdr>
        <w:top w:val="none" w:sz="0" w:space="0" w:color="auto"/>
        <w:left w:val="none" w:sz="0" w:space="0" w:color="auto"/>
        <w:bottom w:val="none" w:sz="0" w:space="0" w:color="auto"/>
        <w:right w:val="none" w:sz="0" w:space="0" w:color="auto"/>
      </w:divBdr>
    </w:div>
    <w:div w:id="642271749">
      <w:bodyDiv w:val="1"/>
      <w:marLeft w:val="0"/>
      <w:marRight w:val="0"/>
      <w:marTop w:val="0"/>
      <w:marBottom w:val="0"/>
      <w:divBdr>
        <w:top w:val="none" w:sz="0" w:space="0" w:color="auto"/>
        <w:left w:val="none" w:sz="0" w:space="0" w:color="auto"/>
        <w:bottom w:val="none" w:sz="0" w:space="0" w:color="auto"/>
        <w:right w:val="none" w:sz="0" w:space="0" w:color="auto"/>
      </w:divBdr>
    </w:div>
    <w:div w:id="668942186">
      <w:bodyDiv w:val="1"/>
      <w:marLeft w:val="0"/>
      <w:marRight w:val="0"/>
      <w:marTop w:val="0"/>
      <w:marBottom w:val="0"/>
      <w:divBdr>
        <w:top w:val="none" w:sz="0" w:space="0" w:color="auto"/>
        <w:left w:val="none" w:sz="0" w:space="0" w:color="auto"/>
        <w:bottom w:val="none" w:sz="0" w:space="0" w:color="auto"/>
        <w:right w:val="none" w:sz="0" w:space="0" w:color="auto"/>
      </w:divBdr>
      <w:divsChild>
        <w:div w:id="1551962897">
          <w:marLeft w:val="446"/>
          <w:marRight w:val="0"/>
          <w:marTop w:val="0"/>
          <w:marBottom w:val="0"/>
          <w:divBdr>
            <w:top w:val="none" w:sz="0" w:space="0" w:color="auto"/>
            <w:left w:val="none" w:sz="0" w:space="0" w:color="auto"/>
            <w:bottom w:val="none" w:sz="0" w:space="0" w:color="auto"/>
            <w:right w:val="none" w:sz="0" w:space="0" w:color="auto"/>
          </w:divBdr>
        </w:div>
        <w:div w:id="1841893682">
          <w:marLeft w:val="446"/>
          <w:marRight w:val="0"/>
          <w:marTop w:val="0"/>
          <w:marBottom w:val="0"/>
          <w:divBdr>
            <w:top w:val="none" w:sz="0" w:space="0" w:color="auto"/>
            <w:left w:val="none" w:sz="0" w:space="0" w:color="auto"/>
            <w:bottom w:val="none" w:sz="0" w:space="0" w:color="auto"/>
            <w:right w:val="none" w:sz="0" w:space="0" w:color="auto"/>
          </w:divBdr>
        </w:div>
      </w:divsChild>
    </w:div>
    <w:div w:id="688261984">
      <w:bodyDiv w:val="1"/>
      <w:marLeft w:val="0"/>
      <w:marRight w:val="0"/>
      <w:marTop w:val="0"/>
      <w:marBottom w:val="0"/>
      <w:divBdr>
        <w:top w:val="none" w:sz="0" w:space="0" w:color="auto"/>
        <w:left w:val="none" w:sz="0" w:space="0" w:color="auto"/>
        <w:bottom w:val="none" w:sz="0" w:space="0" w:color="auto"/>
        <w:right w:val="none" w:sz="0" w:space="0" w:color="auto"/>
      </w:divBdr>
      <w:divsChild>
        <w:div w:id="45877133">
          <w:marLeft w:val="446"/>
          <w:marRight w:val="0"/>
          <w:marTop w:val="0"/>
          <w:marBottom w:val="0"/>
          <w:divBdr>
            <w:top w:val="none" w:sz="0" w:space="0" w:color="auto"/>
            <w:left w:val="none" w:sz="0" w:space="0" w:color="auto"/>
            <w:bottom w:val="none" w:sz="0" w:space="0" w:color="auto"/>
            <w:right w:val="none" w:sz="0" w:space="0" w:color="auto"/>
          </w:divBdr>
        </w:div>
      </w:divsChild>
    </w:div>
    <w:div w:id="735320163">
      <w:bodyDiv w:val="1"/>
      <w:marLeft w:val="0"/>
      <w:marRight w:val="0"/>
      <w:marTop w:val="0"/>
      <w:marBottom w:val="0"/>
      <w:divBdr>
        <w:top w:val="none" w:sz="0" w:space="0" w:color="auto"/>
        <w:left w:val="none" w:sz="0" w:space="0" w:color="auto"/>
        <w:bottom w:val="none" w:sz="0" w:space="0" w:color="auto"/>
        <w:right w:val="none" w:sz="0" w:space="0" w:color="auto"/>
      </w:divBdr>
    </w:div>
    <w:div w:id="847912746">
      <w:bodyDiv w:val="1"/>
      <w:marLeft w:val="0"/>
      <w:marRight w:val="0"/>
      <w:marTop w:val="0"/>
      <w:marBottom w:val="0"/>
      <w:divBdr>
        <w:top w:val="none" w:sz="0" w:space="0" w:color="auto"/>
        <w:left w:val="none" w:sz="0" w:space="0" w:color="auto"/>
        <w:bottom w:val="none" w:sz="0" w:space="0" w:color="auto"/>
        <w:right w:val="none" w:sz="0" w:space="0" w:color="auto"/>
      </w:divBdr>
      <w:divsChild>
        <w:div w:id="409697951">
          <w:marLeft w:val="547"/>
          <w:marRight w:val="0"/>
          <w:marTop w:val="86"/>
          <w:marBottom w:val="0"/>
          <w:divBdr>
            <w:top w:val="none" w:sz="0" w:space="0" w:color="auto"/>
            <w:left w:val="none" w:sz="0" w:space="0" w:color="auto"/>
            <w:bottom w:val="none" w:sz="0" w:space="0" w:color="auto"/>
            <w:right w:val="none" w:sz="0" w:space="0" w:color="auto"/>
          </w:divBdr>
        </w:div>
        <w:div w:id="1087536090">
          <w:marLeft w:val="547"/>
          <w:marRight w:val="0"/>
          <w:marTop w:val="72"/>
          <w:marBottom w:val="0"/>
          <w:divBdr>
            <w:top w:val="none" w:sz="0" w:space="0" w:color="auto"/>
            <w:left w:val="none" w:sz="0" w:space="0" w:color="auto"/>
            <w:bottom w:val="none" w:sz="0" w:space="0" w:color="auto"/>
            <w:right w:val="none" w:sz="0" w:space="0" w:color="auto"/>
          </w:divBdr>
        </w:div>
        <w:div w:id="274022099">
          <w:marLeft w:val="547"/>
          <w:marRight w:val="0"/>
          <w:marTop w:val="72"/>
          <w:marBottom w:val="0"/>
          <w:divBdr>
            <w:top w:val="none" w:sz="0" w:space="0" w:color="auto"/>
            <w:left w:val="none" w:sz="0" w:space="0" w:color="auto"/>
            <w:bottom w:val="none" w:sz="0" w:space="0" w:color="auto"/>
            <w:right w:val="none" w:sz="0" w:space="0" w:color="auto"/>
          </w:divBdr>
        </w:div>
      </w:divsChild>
    </w:div>
    <w:div w:id="923565237">
      <w:bodyDiv w:val="1"/>
      <w:marLeft w:val="0"/>
      <w:marRight w:val="0"/>
      <w:marTop w:val="0"/>
      <w:marBottom w:val="0"/>
      <w:divBdr>
        <w:top w:val="none" w:sz="0" w:space="0" w:color="auto"/>
        <w:left w:val="none" w:sz="0" w:space="0" w:color="auto"/>
        <w:bottom w:val="none" w:sz="0" w:space="0" w:color="auto"/>
        <w:right w:val="none" w:sz="0" w:space="0" w:color="auto"/>
      </w:divBdr>
    </w:div>
    <w:div w:id="1333097352">
      <w:bodyDiv w:val="1"/>
      <w:marLeft w:val="0"/>
      <w:marRight w:val="0"/>
      <w:marTop w:val="0"/>
      <w:marBottom w:val="0"/>
      <w:divBdr>
        <w:top w:val="none" w:sz="0" w:space="0" w:color="auto"/>
        <w:left w:val="none" w:sz="0" w:space="0" w:color="auto"/>
        <w:bottom w:val="none" w:sz="0" w:space="0" w:color="auto"/>
        <w:right w:val="none" w:sz="0" w:space="0" w:color="auto"/>
      </w:divBdr>
    </w:div>
    <w:div w:id="1366102344">
      <w:bodyDiv w:val="1"/>
      <w:marLeft w:val="0"/>
      <w:marRight w:val="0"/>
      <w:marTop w:val="0"/>
      <w:marBottom w:val="0"/>
      <w:divBdr>
        <w:top w:val="none" w:sz="0" w:space="0" w:color="auto"/>
        <w:left w:val="none" w:sz="0" w:space="0" w:color="auto"/>
        <w:bottom w:val="none" w:sz="0" w:space="0" w:color="auto"/>
        <w:right w:val="none" w:sz="0" w:space="0" w:color="auto"/>
      </w:divBdr>
      <w:divsChild>
        <w:div w:id="869340292">
          <w:marLeft w:val="446"/>
          <w:marRight w:val="0"/>
          <w:marTop w:val="0"/>
          <w:marBottom w:val="0"/>
          <w:divBdr>
            <w:top w:val="none" w:sz="0" w:space="0" w:color="auto"/>
            <w:left w:val="none" w:sz="0" w:space="0" w:color="auto"/>
            <w:bottom w:val="none" w:sz="0" w:space="0" w:color="auto"/>
            <w:right w:val="none" w:sz="0" w:space="0" w:color="auto"/>
          </w:divBdr>
        </w:div>
        <w:div w:id="294682452">
          <w:marLeft w:val="1886"/>
          <w:marRight w:val="0"/>
          <w:marTop w:val="0"/>
          <w:marBottom w:val="0"/>
          <w:divBdr>
            <w:top w:val="none" w:sz="0" w:space="0" w:color="auto"/>
            <w:left w:val="none" w:sz="0" w:space="0" w:color="auto"/>
            <w:bottom w:val="none" w:sz="0" w:space="0" w:color="auto"/>
            <w:right w:val="none" w:sz="0" w:space="0" w:color="auto"/>
          </w:divBdr>
        </w:div>
        <w:div w:id="1436823174">
          <w:marLeft w:val="1886"/>
          <w:marRight w:val="0"/>
          <w:marTop w:val="0"/>
          <w:marBottom w:val="0"/>
          <w:divBdr>
            <w:top w:val="none" w:sz="0" w:space="0" w:color="auto"/>
            <w:left w:val="none" w:sz="0" w:space="0" w:color="auto"/>
            <w:bottom w:val="none" w:sz="0" w:space="0" w:color="auto"/>
            <w:right w:val="none" w:sz="0" w:space="0" w:color="auto"/>
          </w:divBdr>
        </w:div>
        <w:div w:id="1915507449">
          <w:marLeft w:val="1886"/>
          <w:marRight w:val="0"/>
          <w:marTop w:val="0"/>
          <w:marBottom w:val="0"/>
          <w:divBdr>
            <w:top w:val="none" w:sz="0" w:space="0" w:color="auto"/>
            <w:left w:val="none" w:sz="0" w:space="0" w:color="auto"/>
            <w:bottom w:val="none" w:sz="0" w:space="0" w:color="auto"/>
            <w:right w:val="none" w:sz="0" w:space="0" w:color="auto"/>
          </w:divBdr>
        </w:div>
        <w:div w:id="747188476">
          <w:marLeft w:val="1886"/>
          <w:marRight w:val="0"/>
          <w:marTop w:val="0"/>
          <w:marBottom w:val="0"/>
          <w:divBdr>
            <w:top w:val="none" w:sz="0" w:space="0" w:color="auto"/>
            <w:left w:val="none" w:sz="0" w:space="0" w:color="auto"/>
            <w:bottom w:val="none" w:sz="0" w:space="0" w:color="auto"/>
            <w:right w:val="none" w:sz="0" w:space="0" w:color="auto"/>
          </w:divBdr>
        </w:div>
        <w:div w:id="1258710879">
          <w:marLeft w:val="1886"/>
          <w:marRight w:val="0"/>
          <w:marTop w:val="0"/>
          <w:marBottom w:val="0"/>
          <w:divBdr>
            <w:top w:val="none" w:sz="0" w:space="0" w:color="auto"/>
            <w:left w:val="none" w:sz="0" w:space="0" w:color="auto"/>
            <w:bottom w:val="none" w:sz="0" w:space="0" w:color="auto"/>
            <w:right w:val="none" w:sz="0" w:space="0" w:color="auto"/>
          </w:divBdr>
        </w:div>
      </w:divsChild>
    </w:div>
    <w:div w:id="1640112626">
      <w:bodyDiv w:val="1"/>
      <w:marLeft w:val="0"/>
      <w:marRight w:val="0"/>
      <w:marTop w:val="0"/>
      <w:marBottom w:val="0"/>
      <w:divBdr>
        <w:top w:val="none" w:sz="0" w:space="0" w:color="auto"/>
        <w:left w:val="none" w:sz="0" w:space="0" w:color="auto"/>
        <w:bottom w:val="none" w:sz="0" w:space="0" w:color="auto"/>
        <w:right w:val="none" w:sz="0" w:space="0" w:color="auto"/>
      </w:divBdr>
      <w:divsChild>
        <w:div w:id="337998072">
          <w:marLeft w:val="547"/>
          <w:marRight w:val="0"/>
          <w:marTop w:val="50"/>
          <w:marBottom w:val="0"/>
          <w:divBdr>
            <w:top w:val="none" w:sz="0" w:space="0" w:color="auto"/>
            <w:left w:val="none" w:sz="0" w:space="0" w:color="auto"/>
            <w:bottom w:val="none" w:sz="0" w:space="0" w:color="auto"/>
            <w:right w:val="none" w:sz="0" w:space="0" w:color="auto"/>
          </w:divBdr>
        </w:div>
        <w:div w:id="2017147736">
          <w:marLeft w:val="547"/>
          <w:marRight w:val="0"/>
          <w:marTop w:val="50"/>
          <w:marBottom w:val="0"/>
          <w:divBdr>
            <w:top w:val="none" w:sz="0" w:space="0" w:color="auto"/>
            <w:left w:val="none" w:sz="0" w:space="0" w:color="auto"/>
            <w:bottom w:val="none" w:sz="0" w:space="0" w:color="auto"/>
            <w:right w:val="none" w:sz="0" w:space="0" w:color="auto"/>
          </w:divBdr>
        </w:div>
        <w:div w:id="1852916160">
          <w:marLeft w:val="547"/>
          <w:marRight w:val="0"/>
          <w:marTop w:val="50"/>
          <w:marBottom w:val="0"/>
          <w:divBdr>
            <w:top w:val="none" w:sz="0" w:space="0" w:color="auto"/>
            <w:left w:val="none" w:sz="0" w:space="0" w:color="auto"/>
            <w:bottom w:val="none" w:sz="0" w:space="0" w:color="auto"/>
            <w:right w:val="none" w:sz="0" w:space="0" w:color="auto"/>
          </w:divBdr>
        </w:div>
        <w:div w:id="1289047911">
          <w:marLeft w:val="547"/>
          <w:marRight w:val="0"/>
          <w:marTop w:val="50"/>
          <w:marBottom w:val="0"/>
          <w:divBdr>
            <w:top w:val="none" w:sz="0" w:space="0" w:color="auto"/>
            <w:left w:val="none" w:sz="0" w:space="0" w:color="auto"/>
            <w:bottom w:val="none" w:sz="0" w:space="0" w:color="auto"/>
            <w:right w:val="none" w:sz="0" w:space="0" w:color="auto"/>
          </w:divBdr>
        </w:div>
        <w:div w:id="938173586">
          <w:marLeft w:val="547"/>
          <w:marRight w:val="0"/>
          <w:marTop w:val="50"/>
          <w:marBottom w:val="0"/>
          <w:divBdr>
            <w:top w:val="none" w:sz="0" w:space="0" w:color="auto"/>
            <w:left w:val="none" w:sz="0" w:space="0" w:color="auto"/>
            <w:bottom w:val="none" w:sz="0" w:space="0" w:color="auto"/>
            <w:right w:val="none" w:sz="0" w:space="0" w:color="auto"/>
          </w:divBdr>
        </w:div>
      </w:divsChild>
    </w:div>
    <w:div w:id="1703632658">
      <w:bodyDiv w:val="1"/>
      <w:marLeft w:val="0"/>
      <w:marRight w:val="0"/>
      <w:marTop w:val="0"/>
      <w:marBottom w:val="0"/>
      <w:divBdr>
        <w:top w:val="none" w:sz="0" w:space="0" w:color="auto"/>
        <w:left w:val="none" w:sz="0" w:space="0" w:color="auto"/>
        <w:bottom w:val="none" w:sz="0" w:space="0" w:color="auto"/>
        <w:right w:val="none" w:sz="0" w:space="0" w:color="auto"/>
      </w:divBdr>
    </w:div>
    <w:div w:id="1767537149">
      <w:bodyDiv w:val="1"/>
      <w:marLeft w:val="0"/>
      <w:marRight w:val="0"/>
      <w:marTop w:val="0"/>
      <w:marBottom w:val="0"/>
      <w:divBdr>
        <w:top w:val="none" w:sz="0" w:space="0" w:color="auto"/>
        <w:left w:val="none" w:sz="0" w:space="0" w:color="auto"/>
        <w:bottom w:val="none" w:sz="0" w:space="0" w:color="auto"/>
        <w:right w:val="none" w:sz="0" w:space="0" w:color="auto"/>
      </w:divBdr>
    </w:div>
    <w:div w:id="1784153888">
      <w:bodyDiv w:val="1"/>
      <w:marLeft w:val="0"/>
      <w:marRight w:val="0"/>
      <w:marTop w:val="0"/>
      <w:marBottom w:val="0"/>
      <w:divBdr>
        <w:top w:val="none" w:sz="0" w:space="0" w:color="auto"/>
        <w:left w:val="none" w:sz="0" w:space="0" w:color="auto"/>
        <w:bottom w:val="none" w:sz="0" w:space="0" w:color="auto"/>
        <w:right w:val="none" w:sz="0" w:space="0" w:color="auto"/>
      </w:divBdr>
    </w:div>
    <w:div w:id="2028866758">
      <w:bodyDiv w:val="1"/>
      <w:marLeft w:val="0"/>
      <w:marRight w:val="0"/>
      <w:marTop w:val="0"/>
      <w:marBottom w:val="0"/>
      <w:divBdr>
        <w:top w:val="none" w:sz="0" w:space="0" w:color="auto"/>
        <w:left w:val="none" w:sz="0" w:space="0" w:color="auto"/>
        <w:bottom w:val="none" w:sz="0" w:space="0" w:color="auto"/>
        <w:right w:val="none" w:sz="0" w:space="0" w:color="auto"/>
      </w:divBdr>
      <w:divsChild>
        <w:div w:id="142355896">
          <w:marLeft w:val="547"/>
          <w:marRight w:val="0"/>
          <w:marTop w:val="115"/>
          <w:marBottom w:val="0"/>
          <w:divBdr>
            <w:top w:val="none" w:sz="0" w:space="0" w:color="auto"/>
            <w:left w:val="none" w:sz="0" w:space="0" w:color="auto"/>
            <w:bottom w:val="none" w:sz="0" w:space="0" w:color="auto"/>
            <w:right w:val="none" w:sz="0" w:space="0" w:color="auto"/>
          </w:divBdr>
        </w:div>
      </w:divsChild>
    </w:div>
    <w:div w:id="2032604314">
      <w:bodyDiv w:val="1"/>
      <w:marLeft w:val="0"/>
      <w:marRight w:val="0"/>
      <w:marTop w:val="0"/>
      <w:marBottom w:val="0"/>
      <w:divBdr>
        <w:top w:val="none" w:sz="0" w:space="0" w:color="auto"/>
        <w:left w:val="none" w:sz="0" w:space="0" w:color="auto"/>
        <w:bottom w:val="none" w:sz="0" w:space="0" w:color="auto"/>
        <w:right w:val="none" w:sz="0" w:space="0" w:color="auto"/>
      </w:divBdr>
      <w:divsChild>
        <w:div w:id="172466992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66" ma:contentTypeDescription="Create a new POPP Deliverable document" ma:contentTypeScope="" ma:versionID="c1250cfb66ef80672605b85c0fd434ba">
  <xsd:schema xmlns:xsd="http://www.w3.org/2001/XMLSchema" xmlns:xs="http://www.w3.org/2001/XMLSchema" xmlns:p="http://schemas.microsoft.com/office/2006/metadata/properties" xmlns:ns2="83ed2304-0f0e-45ba-b0cc-7d360cbc1769" targetNamespace="http://schemas.microsoft.com/office/2006/metadata/properties" ma:root="true" ma:fieldsID="0ce56cadaedc82cf8b2664c217ea985a" ns2:_="">
    <xsd:import namespace="83ed2304-0f0e-45ba-b0cc-7d360cbc1769"/>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ActualReviewDate" minOccurs="0"/>
                <xsd:element ref="ns2:UNDPSummary"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dexed="true" ma:internalName="UNDPPOPPSubprocess">
      <xsd:simpleType>
        <xsd:restriction base="dms:Choic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gal Framework"/>
          <xsd:enumeration value="Legal Status of IC"/>
          <xsd:enumeration value="Making Information Available to the Public"/>
          <xsd:enumeration value="Management of Obligations (Expenditure)"/>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ping and Insurance"/>
          <xsd:enumeration value="Solicitation Documents"/>
          <xsd:enumeration value="Sourcing"/>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DP Non Expendable (Fixed) Asset Management"/>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stablishment and Use of Electronic Banking Systems"/>
          <xsd:enumeration value="Euro Reporting Guidelines"/>
          <xsd:enumeration value="Executive Board Papers"/>
          <xsd:enumeration value="Expense Management of UNODC Funded Activities"/>
          <xsd:enumeration value="Expenditure of Income Accrued from Cost Recovery"/>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Handling of Cash and Receipts"/>
          <xsd:enumeration value="Hazard Pay"/>
          <xsd:enumeration value="Home Leave"/>
          <xsd:enumeration value="Hospitality Expenditures"/>
          <xsd:enumeration value="Hospitality Expense"/>
          <xsd:enumeration value="Introduction"/>
          <xsd:enumeration value="Issuing Letters of Credit"/>
          <xsd:enumeration value="Language Allowance"/>
          <xsd:enumeration value="Last Day for Pay Purpo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ActualReviewDate" ma:index="7" nillable="true" ma:displayName="Actual Review Date" ma:format="DateOnly" ma:internalName="UNDPActualReviewDate">
      <xsd:simpleType>
        <xsd:restriction base="dms:DateTime"/>
      </xsd:simpleType>
    </xsd:element>
    <xsd:element name="UNDPSummary" ma:index="8" nillable="true" ma:displayName="Summary" ma:internalName="UNDPSummary">
      <xsd:simpleType>
        <xsd:restriction base="dms:Note">
          <xsd:maxLength value="255"/>
        </xsd:restriction>
      </xsd:simpleType>
    </xsd:element>
    <xsd:element name="UNDPPOPPPrescriptiveContentSelection" ma:index="15"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17"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8" nillable="true" ma:displayName="Focalpoint" ma:SearchPeopleOnly="false" ma:SharePointGroup="0" ma:internalName="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pplicability" ma:index="25" nillable="true" ma:displayName="Applicability" ma:internalName="UNDPApplicability">
      <xsd:simpleType>
        <xsd:restriction base="dms:Text"/>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xsi:nil="true"/>
    <UNDPEffectiveDate xmlns="83ed2304-0f0e-45ba-b0cc-7d360cbc1769" xsi:nil="true"/>
    <UNDPResponsibleUnit xmlns="83ed2304-0f0e-45ba-b0cc-7d360cbc1769"/>
    <UNDPCreator xmlns="83ed2304-0f0e-45ba-b0cc-7d360cbc1769">
      <UserInfo>
        <DisplayName/>
        <AccountId xsi:nil="true"/>
        <AccountType/>
      </UserInfo>
    </UNDPCreator>
    <UNDPApplicability xmlns="83ed2304-0f0e-45ba-b0cc-7d360cbc1769" xsi:nil="true"/>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xsi:nil="true"/>
    <UNDPPOPPProcess xmlns="83ed2304-0f0e-45ba-b0cc-7d360cbc1769">Programme Management</UNDPPOPPProcess>
    <UNDPPOPPSubsubprocess xmlns="83ed2304-0f0e-45ba-b0cc-7d360cbc1769" xsi:nil="true"/>
    <UNDPIssuanceDate xmlns="83ed2304-0f0e-45ba-b0cc-7d360cbc1769" xsi:nil="true"/>
    <_dlc_DocId xmlns="83ed2304-0f0e-45ba-b0cc-7d360cbc1769">UNDPGBL-229-92</_dlc_DocId>
    <_dlc_DocIdUrl xmlns="83ed2304-0f0e-45ba-b0cc-7d360cbc1769">
      <Url>https://intranet.undp.org/global/documents/_layouts/DocIdRedir.aspx?ID=UNDPGBL-229-92</Url>
      <Description>UNDPGBL-229-92</Description>
    </_dlc_DocIdUrl>
    <UNDPSummary xmlns="83ed2304-0f0e-45ba-b0cc-7d360cbc1769" xsi:nil="true"/>
    <UNDPFocalpoint xmlns="83ed2304-0f0e-45ba-b0cc-7d360cbc1769">
      <UserInfo>
        <DisplayName/>
        <AccountId xsi:nil="true"/>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CB7C-0125-42C2-B06F-3A94F0200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3.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4.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5.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6.xml><?xml version="1.0" encoding="utf-8"?>
<ds:datastoreItem xmlns:ds="http://schemas.openxmlformats.org/officeDocument/2006/customXml" ds:itemID="{95C9440D-C931-4685-958F-1FEB798E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2742</Words>
  <Characters>15632</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CP results summary</vt:lpstr>
      <vt:lpstr>CP results summary</vt:lpstr>
    </vt:vector>
  </TitlesOfParts>
  <Company>UNDP</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2016-04-06T22:13:00Z</cp:lastPrinted>
  <dcterms:created xsi:type="dcterms:W3CDTF">2016-10-20T21:39:00Z</dcterms:created>
  <dcterms:modified xsi:type="dcterms:W3CDTF">2016-10-20T21:39:00Z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ies>
</file>