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56EC0" w14:textId="17690C5B" w:rsidR="00DF1598" w:rsidRPr="005A3BE4" w:rsidRDefault="00DF1598" w:rsidP="005A3BE4">
      <w:pPr>
        <w:tabs>
          <w:tab w:val="left" w:pos="900"/>
          <w:tab w:val="left" w:pos="990"/>
          <w:tab w:val="left" w:pos="8640"/>
          <w:tab w:val="left" w:pos="9180"/>
        </w:tabs>
        <w:ind w:left="450"/>
        <w:rPr>
          <w:sz w:val="2"/>
          <w:szCs w:val="2"/>
        </w:rPr>
      </w:pPr>
    </w:p>
    <w:p w14:paraId="340BCDCF" w14:textId="77777777" w:rsidR="00855FF1" w:rsidRPr="005A3BE4" w:rsidRDefault="00855FF1">
      <w:pPr>
        <w:rPr>
          <w:sz w:val="2"/>
          <w:szCs w:val="2"/>
        </w:rPr>
        <w:sectPr w:rsidR="00855FF1" w:rsidRPr="005A3BE4" w:rsidSect="00AB64CB">
          <w:headerReference w:type="default" r:id="rId11"/>
          <w:footerReference w:type="even" r:id="rId12"/>
          <w:footerReference w:type="default" r:id="rId13"/>
          <w:headerReference w:type="first" r:id="rId14"/>
          <w:footnotePr>
            <w:numRestart w:val="eachSect"/>
          </w:footnotePr>
          <w:endnotePr>
            <w:numFmt w:val="decimal"/>
            <w:numStart w:val="7"/>
          </w:endnotePr>
          <w:pgSz w:w="12240" w:h="15840" w:code="1"/>
          <w:pgMar w:top="1166" w:right="1195" w:bottom="1440" w:left="1195" w:header="576" w:footer="1030" w:gutter="0"/>
          <w:pgNumType w:start="1"/>
          <w:cols w:space="720"/>
          <w:titlePg/>
        </w:sectPr>
      </w:pPr>
    </w:p>
    <w:p w14:paraId="6B667285" w14:textId="77777777" w:rsidR="00FE7037" w:rsidRPr="00B14011" w:rsidRDefault="00DB64A0" w:rsidP="000B4BE2">
      <w:pPr>
        <w:tabs>
          <w:tab w:val="left" w:pos="900"/>
          <w:tab w:val="left" w:pos="99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8640"/>
          <w:tab w:val="left" w:pos="9180"/>
        </w:tabs>
        <w:ind w:right="1267"/>
        <w:rPr>
          <w:b/>
          <w:sz w:val="20"/>
          <w:szCs w:val="20"/>
        </w:rPr>
      </w:pPr>
      <w:r w:rsidRPr="00B14011">
        <w:rPr>
          <w:b/>
          <w:sz w:val="20"/>
          <w:szCs w:val="20"/>
        </w:rPr>
        <w:t>Se</w:t>
      </w:r>
      <w:r w:rsidR="00D51BA5" w:rsidRPr="00B14011">
        <w:rPr>
          <w:b/>
          <w:sz w:val="20"/>
          <w:szCs w:val="20"/>
        </w:rPr>
        <w:t>cond regular session</w:t>
      </w:r>
      <w:r w:rsidR="00041E6D" w:rsidRPr="00B14011">
        <w:rPr>
          <w:b/>
          <w:sz w:val="20"/>
          <w:szCs w:val="20"/>
        </w:rPr>
        <w:t xml:space="preserve"> 2017</w:t>
      </w:r>
    </w:p>
    <w:p w14:paraId="5444500D" w14:textId="52959096" w:rsidR="00FE7037" w:rsidRPr="00B14011" w:rsidRDefault="00003F2F" w:rsidP="000B4BE2">
      <w:pPr>
        <w:tabs>
          <w:tab w:val="left" w:pos="900"/>
          <w:tab w:val="left" w:pos="99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8640"/>
          <w:tab w:val="left" w:pos="9180"/>
        </w:tabs>
        <w:ind w:right="1267"/>
        <w:rPr>
          <w:sz w:val="20"/>
          <w:szCs w:val="20"/>
        </w:rPr>
      </w:pPr>
      <w:r w:rsidRPr="00B14011">
        <w:rPr>
          <w:sz w:val="20"/>
          <w:szCs w:val="20"/>
        </w:rPr>
        <w:t xml:space="preserve">5 </w:t>
      </w:r>
      <w:r w:rsidR="00B14011">
        <w:rPr>
          <w:sz w:val="20"/>
          <w:szCs w:val="20"/>
        </w:rPr>
        <w:t>to</w:t>
      </w:r>
      <w:r w:rsidRPr="00B14011">
        <w:rPr>
          <w:sz w:val="20"/>
          <w:szCs w:val="20"/>
        </w:rPr>
        <w:t xml:space="preserve"> 11</w:t>
      </w:r>
      <w:r w:rsidR="004E7CAF" w:rsidRPr="00B14011">
        <w:rPr>
          <w:sz w:val="20"/>
          <w:szCs w:val="20"/>
        </w:rPr>
        <w:t xml:space="preserve"> September</w:t>
      </w:r>
      <w:r w:rsidRPr="00B14011">
        <w:rPr>
          <w:sz w:val="20"/>
          <w:szCs w:val="20"/>
        </w:rPr>
        <w:t xml:space="preserve"> 2017</w:t>
      </w:r>
      <w:r w:rsidR="00FE7037" w:rsidRPr="00B14011">
        <w:rPr>
          <w:sz w:val="20"/>
          <w:szCs w:val="20"/>
        </w:rPr>
        <w:t xml:space="preserve">, </w:t>
      </w:r>
      <w:r w:rsidR="00D51BA5" w:rsidRPr="00B14011">
        <w:rPr>
          <w:sz w:val="20"/>
          <w:szCs w:val="20"/>
        </w:rPr>
        <w:t>New York</w:t>
      </w:r>
    </w:p>
    <w:p w14:paraId="5BBFE6C0" w14:textId="73C8E836" w:rsidR="00FE7037" w:rsidRPr="00B14011" w:rsidRDefault="00FE7037" w:rsidP="000B4BE2">
      <w:pPr>
        <w:tabs>
          <w:tab w:val="left" w:pos="900"/>
          <w:tab w:val="left" w:pos="99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8640"/>
          <w:tab w:val="left" w:pos="9180"/>
        </w:tabs>
        <w:ind w:right="1267"/>
        <w:rPr>
          <w:sz w:val="20"/>
          <w:szCs w:val="20"/>
        </w:rPr>
      </w:pPr>
      <w:r w:rsidRPr="00B14011">
        <w:rPr>
          <w:sz w:val="20"/>
          <w:szCs w:val="20"/>
        </w:rPr>
        <w:t xml:space="preserve">Item </w:t>
      </w:r>
      <w:r w:rsidR="00AF1848">
        <w:rPr>
          <w:sz w:val="20"/>
          <w:szCs w:val="20"/>
        </w:rPr>
        <w:t>6</w:t>
      </w:r>
      <w:r w:rsidRPr="00B14011">
        <w:rPr>
          <w:sz w:val="20"/>
          <w:szCs w:val="20"/>
        </w:rPr>
        <w:t xml:space="preserve"> of the provisional agenda</w:t>
      </w:r>
    </w:p>
    <w:p w14:paraId="6C044065" w14:textId="77777777" w:rsidR="00FE7037" w:rsidRPr="00B14011" w:rsidRDefault="00FE7037" w:rsidP="000B4BE2">
      <w:pPr>
        <w:tabs>
          <w:tab w:val="left" w:pos="900"/>
          <w:tab w:val="left" w:pos="990"/>
          <w:tab w:val="left" w:pos="8640"/>
          <w:tab w:val="left" w:pos="9180"/>
        </w:tabs>
        <w:spacing w:after="120"/>
        <w:ind w:right="1260"/>
        <w:rPr>
          <w:b/>
          <w:sz w:val="20"/>
          <w:szCs w:val="20"/>
        </w:rPr>
      </w:pPr>
      <w:r w:rsidRPr="00B14011">
        <w:rPr>
          <w:b/>
          <w:sz w:val="20"/>
          <w:szCs w:val="20"/>
        </w:rPr>
        <w:t>Country programmes and related matters</w:t>
      </w:r>
    </w:p>
    <w:p w14:paraId="7A274B10" w14:textId="77777777" w:rsidR="00FE7037" w:rsidRPr="00B14011" w:rsidRDefault="00FE7037" w:rsidP="000B4BE2">
      <w:pPr>
        <w:pStyle w:val="SingleTxt"/>
        <w:tabs>
          <w:tab w:val="left" w:pos="900"/>
          <w:tab w:val="left" w:pos="990"/>
          <w:tab w:val="left" w:pos="8640"/>
          <w:tab w:val="left" w:pos="9180"/>
        </w:tabs>
        <w:spacing w:line="240" w:lineRule="auto"/>
        <w:ind w:left="0"/>
        <w:rPr>
          <w:sz w:val="20"/>
          <w:szCs w:val="20"/>
        </w:rPr>
      </w:pPr>
    </w:p>
    <w:p w14:paraId="62B5F15F" w14:textId="77777777" w:rsidR="005E06AF" w:rsidRDefault="005E06AF" w:rsidP="005E06AF">
      <w:pPr>
        <w:pStyle w:val="HCh"/>
        <w:tabs>
          <w:tab w:val="left" w:pos="900"/>
          <w:tab w:val="left" w:pos="99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7830"/>
          <w:tab w:val="left" w:pos="7920"/>
          <w:tab w:val="left" w:pos="8640"/>
          <w:tab w:val="left" w:pos="9180"/>
        </w:tabs>
        <w:spacing w:after="120" w:line="240" w:lineRule="auto"/>
        <w:rPr>
          <w:szCs w:val="28"/>
        </w:rPr>
      </w:pPr>
    </w:p>
    <w:p w14:paraId="192A9A64" w14:textId="547D370E" w:rsidR="000B4BE2" w:rsidRPr="00B14011" w:rsidRDefault="00F95A84" w:rsidP="005E06AF">
      <w:pPr>
        <w:pStyle w:val="HCh"/>
        <w:tabs>
          <w:tab w:val="left" w:pos="900"/>
          <w:tab w:val="left" w:pos="99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7830"/>
          <w:tab w:val="left" w:pos="7920"/>
          <w:tab w:val="left" w:pos="8640"/>
          <w:tab w:val="left" w:pos="9180"/>
        </w:tabs>
        <w:spacing w:after="120" w:line="240" w:lineRule="auto"/>
        <w:rPr>
          <w:sz w:val="20"/>
          <w:szCs w:val="20"/>
        </w:rPr>
      </w:pPr>
      <w:r w:rsidRPr="00B14011">
        <w:rPr>
          <w:szCs w:val="28"/>
        </w:rPr>
        <w:t xml:space="preserve">Draft </w:t>
      </w:r>
      <w:r w:rsidR="00D51BA5" w:rsidRPr="00B14011">
        <w:rPr>
          <w:szCs w:val="28"/>
        </w:rPr>
        <w:t>c</w:t>
      </w:r>
      <w:r w:rsidR="00FE7037" w:rsidRPr="00B14011">
        <w:rPr>
          <w:szCs w:val="28"/>
        </w:rPr>
        <w:t xml:space="preserve">ountry programme document for </w:t>
      </w:r>
      <w:r w:rsidR="00041E6D" w:rsidRPr="00B14011">
        <w:rPr>
          <w:szCs w:val="28"/>
        </w:rPr>
        <w:t>Sri Lanka</w:t>
      </w:r>
      <w:r w:rsidR="00FE7037" w:rsidRPr="00B14011">
        <w:rPr>
          <w:szCs w:val="28"/>
        </w:rPr>
        <w:t xml:space="preserve"> </w:t>
      </w:r>
      <w:r w:rsidR="000B4BE2" w:rsidRPr="00B14011">
        <w:rPr>
          <w:szCs w:val="28"/>
        </w:rPr>
        <w:t>(</w:t>
      </w:r>
      <w:r w:rsidR="00041E6D" w:rsidRPr="00B14011">
        <w:rPr>
          <w:szCs w:val="28"/>
        </w:rPr>
        <w:t>2018-2022</w:t>
      </w:r>
      <w:r w:rsidR="000B4BE2" w:rsidRPr="00B14011">
        <w:rPr>
          <w:szCs w:val="28"/>
        </w:rPr>
        <w:t>)</w:t>
      </w:r>
      <w:r w:rsidR="00FE7037" w:rsidRPr="00B14011">
        <w:rPr>
          <w:szCs w:val="28"/>
        </w:rPr>
        <w:br/>
      </w:r>
    </w:p>
    <w:p w14:paraId="1271BB5C" w14:textId="77777777" w:rsidR="000B4BE2" w:rsidRPr="00B14011" w:rsidRDefault="000B4BE2" w:rsidP="000B4BE2">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firstLine="450"/>
        <w:outlineLvl w:val="0"/>
        <w:rPr>
          <w:spacing w:val="-2"/>
          <w:w w:val="103"/>
          <w:kern w:val="14"/>
          <w:sz w:val="28"/>
          <w:szCs w:val="20"/>
        </w:rPr>
      </w:pPr>
      <w:r w:rsidRPr="00B14011">
        <w:rPr>
          <w:spacing w:val="-2"/>
          <w:w w:val="103"/>
          <w:kern w:val="14"/>
          <w:sz w:val="28"/>
          <w:szCs w:val="20"/>
        </w:rPr>
        <w:t>Contents</w:t>
      </w:r>
    </w:p>
    <w:tbl>
      <w:tblPr>
        <w:tblW w:w="9902" w:type="dxa"/>
        <w:tblLayout w:type="fixed"/>
        <w:tblCellMar>
          <w:left w:w="0" w:type="dxa"/>
          <w:right w:w="0" w:type="dxa"/>
        </w:tblCellMar>
        <w:tblLook w:val="0000" w:firstRow="0" w:lastRow="0" w:firstColumn="0" w:lastColumn="0" w:noHBand="0" w:noVBand="0"/>
      </w:tblPr>
      <w:tblGrid>
        <w:gridCol w:w="1060"/>
        <w:gridCol w:w="8300"/>
        <w:gridCol w:w="9"/>
        <w:gridCol w:w="533"/>
      </w:tblGrid>
      <w:tr w:rsidR="003E59AA" w:rsidRPr="00B14011" w14:paraId="2C322AB5" w14:textId="77777777" w:rsidTr="007A4406">
        <w:tc>
          <w:tcPr>
            <w:tcW w:w="1060" w:type="dxa"/>
            <w:shd w:val="clear" w:color="auto" w:fill="auto"/>
          </w:tcPr>
          <w:p w14:paraId="302D6169" w14:textId="77777777" w:rsidR="000B4BE2" w:rsidRPr="00B14011" w:rsidRDefault="000B4BE2" w:rsidP="000B4BE2">
            <w:pPr>
              <w:tabs>
                <w:tab w:val="left" w:pos="1620"/>
              </w:tabs>
              <w:suppressAutoHyphens/>
              <w:spacing w:after="120"/>
              <w:jc w:val="right"/>
              <w:rPr>
                <w:i/>
                <w:spacing w:val="4"/>
                <w:w w:val="103"/>
                <w:kern w:val="14"/>
                <w:sz w:val="14"/>
                <w:szCs w:val="20"/>
              </w:rPr>
            </w:pPr>
          </w:p>
        </w:tc>
        <w:tc>
          <w:tcPr>
            <w:tcW w:w="8300" w:type="dxa"/>
            <w:shd w:val="clear" w:color="auto" w:fill="auto"/>
          </w:tcPr>
          <w:p w14:paraId="57FEBA55" w14:textId="77777777" w:rsidR="000B4BE2" w:rsidRPr="00B14011" w:rsidRDefault="000B4BE2" w:rsidP="000B4BE2">
            <w:pPr>
              <w:tabs>
                <w:tab w:val="left" w:pos="1620"/>
              </w:tabs>
              <w:suppressAutoHyphens/>
              <w:spacing w:after="120"/>
              <w:rPr>
                <w:i/>
                <w:spacing w:val="4"/>
                <w:w w:val="103"/>
                <w:kern w:val="14"/>
                <w:sz w:val="14"/>
                <w:szCs w:val="20"/>
              </w:rPr>
            </w:pPr>
          </w:p>
        </w:tc>
        <w:tc>
          <w:tcPr>
            <w:tcW w:w="542" w:type="dxa"/>
            <w:gridSpan w:val="2"/>
            <w:shd w:val="clear" w:color="auto" w:fill="auto"/>
          </w:tcPr>
          <w:p w14:paraId="623F29C4" w14:textId="77777777" w:rsidR="000B4BE2" w:rsidRPr="00B14011" w:rsidRDefault="000B4BE2" w:rsidP="000B4BE2">
            <w:pPr>
              <w:tabs>
                <w:tab w:val="left" w:pos="1620"/>
              </w:tabs>
              <w:suppressAutoHyphens/>
              <w:spacing w:after="120"/>
              <w:jc w:val="right"/>
              <w:rPr>
                <w:i/>
                <w:spacing w:val="4"/>
                <w:w w:val="103"/>
                <w:kern w:val="14"/>
                <w:sz w:val="14"/>
                <w:szCs w:val="20"/>
              </w:rPr>
            </w:pPr>
            <w:r w:rsidRPr="00B14011">
              <w:rPr>
                <w:i/>
                <w:spacing w:val="4"/>
                <w:w w:val="103"/>
                <w:kern w:val="14"/>
                <w:sz w:val="14"/>
                <w:szCs w:val="20"/>
              </w:rPr>
              <w:t>Page</w:t>
            </w:r>
          </w:p>
        </w:tc>
      </w:tr>
      <w:tr w:rsidR="003E59AA" w:rsidRPr="003F7294" w14:paraId="0E63701E" w14:textId="77777777" w:rsidTr="007A4406">
        <w:tc>
          <w:tcPr>
            <w:tcW w:w="9360" w:type="dxa"/>
            <w:gridSpan w:val="2"/>
            <w:shd w:val="clear" w:color="auto" w:fill="auto"/>
          </w:tcPr>
          <w:p w14:paraId="1B9D27D0" w14:textId="77777777" w:rsidR="000B4BE2" w:rsidRPr="00B14011" w:rsidRDefault="000B4BE2" w:rsidP="000B4BE2">
            <w:pPr>
              <w:numPr>
                <w:ilvl w:val="0"/>
                <w:numId w:val="11"/>
              </w:numPr>
              <w:tabs>
                <w:tab w:val="right" w:pos="1080"/>
                <w:tab w:val="left" w:pos="1296"/>
                <w:tab w:val="left" w:pos="1620"/>
                <w:tab w:val="left" w:pos="2160"/>
                <w:tab w:val="left" w:pos="2592"/>
                <w:tab w:val="right" w:leader="dot" w:pos="8381"/>
              </w:tabs>
              <w:suppressAutoHyphens/>
              <w:spacing w:after="120" w:line="240" w:lineRule="exact"/>
              <w:jc w:val="both"/>
              <w:rPr>
                <w:spacing w:val="4"/>
                <w:w w:val="103"/>
                <w:kern w:val="14"/>
                <w:sz w:val="20"/>
                <w:szCs w:val="20"/>
              </w:rPr>
            </w:pPr>
            <w:r w:rsidRPr="00B14011">
              <w:rPr>
                <w:spacing w:val="4"/>
                <w:w w:val="103"/>
                <w:kern w:val="14"/>
                <w:sz w:val="20"/>
                <w:szCs w:val="20"/>
              </w:rPr>
              <w:tab/>
              <w:t>Programme rationale</w:t>
            </w:r>
            <w:r w:rsidRPr="00B14011">
              <w:rPr>
                <w:spacing w:val="60"/>
                <w:w w:val="103"/>
                <w:kern w:val="14"/>
                <w:sz w:val="17"/>
                <w:szCs w:val="20"/>
              </w:rPr>
              <w:tab/>
            </w:r>
          </w:p>
        </w:tc>
        <w:tc>
          <w:tcPr>
            <w:tcW w:w="542" w:type="dxa"/>
            <w:gridSpan w:val="2"/>
            <w:vMerge w:val="restart"/>
            <w:shd w:val="clear" w:color="auto" w:fill="auto"/>
            <w:vAlign w:val="bottom"/>
          </w:tcPr>
          <w:p w14:paraId="770D2A08" w14:textId="77777777" w:rsidR="000B4BE2" w:rsidRPr="003F7294" w:rsidRDefault="000B4BE2" w:rsidP="000B4BE2">
            <w:pPr>
              <w:tabs>
                <w:tab w:val="left" w:pos="1620"/>
              </w:tabs>
              <w:suppressAutoHyphens/>
              <w:spacing w:after="120" w:line="240" w:lineRule="exact"/>
              <w:jc w:val="right"/>
              <w:rPr>
                <w:spacing w:val="4"/>
                <w:w w:val="103"/>
                <w:kern w:val="14"/>
                <w:sz w:val="20"/>
                <w:szCs w:val="20"/>
              </w:rPr>
            </w:pPr>
            <w:r w:rsidRPr="003F7294">
              <w:rPr>
                <w:spacing w:val="4"/>
                <w:w w:val="103"/>
                <w:kern w:val="14"/>
                <w:sz w:val="20"/>
                <w:szCs w:val="20"/>
              </w:rPr>
              <w:t>2</w:t>
            </w:r>
          </w:p>
          <w:p w14:paraId="4F125C15" w14:textId="2B3AD847" w:rsidR="000B4BE2" w:rsidRPr="003F7294" w:rsidRDefault="003F7294" w:rsidP="000B4BE2">
            <w:pPr>
              <w:tabs>
                <w:tab w:val="left" w:pos="1620"/>
              </w:tabs>
              <w:suppressAutoHyphens/>
              <w:spacing w:after="120" w:line="240" w:lineRule="exact"/>
              <w:jc w:val="right"/>
              <w:rPr>
                <w:spacing w:val="4"/>
                <w:w w:val="103"/>
                <w:kern w:val="14"/>
                <w:sz w:val="20"/>
                <w:szCs w:val="20"/>
              </w:rPr>
            </w:pPr>
            <w:r w:rsidRPr="003F7294">
              <w:rPr>
                <w:spacing w:val="4"/>
                <w:w w:val="103"/>
                <w:kern w:val="14"/>
                <w:sz w:val="20"/>
                <w:szCs w:val="20"/>
              </w:rPr>
              <w:t>4</w:t>
            </w:r>
          </w:p>
        </w:tc>
      </w:tr>
      <w:tr w:rsidR="003E59AA" w:rsidRPr="003F7294" w14:paraId="4A778184" w14:textId="77777777" w:rsidTr="000F5D75">
        <w:trPr>
          <w:trHeight w:val="382"/>
        </w:trPr>
        <w:tc>
          <w:tcPr>
            <w:tcW w:w="9360" w:type="dxa"/>
            <w:gridSpan w:val="2"/>
            <w:shd w:val="clear" w:color="auto" w:fill="auto"/>
          </w:tcPr>
          <w:p w14:paraId="17D0E440" w14:textId="77777777" w:rsidR="000B4BE2" w:rsidRPr="00B14011" w:rsidRDefault="000B4BE2" w:rsidP="000B4BE2">
            <w:pPr>
              <w:numPr>
                <w:ilvl w:val="0"/>
                <w:numId w:val="11"/>
              </w:numPr>
              <w:tabs>
                <w:tab w:val="right" w:pos="1080"/>
                <w:tab w:val="left" w:pos="1296"/>
                <w:tab w:val="left" w:pos="1620"/>
                <w:tab w:val="left" w:pos="2160"/>
                <w:tab w:val="left" w:pos="2592"/>
                <w:tab w:val="left" w:pos="3024"/>
                <w:tab w:val="left" w:pos="3456"/>
                <w:tab w:val="left" w:pos="3888"/>
                <w:tab w:val="left" w:pos="4320"/>
                <w:tab w:val="right" w:leader="dot" w:pos="8381"/>
              </w:tabs>
              <w:suppressAutoHyphens/>
              <w:spacing w:after="120" w:line="240" w:lineRule="exact"/>
              <w:jc w:val="both"/>
              <w:rPr>
                <w:spacing w:val="4"/>
                <w:w w:val="103"/>
                <w:kern w:val="14"/>
                <w:sz w:val="20"/>
                <w:szCs w:val="20"/>
              </w:rPr>
            </w:pPr>
            <w:r w:rsidRPr="00B14011">
              <w:rPr>
                <w:spacing w:val="4"/>
                <w:w w:val="103"/>
                <w:kern w:val="14"/>
                <w:sz w:val="20"/>
                <w:szCs w:val="20"/>
              </w:rPr>
              <w:tab/>
              <w:t>Programme priorities and partnerships</w:t>
            </w:r>
            <w:r w:rsidRPr="00B14011">
              <w:rPr>
                <w:spacing w:val="60"/>
                <w:w w:val="103"/>
                <w:kern w:val="14"/>
                <w:sz w:val="17"/>
                <w:szCs w:val="20"/>
              </w:rPr>
              <w:tab/>
            </w:r>
          </w:p>
        </w:tc>
        <w:tc>
          <w:tcPr>
            <w:tcW w:w="542" w:type="dxa"/>
            <w:gridSpan w:val="2"/>
            <w:vMerge/>
            <w:shd w:val="clear" w:color="auto" w:fill="auto"/>
            <w:vAlign w:val="bottom"/>
          </w:tcPr>
          <w:p w14:paraId="43D12B50" w14:textId="77777777" w:rsidR="000B4BE2" w:rsidRPr="003F7294" w:rsidRDefault="000B4BE2" w:rsidP="000B4BE2">
            <w:pPr>
              <w:tabs>
                <w:tab w:val="left" w:pos="1620"/>
              </w:tabs>
              <w:suppressAutoHyphens/>
              <w:spacing w:after="120" w:line="240" w:lineRule="exact"/>
              <w:jc w:val="right"/>
              <w:rPr>
                <w:spacing w:val="4"/>
                <w:w w:val="103"/>
                <w:kern w:val="14"/>
                <w:sz w:val="20"/>
                <w:szCs w:val="20"/>
              </w:rPr>
            </w:pPr>
          </w:p>
        </w:tc>
      </w:tr>
      <w:tr w:rsidR="003E59AA" w:rsidRPr="00B14011" w14:paraId="580DE77B" w14:textId="77777777" w:rsidTr="007A4406">
        <w:tc>
          <w:tcPr>
            <w:tcW w:w="9360" w:type="dxa"/>
            <w:gridSpan w:val="2"/>
            <w:shd w:val="clear" w:color="auto" w:fill="auto"/>
          </w:tcPr>
          <w:p w14:paraId="65B07C8B" w14:textId="77777777" w:rsidR="000B4BE2" w:rsidRPr="00B14011" w:rsidRDefault="000B4BE2" w:rsidP="000B4BE2">
            <w:pPr>
              <w:numPr>
                <w:ilvl w:val="0"/>
                <w:numId w:val="11"/>
              </w:numPr>
              <w:tabs>
                <w:tab w:val="right" w:pos="1080"/>
                <w:tab w:val="left" w:pos="1296"/>
                <w:tab w:val="left" w:pos="1620"/>
                <w:tab w:val="left" w:pos="2160"/>
                <w:tab w:val="left" w:pos="2592"/>
                <w:tab w:val="left" w:pos="3024"/>
                <w:tab w:val="right" w:leader="dot" w:pos="8381"/>
              </w:tabs>
              <w:suppressAutoHyphens/>
              <w:spacing w:after="120" w:line="240" w:lineRule="exact"/>
              <w:jc w:val="both"/>
              <w:rPr>
                <w:spacing w:val="4"/>
                <w:w w:val="103"/>
                <w:kern w:val="14"/>
                <w:sz w:val="20"/>
                <w:szCs w:val="20"/>
              </w:rPr>
            </w:pPr>
            <w:r w:rsidRPr="00B14011">
              <w:rPr>
                <w:spacing w:val="4"/>
                <w:w w:val="103"/>
                <w:kern w:val="14"/>
                <w:sz w:val="20"/>
                <w:szCs w:val="20"/>
              </w:rPr>
              <w:tab/>
              <w:t>Programme and risk management</w:t>
            </w:r>
            <w:r w:rsidRPr="00B14011">
              <w:rPr>
                <w:spacing w:val="60"/>
                <w:w w:val="103"/>
                <w:kern w:val="14"/>
                <w:sz w:val="17"/>
                <w:szCs w:val="20"/>
              </w:rPr>
              <w:tab/>
            </w:r>
          </w:p>
        </w:tc>
        <w:tc>
          <w:tcPr>
            <w:tcW w:w="542" w:type="dxa"/>
            <w:gridSpan w:val="2"/>
            <w:vMerge w:val="restart"/>
            <w:shd w:val="clear" w:color="auto" w:fill="auto"/>
            <w:vAlign w:val="bottom"/>
          </w:tcPr>
          <w:p w14:paraId="3EA6C74C" w14:textId="77777777" w:rsidR="000B4BE2" w:rsidRPr="00B14011" w:rsidRDefault="000F5D75" w:rsidP="000B4BE2">
            <w:pPr>
              <w:tabs>
                <w:tab w:val="left" w:pos="1620"/>
              </w:tabs>
              <w:suppressAutoHyphens/>
              <w:spacing w:after="120" w:line="240" w:lineRule="exact"/>
              <w:jc w:val="right"/>
              <w:rPr>
                <w:spacing w:val="4"/>
                <w:w w:val="103"/>
                <w:kern w:val="14"/>
                <w:sz w:val="20"/>
                <w:szCs w:val="20"/>
              </w:rPr>
            </w:pPr>
            <w:r w:rsidRPr="00B14011">
              <w:rPr>
                <w:spacing w:val="4"/>
                <w:w w:val="103"/>
                <w:kern w:val="14"/>
                <w:sz w:val="20"/>
                <w:szCs w:val="20"/>
              </w:rPr>
              <w:t>7</w:t>
            </w:r>
          </w:p>
          <w:p w14:paraId="1F38908B" w14:textId="77777777" w:rsidR="000B4BE2" w:rsidRPr="00B14011" w:rsidRDefault="000F5D75" w:rsidP="000B4BE2">
            <w:pPr>
              <w:tabs>
                <w:tab w:val="left" w:pos="1620"/>
              </w:tabs>
              <w:suppressAutoHyphens/>
              <w:spacing w:after="120" w:line="240" w:lineRule="exact"/>
              <w:jc w:val="right"/>
              <w:rPr>
                <w:spacing w:val="4"/>
                <w:w w:val="103"/>
                <w:kern w:val="14"/>
                <w:sz w:val="20"/>
                <w:szCs w:val="20"/>
              </w:rPr>
            </w:pPr>
            <w:r w:rsidRPr="00B14011">
              <w:rPr>
                <w:spacing w:val="4"/>
                <w:w w:val="103"/>
                <w:kern w:val="14"/>
                <w:sz w:val="20"/>
                <w:szCs w:val="20"/>
              </w:rPr>
              <w:t>8</w:t>
            </w:r>
            <w:r w:rsidR="000B4BE2" w:rsidRPr="00B14011">
              <w:rPr>
                <w:spacing w:val="4"/>
                <w:w w:val="103"/>
                <w:kern w:val="14"/>
                <w:sz w:val="20"/>
                <w:szCs w:val="20"/>
              </w:rPr>
              <w:t xml:space="preserve"> </w:t>
            </w:r>
          </w:p>
        </w:tc>
      </w:tr>
      <w:tr w:rsidR="003E59AA" w:rsidRPr="00B14011" w14:paraId="381CD570" w14:textId="77777777" w:rsidTr="007A4406">
        <w:tc>
          <w:tcPr>
            <w:tcW w:w="9360" w:type="dxa"/>
            <w:gridSpan w:val="2"/>
            <w:shd w:val="clear" w:color="auto" w:fill="auto"/>
          </w:tcPr>
          <w:p w14:paraId="2876425C" w14:textId="77777777" w:rsidR="000B4BE2" w:rsidRPr="00B14011" w:rsidRDefault="000B4BE2" w:rsidP="000B4BE2">
            <w:pPr>
              <w:numPr>
                <w:ilvl w:val="0"/>
                <w:numId w:val="11"/>
              </w:numPr>
              <w:tabs>
                <w:tab w:val="right" w:pos="1080"/>
                <w:tab w:val="left" w:pos="1296"/>
                <w:tab w:val="left" w:pos="1620"/>
                <w:tab w:val="left" w:pos="2160"/>
                <w:tab w:val="left" w:pos="2592"/>
                <w:tab w:val="left" w:pos="3024"/>
                <w:tab w:val="left" w:pos="3420"/>
                <w:tab w:val="left" w:pos="3456"/>
                <w:tab w:val="right" w:leader="dot" w:pos="8381"/>
              </w:tabs>
              <w:suppressAutoHyphens/>
              <w:spacing w:after="120" w:line="240" w:lineRule="exact"/>
              <w:jc w:val="both"/>
              <w:rPr>
                <w:spacing w:val="4"/>
                <w:w w:val="103"/>
                <w:kern w:val="14"/>
                <w:sz w:val="20"/>
                <w:szCs w:val="20"/>
              </w:rPr>
            </w:pPr>
            <w:r w:rsidRPr="00B14011">
              <w:rPr>
                <w:spacing w:val="4"/>
                <w:w w:val="103"/>
                <w:kern w:val="14"/>
                <w:sz w:val="20"/>
                <w:szCs w:val="20"/>
              </w:rPr>
              <w:tab/>
              <w:t>Monitoring and evaluation</w:t>
            </w:r>
            <w:r w:rsidRPr="00B14011">
              <w:rPr>
                <w:spacing w:val="60"/>
                <w:w w:val="103"/>
                <w:kern w:val="14"/>
                <w:sz w:val="17"/>
                <w:szCs w:val="20"/>
              </w:rPr>
              <w:tab/>
            </w:r>
            <w:r w:rsidRPr="00B14011">
              <w:rPr>
                <w:spacing w:val="60"/>
                <w:w w:val="103"/>
                <w:kern w:val="14"/>
                <w:sz w:val="17"/>
                <w:szCs w:val="20"/>
              </w:rPr>
              <w:tab/>
            </w:r>
          </w:p>
        </w:tc>
        <w:tc>
          <w:tcPr>
            <w:tcW w:w="542" w:type="dxa"/>
            <w:gridSpan w:val="2"/>
            <w:vMerge/>
            <w:shd w:val="clear" w:color="auto" w:fill="auto"/>
            <w:vAlign w:val="bottom"/>
          </w:tcPr>
          <w:p w14:paraId="5BDC93BE" w14:textId="77777777" w:rsidR="000B4BE2" w:rsidRPr="00B14011" w:rsidRDefault="000B4BE2" w:rsidP="000B4BE2">
            <w:pPr>
              <w:tabs>
                <w:tab w:val="left" w:pos="1620"/>
              </w:tabs>
              <w:suppressAutoHyphens/>
              <w:spacing w:after="120" w:line="240" w:lineRule="exact"/>
              <w:jc w:val="right"/>
              <w:rPr>
                <w:spacing w:val="4"/>
                <w:w w:val="103"/>
                <w:kern w:val="14"/>
                <w:sz w:val="20"/>
                <w:szCs w:val="20"/>
              </w:rPr>
            </w:pPr>
          </w:p>
        </w:tc>
      </w:tr>
      <w:tr w:rsidR="003E59AA" w:rsidRPr="00B14011" w14:paraId="2ACBCF89" w14:textId="77777777" w:rsidTr="007A4406">
        <w:tc>
          <w:tcPr>
            <w:tcW w:w="9369" w:type="dxa"/>
            <w:gridSpan w:val="3"/>
            <w:shd w:val="clear" w:color="auto" w:fill="auto"/>
          </w:tcPr>
          <w:p w14:paraId="4534F55D" w14:textId="77777777" w:rsidR="000B4BE2" w:rsidRPr="00B14011" w:rsidRDefault="000B4BE2" w:rsidP="000B4BE2">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spacing w:val="4"/>
                <w:w w:val="103"/>
                <w:kern w:val="14"/>
                <w:sz w:val="20"/>
                <w:szCs w:val="20"/>
              </w:rPr>
            </w:pPr>
            <w:r w:rsidRPr="00B14011">
              <w:rPr>
                <w:spacing w:val="4"/>
                <w:w w:val="103"/>
                <w:kern w:val="14"/>
                <w:sz w:val="20"/>
                <w:szCs w:val="20"/>
              </w:rPr>
              <w:t xml:space="preserve">     Annex</w:t>
            </w:r>
          </w:p>
        </w:tc>
        <w:tc>
          <w:tcPr>
            <w:tcW w:w="533" w:type="dxa"/>
            <w:shd w:val="clear" w:color="auto" w:fill="auto"/>
            <w:vAlign w:val="bottom"/>
          </w:tcPr>
          <w:p w14:paraId="1BB5DC29" w14:textId="77777777" w:rsidR="000B4BE2" w:rsidRPr="00B14011" w:rsidRDefault="000B4BE2" w:rsidP="00443D38">
            <w:pPr>
              <w:tabs>
                <w:tab w:val="left" w:pos="1620"/>
              </w:tabs>
              <w:suppressAutoHyphens/>
              <w:spacing w:after="120" w:line="240" w:lineRule="exact"/>
              <w:jc w:val="center"/>
              <w:rPr>
                <w:spacing w:val="4"/>
                <w:w w:val="103"/>
                <w:kern w:val="14"/>
                <w:sz w:val="20"/>
                <w:szCs w:val="20"/>
              </w:rPr>
            </w:pPr>
          </w:p>
        </w:tc>
      </w:tr>
      <w:tr w:rsidR="003E59AA" w:rsidRPr="00B14011" w14:paraId="1749F7AC" w14:textId="77777777" w:rsidTr="007A4406">
        <w:tc>
          <w:tcPr>
            <w:tcW w:w="9369" w:type="dxa"/>
            <w:gridSpan w:val="3"/>
            <w:shd w:val="clear" w:color="auto" w:fill="auto"/>
          </w:tcPr>
          <w:p w14:paraId="67E58EE9" w14:textId="77777777" w:rsidR="000B4BE2" w:rsidRPr="00B14011" w:rsidRDefault="000B4BE2" w:rsidP="000F5D75">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ind w:left="1296"/>
              <w:rPr>
                <w:spacing w:val="60"/>
                <w:w w:val="103"/>
                <w:kern w:val="14"/>
                <w:sz w:val="17"/>
                <w:szCs w:val="20"/>
              </w:rPr>
            </w:pPr>
            <w:r w:rsidRPr="00B14011">
              <w:rPr>
                <w:spacing w:val="4"/>
                <w:w w:val="103"/>
                <w:kern w:val="14"/>
                <w:sz w:val="20"/>
                <w:szCs w:val="20"/>
              </w:rPr>
              <w:t xml:space="preserve">Results and resources framework for </w:t>
            </w:r>
            <w:r w:rsidR="000F5D75" w:rsidRPr="00B14011">
              <w:rPr>
                <w:spacing w:val="4"/>
                <w:w w:val="103"/>
                <w:kern w:val="14"/>
                <w:sz w:val="20"/>
                <w:szCs w:val="20"/>
              </w:rPr>
              <w:t>Sri Lanka (2018-2022</w:t>
            </w:r>
            <w:r w:rsidRPr="00B14011">
              <w:rPr>
                <w:spacing w:val="4"/>
                <w:w w:val="103"/>
                <w:kern w:val="14"/>
                <w:sz w:val="20"/>
                <w:szCs w:val="20"/>
              </w:rPr>
              <w:t>)</w:t>
            </w:r>
            <w:r w:rsidRPr="00B14011">
              <w:rPr>
                <w:spacing w:val="60"/>
                <w:w w:val="103"/>
                <w:kern w:val="14"/>
                <w:sz w:val="17"/>
                <w:szCs w:val="20"/>
              </w:rPr>
              <w:tab/>
            </w:r>
          </w:p>
        </w:tc>
        <w:tc>
          <w:tcPr>
            <w:tcW w:w="533" w:type="dxa"/>
            <w:shd w:val="clear" w:color="auto" w:fill="auto"/>
            <w:vAlign w:val="bottom"/>
          </w:tcPr>
          <w:p w14:paraId="6CA8802C" w14:textId="77777777" w:rsidR="000B4BE2" w:rsidRPr="00B14011" w:rsidRDefault="000F5D75" w:rsidP="000B4BE2">
            <w:pPr>
              <w:tabs>
                <w:tab w:val="left" w:pos="1620"/>
              </w:tabs>
              <w:suppressAutoHyphens/>
              <w:spacing w:after="120" w:line="240" w:lineRule="exact"/>
              <w:jc w:val="right"/>
              <w:rPr>
                <w:spacing w:val="4"/>
                <w:w w:val="103"/>
                <w:kern w:val="14"/>
                <w:sz w:val="20"/>
                <w:szCs w:val="20"/>
              </w:rPr>
            </w:pPr>
            <w:r w:rsidRPr="00B14011">
              <w:rPr>
                <w:spacing w:val="4"/>
                <w:w w:val="103"/>
                <w:kern w:val="14"/>
                <w:sz w:val="20"/>
                <w:szCs w:val="20"/>
              </w:rPr>
              <w:t>9</w:t>
            </w:r>
          </w:p>
        </w:tc>
      </w:tr>
    </w:tbl>
    <w:p w14:paraId="0BAF3351" w14:textId="77777777" w:rsidR="000B4BE2" w:rsidRPr="00B14011" w:rsidRDefault="000B4BE2" w:rsidP="000B4BE2">
      <w:pPr>
        <w:jc w:val="both"/>
        <w:rPr>
          <w:sz w:val="22"/>
          <w:szCs w:val="22"/>
        </w:rPr>
        <w:sectPr w:rsidR="000B4BE2" w:rsidRPr="00B14011" w:rsidSect="00AB64CB">
          <w:headerReference w:type="even" r:id="rId15"/>
          <w:headerReference w:type="default" r:id="rId16"/>
          <w:footerReference w:type="even" r:id="rId17"/>
          <w:footerReference w:type="default" r:id="rId18"/>
          <w:headerReference w:type="first" r:id="rId19"/>
          <w:footnotePr>
            <w:numRestart w:val="eachSect"/>
          </w:footnotePr>
          <w:endnotePr>
            <w:numFmt w:val="decimal"/>
            <w:numStart w:val="7"/>
          </w:endnotePr>
          <w:type w:val="continuous"/>
          <w:pgSz w:w="12240" w:h="15840" w:code="1"/>
          <w:pgMar w:top="1166" w:right="1195" w:bottom="1440" w:left="1195" w:header="576" w:footer="1030" w:gutter="0"/>
          <w:pgNumType w:start="1"/>
          <w:cols w:space="720"/>
          <w:titlePg/>
        </w:sectPr>
      </w:pPr>
    </w:p>
    <w:p w14:paraId="5B5055E2" w14:textId="77777777" w:rsidR="00F46466" w:rsidRPr="00B14011" w:rsidRDefault="00F46466" w:rsidP="000B2DCA">
      <w:pPr>
        <w:tabs>
          <w:tab w:val="left" w:pos="900"/>
          <w:tab w:val="left" w:pos="990"/>
          <w:tab w:val="left" w:pos="8640"/>
          <w:tab w:val="left" w:pos="9180"/>
        </w:tabs>
        <w:spacing w:after="120"/>
        <w:ind w:left="450"/>
        <w:rPr>
          <w:sz w:val="20"/>
          <w:szCs w:val="20"/>
        </w:rPr>
      </w:pPr>
      <w:r w:rsidRPr="00B14011">
        <w:rPr>
          <w:sz w:val="20"/>
          <w:szCs w:val="20"/>
        </w:rPr>
        <w:br w:type="page"/>
      </w:r>
    </w:p>
    <w:p w14:paraId="33FBA66E" w14:textId="77777777" w:rsidR="00FE7037" w:rsidRPr="00B14011" w:rsidRDefault="00FE7037" w:rsidP="00003F2F">
      <w:pPr>
        <w:pStyle w:val="Heading2"/>
        <w:numPr>
          <w:ilvl w:val="0"/>
          <w:numId w:val="4"/>
        </w:numPr>
        <w:tabs>
          <w:tab w:val="left" w:pos="720"/>
          <w:tab w:val="left" w:pos="990"/>
          <w:tab w:val="left" w:pos="1080"/>
          <w:tab w:val="left" w:pos="8640"/>
          <w:tab w:val="left" w:pos="9180"/>
        </w:tabs>
        <w:ind w:left="180" w:right="1267" w:firstLine="0"/>
        <w:jc w:val="both"/>
        <w:rPr>
          <w:rFonts w:ascii="Times New Roman" w:hAnsi="Times New Roman"/>
          <w:bCs/>
          <w:szCs w:val="28"/>
        </w:rPr>
      </w:pPr>
      <w:r w:rsidRPr="00B14011">
        <w:rPr>
          <w:rFonts w:ascii="Times New Roman" w:hAnsi="Times New Roman"/>
          <w:bCs/>
          <w:szCs w:val="28"/>
        </w:rPr>
        <w:lastRenderedPageBreak/>
        <w:t xml:space="preserve">Programme </w:t>
      </w:r>
      <w:r w:rsidR="00170240" w:rsidRPr="00B14011">
        <w:rPr>
          <w:rFonts w:ascii="Times New Roman" w:hAnsi="Times New Roman"/>
          <w:bCs/>
          <w:szCs w:val="28"/>
        </w:rPr>
        <w:t>r</w:t>
      </w:r>
      <w:r w:rsidRPr="00B14011">
        <w:rPr>
          <w:rFonts w:ascii="Times New Roman" w:hAnsi="Times New Roman"/>
          <w:bCs/>
          <w:szCs w:val="28"/>
        </w:rPr>
        <w:t xml:space="preserve">ationale </w:t>
      </w:r>
    </w:p>
    <w:p w14:paraId="582C8FF1" w14:textId="77777777" w:rsidR="00FD44FE" w:rsidRPr="00B14011" w:rsidRDefault="00FD44FE" w:rsidP="00003F2F">
      <w:pPr>
        <w:tabs>
          <w:tab w:val="left" w:pos="900"/>
          <w:tab w:val="left" w:pos="990"/>
          <w:tab w:val="left" w:pos="1080"/>
          <w:tab w:val="left" w:pos="8640"/>
          <w:tab w:val="left" w:pos="9180"/>
        </w:tabs>
        <w:ind w:left="446"/>
        <w:rPr>
          <w:sz w:val="20"/>
          <w:szCs w:val="20"/>
        </w:rPr>
      </w:pPr>
    </w:p>
    <w:p w14:paraId="15DEE4CF" w14:textId="42A30410" w:rsidR="003D531F" w:rsidRPr="00B14011" w:rsidRDefault="00187EF8" w:rsidP="008B6648">
      <w:pPr>
        <w:pStyle w:val="ListParagraph"/>
        <w:numPr>
          <w:ilvl w:val="0"/>
          <w:numId w:val="3"/>
        </w:numPr>
        <w:tabs>
          <w:tab w:val="left" w:pos="1080"/>
        </w:tabs>
        <w:spacing w:after="120"/>
        <w:ind w:firstLine="0"/>
        <w:jc w:val="both"/>
        <w:rPr>
          <w:rFonts w:eastAsia="Calibri"/>
          <w:sz w:val="20"/>
          <w:szCs w:val="20"/>
        </w:rPr>
      </w:pPr>
      <w:r w:rsidRPr="00B14011">
        <w:rPr>
          <w:sz w:val="20"/>
          <w:szCs w:val="20"/>
        </w:rPr>
        <w:t>Sri Lanka is a lower middle-income country of 20.8 million people with a growing economy and ambitions of becoming a high</w:t>
      </w:r>
      <w:r w:rsidR="007A542F" w:rsidRPr="00B14011">
        <w:rPr>
          <w:sz w:val="20"/>
          <w:szCs w:val="20"/>
        </w:rPr>
        <w:t>er middle-</w:t>
      </w:r>
      <w:r w:rsidRPr="00B14011">
        <w:rPr>
          <w:sz w:val="20"/>
          <w:szCs w:val="20"/>
        </w:rPr>
        <w:t>income country within 15 years.</w:t>
      </w:r>
      <w:r w:rsidRPr="005A3BE4">
        <w:rPr>
          <w:rStyle w:val="FootnoteReference"/>
          <w:sz w:val="16"/>
          <w:szCs w:val="16"/>
        </w:rPr>
        <w:footnoteReference w:id="1"/>
      </w:r>
      <w:r w:rsidRPr="00B14011">
        <w:rPr>
          <w:sz w:val="20"/>
          <w:szCs w:val="20"/>
        </w:rPr>
        <w:t xml:space="preserve"> The country has benefited from past investments in education, health and poverty reduction, resulting in a </w:t>
      </w:r>
      <w:r w:rsidR="00B14011">
        <w:rPr>
          <w:sz w:val="20"/>
          <w:szCs w:val="20"/>
        </w:rPr>
        <w:t>h</w:t>
      </w:r>
      <w:r w:rsidRPr="00B14011">
        <w:rPr>
          <w:sz w:val="20"/>
          <w:szCs w:val="20"/>
        </w:rPr>
        <w:t xml:space="preserve">uman </w:t>
      </w:r>
      <w:r w:rsidR="00B14011">
        <w:rPr>
          <w:sz w:val="20"/>
          <w:szCs w:val="20"/>
        </w:rPr>
        <w:t>d</w:t>
      </w:r>
      <w:r w:rsidRPr="00B14011">
        <w:rPr>
          <w:sz w:val="20"/>
          <w:szCs w:val="20"/>
        </w:rPr>
        <w:t xml:space="preserve">evelopment </w:t>
      </w:r>
      <w:r w:rsidR="00B14011">
        <w:rPr>
          <w:sz w:val="20"/>
          <w:szCs w:val="20"/>
        </w:rPr>
        <w:t>i</w:t>
      </w:r>
      <w:r w:rsidRPr="00B14011">
        <w:rPr>
          <w:sz w:val="20"/>
          <w:szCs w:val="20"/>
        </w:rPr>
        <w:t>ndex ranking of 73 out of 188 countries in 2015,</w:t>
      </w:r>
      <w:r w:rsidRPr="005A3BE4">
        <w:rPr>
          <w:rStyle w:val="FootnoteReference"/>
          <w:sz w:val="16"/>
          <w:szCs w:val="16"/>
        </w:rPr>
        <w:footnoteReference w:id="2"/>
      </w:r>
      <w:r w:rsidRPr="00B14011">
        <w:rPr>
          <w:rFonts w:eastAsia="Calibri"/>
          <w:sz w:val="20"/>
          <w:szCs w:val="20"/>
        </w:rPr>
        <w:t xml:space="preserve"> with most Millennium Development Goal targets attained by 2014.</w:t>
      </w:r>
      <w:r w:rsidRPr="005A3BE4">
        <w:rPr>
          <w:rStyle w:val="FootnoteReference"/>
          <w:rFonts w:eastAsia="Calibri"/>
          <w:sz w:val="16"/>
          <w:szCs w:val="16"/>
        </w:rPr>
        <w:footnoteReference w:id="3"/>
      </w:r>
      <w:r w:rsidRPr="00B14011">
        <w:rPr>
          <w:rFonts w:eastAsia="Calibri"/>
          <w:sz w:val="20"/>
          <w:szCs w:val="20"/>
        </w:rPr>
        <w:t xml:space="preserve"> </w:t>
      </w:r>
      <w:r w:rsidRPr="00B14011">
        <w:rPr>
          <w:sz w:val="20"/>
          <w:szCs w:val="20"/>
        </w:rPr>
        <w:t xml:space="preserve">Economic growth has </w:t>
      </w:r>
      <w:r w:rsidR="00D219D5" w:rsidRPr="00B14011">
        <w:rPr>
          <w:sz w:val="20"/>
          <w:szCs w:val="20"/>
        </w:rPr>
        <w:t>averaged</w:t>
      </w:r>
      <w:r w:rsidRPr="00B14011">
        <w:rPr>
          <w:sz w:val="20"/>
          <w:szCs w:val="20"/>
        </w:rPr>
        <w:t xml:space="preserve"> over 7 per cent in the past five years</w:t>
      </w:r>
      <w:bookmarkStart w:id="0" w:name="_Ref470255041"/>
      <w:r w:rsidR="00B14011">
        <w:rPr>
          <w:sz w:val="20"/>
          <w:szCs w:val="20"/>
        </w:rPr>
        <w:t>,</w:t>
      </w:r>
      <w:r w:rsidRPr="00B14011">
        <w:rPr>
          <w:rStyle w:val="FootnoteReference"/>
        </w:rPr>
        <w:footnoteReference w:id="4"/>
      </w:r>
      <w:bookmarkEnd w:id="0"/>
      <w:r w:rsidRPr="00B14011">
        <w:rPr>
          <w:sz w:val="20"/>
          <w:szCs w:val="20"/>
        </w:rPr>
        <w:t xml:space="preserve"> driven largely by rehabilitation in the</w:t>
      </w:r>
      <w:r w:rsidR="000C3C5B" w:rsidRPr="00B14011">
        <w:rPr>
          <w:sz w:val="20"/>
          <w:szCs w:val="20"/>
        </w:rPr>
        <w:t xml:space="preserve"> </w:t>
      </w:r>
      <w:r w:rsidRPr="00B14011">
        <w:rPr>
          <w:sz w:val="20"/>
          <w:szCs w:val="20"/>
        </w:rPr>
        <w:t xml:space="preserve">North and East provinces after almost 30 years of armed conflict, and accompanied by a structural shift toward services and industry. Sri Lanka has </w:t>
      </w:r>
      <w:r w:rsidR="00B30EB6" w:rsidRPr="00B14011">
        <w:rPr>
          <w:sz w:val="20"/>
          <w:szCs w:val="20"/>
        </w:rPr>
        <w:t>a low</w:t>
      </w:r>
      <w:r w:rsidRPr="00B14011">
        <w:rPr>
          <w:sz w:val="20"/>
          <w:szCs w:val="20"/>
        </w:rPr>
        <w:t xml:space="preserve"> tax-revenue to </w:t>
      </w:r>
      <w:r w:rsidR="00B14011">
        <w:rPr>
          <w:sz w:val="20"/>
          <w:szCs w:val="20"/>
        </w:rPr>
        <w:t>gross domestic product (</w:t>
      </w:r>
      <w:r w:rsidRPr="00B14011">
        <w:rPr>
          <w:sz w:val="20"/>
          <w:szCs w:val="20"/>
        </w:rPr>
        <w:t>GDP</w:t>
      </w:r>
      <w:r w:rsidR="00B14011">
        <w:rPr>
          <w:sz w:val="20"/>
          <w:szCs w:val="20"/>
        </w:rPr>
        <w:t>)</w:t>
      </w:r>
      <w:r w:rsidRPr="00B14011">
        <w:rPr>
          <w:sz w:val="20"/>
          <w:szCs w:val="20"/>
        </w:rPr>
        <w:t xml:space="preserve"> ratio,</w:t>
      </w:r>
      <w:r w:rsidRPr="00B14011">
        <w:rPr>
          <w:rStyle w:val="FootnoteReference"/>
        </w:rPr>
        <w:footnoteReference w:id="5"/>
      </w:r>
      <w:r w:rsidRPr="00B14011">
        <w:rPr>
          <w:sz w:val="20"/>
          <w:szCs w:val="20"/>
        </w:rPr>
        <w:t xml:space="preserve"> constraining the fiscal space for discretionary spending. </w:t>
      </w:r>
      <w:r w:rsidRPr="00B14011">
        <w:rPr>
          <w:rFonts w:eastAsia="Calibri"/>
          <w:sz w:val="20"/>
          <w:szCs w:val="20"/>
        </w:rPr>
        <w:t xml:space="preserve">Sri Lanka appears to be in the last stages of its </w:t>
      </w:r>
      <w:r w:rsidR="00B14011">
        <w:rPr>
          <w:rFonts w:eastAsia="Calibri"/>
          <w:sz w:val="20"/>
          <w:szCs w:val="20"/>
        </w:rPr>
        <w:t>‘</w:t>
      </w:r>
      <w:r w:rsidRPr="00B14011">
        <w:rPr>
          <w:rFonts w:eastAsia="Calibri"/>
          <w:sz w:val="20"/>
          <w:szCs w:val="20"/>
        </w:rPr>
        <w:t>demographic dividend</w:t>
      </w:r>
      <w:r w:rsidR="00B14011">
        <w:rPr>
          <w:rFonts w:eastAsia="Calibri"/>
          <w:sz w:val="20"/>
          <w:szCs w:val="20"/>
        </w:rPr>
        <w:t>’</w:t>
      </w:r>
      <w:r w:rsidRPr="00B14011">
        <w:rPr>
          <w:rFonts w:eastAsia="Calibri"/>
          <w:sz w:val="20"/>
          <w:szCs w:val="20"/>
        </w:rPr>
        <w:t xml:space="preserve"> and is projected to reach its maximum working-age population soon after 2030.</w:t>
      </w:r>
      <w:r w:rsidRPr="00B14011">
        <w:rPr>
          <w:rStyle w:val="FootnoteReference"/>
          <w:rFonts w:eastAsia="Calibri"/>
          <w:szCs w:val="20"/>
        </w:rPr>
        <w:footnoteReference w:id="6"/>
      </w:r>
      <w:r w:rsidRPr="00B14011">
        <w:rPr>
          <w:rFonts w:eastAsia="Calibri"/>
          <w:sz w:val="20"/>
          <w:szCs w:val="20"/>
        </w:rPr>
        <w:t xml:space="preserve"> </w:t>
      </w:r>
      <w:r w:rsidRPr="00B14011">
        <w:rPr>
          <w:rStyle w:val="s1"/>
          <w:sz w:val="20"/>
          <w:szCs w:val="20"/>
        </w:rPr>
        <w:t>Under a 2015 U</w:t>
      </w:r>
      <w:r w:rsidR="00B14011">
        <w:rPr>
          <w:rStyle w:val="s1"/>
          <w:sz w:val="20"/>
          <w:szCs w:val="20"/>
        </w:rPr>
        <w:t xml:space="preserve">nited </w:t>
      </w:r>
      <w:r w:rsidRPr="00B14011">
        <w:rPr>
          <w:rStyle w:val="s1"/>
          <w:sz w:val="20"/>
          <w:szCs w:val="20"/>
        </w:rPr>
        <w:t>N</w:t>
      </w:r>
      <w:r w:rsidR="00B14011">
        <w:rPr>
          <w:rStyle w:val="s1"/>
          <w:sz w:val="20"/>
          <w:szCs w:val="20"/>
        </w:rPr>
        <w:t>ations</w:t>
      </w:r>
      <w:r w:rsidRPr="00B14011">
        <w:rPr>
          <w:rStyle w:val="s1"/>
          <w:sz w:val="20"/>
          <w:szCs w:val="20"/>
        </w:rPr>
        <w:t xml:space="preserve"> Human Rights Council resolution</w:t>
      </w:r>
      <w:r w:rsidR="00B14011">
        <w:rPr>
          <w:rStyle w:val="s1"/>
          <w:sz w:val="20"/>
          <w:szCs w:val="20"/>
        </w:rPr>
        <w:t>,</w:t>
      </w:r>
      <w:r w:rsidRPr="00B14011">
        <w:rPr>
          <w:rStyle w:val="s1"/>
          <w:sz w:val="20"/>
          <w:szCs w:val="20"/>
        </w:rPr>
        <w:t xml:space="preserve"> co-sponsored by Sri Lanka</w:t>
      </w:r>
      <w:r w:rsidR="00B22F39">
        <w:rPr>
          <w:rStyle w:val="s1"/>
          <w:sz w:val="20"/>
          <w:szCs w:val="20"/>
        </w:rPr>
        <w:t>,</w:t>
      </w:r>
      <w:r w:rsidR="00C53BCF" w:rsidRPr="00B14011">
        <w:rPr>
          <w:rStyle w:val="FootnoteReference"/>
          <w:sz w:val="20"/>
          <w:szCs w:val="20"/>
        </w:rPr>
        <w:footnoteReference w:id="7"/>
      </w:r>
      <w:r w:rsidRPr="00B14011">
        <w:rPr>
          <w:rStyle w:val="s1"/>
          <w:sz w:val="20"/>
          <w:szCs w:val="20"/>
        </w:rPr>
        <w:t xml:space="preserve"> the Government has committed to numerous measures to address the legacy of the country’s armed conflict </w:t>
      </w:r>
      <w:r w:rsidRPr="00B14011">
        <w:rPr>
          <w:sz w:val="20"/>
          <w:szCs w:val="20"/>
        </w:rPr>
        <w:t>and</w:t>
      </w:r>
      <w:r w:rsidR="00B14011">
        <w:rPr>
          <w:sz w:val="20"/>
          <w:szCs w:val="20"/>
        </w:rPr>
        <w:t>,</w:t>
      </w:r>
      <w:r w:rsidRPr="00B14011">
        <w:rPr>
          <w:sz w:val="20"/>
          <w:szCs w:val="20"/>
        </w:rPr>
        <w:t xml:space="preserve"> together with the U</w:t>
      </w:r>
      <w:r w:rsidR="00B14011">
        <w:rPr>
          <w:sz w:val="20"/>
          <w:szCs w:val="20"/>
        </w:rPr>
        <w:t xml:space="preserve">nited </w:t>
      </w:r>
      <w:r w:rsidRPr="00B14011">
        <w:rPr>
          <w:sz w:val="20"/>
          <w:szCs w:val="20"/>
        </w:rPr>
        <w:t>N</w:t>
      </w:r>
      <w:r w:rsidR="00B14011">
        <w:rPr>
          <w:sz w:val="20"/>
          <w:szCs w:val="20"/>
        </w:rPr>
        <w:t>ations,</w:t>
      </w:r>
      <w:r w:rsidRPr="00B14011">
        <w:rPr>
          <w:sz w:val="20"/>
          <w:szCs w:val="20"/>
        </w:rPr>
        <w:t xml:space="preserve"> ha</w:t>
      </w:r>
      <w:r w:rsidR="00B14011">
        <w:rPr>
          <w:sz w:val="20"/>
          <w:szCs w:val="20"/>
        </w:rPr>
        <w:t>s</w:t>
      </w:r>
      <w:r w:rsidRPr="00B14011">
        <w:rPr>
          <w:sz w:val="20"/>
          <w:szCs w:val="20"/>
        </w:rPr>
        <w:t xml:space="preserve"> agreed on a comprehensive </w:t>
      </w:r>
      <w:r w:rsidR="00BB7D32">
        <w:rPr>
          <w:sz w:val="20"/>
          <w:szCs w:val="20"/>
        </w:rPr>
        <w:t>p</w:t>
      </w:r>
      <w:r w:rsidRPr="00B14011">
        <w:rPr>
          <w:sz w:val="20"/>
          <w:szCs w:val="20"/>
        </w:rPr>
        <w:t xml:space="preserve">eacebuilding </w:t>
      </w:r>
      <w:r w:rsidR="00BB7D32">
        <w:rPr>
          <w:sz w:val="20"/>
          <w:szCs w:val="20"/>
        </w:rPr>
        <w:t>p</w:t>
      </w:r>
      <w:r w:rsidRPr="00B14011">
        <w:rPr>
          <w:sz w:val="20"/>
          <w:szCs w:val="20"/>
        </w:rPr>
        <w:t xml:space="preserve">riority </w:t>
      </w:r>
      <w:r w:rsidR="00BB7D32">
        <w:rPr>
          <w:sz w:val="20"/>
          <w:szCs w:val="20"/>
        </w:rPr>
        <w:t>p</w:t>
      </w:r>
      <w:r w:rsidRPr="00B14011">
        <w:rPr>
          <w:sz w:val="20"/>
          <w:szCs w:val="20"/>
        </w:rPr>
        <w:t xml:space="preserve">lan to operationalize various aspects of transitional justice, governance reforms, reconciliation and resettlement. </w:t>
      </w:r>
      <w:r w:rsidR="00DC459A" w:rsidRPr="00B14011">
        <w:rPr>
          <w:sz w:val="20"/>
          <w:szCs w:val="20"/>
        </w:rPr>
        <w:t xml:space="preserve">Sri Lanka is also pursuing an ambitious innovation and technology-driven agenda </w:t>
      </w:r>
      <w:r w:rsidR="00042258" w:rsidRPr="00B14011">
        <w:rPr>
          <w:sz w:val="20"/>
          <w:szCs w:val="20"/>
        </w:rPr>
        <w:t xml:space="preserve">to </w:t>
      </w:r>
      <w:r w:rsidR="00DC459A" w:rsidRPr="00B14011">
        <w:rPr>
          <w:sz w:val="20"/>
          <w:szCs w:val="20"/>
        </w:rPr>
        <w:t xml:space="preserve">transform the </w:t>
      </w:r>
      <w:r w:rsidR="00042258" w:rsidRPr="00B14011">
        <w:rPr>
          <w:sz w:val="20"/>
          <w:szCs w:val="20"/>
        </w:rPr>
        <w:t>country</w:t>
      </w:r>
      <w:r w:rsidR="00DC459A" w:rsidRPr="00B14011">
        <w:rPr>
          <w:sz w:val="20"/>
          <w:szCs w:val="20"/>
        </w:rPr>
        <w:t xml:space="preserve"> into an innovation-driven global hub for manufacturing, transport and high-tech services.</w:t>
      </w:r>
      <w:r w:rsidR="00DC459A" w:rsidRPr="00B14011">
        <w:rPr>
          <w:rStyle w:val="FootnoteReference"/>
          <w:sz w:val="20"/>
          <w:szCs w:val="20"/>
        </w:rPr>
        <w:footnoteReference w:id="8"/>
      </w:r>
      <w:r w:rsidR="00042258" w:rsidRPr="00B14011">
        <w:rPr>
          <w:rFonts w:eastAsia="Calibri"/>
          <w:sz w:val="20"/>
          <w:szCs w:val="20"/>
        </w:rPr>
        <w:t xml:space="preserve"> The Government is focused on sustaining economic growth and increasing competitiveness through innovation, and is committed to the 2030 Agenda for Sustainable Development and </w:t>
      </w:r>
      <w:r w:rsidR="00B14011">
        <w:rPr>
          <w:rFonts w:eastAsia="Calibri"/>
          <w:sz w:val="20"/>
          <w:szCs w:val="20"/>
        </w:rPr>
        <w:t xml:space="preserve">the </w:t>
      </w:r>
      <w:r w:rsidR="00042258" w:rsidRPr="00B14011">
        <w:rPr>
          <w:rFonts w:eastAsia="Calibri"/>
          <w:sz w:val="20"/>
          <w:szCs w:val="20"/>
        </w:rPr>
        <w:t xml:space="preserve">Sustainable Development Goals (SDGs), </w:t>
      </w:r>
      <w:r w:rsidR="00B14011">
        <w:rPr>
          <w:rFonts w:eastAsia="Calibri"/>
          <w:sz w:val="20"/>
          <w:szCs w:val="20"/>
        </w:rPr>
        <w:t xml:space="preserve">focused on </w:t>
      </w:r>
      <w:r w:rsidR="00042258" w:rsidRPr="00B14011">
        <w:rPr>
          <w:sz w:val="20"/>
          <w:szCs w:val="20"/>
        </w:rPr>
        <w:t>poverty reduction, food security and agriculture, sustainable cities, decent employment, environmental governance and safe, peaceful societies.</w:t>
      </w:r>
      <w:r w:rsidR="00042258" w:rsidRPr="00B14011">
        <w:rPr>
          <w:rStyle w:val="FootnoteReference"/>
        </w:rPr>
        <w:footnoteReference w:id="9"/>
      </w:r>
      <w:r w:rsidR="00042258" w:rsidRPr="00B14011">
        <w:rPr>
          <w:sz w:val="20"/>
          <w:szCs w:val="20"/>
        </w:rPr>
        <w:t xml:space="preserve"> The Government has engaged the U</w:t>
      </w:r>
      <w:r w:rsidR="00B14011">
        <w:rPr>
          <w:sz w:val="20"/>
          <w:szCs w:val="20"/>
        </w:rPr>
        <w:t xml:space="preserve">nited </w:t>
      </w:r>
      <w:r w:rsidR="00042258" w:rsidRPr="00B14011">
        <w:rPr>
          <w:sz w:val="20"/>
          <w:szCs w:val="20"/>
        </w:rPr>
        <w:t>N</w:t>
      </w:r>
      <w:r w:rsidR="00B14011">
        <w:rPr>
          <w:sz w:val="20"/>
          <w:szCs w:val="20"/>
        </w:rPr>
        <w:t>ations</w:t>
      </w:r>
      <w:r w:rsidR="00042258" w:rsidRPr="00B14011">
        <w:rPr>
          <w:sz w:val="20"/>
          <w:szCs w:val="20"/>
        </w:rPr>
        <w:t xml:space="preserve"> for support to better align and integrate the SDGs with national policies and rationalize the institutional framework to guide the process.</w:t>
      </w:r>
    </w:p>
    <w:p w14:paraId="1A4BAE56" w14:textId="499F92B6" w:rsidR="00187EF8" w:rsidRPr="00B14011" w:rsidRDefault="00187EF8" w:rsidP="00003F2F">
      <w:pPr>
        <w:pStyle w:val="ListParagraph"/>
        <w:numPr>
          <w:ilvl w:val="0"/>
          <w:numId w:val="3"/>
        </w:numPr>
        <w:tabs>
          <w:tab w:val="left" w:pos="1080"/>
          <w:tab w:val="left" w:pos="8640"/>
          <w:tab w:val="left" w:pos="9180"/>
        </w:tabs>
        <w:spacing w:after="120"/>
        <w:ind w:firstLine="0"/>
        <w:jc w:val="both"/>
        <w:rPr>
          <w:sz w:val="20"/>
          <w:szCs w:val="20"/>
        </w:rPr>
      </w:pPr>
      <w:r w:rsidRPr="00B14011">
        <w:rPr>
          <w:sz w:val="20"/>
          <w:szCs w:val="20"/>
        </w:rPr>
        <w:t xml:space="preserve">The Sri Lanka </w:t>
      </w:r>
      <w:r w:rsidR="00BB7D32">
        <w:rPr>
          <w:sz w:val="20"/>
          <w:szCs w:val="20"/>
        </w:rPr>
        <w:t>p</w:t>
      </w:r>
      <w:r w:rsidRPr="00B14011">
        <w:rPr>
          <w:sz w:val="20"/>
          <w:szCs w:val="20"/>
        </w:rPr>
        <w:t xml:space="preserve">eacebuilding </w:t>
      </w:r>
      <w:r w:rsidR="00BB7D32">
        <w:rPr>
          <w:sz w:val="20"/>
          <w:szCs w:val="20"/>
        </w:rPr>
        <w:t>c</w:t>
      </w:r>
      <w:r w:rsidRPr="00B14011">
        <w:rPr>
          <w:sz w:val="20"/>
          <w:szCs w:val="20"/>
        </w:rPr>
        <w:t xml:space="preserve">ontext </w:t>
      </w:r>
      <w:r w:rsidR="00BB7D32">
        <w:rPr>
          <w:sz w:val="20"/>
          <w:szCs w:val="20"/>
        </w:rPr>
        <w:t>a</w:t>
      </w:r>
      <w:r w:rsidRPr="00B14011">
        <w:rPr>
          <w:sz w:val="20"/>
          <w:szCs w:val="20"/>
        </w:rPr>
        <w:t>nalysis concluded that the fundamental drivers of the armed conflict were shortcomings in governance</w:t>
      </w:r>
      <w:r w:rsidR="00BB7D32">
        <w:rPr>
          <w:sz w:val="20"/>
          <w:szCs w:val="20"/>
        </w:rPr>
        <w:t>,</w:t>
      </w:r>
      <w:r w:rsidRPr="00B14011">
        <w:rPr>
          <w:sz w:val="20"/>
          <w:szCs w:val="20"/>
        </w:rPr>
        <w:t xml:space="preserve"> which exacerbated inequality and marginalization and led to erosion of trust in the state.</w:t>
      </w:r>
      <w:r w:rsidRPr="00B14011">
        <w:rPr>
          <w:rStyle w:val="FootnoteReference"/>
          <w:szCs w:val="20"/>
        </w:rPr>
        <w:footnoteReference w:id="10"/>
      </w:r>
      <w:r w:rsidRPr="00B14011">
        <w:rPr>
          <w:sz w:val="20"/>
          <w:szCs w:val="20"/>
        </w:rPr>
        <w:t xml:space="preserve"> </w:t>
      </w:r>
      <w:r w:rsidR="005D3C5C" w:rsidRPr="00B14011">
        <w:rPr>
          <w:sz w:val="20"/>
          <w:szCs w:val="20"/>
        </w:rPr>
        <w:t xml:space="preserve">As Sri Lanka continues </w:t>
      </w:r>
      <w:r w:rsidR="00BB7D32">
        <w:rPr>
          <w:sz w:val="20"/>
          <w:szCs w:val="20"/>
        </w:rPr>
        <w:t xml:space="preserve">on </w:t>
      </w:r>
      <w:r w:rsidR="00DF0D23" w:rsidRPr="00B14011">
        <w:rPr>
          <w:sz w:val="20"/>
          <w:szCs w:val="20"/>
        </w:rPr>
        <w:t>a path of strong economic growth,</w:t>
      </w:r>
      <w:r w:rsidRPr="00B14011">
        <w:rPr>
          <w:sz w:val="20"/>
          <w:szCs w:val="20"/>
        </w:rPr>
        <w:t xml:space="preserve"> </w:t>
      </w:r>
      <w:r w:rsidR="005D3C5C" w:rsidRPr="00B14011">
        <w:rPr>
          <w:sz w:val="20"/>
          <w:szCs w:val="20"/>
        </w:rPr>
        <w:t xml:space="preserve">its </w:t>
      </w:r>
      <w:r w:rsidRPr="00B14011">
        <w:rPr>
          <w:sz w:val="20"/>
          <w:szCs w:val="20"/>
        </w:rPr>
        <w:t xml:space="preserve">governance institutions and processes will need to address inequalities and vulnerabilities through more </w:t>
      </w:r>
      <w:r w:rsidR="00DF0D23" w:rsidRPr="00B14011">
        <w:rPr>
          <w:sz w:val="20"/>
          <w:szCs w:val="20"/>
        </w:rPr>
        <w:t>accountable</w:t>
      </w:r>
      <w:r w:rsidRPr="00B14011">
        <w:rPr>
          <w:sz w:val="20"/>
          <w:szCs w:val="20"/>
        </w:rPr>
        <w:t xml:space="preserve">, </w:t>
      </w:r>
      <w:r w:rsidR="00756F05" w:rsidRPr="00B14011">
        <w:rPr>
          <w:sz w:val="20"/>
          <w:szCs w:val="20"/>
        </w:rPr>
        <w:t xml:space="preserve">evidence-based </w:t>
      </w:r>
      <w:r w:rsidRPr="00B14011">
        <w:rPr>
          <w:sz w:val="20"/>
          <w:szCs w:val="20"/>
        </w:rPr>
        <w:t>and inclusive policies and services to help strengthen the public’s trust in the state as the foundation of lasting peace.</w:t>
      </w:r>
    </w:p>
    <w:p w14:paraId="646BDF99" w14:textId="4FA0EFCF" w:rsidR="00187EF8" w:rsidRPr="00B14011" w:rsidRDefault="00187EF8" w:rsidP="008B6648">
      <w:pPr>
        <w:pStyle w:val="ListParagraph"/>
        <w:numPr>
          <w:ilvl w:val="0"/>
          <w:numId w:val="3"/>
        </w:numPr>
        <w:tabs>
          <w:tab w:val="left" w:pos="1080"/>
        </w:tabs>
        <w:spacing w:after="120"/>
        <w:ind w:firstLine="0"/>
        <w:jc w:val="both"/>
        <w:rPr>
          <w:sz w:val="20"/>
          <w:szCs w:val="20"/>
        </w:rPr>
      </w:pPr>
      <w:r w:rsidRPr="00B14011">
        <w:rPr>
          <w:rFonts w:eastAsia="Calibri"/>
          <w:sz w:val="20"/>
          <w:szCs w:val="20"/>
        </w:rPr>
        <w:t xml:space="preserve">While the </w:t>
      </w:r>
      <w:r w:rsidRPr="00B14011">
        <w:rPr>
          <w:sz w:val="20"/>
          <w:szCs w:val="20"/>
        </w:rPr>
        <w:t xml:space="preserve">national poverty headcount ratio </w:t>
      </w:r>
      <w:r w:rsidR="008E6BB0">
        <w:rPr>
          <w:sz w:val="20"/>
          <w:szCs w:val="20"/>
        </w:rPr>
        <w:t xml:space="preserve">fell </w:t>
      </w:r>
      <w:r w:rsidRPr="00B14011">
        <w:rPr>
          <w:sz w:val="20"/>
          <w:szCs w:val="20"/>
        </w:rPr>
        <w:t>to 6.7 per</w:t>
      </w:r>
      <w:r w:rsidR="00BB7D32">
        <w:rPr>
          <w:sz w:val="20"/>
          <w:szCs w:val="20"/>
        </w:rPr>
        <w:t xml:space="preserve"> </w:t>
      </w:r>
      <w:r w:rsidRPr="00B14011">
        <w:rPr>
          <w:sz w:val="20"/>
          <w:szCs w:val="20"/>
        </w:rPr>
        <w:t xml:space="preserve">cent in 2012/2013, </w:t>
      </w:r>
      <w:r w:rsidRPr="00B14011">
        <w:rPr>
          <w:rFonts w:eastAsia="Calibri"/>
          <w:sz w:val="20"/>
          <w:szCs w:val="20"/>
        </w:rPr>
        <w:t>r</w:t>
      </w:r>
      <w:r w:rsidRPr="00B14011">
        <w:rPr>
          <w:sz w:val="20"/>
          <w:szCs w:val="20"/>
        </w:rPr>
        <w:t>oughly one</w:t>
      </w:r>
      <w:r w:rsidR="00BB7D32">
        <w:rPr>
          <w:sz w:val="20"/>
          <w:szCs w:val="20"/>
        </w:rPr>
        <w:t xml:space="preserve"> </w:t>
      </w:r>
      <w:r w:rsidRPr="00B14011">
        <w:rPr>
          <w:sz w:val="20"/>
          <w:szCs w:val="20"/>
        </w:rPr>
        <w:t xml:space="preserve">quarter of the population is considered </w:t>
      </w:r>
      <w:r w:rsidR="00BB7D32">
        <w:rPr>
          <w:sz w:val="20"/>
          <w:szCs w:val="20"/>
        </w:rPr>
        <w:t>‘</w:t>
      </w:r>
      <w:r w:rsidRPr="00B14011">
        <w:rPr>
          <w:sz w:val="20"/>
          <w:szCs w:val="20"/>
        </w:rPr>
        <w:t>near</w:t>
      </w:r>
      <w:r w:rsidR="00BB7D32">
        <w:rPr>
          <w:sz w:val="20"/>
          <w:szCs w:val="20"/>
        </w:rPr>
        <w:t xml:space="preserve"> </w:t>
      </w:r>
      <w:r w:rsidRPr="00B14011">
        <w:rPr>
          <w:sz w:val="20"/>
          <w:szCs w:val="20"/>
        </w:rPr>
        <w:t>poor</w:t>
      </w:r>
      <w:r w:rsidR="00BB7D32">
        <w:rPr>
          <w:sz w:val="20"/>
          <w:szCs w:val="20"/>
        </w:rPr>
        <w:t>’</w:t>
      </w:r>
      <w:r w:rsidR="008E6BB0">
        <w:rPr>
          <w:sz w:val="20"/>
          <w:szCs w:val="20"/>
        </w:rPr>
        <w:t>,</w:t>
      </w:r>
      <w:r w:rsidRPr="00B14011">
        <w:rPr>
          <w:rStyle w:val="FootnoteReference"/>
        </w:rPr>
        <w:footnoteReference w:id="11"/>
      </w:r>
      <w:r w:rsidRPr="00B14011">
        <w:rPr>
          <w:sz w:val="20"/>
          <w:szCs w:val="20"/>
        </w:rPr>
        <w:t xml:space="preserve"> and vulnerable to </w:t>
      </w:r>
      <w:r w:rsidR="00756F05" w:rsidRPr="00B14011">
        <w:rPr>
          <w:sz w:val="20"/>
          <w:szCs w:val="20"/>
        </w:rPr>
        <w:t>falling</w:t>
      </w:r>
      <w:r w:rsidRPr="00B14011">
        <w:rPr>
          <w:sz w:val="20"/>
          <w:szCs w:val="20"/>
        </w:rPr>
        <w:t xml:space="preserve"> back into poverty. Regional disparities are increasing, with high poverty rates and increased vulnerability in the historically underdeveloped former conflict areas in the North and East (where ethnic minorities are concentrated) and Monaragala in Uva Province.</w:t>
      </w:r>
      <w:r w:rsidRPr="00B14011">
        <w:rPr>
          <w:rStyle w:val="FootnoteReference"/>
          <w:szCs w:val="20"/>
        </w:rPr>
        <w:footnoteReference w:id="12"/>
      </w:r>
      <w:r w:rsidRPr="00B14011">
        <w:rPr>
          <w:sz w:val="20"/>
          <w:szCs w:val="20"/>
        </w:rPr>
        <w:t xml:space="preserve"> Female-headed households are particularly vulnerable in these regions. The estate sector continues to face challenges of high poverty, poor access to health and education, and a declining tea industry.</w:t>
      </w:r>
      <w:r w:rsidRPr="00B14011">
        <w:rPr>
          <w:rStyle w:val="FootnoteReference"/>
          <w:szCs w:val="20"/>
        </w:rPr>
        <w:footnoteReference w:id="13"/>
      </w:r>
      <w:r w:rsidRPr="00B14011">
        <w:rPr>
          <w:sz w:val="20"/>
          <w:szCs w:val="20"/>
        </w:rPr>
        <w:t xml:space="preserve"> Women have higher life expectancy and educational attainment than men, yet unemployment rates are double those for men.</w:t>
      </w:r>
      <w:r w:rsidRPr="00B14011">
        <w:rPr>
          <w:rStyle w:val="FootnoteReference"/>
        </w:rPr>
        <w:footnoteReference w:id="14"/>
      </w:r>
      <w:r w:rsidRPr="00B14011">
        <w:rPr>
          <w:sz w:val="20"/>
          <w:szCs w:val="20"/>
        </w:rPr>
        <w:t xml:space="preserve"> Women </w:t>
      </w:r>
      <w:r w:rsidRPr="00B14011">
        <w:rPr>
          <w:sz w:val="20"/>
          <w:szCs w:val="20"/>
        </w:rPr>
        <w:lastRenderedPageBreak/>
        <w:t>hold only 5.8 per cent of seats in the current Parliament, make up a majority of the country’s rapidly ageing population, and face cultural bias in accessing social welfare and security</w:t>
      </w:r>
      <w:r w:rsidR="00DD14BF" w:rsidRPr="00B14011">
        <w:rPr>
          <w:sz w:val="20"/>
          <w:szCs w:val="20"/>
        </w:rPr>
        <w:t xml:space="preserve"> linked to gender-based violence</w:t>
      </w:r>
      <w:r w:rsidRPr="00B14011">
        <w:rPr>
          <w:sz w:val="20"/>
          <w:szCs w:val="20"/>
        </w:rPr>
        <w:t>.</w:t>
      </w:r>
      <w:r w:rsidRPr="005A3BE4">
        <w:rPr>
          <w:rStyle w:val="FootnoteReference"/>
          <w:sz w:val="16"/>
          <w:szCs w:val="16"/>
        </w:rPr>
        <w:footnoteReference w:id="15"/>
      </w:r>
      <w:r w:rsidRPr="00B14011">
        <w:rPr>
          <w:sz w:val="20"/>
          <w:szCs w:val="20"/>
        </w:rPr>
        <w:t xml:space="preserve"> </w:t>
      </w:r>
      <w:r w:rsidRPr="00B14011">
        <w:rPr>
          <w:rFonts w:eastAsia="Calibri"/>
          <w:sz w:val="20"/>
          <w:szCs w:val="20"/>
        </w:rPr>
        <w:t>While overall unemployment in 2015 was 4.7 per</w:t>
      </w:r>
      <w:r w:rsidR="00BB7D32">
        <w:rPr>
          <w:rFonts w:eastAsia="Calibri"/>
          <w:sz w:val="20"/>
          <w:szCs w:val="20"/>
        </w:rPr>
        <w:t xml:space="preserve"> </w:t>
      </w:r>
      <w:r w:rsidRPr="00B14011">
        <w:rPr>
          <w:rFonts w:eastAsia="Calibri"/>
          <w:sz w:val="20"/>
          <w:szCs w:val="20"/>
        </w:rPr>
        <w:t>cent, youth unemployment (15</w:t>
      </w:r>
      <w:r w:rsidR="00BB7D32">
        <w:rPr>
          <w:rFonts w:eastAsia="Calibri"/>
          <w:sz w:val="20"/>
          <w:szCs w:val="20"/>
        </w:rPr>
        <w:t xml:space="preserve"> to </w:t>
      </w:r>
      <w:r w:rsidRPr="00B14011">
        <w:rPr>
          <w:rFonts w:eastAsia="Calibri"/>
          <w:sz w:val="20"/>
          <w:szCs w:val="20"/>
        </w:rPr>
        <w:t>24 years) was high at 20.8 per</w:t>
      </w:r>
      <w:r w:rsidR="00BB7D32">
        <w:rPr>
          <w:rFonts w:eastAsia="Calibri"/>
          <w:sz w:val="20"/>
          <w:szCs w:val="20"/>
        </w:rPr>
        <w:t xml:space="preserve"> </w:t>
      </w:r>
      <w:r w:rsidRPr="00B14011">
        <w:rPr>
          <w:rFonts w:eastAsia="Calibri"/>
          <w:sz w:val="20"/>
          <w:szCs w:val="20"/>
        </w:rPr>
        <w:t>cent as of 2015,</w:t>
      </w:r>
      <w:r w:rsidRPr="00B14011">
        <w:rPr>
          <w:rStyle w:val="FootnoteReference"/>
          <w:rFonts w:eastAsia="Calibri"/>
          <w:szCs w:val="20"/>
        </w:rPr>
        <w:footnoteReference w:id="16"/>
      </w:r>
      <w:r w:rsidRPr="00B14011">
        <w:rPr>
          <w:rFonts w:eastAsia="Calibri"/>
          <w:sz w:val="20"/>
          <w:szCs w:val="20"/>
        </w:rPr>
        <w:t xml:space="preserve"> and youth are increasingly disengaging from civic, political and social activities, linked in part to a disconnect between aspirations, education quality and job opportunities</w:t>
      </w:r>
      <w:r w:rsidRPr="00B14011">
        <w:rPr>
          <w:sz w:val="20"/>
          <w:szCs w:val="20"/>
        </w:rPr>
        <w:t>.</w:t>
      </w:r>
    </w:p>
    <w:p w14:paraId="27345DCB" w14:textId="484AC7C8" w:rsidR="00187EF8" w:rsidRPr="00B14011" w:rsidRDefault="00EE5A38" w:rsidP="008B6648">
      <w:pPr>
        <w:pStyle w:val="ListParagraph"/>
        <w:numPr>
          <w:ilvl w:val="0"/>
          <w:numId w:val="3"/>
        </w:numPr>
        <w:tabs>
          <w:tab w:val="left" w:pos="1080"/>
        </w:tabs>
        <w:spacing w:after="120"/>
        <w:ind w:firstLine="0"/>
        <w:jc w:val="both"/>
        <w:rPr>
          <w:sz w:val="20"/>
          <w:szCs w:val="20"/>
        </w:rPr>
      </w:pPr>
      <w:r>
        <w:rPr>
          <w:sz w:val="20"/>
          <w:szCs w:val="20"/>
        </w:rPr>
        <w:t>T</w:t>
      </w:r>
      <w:r w:rsidR="00187EF8" w:rsidRPr="00B14011">
        <w:rPr>
          <w:sz w:val="20"/>
          <w:szCs w:val="20"/>
        </w:rPr>
        <w:t xml:space="preserve">o develop </w:t>
      </w:r>
      <w:r w:rsidR="004638F4" w:rsidRPr="00B14011">
        <w:rPr>
          <w:sz w:val="20"/>
          <w:szCs w:val="20"/>
        </w:rPr>
        <w:t xml:space="preserve">and implement </w:t>
      </w:r>
      <w:r w:rsidR="00187EF8" w:rsidRPr="00B14011">
        <w:rPr>
          <w:sz w:val="20"/>
          <w:szCs w:val="20"/>
        </w:rPr>
        <w:t xml:space="preserve">policies to mitigate the risk </w:t>
      </w:r>
      <w:r>
        <w:rPr>
          <w:sz w:val="20"/>
          <w:szCs w:val="20"/>
        </w:rPr>
        <w:t xml:space="preserve">of </w:t>
      </w:r>
      <w:r w:rsidR="00187EF8" w:rsidRPr="00B14011">
        <w:rPr>
          <w:sz w:val="20"/>
          <w:szCs w:val="20"/>
        </w:rPr>
        <w:t>these inequalities, public institutions need to address the underlying challenges posed by over-politicization and de-professionalization of the civil service rooted in a deep-seated patronage system.</w:t>
      </w:r>
      <w:r w:rsidR="00187EF8" w:rsidRPr="00B14011">
        <w:rPr>
          <w:rStyle w:val="FootnoteReference"/>
          <w:szCs w:val="20"/>
        </w:rPr>
        <w:footnoteReference w:id="17"/>
      </w:r>
      <w:r w:rsidR="00187EF8" w:rsidRPr="00B14011">
        <w:rPr>
          <w:sz w:val="20"/>
          <w:szCs w:val="20"/>
        </w:rPr>
        <w:t xml:space="preserve"> Institutional capacity gaps need to be addressed to establish the stability and professionalization required for inclusive long-term development planning and systematic reform. Political interference in many aspects of governance, including law enforcement, security and service delivery</w:t>
      </w:r>
      <w:r w:rsidR="008E6BB0">
        <w:rPr>
          <w:sz w:val="20"/>
          <w:szCs w:val="20"/>
        </w:rPr>
        <w:t>,</w:t>
      </w:r>
      <w:r w:rsidR="00187EF8" w:rsidRPr="00B14011">
        <w:rPr>
          <w:sz w:val="20"/>
          <w:szCs w:val="20"/>
        </w:rPr>
        <w:t xml:space="preserve"> need to be addressed </w:t>
      </w:r>
      <w:r>
        <w:rPr>
          <w:sz w:val="20"/>
          <w:szCs w:val="20"/>
        </w:rPr>
        <w:t xml:space="preserve">by </w:t>
      </w:r>
      <w:r w:rsidR="00187EF8" w:rsidRPr="00B14011">
        <w:rPr>
          <w:sz w:val="20"/>
          <w:szCs w:val="20"/>
        </w:rPr>
        <w:t>strengthening rule of law and responsiveness to citizens’ priorities. The justice system in part</w:t>
      </w:r>
      <w:r w:rsidR="009C1C20" w:rsidRPr="00B14011">
        <w:rPr>
          <w:sz w:val="20"/>
          <w:szCs w:val="20"/>
        </w:rPr>
        <w:t xml:space="preserve">icular is in critical need of efficiency and effectiveness in its functioning, and independence in judicial appointments.  </w:t>
      </w:r>
    </w:p>
    <w:p w14:paraId="350879E8" w14:textId="65A527C0" w:rsidR="00187EF8" w:rsidRPr="00B14011" w:rsidRDefault="00187EF8" w:rsidP="008B6648">
      <w:pPr>
        <w:pStyle w:val="ListParagraph"/>
        <w:numPr>
          <w:ilvl w:val="0"/>
          <w:numId w:val="3"/>
        </w:numPr>
        <w:tabs>
          <w:tab w:val="left" w:pos="1080"/>
        </w:tabs>
        <w:spacing w:after="120"/>
        <w:ind w:firstLine="0"/>
        <w:jc w:val="both"/>
        <w:rPr>
          <w:sz w:val="20"/>
          <w:szCs w:val="20"/>
        </w:rPr>
      </w:pPr>
      <w:r w:rsidRPr="00B14011">
        <w:rPr>
          <w:sz w:val="20"/>
          <w:szCs w:val="20"/>
        </w:rPr>
        <w:t>Diminished effectiveness in service delivery resulting from proliferation of parallel and ad-hoc institutional arrangements need to be addressed through rationalization of mandates and jurisdictions of horizontal and vertical governance structures, improved coordination platforms, and strengthened capacities for policy planning, revenue generation and equitable service delivery to reduce regional disparities.</w:t>
      </w:r>
      <w:r w:rsidRPr="00B14011">
        <w:rPr>
          <w:rStyle w:val="FootnoteReference"/>
          <w:szCs w:val="20"/>
        </w:rPr>
        <w:footnoteReference w:id="18"/>
      </w:r>
      <w:r w:rsidRPr="00B14011">
        <w:rPr>
          <w:sz w:val="20"/>
          <w:szCs w:val="20"/>
        </w:rPr>
        <w:t xml:space="preserve"> The country’s commitment to improving the quality of governance heightens expectations and opportunities for civil society</w:t>
      </w:r>
      <w:r w:rsidR="00705352" w:rsidRPr="00B14011">
        <w:rPr>
          <w:sz w:val="20"/>
          <w:szCs w:val="20"/>
        </w:rPr>
        <w:t xml:space="preserve"> </w:t>
      </w:r>
      <w:r w:rsidRPr="00B14011">
        <w:rPr>
          <w:sz w:val="20"/>
          <w:szCs w:val="20"/>
        </w:rPr>
        <w:t>to play a</w:t>
      </w:r>
      <w:r w:rsidR="00B2680C">
        <w:rPr>
          <w:sz w:val="20"/>
          <w:szCs w:val="20"/>
        </w:rPr>
        <w:t xml:space="preserve"> </w:t>
      </w:r>
      <w:r w:rsidRPr="00B14011">
        <w:rPr>
          <w:sz w:val="20"/>
          <w:szCs w:val="20"/>
        </w:rPr>
        <w:t>more active role in development processes. This will require an enabling environment with the funding and space to allow civil society to engage the public and government institutions more substantively and build collaborative networks.</w:t>
      </w:r>
    </w:p>
    <w:p w14:paraId="34B4AD23" w14:textId="4513A8A9" w:rsidR="00187EF8" w:rsidRPr="00B14011" w:rsidRDefault="00187EF8" w:rsidP="008B6648">
      <w:pPr>
        <w:pStyle w:val="ListParagraph"/>
        <w:numPr>
          <w:ilvl w:val="0"/>
          <w:numId w:val="3"/>
        </w:numPr>
        <w:tabs>
          <w:tab w:val="left" w:pos="1080"/>
        </w:tabs>
        <w:spacing w:after="120"/>
        <w:ind w:firstLine="0"/>
        <w:jc w:val="both"/>
        <w:rPr>
          <w:sz w:val="20"/>
          <w:szCs w:val="20"/>
        </w:rPr>
      </w:pPr>
      <w:r w:rsidRPr="00B14011">
        <w:rPr>
          <w:sz w:val="20"/>
          <w:szCs w:val="20"/>
        </w:rPr>
        <w:t>Addressing the impact of climate change is critical to addressing inequalities and vulnerability</w:t>
      </w:r>
      <w:r w:rsidR="00ED4409" w:rsidRPr="00B14011">
        <w:rPr>
          <w:sz w:val="20"/>
          <w:szCs w:val="20"/>
        </w:rPr>
        <w:t xml:space="preserve">, </w:t>
      </w:r>
      <w:r w:rsidR="00B2680C">
        <w:rPr>
          <w:sz w:val="20"/>
          <w:szCs w:val="20"/>
        </w:rPr>
        <w:t xml:space="preserve">and </w:t>
      </w:r>
      <w:r w:rsidR="00ED4409" w:rsidRPr="00B14011">
        <w:rPr>
          <w:sz w:val="20"/>
          <w:szCs w:val="20"/>
        </w:rPr>
        <w:t>sustaining peace</w:t>
      </w:r>
      <w:r w:rsidRPr="00B14011">
        <w:rPr>
          <w:sz w:val="20"/>
          <w:szCs w:val="20"/>
        </w:rPr>
        <w:t>. Some of the poorest regions in the North, East, Uva Province and estate sector correspond to the regions least resilient to climate change, more prone to food insecurity</w:t>
      </w:r>
      <w:r w:rsidR="00EE5F56" w:rsidRPr="00B14011">
        <w:rPr>
          <w:sz w:val="20"/>
          <w:szCs w:val="20"/>
        </w:rPr>
        <w:t xml:space="preserve"> and where women </w:t>
      </w:r>
      <w:r w:rsidR="00DA59C2" w:rsidRPr="00B14011">
        <w:rPr>
          <w:sz w:val="20"/>
          <w:szCs w:val="20"/>
        </w:rPr>
        <w:t>bear greater responsibility for water management for subsistence agriculture</w:t>
      </w:r>
      <w:r w:rsidRPr="00B14011">
        <w:rPr>
          <w:sz w:val="20"/>
          <w:szCs w:val="20"/>
        </w:rPr>
        <w:t>.</w:t>
      </w:r>
      <w:r w:rsidRPr="00B14011">
        <w:rPr>
          <w:rStyle w:val="FootnoteReference"/>
          <w:szCs w:val="20"/>
        </w:rPr>
        <w:footnoteReference w:id="19"/>
      </w:r>
      <w:r w:rsidRPr="00B14011">
        <w:rPr>
          <w:sz w:val="20"/>
          <w:szCs w:val="20"/>
        </w:rPr>
        <w:t xml:space="preserve"> To build resilience</w:t>
      </w:r>
      <w:r w:rsidR="00A60EB2" w:rsidRPr="00B14011">
        <w:rPr>
          <w:sz w:val="20"/>
          <w:szCs w:val="20"/>
        </w:rPr>
        <w:t>,</w:t>
      </w:r>
      <w:r w:rsidRPr="00B14011">
        <w:rPr>
          <w:sz w:val="20"/>
          <w:szCs w:val="20"/>
        </w:rPr>
        <w:t xml:space="preserve"> farmers require more information about climate impacts, more support on how to diversify livelihoods and improved market access. Weak natural resource management has reduced the country’s forest cover by 25 per cent since the 1990s</w:t>
      </w:r>
      <w:r w:rsidR="00B2680C">
        <w:rPr>
          <w:sz w:val="20"/>
          <w:szCs w:val="20"/>
        </w:rPr>
        <w:t>,</w:t>
      </w:r>
      <w:r w:rsidRPr="00B14011">
        <w:rPr>
          <w:sz w:val="20"/>
          <w:szCs w:val="20"/>
        </w:rPr>
        <w:t xml:space="preserve"> </w:t>
      </w:r>
      <w:r w:rsidR="00B2680C">
        <w:rPr>
          <w:sz w:val="20"/>
          <w:szCs w:val="20"/>
        </w:rPr>
        <w:t xml:space="preserve">owing </w:t>
      </w:r>
      <w:r w:rsidRPr="00B14011">
        <w:rPr>
          <w:sz w:val="20"/>
          <w:szCs w:val="20"/>
        </w:rPr>
        <w:t xml:space="preserve">to illegal settlements, commercial agriculture and infrastructure projects. </w:t>
      </w:r>
      <w:r w:rsidR="003C1685" w:rsidRPr="00B14011">
        <w:rPr>
          <w:sz w:val="20"/>
          <w:szCs w:val="20"/>
        </w:rPr>
        <w:t>The number of people affected annually by climate-related hazards increased from 400,000 in 1990 to 750,000 in 2013,</w:t>
      </w:r>
      <w:r w:rsidR="003C1685" w:rsidRPr="00B14011">
        <w:rPr>
          <w:rStyle w:val="FootnoteReference"/>
          <w:szCs w:val="20"/>
        </w:rPr>
        <w:footnoteReference w:id="20"/>
      </w:r>
      <w:r w:rsidR="003C1685" w:rsidRPr="00B14011">
        <w:rPr>
          <w:sz w:val="20"/>
          <w:szCs w:val="20"/>
        </w:rPr>
        <w:t xml:space="preserve"> and the long-term impacts of climate change could result in GDP losses of 1.2 per cent per year by 2050.</w:t>
      </w:r>
      <w:r w:rsidR="003C1685" w:rsidRPr="00B14011">
        <w:rPr>
          <w:rStyle w:val="FootnoteReference"/>
          <w:szCs w:val="20"/>
        </w:rPr>
        <w:footnoteReference w:id="21"/>
      </w:r>
      <w:r w:rsidR="003C1685" w:rsidRPr="00B14011">
        <w:rPr>
          <w:sz w:val="20"/>
          <w:szCs w:val="20"/>
        </w:rPr>
        <w:t xml:space="preserve"> </w:t>
      </w:r>
      <w:r w:rsidR="00A21E42" w:rsidRPr="00B14011">
        <w:rPr>
          <w:sz w:val="20"/>
          <w:szCs w:val="20"/>
        </w:rPr>
        <w:t>Ensuring equitable access to natural resources</w:t>
      </w:r>
      <w:r w:rsidR="00B43CFE">
        <w:rPr>
          <w:sz w:val="20"/>
          <w:szCs w:val="20"/>
        </w:rPr>
        <w:t>,</w:t>
      </w:r>
      <w:r w:rsidR="00A21E42" w:rsidRPr="00B14011">
        <w:rPr>
          <w:sz w:val="20"/>
          <w:szCs w:val="20"/>
        </w:rPr>
        <w:t xml:space="preserve"> </w:t>
      </w:r>
      <w:r w:rsidR="003C1685" w:rsidRPr="00B14011">
        <w:rPr>
          <w:sz w:val="20"/>
          <w:szCs w:val="20"/>
        </w:rPr>
        <w:t>in light of such land, population and climate pressures</w:t>
      </w:r>
      <w:r w:rsidR="00B43CFE">
        <w:rPr>
          <w:sz w:val="20"/>
          <w:szCs w:val="20"/>
        </w:rPr>
        <w:t>,</w:t>
      </w:r>
      <w:r w:rsidR="003C1685" w:rsidRPr="00B14011">
        <w:rPr>
          <w:sz w:val="20"/>
          <w:szCs w:val="20"/>
        </w:rPr>
        <w:t xml:space="preserve"> will help </w:t>
      </w:r>
      <w:r w:rsidR="00B43CFE">
        <w:rPr>
          <w:sz w:val="20"/>
          <w:szCs w:val="20"/>
        </w:rPr>
        <w:t xml:space="preserve">to </w:t>
      </w:r>
      <w:r w:rsidR="003C1685" w:rsidRPr="00B14011">
        <w:rPr>
          <w:sz w:val="20"/>
          <w:szCs w:val="20"/>
        </w:rPr>
        <w:t xml:space="preserve">reduce conflict risk. </w:t>
      </w:r>
      <w:r w:rsidRPr="00B14011">
        <w:rPr>
          <w:sz w:val="20"/>
          <w:szCs w:val="20"/>
        </w:rPr>
        <w:t>Improved natural resource management require</w:t>
      </w:r>
      <w:r w:rsidR="00B43CFE">
        <w:rPr>
          <w:sz w:val="20"/>
          <w:szCs w:val="20"/>
        </w:rPr>
        <w:t>s</w:t>
      </w:r>
      <w:r w:rsidRPr="00B14011">
        <w:rPr>
          <w:sz w:val="20"/>
          <w:szCs w:val="20"/>
        </w:rPr>
        <w:t xml:space="preserve"> more effective oversight and enforcement mechanisms, </w:t>
      </w:r>
      <w:r w:rsidR="008A64C4" w:rsidRPr="00B14011">
        <w:rPr>
          <w:sz w:val="20"/>
          <w:szCs w:val="20"/>
        </w:rPr>
        <w:t xml:space="preserve">which increasingly involve the </w:t>
      </w:r>
      <w:r w:rsidRPr="00B14011">
        <w:rPr>
          <w:sz w:val="20"/>
          <w:szCs w:val="20"/>
        </w:rPr>
        <w:t>public and civil society. Reducing climate and disaster risk require addressing overlapping institutional mandates, capacity gaps and integrating environmental, climate and disaster considerations into development planning.</w:t>
      </w:r>
    </w:p>
    <w:p w14:paraId="79FBF931" w14:textId="3B026018" w:rsidR="00187EF8" w:rsidRPr="00B14011" w:rsidRDefault="00187EF8" w:rsidP="008B6648">
      <w:pPr>
        <w:pStyle w:val="ListParagraph"/>
        <w:numPr>
          <w:ilvl w:val="0"/>
          <w:numId w:val="3"/>
        </w:numPr>
        <w:tabs>
          <w:tab w:val="left" w:pos="1080"/>
        </w:tabs>
        <w:spacing w:after="120"/>
        <w:ind w:firstLine="0"/>
        <w:jc w:val="both"/>
        <w:rPr>
          <w:sz w:val="20"/>
          <w:szCs w:val="20"/>
        </w:rPr>
      </w:pPr>
      <w:r w:rsidRPr="00B14011">
        <w:rPr>
          <w:sz w:val="20"/>
          <w:szCs w:val="20"/>
        </w:rPr>
        <w:t>Underpinning Sri Lanka’s development challenges is the lack of quality disaggregated data</w:t>
      </w:r>
      <w:r w:rsidR="008956E7" w:rsidRPr="00B14011">
        <w:rPr>
          <w:sz w:val="20"/>
          <w:szCs w:val="20"/>
        </w:rPr>
        <w:t>,</w:t>
      </w:r>
      <w:r w:rsidRPr="00B14011">
        <w:rPr>
          <w:sz w:val="20"/>
          <w:szCs w:val="20"/>
        </w:rPr>
        <w:t xml:space="preserve"> which </w:t>
      </w:r>
      <w:r w:rsidR="00B43CFE">
        <w:rPr>
          <w:sz w:val="20"/>
          <w:szCs w:val="20"/>
        </w:rPr>
        <w:t xml:space="preserve">is </w:t>
      </w:r>
      <w:r w:rsidRPr="00B14011">
        <w:rPr>
          <w:sz w:val="20"/>
          <w:szCs w:val="20"/>
        </w:rPr>
        <w:t xml:space="preserve">necessary to better target government programmes within the country’s fiscal constraints. </w:t>
      </w:r>
      <w:r w:rsidR="00E81B9E" w:rsidRPr="00B14011">
        <w:rPr>
          <w:sz w:val="20"/>
          <w:szCs w:val="20"/>
        </w:rPr>
        <w:t>More challenging</w:t>
      </w:r>
      <w:r w:rsidRPr="00B14011">
        <w:rPr>
          <w:sz w:val="20"/>
          <w:szCs w:val="20"/>
        </w:rPr>
        <w:t xml:space="preserve"> will be to change the underlying institutional culture regarding data use to more systematically utilize data for planning and addressing multi-dimensional challenges. This will require not only strengthened capacities in relevant institutions, but also developing new</w:t>
      </w:r>
      <w:r w:rsidR="00B43CFE">
        <w:rPr>
          <w:sz w:val="20"/>
          <w:szCs w:val="20"/>
        </w:rPr>
        <w:t xml:space="preserve">, </w:t>
      </w:r>
      <w:r w:rsidRPr="00B14011">
        <w:rPr>
          <w:sz w:val="20"/>
          <w:szCs w:val="20"/>
        </w:rPr>
        <w:t>innovative methods for data collection and demonstrating the value of evidence-based policymaking.</w:t>
      </w:r>
    </w:p>
    <w:p w14:paraId="0BF88802" w14:textId="36356692" w:rsidR="00187EF8" w:rsidRPr="00B14011" w:rsidRDefault="00187EF8" w:rsidP="008B6648">
      <w:pPr>
        <w:pStyle w:val="ListParagraph"/>
        <w:numPr>
          <w:ilvl w:val="0"/>
          <w:numId w:val="3"/>
        </w:numPr>
        <w:tabs>
          <w:tab w:val="left" w:pos="1080"/>
        </w:tabs>
        <w:spacing w:after="120"/>
        <w:ind w:firstLine="0"/>
        <w:jc w:val="both"/>
        <w:rPr>
          <w:sz w:val="20"/>
          <w:szCs w:val="20"/>
        </w:rPr>
      </w:pPr>
      <w:r w:rsidRPr="00B14011">
        <w:rPr>
          <w:sz w:val="20"/>
          <w:szCs w:val="20"/>
        </w:rPr>
        <w:lastRenderedPageBreak/>
        <w:t xml:space="preserve">UNDP contributions in preceding programme cycles position it to contribute more strategically to the </w:t>
      </w:r>
      <w:r w:rsidR="00B43CFE">
        <w:rPr>
          <w:sz w:val="20"/>
          <w:szCs w:val="20"/>
        </w:rPr>
        <w:t>G</w:t>
      </w:r>
      <w:r w:rsidRPr="00B14011">
        <w:rPr>
          <w:sz w:val="20"/>
          <w:szCs w:val="20"/>
        </w:rPr>
        <w:t xml:space="preserve">overnment’s reform agenda </w:t>
      </w:r>
      <w:r w:rsidR="00BF333A" w:rsidRPr="00B14011">
        <w:rPr>
          <w:sz w:val="20"/>
          <w:szCs w:val="20"/>
        </w:rPr>
        <w:t xml:space="preserve">and </w:t>
      </w:r>
      <w:r w:rsidR="008A64C4" w:rsidRPr="00B14011">
        <w:rPr>
          <w:sz w:val="20"/>
          <w:szCs w:val="20"/>
        </w:rPr>
        <w:t>SDG attainment</w:t>
      </w:r>
      <w:r w:rsidRPr="00B14011">
        <w:rPr>
          <w:sz w:val="20"/>
          <w:szCs w:val="20"/>
        </w:rPr>
        <w:t>.</w:t>
      </w:r>
      <w:r w:rsidRPr="00B14011">
        <w:rPr>
          <w:rStyle w:val="CommentReference"/>
        </w:rPr>
        <w:t xml:space="preserve"> </w:t>
      </w:r>
      <w:r w:rsidR="007A5AC2" w:rsidRPr="00B14011">
        <w:rPr>
          <w:rStyle w:val="CommentReference"/>
          <w:sz w:val="20"/>
          <w:szCs w:val="20"/>
        </w:rPr>
        <w:t xml:space="preserve"> At the policy level, </w:t>
      </w:r>
      <w:r w:rsidRPr="00B14011">
        <w:rPr>
          <w:sz w:val="20"/>
          <w:szCs w:val="20"/>
        </w:rPr>
        <w:t xml:space="preserve">UNDP contributed technical support to the development of the </w:t>
      </w:r>
      <w:r w:rsidR="00B43CFE">
        <w:rPr>
          <w:sz w:val="20"/>
          <w:szCs w:val="20"/>
        </w:rPr>
        <w:t>p</w:t>
      </w:r>
      <w:r w:rsidRPr="00B14011">
        <w:rPr>
          <w:sz w:val="20"/>
          <w:szCs w:val="20"/>
        </w:rPr>
        <w:t xml:space="preserve">eacebuilding </w:t>
      </w:r>
      <w:r w:rsidR="00B43CFE">
        <w:rPr>
          <w:sz w:val="20"/>
          <w:szCs w:val="20"/>
        </w:rPr>
        <w:t>p</w:t>
      </w:r>
      <w:r w:rsidRPr="00B14011">
        <w:rPr>
          <w:sz w:val="20"/>
          <w:szCs w:val="20"/>
        </w:rPr>
        <w:t xml:space="preserve">riority </w:t>
      </w:r>
      <w:r w:rsidR="00B43CFE">
        <w:rPr>
          <w:sz w:val="20"/>
          <w:szCs w:val="20"/>
        </w:rPr>
        <w:t>p</w:t>
      </w:r>
      <w:r w:rsidRPr="00B14011">
        <w:rPr>
          <w:sz w:val="20"/>
          <w:szCs w:val="20"/>
        </w:rPr>
        <w:t>la</w:t>
      </w:r>
      <w:r w:rsidR="007A5AC2" w:rsidRPr="00B14011">
        <w:rPr>
          <w:sz w:val="20"/>
          <w:szCs w:val="20"/>
        </w:rPr>
        <w:t xml:space="preserve">n, </w:t>
      </w:r>
      <w:r w:rsidRPr="00B14011">
        <w:rPr>
          <w:sz w:val="20"/>
          <w:szCs w:val="20"/>
        </w:rPr>
        <w:t xml:space="preserve">the </w:t>
      </w:r>
      <w:r w:rsidR="00B43CFE">
        <w:rPr>
          <w:sz w:val="20"/>
          <w:szCs w:val="20"/>
        </w:rPr>
        <w:t>r</w:t>
      </w:r>
      <w:r w:rsidRPr="00B14011">
        <w:rPr>
          <w:sz w:val="20"/>
          <w:szCs w:val="20"/>
        </w:rPr>
        <w:t xml:space="preserve">ight to </w:t>
      </w:r>
      <w:r w:rsidR="00B43CFE">
        <w:rPr>
          <w:sz w:val="20"/>
          <w:szCs w:val="20"/>
        </w:rPr>
        <w:t>i</w:t>
      </w:r>
      <w:r w:rsidRPr="00B14011">
        <w:rPr>
          <w:sz w:val="20"/>
          <w:szCs w:val="20"/>
        </w:rPr>
        <w:t xml:space="preserve">nformation </w:t>
      </w:r>
      <w:r w:rsidR="00B43CFE">
        <w:rPr>
          <w:sz w:val="20"/>
          <w:szCs w:val="20"/>
        </w:rPr>
        <w:t>b</w:t>
      </w:r>
      <w:r w:rsidRPr="00B14011">
        <w:rPr>
          <w:sz w:val="20"/>
          <w:szCs w:val="20"/>
        </w:rPr>
        <w:t xml:space="preserve">ill, </w:t>
      </w:r>
      <w:r w:rsidR="00B43CFE">
        <w:rPr>
          <w:sz w:val="20"/>
          <w:szCs w:val="20"/>
        </w:rPr>
        <w:t>the n</w:t>
      </w:r>
      <w:r w:rsidR="007A5AC2" w:rsidRPr="00B14011">
        <w:rPr>
          <w:sz w:val="20"/>
          <w:szCs w:val="20"/>
        </w:rPr>
        <w:t xml:space="preserve">ational </w:t>
      </w:r>
      <w:r w:rsidR="00B43CFE">
        <w:rPr>
          <w:sz w:val="20"/>
          <w:szCs w:val="20"/>
        </w:rPr>
        <w:t>l</w:t>
      </w:r>
      <w:r w:rsidR="007A5AC2" w:rsidRPr="00B14011">
        <w:rPr>
          <w:sz w:val="20"/>
          <w:szCs w:val="20"/>
        </w:rPr>
        <w:t xml:space="preserve">egal </w:t>
      </w:r>
      <w:r w:rsidR="00B43CFE">
        <w:rPr>
          <w:sz w:val="20"/>
          <w:szCs w:val="20"/>
        </w:rPr>
        <w:t>a</w:t>
      </w:r>
      <w:r w:rsidR="007A5AC2" w:rsidRPr="00B14011">
        <w:rPr>
          <w:sz w:val="20"/>
          <w:szCs w:val="20"/>
        </w:rPr>
        <w:t xml:space="preserve">id </w:t>
      </w:r>
      <w:r w:rsidR="00B43CFE">
        <w:rPr>
          <w:sz w:val="20"/>
          <w:szCs w:val="20"/>
        </w:rPr>
        <w:t>p</w:t>
      </w:r>
      <w:r w:rsidR="007A5AC2" w:rsidRPr="00B14011">
        <w:rPr>
          <w:sz w:val="20"/>
          <w:szCs w:val="20"/>
        </w:rPr>
        <w:t>olicy</w:t>
      </w:r>
      <w:r w:rsidR="00B43CFE">
        <w:rPr>
          <w:sz w:val="20"/>
          <w:szCs w:val="20"/>
        </w:rPr>
        <w:t>, the n</w:t>
      </w:r>
      <w:r w:rsidR="007A5AC2" w:rsidRPr="00B14011">
        <w:rPr>
          <w:sz w:val="20"/>
          <w:szCs w:val="20"/>
        </w:rPr>
        <w:t xml:space="preserve">ational </w:t>
      </w:r>
      <w:r w:rsidR="00B43CFE">
        <w:rPr>
          <w:sz w:val="20"/>
          <w:szCs w:val="20"/>
        </w:rPr>
        <w:t>p</w:t>
      </w:r>
      <w:r w:rsidR="007A5AC2" w:rsidRPr="00B14011">
        <w:rPr>
          <w:sz w:val="20"/>
          <w:szCs w:val="20"/>
        </w:rPr>
        <w:t xml:space="preserve">lan of </w:t>
      </w:r>
      <w:r w:rsidR="00B43CFE">
        <w:rPr>
          <w:sz w:val="20"/>
          <w:szCs w:val="20"/>
        </w:rPr>
        <w:t>a</w:t>
      </w:r>
      <w:r w:rsidR="007A5AC2" w:rsidRPr="00B14011">
        <w:rPr>
          <w:sz w:val="20"/>
          <w:szCs w:val="20"/>
        </w:rPr>
        <w:t xml:space="preserve">ction to address sexual and gender-based violence, the </w:t>
      </w:r>
      <w:r w:rsidR="00B43CFE">
        <w:rPr>
          <w:sz w:val="20"/>
          <w:szCs w:val="20"/>
        </w:rPr>
        <w:t>n</w:t>
      </w:r>
      <w:r w:rsidR="007A5AC2" w:rsidRPr="00B14011">
        <w:rPr>
          <w:sz w:val="20"/>
          <w:szCs w:val="20"/>
        </w:rPr>
        <w:t xml:space="preserve">ational </w:t>
      </w:r>
      <w:r w:rsidR="00B43CFE">
        <w:rPr>
          <w:sz w:val="20"/>
          <w:szCs w:val="20"/>
        </w:rPr>
        <w:t>c</w:t>
      </w:r>
      <w:r w:rsidR="007A5AC2" w:rsidRPr="00B14011">
        <w:rPr>
          <w:sz w:val="20"/>
          <w:szCs w:val="20"/>
        </w:rPr>
        <w:t xml:space="preserve">omprehensive </w:t>
      </w:r>
      <w:r w:rsidR="00B43CFE">
        <w:rPr>
          <w:sz w:val="20"/>
          <w:szCs w:val="20"/>
        </w:rPr>
        <w:t>d</w:t>
      </w:r>
      <w:r w:rsidR="007A5AC2" w:rsidRPr="00B14011">
        <w:rPr>
          <w:sz w:val="20"/>
          <w:szCs w:val="20"/>
        </w:rPr>
        <w:t xml:space="preserve">isaster </w:t>
      </w:r>
      <w:r w:rsidR="00B43CFE">
        <w:rPr>
          <w:sz w:val="20"/>
          <w:szCs w:val="20"/>
        </w:rPr>
        <w:t>m</w:t>
      </w:r>
      <w:r w:rsidR="007A5AC2" w:rsidRPr="00B14011">
        <w:rPr>
          <w:sz w:val="20"/>
          <w:szCs w:val="20"/>
        </w:rPr>
        <w:t xml:space="preserve">anagement </w:t>
      </w:r>
      <w:r w:rsidR="00B43CFE">
        <w:rPr>
          <w:sz w:val="20"/>
          <w:szCs w:val="20"/>
        </w:rPr>
        <w:t>p</w:t>
      </w:r>
      <w:r w:rsidR="007A5AC2" w:rsidRPr="00B14011">
        <w:rPr>
          <w:sz w:val="20"/>
          <w:szCs w:val="20"/>
        </w:rPr>
        <w:t>rogramme</w:t>
      </w:r>
      <w:r w:rsidR="00814BD1" w:rsidRPr="00B14011">
        <w:rPr>
          <w:sz w:val="20"/>
          <w:szCs w:val="20"/>
        </w:rPr>
        <w:t xml:space="preserve"> </w:t>
      </w:r>
      <w:r w:rsidRPr="00B14011">
        <w:rPr>
          <w:sz w:val="20"/>
          <w:szCs w:val="20"/>
        </w:rPr>
        <w:t xml:space="preserve">and strengthened </w:t>
      </w:r>
      <w:r w:rsidR="00CC19A4" w:rsidRPr="00B14011">
        <w:rPr>
          <w:sz w:val="20"/>
          <w:szCs w:val="20"/>
        </w:rPr>
        <w:t xml:space="preserve">monitoring and oversight capacities of </w:t>
      </w:r>
      <w:r w:rsidRPr="00B14011">
        <w:rPr>
          <w:sz w:val="20"/>
          <w:szCs w:val="20"/>
        </w:rPr>
        <w:t>the National Human Rights Commission</w:t>
      </w:r>
      <w:r w:rsidRPr="00B14011">
        <w:rPr>
          <w:rStyle w:val="s1"/>
          <w:sz w:val="20"/>
          <w:szCs w:val="20"/>
        </w:rPr>
        <w:t xml:space="preserve">. </w:t>
      </w:r>
      <w:r w:rsidR="00814BD1" w:rsidRPr="00B14011">
        <w:rPr>
          <w:sz w:val="20"/>
          <w:szCs w:val="20"/>
        </w:rPr>
        <w:t xml:space="preserve">At the subnational level, UNDP has </w:t>
      </w:r>
      <w:r w:rsidR="00041EDD" w:rsidRPr="00B14011">
        <w:rPr>
          <w:sz w:val="20"/>
          <w:szCs w:val="20"/>
        </w:rPr>
        <w:t xml:space="preserve">worked with </w:t>
      </w:r>
      <w:r w:rsidR="00814BD1" w:rsidRPr="00B14011">
        <w:rPr>
          <w:sz w:val="20"/>
          <w:szCs w:val="20"/>
        </w:rPr>
        <w:t xml:space="preserve">22 of 25 districts </w:t>
      </w:r>
      <w:r w:rsidR="00041EDD" w:rsidRPr="00B14011">
        <w:rPr>
          <w:sz w:val="20"/>
          <w:szCs w:val="20"/>
        </w:rPr>
        <w:t xml:space="preserve">to support </w:t>
      </w:r>
      <w:r w:rsidR="00814BD1" w:rsidRPr="00B14011">
        <w:rPr>
          <w:sz w:val="20"/>
          <w:szCs w:val="20"/>
        </w:rPr>
        <w:t xml:space="preserve">development planning and service delivery, </w:t>
      </w:r>
      <w:r w:rsidR="00041EDD" w:rsidRPr="00B14011">
        <w:rPr>
          <w:sz w:val="20"/>
          <w:szCs w:val="20"/>
        </w:rPr>
        <w:t xml:space="preserve">and </w:t>
      </w:r>
      <w:r w:rsidR="00814BD1" w:rsidRPr="00B14011">
        <w:rPr>
          <w:sz w:val="20"/>
          <w:szCs w:val="20"/>
        </w:rPr>
        <w:t>pilot local economic development initiatives reaching approximately 100,000 people in conflict affected areas.</w:t>
      </w:r>
      <w:r w:rsidR="00814BD1" w:rsidRPr="00B14011">
        <w:rPr>
          <w:rStyle w:val="FootnoteReference"/>
        </w:rPr>
        <w:footnoteReference w:id="22"/>
      </w:r>
      <w:r w:rsidR="00814BD1" w:rsidRPr="00B14011">
        <w:rPr>
          <w:sz w:val="20"/>
          <w:szCs w:val="20"/>
        </w:rPr>
        <w:t xml:space="preserve"> UNDP facilitate</w:t>
      </w:r>
      <w:r w:rsidR="00EB408C">
        <w:rPr>
          <w:sz w:val="20"/>
          <w:szCs w:val="20"/>
        </w:rPr>
        <w:t>d</w:t>
      </w:r>
      <w:r w:rsidR="00814BD1" w:rsidRPr="00B14011">
        <w:rPr>
          <w:sz w:val="20"/>
          <w:szCs w:val="20"/>
        </w:rPr>
        <w:t xml:space="preserve"> a more substantive role for civil society in the development of the national policies, </w:t>
      </w:r>
      <w:r w:rsidR="00EB408C">
        <w:rPr>
          <w:sz w:val="20"/>
          <w:szCs w:val="20"/>
        </w:rPr>
        <w:t xml:space="preserve">and in </w:t>
      </w:r>
      <w:r w:rsidR="00E104DD" w:rsidRPr="00B14011">
        <w:rPr>
          <w:sz w:val="20"/>
          <w:szCs w:val="20"/>
        </w:rPr>
        <w:t>brokering a partnership between civil society, government and the private sector in organizing Sri Lanka’s first National Summit on Foresight and Innovation for Sustainable Human Development.</w:t>
      </w:r>
    </w:p>
    <w:p w14:paraId="2D55C357" w14:textId="1DEB57F2" w:rsidR="00187EF8" w:rsidRPr="00B14011" w:rsidRDefault="00187EF8" w:rsidP="008B6648">
      <w:pPr>
        <w:pStyle w:val="ListParagraph"/>
        <w:numPr>
          <w:ilvl w:val="0"/>
          <w:numId w:val="3"/>
        </w:numPr>
        <w:tabs>
          <w:tab w:val="left" w:pos="1080"/>
        </w:tabs>
        <w:spacing w:after="120"/>
        <w:ind w:firstLine="0"/>
        <w:jc w:val="both"/>
        <w:rPr>
          <w:sz w:val="20"/>
          <w:szCs w:val="20"/>
        </w:rPr>
      </w:pPr>
      <w:r w:rsidRPr="00B14011">
        <w:rPr>
          <w:sz w:val="20"/>
          <w:szCs w:val="20"/>
        </w:rPr>
        <w:t xml:space="preserve">These contributions </w:t>
      </w:r>
      <w:r w:rsidR="009B73E4" w:rsidRPr="00B14011">
        <w:rPr>
          <w:sz w:val="20"/>
          <w:szCs w:val="20"/>
        </w:rPr>
        <w:t xml:space="preserve">have </w:t>
      </w:r>
      <w:r w:rsidR="005468D6" w:rsidRPr="00B14011">
        <w:rPr>
          <w:sz w:val="20"/>
          <w:szCs w:val="20"/>
        </w:rPr>
        <w:t>established</w:t>
      </w:r>
      <w:r w:rsidR="005567F6" w:rsidRPr="00B14011">
        <w:rPr>
          <w:sz w:val="20"/>
          <w:szCs w:val="20"/>
        </w:rPr>
        <w:t xml:space="preserve"> a clear comparative advantage for </w:t>
      </w:r>
      <w:r w:rsidRPr="00B14011">
        <w:rPr>
          <w:sz w:val="20"/>
          <w:szCs w:val="20"/>
        </w:rPr>
        <w:t xml:space="preserve">UNDP </w:t>
      </w:r>
      <w:r w:rsidR="005567F6" w:rsidRPr="00B14011">
        <w:rPr>
          <w:sz w:val="20"/>
          <w:szCs w:val="20"/>
        </w:rPr>
        <w:t>to</w:t>
      </w:r>
      <w:r w:rsidRPr="00B14011">
        <w:rPr>
          <w:sz w:val="20"/>
          <w:szCs w:val="20"/>
        </w:rPr>
        <w:t xml:space="preserve"> </w:t>
      </w:r>
      <w:r w:rsidR="007509B7" w:rsidRPr="00B14011">
        <w:rPr>
          <w:sz w:val="20"/>
          <w:szCs w:val="20"/>
        </w:rPr>
        <w:t xml:space="preserve">deliver system-level interventions in </w:t>
      </w:r>
      <w:r w:rsidRPr="00B14011">
        <w:rPr>
          <w:sz w:val="20"/>
          <w:szCs w:val="20"/>
        </w:rPr>
        <w:t>suppor</w:t>
      </w:r>
      <w:r w:rsidR="007509B7" w:rsidRPr="00B14011">
        <w:rPr>
          <w:sz w:val="20"/>
          <w:szCs w:val="20"/>
        </w:rPr>
        <w:t>t of</w:t>
      </w:r>
      <w:r w:rsidRPr="00B14011">
        <w:rPr>
          <w:sz w:val="20"/>
          <w:szCs w:val="20"/>
        </w:rPr>
        <w:t xml:space="preserve"> Sri Lanka’s national 2030 Agenda. </w:t>
      </w:r>
      <w:r w:rsidR="009B73E4" w:rsidRPr="00B14011">
        <w:rPr>
          <w:sz w:val="20"/>
          <w:szCs w:val="20"/>
        </w:rPr>
        <w:t>As t</w:t>
      </w:r>
      <w:r w:rsidRPr="00B14011">
        <w:rPr>
          <w:sz w:val="20"/>
          <w:szCs w:val="20"/>
        </w:rPr>
        <w:t>he independent mid-term review of the country programme</w:t>
      </w:r>
      <w:r w:rsidR="00EB408C" w:rsidRPr="00EB408C">
        <w:rPr>
          <w:sz w:val="20"/>
          <w:szCs w:val="20"/>
        </w:rPr>
        <w:t xml:space="preserve"> </w:t>
      </w:r>
      <w:r w:rsidR="00EB408C" w:rsidRPr="00B14011">
        <w:rPr>
          <w:sz w:val="20"/>
          <w:szCs w:val="20"/>
        </w:rPr>
        <w:t>notes,</w:t>
      </w:r>
      <w:r w:rsidRPr="00B14011">
        <w:rPr>
          <w:rStyle w:val="FootnoteReference"/>
        </w:rPr>
        <w:footnoteReference w:id="23"/>
      </w:r>
      <w:r w:rsidRPr="00B14011">
        <w:rPr>
          <w:sz w:val="20"/>
          <w:szCs w:val="20"/>
        </w:rPr>
        <w:t xml:space="preserve"> UNDP </w:t>
      </w:r>
      <w:r w:rsidRPr="00B14011">
        <w:rPr>
          <w:i/>
          <w:sz w:val="20"/>
          <w:szCs w:val="20"/>
        </w:rPr>
        <w:t>convening power</w:t>
      </w:r>
      <w:r w:rsidRPr="00B14011">
        <w:rPr>
          <w:sz w:val="20"/>
          <w:szCs w:val="20"/>
        </w:rPr>
        <w:t xml:space="preserve"> </w:t>
      </w:r>
      <w:r w:rsidR="009B73E4" w:rsidRPr="00B14011">
        <w:rPr>
          <w:sz w:val="20"/>
          <w:szCs w:val="20"/>
        </w:rPr>
        <w:t>allow</w:t>
      </w:r>
      <w:r w:rsidR="007509B7" w:rsidRPr="00B14011">
        <w:rPr>
          <w:sz w:val="20"/>
          <w:szCs w:val="20"/>
        </w:rPr>
        <w:t>ed</w:t>
      </w:r>
      <w:r w:rsidRPr="00B14011">
        <w:rPr>
          <w:sz w:val="20"/>
          <w:szCs w:val="20"/>
        </w:rPr>
        <w:t xml:space="preserve"> it to function as an impartial, high-level mediator of debate on national priority issues in a dynamic political context</w:t>
      </w:r>
      <w:r w:rsidR="004409E8">
        <w:rPr>
          <w:sz w:val="20"/>
          <w:szCs w:val="20"/>
        </w:rPr>
        <w:t>.</w:t>
      </w:r>
      <w:r w:rsidR="009C63FD">
        <w:rPr>
          <w:sz w:val="20"/>
          <w:szCs w:val="20"/>
        </w:rPr>
        <w:t xml:space="preserve"> </w:t>
      </w:r>
      <w:r w:rsidRPr="00B14011">
        <w:rPr>
          <w:sz w:val="20"/>
          <w:szCs w:val="20"/>
        </w:rPr>
        <w:t xml:space="preserve">The networks UNDP has </w:t>
      </w:r>
      <w:r w:rsidR="007509B7" w:rsidRPr="00B14011">
        <w:rPr>
          <w:sz w:val="20"/>
          <w:szCs w:val="20"/>
        </w:rPr>
        <w:t>built</w:t>
      </w:r>
      <w:r w:rsidRPr="00B14011">
        <w:rPr>
          <w:sz w:val="20"/>
          <w:szCs w:val="20"/>
        </w:rPr>
        <w:t xml:space="preserve"> between state actors, civil society</w:t>
      </w:r>
      <w:r w:rsidR="00E81B9E" w:rsidRPr="00B14011">
        <w:rPr>
          <w:sz w:val="20"/>
          <w:szCs w:val="20"/>
        </w:rPr>
        <w:t>, youth and the private sector</w:t>
      </w:r>
      <w:r w:rsidRPr="00B14011">
        <w:rPr>
          <w:sz w:val="20"/>
          <w:szCs w:val="20"/>
        </w:rPr>
        <w:t xml:space="preserve"> allowed it to function as a </w:t>
      </w:r>
      <w:r w:rsidRPr="00B14011">
        <w:rPr>
          <w:i/>
          <w:sz w:val="20"/>
          <w:szCs w:val="20"/>
        </w:rPr>
        <w:t>connector</w:t>
      </w:r>
      <w:r w:rsidRPr="00B14011">
        <w:rPr>
          <w:sz w:val="20"/>
          <w:szCs w:val="20"/>
        </w:rPr>
        <w:t xml:space="preserve"> to promote more participatory</w:t>
      </w:r>
      <w:r w:rsidR="00EB408C">
        <w:rPr>
          <w:sz w:val="20"/>
          <w:szCs w:val="20"/>
        </w:rPr>
        <w:t xml:space="preserve">, </w:t>
      </w:r>
      <w:r w:rsidRPr="00B14011">
        <w:rPr>
          <w:sz w:val="20"/>
          <w:szCs w:val="20"/>
        </w:rPr>
        <w:t xml:space="preserve">inclusive development processes. Finally, UNDP has functioned as a </w:t>
      </w:r>
      <w:r w:rsidRPr="00B14011">
        <w:rPr>
          <w:i/>
          <w:sz w:val="20"/>
          <w:szCs w:val="20"/>
        </w:rPr>
        <w:t>knowledge broker</w:t>
      </w:r>
      <w:r w:rsidRPr="00B14011">
        <w:rPr>
          <w:sz w:val="20"/>
          <w:szCs w:val="20"/>
        </w:rPr>
        <w:t xml:space="preserve">, drawing on its global network to bring technical expertise to bear on institutional capacity building and policy advisory services. </w:t>
      </w:r>
    </w:p>
    <w:p w14:paraId="2D7C8784" w14:textId="57703571" w:rsidR="00D80649" w:rsidRPr="00B14011" w:rsidRDefault="00187EF8" w:rsidP="00003F2F">
      <w:pPr>
        <w:pStyle w:val="ListParagraph"/>
        <w:numPr>
          <w:ilvl w:val="0"/>
          <w:numId w:val="3"/>
        </w:numPr>
        <w:tabs>
          <w:tab w:val="left" w:pos="1080"/>
        </w:tabs>
        <w:ind w:firstLine="0"/>
        <w:jc w:val="both"/>
        <w:rPr>
          <w:b/>
        </w:rPr>
      </w:pPr>
      <w:r w:rsidRPr="00B14011">
        <w:rPr>
          <w:sz w:val="20"/>
          <w:szCs w:val="20"/>
        </w:rPr>
        <w:t>At the same time, the mid-term review highlighted areas for improvement, including better targeting of intervention</w:t>
      </w:r>
      <w:r w:rsidR="00802465" w:rsidRPr="00B14011">
        <w:rPr>
          <w:sz w:val="20"/>
          <w:szCs w:val="20"/>
        </w:rPr>
        <w:t>s,</w:t>
      </w:r>
      <w:r w:rsidRPr="00B14011">
        <w:rPr>
          <w:sz w:val="20"/>
          <w:szCs w:val="20"/>
        </w:rPr>
        <w:t xml:space="preserve"> more consistent use of gender analysis, more integrated programming internally across thematic areas and externally through joint programming with other U</w:t>
      </w:r>
      <w:r w:rsidR="00EB408C">
        <w:rPr>
          <w:sz w:val="20"/>
          <w:szCs w:val="20"/>
        </w:rPr>
        <w:t xml:space="preserve">nited </w:t>
      </w:r>
      <w:r w:rsidRPr="00B14011">
        <w:rPr>
          <w:sz w:val="20"/>
          <w:szCs w:val="20"/>
        </w:rPr>
        <w:t>N</w:t>
      </w:r>
      <w:r w:rsidR="00EB408C">
        <w:rPr>
          <w:sz w:val="20"/>
          <w:szCs w:val="20"/>
        </w:rPr>
        <w:t>ations</w:t>
      </w:r>
      <w:r w:rsidRPr="00B14011">
        <w:rPr>
          <w:sz w:val="20"/>
          <w:szCs w:val="20"/>
        </w:rPr>
        <w:t xml:space="preserve"> </w:t>
      </w:r>
      <w:r w:rsidR="00EB408C">
        <w:rPr>
          <w:sz w:val="20"/>
          <w:szCs w:val="20"/>
        </w:rPr>
        <w:t>organizations</w:t>
      </w:r>
      <w:r w:rsidRPr="00B14011">
        <w:rPr>
          <w:sz w:val="20"/>
          <w:szCs w:val="20"/>
        </w:rPr>
        <w:t xml:space="preserve">, expanding partnerships with </w:t>
      </w:r>
      <w:r w:rsidR="00EB408C">
        <w:rPr>
          <w:sz w:val="20"/>
          <w:szCs w:val="20"/>
        </w:rPr>
        <w:t xml:space="preserve">the </w:t>
      </w:r>
      <w:r w:rsidRPr="00B14011">
        <w:rPr>
          <w:sz w:val="20"/>
          <w:szCs w:val="20"/>
        </w:rPr>
        <w:t xml:space="preserve">private sector and increased mobilization of government co-financing. </w:t>
      </w:r>
      <w:r w:rsidR="007A5AC2" w:rsidRPr="00B14011">
        <w:rPr>
          <w:sz w:val="20"/>
          <w:szCs w:val="20"/>
        </w:rPr>
        <w:t>A</w:t>
      </w:r>
      <w:r w:rsidRPr="00B14011">
        <w:rPr>
          <w:sz w:val="20"/>
          <w:szCs w:val="20"/>
        </w:rPr>
        <w:t xml:space="preserve"> recent survey of development partners suggested </w:t>
      </w:r>
      <w:r w:rsidR="00EB408C">
        <w:rPr>
          <w:sz w:val="20"/>
          <w:szCs w:val="20"/>
        </w:rPr>
        <w:t xml:space="preserve">that </w:t>
      </w:r>
      <w:r w:rsidRPr="00B14011">
        <w:rPr>
          <w:sz w:val="20"/>
          <w:szCs w:val="20"/>
        </w:rPr>
        <w:t>UNDP</w:t>
      </w:r>
      <w:r w:rsidR="00006015" w:rsidRPr="00B14011">
        <w:rPr>
          <w:sz w:val="20"/>
          <w:szCs w:val="20"/>
        </w:rPr>
        <w:t xml:space="preserve"> </w:t>
      </w:r>
      <w:r w:rsidR="00C33D73" w:rsidRPr="00B14011">
        <w:rPr>
          <w:sz w:val="20"/>
          <w:szCs w:val="20"/>
        </w:rPr>
        <w:t>increase engagement with donors and international financial institutions on project design to maximize complementarities</w:t>
      </w:r>
      <w:r w:rsidR="00376025" w:rsidRPr="00B14011">
        <w:rPr>
          <w:sz w:val="20"/>
          <w:szCs w:val="20"/>
        </w:rPr>
        <w:t>, communicate results and lessons and</w:t>
      </w:r>
      <w:r w:rsidRPr="00B14011">
        <w:rPr>
          <w:sz w:val="20"/>
          <w:szCs w:val="20"/>
        </w:rPr>
        <w:t xml:space="preserve">, where appropriate, take on a greater </w:t>
      </w:r>
      <w:r w:rsidR="00EB408C" w:rsidRPr="00B14011">
        <w:rPr>
          <w:sz w:val="20"/>
          <w:szCs w:val="20"/>
        </w:rPr>
        <w:t xml:space="preserve">coordination </w:t>
      </w:r>
      <w:r w:rsidRPr="00B14011">
        <w:rPr>
          <w:sz w:val="20"/>
          <w:szCs w:val="20"/>
        </w:rPr>
        <w:t>role.</w:t>
      </w:r>
      <w:r w:rsidRPr="00B14011">
        <w:rPr>
          <w:rStyle w:val="FootnoteReference"/>
        </w:rPr>
        <w:footnoteReference w:id="24"/>
      </w:r>
    </w:p>
    <w:p w14:paraId="1D679BA3" w14:textId="77777777" w:rsidR="00187EF8" w:rsidRPr="00B14011" w:rsidRDefault="00187EF8" w:rsidP="00003F2F">
      <w:pPr>
        <w:tabs>
          <w:tab w:val="left" w:pos="1080"/>
        </w:tabs>
        <w:jc w:val="both"/>
        <w:rPr>
          <w:sz w:val="20"/>
          <w:szCs w:val="20"/>
        </w:rPr>
      </w:pPr>
    </w:p>
    <w:p w14:paraId="2ACA7709" w14:textId="77777777" w:rsidR="00187EF8" w:rsidRPr="00B14011" w:rsidRDefault="00187EF8" w:rsidP="00633D81">
      <w:pPr>
        <w:pStyle w:val="Heading2"/>
        <w:numPr>
          <w:ilvl w:val="0"/>
          <w:numId w:val="4"/>
        </w:numPr>
        <w:tabs>
          <w:tab w:val="left" w:pos="1080"/>
          <w:tab w:val="left" w:pos="8640"/>
          <w:tab w:val="left" w:pos="9180"/>
        </w:tabs>
        <w:spacing w:after="240"/>
        <w:ind w:left="720" w:right="1267" w:hanging="450"/>
        <w:jc w:val="both"/>
        <w:rPr>
          <w:rFonts w:ascii="Times New Roman" w:hAnsi="Times New Roman"/>
          <w:bCs/>
          <w:szCs w:val="28"/>
        </w:rPr>
      </w:pPr>
      <w:r w:rsidRPr="00B14011">
        <w:rPr>
          <w:rFonts w:ascii="Times New Roman" w:hAnsi="Times New Roman"/>
          <w:bCs/>
          <w:szCs w:val="28"/>
        </w:rPr>
        <w:t xml:space="preserve">Programme priorities and partnerships </w:t>
      </w:r>
    </w:p>
    <w:p w14:paraId="34455E4D" w14:textId="52389364" w:rsidR="00187EF8" w:rsidRPr="00B14011" w:rsidRDefault="00D80649" w:rsidP="008B6648">
      <w:pPr>
        <w:pStyle w:val="ListParagraph"/>
        <w:numPr>
          <w:ilvl w:val="0"/>
          <w:numId w:val="3"/>
        </w:numPr>
        <w:tabs>
          <w:tab w:val="left" w:pos="1080"/>
        </w:tabs>
        <w:spacing w:after="120"/>
        <w:ind w:firstLine="0"/>
        <w:jc w:val="both"/>
        <w:rPr>
          <w:b/>
        </w:rPr>
      </w:pPr>
      <w:r w:rsidRPr="00B14011">
        <w:rPr>
          <w:sz w:val="20"/>
          <w:szCs w:val="20"/>
        </w:rPr>
        <w:t>The country programme is aligned with the U</w:t>
      </w:r>
      <w:r w:rsidR="0045411D">
        <w:rPr>
          <w:sz w:val="20"/>
          <w:szCs w:val="20"/>
        </w:rPr>
        <w:t xml:space="preserve">nited </w:t>
      </w:r>
      <w:r w:rsidRPr="00B14011">
        <w:rPr>
          <w:sz w:val="20"/>
          <w:szCs w:val="20"/>
        </w:rPr>
        <w:t>N</w:t>
      </w:r>
      <w:r w:rsidR="0045411D">
        <w:rPr>
          <w:sz w:val="20"/>
          <w:szCs w:val="20"/>
        </w:rPr>
        <w:t>ations</w:t>
      </w:r>
      <w:r w:rsidRPr="00B14011">
        <w:rPr>
          <w:sz w:val="20"/>
          <w:szCs w:val="20"/>
        </w:rPr>
        <w:t xml:space="preserve"> Sustainable Development Framework</w:t>
      </w:r>
      <w:r w:rsidR="00865E61">
        <w:rPr>
          <w:sz w:val="20"/>
          <w:szCs w:val="20"/>
        </w:rPr>
        <w:t xml:space="preserve"> (UNSDF),</w:t>
      </w:r>
      <w:r w:rsidRPr="00B14011">
        <w:rPr>
          <w:sz w:val="20"/>
          <w:szCs w:val="20"/>
        </w:rPr>
        <w:t xml:space="preserve"> 2018-2022</w:t>
      </w:r>
      <w:r w:rsidR="0045411D">
        <w:rPr>
          <w:sz w:val="20"/>
          <w:szCs w:val="20"/>
        </w:rPr>
        <w:t>,</w:t>
      </w:r>
      <w:r w:rsidRPr="00B14011">
        <w:rPr>
          <w:sz w:val="20"/>
          <w:szCs w:val="20"/>
        </w:rPr>
        <w:t xml:space="preserve"> and guided by the </w:t>
      </w:r>
      <w:r w:rsidR="0045411D">
        <w:rPr>
          <w:sz w:val="20"/>
          <w:szCs w:val="20"/>
        </w:rPr>
        <w:t>G</w:t>
      </w:r>
      <w:r w:rsidRPr="00B14011">
        <w:rPr>
          <w:sz w:val="20"/>
          <w:szCs w:val="20"/>
        </w:rPr>
        <w:t xml:space="preserve">overnment’s policy statements, the </w:t>
      </w:r>
      <w:r w:rsidR="0045411D">
        <w:rPr>
          <w:sz w:val="20"/>
          <w:szCs w:val="20"/>
        </w:rPr>
        <w:t>p</w:t>
      </w:r>
      <w:r w:rsidRPr="00B14011">
        <w:rPr>
          <w:sz w:val="20"/>
          <w:szCs w:val="20"/>
        </w:rPr>
        <w:t xml:space="preserve">ublic </w:t>
      </w:r>
      <w:r w:rsidR="0045411D">
        <w:rPr>
          <w:sz w:val="20"/>
          <w:szCs w:val="20"/>
        </w:rPr>
        <w:t>i</w:t>
      </w:r>
      <w:r w:rsidRPr="00B14011">
        <w:rPr>
          <w:sz w:val="20"/>
          <w:szCs w:val="20"/>
        </w:rPr>
        <w:t xml:space="preserve">nvestment </w:t>
      </w:r>
      <w:r w:rsidR="0045411D">
        <w:rPr>
          <w:sz w:val="20"/>
          <w:szCs w:val="20"/>
        </w:rPr>
        <w:t>p</w:t>
      </w:r>
      <w:r w:rsidRPr="00B14011">
        <w:rPr>
          <w:sz w:val="20"/>
          <w:szCs w:val="20"/>
        </w:rPr>
        <w:t xml:space="preserve">rogramme, the Peacebuilding Priority Plan and the emerging national vision for localization of the 2030 Agenda. </w:t>
      </w:r>
      <w:r w:rsidR="00BE4EF3" w:rsidRPr="00B14011">
        <w:rPr>
          <w:sz w:val="20"/>
          <w:szCs w:val="20"/>
        </w:rPr>
        <w:t>UNDP</w:t>
      </w:r>
      <w:r w:rsidRPr="00B14011">
        <w:rPr>
          <w:sz w:val="20"/>
          <w:szCs w:val="20"/>
        </w:rPr>
        <w:t xml:space="preserve"> will</w:t>
      </w:r>
      <w:r w:rsidR="00BA63B8" w:rsidRPr="00B14011">
        <w:rPr>
          <w:sz w:val="20"/>
          <w:szCs w:val="20"/>
        </w:rPr>
        <w:t xml:space="preserve"> </w:t>
      </w:r>
      <w:r w:rsidR="00BE4EF3" w:rsidRPr="00B14011">
        <w:rPr>
          <w:sz w:val="20"/>
          <w:szCs w:val="20"/>
        </w:rPr>
        <w:t>contribute to</w:t>
      </w:r>
      <w:r w:rsidRPr="00B14011">
        <w:rPr>
          <w:sz w:val="20"/>
          <w:szCs w:val="20"/>
        </w:rPr>
        <w:t xml:space="preserve"> a stronger One</w:t>
      </w:r>
      <w:r w:rsidR="0045411D">
        <w:rPr>
          <w:sz w:val="20"/>
          <w:szCs w:val="20"/>
        </w:rPr>
        <w:t>-</w:t>
      </w:r>
      <w:r w:rsidRPr="00B14011">
        <w:rPr>
          <w:sz w:val="20"/>
          <w:szCs w:val="20"/>
        </w:rPr>
        <w:t>UN approach</w:t>
      </w:r>
      <w:r w:rsidR="003A7A69" w:rsidRPr="00B14011">
        <w:rPr>
          <w:sz w:val="20"/>
          <w:szCs w:val="20"/>
        </w:rPr>
        <w:t xml:space="preserve"> </w:t>
      </w:r>
      <w:r w:rsidRPr="00B14011">
        <w:rPr>
          <w:sz w:val="20"/>
          <w:szCs w:val="20"/>
        </w:rPr>
        <w:t>to maximize the collective effectiveness of more integrated U</w:t>
      </w:r>
      <w:r w:rsidR="0045411D">
        <w:rPr>
          <w:sz w:val="20"/>
          <w:szCs w:val="20"/>
        </w:rPr>
        <w:t xml:space="preserve">nited </w:t>
      </w:r>
      <w:r w:rsidRPr="00B14011">
        <w:rPr>
          <w:sz w:val="20"/>
          <w:szCs w:val="20"/>
        </w:rPr>
        <w:t>N</w:t>
      </w:r>
      <w:r w:rsidR="0045411D">
        <w:rPr>
          <w:sz w:val="20"/>
          <w:szCs w:val="20"/>
        </w:rPr>
        <w:t>ations</w:t>
      </w:r>
      <w:r w:rsidRPr="00B14011">
        <w:rPr>
          <w:sz w:val="20"/>
          <w:szCs w:val="20"/>
        </w:rPr>
        <w:t xml:space="preserve"> support, particularly within the context of the Peacebuilding Priority Plan where UNDP will play a key coordination role.</w:t>
      </w:r>
      <w:r w:rsidR="002C4A89" w:rsidRPr="00B14011">
        <w:rPr>
          <w:sz w:val="20"/>
          <w:szCs w:val="20"/>
        </w:rPr>
        <w:t xml:space="preserve"> </w:t>
      </w:r>
    </w:p>
    <w:p w14:paraId="717D65ED" w14:textId="49E75626" w:rsidR="00187EF8" w:rsidRPr="00B14011" w:rsidRDefault="00D80649" w:rsidP="008B6648">
      <w:pPr>
        <w:pStyle w:val="ListParagraph"/>
        <w:numPr>
          <w:ilvl w:val="0"/>
          <w:numId w:val="3"/>
        </w:numPr>
        <w:tabs>
          <w:tab w:val="left" w:pos="1080"/>
        </w:tabs>
        <w:spacing w:after="120"/>
        <w:ind w:firstLine="0"/>
        <w:jc w:val="both"/>
        <w:rPr>
          <w:b/>
        </w:rPr>
      </w:pPr>
      <w:r w:rsidRPr="00B14011">
        <w:rPr>
          <w:sz w:val="20"/>
          <w:szCs w:val="20"/>
        </w:rPr>
        <w:t>The country programme will continue to adjust its business model to a middle-income country context by focus</w:t>
      </w:r>
      <w:r w:rsidR="00A86778">
        <w:rPr>
          <w:sz w:val="20"/>
          <w:szCs w:val="20"/>
        </w:rPr>
        <w:t>ing</w:t>
      </w:r>
      <w:r w:rsidRPr="00B14011">
        <w:rPr>
          <w:sz w:val="20"/>
          <w:szCs w:val="20"/>
        </w:rPr>
        <w:t xml:space="preserve"> on policy advocacy</w:t>
      </w:r>
      <w:r w:rsidR="00ED3B45" w:rsidRPr="00B14011">
        <w:rPr>
          <w:sz w:val="20"/>
          <w:szCs w:val="20"/>
        </w:rPr>
        <w:t xml:space="preserve"> (especially for SDG financing from domestic resources</w:t>
      </w:r>
      <w:r w:rsidR="00D55525" w:rsidRPr="00B14011">
        <w:rPr>
          <w:sz w:val="20"/>
          <w:szCs w:val="20"/>
        </w:rPr>
        <w:t xml:space="preserve"> and private sector</w:t>
      </w:r>
      <w:r w:rsidR="00ED3B45" w:rsidRPr="00B14011">
        <w:rPr>
          <w:sz w:val="20"/>
          <w:szCs w:val="20"/>
        </w:rPr>
        <w:t>)</w:t>
      </w:r>
      <w:r w:rsidRPr="00B14011">
        <w:rPr>
          <w:sz w:val="20"/>
          <w:szCs w:val="20"/>
        </w:rPr>
        <w:t>, supporting the development of longer-term development strategies to complement capacity</w:t>
      </w:r>
      <w:r w:rsidR="00A86778">
        <w:rPr>
          <w:sz w:val="20"/>
          <w:szCs w:val="20"/>
        </w:rPr>
        <w:t>-</w:t>
      </w:r>
      <w:r w:rsidRPr="00B14011">
        <w:rPr>
          <w:sz w:val="20"/>
          <w:szCs w:val="20"/>
        </w:rPr>
        <w:t xml:space="preserve">building support, and </w:t>
      </w:r>
      <w:r w:rsidR="008F757D" w:rsidRPr="00B14011">
        <w:rPr>
          <w:sz w:val="20"/>
          <w:szCs w:val="20"/>
        </w:rPr>
        <w:t xml:space="preserve">strengthening </w:t>
      </w:r>
      <w:r w:rsidRPr="00B14011">
        <w:rPr>
          <w:sz w:val="20"/>
          <w:szCs w:val="20"/>
        </w:rPr>
        <w:t xml:space="preserve">its role </w:t>
      </w:r>
      <w:r w:rsidR="008F757D" w:rsidRPr="00B14011">
        <w:rPr>
          <w:sz w:val="20"/>
          <w:szCs w:val="20"/>
        </w:rPr>
        <w:t>as a</w:t>
      </w:r>
      <w:r w:rsidRPr="00B14011">
        <w:rPr>
          <w:sz w:val="20"/>
          <w:szCs w:val="20"/>
        </w:rPr>
        <w:t xml:space="preserve"> knowledge broker. </w:t>
      </w:r>
      <w:r w:rsidR="00203286" w:rsidRPr="00B14011">
        <w:rPr>
          <w:sz w:val="20"/>
          <w:szCs w:val="20"/>
        </w:rPr>
        <w:t xml:space="preserve">While other development partners and international financial institutions will </w:t>
      </w:r>
      <w:r w:rsidR="009967BE" w:rsidRPr="00B14011">
        <w:rPr>
          <w:sz w:val="20"/>
          <w:szCs w:val="20"/>
        </w:rPr>
        <w:t xml:space="preserve">more directly </w:t>
      </w:r>
      <w:r w:rsidR="00203286" w:rsidRPr="00B14011">
        <w:rPr>
          <w:sz w:val="20"/>
          <w:szCs w:val="20"/>
        </w:rPr>
        <w:t xml:space="preserve">support </w:t>
      </w:r>
      <w:r w:rsidR="00FB4960" w:rsidRPr="00B14011">
        <w:rPr>
          <w:sz w:val="20"/>
          <w:szCs w:val="20"/>
        </w:rPr>
        <w:t>the growth agenda by</w:t>
      </w:r>
      <w:r w:rsidR="009967BE" w:rsidRPr="00B14011">
        <w:rPr>
          <w:sz w:val="20"/>
          <w:szCs w:val="20"/>
        </w:rPr>
        <w:t xml:space="preserve"> </w:t>
      </w:r>
      <w:r w:rsidR="00FB4960" w:rsidRPr="00B14011">
        <w:rPr>
          <w:sz w:val="20"/>
          <w:szCs w:val="20"/>
        </w:rPr>
        <w:t>improving the enabling environment for trade and investment</w:t>
      </w:r>
      <w:r w:rsidR="0036195A" w:rsidRPr="00B14011">
        <w:rPr>
          <w:sz w:val="20"/>
          <w:szCs w:val="20"/>
        </w:rPr>
        <w:t xml:space="preserve"> and direct provision of services</w:t>
      </w:r>
      <w:r w:rsidR="00FB4960" w:rsidRPr="00B14011">
        <w:rPr>
          <w:sz w:val="20"/>
          <w:szCs w:val="20"/>
        </w:rPr>
        <w:t xml:space="preserve">, UNDP will focus on increasing inclusivity of development policies and processes </w:t>
      </w:r>
      <w:r w:rsidR="00C86910" w:rsidRPr="00B14011">
        <w:rPr>
          <w:sz w:val="20"/>
          <w:szCs w:val="20"/>
        </w:rPr>
        <w:t>for</w:t>
      </w:r>
      <w:r w:rsidR="00FB4960" w:rsidRPr="00B14011">
        <w:rPr>
          <w:sz w:val="20"/>
          <w:szCs w:val="20"/>
        </w:rPr>
        <w:t xml:space="preserve"> more balanced growth</w:t>
      </w:r>
      <w:r w:rsidR="00C86910" w:rsidRPr="00B14011">
        <w:rPr>
          <w:sz w:val="20"/>
          <w:szCs w:val="20"/>
        </w:rPr>
        <w:t xml:space="preserve"> and reduced vulnerabilities</w:t>
      </w:r>
      <w:r w:rsidR="00FB4960" w:rsidRPr="00B14011">
        <w:rPr>
          <w:sz w:val="20"/>
          <w:szCs w:val="20"/>
        </w:rPr>
        <w:t xml:space="preserve">. </w:t>
      </w:r>
    </w:p>
    <w:p w14:paraId="373EF4C6" w14:textId="27896C0F" w:rsidR="00187EF8" w:rsidRPr="00B14011" w:rsidRDefault="00D80649" w:rsidP="008B6648">
      <w:pPr>
        <w:pStyle w:val="ListParagraph"/>
        <w:numPr>
          <w:ilvl w:val="0"/>
          <w:numId w:val="3"/>
        </w:numPr>
        <w:tabs>
          <w:tab w:val="left" w:pos="1080"/>
        </w:tabs>
        <w:spacing w:after="120"/>
        <w:ind w:firstLine="0"/>
        <w:jc w:val="both"/>
        <w:rPr>
          <w:b/>
        </w:rPr>
      </w:pPr>
      <w:r w:rsidRPr="00B14011">
        <w:rPr>
          <w:sz w:val="20"/>
          <w:szCs w:val="20"/>
        </w:rPr>
        <w:t>The country programme will incorporate a rights-based approach by engaging duty</w:t>
      </w:r>
      <w:r w:rsidR="003F4D97">
        <w:rPr>
          <w:sz w:val="20"/>
          <w:szCs w:val="20"/>
        </w:rPr>
        <w:t>-</w:t>
      </w:r>
      <w:r w:rsidRPr="00B14011">
        <w:rPr>
          <w:sz w:val="20"/>
          <w:szCs w:val="20"/>
        </w:rPr>
        <w:t>bearers and rights</w:t>
      </w:r>
      <w:r w:rsidR="003F4D97">
        <w:rPr>
          <w:sz w:val="20"/>
          <w:szCs w:val="20"/>
        </w:rPr>
        <w:t>-</w:t>
      </w:r>
      <w:r w:rsidRPr="00B14011">
        <w:rPr>
          <w:sz w:val="20"/>
          <w:szCs w:val="20"/>
        </w:rPr>
        <w:t xml:space="preserve">holders, </w:t>
      </w:r>
      <w:r w:rsidR="006F2B81" w:rsidRPr="00B14011">
        <w:rPr>
          <w:sz w:val="20"/>
          <w:szCs w:val="20"/>
        </w:rPr>
        <w:t>and increasing</w:t>
      </w:r>
      <w:r w:rsidRPr="00B14011">
        <w:rPr>
          <w:sz w:val="20"/>
          <w:szCs w:val="20"/>
        </w:rPr>
        <w:t xml:space="preserve"> its use of gender analysis</w:t>
      </w:r>
      <w:r w:rsidR="00A336FC" w:rsidRPr="00B14011">
        <w:rPr>
          <w:sz w:val="20"/>
          <w:szCs w:val="20"/>
        </w:rPr>
        <w:t xml:space="preserve"> </w:t>
      </w:r>
      <w:r w:rsidR="003F4D97">
        <w:rPr>
          <w:sz w:val="20"/>
          <w:szCs w:val="20"/>
        </w:rPr>
        <w:t xml:space="preserve">to </w:t>
      </w:r>
      <w:r w:rsidR="00A336FC" w:rsidRPr="00B14011">
        <w:rPr>
          <w:sz w:val="20"/>
          <w:szCs w:val="20"/>
        </w:rPr>
        <w:t>bring about transformative changes in gendered social</w:t>
      </w:r>
      <w:r w:rsidR="00CD705B" w:rsidRPr="00B14011">
        <w:rPr>
          <w:sz w:val="20"/>
          <w:szCs w:val="20"/>
        </w:rPr>
        <w:t>,</w:t>
      </w:r>
      <w:r w:rsidR="00A336FC" w:rsidRPr="00B14011">
        <w:rPr>
          <w:sz w:val="20"/>
          <w:szCs w:val="20"/>
        </w:rPr>
        <w:t xml:space="preserve"> economic and political structures</w:t>
      </w:r>
      <w:r w:rsidRPr="00B14011">
        <w:rPr>
          <w:sz w:val="20"/>
          <w:szCs w:val="20"/>
        </w:rPr>
        <w:t xml:space="preserve">. UNDP will adopt an issues-based, consultative approach to project design to ensure </w:t>
      </w:r>
      <w:r w:rsidR="003F4D97">
        <w:rPr>
          <w:sz w:val="20"/>
          <w:szCs w:val="20"/>
        </w:rPr>
        <w:t xml:space="preserve">that </w:t>
      </w:r>
      <w:r w:rsidRPr="00B14011">
        <w:rPr>
          <w:sz w:val="20"/>
          <w:szCs w:val="20"/>
        </w:rPr>
        <w:t xml:space="preserve">cross-cutting linkages and conflict drivers are addressed, </w:t>
      </w:r>
      <w:r w:rsidRPr="00B14011">
        <w:rPr>
          <w:sz w:val="20"/>
          <w:szCs w:val="20"/>
        </w:rPr>
        <w:lastRenderedPageBreak/>
        <w:t>especially within the context of the Peacebuilding Priority Plan and governance issues related to natural resource, climate and disaster risk management.</w:t>
      </w:r>
    </w:p>
    <w:p w14:paraId="30CC7227" w14:textId="0A00E8F1" w:rsidR="00D80649" w:rsidRPr="00B14011" w:rsidRDefault="00D80649" w:rsidP="008B6648">
      <w:pPr>
        <w:pStyle w:val="ListParagraph"/>
        <w:numPr>
          <w:ilvl w:val="0"/>
          <w:numId w:val="3"/>
        </w:numPr>
        <w:tabs>
          <w:tab w:val="left" w:pos="1080"/>
        </w:tabs>
        <w:spacing w:after="120"/>
        <w:ind w:firstLine="0"/>
        <w:jc w:val="both"/>
        <w:rPr>
          <w:b/>
        </w:rPr>
      </w:pPr>
      <w:r w:rsidRPr="00B14011">
        <w:rPr>
          <w:sz w:val="20"/>
          <w:szCs w:val="20"/>
        </w:rPr>
        <w:t>UNDP</w:t>
      </w:r>
      <w:r w:rsidR="00A32001" w:rsidRPr="00B14011">
        <w:rPr>
          <w:sz w:val="20"/>
          <w:szCs w:val="20"/>
        </w:rPr>
        <w:t xml:space="preserve"> will prioriti</w:t>
      </w:r>
      <w:r w:rsidR="009B73E4" w:rsidRPr="00B14011">
        <w:rPr>
          <w:sz w:val="20"/>
          <w:szCs w:val="20"/>
        </w:rPr>
        <w:t>z</w:t>
      </w:r>
      <w:r w:rsidR="00A32001" w:rsidRPr="00B14011">
        <w:rPr>
          <w:sz w:val="20"/>
          <w:szCs w:val="20"/>
        </w:rPr>
        <w:t>e strategic partnerships</w:t>
      </w:r>
      <w:r w:rsidR="00656DA0" w:rsidRPr="00B14011">
        <w:rPr>
          <w:sz w:val="20"/>
          <w:szCs w:val="20"/>
        </w:rPr>
        <w:t xml:space="preserve"> </w:t>
      </w:r>
      <w:r w:rsidR="009B73E4" w:rsidRPr="00B14011">
        <w:rPr>
          <w:sz w:val="20"/>
          <w:szCs w:val="20"/>
        </w:rPr>
        <w:t>to</w:t>
      </w:r>
      <w:r w:rsidRPr="00B14011">
        <w:rPr>
          <w:sz w:val="20"/>
          <w:szCs w:val="20"/>
        </w:rPr>
        <w:t xml:space="preserve"> expand its partnership base beyond traditional bilateral partners and vertical funds to initiate cooperation with </w:t>
      </w:r>
      <w:r w:rsidR="009B73E4" w:rsidRPr="00B14011">
        <w:rPr>
          <w:sz w:val="20"/>
          <w:szCs w:val="20"/>
        </w:rPr>
        <w:t xml:space="preserve">the Green Climate Fund on energy and climate change adaptation, the South Asian Association for Regional Cooperation Fund and </w:t>
      </w:r>
      <w:r w:rsidRPr="00B14011">
        <w:rPr>
          <w:sz w:val="20"/>
          <w:szCs w:val="20"/>
        </w:rPr>
        <w:t>the U</w:t>
      </w:r>
      <w:r w:rsidR="003F4D97">
        <w:rPr>
          <w:sz w:val="20"/>
          <w:szCs w:val="20"/>
        </w:rPr>
        <w:t xml:space="preserve">nited </w:t>
      </w:r>
      <w:r w:rsidRPr="00B14011">
        <w:rPr>
          <w:sz w:val="20"/>
          <w:szCs w:val="20"/>
        </w:rPr>
        <w:t>N</w:t>
      </w:r>
      <w:r w:rsidR="003F4D97">
        <w:rPr>
          <w:sz w:val="20"/>
          <w:szCs w:val="20"/>
        </w:rPr>
        <w:t>ations</w:t>
      </w:r>
      <w:r w:rsidRPr="00B14011">
        <w:rPr>
          <w:sz w:val="20"/>
          <w:szCs w:val="20"/>
        </w:rPr>
        <w:t xml:space="preserve"> Peacebuilding Fund on transitional justice and reconciliation</w:t>
      </w:r>
      <w:r w:rsidR="009B73E4" w:rsidRPr="00B14011">
        <w:rPr>
          <w:sz w:val="20"/>
          <w:szCs w:val="20"/>
        </w:rPr>
        <w:t>.</w:t>
      </w:r>
      <w:r w:rsidRPr="00B14011">
        <w:rPr>
          <w:sz w:val="20"/>
          <w:szCs w:val="20"/>
        </w:rPr>
        <w:t xml:space="preserve"> UNDP will </w:t>
      </w:r>
      <w:r w:rsidR="009B481B" w:rsidRPr="00B14011">
        <w:rPr>
          <w:sz w:val="20"/>
          <w:szCs w:val="20"/>
        </w:rPr>
        <w:t xml:space="preserve">pursue additional co-financing opportunities from government and private sector, </w:t>
      </w:r>
      <w:r w:rsidR="00D55525" w:rsidRPr="00B14011">
        <w:rPr>
          <w:sz w:val="20"/>
          <w:szCs w:val="20"/>
        </w:rPr>
        <w:t xml:space="preserve">building on successful collaboration </w:t>
      </w:r>
      <w:r w:rsidR="004409E8">
        <w:rPr>
          <w:sz w:val="20"/>
          <w:szCs w:val="20"/>
        </w:rPr>
        <w:t xml:space="preserve">already established. </w:t>
      </w:r>
      <w:r w:rsidR="000D01AF" w:rsidRPr="00B14011">
        <w:rPr>
          <w:sz w:val="20"/>
          <w:szCs w:val="20"/>
        </w:rPr>
        <w:t xml:space="preserve">UNDP will expand its use of South-South cooperation in addressing the country programme’s priorities in climate change, SDG localization and innovation. UNDP will help strengthen national mechanisms to systematize South-South and triangular cooperation in pursuit of the country’s broader development agenda, </w:t>
      </w:r>
      <w:r w:rsidR="003F4D97">
        <w:rPr>
          <w:sz w:val="20"/>
          <w:szCs w:val="20"/>
        </w:rPr>
        <w:t xml:space="preserve">and </w:t>
      </w:r>
      <w:r w:rsidR="000D01AF" w:rsidRPr="00B14011">
        <w:rPr>
          <w:sz w:val="20"/>
          <w:szCs w:val="20"/>
        </w:rPr>
        <w:t>help identify opportunities for sharing expertise with other countries and increasing Sri Lanka’s engagement in regional development forums.</w:t>
      </w:r>
      <w:r w:rsidR="00252BF5" w:rsidRPr="00B14011">
        <w:rPr>
          <w:sz w:val="20"/>
          <w:szCs w:val="20"/>
        </w:rPr>
        <w:t xml:space="preserve"> </w:t>
      </w:r>
    </w:p>
    <w:p w14:paraId="03B46445" w14:textId="5663EF05" w:rsidR="00D80649" w:rsidRPr="005A3BE4" w:rsidRDefault="00D80649" w:rsidP="008B6648">
      <w:pPr>
        <w:tabs>
          <w:tab w:val="left" w:pos="1080"/>
        </w:tabs>
        <w:spacing w:after="120"/>
        <w:ind w:firstLine="720"/>
        <w:jc w:val="both"/>
        <w:outlineLvl w:val="0"/>
        <w:rPr>
          <w:i/>
          <w:sz w:val="20"/>
          <w:szCs w:val="20"/>
        </w:rPr>
      </w:pPr>
      <w:r w:rsidRPr="005A3BE4">
        <w:rPr>
          <w:i/>
          <w:sz w:val="20"/>
          <w:szCs w:val="20"/>
        </w:rPr>
        <w:t>Sustaining peace through more inclusive, effective and accountable governance</w:t>
      </w:r>
    </w:p>
    <w:p w14:paraId="0D6AAF17" w14:textId="2D85139A" w:rsidR="00D80649" w:rsidRPr="00B14011" w:rsidRDefault="00D80649" w:rsidP="008B6648">
      <w:pPr>
        <w:pStyle w:val="ListParagraph"/>
        <w:numPr>
          <w:ilvl w:val="0"/>
          <w:numId w:val="3"/>
        </w:numPr>
        <w:tabs>
          <w:tab w:val="left" w:pos="1080"/>
        </w:tabs>
        <w:spacing w:after="120"/>
        <w:ind w:firstLine="0"/>
        <w:jc w:val="both"/>
        <w:rPr>
          <w:b/>
        </w:rPr>
      </w:pPr>
      <w:r w:rsidRPr="00B14011">
        <w:rPr>
          <w:sz w:val="20"/>
          <w:szCs w:val="20"/>
        </w:rPr>
        <w:t>To address underlying institutional challenges of effective</w:t>
      </w:r>
      <w:r w:rsidR="00EC0AE3" w:rsidRPr="00B14011">
        <w:rPr>
          <w:sz w:val="20"/>
          <w:szCs w:val="20"/>
        </w:rPr>
        <w:t>, accountable</w:t>
      </w:r>
      <w:r w:rsidRPr="00B14011">
        <w:rPr>
          <w:sz w:val="20"/>
          <w:szCs w:val="20"/>
        </w:rPr>
        <w:t xml:space="preserve"> and equitable policy planning and service delivery necessary to build public trust in governance and sustain peace (SDGs 5, 10, 16), UNDP will strengthen capacities in central and subnational governance institutions to mainstream the SDGs, improve cross-sectoral policy development, and improve delivery of and access to key governance functions</w:t>
      </w:r>
      <w:r w:rsidR="00E919F8">
        <w:rPr>
          <w:sz w:val="20"/>
          <w:szCs w:val="20"/>
        </w:rPr>
        <w:t>,</w:t>
      </w:r>
      <w:r w:rsidRPr="00B14011">
        <w:rPr>
          <w:sz w:val="20"/>
          <w:szCs w:val="20"/>
        </w:rPr>
        <w:t xml:space="preserve"> focus</w:t>
      </w:r>
      <w:r w:rsidR="0038657A">
        <w:rPr>
          <w:sz w:val="20"/>
          <w:szCs w:val="20"/>
        </w:rPr>
        <w:t>ed</w:t>
      </w:r>
      <w:r w:rsidRPr="00B14011">
        <w:rPr>
          <w:sz w:val="20"/>
          <w:szCs w:val="20"/>
        </w:rPr>
        <w:t xml:space="preserve"> on access to justice. </w:t>
      </w:r>
      <w:r w:rsidR="00721548" w:rsidRPr="00B14011">
        <w:rPr>
          <w:sz w:val="20"/>
          <w:szCs w:val="20"/>
        </w:rPr>
        <w:t xml:space="preserve">Within the context of SDG mainstreaming, </w:t>
      </w:r>
      <w:r w:rsidRPr="00B14011">
        <w:rPr>
          <w:sz w:val="20"/>
          <w:szCs w:val="20"/>
        </w:rPr>
        <w:t>UNDP</w:t>
      </w:r>
      <w:r w:rsidR="00E919F8">
        <w:rPr>
          <w:sz w:val="20"/>
          <w:szCs w:val="20"/>
        </w:rPr>
        <w:t>,</w:t>
      </w:r>
      <w:r w:rsidRPr="00B14011">
        <w:rPr>
          <w:sz w:val="20"/>
          <w:szCs w:val="20"/>
        </w:rPr>
        <w:t xml:space="preserve"> together with other U</w:t>
      </w:r>
      <w:r w:rsidR="00E919F8">
        <w:rPr>
          <w:sz w:val="20"/>
          <w:szCs w:val="20"/>
        </w:rPr>
        <w:t xml:space="preserve">nited </w:t>
      </w:r>
      <w:r w:rsidRPr="00B14011">
        <w:rPr>
          <w:sz w:val="20"/>
          <w:szCs w:val="20"/>
        </w:rPr>
        <w:t>N</w:t>
      </w:r>
      <w:r w:rsidR="00E919F8">
        <w:rPr>
          <w:sz w:val="20"/>
          <w:szCs w:val="20"/>
        </w:rPr>
        <w:t>ations</w:t>
      </w:r>
      <w:r w:rsidRPr="00B14011">
        <w:rPr>
          <w:sz w:val="20"/>
          <w:szCs w:val="20"/>
        </w:rPr>
        <w:t xml:space="preserve"> </w:t>
      </w:r>
      <w:r w:rsidR="00E919F8">
        <w:rPr>
          <w:sz w:val="20"/>
          <w:szCs w:val="20"/>
        </w:rPr>
        <w:t xml:space="preserve">organizations, </w:t>
      </w:r>
      <w:r w:rsidRPr="00B14011">
        <w:rPr>
          <w:sz w:val="20"/>
          <w:szCs w:val="20"/>
        </w:rPr>
        <w:t>will prioritiz</w:t>
      </w:r>
      <w:r w:rsidR="00721548" w:rsidRPr="00B14011">
        <w:rPr>
          <w:sz w:val="20"/>
          <w:szCs w:val="20"/>
        </w:rPr>
        <w:t>e</w:t>
      </w:r>
      <w:r w:rsidRPr="00B14011">
        <w:rPr>
          <w:sz w:val="20"/>
          <w:szCs w:val="20"/>
        </w:rPr>
        <w:t xml:space="preserve"> </w:t>
      </w:r>
      <w:r w:rsidR="007C6A88" w:rsidRPr="00B14011">
        <w:rPr>
          <w:sz w:val="20"/>
          <w:szCs w:val="20"/>
        </w:rPr>
        <w:t xml:space="preserve">North, East and central </w:t>
      </w:r>
      <w:r w:rsidRPr="00B14011">
        <w:rPr>
          <w:sz w:val="20"/>
          <w:szCs w:val="20"/>
        </w:rPr>
        <w:t>regions</w:t>
      </w:r>
      <w:r w:rsidR="00721548" w:rsidRPr="00B14011">
        <w:rPr>
          <w:sz w:val="20"/>
          <w:szCs w:val="20"/>
        </w:rPr>
        <w:t xml:space="preserve"> and </w:t>
      </w:r>
      <w:r w:rsidRPr="00B14011">
        <w:rPr>
          <w:sz w:val="20"/>
          <w:szCs w:val="20"/>
        </w:rPr>
        <w:t>embed human rights-based approaches and gender equality considerations in these policies and plans.</w:t>
      </w:r>
    </w:p>
    <w:p w14:paraId="5E9621F8" w14:textId="77777777" w:rsidR="00652257" w:rsidRDefault="00D80649" w:rsidP="00652257">
      <w:pPr>
        <w:pStyle w:val="ListParagraph"/>
        <w:numPr>
          <w:ilvl w:val="0"/>
          <w:numId w:val="3"/>
        </w:numPr>
        <w:tabs>
          <w:tab w:val="left" w:pos="1080"/>
        </w:tabs>
        <w:spacing w:after="120"/>
        <w:ind w:firstLine="0"/>
        <w:jc w:val="both"/>
        <w:rPr>
          <w:b/>
        </w:rPr>
      </w:pPr>
      <w:r w:rsidRPr="00B14011">
        <w:rPr>
          <w:sz w:val="20"/>
          <w:szCs w:val="20"/>
        </w:rPr>
        <w:t xml:space="preserve">In cooperation with </w:t>
      </w:r>
      <w:r w:rsidR="00E919F8">
        <w:rPr>
          <w:sz w:val="20"/>
          <w:szCs w:val="20"/>
        </w:rPr>
        <w:t>the United Nations Entity for Gender Equality and the Empowerment of Women (</w:t>
      </w:r>
      <w:r w:rsidRPr="00B14011">
        <w:rPr>
          <w:sz w:val="20"/>
          <w:szCs w:val="20"/>
        </w:rPr>
        <w:t>UN</w:t>
      </w:r>
      <w:r w:rsidR="00E919F8">
        <w:rPr>
          <w:sz w:val="20"/>
          <w:szCs w:val="20"/>
        </w:rPr>
        <w:t>-</w:t>
      </w:r>
      <w:r w:rsidR="004C032F" w:rsidRPr="00B14011">
        <w:rPr>
          <w:sz w:val="20"/>
          <w:szCs w:val="20"/>
        </w:rPr>
        <w:t>Women</w:t>
      </w:r>
      <w:r w:rsidR="00E919F8">
        <w:rPr>
          <w:sz w:val="20"/>
          <w:szCs w:val="20"/>
        </w:rPr>
        <w:t>)</w:t>
      </w:r>
      <w:r w:rsidR="004C032F" w:rsidRPr="00B14011">
        <w:rPr>
          <w:sz w:val="20"/>
          <w:szCs w:val="20"/>
        </w:rPr>
        <w:t xml:space="preserve"> and </w:t>
      </w:r>
      <w:r w:rsidR="00E919F8">
        <w:rPr>
          <w:sz w:val="20"/>
          <w:szCs w:val="20"/>
        </w:rPr>
        <w:t>the Office for the High Commissioner for Human Rights (</w:t>
      </w:r>
      <w:r w:rsidR="004C032F" w:rsidRPr="00B14011">
        <w:rPr>
          <w:sz w:val="20"/>
          <w:szCs w:val="20"/>
        </w:rPr>
        <w:t>OHCHR</w:t>
      </w:r>
      <w:r w:rsidR="00E919F8">
        <w:rPr>
          <w:sz w:val="20"/>
          <w:szCs w:val="20"/>
        </w:rPr>
        <w:t>)</w:t>
      </w:r>
      <w:r w:rsidRPr="00B14011">
        <w:rPr>
          <w:sz w:val="20"/>
          <w:szCs w:val="20"/>
        </w:rPr>
        <w:t xml:space="preserve">, UNDP will help improve </w:t>
      </w:r>
      <w:r w:rsidR="00E919F8" w:rsidRPr="00B14011">
        <w:rPr>
          <w:sz w:val="20"/>
          <w:szCs w:val="20"/>
        </w:rPr>
        <w:t>judicial system</w:t>
      </w:r>
      <w:r w:rsidR="00E919F8" w:rsidRPr="00B14011" w:rsidDel="00E919F8">
        <w:rPr>
          <w:sz w:val="20"/>
          <w:szCs w:val="20"/>
        </w:rPr>
        <w:t xml:space="preserve"> </w:t>
      </w:r>
      <w:r w:rsidRPr="00B14011">
        <w:rPr>
          <w:sz w:val="20"/>
          <w:szCs w:val="20"/>
        </w:rPr>
        <w:t xml:space="preserve">performance </w:t>
      </w:r>
      <w:r w:rsidR="00E919F8">
        <w:rPr>
          <w:sz w:val="20"/>
          <w:szCs w:val="20"/>
        </w:rPr>
        <w:t xml:space="preserve">by </w:t>
      </w:r>
      <w:r w:rsidRPr="00B14011">
        <w:rPr>
          <w:sz w:val="20"/>
          <w:szCs w:val="20"/>
        </w:rPr>
        <w:t>operationaliz</w:t>
      </w:r>
      <w:r w:rsidR="00E919F8">
        <w:rPr>
          <w:sz w:val="20"/>
          <w:szCs w:val="20"/>
        </w:rPr>
        <w:t>ing</w:t>
      </w:r>
      <w:r w:rsidRPr="00B14011">
        <w:rPr>
          <w:sz w:val="20"/>
          <w:szCs w:val="20"/>
        </w:rPr>
        <w:t xml:space="preserve"> transitional justice mechanisms, provi</w:t>
      </w:r>
      <w:r w:rsidR="00E919F8">
        <w:rPr>
          <w:sz w:val="20"/>
          <w:szCs w:val="20"/>
        </w:rPr>
        <w:t>ding</w:t>
      </w:r>
      <w:r w:rsidRPr="00B14011">
        <w:rPr>
          <w:sz w:val="20"/>
          <w:szCs w:val="20"/>
        </w:rPr>
        <w:t xml:space="preserve"> legal education and training, building </w:t>
      </w:r>
      <w:r w:rsidR="00E919F8" w:rsidRPr="00B14011">
        <w:rPr>
          <w:sz w:val="20"/>
          <w:szCs w:val="20"/>
        </w:rPr>
        <w:t xml:space="preserve">capacity </w:t>
      </w:r>
      <w:r w:rsidRPr="00B14011">
        <w:rPr>
          <w:sz w:val="20"/>
          <w:szCs w:val="20"/>
        </w:rPr>
        <w:t xml:space="preserve">of institutions providing legal aid services, </w:t>
      </w:r>
      <w:r w:rsidR="00E919F8">
        <w:rPr>
          <w:sz w:val="20"/>
          <w:szCs w:val="20"/>
        </w:rPr>
        <w:t xml:space="preserve">and </w:t>
      </w:r>
      <w:r w:rsidRPr="00B14011">
        <w:rPr>
          <w:sz w:val="20"/>
          <w:szCs w:val="20"/>
        </w:rPr>
        <w:t xml:space="preserve">informing the public of their rights and opportunities to access legal aid. </w:t>
      </w:r>
      <w:r w:rsidR="00F857E4" w:rsidRPr="00B14011">
        <w:rPr>
          <w:sz w:val="20"/>
          <w:szCs w:val="20"/>
        </w:rPr>
        <w:t xml:space="preserve">UNDP will actively support and facilitate the participation of women’s civil society groups in advocacy and oversight mechanisms. </w:t>
      </w:r>
      <w:r w:rsidRPr="00B14011">
        <w:rPr>
          <w:sz w:val="20"/>
          <w:szCs w:val="20"/>
        </w:rPr>
        <w:t>Victims of sexual and gender</w:t>
      </w:r>
      <w:r w:rsidR="00E919F8">
        <w:rPr>
          <w:sz w:val="20"/>
          <w:szCs w:val="20"/>
        </w:rPr>
        <w:t>-</w:t>
      </w:r>
      <w:r w:rsidRPr="00B14011">
        <w:rPr>
          <w:sz w:val="20"/>
          <w:szCs w:val="20"/>
        </w:rPr>
        <w:t>based violence in the estate sector will be a key target group</w:t>
      </w:r>
      <w:r w:rsidR="00E919F8">
        <w:rPr>
          <w:sz w:val="20"/>
          <w:szCs w:val="20"/>
        </w:rPr>
        <w:t>,</w:t>
      </w:r>
      <w:r w:rsidRPr="00B14011">
        <w:rPr>
          <w:sz w:val="20"/>
          <w:szCs w:val="20"/>
        </w:rPr>
        <w:t xml:space="preserve"> in line with the priorities of the </w:t>
      </w:r>
      <w:r w:rsidR="00E919F8">
        <w:rPr>
          <w:sz w:val="20"/>
          <w:szCs w:val="20"/>
        </w:rPr>
        <w:t>n</w:t>
      </w:r>
      <w:r w:rsidRPr="00B14011">
        <w:rPr>
          <w:sz w:val="20"/>
          <w:szCs w:val="20"/>
        </w:rPr>
        <w:t xml:space="preserve">ational </w:t>
      </w:r>
      <w:r w:rsidR="00E919F8">
        <w:rPr>
          <w:sz w:val="20"/>
          <w:szCs w:val="20"/>
        </w:rPr>
        <w:t>p</w:t>
      </w:r>
      <w:r w:rsidRPr="00B14011">
        <w:rPr>
          <w:sz w:val="20"/>
          <w:szCs w:val="20"/>
        </w:rPr>
        <w:t xml:space="preserve">lan of </w:t>
      </w:r>
      <w:r w:rsidR="00E919F8">
        <w:rPr>
          <w:sz w:val="20"/>
          <w:szCs w:val="20"/>
        </w:rPr>
        <w:t>a</w:t>
      </w:r>
      <w:r w:rsidRPr="00B14011">
        <w:rPr>
          <w:sz w:val="20"/>
          <w:szCs w:val="20"/>
        </w:rPr>
        <w:t>ction supported by UNDP during the previous programming cycle.</w:t>
      </w:r>
    </w:p>
    <w:p w14:paraId="58EBFEF3" w14:textId="40A21F21" w:rsidR="00D80649" w:rsidRPr="00652257" w:rsidRDefault="00652257" w:rsidP="00652257">
      <w:pPr>
        <w:pStyle w:val="ListParagraph"/>
        <w:numPr>
          <w:ilvl w:val="0"/>
          <w:numId w:val="3"/>
        </w:numPr>
        <w:tabs>
          <w:tab w:val="left" w:pos="1080"/>
        </w:tabs>
        <w:spacing w:after="120"/>
        <w:ind w:firstLine="0"/>
        <w:jc w:val="both"/>
        <w:rPr>
          <w:b/>
        </w:rPr>
      </w:pPr>
      <w:r w:rsidRPr="00652257">
        <w:rPr>
          <w:sz w:val="20"/>
          <w:szCs w:val="20"/>
        </w:rPr>
        <w:t xml:space="preserve"> </w:t>
      </w:r>
      <w:r w:rsidR="00D80649" w:rsidRPr="00652257">
        <w:rPr>
          <w:sz w:val="20"/>
          <w:szCs w:val="20"/>
        </w:rPr>
        <w:t xml:space="preserve">UNDP will use its convening role </w:t>
      </w:r>
      <w:r w:rsidR="00D80649" w:rsidRPr="00652257">
        <w:rPr>
          <w:iCs/>
          <w:sz w:val="20"/>
          <w:szCs w:val="20"/>
        </w:rPr>
        <w:t>to facilitate multi-stakeholder dialogue on enhanc</w:t>
      </w:r>
      <w:r w:rsidR="00D1496F" w:rsidRPr="00652257">
        <w:rPr>
          <w:iCs/>
          <w:sz w:val="20"/>
          <w:szCs w:val="20"/>
        </w:rPr>
        <w:t>ing</w:t>
      </w:r>
      <w:r w:rsidR="00D80649" w:rsidRPr="00652257">
        <w:rPr>
          <w:iCs/>
          <w:sz w:val="20"/>
          <w:szCs w:val="20"/>
        </w:rPr>
        <w:t xml:space="preserve"> coordination and clarification of responsibilities between the central/deconcentrated and subnational/devolved governance authorities for more equitable service delivery, especially in </w:t>
      </w:r>
      <w:r w:rsidR="0041362A" w:rsidRPr="00652257">
        <w:rPr>
          <w:iCs/>
          <w:sz w:val="20"/>
          <w:szCs w:val="20"/>
        </w:rPr>
        <w:t xml:space="preserve">North, East and central </w:t>
      </w:r>
      <w:r w:rsidR="00D80649" w:rsidRPr="00652257">
        <w:rPr>
          <w:iCs/>
          <w:sz w:val="20"/>
          <w:szCs w:val="20"/>
        </w:rPr>
        <w:t xml:space="preserve">regions. UNDP will utilize technical assistance to enhance public sector effectiveness </w:t>
      </w:r>
      <w:r w:rsidR="00F133D3" w:rsidRPr="00652257">
        <w:rPr>
          <w:iCs/>
          <w:sz w:val="20"/>
          <w:szCs w:val="20"/>
        </w:rPr>
        <w:t xml:space="preserve">by </w:t>
      </w:r>
      <w:r w:rsidR="00D80649" w:rsidRPr="00652257">
        <w:rPr>
          <w:iCs/>
          <w:sz w:val="20"/>
          <w:szCs w:val="20"/>
        </w:rPr>
        <w:t>introduc</w:t>
      </w:r>
      <w:r w:rsidR="00F133D3" w:rsidRPr="00652257">
        <w:rPr>
          <w:iCs/>
          <w:sz w:val="20"/>
          <w:szCs w:val="20"/>
        </w:rPr>
        <w:t>ing</w:t>
      </w:r>
      <w:r w:rsidR="00D80649" w:rsidRPr="00652257">
        <w:rPr>
          <w:iCs/>
          <w:sz w:val="20"/>
          <w:szCs w:val="20"/>
        </w:rPr>
        <w:t xml:space="preserve"> </w:t>
      </w:r>
      <w:r w:rsidR="00D80649" w:rsidRPr="00652257">
        <w:rPr>
          <w:sz w:val="20"/>
          <w:szCs w:val="20"/>
        </w:rPr>
        <w:t>performance-based auditing and budgeting</w:t>
      </w:r>
      <w:r w:rsidR="002438E6" w:rsidRPr="00652257">
        <w:rPr>
          <w:sz w:val="20"/>
          <w:szCs w:val="20"/>
        </w:rPr>
        <w:t>, which</w:t>
      </w:r>
      <w:r w:rsidR="00D80649" w:rsidRPr="00652257">
        <w:rPr>
          <w:sz w:val="20"/>
          <w:szCs w:val="20"/>
        </w:rPr>
        <w:t xml:space="preserve"> will complement broader public financial management support initiatives by the World Bank and International Monetary Fund</w:t>
      </w:r>
      <w:r w:rsidR="00D80649" w:rsidRPr="00652257">
        <w:rPr>
          <w:iCs/>
          <w:sz w:val="20"/>
          <w:szCs w:val="20"/>
        </w:rPr>
        <w:t xml:space="preserve">. Building on previous initiatives in local economic development, UNDP will strengthen subnational capacities </w:t>
      </w:r>
      <w:r w:rsidR="00DD2233" w:rsidRPr="00652257">
        <w:rPr>
          <w:iCs/>
          <w:sz w:val="20"/>
          <w:szCs w:val="20"/>
        </w:rPr>
        <w:t xml:space="preserve">and leverage on the power of volunteerism </w:t>
      </w:r>
      <w:r w:rsidR="00D80649" w:rsidRPr="00652257">
        <w:rPr>
          <w:iCs/>
          <w:sz w:val="20"/>
          <w:szCs w:val="20"/>
        </w:rPr>
        <w:t xml:space="preserve">to pilot entrepreneurship skills and business services development initiatives </w:t>
      </w:r>
      <w:r w:rsidR="00A5217A" w:rsidRPr="00652257">
        <w:rPr>
          <w:iCs/>
          <w:sz w:val="20"/>
          <w:szCs w:val="20"/>
        </w:rPr>
        <w:t xml:space="preserve">targeting women, </w:t>
      </w:r>
      <w:r w:rsidR="00D80649" w:rsidRPr="00652257">
        <w:rPr>
          <w:iCs/>
          <w:sz w:val="20"/>
          <w:szCs w:val="20"/>
        </w:rPr>
        <w:t xml:space="preserve">youth and vulnerable groups, with priority given to </w:t>
      </w:r>
      <w:r w:rsidR="00336760" w:rsidRPr="00652257">
        <w:rPr>
          <w:iCs/>
          <w:sz w:val="20"/>
          <w:szCs w:val="20"/>
        </w:rPr>
        <w:t>North, East and central regions</w:t>
      </w:r>
      <w:r w:rsidR="00D80649" w:rsidRPr="00652257">
        <w:rPr>
          <w:iCs/>
          <w:sz w:val="20"/>
          <w:szCs w:val="20"/>
        </w:rPr>
        <w:t>.</w:t>
      </w:r>
    </w:p>
    <w:p w14:paraId="2129E0B0" w14:textId="3DBA5DC4" w:rsidR="00486DD8" w:rsidRPr="00B14011" w:rsidRDefault="006400AF" w:rsidP="00003F2F">
      <w:pPr>
        <w:pStyle w:val="ListParagraph"/>
        <w:numPr>
          <w:ilvl w:val="0"/>
          <w:numId w:val="3"/>
        </w:numPr>
        <w:tabs>
          <w:tab w:val="left" w:pos="1080"/>
        </w:tabs>
        <w:spacing w:after="120"/>
        <w:ind w:firstLine="0"/>
        <w:jc w:val="both"/>
        <w:rPr>
          <w:b/>
        </w:rPr>
      </w:pPr>
      <w:r w:rsidRPr="00B14011">
        <w:rPr>
          <w:sz w:val="20"/>
          <w:szCs w:val="20"/>
        </w:rPr>
        <w:t>In collaboration with UN</w:t>
      </w:r>
      <w:r w:rsidR="00F133D3">
        <w:rPr>
          <w:sz w:val="20"/>
          <w:szCs w:val="20"/>
        </w:rPr>
        <w:t>-</w:t>
      </w:r>
      <w:r w:rsidRPr="00B14011">
        <w:rPr>
          <w:sz w:val="20"/>
          <w:szCs w:val="20"/>
        </w:rPr>
        <w:t xml:space="preserve">Women and </w:t>
      </w:r>
      <w:r w:rsidR="00E61F51" w:rsidRPr="00B14011">
        <w:rPr>
          <w:sz w:val="20"/>
          <w:szCs w:val="20"/>
        </w:rPr>
        <w:t xml:space="preserve">OHCHR, </w:t>
      </w:r>
      <w:r w:rsidR="00D80649" w:rsidRPr="00B14011">
        <w:rPr>
          <w:sz w:val="20"/>
          <w:szCs w:val="20"/>
        </w:rPr>
        <w:t>UNDP will provide policy advice and capacity</w:t>
      </w:r>
      <w:r w:rsidR="00F133D3">
        <w:rPr>
          <w:sz w:val="20"/>
          <w:szCs w:val="20"/>
        </w:rPr>
        <w:t>-</w:t>
      </w:r>
      <w:r w:rsidR="00D80649" w:rsidRPr="00B14011">
        <w:rPr>
          <w:sz w:val="20"/>
          <w:szCs w:val="20"/>
        </w:rPr>
        <w:t xml:space="preserve">building support to parliamentary committees on human rights, public finance, women and gender to discharge their functions effectively. UNDP will build the capacity of the National Human Rights Commission to engage in advocacy and investigate complaints, strengthen the National Police Commission’s capacity to oversee management of police appointments and investigate public complaints, and operationalize the </w:t>
      </w:r>
      <w:r w:rsidR="002438E6" w:rsidRPr="00B14011">
        <w:rPr>
          <w:sz w:val="20"/>
          <w:szCs w:val="20"/>
        </w:rPr>
        <w:t>newly established</w:t>
      </w:r>
      <w:r w:rsidR="00D80649" w:rsidRPr="00B14011">
        <w:rPr>
          <w:sz w:val="20"/>
          <w:szCs w:val="20"/>
        </w:rPr>
        <w:t xml:space="preserve"> Right to Information Commission. UNDP </w:t>
      </w:r>
      <w:r w:rsidR="00912F05" w:rsidRPr="00B14011">
        <w:rPr>
          <w:sz w:val="20"/>
          <w:szCs w:val="20"/>
        </w:rPr>
        <w:t xml:space="preserve">will </w:t>
      </w:r>
      <w:r w:rsidR="00D80649" w:rsidRPr="00B14011">
        <w:rPr>
          <w:sz w:val="20"/>
          <w:szCs w:val="20"/>
        </w:rPr>
        <w:t xml:space="preserve">help further develop the legal/regulatory framework for more inclusive and participatory decision-making mechanisms, and facilitate partnerships between public institutions and civil society for </w:t>
      </w:r>
      <w:r w:rsidR="004B428A" w:rsidRPr="00B14011">
        <w:rPr>
          <w:sz w:val="20"/>
          <w:szCs w:val="20"/>
        </w:rPr>
        <w:t xml:space="preserve">deepened </w:t>
      </w:r>
      <w:r w:rsidR="00D80649" w:rsidRPr="00B14011">
        <w:rPr>
          <w:sz w:val="20"/>
          <w:szCs w:val="20"/>
        </w:rPr>
        <w:t xml:space="preserve">engagement in development planning, budgeting, </w:t>
      </w:r>
      <w:r w:rsidR="002438E6" w:rsidRPr="00B14011">
        <w:rPr>
          <w:sz w:val="20"/>
          <w:szCs w:val="20"/>
        </w:rPr>
        <w:t>implementation</w:t>
      </w:r>
      <w:r w:rsidR="00D80649" w:rsidRPr="00B14011">
        <w:rPr>
          <w:sz w:val="20"/>
          <w:szCs w:val="20"/>
        </w:rPr>
        <w:t xml:space="preserve"> and monitoring.</w:t>
      </w:r>
    </w:p>
    <w:p w14:paraId="33F71DEE" w14:textId="77777777" w:rsidR="00D80649" w:rsidRPr="005A3BE4" w:rsidRDefault="00D80649" w:rsidP="008B6648">
      <w:pPr>
        <w:tabs>
          <w:tab w:val="left" w:pos="1080"/>
        </w:tabs>
        <w:spacing w:after="120"/>
        <w:ind w:firstLine="720"/>
        <w:jc w:val="both"/>
        <w:outlineLvl w:val="0"/>
        <w:rPr>
          <w:i/>
          <w:sz w:val="20"/>
          <w:szCs w:val="20"/>
        </w:rPr>
      </w:pPr>
      <w:r w:rsidRPr="005A3BE4">
        <w:rPr>
          <w:i/>
          <w:sz w:val="20"/>
          <w:szCs w:val="20"/>
        </w:rPr>
        <w:t>Building resilience through integrated climate and disaster risk management</w:t>
      </w:r>
    </w:p>
    <w:p w14:paraId="0C6C3AEE" w14:textId="5D76ED53" w:rsidR="00D80649" w:rsidRPr="00B14011" w:rsidRDefault="00D80649" w:rsidP="008B6648">
      <w:pPr>
        <w:pStyle w:val="ListParagraph"/>
        <w:numPr>
          <w:ilvl w:val="0"/>
          <w:numId w:val="3"/>
        </w:numPr>
        <w:tabs>
          <w:tab w:val="left" w:pos="1080"/>
        </w:tabs>
        <w:spacing w:after="120"/>
        <w:ind w:firstLine="0"/>
        <w:jc w:val="both"/>
        <w:rPr>
          <w:b/>
        </w:rPr>
      </w:pPr>
      <w:r w:rsidRPr="00B14011">
        <w:rPr>
          <w:sz w:val="20"/>
          <w:szCs w:val="20"/>
        </w:rPr>
        <w:lastRenderedPageBreak/>
        <w:t xml:space="preserve">To help the </w:t>
      </w:r>
      <w:r w:rsidR="00BC5431">
        <w:rPr>
          <w:sz w:val="20"/>
          <w:szCs w:val="20"/>
        </w:rPr>
        <w:t>G</w:t>
      </w:r>
      <w:r w:rsidRPr="00B14011">
        <w:rPr>
          <w:sz w:val="20"/>
          <w:szCs w:val="20"/>
        </w:rPr>
        <w:t>overnment meet its international commitments under the Kyoto Protocol and Paris Agreement</w:t>
      </w:r>
      <w:r w:rsidR="00BC5431">
        <w:rPr>
          <w:sz w:val="20"/>
          <w:szCs w:val="20"/>
        </w:rPr>
        <w:t xml:space="preserve"> of the United Nations Framework Convention on Climate Change</w:t>
      </w:r>
      <w:r w:rsidRPr="00B14011">
        <w:rPr>
          <w:sz w:val="20"/>
          <w:szCs w:val="20"/>
        </w:rPr>
        <w:t xml:space="preserve"> </w:t>
      </w:r>
      <w:r w:rsidR="00C9747C">
        <w:rPr>
          <w:sz w:val="20"/>
          <w:szCs w:val="20"/>
        </w:rPr>
        <w:t xml:space="preserve">(UNFCCC) </w:t>
      </w:r>
      <w:r w:rsidRPr="00B14011">
        <w:rPr>
          <w:sz w:val="20"/>
          <w:szCs w:val="20"/>
        </w:rPr>
        <w:t xml:space="preserve">and </w:t>
      </w:r>
      <w:r w:rsidR="00BC5431">
        <w:rPr>
          <w:sz w:val="20"/>
          <w:szCs w:val="20"/>
        </w:rPr>
        <w:t xml:space="preserve">the </w:t>
      </w:r>
      <w:r w:rsidRPr="00B14011">
        <w:rPr>
          <w:sz w:val="20"/>
          <w:szCs w:val="20"/>
        </w:rPr>
        <w:t xml:space="preserve">Sendai Framework for Disaster Risk Reduction, UNDP will address institutional root causes of increased climate and disaster risk </w:t>
      </w:r>
      <w:r w:rsidR="000647E0" w:rsidRPr="00B14011">
        <w:rPr>
          <w:sz w:val="20"/>
          <w:szCs w:val="20"/>
        </w:rPr>
        <w:t xml:space="preserve">by </w:t>
      </w:r>
      <w:r w:rsidRPr="00B14011">
        <w:rPr>
          <w:sz w:val="20"/>
          <w:szCs w:val="20"/>
        </w:rPr>
        <w:t>contrib</w:t>
      </w:r>
      <w:r w:rsidR="000647E0" w:rsidRPr="00B14011">
        <w:rPr>
          <w:sz w:val="20"/>
          <w:szCs w:val="20"/>
        </w:rPr>
        <w:t>uting</w:t>
      </w:r>
      <w:r w:rsidRPr="00B14011">
        <w:rPr>
          <w:sz w:val="20"/>
          <w:szCs w:val="20"/>
        </w:rPr>
        <w:t xml:space="preserve"> to the knowledge and evidence base needed </w:t>
      </w:r>
      <w:r w:rsidR="004B428A" w:rsidRPr="00B14011">
        <w:rPr>
          <w:sz w:val="20"/>
          <w:szCs w:val="20"/>
        </w:rPr>
        <w:t xml:space="preserve">to </w:t>
      </w:r>
      <w:r w:rsidRPr="00B14011">
        <w:rPr>
          <w:sz w:val="20"/>
          <w:szCs w:val="20"/>
        </w:rPr>
        <w:t>develop and implement risk-informed strategies for</w:t>
      </w:r>
      <w:r w:rsidR="00855FF1">
        <w:rPr>
          <w:sz w:val="20"/>
          <w:szCs w:val="20"/>
        </w:rPr>
        <w:t>:</w:t>
      </w:r>
      <w:r w:rsidRPr="00B14011">
        <w:rPr>
          <w:sz w:val="20"/>
          <w:szCs w:val="20"/>
        </w:rPr>
        <w:t xml:space="preserve"> </w:t>
      </w:r>
      <w:r w:rsidR="00855FF1">
        <w:rPr>
          <w:sz w:val="20"/>
          <w:szCs w:val="20"/>
        </w:rPr>
        <w:t xml:space="preserve">(a) </w:t>
      </w:r>
      <w:r w:rsidRPr="00B14011">
        <w:rPr>
          <w:sz w:val="20"/>
          <w:szCs w:val="20"/>
        </w:rPr>
        <w:t>climate change adaptation</w:t>
      </w:r>
      <w:r w:rsidR="000647E0" w:rsidRPr="00B14011">
        <w:rPr>
          <w:sz w:val="20"/>
          <w:szCs w:val="20"/>
        </w:rPr>
        <w:t xml:space="preserve"> with </w:t>
      </w:r>
      <w:r w:rsidR="00BC5431">
        <w:rPr>
          <w:sz w:val="20"/>
          <w:szCs w:val="20"/>
        </w:rPr>
        <w:t>the World Food Programme (</w:t>
      </w:r>
      <w:r w:rsidR="000647E0" w:rsidRPr="00B14011">
        <w:rPr>
          <w:sz w:val="20"/>
          <w:szCs w:val="20"/>
        </w:rPr>
        <w:t>WFP)</w:t>
      </w:r>
      <w:r w:rsidR="00855FF1">
        <w:rPr>
          <w:sz w:val="20"/>
          <w:szCs w:val="20"/>
        </w:rPr>
        <w:t>;</w:t>
      </w:r>
      <w:r w:rsidRPr="00B14011">
        <w:rPr>
          <w:sz w:val="20"/>
          <w:szCs w:val="20"/>
        </w:rPr>
        <w:t xml:space="preserve"> </w:t>
      </w:r>
      <w:r w:rsidR="00855FF1">
        <w:rPr>
          <w:sz w:val="20"/>
          <w:szCs w:val="20"/>
        </w:rPr>
        <w:t xml:space="preserve">(b) </w:t>
      </w:r>
      <w:r w:rsidRPr="00B14011">
        <w:rPr>
          <w:sz w:val="20"/>
          <w:szCs w:val="20"/>
        </w:rPr>
        <w:t>disaster risk reduction</w:t>
      </w:r>
      <w:r w:rsidR="000647E0" w:rsidRPr="00B14011">
        <w:rPr>
          <w:sz w:val="20"/>
          <w:szCs w:val="20"/>
        </w:rPr>
        <w:t xml:space="preserve"> with </w:t>
      </w:r>
      <w:r w:rsidR="00BC5431">
        <w:rPr>
          <w:sz w:val="20"/>
          <w:szCs w:val="20"/>
        </w:rPr>
        <w:t>the United Nations International Strategy for Disaster Risk Reduction (</w:t>
      </w:r>
      <w:r w:rsidR="000647E0" w:rsidRPr="00B14011">
        <w:rPr>
          <w:sz w:val="20"/>
          <w:szCs w:val="20"/>
        </w:rPr>
        <w:t>UNISDR)</w:t>
      </w:r>
      <w:r w:rsidR="00855FF1">
        <w:rPr>
          <w:sz w:val="20"/>
          <w:szCs w:val="20"/>
        </w:rPr>
        <w:t>;</w:t>
      </w:r>
      <w:r w:rsidRPr="00B14011">
        <w:rPr>
          <w:sz w:val="20"/>
          <w:szCs w:val="20"/>
        </w:rPr>
        <w:t xml:space="preserve"> and </w:t>
      </w:r>
      <w:r w:rsidR="00855FF1">
        <w:rPr>
          <w:sz w:val="20"/>
          <w:szCs w:val="20"/>
        </w:rPr>
        <w:t xml:space="preserve">(c) </w:t>
      </w:r>
      <w:r w:rsidRPr="00B14011">
        <w:rPr>
          <w:sz w:val="20"/>
          <w:szCs w:val="20"/>
        </w:rPr>
        <w:t xml:space="preserve">natural resource management </w:t>
      </w:r>
      <w:r w:rsidR="000647E0" w:rsidRPr="00B14011">
        <w:rPr>
          <w:sz w:val="20"/>
          <w:szCs w:val="20"/>
        </w:rPr>
        <w:t xml:space="preserve">with </w:t>
      </w:r>
      <w:r w:rsidR="00BC5431">
        <w:rPr>
          <w:sz w:val="20"/>
          <w:szCs w:val="20"/>
        </w:rPr>
        <w:t>the United Nations Environment Programme (</w:t>
      </w:r>
      <w:r w:rsidR="000647E0" w:rsidRPr="00B14011">
        <w:rPr>
          <w:sz w:val="20"/>
          <w:szCs w:val="20"/>
        </w:rPr>
        <w:t>UNEP</w:t>
      </w:r>
      <w:r w:rsidR="00BC5431">
        <w:rPr>
          <w:sz w:val="20"/>
          <w:szCs w:val="20"/>
        </w:rPr>
        <w:t>) and the Global Environment Facility (</w:t>
      </w:r>
      <w:r w:rsidR="00225F1A" w:rsidRPr="00B14011">
        <w:rPr>
          <w:sz w:val="20"/>
          <w:szCs w:val="20"/>
        </w:rPr>
        <w:t>GEF</w:t>
      </w:r>
      <w:r w:rsidR="000647E0" w:rsidRPr="00B14011">
        <w:rPr>
          <w:sz w:val="20"/>
          <w:szCs w:val="20"/>
        </w:rPr>
        <w:t>)</w:t>
      </w:r>
      <w:r w:rsidR="00855FF1">
        <w:rPr>
          <w:sz w:val="20"/>
          <w:szCs w:val="20"/>
        </w:rPr>
        <w:t>.</w:t>
      </w:r>
      <w:r w:rsidR="000647E0" w:rsidRPr="00B14011">
        <w:rPr>
          <w:sz w:val="20"/>
          <w:szCs w:val="20"/>
        </w:rPr>
        <w:t xml:space="preserve"> </w:t>
      </w:r>
      <w:r w:rsidR="00855FF1">
        <w:rPr>
          <w:sz w:val="20"/>
          <w:szCs w:val="20"/>
        </w:rPr>
        <w:t xml:space="preserve">These will </w:t>
      </w:r>
      <w:r w:rsidRPr="00B14011">
        <w:rPr>
          <w:sz w:val="20"/>
          <w:szCs w:val="20"/>
        </w:rPr>
        <w:t>prioritize actions to support the most vulnerable population groups (SDGs 10, 13)</w:t>
      </w:r>
      <w:r w:rsidR="00B2269B" w:rsidRPr="00B14011">
        <w:rPr>
          <w:sz w:val="20"/>
          <w:szCs w:val="20"/>
        </w:rPr>
        <w:t xml:space="preserve"> and reduce conflict risk through more equitable access to natural resources</w:t>
      </w:r>
      <w:r w:rsidRPr="00B14011">
        <w:rPr>
          <w:sz w:val="20"/>
          <w:szCs w:val="20"/>
        </w:rPr>
        <w:t>.</w:t>
      </w:r>
    </w:p>
    <w:p w14:paraId="161FEA17" w14:textId="03EDDA1F" w:rsidR="00D80649" w:rsidRPr="00B14011" w:rsidRDefault="00077591" w:rsidP="008B6648">
      <w:pPr>
        <w:pStyle w:val="ListParagraph"/>
        <w:numPr>
          <w:ilvl w:val="0"/>
          <w:numId w:val="3"/>
        </w:numPr>
        <w:tabs>
          <w:tab w:val="left" w:pos="1080"/>
        </w:tabs>
        <w:spacing w:after="120"/>
        <w:ind w:firstLine="0"/>
        <w:jc w:val="both"/>
        <w:rPr>
          <w:b/>
        </w:rPr>
      </w:pPr>
      <w:r w:rsidRPr="00B14011">
        <w:rPr>
          <w:sz w:val="20"/>
          <w:szCs w:val="20"/>
        </w:rPr>
        <w:t>UNDP</w:t>
      </w:r>
      <w:r w:rsidR="00855FF1">
        <w:rPr>
          <w:sz w:val="20"/>
          <w:szCs w:val="20"/>
        </w:rPr>
        <w:t>,</w:t>
      </w:r>
      <w:r w:rsidRPr="00B14011">
        <w:rPr>
          <w:sz w:val="20"/>
          <w:szCs w:val="20"/>
        </w:rPr>
        <w:t xml:space="preserve"> in partnership with the Green Climate Fund</w:t>
      </w:r>
      <w:r w:rsidR="00520F07">
        <w:rPr>
          <w:sz w:val="20"/>
          <w:szCs w:val="20"/>
        </w:rPr>
        <w:t>,</w:t>
      </w:r>
      <w:r w:rsidRPr="00B14011">
        <w:rPr>
          <w:sz w:val="20"/>
          <w:szCs w:val="20"/>
        </w:rPr>
        <w:t xml:space="preserve"> will strengthen the resilience of vulnerable smallholder farmers </w:t>
      </w:r>
      <w:r w:rsidR="00E61F51" w:rsidRPr="00B14011">
        <w:rPr>
          <w:sz w:val="20"/>
          <w:szCs w:val="20"/>
        </w:rPr>
        <w:t>(</w:t>
      </w:r>
      <w:r w:rsidR="00FF3413" w:rsidRPr="00B14011">
        <w:rPr>
          <w:sz w:val="20"/>
          <w:szCs w:val="20"/>
        </w:rPr>
        <w:t xml:space="preserve">especially women) </w:t>
      </w:r>
      <w:r w:rsidRPr="00B14011">
        <w:rPr>
          <w:sz w:val="20"/>
          <w:szCs w:val="20"/>
        </w:rPr>
        <w:t xml:space="preserve">in the country’s </w:t>
      </w:r>
      <w:r w:rsidR="00C9747C">
        <w:rPr>
          <w:sz w:val="20"/>
          <w:szCs w:val="20"/>
        </w:rPr>
        <w:t>d</w:t>
      </w:r>
      <w:r w:rsidRPr="00B14011">
        <w:rPr>
          <w:sz w:val="20"/>
          <w:szCs w:val="20"/>
        </w:rPr>
        <w:t xml:space="preserve">ry </w:t>
      </w:r>
      <w:r w:rsidR="00C9747C">
        <w:rPr>
          <w:sz w:val="20"/>
          <w:szCs w:val="20"/>
        </w:rPr>
        <w:t>z</w:t>
      </w:r>
      <w:r w:rsidRPr="00B14011">
        <w:rPr>
          <w:sz w:val="20"/>
          <w:szCs w:val="20"/>
        </w:rPr>
        <w:t>one who are facing increasing climate risks by addressing technical, financial and institutional barriers related to achieving integrated water management to improve agriculture-based livelihoods</w:t>
      </w:r>
      <w:r w:rsidR="00D80649" w:rsidRPr="00B14011">
        <w:rPr>
          <w:sz w:val="20"/>
          <w:szCs w:val="20"/>
        </w:rPr>
        <w:t>. UNDP will bring to scale a government co-financed pilot initiative to convert municipal waste to energy and other marketable products</w:t>
      </w:r>
      <w:r w:rsidR="00D8547C" w:rsidRPr="00B14011">
        <w:rPr>
          <w:sz w:val="20"/>
          <w:szCs w:val="20"/>
        </w:rPr>
        <w:t xml:space="preserve"> </w:t>
      </w:r>
      <w:r w:rsidR="000116C4" w:rsidRPr="00B14011">
        <w:rPr>
          <w:sz w:val="20"/>
          <w:szCs w:val="20"/>
        </w:rPr>
        <w:t>(</w:t>
      </w:r>
      <w:r w:rsidR="00D8547C" w:rsidRPr="00B14011">
        <w:rPr>
          <w:sz w:val="20"/>
          <w:szCs w:val="20"/>
        </w:rPr>
        <w:t>through the promotion of public-private partnerships</w:t>
      </w:r>
      <w:r w:rsidR="000116C4" w:rsidRPr="00B14011">
        <w:rPr>
          <w:sz w:val="20"/>
          <w:szCs w:val="20"/>
        </w:rPr>
        <w:t>)</w:t>
      </w:r>
      <w:r w:rsidR="00D8547C" w:rsidRPr="00B14011">
        <w:rPr>
          <w:sz w:val="20"/>
          <w:szCs w:val="20"/>
        </w:rPr>
        <w:t>.</w:t>
      </w:r>
      <w:r w:rsidR="00D80649" w:rsidRPr="00B14011">
        <w:rPr>
          <w:sz w:val="20"/>
          <w:szCs w:val="20"/>
        </w:rPr>
        <w:t xml:space="preserve"> UNDP will initiate programming on urban area planning </w:t>
      </w:r>
      <w:r w:rsidR="00967CF2" w:rsidRPr="00B14011">
        <w:rPr>
          <w:sz w:val="20"/>
          <w:szCs w:val="20"/>
        </w:rPr>
        <w:t xml:space="preserve">in the Western Province </w:t>
      </w:r>
      <w:r w:rsidR="00D80649" w:rsidRPr="00B14011">
        <w:rPr>
          <w:sz w:val="20"/>
          <w:szCs w:val="20"/>
        </w:rPr>
        <w:t xml:space="preserve">for climate-resilient cities, including pilot initiatives to demonstrate options for converting commercial and urban areas into green </w:t>
      </w:r>
      <w:r w:rsidR="00794B09" w:rsidRPr="00B14011">
        <w:rPr>
          <w:sz w:val="20"/>
          <w:szCs w:val="20"/>
        </w:rPr>
        <w:t xml:space="preserve">and climate-resilient </w:t>
      </w:r>
      <w:r w:rsidR="00D80649" w:rsidRPr="00B14011">
        <w:rPr>
          <w:sz w:val="20"/>
          <w:szCs w:val="20"/>
        </w:rPr>
        <w:t xml:space="preserve">spaces (SDGs 7, 11). </w:t>
      </w:r>
      <w:r w:rsidR="00CA5FE0">
        <w:rPr>
          <w:sz w:val="20"/>
          <w:szCs w:val="20"/>
        </w:rPr>
        <w:t>In partnership with the Food and Agricultural Organization of the United Nations (FAO), i</w:t>
      </w:r>
      <w:r w:rsidR="00C9747C">
        <w:rPr>
          <w:sz w:val="20"/>
          <w:szCs w:val="20"/>
        </w:rPr>
        <w:t>t will support a</w:t>
      </w:r>
      <w:r w:rsidR="00D80649" w:rsidRPr="00B14011">
        <w:rPr>
          <w:sz w:val="20"/>
          <w:szCs w:val="20"/>
        </w:rPr>
        <w:t xml:space="preserve">chievement of national goals for emission reductions from deforestation and forest degradation through implementation of the </w:t>
      </w:r>
      <w:r w:rsidR="00C9747C">
        <w:rPr>
          <w:sz w:val="20"/>
          <w:szCs w:val="20"/>
        </w:rPr>
        <w:t>n</w:t>
      </w:r>
      <w:r w:rsidR="00D80649" w:rsidRPr="00B14011">
        <w:rPr>
          <w:sz w:val="20"/>
          <w:szCs w:val="20"/>
        </w:rPr>
        <w:t xml:space="preserve">ational REDD+ </w:t>
      </w:r>
      <w:r w:rsidR="00C9747C">
        <w:rPr>
          <w:sz w:val="20"/>
          <w:szCs w:val="20"/>
        </w:rPr>
        <w:t>i</w:t>
      </w:r>
      <w:r w:rsidR="00D80649" w:rsidRPr="00B14011">
        <w:rPr>
          <w:sz w:val="20"/>
          <w:szCs w:val="20"/>
        </w:rPr>
        <w:t xml:space="preserve">nvestment </w:t>
      </w:r>
      <w:r w:rsidR="00C9747C">
        <w:rPr>
          <w:sz w:val="20"/>
          <w:szCs w:val="20"/>
        </w:rPr>
        <w:t>f</w:t>
      </w:r>
      <w:r w:rsidR="00D80649" w:rsidRPr="00B14011">
        <w:rPr>
          <w:sz w:val="20"/>
          <w:szCs w:val="20"/>
        </w:rPr>
        <w:t xml:space="preserve">ramework and </w:t>
      </w:r>
      <w:r w:rsidR="00C9747C">
        <w:rPr>
          <w:sz w:val="20"/>
          <w:szCs w:val="20"/>
        </w:rPr>
        <w:t>a</w:t>
      </w:r>
      <w:r w:rsidR="00D80649" w:rsidRPr="00B14011">
        <w:rPr>
          <w:sz w:val="20"/>
          <w:szCs w:val="20"/>
        </w:rPr>
        <w:t xml:space="preserve">ction </w:t>
      </w:r>
      <w:r w:rsidR="00C9747C">
        <w:rPr>
          <w:sz w:val="20"/>
          <w:szCs w:val="20"/>
        </w:rPr>
        <w:t>p</w:t>
      </w:r>
      <w:r w:rsidR="00D80649" w:rsidRPr="00B14011">
        <w:rPr>
          <w:sz w:val="20"/>
          <w:szCs w:val="20"/>
        </w:rPr>
        <w:t xml:space="preserve">lan and </w:t>
      </w:r>
      <w:r w:rsidR="00794B09" w:rsidRPr="00B14011">
        <w:rPr>
          <w:sz w:val="20"/>
          <w:szCs w:val="20"/>
        </w:rPr>
        <w:t xml:space="preserve">expansion </w:t>
      </w:r>
      <w:r w:rsidR="00D80649" w:rsidRPr="00B14011">
        <w:rPr>
          <w:sz w:val="20"/>
          <w:szCs w:val="20"/>
        </w:rPr>
        <w:t>of community forestry (SDG 13).</w:t>
      </w:r>
    </w:p>
    <w:p w14:paraId="593974FB" w14:textId="7E17F3EE" w:rsidR="00D80649" w:rsidRPr="00B14011" w:rsidRDefault="00D80649" w:rsidP="008B6648">
      <w:pPr>
        <w:pStyle w:val="ListParagraph"/>
        <w:numPr>
          <w:ilvl w:val="0"/>
          <w:numId w:val="3"/>
        </w:numPr>
        <w:tabs>
          <w:tab w:val="left" w:pos="1080"/>
        </w:tabs>
        <w:spacing w:after="120"/>
        <w:ind w:firstLine="0"/>
        <w:jc w:val="both"/>
        <w:rPr>
          <w:b/>
        </w:rPr>
      </w:pPr>
      <w:r w:rsidRPr="00B14011">
        <w:rPr>
          <w:sz w:val="20"/>
          <w:szCs w:val="20"/>
        </w:rPr>
        <w:t xml:space="preserve">To improve public oversight of natural resource management, UNDP will help </w:t>
      </w:r>
      <w:r w:rsidR="004B428A" w:rsidRPr="00B14011">
        <w:rPr>
          <w:sz w:val="20"/>
          <w:szCs w:val="20"/>
        </w:rPr>
        <w:t>civil society to leverage</w:t>
      </w:r>
      <w:r w:rsidRPr="00B14011">
        <w:rPr>
          <w:sz w:val="20"/>
          <w:szCs w:val="20"/>
        </w:rPr>
        <w:t xml:space="preserve"> the </w:t>
      </w:r>
      <w:r w:rsidR="00C9747C">
        <w:rPr>
          <w:sz w:val="20"/>
          <w:szCs w:val="20"/>
        </w:rPr>
        <w:t>r</w:t>
      </w:r>
      <w:r w:rsidRPr="00B14011">
        <w:rPr>
          <w:sz w:val="20"/>
          <w:szCs w:val="20"/>
        </w:rPr>
        <w:t xml:space="preserve">ight to </w:t>
      </w:r>
      <w:r w:rsidR="00C9747C">
        <w:rPr>
          <w:sz w:val="20"/>
          <w:szCs w:val="20"/>
        </w:rPr>
        <w:t>i</w:t>
      </w:r>
      <w:r w:rsidRPr="00B14011">
        <w:rPr>
          <w:sz w:val="20"/>
          <w:szCs w:val="20"/>
        </w:rPr>
        <w:t xml:space="preserve">nformation </w:t>
      </w:r>
      <w:r w:rsidR="00C9747C">
        <w:rPr>
          <w:sz w:val="20"/>
          <w:szCs w:val="20"/>
        </w:rPr>
        <w:t>a</w:t>
      </w:r>
      <w:r w:rsidRPr="00B14011">
        <w:rPr>
          <w:sz w:val="20"/>
          <w:szCs w:val="20"/>
        </w:rPr>
        <w:t xml:space="preserve">ct’s provisions </w:t>
      </w:r>
      <w:r w:rsidR="004B428A" w:rsidRPr="00B14011">
        <w:rPr>
          <w:sz w:val="20"/>
          <w:szCs w:val="20"/>
        </w:rPr>
        <w:t>in monitoring</w:t>
      </w:r>
      <w:r w:rsidRPr="00B14011">
        <w:rPr>
          <w:sz w:val="20"/>
          <w:szCs w:val="20"/>
        </w:rPr>
        <w:t xml:space="preserve"> enforcement of environmental law</w:t>
      </w:r>
      <w:r w:rsidR="004B428A" w:rsidRPr="00B14011">
        <w:rPr>
          <w:sz w:val="20"/>
          <w:szCs w:val="20"/>
        </w:rPr>
        <w:t>s</w:t>
      </w:r>
      <w:r w:rsidRPr="00B14011">
        <w:rPr>
          <w:sz w:val="20"/>
          <w:szCs w:val="20"/>
        </w:rPr>
        <w:t xml:space="preserve"> and standards, with a</w:t>
      </w:r>
      <w:r w:rsidR="00222CD1" w:rsidRPr="00B14011">
        <w:rPr>
          <w:sz w:val="20"/>
          <w:szCs w:val="20"/>
        </w:rPr>
        <w:t xml:space="preserve"> special focus on engaging young men and women</w:t>
      </w:r>
      <w:r w:rsidRPr="00B14011">
        <w:rPr>
          <w:sz w:val="20"/>
          <w:szCs w:val="20"/>
        </w:rPr>
        <w:t xml:space="preserve"> in promoting behavioural change (SDG 16).</w:t>
      </w:r>
    </w:p>
    <w:p w14:paraId="0300167D" w14:textId="6B8CB19A" w:rsidR="00D80649" w:rsidRPr="00B14011" w:rsidRDefault="00D80649" w:rsidP="008B6648">
      <w:pPr>
        <w:pStyle w:val="ListParagraph"/>
        <w:numPr>
          <w:ilvl w:val="0"/>
          <w:numId w:val="3"/>
        </w:numPr>
        <w:tabs>
          <w:tab w:val="left" w:pos="1080"/>
        </w:tabs>
        <w:spacing w:after="120"/>
        <w:ind w:firstLine="0"/>
        <w:jc w:val="both"/>
        <w:rPr>
          <w:b/>
        </w:rPr>
      </w:pPr>
      <w:r w:rsidRPr="00B14011">
        <w:rPr>
          <w:sz w:val="20"/>
          <w:szCs w:val="20"/>
        </w:rPr>
        <w:t>UNDP will facilitate engagement between the private sector and government to explore carbon</w:t>
      </w:r>
      <w:r w:rsidR="007E7806" w:rsidRPr="00B14011">
        <w:rPr>
          <w:sz w:val="20"/>
          <w:szCs w:val="20"/>
        </w:rPr>
        <w:t>-</w:t>
      </w:r>
      <w:r w:rsidRPr="00B14011">
        <w:rPr>
          <w:sz w:val="20"/>
          <w:szCs w:val="20"/>
        </w:rPr>
        <w:t xml:space="preserve">related taxes, penalties and incentives to promote low-emission development and increase investment in low-carbon development. This will contribute to the achievement of the country’s renewable energy targets in line with </w:t>
      </w:r>
      <w:r w:rsidR="00C9747C">
        <w:rPr>
          <w:sz w:val="20"/>
          <w:szCs w:val="20"/>
        </w:rPr>
        <w:t>n</w:t>
      </w:r>
      <w:r w:rsidRPr="00B14011">
        <w:rPr>
          <w:sz w:val="20"/>
          <w:szCs w:val="20"/>
        </w:rPr>
        <w:t xml:space="preserve">ationally </w:t>
      </w:r>
      <w:r w:rsidR="00C9747C">
        <w:rPr>
          <w:sz w:val="20"/>
          <w:szCs w:val="20"/>
        </w:rPr>
        <w:t>d</w:t>
      </w:r>
      <w:r w:rsidRPr="00B14011">
        <w:rPr>
          <w:sz w:val="20"/>
          <w:szCs w:val="20"/>
        </w:rPr>
        <w:t xml:space="preserve">etermined </w:t>
      </w:r>
      <w:r w:rsidR="00C9747C">
        <w:rPr>
          <w:sz w:val="20"/>
          <w:szCs w:val="20"/>
        </w:rPr>
        <w:t>c</w:t>
      </w:r>
      <w:r w:rsidRPr="00B14011">
        <w:rPr>
          <w:sz w:val="20"/>
          <w:szCs w:val="20"/>
        </w:rPr>
        <w:t xml:space="preserve">ontributions under the UNFCCC and </w:t>
      </w:r>
      <w:r w:rsidR="00CD2618">
        <w:rPr>
          <w:sz w:val="20"/>
          <w:szCs w:val="20"/>
        </w:rPr>
        <w:t>n</w:t>
      </w:r>
      <w:r w:rsidRPr="00B14011">
        <w:rPr>
          <w:sz w:val="20"/>
          <w:szCs w:val="20"/>
        </w:rPr>
        <w:t xml:space="preserve">ational </w:t>
      </w:r>
      <w:r w:rsidR="00CD2618">
        <w:rPr>
          <w:sz w:val="20"/>
          <w:szCs w:val="20"/>
        </w:rPr>
        <w:t>e</w:t>
      </w:r>
      <w:r w:rsidRPr="00B14011">
        <w:rPr>
          <w:sz w:val="20"/>
          <w:szCs w:val="20"/>
        </w:rPr>
        <w:t xml:space="preserve">nergy </w:t>
      </w:r>
      <w:r w:rsidR="00CD2618">
        <w:rPr>
          <w:sz w:val="20"/>
          <w:szCs w:val="20"/>
        </w:rPr>
        <w:t>p</w:t>
      </w:r>
      <w:r w:rsidRPr="00B14011">
        <w:rPr>
          <w:sz w:val="20"/>
          <w:szCs w:val="20"/>
        </w:rPr>
        <w:t>olicy. UNDP will provide policy advice and support to piloting market-based instruments, certification and standards for sustainable consumption and production.</w:t>
      </w:r>
    </w:p>
    <w:p w14:paraId="74291E8D" w14:textId="77777777" w:rsidR="00A75D6F" w:rsidRPr="005A3BE4" w:rsidRDefault="00A75D6F" w:rsidP="008B6648">
      <w:pPr>
        <w:tabs>
          <w:tab w:val="left" w:pos="1080"/>
        </w:tabs>
        <w:spacing w:after="120"/>
        <w:ind w:firstLine="720"/>
        <w:jc w:val="both"/>
        <w:outlineLvl w:val="0"/>
        <w:rPr>
          <w:i/>
          <w:sz w:val="20"/>
          <w:szCs w:val="20"/>
          <w:u w:val="single"/>
        </w:rPr>
      </w:pPr>
      <w:r w:rsidRPr="005A3BE4">
        <w:rPr>
          <w:i/>
          <w:sz w:val="20"/>
          <w:szCs w:val="20"/>
        </w:rPr>
        <w:t>Building the data and knowledge foundations for evidence-based policy development</w:t>
      </w:r>
    </w:p>
    <w:p w14:paraId="784518DD" w14:textId="1119B04B" w:rsidR="00FB4BF9" w:rsidRPr="00B14011" w:rsidRDefault="00A75D6F" w:rsidP="00013A8D">
      <w:pPr>
        <w:pStyle w:val="ListParagraph"/>
        <w:numPr>
          <w:ilvl w:val="0"/>
          <w:numId w:val="3"/>
        </w:numPr>
        <w:tabs>
          <w:tab w:val="left" w:pos="1080"/>
        </w:tabs>
        <w:spacing w:after="120"/>
        <w:ind w:firstLine="0"/>
        <w:jc w:val="both"/>
        <w:rPr>
          <w:b/>
        </w:rPr>
      </w:pPr>
      <w:r w:rsidRPr="00B14011">
        <w:rPr>
          <w:sz w:val="20"/>
          <w:szCs w:val="20"/>
        </w:rPr>
        <w:t xml:space="preserve">UNDP activities will </w:t>
      </w:r>
      <w:r w:rsidR="00E326F8">
        <w:rPr>
          <w:sz w:val="20"/>
          <w:szCs w:val="20"/>
        </w:rPr>
        <w:t xml:space="preserve">also </w:t>
      </w:r>
      <w:r w:rsidR="004422A7" w:rsidRPr="00B14011">
        <w:rPr>
          <w:sz w:val="20"/>
          <w:szCs w:val="20"/>
        </w:rPr>
        <w:t xml:space="preserve">contribute to the country’s knowledge base and </w:t>
      </w:r>
      <w:r w:rsidR="00564E69" w:rsidRPr="00B14011">
        <w:rPr>
          <w:sz w:val="20"/>
          <w:szCs w:val="20"/>
        </w:rPr>
        <w:t xml:space="preserve">help generate </w:t>
      </w:r>
      <w:r w:rsidR="004422A7" w:rsidRPr="00B14011">
        <w:rPr>
          <w:sz w:val="20"/>
          <w:szCs w:val="20"/>
        </w:rPr>
        <w:t xml:space="preserve">data and evidence </w:t>
      </w:r>
      <w:r w:rsidR="00564E69" w:rsidRPr="00B14011">
        <w:rPr>
          <w:sz w:val="20"/>
          <w:szCs w:val="20"/>
        </w:rPr>
        <w:t xml:space="preserve">needed </w:t>
      </w:r>
      <w:r w:rsidR="004422A7" w:rsidRPr="00B14011">
        <w:rPr>
          <w:sz w:val="20"/>
          <w:szCs w:val="20"/>
        </w:rPr>
        <w:t xml:space="preserve">to support its work across the programme. </w:t>
      </w:r>
      <w:r w:rsidRPr="00B14011">
        <w:rPr>
          <w:sz w:val="20"/>
          <w:szCs w:val="20"/>
        </w:rPr>
        <w:t xml:space="preserve">UNDP will </w:t>
      </w:r>
      <w:r w:rsidR="000876A3" w:rsidRPr="00B14011">
        <w:rPr>
          <w:sz w:val="20"/>
          <w:szCs w:val="20"/>
        </w:rPr>
        <w:t xml:space="preserve">contribute to </w:t>
      </w:r>
      <w:r w:rsidR="00382DCB" w:rsidRPr="00B14011">
        <w:rPr>
          <w:sz w:val="20"/>
          <w:szCs w:val="20"/>
        </w:rPr>
        <w:t>a U</w:t>
      </w:r>
      <w:r w:rsidR="00865E61">
        <w:rPr>
          <w:sz w:val="20"/>
          <w:szCs w:val="20"/>
        </w:rPr>
        <w:t xml:space="preserve">nited </w:t>
      </w:r>
      <w:r w:rsidR="00382DCB" w:rsidRPr="00B14011">
        <w:rPr>
          <w:sz w:val="20"/>
          <w:szCs w:val="20"/>
        </w:rPr>
        <w:t>N</w:t>
      </w:r>
      <w:r w:rsidR="00865E61">
        <w:rPr>
          <w:sz w:val="20"/>
          <w:szCs w:val="20"/>
        </w:rPr>
        <w:t>ations country team</w:t>
      </w:r>
      <w:r w:rsidR="00382DCB" w:rsidRPr="00B14011">
        <w:rPr>
          <w:sz w:val="20"/>
          <w:szCs w:val="20"/>
        </w:rPr>
        <w:t>-wide initiative</w:t>
      </w:r>
      <w:r w:rsidR="000876A3" w:rsidRPr="00B14011">
        <w:rPr>
          <w:sz w:val="20"/>
          <w:szCs w:val="20"/>
        </w:rPr>
        <w:t xml:space="preserve"> that </w:t>
      </w:r>
      <w:r w:rsidRPr="00B14011">
        <w:rPr>
          <w:sz w:val="20"/>
          <w:szCs w:val="20"/>
        </w:rPr>
        <w:t>focus</w:t>
      </w:r>
      <w:r w:rsidR="00865E61">
        <w:rPr>
          <w:sz w:val="20"/>
          <w:szCs w:val="20"/>
        </w:rPr>
        <w:t>es</w:t>
      </w:r>
      <w:r w:rsidRPr="00B14011">
        <w:rPr>
          <w:sz w:val="20"/>
          <w:szCs w:val="20"/>
        </w:rPr>
        <w:t xml:space="preserve"> on strengthening national capacities for </w:t>
      </w:r>
      <w:r w:rsidR="00AE0584" w:rsidRPr="00B14011">
        <w:rPr>
          <w:sz w:val="20"/>
          <w:szCs w:val="20"/>
        </w:rPr>
        <w:t xml:space="preserve">disaggregated </w:t>
      </w:r>
      <w:r w:rsidRPr="00B14011">
        <w:rPr>
          <w:sz w:val="20"/>
          <w:szCs w:val="20"/>
        </w:rPr>
        <w:t>data collection</w:t>
      </w:r>
      <w:r w:rsidR="000876A3" w:rsidRPr="00B14011">
        <w:rPr>
          <w:sz w:val="20"/>
          <w:szCs w:val="20"/>
        </w:rPr>
        <w:t>,</w:t>
      </w:r>
      <w:r w:rsidRPr="00B14011">
        <w:rPr>
          <w:sz w:val="20"/>
          <w:szCs w:val="20"/>
        </w:rPr>
        <w:t xml:space="preserve"> analysis on national SDG priorities</w:t>
      </w:r>
      <w:r w:rsidR="00D671B9" w:rsidRPr="00B14011">
        <w:rPr>
          <w:sz w:val="20"/>
          <w:szCs w:val="20"/>
        </w:rPr>
        <w:t xml:space="preserve"> </w:t>
      </w:r>
      <w:r w:rsidR="00865E61">
        <w:rPr>
          <w:sz w:val="20"/>
          <w:szCs w:val="20"/>
        </w:rPr>
        <w:t xml:space="preserve">by </w:t>
      </w:r>
      <w:r w:rsidR="00D671B9" w:rsidRPr="00B14011">
        <w:rPr>
          <w:sz w:val="20"/>
          <w:szCs w:val="20"/>
        </w:rPr>
        <w:t>establish</w:t>
      </w:r>
      <w:r w:rsidR="00865E61">
        <w:rPr>
          <w:sz w:val="20"/>
          <w:szCs w:val="20"/>
        </w:rPr>
        <w:t>ing</w:t>
      </w:r>
      <w:r w:rsidR="00D671B9" w:rsidRPr="00B14011">
        <w:rPr>
          <w:sz w:val="20"/>
          <w:szCs w:val="20"/>
        </w:rPr>
        <w:t xml:space="preserve"> national SDG baselines</w:t>
      </w:r>
      <w:r w:rsidR="000876A3" w:rsidRPr="00B14011">
        <w:rPr>
          <w:sz w:val="20"/>
          <w:szCs w:val="20"/>
        </w:rPr>
        <w:t xml:space="preserve"> and platforms for data sharing across government and with the public</w:t>
      </w:r>
      <w:r w:rsidRPr="00B14011">
        <w:rPr>
          <w:sz w:val="20"/>
          <w:szCs w:val="20"/>
        </w:rPr>
        <w:t>. UNDP will support the design and implementation of a data management gap assessment</w:t>
      </w:r>
      <w:r w:rsidR="00865E61">
        <w:rPr>
          <w:sz w:val="20"/>
          <w:szCs w:val="20"/>
        </w:rPr>
        <w:t>,</w:t>
      </w:r>
      <w:r w:rsidRPr="00B14011">
        <w:rPr>
          <w:sz w:val="20"/>
          <w:szCs w:val="20"/>
        </w:rPr>
        <w:t xml:space="preserve"> to strengthen </w:t>
      </w:r>
      <w:r w:rsidR="00564E69" w:rsidRPr="00B14011">
        <w:rPr>
          <w:sz w:val="20"/>
          <w:szCs w:val="20"/>
        </w:rPr>
        <w:t xml:space="preserve">national </w:t>
      </w:r>
      <w:r w:rsidRPr="00B14011">
        <w:rPr>
          <w:sz w:val="20"/>
          <w:szCs w:val="20"/>
        </w:rPr>
        <w:t>capacities for monitoring and evaluation, establish protocols for data sharing among government entities, and strengthen multi-stakeholder platforms</w:t>
      </w:r>
      <w:r w:rsidR="0025124B" w:rsidRPr="00B14011">
        <w:rPr>
          <w:sz w:val="20"/>
          <w:szCs w:val="20"/>
        </w:rPr>
        <w:t xml:space="preserve"> </w:t>
      </w:r>
      <w:r w:rsidR="00865E61">
        <w:rPr>
          <w:sz w:val="20"/>
          <w:szCs w:val="20"/>
        </w:rPr>
        <w:t xml:space="preserve">that </w:t>
      </w:r>
      <w:r w:rsidR="0025124B" w:rsidRPr="00B14011">
        <w:rPr>
          <w:sz w:val="20"/>
          <w:szCs w:val="20"/>
        </w:rPr>
        <w:t>contribute to trust-building</w:t>
      </w:r>
      <w:r w:rsidRPr="00B14011">
        <w:rPr>
          <w:sz w:val="20"/>
          <w:szCs w:val="20"/>
        </w:rPr>
        <w:t>.</w:t>
      </w:r>
    </w:p>
    <w:p w14:paraId="293B8E8A" w14:textId="29AB86DF" w:rsidR="00D80649" w:rsidRPr="00B14011" w:rsidRDefault="00A75D6F" w:rsidP="00013A8D">
      <w:pPr>
        <w:pStyle w:val="ListParagraph"/>
        <w:numPr>
          <w:ilvl w:val="0"/>
          <w:numId w:val="3"/>
        </w:numPr>
        <w:tabs>
          <w:tab w:val="left" w:pos="1080"/>
        </w:tabs>
        <w:spacing w:after="120"/>
        <w:ind w:firstLine="0"/>
        <w:jc w:val="both"/>
        <w:rPr>
          <w:b/>
        </w:rPr>
      </w:pPr>
      <w:r w:rsidRPr="00B14011">
        <w:rPr>
          <w:sz w:val="20"/>
          <w:szCs w:val="20"/>
        </w:rPr>
        <w:t xml:space="preserve">UNDP will make direct contributions to the country’s knowledge base </w:t>
      </w:r>
      <w:r w:rsidR="00865E61">
        <w:rPr>
          <w:sz w:val="20"/>
          <w:szCs w:val="20"/>
        </w:rPr>
        <w:t xml:space="preserve">by </w:t>
      </w:r>
      <w:r w:rsidRPr="00B14011">
        <w:rPr>
          <w:sz w:val="20"/>
          <w:szCs w:val="20"/>
        </w:rPr>
        <w:t>prepar</w:t>
      </w:r>
      <w:r w:rsidR="00865E61">
        <w:rPr>
          <w:sz w:val="20"/>
          <w:szCs w:val="20"/>
        </w:rPr>
        <w:t>ing</w:t>
      </w:r>
      <w:r w:rsidRPr="00B14011">
        <w:rPr>
          <w:sz w:val="20"/>
          <w:szCs w:val="20"/>
        </w:rPr>
        <w:t xml:space="preserve"> </w:t>
      </w:r>
      <w:r w:rsidR="00865E61">
        <w:rPr>
          <w:sz w:val="20"/>
          <w:szCs w:val="20"/>
        </w:rPr>
        <w:t>n</w:t>
      </w:r>
      <w:r w:rsidRPr="00B14011">
        <w:rPr>
          <w:sz w:val="20"/>
          <w:szCs w:val="20"/>
        </w:rPr>
        <w:t xml:space="preserve">ational </w:t>
      </w:r>
      <w:r w:rsidR="00865E61">
        <w:rPr>
          <w:sz w:val="20"/>
          <w:szCs w:val="20"/>
        </w:rPr>
        <w:t>h</w:t>
      </w:r>
      <w:r w:rsidRPr="00B14011">
        <w:rPr>
          <w:sz w:val="20"/>
          <w:szCs w:val="20"/>
        </w:rPr>
        <w:t xml:space="preserve">uman </w:t>
      </w:r>
      <w:r w:rsidR="00865E61">
        <w:rPr>
          <w:sz w:val="20"/>
          <w:szCs w:val="20"/>
        </w:rPr>
        <w:t>d</w:t>
      </w:r>
      <w:r w:rsidRPr="00B14011">
        <w:rPr>
          <w:sz w:val="20"/>
          <w:szCs w:val="20"/>
        </w:rPr>
        <w:t xml:space="preserve">evelopment </w:t>
      </w:r>
      <w:r w:rsidR="00865E61">
        <w:rPr>
          <w:sz w:val="20"/>
          <w:szCs w:val="20"/>
        </w:rPr>
        <w:t>r</w:t>
      </w:r>
      <w:r w:rsidR="006F04AC" w:rsidRPr="00B14011">
        <w:rPr>
          <w:sz w:val="20"/>
          <w:szCs w:val="20"/>
        </w:rPr>
        <w:t xml:space="preserve">eports </w:t>
      </w:r>
      <w:r w:rsidRPr="00B14011">
        <w:rPr>
          <w:sz w:val="20"/>
          <w:szCs w:val="20"/>
        </w:rPr>
        <w:t xml:space="preserve">to explore topics relevant to the country’s SDG priorities. </w:t>
      </w:r>
      <w:r w:rsidR="00865E61">
        <w:rPr>
          <w:sz w:val="20"/>
          <w:szCs w:val="20"/>
        </w:rPr>
        <w:t>It will give p</w:t>
      </w:r>
      <w:r w:rsidRPr="00B14011">
        <w:rPr>
          <w:sz w:val="20"/>
          <w:szCs w:val="20"/>
        </w:rPr>
        <w:t>riority to produc</w:t>
      </w:r>
      <w:r w:rsidR="00865E61">
        <w:rPr>
          <w:sz w:val="20"/>
          <w:szCs w:val="20"/>
        </w:rPr>
        <w:t>ing</w:t>
      </w:r>
      <w:r w:rsidRPr="00B14011">
        <w:rPr>
          <w:sz w:val="20"/>
          <w:szCs w:val="20"/>
        </w:rPr>
        <w:t xml:space="preserve"> disaggregated data</w:t>
      </w:r>
      <w:r w:rsidR="000B0997" w:rsidRPr="00B14011">
        <w:rPr>
          <w:sz w:val="20"/>
          <w:szCs w:val="20"/>
        </w:rPr>
        <w:t>,</w:t>
      </w:r>
      <w:r w:rsidRPr="00B14011">
        <w:rPr>
          <w:sz w:val="20"/>
          <w:szCs w:val="20"/>
        </w:rPr>
        <w:t xml:space="preserve"> especially regarding gender and other inequalities.</w:t>
      </w:r>
      <w:r w:rsidR="00967CF2" w:rsidRPr="00B14011">
        <w:rPr>
          <w:sz w:val="20"/>
          <w:szCs w:val="20"/>
        </w:rPr>
        <w:t xml:space="preserve"> </w:t>
      </w:r>
      <w:r w:rsidR="00865E61">
        <w:rPr>
          <w:sz w:val="20"/>
          <w:szCs w:val="20"/>
        </w:rPr>
        <w:t>It will address a</w:t>
      </w:r>
      <w:r w:rsidR="00E46953" w:rsidRPr="00B14011">
        <w:rPr>
          <w:sz w:val="20"/>
          <w:szCs w:val="20"/>
        </w:rPr>
        <w:t xml:space="preserve">dditional data gaps on vulnerability </w:t>
      </w:r>
      <w:r w:rsidR="00865E61">
        <w:rPr>
          <w:sz w:val="20"/>
          <w:szCs w:val="20"/>
        </w:rPr>
        <w:t xml:space="preserve">by </w:t>
      </w:r>
      <w:r w:rsidR="00967CF2" w:rsidRPr="00B14011">
        <w:rPr>
          <w:sz w:val="20"/>
          <w:szCs w:val="20"/>
        </w:rPr>
        <w:t>establish</w:t>
      </w:r>
      <w:r w:rsidR="00865E61">
        <w:rPr>
          <w:sz w:val="20"/>
          <w:szCs w:val="20"/>
        </w:rPr>
        <w:t xml:space="preserve">ing </w:t>
      </w:r>
      <w:r w:rsidR="00967CF2" w:rsidRPr="00B14011">
        <w:rPr>
          <w:sz w:val="20"/>
          <w:szCs w:val="20"/>
        </w:rPr>
        <w:t xml:space="preserve">regional climate profiles, climate risk inventories and other assessments to establish critical data baselines. UNDP will support the implementation of the </w:t>
      </w:r>
      <w:r w:rsidR="00865E61">
        <w:rPr>
          <w:sz w:val="20"/>
          <w:szCs w:val="20"/>
        </w:rPr>
        <w:t>G</w:t>
      </w:r>
      <w:r w:rsidR="00967CF2" w:rsidRPr="00B14011">
        <w:rPr>
          <w:sz w:val="20"/>
          <w:szCs w:val="20"/>
        </w:rPr>
        <w:t xml:space="preserve">overnment’s </w:t>
      </w:r>
      <w:r w:rsidR="00865E61">
        <w:rPr>
          <w:sz w:val="20"/>
          <w:szCs w:val="20"/>
        </w:rPr>
        <w:t>n</w:t>
      </w:r>
      <w:r w:rsidR="00967CF2" w:rsidRPr="00B14011">
        <w:rPr>
          <w:sz w:val="20"/>
          <w:szCs w:val="20"/>
        </w:rPr>
        <w:t xml:space="preserve">ational </w:t>
      </w:r>
      <w:r w:rsidR="00865E61">
        <w:rPr>
          <w:sz w:val="20"/>
          <w:szCs w:val="20"/>
        </w:rPr>
        <w:t>s</w:t>
      </w:r>
      <w:r w:rsidR="00967CF2" w:rsidRPr="00B14011">
        <w:rPr>
          <w:sz w:val="20"/>
          <w:szCs w:val="20"/>
        </w:rPr>
        <w:t xml:space="preserve">patial </w:t>
      </w:r>
      <w:r w:rsidR="00865E61">
        <w:rPr>
          <w:sz w:val="20"/>
          <w:szCs w:val="20"/>
        </w:rPr>
        <w:t>d</w:t>
      </w:r>
      <w:r w:rsidR="00967CF2" w:rsidRPr="00B14011">
        <w:rPr>
          <w:sz w:val="20"/>
          <w:szCs w:val="20"/>
        </w:rPr>
        <w:t xml:space="preserve">ata Infrastructure initiative and help identify innovative data management, damage assessment and insurance schemes for climate risk management.  </w:t>
      </w:r>
      <w:r w:rsidR="00947D59" w:rsidRPr="00B14011">
        <w:rPr>
          <w:sz w:val="20"/>
          <w:szCs w:val="20"/>
        </w:rPr>
        <w:t xml:space="preserve">UNDP will help leverage public and private sector financing through evidence-based policy advocacy </w:t>
      </w:r>
      <w:r w:rsidR="00152379" w:rsidRPr="00B14011">
        <w:rPr>
          <w:sz w:val="20"/>
          <w:szCs w:val="20"/>
        </w:rPr>
        <w:t>linked to</w:t>
      </w:r>
      <w:r w:rsidR="00947D59" w:rsidRPr="00B14011">
        <w:rPr>
          <w:sz w:val="20"/>
          <w:szCs w:val="20"/>
        </w:rPr>
        <w:t xml:space="preserve"> valuation</w:t>
      </w:r>
      <w:r w:rsidR="00152379" w:rsidRPr="00B14011">
        <w:rPr>
          <w:sz w:val="20"/>
          <w:szCs w:val="20"/>
        </w:rPr>
        <w:t>s</w:t>
      </w:r>
      <w:r w:rsidR="00947D59" w:rsidRPr="00B14011">
        <w:rPr>
          <w:sz w:val="20"/>
          <w:szCs w:val="20"/>
        </w:rPr>
        <w:t xml:space="preserve"> of climate risk and </w:t>
      </w:r>
      <w:r w:rsidR="007731D6" w:rsidRPr="00B14011">
        <w:rPr>
          <w:sz w:val="20"/>
          <w:szCs w:val="20"/>
        </w:rPr>
        <w:t>benefits of integrating</w:t>
      </w:r>
      <w:r w:rsidR="00947D59" w:rsidRPr="00B14011">
        <w:rPr>
          <w:sz w:val="20"/>
          <w:szCs w:val="20"/>
        </w:rPr>
        <w:t xml:space="preserve"> environmental and biodiversity concerns in economic development planning.</w:t>
      </w:r>
    </w:p>
    <w:p w14:paraId="38286078" w14:textId="18483C6C" w:rsidR="004D6315" w:rsidRPr="00B14011" w:rsidRDefault="0039602A" w:rsidP="00003F2F">
      <w:pPr>
        <w:pStyle w:val="ListParagraph"/>
        <w:numPr>
          <w:ilvl w:val="0"/>
          <w:numId w:val="3"/>
        </w:numPr>
        <w:tabs>
          <w:tab w:val="left" w:pos="1080"/>
        </w:tabs>
        <w:ind w:firstLine="0"/>
        <w:jc w:val="both"/>
        <w:rPr>
          <w:sz w:val="20"/>
          <w:szCs w:val="20"/>
        </w:rPr>
      </w:pPr>
      <w:r w:rsidRPr="00B14011">
        <w:rPr>
          <w:sz w:val="20"/>
          <w:szCs w:val="20"/>
        </w:rPr>
        <w:t>The UNSDF recognizes that the country’s data challenges present an opportunity for the U</w:t>
      </w:r>
      <w:r w:rsidR="00EE7EB9">
        <w:rPr>
          <w:sz w:val="20"/>
          <w:szCs w:val="20"/>
        </w:rPr>
        <w:t xml:space="preserve">nited </w:t>
      </w:r>
      <w:r w:rsidRPr="00B14011">
        <w:rPr>
          <w:sz w:val="20"/>
          <w:szCs w:val="20"/>
        </w:rPr>
        <w:t>N</w:t>
      </w:r>
      <w:r w:rsidR="00EE7EB9">
        <w:rPr>
          <w:sz w:val="20"/>
          <w:szCs w:val="20"/>
        </w:rPr>
        <w:t>ations</w:t>
      </w:r>
      <w:r w:rsidRPr="00B14011">
        <w:rPr>
          <w:sz w:val="20"/>
          <w:szCs w:val="20"/>
        </w:rPr>
        <w:t xml:space="preserve"> to help Sri Lanka “do development differently”. </w:t>
      </w:r>
      <w:r w:rsidR="00FB3BAE" w:rsidRPr="00B14011">
        <w:rPr>
          <w:sz w:val="20"/>
          <w:szCs w:val="20"/>
        </w:rPr>
        <w:t xml:space="preserve">Building on the National Foresight and </w:t>
      </w:r>
      <w:r w:rsidR="00FB3BAE" w:rsidRPr="00B14011">
        <w:rPr>
          <w:sz w:val="20"/>
          <w:szCs w:val="20"/>
        </w:rPr>
        <w:lastRenderedPageBreak/>
        <w:t xml:space="preserve">Innovation Summit, UNDP will </w:t>
      </w:r>
      <w:r w:rsidR="00481E54" w:rsidRPr="00B14011">
        <w:rPr>
          <w:sz w:val="20"/>
          <w:szCs w:val="20"/>
        </w:rPr>
        <w:t>work with the Government to establish</w:t>
      </w:r>
      <w:r w:rsidR="00FB3BAE" w:rsidRPr="00B14011">
        <w:rPr>
          <w:sz w:val="20"/>
          <w:szCs w:val="20"/>
        </w:rPr>
        <w:t xml:space="preserve"> a </w:t>
      </w:r>
      <w:r w:rsidR="00EE7EB9">
        <w:rPr>
          <w:sz w:val="20"/>
          <w:szCs w:val="20"/>
        </w:rPr>
        <w:t>p</w:t>
      </w:r>
      <w:r w:rsidR="00FB3BAE" w:rsidRPr="00B14011">
        <w:rPr>
          <w:sz w:val="20"/>
          <w:szCs w:val="20"/>
        </w:rPr>
        <w:t xml:space="preserve">olicy </w:t>
      </w:r>
      <w:r w:rsidR="00EE7EB9">
        <w:rPr>
          <w:sz w:val="20"/>
          <w:szCs w:val="20"/>
        </w:rPr>
        <w:t>i</w:t>
      </w:r>
      <w:r w:rsidR="00FB3BAE" w:rsidRPr="00B14011">
        <w:rPr>
          <w:sz w:val="20"/>
          <w:szCs w:val="20"/>
        </w:rPr>
        <w:t xml:space="preserve">nnovation </w:t>
      </w:r>
      <w:r w:rsidR="00EE7EB9">
        <w:rPr>
          <w:sz w:val="20"/>
          <w:szCs w:val="20"/>
        </w:rPr>
        <w:t>l</w:t>
      </w:r>
      <w:r w:rsidR="00FB3BAE" w:rsidRPr="00B14011">
        <w:rPr>
          <w:sz w:val="20"/>
          <w:szCs w:val="20"/>
        </w:rPr>
        <w:t>ab to test and promote data-driven approaches to Sri Lanka’s development challenges</w:t>
      </w:r>
      <w:r w:rsidR="00E532AF" w:rsidRPr="00B14011">
        <w:rPr>
          <w:sz w:val="20"/>
          <w:szCs w:val="20"/>
        </w:rPr>
        <w:t>,</w:t>
      </w:r>
      <w:r w:rsidR="00C9132D" w:rsidRPr="00B14011">
        <w:rPr>
          <w:sz w:val="20"/>
          <w:szCs w:val="20"/>
        </w:rPr>
        <w:t xml:space="preserve"> </w:t>
      </w:r>
      <w:r w:rsidR="00E532AF" w:rsidRPr="00B14011">
        <w:rPr>
          <w:sz w:val="20"/>
          <w:szCs w:val="20"/>
        </w:rPr>
        <w:t xml:space="preserve">which </w:t>
      </w:r>
      <w:r w:rsidR="00B43D3C" w:rsidRPr="00B14011">
        <w:rPr>
          <w:sz w:val="20"/>
          <w:szCs w:val="20"/>
        </w:rPr>
        <w:t xml:space="preserve">UNDP will use as </w:t>
      </w:r>
      <w:r w:rsidR="00C9132D" w:rsidRPr="00B14011">
        <w:rPr>
          <w:sz w:val="20"/>
          <w:szCs w:val="20"/>
        </w:rPr>
        <w:t xml:space="preserve">a platform </w:t>
      </w:r>
      <w:r w:rsidR="00E532AF" w:rsidRPr="00B14011">
        <w:rPr>
          <w:sz w:val="20"/>
          <w:szCs w:val="20"/>
        </w:rPr>
        <w:t xml:space="preserve">to prototype innovative </w:t>
      </w:r>
      <w:r w:rsidR="00481E54" w:rsidRPr="00B14011">
        <w:rPr>
          <w:sz w:val="20"/>
          <w:szCs w:val="20"/>
        </w:rPr>
        <w:t xml:space="preserve">development </w:t>
      </w:r>
      <w:r w:rsidR="00E532AF" w:rsidRPr="00B14011">
        <w:rPr>
          <w:sz w:val="20"/>
          <w:szCs w:val="20"/>
        </w:rPr>
        <w:t>solutions across the country programme</w:t>
      </w:r>
      <w:r w:rsidR="00FB3BAE" w:rsidRPr="00B14011">
        <w:rPr>
          <w:sz w:val="20"/>
          <w:szCs w:val="20"/>
        </w:rPr>
        <w:t xml:space="preserve">. </w:t>
      </w:r>
      <w:r w:rsidR="00481E54" w:rsidRPr="00B14011">
        <w:rPr>
          <w:sz w:val="20"/>
          <w:szCs w:val="20"/>
        </w:rPr>
        <w:t>This</w:t>
      </w:r>
      <w:r w:rsidR="00F017C5" w:rsidRPr="00B14011">
        <w:rPr>
          <w:sz w:val="20"/>
          <w:szCs w:val="20"/>
        </w:rPr>
        <w:t xml:space="preserve"> initiative</w:t>
      </w:r>
      <w:r w:rsidR="00481E54" w:rsidRPr="00B14011">
        <w:rPr>
          <w:sz w:val="20"/>
          <w:szCs w:val="20"/>
        </w:rPr>
        <w:t xml:space="preserve"> will contribute</w:t>
      </w:r>
      <w:r w:rsidR="00F017C5" w:rsidRPr="00B14011">
        <w:rPr>
          <w:sz w:val="20"/>
          <w:szCs w:val="20"/>
        </w:rPr>
        <w:t xml:space="preserve"> to </w:t>
      </w:r>
      <w:r w:rsidR="009B530A" w:rsidRPr="00B14011">
        <w:rPr>
          <w:sz w:val="20"/>
          <w:szCs w:val="20"/>
        </w:rPr>
        <w:t>a</w:t>
      </w:r>
      <w:r w:rsidR="00A75D6F" w:rsidRPr="00B14011">
        <w:rPr>
          <w:sz w:val="20"/>
          <w:szCs w:val="20"/>
        </w:rPr>
        <w:t xml:space="preserve"> broader U</w:t>
      </w:r>
      <w:r w:rsidR="00EE7EB9">
        <w:rPr>
          <w:sz w:val="20"/>
          <w:szCs w:val="20"/>
        </w:rPr>
        <w:t xml:space="preserve">nited </w:t>
      </w:r>
      <w:r w:rsidR="00A75D6F" w:rsidRPr="00B14011">
        <w:rPr>
          <w:sz w:val="20"/>
          <w:szCs w:val="20"/>
        </w:rPr>
        <w:t>N</w:t>
      </w:r>
      <w:r w:rsidR="00EE7EB9">
        <w:rPr>
          <w:sz w:val="20"/>
          <w:szCs w:val="20"/>
        </w:rPr>
        <w:t>ations</w:t>
      </w:r>
      <w:r w:rsidR="00A75D6F" w:rsidRPr="00B14011">
        <w:rPr>
          <w:sz w:val="20"/>
          <w:szCs w:val="20"/>
        </w:rPr>
        <w:t xml:space="preserve"> </w:t>
      </w:r>
      <w:r w:rsidR="000876A3" w:rsidRPr="00B14011">
        <w:rPr>
          <w:sz w:val="20"/>
          <w:szCs w:val="20"/>
        </w:rPr>
        <w:t xml:space="preserve">country team </w:t>
      </w:r>
      <w:r w:rsidR="00A75D6F" w:rsidRPr="00B14011">
        <w:rPr>
          <w:sz w:val="20"/>
          <w:szCs w:val="20"/>
        </w:rPr>
        <w:t xml:space="preserve">effort to establish a </w:t>
      </w:r>
      <w:r w:rsidR="00EE7EB9">
        <w:rPr>
          <w:sz w:val="20"/>
          <w:szCs w:val="20"/>
        </w:rPr>
        <w:t>k</w:t>
      </w:r>
      <w:r w:rsidR="00A75D6F" w:rsidRPr="00B14011">
        <w:rPr>
          <w:sz w:val="20"/>
          <w:szCs w:val="20"/>
        </w:rPr>
        <w:t xml:space="preserve">nowledge </w:t>
      </w:r>
      <w:r w:rsidR="00EE7EB9">
        <w:rPr>
          <w:sz w:val="20"/>
          <w:szCs w:val="20"/>
        </w:rPr>
        <w:t>h</w:t>
      </w:r>
      <w:r w:rsidR="00A75D6F" w:rsidRPr="00B14011">
        <w:rPr>
          <w:sz w:val="20"/>
          <w:szCs w:val="20"/>
        </w:rPr>
        <w:t xml:space="preserve">ub for </w:t>
      </w:r>
      <w:r w:rsidR="00EE7EB9">
        <w:rPr>
          <w:sz w:val="20"/>
          <w:szCs w:val="20"/>
        </w:rPr>
        <w:t>s</w:t>
      </w:r>
      <w:r w:rsidR="00A75D6F" w:rsidRPr="00B14011">
        <w:rPr>
          <w:sz w:val="20"/>
          <w:szCs w:val="20"/>
        </w:rPr>
        <w:t xml:space="preserve">ustainable </w:t>
      </w:r>
      <w:r w:rsidR="00EE7EB9">
        <w:rPr>
          <w:sz w:val="20"/>
          <w:szCs w:val="20"/>
        </w:rPr>
        <w:t>d</w:t>
      </w:r>
      <w:r w:rsidR="00A75D6F" w:rsidRPr="00B14011">
        <w:rPr>
          <w:sz w:val="20"/>
          <w:szCs w:val="20"/>
        </w:rPr>
        <w:t xml:space="preserve">evelopment </w:t>
      </w:r>
      <w:r w:rsidR="00EE7EB9">
        <w:rPr>
          <w:sz w:val="20"/>
          <w:szCs w:val="20"/>
        </w:rPr>
        <w:t>s</w:t>
      </w:r>
      <w:r w:rsidR="00A75D6F" w:rsidRPr="00B14011">
        <w:rPr>
          <w:sz w:val="20"/>
          <w:szCs w:val="20"/>
        </w:rPr>
        <w:t xml:space="preserve">olutions. </w:t>
      </w:r>
      <w:r w:rsidR="00755BB8" w:rsidRPr="00B14011">
        <w:rPr>
          <w:sz w:val="20"/>
          <w:szCs w:val="20"/>
        </w:rPr>
        <w:t>Both initiatives</w:t>
      </w:r>
      <w:r w:rsidR="00A75D6F" w:rsidRPr="00B14011">
        <w:rPr>
          <w:sz w:val="20"/>
          <w:szCs w:val="20"/>
        </w:rPr>
        <w:t xml:space="preserve"> </w:t>
      </w:r>
      <w:r w:rsidR="00755BB8" w:rsidRPr="00B14011">
        <w:rPr>
          <w:sz w:val="20"/>
          <w:szCs w:val="20"/>
        </w:rPr>
        <w:t xml:space="preserve">will contribute </w:t>
      </w:r>
      <w:r w:rsidR="00A75D6F" w:rsidRPr="00B14011">
        <w:rPr>
          <w:sz w:val="20"/>
          <w:szCs w:val="20"/>
        </w:rPr>
        <w:t xml:space="preserve">to the establishment of a national research agenda (together with other international development partners, academic and research institutions), </w:t>
      </w:r>
      <w:r w:rsidR="00A41DCA" w:rsidRPr="00B14011">
        <w:rPr>
          <w:sz w:val="20"/>
          <w:szCs w:val="20"/>
        </w:rPr>
        <w:t xml:space="preserve">and </w:t>
      </w:r>
      <w:r w:rsidR="00A75D6F" w:rsidRPr="00B14011">
        <w:rPr>
          <w:sz w:val="20"/>
          <w:szCs w:val="20"/>
        </w:rPr>
        <w:t>produce analysis</w:t>
      </w:r>
      <w:r w:rsidR="00A41DCA" w:rsidRPr="00B14011">
        <w:rPr>
          <w:sz w:val="20"/>
          <w:szCs w:val="20"/>
        </w:rPr>
        <w:t xml:space="preserve"> </w:t>
      </w:r>
      <w:r w:rsidR="00A75D6F" w:rsidRPr="00B14011">
        <w:rPr>
          <w:sz w:val="20"/>
          <w:szCs w:val="20"/>
        </w:rPr>
        <w:t>and briefs to support U</w:t>
      </w:r>
      <w:r w:rsidR="00EE7EB9">
        <w:rPr>
          <w:sz w:val="20"/>
          <w:szCs w:val="20"/>
        </w:rPr>
        <w:t xml:space="preserve">nited </w:t>
      </w:r>
      <w:r w:rsidR="00A75D6F" w:rsidRPr="00B14011">
        <w:rPr>
          <w:sz w:val="20"/>
          <w:szCs w:val="20"/>
        </w:rPr>
        <w:t>N</w:t>
      </w:r>
      <w:r w:rsidR="00EE7EB9">
        <w:rPr>
          <w:sz w:val="20"/>
          <w:szCs w:val="20"/>
        </w:rPr>
        <w:t>ations</w:t>
      </w:r>
      <w:r w:rsidR="00A75D6F" w:rsidRPr="00B14011">
        <w:rPr>
          <w:sz w:val="20"/>
          <w:szCs w:val="20"/>
        </w:rPr>
        <w:t xml:space="preserve"> policy advocacy efforts in helping the Government make evidence-based decisions on national budget allocations toward SDG achievement. </w:t>
      </w:r>
    </w:p>
    <w:p w14:paraId="0009AA7F" w14:textId="77777777" w:rsidR="00D80649" w:rsidRPr="00B14011" w:rsidRDefault="004D6315" w:rsidP="00003F2F">
      <w:pPr>
        <w:pStyle w:val="ListParagraph"/>
        <w:tabs>
          <w:tab w:val="left" w:pos="1080"/>
        </w:tabs>
        <w:jc w:val="both"/>
        <w:rPr>
          <w:b/>
        </w:rPr>
      </w:pPr>
      <w:r w:rsidRPr="00B14011">
        <w:rPr>
          <w:sz w:val="20"/>
          <w:szCs w:val="20"/>
        </w:rPr>
        <w:t xml:space="preserve"> </w:t>
      </w:r>
    </w:p>
    <w:p w14:paraId="2D0F8FFE" w14:textId="18C178AD" w:rsidR="00A75D6F" w:rsidRPr="00B14011" w:rsidRDefault="00A75D6F" w:rsidP="00013A8D">
      <w:pPr>
        <w:pStyle w:val="Heading1"/>
        <w:numPr>
          <w:ilvl w:val="0"/>
          <w:numId w:val="4"/>
        </w:numPr>
        <w:tabs>
          <w:tab w:val="left" w:pos="1080"/>
          <w:tab w:val="left" w:pos="1800"/>
          <w:tab w:val="left" w:pos="8640"/>
          <w:tab w:val="left" w:pos="9180"/>
        </w:tabs>
        <w:ind w:left="720" w:right="1267"/>
        <w:jc w:val="both"/>
        <w:rPr>
          <w:rFonts w:ascii="Times New Roman" w:hAnsi="Times New Roman"/>
          <w:szCs w:val="28"/>
          <w:lang w:val="en-GB"/>
        </w:rPr>
      </w:pPr>
      <w:r w:rsidRPr="00B14011">
        <w:rPr>
          <w:rFonts w:ascii="Times New Roman" w:hAnsi="Times New Roman"/>
          <w:szCs w:val="28"/>
          <w:lang w:val="en-GB"/>
        </w:rPr>
        <w:t>Programme and risk management</w:t>
      </w:r>
    </w:p>
    <w:p w14:paraId="513F473C" w14:textId="77777777" w:rsidR="00A76648" w:rsidRPr="00B14011" w:rsidRDefault="00A76648" w:rsidP="00003F2F">
      <w:pPr>
        <w:tabs>
          <w:tab w:val="left" w:pos="1080"/>
        </w:tabs>
        <w:rPr>
          <w:sz w:val="20"/>
          <w:szCs w:val="20"/>
          <w:lang w:eastAsia="x-none"/>
        </w:rPr>
      </w:pPr>
    </w:p>
    <w:p w14:paraId="0B9C6885" w14:textId="67F52512" w:rsidR="007E033E" w:rsidRPr="00B14011" w:rsidRDefault="00A75D6F" w:rsidP="00013A8D">
      <w:pPr>
        <w:pStyle w:val="ListParagraph"/>
        <w:numPr>
          <w:ilvl w:val="0"/>
          <w:numId w:val="3"/>
        </w:numPr>
        <w:tabs>
          <w:tab w:val="left" w:pos="1080"/>
        </w:tabs>
        <w:spacing w:after="120"/>
        <w:ind w:firstLine="0"/>
        <w:jc w:val="both"/>
        <w:rPr>
          <w:sz w:val="20"/>
          <w:szCs w:val="20"/>
        </w:rPr>
      </w:pPr>
      <w:r w:rsidRPr="00B14011">
        <w:rPr>
          <w:sz w:val="20"/>
          <w:szCs w:val="20"/>
        </w:rPr>
        <w:t>Th</w:t>
      </w:r>
      <w:r w:rsidR="008E2F2B">
        <w:rPr>
          <w:sz w:val="20"/>
          <w:szCs w:val="20"/>
        </w:rPr>
        <w:t>e</w:t>
      </w:r>
      <w:r w:rsidRPr="00B14011">
        <w:rPr>
          <w:sz w:val="20"/>
          <w:szCs w:val="20"/>
        </w:rPr>
        <w:t xml:space="preserve"> country programme outlines UNDP contributions to national results and serves as the primary unit of accountability to the Executive Board for results alignment and resources assigned to the programme at country level. </w:t>
      </w:r>
      <w:r w:rsidR="007E033E" w:rsidRPr="00B14011">
        <w:rPr>
          <w:sz w:val="20"/>
          <w:szCs w:val="20"/>
        </w:rPr>
        <w:t xml:space="preserve">Different implementation modalities, </w:t>
      </w:r>
      <w:r w:rsidR="008E2F2B">
        <w:rPr>
          <w:sz w:val="20"/>
          <w:szCs w:val="20"/>
        </w:rPr>
        <w:t>such as,</w:t>
      </w:r>
      <w:r w:rsidR="007E033E" w:rsidRPr="00B14011">
        <w:rPr>
          <w:sz w:val="20"/>
          <w:szCs w:val="20"/>
        </w:rPr>
        <w:t xml:space="preserve"> national, direct or </w:t>
      </w:r>
      <w:r w:rsidR="008E2F2B">
        <w:rPr>
          <w:sz w:val="20"/>
          <w:szCs w:val="20"/>
        </w:rPr>
        <w:t>non-governmental organization</w:t>
      </w:r>
      <w:r w:rsidR="008E2F2B" w:rsidRPr="00B14011">
        <w:rPr>
          <w:sz w:val="20"/>
          <w:szCs w:val="20"/>
        </w:rPr>
        <w:t xml:space="preserve"> </w:t>
      </w:r>
      <w:r w:rsidR="007E033E" w:rsidRPr="00B14011">
        <w:rPr>
          <w:sz w:val="20"/>
          <w:szCs w:val="20"/>
        </w:rPr>
        <w:t xml:space="preserve">implementation, will be selected to enhance efficiency and effectiveness of UNDP contributions to development results. Implementing partners will be selected on the basis of comparative advantage and capacities, and with a view to building sustainable impact. When required, UNDP will support national implementing partners in addressing capacity gaps. </w:t>
      </w:r>
      <w:r w:rsidR="002850CC" w:rsidRPr="00B14011">
        <w:rPr>
          <w:sz w:val="20"/>
          <w:szCs w:val="20"/>
        </w:rPr>
        <w:t>In line with Executive Board</w:t>
      </w:r>
      <w:r w:rsidR="00A30CC4">
        <w:rPr>
          <w:sz w:val="20"/>
          <w:szCs w:val="20"/>
        </w:rPr>
        <w:t xml:space="preserve"> decision 2013/</w:t>
      </w:r>
      <w:r w:rsidR="00AF1848">
        <w:rPr>
          <w:sz w:val="20"/>
          <w:szCs w:val="20"/>
        </w:rPr>
        <w:t>9</w:t>
      </w:r>
      <w:bookmarkStart w:id="1" w:name="_GoBack"/>
      <w:bookmarkEnd w:id="1"/>
      <w:r w:rsidR="00A30CC4">
        <w:rPr>
          <w:sz w:val="20"/>
          <w:szCs w:val="20"/>
        </w:rPr>
        <w:t xml:space="preserve"> on p</w:t>
      </w:r>
      <w:r w:rsidR="002850CC" w:rsidRPr="00B14011">
        <w:rPr>
          <w:sz w:val="20"/>
          <w:szCs w:val="20"/>
        </w:rPr>
        <w:t xml:space="preserve">olicy on </w:t>
      </w:r>
      <w:r w:rsidR="00A30CC4">
        <w:rPr>
          <w:sz w:val="20"/>
          <w:szCs w:val="20"/>
        </w:rPr>
        <w:t>c</w:t>
      </w:r>
      <w:r w:rsidR="002850CC" w:rsidRPr="00B14011">
        <w:rPr>
          <w:sz w:val="20"/>
          <w:szCs w:val="20"/>
        </w:rPr>
        <w:t xml:space="preserve">ost </w:t>
      </w:r>
      <w:r w:rsidR="00A30CC4">
        <w:rPr>
          <w:sz w:val="20"/>
          <w:szCs w:val="20"/>
        </w:rPr>
        <w:t>r</w:t>
      </w:r>
      <w:r w:rsidR="002850CC" w:rsidRPr="00B14011">
        <w:rPr>
          <w:sz w:val="20"/>
          <w:szCs w:val="20"/>
        </w:rPr>
        <w:t>ecovery, organizational costs incurred in the implementation of a development programme that can be directly traced to a specific project will be included in the project budget and directly charged against it.</w:t>
      </w:r>
    </w:p>
    <w:p w14:paraId="3F567308" w14:textId="023F540A" w:rsidR="00AD75DC" w:rsidRPr="00B14011" w:rsidRDefault="00DC7F73" w:rsidP="00013A8D">
      <w:pPr>
        <w:pStyle w:val="ListParagraph"/>
        <w:numPr>
          <w:ilvl w:val="0"/>
          <w:numId w:val="3"/>
        </w:numPr>
        <w:tabs>
          <w:tab w:val="left" w:pos="1080"/>
        </w:tabs>
        <w:spacing w:after="120"/>
        <w:ind w:firstLine="0"/>
        <w:jc w:val="both"/>
        <w:rPr>
          <w:sz w:val="20"/>
          <w:szCs w:val="20"/>
        </w:rPr>
      </w:pPr>
      <w:r w:rsidRPr="00B14011">
        <w:rPr>
          <w:sz w:val="20"/>
          <w:szCs w:val="20"/>
        </w:rPr>
        <w:t>The country programme has benefited from consultations at national and subnational level with the government coordinating authority, national counterparts, civil society and development partners. A country programme board will be established as the primary governance mechanism for the country programme.</w:t>
      </w:r>
    </w:p>
    <w:p w14:paraId="6076F0AF" w14:textId="5287C57E" w:rsidR="00D80649" w:rsidRPr="00B14011" w:rsidRDefault="00A75D6F" w:rsidP="00013A8D">
      <w:pPr>
        <w:pStyle w:val="ListParagraph"/>
        <w:numPr>
          <w:ilvl w:val="0"/>
          <w:numId w:val="3"/>
        </w:numPr>
        <w:tabs>
          <w:tab w:val="left" w:pos="1080"/>
        </w:tabs>
        <w:spacing w:after="120"/>
        <w:ind w:firstLine="0"/>
        <w:jc w:val="both"/>
        <w:rPr>
          <w:b/>
        </w:rPr>
      </w:pPr>
      <w:r w:rsidRPr="00B14011">
        <w:rPr>
          <w:sz w:val="20"/>
          <w:szCs w:val="20"/>
        </w:rPr>
        <w:t>The successful implementation of the country programme will depend on managing several key risks</w:t>
      </w:r>
      <w:r w:rsidR="00497356">
        <w:rPr>
          <w:sz w:val="20"/>
          <w:szCs w:val="20"/>
        </w:rPr>
        <w:t>,</w:t>
      </w:r>
      <w:r w:rsidR="00B41F2F" w:rsidRPr="00B14011">
        <w:rPr>
          <w:sz w:val="20"/>
          <w:szCs w:val="20"/>
        </w:rPr>
        <w:t xml:space="preserve"> which will be monitored through regular </w:t>
      </w:r>
      <w:r w:rsidR="005273D5" w:rsidRPr="00B14011">
        <w:rPr>
          <w:sz w:val="20"/>
          <w:szCs w:val="20"/>
        </w:rPr>
        <w:t xml:space="preserve">early-warning </w:t>
      </w:r>
      <w:r w:rsidR="00B41F2F" w:rsidRPr="00B14011">
        <w:rPr>
          <w:sz w:val="20"/>
          <w:szCs w:val="20"/>
        </w:rPr>
        <w:t xml:space="preserve">public perception </w:t>
      </w:r>
      <w:r w:rsidR="005273D5" w:rsidRPr="00B14011">
        <w:rPr>
          <w:sz w:val="20"/>
          <w:szCs w:val="20"/>
        </w:rPr>
        <w:t xml:space="preserve">surveys commissioned by the Office of the Resident Coordinator, and </w:t>
      </w:r>
      <w:r w:rsidR="00B41F2F" w:rsidRPr="00B14011">
        <w:rPr>
          <w:sz w:val="20"/>
          <w:szCs w:val="20"/>
        </w:rPr>
        <w:t>regular engagement with government and civil society.</w:t>
      </w:r>
      <w:r w:rsidR="001F5C9E" w:rsidRPr="00B14011">
        <w:rPr>
          <w:sz w:val="20"/>
          <w:szCs w:val="20"/>
        </w:rPr>
        <w:t xml:space="preserve"> </w:t>
      </w:r>
      <w:r w:rsidR="004E151B" w:rsidRPr="00B14011">
        <w:rPr>
          <w:sz w:val="20"/>
          <w:szCs w:val="20"/>
        </w:rPr>
        <w:t xml:space="preserve">The first risk is </w:t>
      </w:r>
      <w:r w:rsidR="00C44332" w:rsidRPr="00B14011">
        <w:rPr>
          <w:sz w:val="20"/>
          <w:szCs w:val="20"/>
        </w:rPr>
        <w:t xml:space="preserve">delayed progress on </w:t>
      </w:r>
      <w:r w:rsidR="0038655F" w:rsidRPr="00B14011">
        <w:rPr>
          <w:sz w:val="20"/>
          <w:szCs w:val="20"/>
        </w:rPr>
        <w:t xml:space="preserve">reconciliation and accountability measures leading to </w:t>
      </w:r>
      <w:r w:rsidR="004E151B" w:rsidRPr="00B14011">
        <w:rPr>
          <w:sz w:val="20"/>
          <w:szCs w:val="20"/>
        </w:rPr>
        <w:t>political instability</w:t>
      </w:r>
      <w:r w:rsidR="00497356">
        <w:rPr>
          <w:sz w:val="20"/>
          <w:szCs w:val="20"/>
        </w:rPr>
        <w:t>,</w:t>
      </w:r>
      <w:r w:rsidR="004E151B" w:rsidRPr="00B14011">
        <w:rPr>
          <w:sz w:val="20"/>
          <w:szCs w:val="20"/>
        </w:rPr>
        <w:t xml:space="preserve"> which could de-prioritize the constitutional reform and peacebuilding agendas. UNDP will focus on capacity building of public institutions for better service delivery</w:t>
      </w:r>
      <w:r w:rsidR="00497356">
        <w:rPr>
          <w:sz w:val="20"/>
          <w:szCs w:val="20"/>
        </w:rPr>
        <w:t>,</w:t>
      </w:r>
      <w:r w:rsidR="004E151B" w:rsidRPr="00B14011">
        <w:rPr>
          <w:sz w:val="20"/>
          <w:szCs w:val="20"/>
        </w:rPr>
        <w:t xml:space="preserve"> which </w:t>
      </w:r>
      <w:r w:rsidR="00497356">
        <w:rPr>
          <w:sz w:val="20"/>
          <w:szCs w:val="20"/>
        </w:rPr>
        <w:t xml:space="preserve">is </w:t>
      </w:r>
      <w:r w:rsidR="004E151B" w:rsidRPr="00B14011">
        <w:rPr>
          <w:sz w:val="20"/>
          <w:szCs w:val="20"/>
        </w:rPr>
        <w:t>needed even as policy priorities might change</w:t>
      </w:r>
      <w:r w:rsidR="00EE6ED3" w:rsidRPr="00B14011">
        <w:rPr>
          <w:sz w:val="20"/>
          <w:szCs w:val="20"/>
        </w:rPr>
        <w:t xml:space="preserve">, and </w:t>
      </w:r>
      <w:r w:rsidR="004E151B" w:rsidRPr="00B14011">
        <w:rPr>
          <w:sz w:val="20"/>
          <w:szCs w:val="20"/>
        </w:rPr>
        <w:t xml:space="preserve">use its convening role to engage </w:t>
      </w:r>
      <w:r w:rsidR="00594E5F" w:rsidRPr="00B14011">
        <w:rPr>
          <w:sz w:val="20"/>
          <w:szCs w:val="20"/>
        </w:rPr>
        <w:t>partners</w:t>
      </w:r>
      <w:r w:rsidR="004E151B" w:rsidRPr="00B14011">
        <w:rPr>
          <w:sz w:val="20"/>
          <w:szCs w:val="20"/>
        </w:rPr>
        <w:t xml:space="preserve"> </w:t>
      </w:r>
      <w:r w:rsidR="00594E5F" w:rsidRPr="00B14011">
        <w:rPr>
          <w:sz w:val="20"/>
          <w:szCs w:val="20"/>
        </w:rPr>
        <w:t>in</w:t>
      </w:r>
      <w:r w:rsidR="004E151B" w:rsidRPr="00B14011">
        <w:rPr>
          <w:sz w:val="20"/>
          <w:szCs w:val="20"/>
        </w:rPr>
        <w:t xml:space="preserve"> sustain</w:t>
      </w:r>
      <w:r w:rsidR="00594E5F" w:rsidRPr="00B14011">
        <w:rPr>
          <w:sz w:val="20"/>
          <w:szCs w:val="20"/>
        </w:rPr>
        <w:t>ing</w:t>
      </w:r>
      <w:r w:rsidR="004E151B" w:rsidRPr="00B14011">
        <w:rPr>
          <w:sz w:val="20"/>
          <w:szCs w:val="20"/>
        </w:rPr>
        <w:t xml:space="preserve"> focus on peacebuilding priorities.</w:t>
      </w:r>
    </w:p>
    <w:p w14:paraId="66AF51C2" w14:textId="32A44E60" w:rsidR="00D80649" w:rsidRPr="00B14011" w:rsidRDefault="004E151B" w:rsidP="00013A8D">
      <w:pPr>
        <w:pStyle w:val="ListParagraph"/>
        <w:numPr>
          <w:ilvl w:val="0"/>
          <w:numId w:val="3"/>
        </w:numPr>
        <w:tabs>
          <w:tab w:val="left" w:pos="1080"/>
        </w:tabs>
        <w:spacing w:after="120"/>
        <w:ind w:firstLine="0"/>
        <w:jc w:val="both"/>
        <w:rPr>
          <w:b/>
        </w:rPr>
      </w:pPr>
      <w:r w:rsidRPr="00B14011">
        <w:rPr>
          <w:sz w:val="20"/>
          <w:szCs w:val="20"/>
        </w:rPr>
        <w:t xml:space="preserve">A second risk is that </w:t>
      </w:r>
      <w:r w:rsidR="007D44E5" w:rsidRPr="00B14011">
        <w:rPr>
          <w:sz w:val="20"/>
          <w:szCs w:val="20"/>
        </w:rPr>
        <w:t>concentration</w:t>
      </w:r>
      <w:r w:rsidR="003F131A" w:rsidRPr="00B14011">
        <w:rPr>
          <w:sz w:val="20"/>
          <w:szCs w:val="20"/>
        </w:rPr>
        <w:t xml:space="preserve"> </w:t>
      </w:r>
      <w:r w:rsidR="007D44E5" w:rsidRPr="00B14011">
        <w:rPr>
          <w:sz w:val="20"/>
          <w:szCs w:val="20"/>
        </w:rPr>
        <w:t xml:space="preserve">of wealth by the elite continues and </w:t>
      </w:r>
      <w:r w:rsidRPr="00B14011">
        <w:rPr>
          <w:sz w:val="20"/>
          <w:szCs w:val="20"/>
        </w:rPr>
        <w:t xml:space="preserve">revenues generated by </w:t>
      </w:r>
      <w:r w:rsidR="00A74181" w:rsidRPr="00B14011">
        <w:rPr>
          <w:sz w:val="20"/>
          <w:szCs w:val="20"/>
        </w:rPr>
        <w:t xml:space="preserve">future </w:t>
      </w:r>
      <w:r w:rsidRPr="00B14011">
        <w:rPr>
          <w:sz w:val="20"/>
          <w:szCs w:val="20"/>
        </w:rPr>
        <w:t>economic growth and fiscal reforms are not reinvested into sustainable development priorities, thereby increasing inequalities</w:t>
      </w:r>
      <w:r w:rsidR="007D44E5" w:rsidRPr="00B14011">
        <w:rPr>
          <w:sz w:val="20"/>
          <w:szCs w:val="20"/>
        </w:rPr>
        <w:t xml:space="preserve"> and reducing trust in public institutions</w:t>
      </w:r>
      <w:r w:rsidRPr="00B14011">
        <w:rPr>
          <w:sz w:val="20"/>
          <w:szCs w:val="20"/>
        </w:rPr>
        <w:t>. UNDP</w:t>
      </w:r>
      <w:r w:rsidR="00497356">
        <w:rPr>
          <w:sz w:val="20"/>
          <w:szCs w:val="20"/>
        </w:rPr>
        <w:t>,</w:t>
      </w:r>
      <w:r w:rsidRPr="00B14011">
        <w:rPr>
          <w:sz w:val="20"/>
          <w:szCs w:val="20"/>
        </w:rPr>
        <w:t xml:space="preserve"> together with other </w:t>
      </w:r>
      <w:r w:rsidR="00497356">
        <w:rPr>
          <w:sz w:val="20"/>
          <w:szCs w:val="20"/>
        </w:rPr>
        <w:t xml:space="preserve">United Nations organizations, </w:t>
      </w:r>
      <w:r w:rsidRPr="00B14011">
        <w:rPr>
          <w:sz w:val="20"/>
          <w:szCs w:val="20"/>
        </w:rPr>
        <w:t>will mitigate this risk through the collective emphasis on building capacities for</w:t>
      </w:r>
      <w:r w:rsidR="00B463AF" w:rsidRPr="00B14011">
        <w:rPr>
          <w:sz w:val="20"/>
          <w:szCs w:val="20"/>
        </w:rPr>
        <w:t xml:space="preserve"> </w:t>
      </w:r>
      <w:r w:rsidRPr="00B14011">
        <w:rPr>
          <w:sz w:val="20"/>
          <w:szCs w:val="20"/>
        </w:rPr>
        <w:t xml:space="preserve">evidence-based policymaking and </w:t>
      </w:r>
      <w:r w:rsidR="007D44E5" w:rsidRPr="00B14011">
        <w:rPr>
          <w:sz w:val="20"/>
          <w:szCs w:val="20"/>
        </w:rPr>
        <w:t xml:space="preserve">engaging in </w:t>
      </w:r>
      <w:r w:rsidRPr="00B14011">
        <w:rPr>
          <w:sz w:val="20"/>
          <w:szCs w:val="20"/>
        </w:rPr>
        <w:t>advocacy efforts on the use of national budget resources for more inclusive, equitable and risk-informed policies.</w:t>
      </w:r>
    </w:p>
    <w:p w14:paraId="317E76B3" w14:textId="442F55A3" w:rsidR="00D80649" w:rsidRPr="00B14011" w:rsidRDefault="004E151B" w:rsidP="00013A8D">
      <w:pPr>
        <w:pStyle w:val="ListParagraph"/>
        <w:numPr>
          <w:ilvl w:val="0"/>
          <w:numId w:val="3"/>
        </w:numPr>
        <w:tabs>
          <w:tab w:val="left" w:pos="1080"/>
        </w:tabs>
        <w:spacing w:after="120"/>
        <w:ind w:firstLine="0"/>
        <w:jc w:val="both"/>
        <w:rPr>
          <w:b/>
        </w:rPr>
      </w:pPr>
      <w:r w:rsidRPr="00B14011">
        <w:rPr>
          <w:sz w:val="20"/>
          <w:szCs w:val="20"/>
        </w:rPr>
        <w:t>A third risk is the country’s increasing exposure to extreme weather events</w:t>
      </w:r>
      <w:r w:rsidR="00497356">
        <w:rPr>
          <w:sz w:val="20"/>
          <w:szCs w:val="20"/>
        </w:rPr>
        <w:t>,</w:t>
      </w:r>
      <w:r w:rsidRPr="00B14011">
        <w:rPr>
          <w:sz w:val="20"/>
          <w:szCs w:val="20"/>
        </w:rPr>
        <w:t xml:space="preserve"> which may cause disruptions to planned programming in the event of a natural disaster. UNDP will review lessons from past experience and undertake a programme criticality exercise at the outset of the new programme cycle to</w:t>
      </w:r>
      <w:r w:rsidR="0009570C" w:rsidRPr="00B14011">
        <w:rPr>
          <w:sz w:val="20"/>
          <w:szCs w:val="20"/>
        </w:rPr>
        <w:t xml:space="preserve"> develop a business continuity strategy and</w:t>
      </w:r>
      <w:r w:rsidRPr="00B14011">
        <w:rPr>
          <w:sz w:val="20"/>
          <w:szCs w:val="20"/>
        </w:rPr>
        <w:t xml:space="preserve"> </w:t>
      </w:r>
      <w:r w:rsidR="0009570C" w:rsidRPr="00B14011">
        <w:rPr>
          <w:sz w:val="20"/>
          <w:szCs w:val="20"/>
        </w:rPr>
        <w:t xml:space="preserve">establish thresholds </w:t>
      </w:r>
      <w:r w:rsidR="00497356">
        <w:rPr>
          <w:sz w:val="20"/>
          <w:szCs w:val="20"/>
        </w:rPr>
        <w:t xml:space="preserve">that </w:t>
      </w:r>
      <w:r w:rsidR="0009570C" w:rsidRPr="00B14011">
        <w:rPr>
          <w:sz w:val="20"/>
          <w:szCs w:val="20"/>
        </w:rPr>
        <w:t>would trigger programme adjustments</w:t>
      </w:r>
      <w:r w:rsidRPr="00B14011">
        <w:rPr>
          <w:sz w:val="20"/>
          <w:szCs w:val="20"/>
        </w:rPr>
        <w:t>.</w:t>
      </w:r>
    </w:p>
    <w:p w14:paraId="0EE7A830" w14:textId="7E3CB08E" w:rsidR="00916D44" w:rsidRPr="00B14011" w:rsidRDefault="00A3115C" w:rsidP="00013A8D">
      <w:pPr>
        <w:pStyle w:val="ListParagraph"/>
        <w:numPr>
          <w:ilvl w:val="0"/>
          <w:numId w:val="3"/>
        </w:numPr>
        <w:tabs>
          <w:tab w:val="left" w:pos="1080"/>
        </w:tabs>
        <w:spacing w:after="120"/>
        <w:ind w:firstLine="0"/>
        <w:jc w:val="both"/>
        <w:rPr>
          <w:b/>
        </w:rPr>
      </w:pPr>
      <w:r>
        <w:rPr>
          <w:sz w:val="20"/>
          <w:szCs w:val="20"/>
        </w:rPr>
        <w:t>T</w:t>
      </w:r>
      <w:r w:rsidR="00916D44" w:rsidRPr="00B14011">
        <w:rPr>
          <w:sz w:val="20"/>
          <w:szCs w:val="20"/>
        </w:rPr>
        <w:t>o address the risks of mobilizing sufficient resources for the programme in a middle-income context, UNDP will expand its partnership strategy with vertical and regional funding mechanisms, while building on initial successes in mobili</w:t>
      </w:r>
      <w:r w:rsidR="00F13FB0">
        <w:rPr>
          <w:sz w:val="20"/>
          <w:szCs w:val="20"/>
        </w:rPr>
        <w:t>z</w:t>
      </w:r>
      <w:r w:rsidR="00916D44" w:rsidRPr="00B14011">
        <w:rPr>
          <w:sz w:val="20"/>
          <w:szCs w:val="20"/>
        </w:rPr>
        <w:t xml:space="preserve">ing resources from the </w:t>
      </w:r>
      <w:r w:rsidR="00F13FB0">
        <w:rPr>
          <w:sz w:val="20"/>
          <w:szCs w:val="20"/>
        </w:rPr>
        <w:t>G</w:t>
      </w:r>
      <w:r w:rsidR="00916D44" w:rsidRPr="00B14011">
        <w:rPr>
          <w:sz w:val="20"/>
          <w:szCs w:val="20"/>
        </w:rPr>
        <w:t xml:space="preserve">overnment and private sector. </w:t>
      </w:r>
    </w:p>
    <w:p w14:paraId="1ED04099" w14:textId="2929C262" w:rsidR="00D80649" w:rsidRPr="00B14011" w:rsidRDefault="004E151B" w:rsidP="00013A8D">
      <w:pPr>
        <w:pStyle w:val="ListParagraph"/>
        <w:numPr>
          <w:ilvl w:val="0"/>
          <w:numId w:val="3"/>
        </w:numPr>
        <w:tabs>
          <w:tab w:val="left" w:pos="1080"/>
        </w:tabs>
        <w:spacing w:after="120"/>
        <w:ind w:firstLine="0"/>
        <w:jc w:val="both"/>
        <w:rPr>
          <w:b/>
        </w:rPr>
      </w:pPr>
      <w:r w:rsidRPr="00B14011">
        <w:rPr>
          <w:sz w:val="20"/>
          <w:szCs w:val="20"/>
        </w:rPr>
        <w:t>In line with the independent mid-term review</w:t>
      </w:r>
      <w:r w:rsidR="00F13FB0" w:rsidRPr="00F13FB0">
        <w:rPr>
          <w:sz w:val="20"/>
          <w:szCs w:val="20"/>
        </w:rPr>
        <w:t xml:space="preserve"> </w:t>
      </w:r>
      <w:r w:rsidR="00F13FB0" w:rsidRPr="00B14011">
        <w:rPr>
          <w:sz w:val="20"/>
          <w:szCs w:val="20"/>
        </w:rPr>
        <w:t>of the previous country programm</w:t>
      </w:r>
      <w:r w:rsidR="00F13FB0">
        <w:rPr>
          <w:sz w:val="20"/>
          <w:szCs w:val="20"/>
        </w:rPr>
        <w:t>e,</w:t>
      </w:r>
      <w:r w:rsidRPr="00B14011">
        <w:rPr>
          <w:rStyle w:val="FootnoteReference"/>
          <w:szCs w:val="20"/>
        </w:rPr>
        <w:footnoteReference w:id="25"/>
      </w:r>
      <w:r w:rsidRPr="00B14011">
        <w:rPr>
          <w:sz w:val="20"/>
          <w:szCs w:val="20"/>
        </w:rPr>
        <w:t xml:space="preserve"> UNDP will institute more consultative processes </w:t>
      </w:r>
      <w:r w:rsidR="00BD3342" w:rsidRPr="00B14011">
        <w:rPr>
          <w:sz w:val="20"/>
          <w:szCs w:val="20"/>
        </w:rPr>
        <w:t>for</w:t>
      </w:r>
      <w:r w:rsidRPr="00B14011">
        <w:rPr>
          <w:sz w:val="20"/>
          <w:szCs w:val="20"/>
        </w:rPr>
        <w:t xml:space="preserve"> project design, as well as systems for continuous </w:t>
      </w:r>
      <w:r w:rsidRPr="00B14011">
        <w:rPr>
          <w:sz w:val="20"/>
          <w:szCs w:val="20"/>
        </w:rPr>
        <w:lastRenderedPageBreak/>
        <w:t xml:space="preserve">programme oversight through formal and informal engagement with </w:t>
      </w:r>
      <w:r w:rsidR="00BD3342" w:rsidRPr="00B14011">
        <w:rPr>
          <w:sz w:val="20"/>
          <w:szCs w:val="20"/>
        </w:rPr>
        <w:t>the country programme board</w:t>
      </w:r>
      <w:r w:rsidR="00F13FB0">
        <w:rPr>
          <w:sz w:val="20"/>
          <w:szCs w:val="20"/>
        </w:rPr>
        <w:t xml:space="preserve"> and </w:t>
      </w:r>
      <w:r w:rsidRPr="00B14011">
        <w:rPr>
          <w:sz w:val="20"/>
          <w:szCs w:val="20"/>
        </w:rPr>
        <w:t>project and counterpart staff to mitigate substantive or operational risks</w:t>
      </w:r>
      <w:r w:rsidR="00BD3342" w:rsidRPr="00B14011">
        <w:rPr>
          <w:sz w:val="20"/>
          <w:szCs w:val="20"/>
        </w:rPr>
        <w:t>, and identify adjustments</w:t>
      </w:r>
      <w:r w:rsidRPr="00B14011">
        <w:rPr>
          <w:sz w:val="20"/>
          <w:szCs w:val="20"/>
        </w:rPr>
        <w:t>.</w:t>
      </w:r>
      <w:r w:rsidR="001A4870" w:rsidRPr="00B14011">
        <w:rPr>
          <w:sz w:val="20"/>
          <w:szCs w:val="20"/>
        </w:rPr>
        <w:t xml:space="preserve"> </w:t>
      </w:r>
      <w:r w:rsidR="00F13FB0">
        <w:rPr>
          <w:sz w:val="20"/>
          <w:szCs w:val="20"/>
        </w:rPr>
        <w:t xml:space="preserve">The </w:t>
      </w:r>
      <w:r w:rsidR="002251DB">
        <w:rPr>
          <w:sz w:val="20"/>
          <w:szCs w:val="20"/>
        </w:rPr>
        <w:t xml:space="preserve">2017 </w:t>
      </w:r>
      <w:r w:rsidR="0036195A" w:rsidRPr="00B14011">
        <w:rPr>
          <w:sz w:val="20"/>
          <w:szCs w:val="20"/>
        </w:rPr>
        <w:t>UNDP Management C</w:t>
      </w:r>
      <w:r w:rsidR="00F6204F" w:rsidRPr="00B14011">
        <w:rPr>
          <w:sz w:val="20"/>
          <w:szCs w:val="20"/>
        </w:rPr>
        <w:t>hange</w:t>
      </w:r>
      <w:r w:rsidR="0036195A" w:rsidRPr="00B14011">
        <w:rPr>
          <w:sz w:val="20"/>
          <w:szCs w:val="20"/>
        </w:rPr>
        <w:t xml:space="preserve"> Team engagement will help identify requisite capacities for programme scalability and pipeline development.</w:t>
      </w:r>
    </w:p>
    <w:p w14:paraId="769F54F5" w14:textId="69F1B05F" w:rsidR="00D80649" w:rsidRPr="00B14011" w:rsidRDefault="004E151B" w:rsidP="00003F2F">
      <w:pPr>
        <w:pStyle w:val="ListParagraph"/>
        <w:numPr>
          <w:ilvl w:val="0"/>
          <w:numId w:val="3"/>
        </w:numPr>
        <w:tabs>
          <w:tab w:val="left" w:pos="1080"/>
        </w:tabs>
        <w:ind w:firstLine="0"/>
        <w:jc w:val="both"/>
        <w:rPr>
          <w:b/>
        </w:rPr>
      </w:pPr>
      <w:r w:rsidRPr="00B14011">
        <w:rPr>
          <w:sz w:val="20"/>
          <w:szCs w:val="20"/>
        </w:rPr>
        <w:t xml:space="preserve">The </w:t>
      </w:r>
      <w:r w:rsidR="00F13FB0">
        <w:rPr>
          <w:sz w:val="20"/>
          <w:szCs w:val="20"/>
        </w:rPr>
        <w:t xml:space="preserve">programme will expand </w:t>
      </w:r>
      <w:r w:rsidRPr="00B14011">
        <w:rPr>
          <w:sz w:val="20"/>
          <w:szCs w:val="20"/>
        </w:rPr>
        <w:t xml:space="preserve">use of corporate project quality assurance standards and tools to ensure linkages to the national SDG agenda and “reaching the furthest behind first” are embedded in project design. The country office will train staff and inform national counterparts regarding the application of </w:t>
      </w:r>
      <w:r w:rsidR="00F13FB0">
        <w:rPr>
          <w:sz w:val="20"/>
          <w:szCs w:val="20"/>
        </w:rPr>
        <w:t xml:space="preserve">the </w:t>
      </w:r>
      <w:r w:rsidRPr="00B14011">
        <w:rPr>
          <w:sz w:val="20"/>
          <w:szCs w:val="20"/>
        </w:rPr>
        <w:t xml:space="preserve">UNDP </w:t>
      </w:r>
      <w:r w:rsidR="00F13FB0">
        <w:rPr>
          <w:sz w:val="20"/>
          <w:szCs w:val="20"/>
        </w:rPr>
        <w:t>s</w:t>
      </w:r>
      <w:r w:rsidRPr="00B14011">
        <w:rPr>
          <w:sz w:val="20"/>
          <w:szCs w:val="20"/>
        </w:rPr>
        <w:t xml:space="preserve">ocial and </w:t>
      </w:r>
      <w:r w:rsidR="00F13FB0">
        <w:rPr>
          <w:sz w:val="20"/>
          <w:szCs w:val="20"/>
        </w:rPr>
        <w:t>e</w:t>
      </w:r>
      <w:r w:rsidRPr="00B14011">
        <w:rPr>
          <w:sz w:val="20"/>
          <w:szCs w:val="20"/>
        </w:rPr>
        <w:t xml:space="preserve">nvironmental </w:t>
      </w:r>
      <w:r w:rsidR="00F13FB0">
        <w:rPr>
          <w:sz w:val="20"/>
          <w:szCs w:val="20"/>
        </w:rPr>
        <w:t>s</w:t>
      </w:r>
      <w:r w:rsidRPr="00B14011">
        <w:rPr>
          <w:sz w:val="20"/>
          <w:szCs w:val="20"/>
        </w:rPr>
        <w:t xml:space="preserve">tandards and </w:t>
      </w:r>
      <w:r w:rsidR="00F13FB0">
        <w:rPr>
          <w:sz w:val="20"/>
          <w:szCs w:val="20"/>
        </w:rPr>
        <w:t>a</w:t>
      </w:r>
      <w:r w:rsidRPr="00B14011">
        <w:rPr>
          <w:sz w:val="20"/>
          <w:szCs w:val="20"/>
        </w:rPr>
        <w:t xml:space="preserve">ccountability </w:t>
      </w:r>
      <w:r w:rsidR="00F13FB0">
        <w:rPr>
          <w:sz w:val="20"/>
          <w:szCs w:val="20"/>
        </w:rPr>
        <w:t>m</w:t>
      </w:r>
      <w:r w:rsidRPr="00B14011">
        <w:rPr>
          <w:sz w:val="20"/>
          <w:szCs w:val="20"/>
        </w:rPr>
        <w:t>echanism, as required.</w:t>
      </w:r>
    </w:p>
    <w:p w14:paraId="598B2853" w14:textId="77777777" w:rsidR="004E151B" w:rsidRPr="00B14011" w:rsidRDefault="004E151B" w:rsidP="00013A8D">
      <w:pPr>
        <w:pStyle w:val="Heading1"/>
        <w:tabs>
          <w:tab w:val="left" w:pos="720"/>
          <w:tab w:val="left" w:pos="1080"/>
          <w:tab w:val="left" w:pos="1800"/>
          <w:tab w:val="left" w:pos="8640"/>
          <w:tab w:val="left" w:pos="9180"/>
        </w:tabs>
        <w:ind w:left="720" w:right="1267"/>
        <w:jc w:val="both"/>
        <w:rPr>
          <w:rFonts w:ascii="Times New Roman" w:hAnsi="Times New Roman"/>
          <w:b w:val="0"/>
          <w:sz w:val="20"/>
          <w:szCs w:val="20"/>
          <w:lang w:val="en-GB"/>
        </w:rPr>
      </w:pPr>
    </w:p>
    <w:p w14:paraId="4A96D297" w14:textId="77777777" w:rsidR="004E151B" w:rsidRPr="00B14011" w:rsidRDefault="004E151B" w:rsidP="00013A8D">
      <w:pPr>
        <w:pStyle w:val="Heading1"/>
        <w:tabs>
          <w:tab w:val="left" w:pos="720"/>
          <w:tab w:val="left" w:pos="1080"/>
          <w:tab w:val="left" w:pos="1800"/>
          <w:tab w:val="left" w:pos="8640"/>
          <w:tab w:val="left" w:pos="9180"/>
        </w:tabs>
        <w:ind w:left="720" w:right="1267" w:hanging="540"/>
        <w:jc w:val="both"/>
        <w:rPr>
          <w:rFonts w:ascii="Times New Roman" w:hAnsi="Times New Roman"/>
          <w:szCs w:val="28"/>
          <w:lang w:val="en-GB"/>
        </w:rPr>
      </w:pPr>
      <w:r w:rsidRPr="00B14011">
        <w:rPr>
          <w:rFonts w:ascii="Times New Roman" w:hAnsi="Times New Roman"/>
          <w:szCs w:val="28"/>
          <w:lang w:val="en-GB"/>
        </w:rPr>
        <w:t>IV.</w:t>
      </w:r>
      <w:r w:rsidRPr="00B14011">
        <w:rPr>
          <w:rFonts w:ascii="Times New Roman" w:hAnsi="Times New Roman"/>
          <w:szCs w:val="28"/>
          <w:lang w:val="en-GB"/>
        </w:rPr>
        <w:tab/>
        <w:t>Monitoring and evaluation</w:t>
      </w:r>
    </w:p>
    <w:p w14:paraId="1719CDEA" w14:textId="77777777" w:rsidR="004E151B" w:rsidRPr="00B14011" w:rsidRDefault="004E151B" w:rsidP="00003F2F">
      <w:pPr>
        <w:tabs>
          <w:tab w:val="left" w:pos="1080"/>
        </w:tabs>
        <w:jc w:val="both"/>
        <w:rPr>
          <w:sz w:val="20"/>
          <w:szCs w:val="20"/>
        </w:rPr>
      </w:pPr>
    </w:p>
    <w:p w14:paraId="53FD426E" w14:textId="55275526" w:rsidR="004E151B" w:rsidRPr="00B14011" w:rsidRDefault="00C0787B" w:rsidP="00013A8D">
      <w:pPr>
        <w:pStyle w:val="ListParagraph"/>
        <w:numPr>
          <w:ilvl w:val="0"/>
          <w:numId w:val="3"/>
        </w:numPr>
        <w:tabs>
          <w:tab w:val="left" w:pos="1080"/>
        </w:tabs>
        <w:spacing w:after="120"/>
        <w:ind w:firstLine="0"/>
        <w:jc w:val="both"/>
        <w:rPr>
          <w:b/>
          <w:sz w:val="20"/>
          <w:szCs w:val="20"/>
        </w:rPr>
      </w:pPr>
      <w:r>
        <w:rPr>
          <w:sz w:val="20"/>
          <w:szCs w:val="20"/>
        </w:rPr>
        <w:t>UNDP will monitor t</w:t>
      </w:r>
      <w:r w:rsidR="004E151B" w:rsidRPr="00B14011">
        <w:rPr>
          <w:sz w:val="20"/>
          <w:szCs w:val="20"/>
        </w:rPr>
        <w:t xml:space="preserve">he country programme together with national counterparts within the broader UNSDF monitoring framework. In addition, UNDP will conduct an annual review of the programme together with </w:t>
      </w:r>
      <w:r w:rsidR="00DC7F73" w:rsidRPr="00B14011">
        <w:rPr>
          <w:sz w:val="20"/>
          <w:szCs w:val="20"/>
        </w:rPr>
        <w:t>the country programme board</w:t>
      </w:r>
      <w:r w:rsidR="004E151B" w:rsidRPr="00B14011">
        <w:rPr>
          <w:sz w:val="20"/>
          <w:szCs w:val="20"/>
        </w:rPr>
        <w:t xml:space="preserve">. To monitor progress, UNDP will utilize national data systems to the extent possible, recognizing the need for additional data sources where national data is unavailable. </w:t>
      </w:r>
      <w:r w:rsidR="00CD0B1E" w:rsidRPr="00B14011">
        <w:rPr>
          <w:sz w:val="20"/>
          <w:szCs w:val="20"/>
        </w:rPr>
        <w:t>Indicators are aligned to</w:t>
      </w:r>
      <w:r w:rsidR="00C52A1D" w:rsidRPr="00B14011">
        <w:rPr>
          <w:sz w:val="20"/>
          <w:szCs w:val="20"/>
        </w:rPr>
        <w:t xml:space="preserve"> SDG targets and</w:t>
      </w:r>
      <w:r w:rsidR="00CD0B1E" w:rsidRPr="00B14011">
        <w:rPr>
          <w:sz w:val="20"/>
          <w:szCs w:val="20"/>
        </w:rPr>
        <w:t xml:space="preserve"> </w:t>
      </w:r>
      <w:r>
        <w:rPr>
          <w:sz w:val="20"/>
          <w:szCs w:val="20"/>
        </w:rPr>
        <w:t xml:space="preserve">the </w:t>
      </w:r>
      <w:r w:rsidR="00CD0B1E" w:rsidRPr="00B14011">
        <w:rPr>
          <w:sz w:val="20"/>
          <w:szCs w:val="20"/>
        </w:rPr>
        <w:t>U</w:t>
      </w:r>
      <w:r w:rsidR="00C52A1D" w:rsidRPr="00B14011">
        <w:rPr>
          <w:sz w:val="20"/>
          <w:szCs w:val="20"/>
        </w:rPr>
        <w:t xml:space="preserve">NDP current </w:t>
      </w:r>
      <w:r>
        <w:rPr>
          <w:sz w:val="20"/>
          <w:szCs w:val="20"/>
        </w:rPr>
        <w:t>s</w:t>
      </w:r>
      <w:r w:rsidR="00C52A1D" w:rsidRPr="00B14011">
        <w:rPr>
          <w:sz w:val="20"/>
          <w:szCs w:val="20"/>
        </w:rPr>
        <w:t xml:space="preserve">trategic </w:t>
      </w:r>
      <w:r>
        <w:rPr>
          <w:sz w:val="20"/>
          <w:szCs w:val="20"/>
        </w:rPr>
        <w:t>p</w:t>
      </w:r>
      <w:r w:rsidR="00C52A1D" w:rsidRPr="00B14011">
        <w:rPr>
          <w:sz w:val="20"/>
          <w:szCs w:val="20"/>
        </w:rPr>
        <w:t>lan</w:t>
      </w:r>
      <w:r w:rsidR="00CD0B1E" w:rsidRPr="00B14011">
        <w:rPr>
          <w:sz w:val="20"/>
          <w:szCs w:val="20"/>
        </w:rPr>
        <w:t xml:space="preserve">, </w:t>
      </w:r>
      <w:r>
        <w:rPr>
          <w:sz w:val="20"/>
          <w:szCs w:val="20"/>
        </w:rPr>
        <w:t xml:space="preserve">2014-2017, </w:t>
      </w:r>
      <w:r w:rsidR="00CD0B1E" w:rsidRPr="00B14011">
        <w:rPr>
          <w:sz w:val="20"/>
          <w:szCs w:val="20"/>
        </w:rPr>
        <w:t xml:space="preserve">with the </w:t>
      </w:r>
      <w:r>
        <w:rPr>
          <w:sz w:val="20"/>
          <w:szCs w:val="20"/>
        </w:rPr>
        <w:t>r</w:t>
      </w:r>
      <w:r w:rsidR="00CD0B1E" w:rsidRPr="00B14011">
        <w:rPr>
          <w:sz w:val="20"/>
          <w:szCs w:val="20"/>
        </w:rPr>
        <w:t xml:space="preserve">esults </w:t>
      </w:r>
      <w:r>
        <w:rPr>
          <w:sz w:val="20"/>
          <w:szCs w:val="20"/>
        </w:rPr>
        <w:t>f</w:t>
      </w:r>
      <w:r w:rsidR="00CD0B1E" w:rsidRPr="00B14011">
        <w:rPr>
          <w:sz w:val="20"/>
          <w:szCs w:val="20"/>
        </w:rPr>
        <w:t xml:space="preserve">ramework to be updated with relevant indicators from the new </w:t>
      </w:r>
      <w:r>
        <w:rPr>
          <w:sz w:val="20"/>
          <w:szCs w:val="20"/>
        </w:rPr>
        <w:t>s</w:t>
      </w:r>
      <w:r w:rsidR="00CD0B1E" w:rsidRPr="00B14011">
        <w:rPr>
          <w:sz w:val="20"/>
          <w:szCs w:val="20"/>
        </w:rPr>
        <w:t xml:space="preserve">trategic </w:t>
      </w:r>
      <w:r>
        <w:rPr>
          <w:sz w:val="20"/>
          <w:szCs w:val="20"/>
        </w:rPr>
        <w:t>p</w:t>
      </w:r>
      <w:r w:rsidR="00CD0B1E" w:rsidRPr="00B14011">
        <w:rPr>
          <w:sz w:val="20"/>
          <w:szCs w:val="20"/>
        </w:rPr>
        <w:t>lan</w:t>
      </w:r>
      <w:r>
        <w:rPr>
          <w:sz w:val="20"/>
          <w:szCs w:val="20"/>
        </w:rPr>
        <w:t xml:space="preserve">, </w:t>
      </w:r>
      <w:r w:rsidR="00CD0B1E" w:rsidRPr="00B14011">
        <w:rPr>
          <w:sz w:val="20"/>
          <w:szCs w:val="20"/>
        </w:rPr>
        <w:t>2018-2021</w:t>
      </w:r>
      <w:r>
        <w:rPr>
          <w:sz w:val="20"/>
          <w:szCs w:val="20"/>
        </w:rPr>
        <w:t>,</w:t>
      </w:r>
      <w:r w:rsidR="00CD0B1E" w:rsidRPr="00B14011">
        <w:rPr>
          <w:sz w:val="20"/>
          <w:szCs w:val="20"/>
        </w:rPr>
        <w:t xml:space="preserve"> once approved by the Executive Board in 2017.</w:t>
      </w:r>
      <w:r w:rsidR="00FC0A2D" w:rsidRPr="00B14011">
        <w:rPr>
          <w:sz w:val="20"/>
          <w:szCs w:val="20"/>
        </w:rPr>
        <w:t xml:space="preserve"> </w:t>
      </w:r>
      <w:r>
        <w:rPr>
          <w:sz w:val="20"/>
          <w:szCs w:val="20"/>
        </w:rPr>
        <w:t>UNDP will use the g</w:t>
      </w:r>
      <w:r w:rsidR="00FC0A2D" w:rsidRPr="00B14011">
        <w:rPr>
          <w:sz w:val="20"/>
          <w:szCs w:val="20"/>
        </w:rPr>
        <w:t xml:space="preserve">ender </w:t>
      </w:r>
      <w:r>
        <w:rPr>
          <w:sz w:val="20"/>
          <w:szCs w:val="20"/>
        </w:rPr>
        <w:t>m</w:t>
      </w:r>
      <w:r w:rsidR="00FC0A2D" w:rsidRPr="00B14011">
        <w:rPr>
          <w:sz w:val="20"/>
          <w:szCs w:val="20"/>
        </w:rPr>
        <w:t xml:space="preserve">arker to </w:t>
      </w:r>
      <w:r w:rsidR="00F56BB1" w:rsidRPr="00B14011">
        <w:rPr>
          <w:sz w:val="20"/>
          <w:szCs w:val="20"/>
        </w:rPr>
        <w:t xml:space="preserve">plan and </w:t>
      </w:r>
      <w:r w:rsidR="00FC0A2D" w:rsidRPr="00B14011">
        <w:rPr>
          <w:sz w:val="20"/>
          <w:szCs w:val="20"/>
        </w:rPr>
        <w:t>monitor gender</w:t>
      </w:r>
      <w:r>
        <w:rPr>
          <w:sz w:val="20"/>
          <w:szCs w:val="20"/>
        </w:rPr>
        <w:t>-</w:t>
      </w:r>
      <w:r w:rsidR="00F56BB1" w:rsidRPr="00B14011">
        <w:rPr>
          <w:sz w:val="20"/>
          <w:szCs w:val="20"/>
        </w:rPr>
        <w:t xml:space="preserve">related investments and </w:t>
      </w:r>
      <w:r w:rsidR="00FC0A2D" w:rsidRPr="00B14011">
        <w:rPr>
          <w:sz w:val="20"/>
          <w:szCs w:val="20"/>
        </w:rPr>
        <w:t>results</w:t>
      </w:r>
      <w:r w:rsidR="00AE0584" w:rsidRPr="00B14011">
        <w:rPr>
          <w:sz w:val="20"/>
          <w:szCs w:val="20"/>
        </w:rPr>
        <w:t xml:space="preserve"> in line with UNDP targets</w:t>
      </w:r>
      <w:r w:rsidR="00FC0A2D" w:rsidRPr="00B14011">
        <w:rPr>
          <w:sz w:val="20"/>
          <w:szCs w:val="20"/>
        </w:rPr>
        <w:t>.</w:t>
      </w:r>
      <w:r w:rsidR="00274F14" w:rsidRPr="00B14011">
        <w:rPr>
          <w:sz w:val="20"/>
          <w:szCs w:val="20"/>
        </w:rPr>
        <w:t xml:space="preserve"> </w:t>
      </w:r>
    </w:p>
    <w:p w14:paraId="77B9AC04" w14:textId="73335915" w:rsidR="004E151B" w:rsidRPr="00B14011" w:rsidRDefault="004E151B" w:rsidP="00013A8D">
      <w:pPr>
        <w:pStyle w:val="ListParagraph"/>
        <w:numPr>
          <w:ilvl w:val="0"/>
          <w:numId w:val="3"/>
        </w:numPr>
        <w:tabs>
          <w:tab w:val="left" w:pos="1080"/>
        </w:tabs>
        <w:spacing w:after="120"/>
        <w:ind w:firstLine="0"/>
        <w:jc w:val="both"/>
        <w:rPr>
          <w:b/>
        </w:rPr>
      </w:pPr>
      <w:r w:rsidRPr="00B14011">
        <w:rPr>
          <w:sz w:val="20"/>
          <w:szCs w:val="20"/>
        </w:rPr>
        <w:t xml:space="preserve">Project design will ensure inclusion of indicators disaggregated by sex and other variables where possible, and identify data gaps to be addressed for quality monitoring of results.  </w:t>
      </w:r>
      <w:r w:rsidR="0042763F" w:rsidRPr="00B14011">
        <w:rPr>
          <w:sz w:val="20"/>
          <w:szCs w:val="20"/>
        </w:rPr>
        <w:t xml:space="preserve">Monitoring, evaluation, data collection and research costs will be included in project budgets, while </w:t>
      </w:r>
      <w:r w:rsidR="001118F8" w:rsidRPr="00B14011">
        <w:rPr>
          <w:sz w:val="20"/>
          <w:szCs w:val="20"/>
        </w:rPr>
        <w:t>UNDP resources</w:t>
      </w:r>
      <w:r w:rsidR="001118F8" w:rsidRPr="00B14011" w:rsidDel="001118F8">
        <w:rPr>
          <w:sz w:val="20"/>
          <w:szCs w:val="20"/>
        </w:rPr>
        <w:t xml:space="preserve"> </w:t>
      </w:r>
      <w:r w:rsidR="001118F8">
        <w:rPr>
          <w:sz w:val="20"/>
          <w:szCs w:val="20"/>
        </w:rPr>
        <w:t xml:space="preserve">will cover </w:t>
      </w:r>
      <w:r w:rsidR="0042763F" w:rsidRPr="00B14011">
        <w:rPr>
          <w:sz w:val="20"/>
          <w:szCs w:val="20"/>
        </w:rPr>
        <w:t xml:space="preserve">staff training costs </w:t>
      </w:r>
      <w:r w:rsidR="00281CEC" w:rsidRPr="00B14011">
        <w:rPr>
          <w:sz w:val="20"/>
          <w:szCs w:val="20"/>
        </w:rPr>
        <w:t>for quality assurance</w:t>
      </w:r>
      <w:r w:rsidR="0042763F" w:rsidRPr="00B14011">
        <w:rPr>
          <w:sz w:val="20"/>
          <w:szCs w:val="20"/>
        </w:rPr>
        <w:t xml:space="preserve">. </w:t>
      </w:r>
      <w:r w:rsidR="003D246E" w:rsidRPr="00B14011">
        <w:rPr>
          <w:sz w:val="20"/>
          <w:szCs w:val="20"/>
        </w:rPr>
        <w:t xml:space="preserve">UNDP will adopt a more deliberate approach to project design, monitoring and evaluation to ensure relevant lessons and data are captured to build the evidence base for policy dialogue on SDG achievement </w:t>
      </w:r>
      <w:r w:rsidRPr="00B14011">
        <w:rPr>
          <w:sz w:val="20"/>
          <w:szCs w:val="20"/>
        </w:rPr>
        <w:t>and contribut</w:t>
      </w:r>
      <w:r w:rsidR="003D246E" w:rsidRPr="00B14011">
        <w:rPr>
          <w:sz w:val="20"/>
          <w:szCs w:val="20"/>
        </w:rPr>
        <w:t xml:space="preserve">e </w:t>
      </w:r>
      <w:r w:rsidRPr="00B14011">
        <w:rPr>
          <w:sz w:val="20"/>
          <w:szCs w:val="20"/>
        </w:rPr>
        <w:t>to the knowledge base required for evidence</w:t>
      </w:r>
      <w:r w:rsidR="00281CEC" w:rsidRPr="00B14011">
        <w:rPr>
          <w:sz w:val="20"/>
          <w:szCs w:val="20"/>
        </w:rPr>
        <w:t>-</w:t>
      </w:r>
      <w:r w:rsidRPr="00B14011">
        <w:rPr>
          <w:sz w:val="20"/>
          <w:szCs w:val="20"/>
        </w:rPr>
        <w:t>based advocacy and policy development</w:t>
      </w:r>
      <w:r w:rsidR="0047148A" w:rsidRPr="00B14011">
        <w:rPr>
          <w:sz w:val="20"/>
          <w:szCs w:val="20"/>
        </w:rPr>
        <w:t>.</w:t>
      </w:r>
    </w:p>
    <w:p w14:paraId="58C7EB6F" w14:textId="1879EFF5" w:rsidR="004E151B" w:rsidRPr="00B14011" w:rsidRDefault="004E151B" w:rsidP="00003F2F">
      <w:pPr>
        <w:pStyle w:val="ListParagraph"/>
        <w:numPr>
          <w:ilvl w:val="0"/>
          <w:numId w:val="3"/>
        </w:numPr>
        <w:tabs>
          <w:tab w:val="left" w:pos="1080"/>
        </w:tabs>
        <w:ind w:firstLine="0"/>
        <w:jc w:val="both"/>
        <w:rPr>
          <w:b/>
        </w:rPr>
      </w:pPr>
      <w:r w:rsidRPr="00B14011">
        <w:rPr>
          <w:sz w:val="20"/>
          <w:szCs w:val="20"/>
        </w:rPr>
        <w:t>In line with the independent mid-term review of the previous country programme, UNDP will supplement biannual project board meetings and annual project reviews with systems for continuous and dynamic programme oversight through formal project monitoring visits</w:t>
      </w:r>
      <w:r w:rsidR="004B641B" w:rsidRPr="00B14011">
        <w:rPr>
          <w:sz w:val="20"/>
          <w:szCs w:val="20"/>
        </w:rPr>
        <w:t xml:space="preserve"> (with increased participation of donors, civil society and beneficiaries), </w:t>
      </w:r>
      <w:r w:rsidRPr="00B14011">
        <w:rPr>
          <w:sz w:val="20"/>
          <w:szCs w:val="20"/>
        </w:rPr>
        <w:t>financial spot-checks and informal engagement with project and counterpart staff</w:t>
      </w:r>
      <w:r w:rsidR="0088151C" w:rsidRPr="00B14011">
        <w:rPr>
          <w:sz w:val="20"/>
          <w:szCs w:val="20"/>
        </w:rPr>
        <w:t xml:space="preserve">, </w:t>
      </w:r>
      <w:r w:rsidR="004B641B" w:rsidRPr="00B14011">
        <w:rPr>
          <w:sz w:val="20"/>
          <w:szCs w:val="20"/>
        </w:rPr>
        <w:t>and</w:t>
      </w:r>
      <w:r w:rsidR="0088151C" w:rsidRPr="00B14011">
        <w:rPr>
          <w:sz w:val="20"/>
          <w:szCs w:val="20"/>
        </w:rPr>
        <w:t xml:space="preserve"> civil society,</w:t>
      </w:r>
      <w:r w:rsidRPr="00B14011">
        <w:rPr>
          <w:sz w:val="20"/>
          <w:szCs w:val="20"/>
        </w:rPr>
        <w:t xml:space="preserve"> to identify substantive or operational risks to project implementation</w:t>
      </w:r>
      <w:r w:rsidR="00F60AC8" w:rsidRPr="00B14011">
        <w:rPr>
          <w:sz w:val="20"/>
          <w:szCs w:val="20"/>
        </w:rPr>
        <w:t>.</w:t>
      </w:r>
    </w:p>
    <w:p w14:paraId="6D4FE4B9" w14:textId="77777777" w:rsidR="00013A8D" w:rsidRPr="00B14011" w:rsidRDefault="00013A8D" w:rsidP="00013A8D">
      <w:pPr>
        <w:pStyle w:val="ListParagraph"/>
        <w:tabs>
          <w:tab w:val="left" w:pos="1080"/>
        </w:tabs>
        <w:jc w:val="both"/>
        <w:rPr>
          <w:b/>
        </w:rPr>
      </w:pPr>
    </w:p>
    <w:p w14:paraId="089FF05F" w14:textId="77777777" w:rsidR="000B2DCA" w:rsidRPr="00B14011" w:rsidRDefault="000B2DCA" w:rsidP="005C54FA">
      <w:pPr>
        <w:tabs>
          <w:tab w:val="left" w:pos="1080"/>
          <w:tab w:val="left" w:pos="8640"/>
          <w:tab w:val="left" w:pos="9180"/>
        </w:tabs>
        <w:spacing w:after="120"/>
        <w:jc w:val="both"/>
        <w:rPr>
          <w:sz w:val="20"/>
          <w:szCs w:val="20"/>
        </w:rPr>
        <w:sectPr w:rsidR="000B2DCA" w:rsidRPr="00B14011" w:rsidSect="00003F2F">
          <w:headerReference w:type="even" r:id="rId20"/>
          <w:type w:val="continuous"/>
          <w:pgSz w:w="12240" w:h="15840"/>
          <w:pgMar w:top="900" w:right="2160" w:bottom="990" w:left="1440" w:header="720" w:footer="720" w:gutter="0"/>
          <w:cols w:space="720"/>
        </w:sectPr>
      </w:pPr>
    </w:p>
    <w:p w14:paraId="7AD52754" w14:textId="77777777" w:rsidR="000B2DCA" w:rsidRPr="00B14011" w:rsidRDefault="000B2DCA" w:rsidP="00443D38">
      <w:pPr>
        <w:tabs>
          <w:tab w:val="left" w:pos="1440"/>
        </w:tabs>
        <w:rPr>
          <w:sz w:val="20"/>
          <w:szCs w:val="20"/>
        </w:rPr>
        <w:sectPr w:rsidR="000B2DCA" w:rsidRPr="00B14011" w:rsidSect="00443D38">
          <w:headerReference w:type="even" r:id="rId21"/>
          <w:headerReference w:type="default" r:id="rId22"/>
          <w:type w:val="continuous"/>
          <w:pgSz w:w="15840" w:h="12240" w:orient="landscape"/>
          <w:pgMar w:top="990" w:right="1152" w:bottom="1440" w:left="1152" w:header="720" w:footer="720" w:gutter="0"/>
          <w:cols w:space="720"/>
        </w:sectPr>
      </w:pPr>
    </w:p>
    <w:p w14:paraId="5E52B1E8" w14:textId="77777777" w:rsidR="00F55B96" w:rsidRPr="00B14011" w:rsidRDefault="00F55B96" w:rsidP="00F55B96">
      <w:pPr>
        <w:jc w:val="both"/>
        <w:rPr>
          <w:b/>
          <w:bCs/>
        </w:rPr>
      </w:pPr>
      <w:r w:rsidRPr="00B14011">
        <w:rPr>
          <w:b/>
          <w:bCs/>
        </w:rPr>
        <w:t xml:space="preserve">Annex. Results and resources framework for </w:t>
      </w:r>
      <w:r w:rsidR="00041E6D" w:rsidRPr="00B14011">
        <w:rPr>
          <w:b/>
          <w:bCs/>
        </w:rPr>
        <w:t>Sri Lanka (2018-2022</w:t>
      </w:r>
      <w:r w:rsidRPr="00B14011">
        <w:rPr>
          <w:b/>
          <w:bCs/>
        </w:rPr>
        <w:t>)</w:t>
      </w:r>
    </w:p>
    <w:p w14:paraId="257FFCCE" w14:textId="77777777" w:rsidR="00D16880" w:rsidRPr="00B14011" w:rsidRDefault="00D16880" w:rsidP="00F46466">
      <w:pPr>
        <w:tabs>
          <w:tab w:val="left" w:pos="900"/>
          <w:tab w:val="left" w:pos="990"/>
          <w:tab w:val="left" w:pos="8640"/>
          <w:tab w:val="left" w:pos="9180"/>
        </w:tabs>
        <w:ind w:left="450"/>
        <w:rPr>
          <w:sz w:val="20"/>
          <w:szCs w:val="20"/>
        </w:rPr>
      </w:pP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337"/>
        <w:gridCol w:w="1724"/>
        <w:gridCol w:w="4748"/>
        <w:gridCol w:w="2933"/>
        <w:gridCol w:w="180"/>
        <w:gridCol w:w="1482"/>
      </w:tblGrid>
      <w:tr w:rsidR="003E59AA" w:rsidRPr="00B14011" w14:paraId="67E4A968" w14:textId="77777777" w:rsidTr="007C75AF">
        <w:tc>
          <w:tcPr>
            <w:tcW w:w="5000" w:type="pct"/>
            <w:gridSpan w:val="6"/>
            <w:shd w:val="clear" w:color="auto" w:fill="auto"/>
            <w:tcMar>
              <w:top w:w="72" w:type="dxa"/>
              <w:left w:w="144" w:type="dxa"/>
              <w:bottom w:w="72" w:type="dxa"/>
              <w:right w:w="144" w:type="dxa"/>
            </w:tcMar>
          </w:tcPr>
          <w:p w14:paraId="3A12376A" w14:textId="5126A36F" w:rsidR="00BC54AE" w:rsidRPr="00E435F8" w:rsidRDefault="00C264DD" w:rsidP="004B796A">
            <w:pPr>
              <w:autoSpaceDE w:val="0"/>
              <w:autoSpaceDN w:val="0"/>
              <w:adjustRightInd w:val="0"/>
              <w:rPr>
                <w:sz w:val="16"/>
                <w:szCs w:val="16"/>
              </w:rPr>
            </w:pPr>
            <w:r w:rsidRPr="00B14011">
              <w:rPr>
                <w:rFonts w:eastAsia="Calibri"/>
                <w:b/>
                <w:bCs/>
                <w:sz w:val="16"/>
                <w:szCs w:val="16"/>
              </w:rPr>
              <w:t xml:space="preserve">National priority or goal: </w:t>
            </w:r>
            <w:r w:rsidR="00823F5C" w:rsidRPr="005A3BE4">
              <w:rPr>
                <w:sz w:val="16"/>
                <w:szCs w:val="16"/>
                <w:lang w:eastAsia="en-GB"/>
              </w:rPr>
              <w:t>The reforms in relation to good governance are associated with efficient public sector management, cultivating social responsibility in the private sector, enhanced efficiency in legal and judicial services, re-structuring the prison related activities and constitutional reforms toward democratic rule</w:t>
            </w:r>
            <w:r w:rsidR="00E435F8">
              <w:rPr>
                <w:sz w:val="16"/>
                <w:szCs w:val="16"/>
                <w:lang w:eastAsia="en-GB"/>
              </w:rPr>
              <w:t>.</w:t>
            </w:r>
            <w:r w:rsidR="00823F5C" w:rsidRPr="00B14011">
              <w:rPr>
                <w:i/>
                <w:sz w:val="16"/>
                <w:szCs w:val="16"/>
                <w:lang w:eastAsia="en-GB"/>
              </w:rPr>
              <w:t xml:space="preserve"> </w:t>
            </w:r>
          </w:p>
        </w:tc>
      </w:tr>
      <w:tr w:rsidR="003E59AA" w:rsidRPr="00B14011" w14:paraId="2D034717" w14:textId="77777777" w:rsidTr="007C75AF">
        <w:tc>
          <w:tcPr>
            <w:tcW w:w="5000" w:type="pct"/>
            <w:gridSpan w:val="6"/>
            <w:shd w:val="clear" w:color="auto" w:fill="auto"/>
            <w:tcMar>
              <w:top w:w="72" w:type="dxa"/>
              <w:left w:w="144" w:type="dxa"/>
              <w:bottom w:w="72" w:type="dxa"/>
              <w:right w:w="144" w:type="dxa"/>
            </w:tcMar>
          </w:tcPr>
          <w:p w14:paraId="4A43FB0F" w14:textId="18F759E1" w:rsidR="00600D7D" w:rsidRPr="00B14011" w:rsidRDefault="00BC54AE" w:rsidP="004B796A">
            <w:pPr>
              <w:tabs>
                <w:tab w:val="left" w:pos="8640"/>
                <w:tab w:val="left" w:pos="9180"/>
              </w:tabs>
              <w:ind w:left="31"/>
              <w:rPr>
                <w:b/>
                <w:bCs/>
                <w:i/>
                <w:iCs/>
                <w:sz w:val="16"/>
                <w:szCs w:val="16"/>
              </w:rPr>
            </w:pPr>
            <w:r w:rsidRPr="00B14011">
              <w:rPr>
                <w:rFonts w:eastAsia="Calibri"/>
                <w:b/>
                <w:bCs/>
                <w:sz w:val="16"/>
                <w:szCs w:val="16"/>
              </w:rPr>
              <w:t xml:space="preserve">UNDAF </w:t>
            </w:r>
            <w:r w:rsidR="00C264DD" w:rsidRPr="00B14011">
              <w:rPr>
                <w:rFonts w:eastAsia="Calibri"/>
                <w:b/>
                <w:bCs/>
                <w:sz w:val="16"/>
                <w:szCs w:val="16"/>
              </w:rPr>
              <w:t>outcome</w:t>
            </w:r>
            <w:r w:rsidR="007838B5" w:rsidRPr="00B14011">
              <w:rPr>
                <w:rFonts w:eastAsia="Calibri"/>
                <w:b/>
                <w:bCs/>
                <w:sz w:val="16"/>
                <w:szCs w:val="16"/>
              </w:rPr>
              <w:t xml:space="preserve"> 2</w:t>
            </w:r>
            <w:r w:rsidR="00CD58A0" w:rsidRPr="00B14011">
              <w:rPr>
                <w:rFonts w:eastAsia="Calibri"/>
                <w:b/>
                <w:bCs/>
                <w:sz w:val="16"/>
                <w:szCs w:val="16"/>
              </w:rPr>
              <w:t>:</w:t>
            </w:r>
            <w:r w:rsidRPr="00B14011">
              <w:rPr>
                <w:rFonts w:eastAsia="Calibri"/>
                <w:b/>
                <w:bCs/>
                <w:sz w:val="16"/>
                <w:szCs w:val="16"/>
              </w:rPr>
              <w:t xml:space="preserve"> </w:t>
            </w:r>
            <w:r w:rsidR="00956985" w:rsidRPr="00B14011">
              <w:rPr>
                <w:rFonts w:eastAsia="Calibri"/>
                <w:b/>
                <w:bCs/>
                <w:sz w:val="16"/>
                <w:szCs w:val="16"/>
              </w:rPr>
              <w:t xml:space="preserve"> </w:t>
            </w:r>
            <w:r w:rsidR="00FE5E1A" w:rsidRPr="005A3BE4">
              <w:rPr>
                <w:bCs/>
                <w:iCs/>
                <w:sz w:val="16"/>
                <w:szCs w:val="16"/>
              </w:rPr>
              <w:t>By 2022, people in Sri Lanka, especially the marginalized and vulnerable, benefit from more rights-based, accountable, inclusive and effective public institutions, to enhance trust among communities and towards the State</w:t>
            </w:r>
            <w:r w:rsidR="00E435F8">
              <w:rPr>
                <w:bCs/>
                <w:iCs/>
                <w:sz w:val="16"/>
                <w:szCs w:val="16"/>
              </w:rPr>
              <w:t>.</w:t>
            </w:r>
          </w:p>
        </w:tc>
      </w:tr>
      <w:tr w:rsidR="003E59AA" w:rsidRPr="00B14011" w14:paraId="169652BA" w14:textId="77777777" w:rsidTr="007C75AF">
        <w:tc>
          <w:tcPr>
            <w:tcW w:w="5000" w:type="pct"/>
            <w:gridSpan w:val="6"/>
            <w:shd w:val="clear" w:color="auto" w:fill="auto"/>
            <w:tcMar>
              <w:top w:w="72" w:type="dxa"/>
              <w:left w:w="144" w:type="dxa"/>
              <w:bottom w:w="72" w:type="dxa"/>
              <w:right w:w="144" w:type="dxa"/>
            </w:tcMar>
          </w:tcPr>
          <w:p w14:paraId="71CB129F" w14:textId="40E8D5F8" w:rsidR="00BC54AE" w:rsidRPr="00B14011" w:rsidRDefault="00BC54AE" w:rsidP="005B3BF5">
            <w:pPr>
              <w:tabs>
                <w:tab w:val="left" w:pos="8640"/>
                <w:tab w:val="left" w:pos="9180"/>
              </w:tabs>
              <w:ind w:left="450" w:hanging="419"/>
              <w:rPr>
                <w:rFonts w:eastAsia="Calibri"/>
                <w:b/>
                <w:bCs/>
                <w:sz w:val="16"/>
                <w:szCs w:val="16"/>
              </w:rPr>
            </w:pPr>
          </w:p>
        </w:tc>
      </w:tr>
      <w:tr w:rsidR="003E59AA" w:rsidRPr="00B14011" w14:paraId="14C4F4C5" w14:textId="77777777" w:rsidTr="007C75AF">
        <w:tc>
          <w:tcPr>
            <w:tcW w:w="872" w:type="pct"/>
            <w:shd w:val="clear" w:color="auto" w:fill="auto"/>
            <w:tcMar>
              <w:top w:w="72" w:type="dxa"/>
              <w:left w:w="144" w:type="dxa"/>
              <w:bottom w:w="72" w:type="dxa"/>
              <w:right w:w="144" w:type="dxa"/>
            </w:tcMar>
            <w:vAlign w:val="center"/>
          </w:tcPr>
          <w:p w14:paraId="1FF071E1" w14:textId="77777777" w:rsidR="00BC54AE" w:rsidRPr="00B14011" w:rsidRDefault="00BC54AE" w:rsidP="00722FA0">
            <w:pPr>
              <w:tabs>
                <w:tab w:val="left" w:pos="8640"/>
                <w:tab w:val="left" w:pos="9180"/>
              </w:tabs>
              <w:jc w:val="center"/>
              <w:rPr>
                <w:rFonts w:eastAsia="Calibri"/>
                <w:sz w:val="16"/>
                <w:szCs w:val="16"/>
              </w:rPr>
            </w:pPr>
            <w:r w:rsidRPr="00B14011">
              <w:rPr>
                <w:rFonts w:eastAsia="Calibri"/>
                <w:b/>
                <w:bCs/>
                <w:sz w:val="16"/>
                <w:szCs w:val="16"/>
              </w:rPr>
              <w:t xml:space="preserve">UNDAF </w:t>
            </w:r>
            <w:r w:rsidR="00C264DD" w:rsidRPr="00B14011">
              <w:rPr>
                <w:rFonts w:eastAsia="Calibri"/>
                <w:b/>
                <w:bCs/>
                <w:sz w:val="16"/>
                <w:szCs w:val="16"/>
              </w:rPr>
              <w:t>outcome indicator(s), baselines and target(s)</w:t>
            </w:r>
          </w:p>
        </w:tc>
        <w:tc>
          <w:tcPr>
            <w:tcW w:w="643" w:type="pct"/>
            <w:shd w:val="clear" w:color="auto" w:fill="auto"/>
            <w:vAlign w:val="center"/>
          </w:tcPr>
          <w:p w14:paraId="664D8314" w14:textId="77777777" w:rsidR="00BC54AE" w:rsidRPr="00B14011" w:rsidRDefault="00C264DD" w:rsidP="00722FA0">
            <w:pPr>
              <w:tabs>
                <w:tab w:val="left" w:pos="900"/>
                <w:tab w:val="left" w:pos="990"/>
                <w:tab w:val="left" w:pos="8640"/>
                <w:tab w:val="left" w:pos="9180"/>
              </w:tabs>
              <w:ind w:left="36"/>
              <w:jc w:val="center"/>
              <w:rPr>
                <w:rFonts w:eastAsia="Calibri"/>
                <w:b/>
                <w:sz w:val="16"/>
                <w:szCs w:val="16"/>
              </w:rPr>
            </w:pPr>
            <w:r w:rsidRPr="00B14011">
              <w:rPr>
                <w:rFonts w:eastAsia="Calibri"/>
                <w:b/>
                <w:sz w:val="16"/>
                <w:szCs w:val="16"/>
              </w:rPr>
              <w:t>Data source and frequency of data collection, and responsibilities</w:t>
            </w:r>
          </w:p>
        </w:tc>
        <w:tc>
          <w:tcPr>
            <w:tcW w:w="1771" w:type="pct"/>
            <w:shd w:val="clear" w:color="auto" w:fill="auto"/>
            <w:tcMar>
              <w:top w:w="72" w:type="dxa"/>
              <w:left w:w="144" w:type="dxa"/>
              <w:bottom w:w="72" w:type="dxa"/>
              <w:right w:w="144" w:type="dxa"/>
            </w:tcMar>
            <w:vAlign w:val="center"/>
          </w:tcPr>
          <w:p w14:paraId="46AA74E6" w14:textId="77777777" w:rsidR="00C264DD" w:rsidRPr="00B14011" w:rsidRDefault="00C264DD" w:rsidP="000C1B77">
            <w:pPr>
              <w:tabs>
                <w:tab w:val="left" w:pos="900"/>
                <w:tab w:val="left" w:pos="990"/>
                <w:tab w:val="left" w:pos="8640"/>
                <w:tab w:val="left" w:pos="9180"/>
              </w:tabs>
              <w:ind w:left="450" w:hanging="419"/>
              <w:jc w:val="center"/>
              <w:rPr>
                <w:rFonts w:eastAsia="Calibri"/>
                <w:b/>
                <w:bCs/>
                <w:sz w:val="16"/>
                <w:szCs w:val="16"/>
              </w:rPr>
            </w:pPr>
            <w:r w:rsidRPr="00B14011">
              <w:rPr>
                <w:rFonts w:eastAsia="Calibri"/>
                <w:b/>
                <w:bCs/>
                <w:sz w:val="16"/>
                <w:szCs w:val="16"/>
              </w:rPr>
              <w:t xml:space="preserve">Indicative country programme outputs </w:t>
            </w:r>
          </w:p>
          <w:p w14:paraId="14538535" w14:textId="77777777" w:rsidR="00BC54AE" w:rsidRPr="00B14011" w:rsidRDefault="00BC54AE" w:rsidP="000C1B77">
            <w:pPr>
              <w:tabs>
                <w:tab w:val="left" w:pos="900"/>
                <w:tab w:val="left" w:pos="990"/>
                <w:tab w:val="left" w:pos="8640"/>
                <w:tab w:val="left" w:pos="9180"/>
              </w:tabs>
              <w:ind w:left="450" w:hanging="419"/>
              <w:jc w:val="center"/>
              <w:rPr>
                <w:rFonts w:eastAsia="Calibri"/>
                <w:sz w:val="16"/>
                <w:szCs w:val="16"/>
              </w:rPr>
            </w:pPr>
            <w:r w:rsidRPr="00B14011">
              <w:rPr>
                <w:rFonts w:eastAsia="Calibri"/>
                <w:b/>
                <w:bCs/>
                <w:sz w:val="16"/>
                <w:szCs w:val="16"/>
              </w:rPr>
              <w:t xml:space="preserve">(including indicators, baselines </w:t>
            </w:r>
            <w:r w:rsidR="00C264DD" w:rsidRPr="00B14011">
              <w:rPr>
                <w:rFonts w:eastAsia="Calibri"/>
                <w:b/>
                <w:bCs/>
                <w:sz w:val="16"/>
                <w:szCs w:val="16"/>
              </w:rPr>
              <w:t xml:space="preserve">and </w:t>
            </w:r>
            <w:r w:rsidRPr="00B14011">
              <w:rPr>
                <w:rFonts w:eastAsia="Calibri"/>
                <w:b/>
                <w:bCs/>
                <w:sz w:val="16"/>
                <w:szCs w:val="16"/>
              </w:rPr>
              <w:t>targets)</w:t>
            </w:r>
          </w:p>
        </w:tc>
        <w:tc>
          <w:tcPr>
            <w:tcW w:w="1161" w:type="pct"/>
            <w:gridSpan w:val="2"/>
            <w:shd w:val="clear" w:color="auto" w:fill="auto"/>
            <w:vAlign w:val="center"/>
          </w:tcPr>
          <w:p w14:paraId="5C6B911A" w14:textId="746815F8" w:rsidR="00BC54AE" w:rsidRPr="00B14011" w:rsidRDefault="00C264DD" w:rsidP="00722FA0">
            <w:pPr>
              <w:tabs>
                <w:tab w:val="left" w:pos="900"/>
                <w:tab w:val="left" w:pos="990"/>
                <w:tab w:val="left" w:pos="8640"/>
                <w:tab w:val="left" w:pos="9180"/>
              </w:tabs>
              <w:ind w:left="52"/>
              <w:jc w:val="center"/>
              <w:rPr>
                <w:rFonts w:eastAsia="Calibri"/>
                <w:b/>
                <w:bCs/>
                <w:sz w:val="16"/>
                <w:szCs w:val="16"/>
              </w:rPr>
            </w:pPr>
            <w:r w:rsidRPr="00B14011">
              <w:rPr>
                <w:rFonts w:eastAsia="Calibri"/>
                <w:b/>
                <w:bCs/>
                <w:sz w:val="16"/>
                <w:szCs w:val="16"/>
              </w:rPr>
              <w:t>Major partners, partnerships and</w:t>
            </w:r>
            <w:r w:rsidR="00722FA0" w:rsidRPr="00B14011">
              <w:rPr>
                <w:rFonts w:eastAsia="Calibri"/>
                <w:b/>
                <w:bCs/>
                <w:sz w:val="16"/>
                <w:szCs w:val="16"/>
              </w:rPr>
              <w:t xml:space="preserve"> </w:t>
            </w:r>
            <w:r w:rsidRPr="00B14011">
              <w:rPr>
                <w:rFonts w:eastAsia="Calibri"/>
                <w:b/>
                <w:bCs/>
                <w:sz w:val="16"/>
                <w:szCs w:val="16"/>
              </w:rPr>
              <w:t>frameworks</w:t>
            </w:r>
          </w:p>
        </w:tc>
        <w:tc>
          <w:tcPr>
            <w:tcW w:w="553" w:type="pct"/>
            <w:shd w:val="clear" w:color="auto" w:fill="auto"/>
            <w:tcMar>
              <w:top w:w="15" w:type="dxa"/>
              <w:left w:w="108" w:type="dxa"/>
              <w:bottom w:w="0" w:type="dxa"/>
              <w:right w:w="108" w:type="dxa"/>
            </w:tcMar>
            <w:vAlign w:val="center"/>
          </w:tcPr>
          <w:p w14:paraId="25AA895C" w14:textId="581FB57E" w:rsidR="00F82BC8" w:rsidRPr="00B14011" w:rsidRDefault="00C264DD" w:rsidP="00722FA0">
            <w:pPr>
              <w:tabs>
                <w:tab w:val="left" w:pos="900"/>
                <w:tab w:val="left" w:pos="990"/>
                <w:tab w:val="left" w:pos="8640"/>
                <w:tab w:val="left" w:pos="9180"/>
              </w:tabs>
              <w:ind w:left="19"/>
              <w:jc w:val="center"/>
              <w:rPr>
                <w:rFonts w:eastAsia="Calibri"/>
                <w:b/>
                <w:bCs/>
                <w:sz w:val="16"/>
                <w:szCs w:val="16"/>
              </w:rPr>
            </w:pPr>
            <w:r w:rsidRPr="00B14011">
              <w:rPr>
                <w:rFonts w:eastAsia="Calibri"/>
                <w:b/>
                <w:bCs/>
                <w:sz w:val="16"/>
                <w:szCs w:val="16"/>
              </w:rPr>
              <w:t>Indicative resources by outcome</w:t>
            </w:r>
          </w:p>
          <w:p w14:paraId="1A644C04" w14:textId="2CB35AF8" w:rsidR="00BC54AE" w:rsidRPr="00B14011" w:rsidRDefault="00C264DD" w:rsidP="005A3BE4">
            <w:pPr>
              <w:tabs>
                <w:tab w:val="left" w:pos="900"/>
                <w:tab w:val="left" w:pos="990"/>
                <w:tab w:val="left" w:pos="8640"/>
                <w:tab w:val="left" w:pos="9180"/>
              </w:tabs>
              <w:ind w:left="19"/>
              <w:jc w:val="center"/>
              <w:rPr>
                <w:rFonts w:asciiTheme="majorHAnsi" w:eastAsia="Calibri" w:hAnsiTheme="majorHAnsi" w:cstheme="majorBidi"/>
                <w:b/>
                <w:bCs/>
                <w:i/>
                <w:iCs/>
                <w:color w:val="404040" w:themeColor="text1" w:themeTint="BF"/>
                <w:sz w:val="16"/>
                <w:szCs w:val="16"/>
              </w:rPr>
            </w:pPr>
            <w:r w:rsidRPr="00B14011">
              <w:rPr>
                <w:rFonts w:eastAsia="Calibri"/>
                <w:b/>
                <w:bCs/>
                <w:sz w:val="16"/>
                <w:szCs w:val="16"/>
              </w:rPr>
              <w:t>(</w:t>
            </w:r>
            <w:r w:rsidRPr="005A3BE4">
              <w:rPr>
                <w:rFonts w:eastAsia="Calibri"/>
                <w:bCs/>
                <w:i/>
                <w:sz w:val="16"/>
                <w:szCs w:val="16"/>
              </w:rPr>
              <w:t>in</w:t>
            </w:r>
            <w:r w:rsidR="000E0428" w:rsidRPr="005A3BE4">
              <w:rPr>
                <w:rFonts w:eastAsia="Calibri"/>
                <w:bCs/>
                <w:i/>
                <w:sz w:val="16"/>
                <w:szCs w:val="16"/>
              </w:rPr>
              <w:t xml:space="preserve"> thousands of United States dollars</w:t>
            </w:r>
            <w:r w:rsidR="00F82BC8" w:rsidRPr="00B14011">
              <w:rPr>
                <w:rFonts w:eastAsia="Calibri"/>
                <w:b/>
                <w:bCs/>
                <w:sz w:val="16"/>
                <w:szCs w:val="16"/>
              </w:rPr>
              <w:t>)</w:t>
            </w:r>
          </w:p>
        </w:tc>
      </w:tr>
      <w:tr w:rsidR="003E59AA" w:rsidRPr="00B14011" w14:paraId="7B578778" w14:textId="77777777" w:rsidTr="007C75AF">
        <w:tc>
          <w:tcPr>
            <w:tcW w:w="872" w:type="pct"/>
            <w:tcMar>
              <w:top w:w="72" w:type="dxa"/>
              <w:left w:w="144" w:type="dxa"/>
              <w:bottom w:w="72" w:type="dxa"/>
              <w:right w:w="144" w:type="dxa"/>
            </w:tcMar>
          </w:tcPr>
          <w:p w14:paraId="32F91BCF" w14:textId="77B59A5B" w:rsidR="00985720" w:rsidRPr="00B14011" w:rsidRDefault="007D6185" w:rsidP="00985720">
            <w:pPr>
              <w:rPr>
                <w:sz w:val="16"/>
                <w:szCs w:val="16"/>
              </w:rPr>
            </w:pPr>
            <w:r w:rsidRPr="00B14011">
              <w:rPr>
                <w:rFonts w:eastAsia="Calibri"/>
                <w:b/>
                <w:iCs/>
                <w:sz w:val="16"/>
                <w:szCs w:val="16"/>
              </w:rPr>
              <w:t xml:space="preserve">Indicator </w:t>
            </w:r>
            <w:r w:rsidR="00683C03" w:rsidRPr="00B14011">
              <w:rPr>
                <w:rFonts w:eastAsia="Calibri"/>
                <w:b/>
                <w:iCs/>
                <w:sz w:val="16"/>
                <w:szCs w:val="16"/>
              </w:rPr>
              <w:t>1</w:t>
            </w:r>
            <w:r w:rsidR="00FA7192" w:rsidRPr="00B14011">
              <w:rPr>
                <w:rFonts w:eastAsia="Calibri"/>
                <w:b/>
                <w:iCs/>
                <w:sz w:val="16"/>
                <w:szCs w:val="16"/>
              </w:rPr>
              <w:t>.1</w:t>
            </w:r>
            <w:r w:rsidRPr="00B14011">
              <w:rPr>
                <w:rFonts w:eastAsia="Calibri"/>
                <w:iCs/>
                <w:sz w:val="16"/>
                <w:szCs w:val="16"/>
              </w:rPr>
              <w:t xml:space="preserve">: </w:t>
            </w:r>
            <w:r w:rsidR="00985720" w:rsidRPr="00B14011">
              <w:rPr>
                <w:sz w:val="16"/>
                <w:szCs w:val="16"/>
              </w:rPr>
              <w:t xml:space="preserve">Extent to which innovative governance </w:t>
            </w:r>
            <w:r w:rsidR="00E20D9F" w:rsidRPr="00B14011">
              <w:rPr>
                <w:sz w:val="16"/>
                <w:szCs w:val="16"/>
              </w:rPr>
              <w:t>platforms are strengthened</w:t>
            </w:r>
            <w:r w:rsidR="00985720" w:rsidRPr="00B14011">
              <w:rPr>
                <w:sz w:val="16"/>
                <w:szCs w:val="16"/>
              </w:rPr>
              <w:t xml:space="preserve"> at national and subnational levels, focusing on citizen engagement</w:t>
            </w:r>
            <w:r w:rsidR="00E435F8">
              <w:rPr>
                <w:sz w:val="16"/>
                <w:szCs w:val="16"/>
              </w:rPr>
              <w:t>.</w:t>
            </w:r>
          </w:p>
          <w:p w14:paraId="10A7DDE7" w14:textId="77777777" w:rsidR="00E435F8" w:rsidRPr="00B14011" w:rsidRDefault="00E435F8" w:rsidP="007D4FE0">
            <w:pPr>
              <w:tabs>
                <w:tab w:val="left" w:pos="900"/>
                <w:tab w:val="left" w:pos="990"/>
                <w:tab w:val="left" w:pos="8640"/>
                <w:tab w:val="left" w:pos="9180"/>
              </w:tabs>
              <w:rPr>
                <w:rFonts w:eastAsia="Calibri"/>
                <w:iCs/>
                <w:sz w:val="16"/>
                <w:szCs w:val="16"/>
              </w:rPr>
            </w:pPr>
          </w:p>
          <w:p w14:paraId="52C3BFE4" w14:textId="66A89F2E" w:rsidR="00036E23" w:rsidRPr="00B14011" w:rsidRDefault="00036E23" w:rsidP="00454404">
            <w:pPr>
              <w:tabs>
                <w:tab w:val="left" w:pos="900"/>
                <w:tab w:val="left" w:pos="990"/>
                <w:tab w:val="left" w:pos="8640"/>
                <w:tab w:val="left" w:pos="9180"/>
              </w:tabs>
              <w:rPr>
                <w:rFonts w:eastAsia="Calibri"/>
                <w:iCs/>
                <w:sz w:val="16"/>
                <w:szCs w:val="16"/>
              </w:rPr>
            </w:pPr>
            <w:r w:rsidRPr="00B14011">
              <w:rPr>
                <w:rFonts w:eastAsia="Calibri"/>
                <w:b/>
                <w:iCs/>
                <w:sz w:val="16"/>
                <w:szCs w:val="16"/>
              </w:rPr>
              <w:t>Baseline</w:t>
            </w:r>
            <w:r w:rsidR="0051008B" w:rsidRPr="00B14011">
              <w:rPr>
                <w:rFonts w:eastAsia="Calibri"/>
                <w:b/>
                <w:iCs/>
                <w:sz w:val="16"/>
                <w:szCs w:val="16"/>
              </w:rPr>
              <w:t xml:space="preserve"> (2017)</w:t>
            </w:r>
            <w:r w:rsidRPr="00B14011">
              <w:rPr>
                <w:rFonts w:eastAsia="Calibri"/>
                <w:b/>
                <w:iCs/>
                <w:sz w:val="16"/>
                <w:szCs w:val="16"/>
              </w:rPr>
              <w:t>:</w:t>
            </w:r>
            <w:r w:rsidR="00310B95" w:rsidRPr="00B14011">
              <w:rPr>
                <w:rFonts w:eastAsia="Calibri"/>
                <w:b/>
                <w:iCs/>
                <w:sz w:val="16"/>
                <w:szCs w:val="16"/>
              </w:rPr>
              <w:t xml:space="preserve"> </w:t>
            </w:r>
            <w:r w:rsidR="00E14041" w:rsidRPr="00B14011">
              <w:rPr>
                <w:rFonts w:eastAsia="Calibri"/>
                <w:iCs/>
                <w:sz w:val="16"/>
                <w:szCs w:val="16"/>
              </w:rPr>
              <w:t>TBD</w:t>
            </w:r>
            <w:r w:rsidR="00E14041" w:rsidRPr="00B14011">
              <w:rPr>
                <w:rStyle w:val="FootnoteReference"/>
                <w:rFonts w:eastAsia="Calibri"/>
                <w:iCs/>
                <w:sz w:val="16"/>
                <w:szCs w:val="16"/>
              </w:rPr>
              <w:footnoteReference w:id="26"/>
            </w:r>
          </w:p>
          <w:p w14:paraId="3AA574C8" w14:textId="7C910EFF" w:rsidR="00036E23" w:rsidRPr="00B14011" w:rsidRDefault="00036E23" w:rsidP="00036E23">
            <w:pPr>
              <w:tabs>
                <w:tab w:val="left" w:pos="900"/>
                <w:tab w:val="left" w:pos="990"/>
                <w:tab w:val="left" w:pos="8640"/>
                <w:tab w:val="left" w:pos="9180"/>
              </w:tabs>
              <w:ind w:left="29"/>
              <w:rPr>
                <w:rFonts w:eastAsia="Calibri"/>
                <w:iCs/>
                <w:sz w:val="16"/>
                <w:szCs w:val="16"/>
              </w:rPr>
            </w:pPr>
            <w:r w:rsidRPr="00B14011">
              <w:rPr>
                <w:rFonts w:eastAsia="Calibri"/>
                <w:b/>
                <w:iCs/>
                <w:sz w:val="16"/>
                <w:szCs w:val="16"/>
              </w:rPr>
              <w:t>Target</w:t>
            </w:r>
            <w:r w:rsidR="0051008B" w:rsidRPr="00B14011">
              <w:rPr>
                <w:rFonts w:eastAsia="Calibri"/>
                <w:b/>
                <w:iCs/>
                <w:sz w:val="16"/>
                <w:szCs w:val="16"/>
              </w:rPr>
              <w:t xml:space="preserve"> (2022)</w:t>
            </w:r>
            <w:r w:rsidRPr="00B14011">
              <w:rPr>
                <w:rFonts w:eastAsia="Calibri"/>
                <w:b/>
                <w:iCs/>
                <w:sz w:val="16"/>
                <w:szCs w:val="16"/>
              </w:rPr>
              <w:t>:</w:t>
            </w:r>
            <w:r w:rsidR="00310B95" w:rsidRPr="00B14011">
              <w:rPr>
                <w:rFonts w:eastAsia="Calibri"/>
                <w:b/>
                <w:iCs/>
                <w:sz w:val="16"/>
                <w:szCs w:val="16"/>
              </w:rPr>
              <w:t xml:space="preserve"> </w:t>
            </w:r>
            <w:r w:rsidR="00E14041" w:rsidRPr="00B14011">
              <w:rPr>
                <w:rFonts w:eastAsia="Calibri"/>
                <w:iCs/>
                <w:sz w:val="16"/>
                <w:szCs w:val="16"/>
              </w:rPr>
              <w:t>TBD</w:t>
            </w:r>
            <w:r w:rsidR="00310B95" w:rsidRPr="00B14011">
              <w:rPr>
                <w:rFonts w:eastAsia="Calibri"/>
                <w:iCs/>
                <w:sz w:val="16"/>
                <w:szCs w:val="16"/>
              </w:rPr>
              <w:t xml:space="preserve"> </w:t>
            </w:r>
          </w:p>
          <w:p w14:paraId="787DE628" w14:textId="62C1570D" w:rsidR="00036E23" w:rsidRPr="00B14011" w:rsidRDefault="00036E23" w:rsidP="007D4FE0">
            <w:pPr>
              <w:tabs>
                <w:tab w:val="left" w:pos="900"/>
                <w:tab w:val="left" w:pos="990"/>
                <w:tab w:val="left" w:pos="8640"/>
                <w:tab w:val="left" w:pos="9180"/>
              </w:tabs>
              <w:rPr>
                <w:rFonts w:eastAsia="Calibri"/>
                <w:iCs/>
                <w:sz w:val="16"/>
                <w:szCs w:val="16"/>
              </w:rPr>
            </w:pPr>
          </w:p>
          <w:p w14:paraId="2E357700" w14:textId="05DC6909" w:rsidR="00DD08F6" w:rsidRPr="00B14011" w:rsidRDefault="00DD08F6" w:rsidP="007D4FE0">
            <w:pPr>
              <w:tabs>
                <w:tab w:val="left" w:pos="900"/>
                <w:tab w:val="left" w:pos="990"/>
                <w:tab w:val="left" w:pos="8640"/>
                <w:tab w:val="left" w:pos="9180"/>
              </w:tabs>
              <w:rPr>
                <w:rFonts w:eastAsia="Calibri"/>
                <w:iCs/>
                <w:sz w:val="16"/>
                <w:szCs w:val="16"/>
              </w:rPr>
            </w:pPr>
          </w:p>
          <w:p w14:paraId="73B62202" w14:textId="310C71DA" w:rsidR="00DD08F6" w:rsidRPr="00B14011" w:rsidRDefault="00DD08F6" w:rsidP="007D4FE0">
            <w:pPr>
              <w:tabs>
                <w:tab w:val="left" w:pos="900"/>
                <w:tab w:val="left" w:pos="990"/>
                <w:tab w:val="left" w:pos="8640"/>
                <w:tab w:val="left" w:pos="9180"/>
              </w:tabs>
              <w:rPr>
                <w:rFonts w:eastAsia="Calibri"/>
                <w:iCs/>
                <w:sz w:val="16"/>
                <w:szCs w:val="16"/>
              </w:rPr>
            </w:pPr>
          </w:p>
          <w:p w14:paraId="3CFFF944" w14:textId="77777777" w:rsidR="00E435F8" w:rsidRDefault="00E435F8" w:rsidP="00DD08F6">
            <w:pPr>
              <w:rPr>
                <w:rFonts w:eastAsia="Calibri"/>
                <w:b/>
                <w:iCs/>
                <w:sz w:val="16"/>
                <w:szCs w:val="16"/>
              </w:rPr>
            </w:pPr>
          </w:p>
          <w:p w14:paraId="430A7D98" w14:textId="77777777" w:rsidR="00E435F8" w:rsidRDefault="00E435F8" w:rsidP="00DD08F6">
            <w:pPr>
              <w:rPr>
                <w:rFonts w:eastAsia="Calibri"/>
                <w:b/>
                <w:iCs/>
                <w:sz w:val="16"/>
                <w:szCs w:val="16"/>
              </w:rPr>
            </w:pPr>
          </w:p>
          <w:p w14:paraId="2E8D9E46" w14:textId="0010F8D0" w:rsidR="00DD08F6" w:rsidRPr="00B14011" w:rsidRDefault="00DD08F6" w:rsidP="00DD08F6">
            <w:pPr>
              <w:rPr>
                <w:rFonts w:eastAsia="Calibri"/>
                <w:sz w:val="16"/>
                <w:szCs w:val="16"/>
              </w:rPr>
            </w:pPr>
            <w:r w:rsidRPr="00B14011">
              <w:rPr>
                <w:rFonts w:eastAsia="Calibri"/>
                <w:b/>
                <w:iCs/>
                <w:sz w:val="16"/>
                <w:szCs w:val="16"/>
              </w:rPr>
              <w:t>Indicator 1.2</w:t>
            </w:r>
            <w:r w:rsidRPr="00B14011">
              <w:rPr>
                <w:rFonts w:eastAsia="Calibri"/>
                <w:iCs/>
                <w:sz w:val="16"/>
                <w:szCs w:val="16"/>
              </w:rPr>
              <w:t xml:space="preserve">: </w:t>
            </w:r>
            <w:r w:rsidRPr="00B14011">
              <w:rPr>
                <w:sz w:val="16"/>
                <w:szCs w:val="16"/>
              </w:rPr>
              <w:t>Amount of national budget allocation for gender empowerment and elimination of discrimination against women</w:t>
            </w:r>
            <w:r w:rsidR="00E435F8">
              <w:rPr>
                <w:sz w:val="16"/>
                <w:szCs w:val="16"/>
              </w:rPr>
              <w:t>.</w:t>
            </w:r>
            <w:r w:rsidRPr="00B14011">
              <w:rPr>
                <w:rFonts w:eastAsia="Calibri"/>
                <w:sz w:val="16"/>
                <w:szCs w:val="16"/>
              </w:rPr>
              <w:t xml:space="preserve"> </w:t>
            </w:r>
          </w:p>
          <w:p w14:paraId="004C7818" w14:textId="77777777" w:rsidR="00E435F8" w:rsidRPr="00B14011" w:rsidRDefault="00E435F8" w:rsidP="00DD08F6">
            <w:pPr>
              <w:rPr>
                <w:rFonts w:eastAsia="Calibri"/>
                <w:sz w:val="16"/>
                <w:szCs w:val="16"/>
              </w:rPr>
            </w:pPr>
          </w:p>
          <w:p w14:paraId="2AAC4435" w14:textId="6D3B5A19" w:rsidR="00DD08F6" w:rsidRPr="00B14011" w:rsidRDefault="00DD08F6" w:rsidP="005A3BE4">
            <w:pPr>
              <w:rPr>
                <w:rFonts w:eastAsia="Calibri"/>
                <w:sz w:val="16"/>
                <w:szCs w:val="16"/>
              </w:rPr>
            </w:pPr>
            <w:r w:rsidRPr="00B14011">
              <w:rPr>
                <w:rFonts w:eastAsia="Calibri"/>
                <w:b/>
                <w:sz w:val="16"/>
                <w:szCs w:val="16"/>
              </w:rPr>
              <w:t>Baseline (2018)</w:t>
            </w:r>
            <w:r w:rsidRPr="00B14011">
              <w:rPr>
                <w:rFonts w:eastAsia="Calibri"/>
                <w:sz w:val="16"/>
                <w:szCs w:val="16"/>
              </w:rPr>
              <w:t xml:space="preserve">: </w:t>
            </w:r>
            <w:r w:rsidR="00696157">
              <w:rPr>
                <w:rFonts w:eastAsia="Calibri"/>
                <w:sz w:val="16"/>
                <w:szCs w:val="16"/>
              </w:rPr>
              <w:t xml:space="preserve">Sri Lankan Rupee </w:t>
            </w:r>
            <w:r w:rsidRPr="00B14011">
              <w:rPr>
                <w:sz w:val="16"/>
                <w:szCs w:val="16"/>
              </w:rPr>
              <w:t>2.83</w:t>
            </w:r>
            <w:r w:rsidR="00E435F8">
              <w:rPr>
                <w:sz w:val="16"/>
                <w:szCs w:val="16"/>
              </w:rPr>
              <w:t xml:space="preserve"> </w:t>
            </w:r>
            <w:r w:rsidRPr="00B14011">
              <w:rPr>
                <w:sz w:val="16"/>
                <w:szCs w:val="16"/>
              </w:rPr>
              <w:t>billion (allocated to the Ministry of Women and Child Affairs)</w:t>
            </w:r>
            <w:r w:rsidRPr="00B14011">
              <w:rPr>
                <w:rFonts w:eastAsia="Calibri"/>
                <w:sz w:val="16"/>
                <w:szCs w:val="16"/>
              </w:rPr>
              <w:t xml:space="preserve"> </w:t>
            </w:r>
          </w:p>
          <w:p w14:paraId="58477679" w14:textId="18FC727C" w:rsidR="00856F68" w:rsidRPr="00B14011" w:rsidRDefault="00DD08F6" w:rsidP="00517EE4">
            <w:pPr>
              <w:rPr>
                <w:sz w:val="16"/>
                <w:szCs w:val="16"/>
              </w:rPr>
            </w:pPr>
            <w:r w:rsidRPr="00B14011">
              <w:rPr>
                <w:rFonts w:eastAsia="Calibri"/>
                <w:b/>
                <w:sz w:val="16"/>
                <w:szCs w:val="16"/>
              </w:rPr>
              <w:t>Target (2022)</w:t>
            </w:r>
            <w:r w:rsidRPr="00B14011">
              <w:rPr>
                <w:rFonts w:eastAsia="Calibri"/>
                <w:sz w:val="16"/>
                <w:szCs w:val="16"/>
              </w:rPr>
              <w:t>: LKR 5.69 billion</w:t>
            </w:r>
          </w:p>
        </w:tc>
        <w:tc>
          <w:tcPr>
            <w:tcW w:w="643" w:type="pct"/>
          </w:tcPr>
          <w:p w14:paraId="1738E8E0" w14:textId="44D5511F" w:rsidR="00310B95" w:rsidRPr="00B14011" w:rsidRDefault="00BC54AE" w:rsidP="00310B95">
            <w:pPr>
              <w:pStyle w:val="NormalWeb"/>
              <w:spacing w:before="0" w:beforeAutospacing="0" w:after="0" w:afterAutospacing="0"/>
              <w:rPr>
                <w:sz w:val="16"/>
                <w:szCs w:val="16"/>
                <w:shd w:val="clear" w:color="auto" w:fill="00FFFF"/>
                <w:lang w:val="en-GB"/>
              </w:rPr>
            </w:pPr>
            <w:r w:rsidRPr="00B14011">
              <w:rPr>
                <w:rFonts w:eastAsia="Calibri"/>
                <w:b/>
                <w:iCs/>
                <w:sz w:val="16"/>
                <w:szCs w:val="16"/>
                <w:lang w:val="en-GB"/>
              </w:rPr>
              <w:t xml:space="preserve">Source: </w:t>
            </w:r>
            <w:r w:rsidR="00310B95" w:rsidRPr="00B14011">
              <w:rPr>
                <w:sz w:val="16"/>
                <w:szCs w:val="16"/>
                <w:lang w:val="en-GB"/>
              </w:rPr>
              <w:t>A U</w:t>
            </w:r>
            <w:r w:rsidR="00E435F8">
              <w:rPr>
                <w:sz w:val="16"/>
                <w:szCs w:val="16"/>
                <w:lang w:val="en-GB"/>
              </w:rPr>
              <w:t xml:space="preserve">nited </w:t>
            </w:r>
            <w:r w:rsidR="00310B95" w:rsidRPr="00B14011">
              <w:rPr>
                <w:sz w:val="16"/>
                <w:szCs w:val="16"/>
                <w:lang w:val="en-GB"/>
              </w:rPr>
              <w:t>N</w:t>
            </w:r>
            <w:r w:rsidR="00E435F8">
              <w:rPr>
                <w:sz w:val="16"/>
                <w:szCs w:val="16"/>
                <w:lang w:val="en-GB"/>
              </w:rPr>
              <w:t>ations</w:t>
            </w:r>
            <w:r w:rsidR="00310B95" w:rsidRPr="00B14011">
              <w:rPr>
                <w:sz w:val="16"/>
                <w:szCs w:val="16"/>
                <w:lang w:val="en-GB"/>
              </w:rPr>
              <w:t xml:space="preserve"> assessment</w:t>
            </w:r>
            <w:r w:rsidR="00341503" w:rsidRPr="00B14011">
              <w:rPr>
                <w:sz w:val="16"/>
                <w:szCs w:val="16"/>
                <w:lang w:val="en-GB"/>
              </w:rPr>
              <w:t xml:space="preserve">/strategy </w:t>
            </w:r>
            <w:r w:rsidR="007838B5" w:rsidRPr="00B14011">
              <w:rPr>
                <w:sz w:val="16"/>
                <w:szCs w:val="16"/>
                <w:lang w:val="en-GB"/>
              </w:rPr>
              <w:t>of</w:t>
            </w:r>
            <w:r w:rsidR="00310B95" w:rsidRPr="00B14011">
              <w:rPr>
                <w:sz w:val="16"/>
                <w:szCs w:val="16"/>
                <w:lang w:val="en-GB"/>
              </w:rPr>
              <w:t xml:space="preserve"> </w:t>
            </w:r>
            <w:r w:rsidR="00E435F8">
              <w:rPr>
                <w:sz w:val="16"/>
                <w:szCs w:val="16"/>
                <w:lang w:val="en-GB"/>
              </w:rPr>
              <w:t>civil society organizations (</w:t>
            </w:r>
            <w:r w:rsidR="00310B95" w:rsidRPr="00B14011">
              <w:rPr>
                <w:sz w:val="16"/>
                <w:szCs w:val="16"/>
                <w:lang w:val="en-GB"/>
              </w:rPr>
              <w:t>CSO</w:t>
            </w:r>
            <w:r w:rsidR="00E435F8">
              <w:rPr>
                <w:sz w:val="16"/>
                <w:szCs w:val="16"/>
                <w:lang w:val="en-GB"/>
              </w:rPr>
              <w:t>)</w:t>
            </w:r>
            <w:r w:rsidR="00310B95" w:rsidRPr="00B14011">
              <w:rPr>
                <w:sz w:val="16"/>
                <w:szCs w:val="16"/>
                <w:lang w:val="en-GB"/>
              </w:rPr>
              <w:t xml:space="preserve"> engagement</w:t>
            </w:r>
            <w:r w:rsidR="00DB704B" w:rsidRPr="00B14011">
              <w:rPr>
                <w:sz w:val="16"/>
                <w:szCs w:val="16"/>
                <w:lang w:val="en-GB"/>
              </w:rPr>
              <w:t xml:space="preserve"> (December</w:t>
            </w:r>
            <w:r w:rsidR="008754E4" w:rsidRPr="00B14011">
              <w:rPr>
                <w:sz w:val="16"/>
                <w:szCs w:val="16"/>
                <w:lang w:val="en-GB"/>
              </w:rPr>
              <w:t xml:space="preserve"> 2017)</w:t>
            </w:r>
          </w:p>
          <w:p w14:paraId="4898EBB4" w14:textId="77777777" w:rsidR="006E468A" w:rsidRPr="00B14011" w:rsidRDefault="006E468A" w:rsidP="000B2DCA">
            <w:pPr>
              <w:tabs>
                <w:tab w:val="left" w:pos="900"/>
                <w:tab w:val="left" w:pos="990"/>
                <w:tab w:val="left" w:pos="8640"/>
                <w:tab w:val="left" w:pos="9180"/>
              </w:tabs>
              <w:spacing w:after="60"/>
              <w:ind w:left="126"/>
              <w:rPr>
                <w:rFonts w:eastAsia="Calibri"/>
                <w:iCs/>
                <w:sz w:val="16"/>
                <w:szCs w:val="16"/>
              </w:rPr>
            </w:pPr>
          </w:p>
          <w:p w14:paraId="03DC31B3" w14:textId="77777777" w:rsidR="00DD08F6" w:rsidRPr="00B14011" w:rsidRDefault="00BC54AE" w:rsidP="0033403B">
            <w:pPr>
              <w:tabs>
                <w:tab w:val="left" w:pos="900"/>
                <w:tab w:val="left" w:pos="990"/>
                <w:tab w:val="left" w:pos="8640"/>
                <w:tab w:val="left" w:pos="9180"/>
              </w:tabs>
              <w:spacing w:after="60"/>
              <w:rPr>
                <w:rFonts w:eastAsia="Calibri"/>
                <w:iCs/>
                <w:sz w:val="16"/>
                <w:szCs w:val="16"/>
              </w:rPr>
            </w:pPr>
            <w:r w:rsidRPr="00B14011">
              <w:rPr>
                <w:rFonts w:eastAsia="Calibri"/>
                <w:b/>
                <w:iCs/>
                <w:sz w:val="16"/>
                <w:szCs w:val="16"/>
              </w:rPr>
              <w:t>Frequency</w:t>
            </w:r>
            <w:r w:rsidRPr="00B14011">
              <w:rPr>
                <w:rFonts w:eastAsia="Calibri"/>
                <w:iCs/>
                <w:sz w:val="16"/>
                <w:szCs w:val="16"/>
              </w:rPr>
              <w:t xml:space="preserve">: </w:t>
            </w:r>
            <w:r w:rsidR="00CD5DAD" w:rsidRPr="00B14011">
              <w:rPr>
                <w:rFonts w:eastAsia="Calibri"/>
                <w:iCs/>
                <w:sz w:val="16"/>
                <w:szCs w:val="16"/>
              </w:rPr>
              <w:t>Biennial</w:t>
            </w:r>
          </w:p>
          <w:p w14:paraId="13CAB907" w14:textId="77777777" w:rsidR="00DD08F6" w:rsidRPr="00B14011" w:rsidRDefault="00DD08F6" w:rsidP="0033403B">
            <w:pPr>
              <w:tabs>
                <w:tab w:val="left" w:pos="900"/>
                <w:tab w:val="left" w:pos="990"/>
                <w:tab w:val="left" w:pos="8640"/>
                <w:tab w:val="left" w:pos="9180"/>
              </w:tabs>
              <w:spacing w:after="60"/>
              <w:rPr>
                <w:rFonts w:eastAsia="Calibri"/>
                <w:iCs/>
                <w:sz w:val="16"/>
                <w:szCs w:val="16"/>
              </w:rPr>
            </w:pPr>
          </w:p>
          <w:p w14:paraId="23E43854" w14:textId="77777777" w:rsidR="00DD08F6" w:rsidRPr="00B14011" w:rsidRDefault="00DD08F6" w:rsidP="0033403B">
            <w:pPr>
              <w:tabs>
                <w:tab w:val="left" w:pos="900"/>
                <w:tab w:val="left" w:pos="990"/>
                <w:tab w:val="left" w:pos="8640"/>
                <w:tab w:val="left" w:pos="9180"/>
              </w:tabs>
              <w:spacing w:after="60"/>
              <w:rPr>
                <w:rFonts w:eastAsia="Calibri"/>
                <w:iCs/>
                <w:sz w:val="16"/>
                <w:szCs w:val="16"/>
              </w:rPr>
            </w:pPr>
          </w:p>
          <w:p w14:paraId="67EB7209" w14:textId="77777777" w:rsidR="00DD08F6" w:rsidRPr="00B14011" w:rsidRDefault="00DD08F6" w:rsidP="0033403B">
            <w:pPr>
              <w:tabs>
                <w:tab w:val="left" w:pos="900"/>
                <w:tab w:val="left" w:pos="990"/>
                <w:tab w:val="left" w:pos="8640"/>
                <w:tab w:val="left" w:pos="9180"/>
              </w:tabs>
              <w:spacing w:after="60"/>
              <w:rPr>
                <w:rFonts w:eastAsia="Calibri"/>
                <w:iCs/>
                <w:sz w:val="16"/>
                <w:szCs w:val="16"/>
              </w:rPr>
            </w:pPr>
          </w:p>
          <w:p w14:paraId="0695208F" w14:textId="77777777" w:rsidR="00DD08F6" w:rsidRPr="00B14011" w:rsidRDefault="00DD08F6" w:rsidP="0033403B">
            <w:pPr>
              <w:tabs>
                <w:tab w:val="left" w:pos="900"/>
                <w:tab w:val="left" w:pos="990"/>
                <w:tab w:val="left" w:pos="8640"/>
                <w:tab w:val="left" w:pos="9180"/>
              </w:tabs>
              <w:spacing w:after="60"/>
              <w:rPr>
                <w:rFonts w:eastAsia="Calibri"/>
                <w:iCs/>
                <w:sz w:val="16"/>
                <w:szCs w:val="16"/>
              </w:rPr>
            </w:pPr>
          </w:p>
          <w:p w14:paraId="15943D8D" w14:textId="7736C5FF" w:rsidR="00DD08F6" w:rsidRPr="00B14011" w:rsidRDefault="00DD08F6" w:rsidP="00DD08F6">
            <w:pPr>
              <w:rPr>
                <w:sz w:val="16"/>
                <w:szCs w:val="16"/>
              </w:rPr>
            </w:pPr>
            <w:r w:rsidRPr="00B14011">
              <w:rPr>
                <w:rFonts w:eastAsia="Calibri"/>
                <w:b/>
                <w:iCs/>
                <w:sz w:val="16"/>
                <w:szCs w:val="16"/>
              </w:rPr>
              <w:t xml:space="preserve">Source: </w:t>
            </w:r>
            <w:r w:rsidRPr="00B14011">
              <w:rPr>
                <w:sz w:val="16"/>
                <w:szCs w:val="16"/>
              </w:rPr>
              <w:t xml:space="preserve">Budget estimates published by </w:t>
            </w:r>
            <w:r w:rsidR="00E435F8">
              <w:rPr>
                <w:sz w:val="16"/>
                <w:szCs w:val="16"/>
              </w:rPr>
              <w:t xml:space="preserve">the </w:t>
            </w:r>
            <w:r w:rsidRPr="00B14011">
              <w:rPr>
                <w:sz w:val="16"/>
                <w:szCs w:val="16"/>
              </w:rPr>
              <w:t>Ministry of Finance</w:t>
            </w:r>
          </w:p>
          <w:p w14:paraId="7309F9A6" w14:textId="77777777" w:rsidR="00DD08F6" w:rsidRPr="00B14011" w:rsidRDefault="00DD08F6" w:rsidP="00DD08F6">
            <w:pPr>
              <w:tabs>
                <w:tab w:val="left" w:pos="900"/>
                <w:tab w:val="left" w:pos="990"/>
                <w:tab w:val="left" w:pos="8640"/>
                <w:tab w:val="left" w:pos="9180"/>
              </w:tabs>
              <w:spacing w:after="60"/>
              <w:ind w:left="126"/>
              <w:rPr>
                <w:rFonts w:eastAsia="Calibri"/>
                <w:iCs/>
                <w:sz w:val="16"/>
                <w:szCs w:val="16"/>
              </w:rPr>
            </w:pPr>
          </w:p>
          <w:p w14:paraId="0CE5E372" w14:textId="50652CE6" w:rsidR="00036E23" w:rsidRPr="00B14011" w:rsidRDefault="00DD08F6" w:rsidP="00517EE4">
            <w:pPr>
              <w:tabs>
                <w:tab w:val="left" w:pos="900"/>
                <w:tab w:val="left" w:pos="990"/>
                <w:tab w:val="left" w:pos="8640"/>
                <w:tab w:val="left" w:pos="9180"/>
              </w:tabs>
              <w:spacing w:after="60"/>
              <w:rPr>
                <w:rFonts w:eastAsia="Calibri"/>
                <w:iCs/>
                <w:sz w:val="16"/>
                <w:szCs w:val="16"/>
              </w:rPr>
            </w:pPr>
            <w:r w:rsidRPr="00B14011">
              <w:rPr>
                <w:rFonts w:eastAsia="Calibri"/>
                <w:b/>
                <w:iCs/>
                <w:sz w:val="16"/>
                <w:szCs w:val="16"/>
              </w:rPr>
              <w:t>Frequency:</w:t>
            </w:r>
            <w:r w:rsidRPr="00B14011">
              <w:rPr>
                <w:rFonts w:eastAsia="Calibri"/>
                <w:iCs/>
                <w:sz w:val="16"/>
                <w:szCs w:val="16"/>
              </w:rPr>
              <w:t xml:space="preserve"> Annual</w:t>
            </w:r>
          </w:p>
        </w:tc>
        <w:tc>
          <w:tcPr>
            <w:tcW w:w="1771" w:type="pct"/>
            <w:tcMar>
              <w:top w:w="72" w:type="dxa"/>
              <w:left w:w="144" w:type="dxa"/>
              <w:bottom w:w="72" w:type="dxa"/>
              <w:right w:w="144" w:type="dxa"/>
            </w:tcMar>
          </w:tcPr>
          <w:p w14:paraId="6A53565E" w14:textId="27C0CD33" w:rsidR="00FE5E1A" w:rsidRPr="00B14011" w:rsidRDefault="00FE5E1A" w:rsidP="00FE5E1A">
            <w:pPr>
              <w:tabs>
                <w:tab w:val="left" w:pos="900"/>
                <w:tab w:val="left" w:pos="990"/>
                <w:tab w:val="left" w:pos="8640"/>
                <w:tab w:val="left" w:pos="9180"/>
              </w:tabs>
              <w:spacing w:after="60"/>
              <w:rPr>
                <w:b/>
                <w:sz w:val="16"/>
                <w:szCs w:val="16"/>
              </w:rPr>
            </w:pPr>
            <w:r w:rsidRPr="00B14011">
              <w:rPr>
                <w:rFonts w:eastAsia="Calibri"/>
                <w:b/>
                <w:iCs/>
                <w:sz w:val="16"/>
                <w:szCs w:val="16"/>
              </w:rPr>
              <w:t xml:space="preserve">Output 1.1. </w:t>
            </w:r>
            <w:r w:rsidRPr="00B14011">
              <w:rPr>
                <w:b/>
                <w:sz w:val="16"/>
                <w:szCs w:val="16"/>
              </w:rPr>
              <w:t>Select policymaking and oversight structures strengthened to perform core functions for improved accountability and inclusivity.</w:t>
            </w:r>
          </w:p>
          <w:p w14:paraId="1A2538B4" w14:textId="77777777" w:rsidR="00FE5E1A" w:rsidRPr="00B14011" w:rsidRDefault="00FE5E1A" w:rsidP="00FE5E1A">
            <w:pPr>
              <w:tabs>
                <w:tab w:val="left" w:pos="900"/>
                <w:tab w:val="left" w:pos="990"/>
                <w:tab w:val="left" w:pos="8640"/>
                <w:tab w:val="left" w:pos="9180"/>
              </w:tabs>
              <w:spacing w:after="60"/>
              <w:rPr>
                <w:rFonts w:eastAsia="Calibri"/>
                <w:b/>
                <w:iCs/>
                <w:sz w:val="16"/>
                <w:szCs w:val="16"/>
              </w:rPr>
            </w:pPr>
          </w:p>
          <w:p w14:paraId="20FD2217" w14:textId="2A8CE250" w:rsidR="00FE5E1A" w:rsidRPr="00B14011" w:rsidRDefault="00FE5E1A" w:rsidP="006716B7">
            <w:pPr>
              <w:tabs>
                <w:tab w:val="left" w:pos="900"/>
                <w:tab w:val="left" w:pos="990"/>
                <w:tab w:val="left" w:pos="8640"/>
                <w:tab w:val="left" w:pos="9180"/>
              </w:tabs>
              <w:rPr>
                <w:sz w:val="16"/>
                <w:szCs w:val="16"/>
              </w:rPr>
            </w:pPr>
            <w:r w:rsidRPr="00B14011">
              <w:rPr>
                <w:rFonts w:eastAsia="Calibri"/>
                <w:b/>
                <w:iCs/>
                <w:sz w:val="16"/>
                <w:szCs w:val="16"/>
              </w:rPr>
              <w:t>Indicator 1.1.1.</w:t>
            </w:r>
            <w:r w:rsidRPr="00B14011">
              <w:rPr>
                <w:rFonts w:eastAsia="Calibri"/>
                <w:iCs/>
                <w:sz w:val="16"/>
                <w:szCs w:val="16"/>
              </w:rPr>
              <w:t xml:space="preserve"> Extent to which oversight institutions </w:t>
            </w:r>
            <w:r w:rsidRPr="00B14011">
              <w:rPr>
                <w:sz w:val="16"/>
                <w:szCs w:val="16"/>
              </w:rPr>
              <w:t>(Human Rights Commission</w:t>
            </w:r>
            <w:r w:rsidR="009C3183">
              <w:rPr>
                <w:sz w:val="16"/>
                <w:szCs w:val="16"/>
              </w:rPr>
              <w:t xml:space="preserve"> (HRC)</w:t>
            </w:r>
            <w:r w:rsidRPr="00B14011">
              <w:rPr>
                <w:sz w:val="16"/>
                <w:szCs w:val="16"/>
              </w:rPr>
              <w:t>, National Police Commission</w:t>
            </w:r>
            <w:r w:rsidR="009C3183">
              <w:rPr>
                <w:sz w:val="16"/>
                <w:szCs w:val="16"/>
              </w:rPr>
              <w:t xml:space="preserve"> (NPC)</w:t>
            </w:r>
            <w:r w:rsidRPr="00B14011">
              <w:rPr>
                <w:sz w:val="16"/>
                <w:szCs w:val="16"/>
              </w:rPr>
              <w:t>, Right to Information Commission</w:t>
            </w:r>
            <w:r w:rsidR="009C3183">
              <w:rPr>
                <w:sz w:val="16"/>
                <w:szCs w:val="16"/>
              </w:rPr>
              <w:t xml:space="preserve"> RIC)</w:t>
            </w:r>
            <w:r w:rsidRPr="00B14011">
              <w:rPr>
                <w:sz w:val="16"/>
                <w:szCs w:val="16"/>
              </w:rPr>
              <w:t>) have the capacity to support fulfilment of national and international human rights obligations. (</w:t>
            </w:r>
            <w:r w:rsidR="009C3183">
              <w:rPr>
                <w:sz w:val="16"/>
                <w:szCs w:val="16"/>
              </w:rPr>
              <w:t>Integrated results and resources framework (</w:t>
            </w:r>
            <w:r w:rsidRPr="00B14011">
              <w:rPr>
                <w:sz w:val="16"/>
                <w:szCs w:val="16"/>
              </w:rPr>
              <w:t>IRRF</w:t>
            </w:r>
            <w:r w:rsidR="009C3183">
              <w:rPr>
                <w:sz w:val="16"/>
                <w:szCs w:val="16"/>
              </w:rPr>
              <w:t>)</w:t>
            </w:r>
            <w:r w:rsidRPr="00B14011">
              <w:rPr>
                <w:sz w:val="16"/>
                <w:szCs w:val="16"/>
              </w:rPr>
              <w:t xml:space="preserve"> indicator 2.3.1</w:t>
            </w:r>
            <w:r w:rsidR="005413A7" w:rsidRPr="00B14011">
              <w:rPr>
                <w:sz w:val="16"/>
                <w:szCs w:val="16"/>
              </w:rPr>
              <w:t xml:space="preserve"> aligned</w:t>
            </w:r>
            <w:r w:rsidRPr="00B14011">
              <w:rPr>
                <w:sz w:val="16"/>
                <w:szCs w:val="16"/>
              </w:rPr>
              <w:t>)</w:t>
            </w:r>
            <w:r w:rsidRPr="00B14011">
              <w:rPr>
                <w:rStyle w:val="FootnoteReference"/>
                <w:sz w:val="16"/>
                <w:szCs w:val="16"/>
              </w:rPr>
              <w:t>.</w:t>
            </w:r>
            <w:r w:rsidRPr="00B14011">
              <w:rPr>
                <w:rStyle w:val="FootnoteReference"/>
                <w:sz w:val="16"/>
                <w:szCs w:val="16"/>
              </w:rPr>
              <w:footnoteReference w:id="27"/>
            </w:r>
          </w:p>
          <w:p w14:paraId="2A1197E3" w14:textId="79D2E728" w:rsidR="006716B7" w:rsidRPr="00B14011" w:rsidRDefault="00FE5E1A" w:rsidP="006716B7">
            <w:pPr>
              <w:tabs>
                <w:tab w:val="left" w:pos="900"/>
                <w:tab w:val="left" w:pos="990"/>
                <w:tab w:val="left" w:pos="8640"/>
                <w:tab w:val="left" w:pos="9180"/>
              </w:tabs>
              <w:rPr>
                <w:rFonts w:eastAsia="Calibri"/>
                <w:iCs/>
                <w:sz w:val="16"/>
                <w:szCs w:val="16"/>
              </w:rPr>
            </w:pPr>
            <w:r w:rsidRPr="00B14011">
              <w:rPr>
                <w:rFonts w:eastAsia="Calibri"/>
                <w:b/>
                <w:iCs/>
                <w:sz w:val="16"/>
                <w:szCs w:val="16"/>
              </w:rPr>
              <w:t xml:space="preserve">Baseline (2018):  </w:t>
            </w:r>
            <w:r w:rsidRPr="00B14011">
              <w:rPr>
                <w:rFonts w:eastAsia="Calibri"/>
                <w:iCs/>
                <w:sz w:val="16"/>
                <w:szCs w:val="16"/>
              </w:rPr>
              <w:t>HRC=2, NPC=2, RI</w:t>
            </w:r>
            <w:r w:rsidR="009C3183">
              <w:rPr>
                <w:rFonts w:eastAsia="Calibri"/>
                <w:iCs/>
                <w:sz w:val="16"/>
                <w:szCs w:val="16"/>
              </w:rPr>
              <w:t>C</w:t>
            </w:r>
            <w:r w:rsidRPr="00B14011">
              <w:rPr>
                <w:rFonts w:eastAsia="Calibri"/>
                <w:iCs/>
                <w:sz w:val="16"/>
                <w:szCs w:val="16"/>
              </w:rPr>
              <w:t xml:space="preserve">=not fully operational </w:t>
            </w:r>
            <w:r w:rsidR="00A11548" w:rsidRPr="00B14011">
              <w:rPr>
                <w:rFonts w:eastAsia="Calibri"/>
                <w:iCs/>
                <w:sz w:val="16"/>
                <w:szCs w:val="16"/>
              </w:rPr>
              <w:t>yet</w:t>
            </w:r>
          </w:p>
          <w:p w14:paraId="7FFC9689" w14:textId="2AFAF067" w:rsidR="00FE5E1A" w:rsidRPr="00B14011" w:rsidRDefault="00FE5E1A" w:rsidP="006716B7">
            <w:pPr>
              <w:tabs>
                <w:tab w:val="left" w:pos="900"/>
                <w:tab w:val="left" w:pos="990"/>
                <w:tab w:val="left" w:pos="8640"/>
                <w:tab w:val="left" w:pos="9180"/>
              </w:tabs>
              <w:rPr>
                <w:rFonts w:eastAsia="Calibri"/>
                <w:iCs/>
                <w:sz w:val="16"/>
                <w:szCs w:val="16"/>
              </w:rPr>
            </w:pPr>
            <w:r w:rsidRPr="00B14011">
              <w:rPr>
                <w:rFonts w:eastAsia="Calibri"/>
                <w:b/>
                <w:iCs/>
                <w:sz w:val="16"/>
                <w:szCs w:val="16"/>
              </w:rPr>
              <w:t xml:space="preserve">Target (2022):  </w:t>
            </w:r>
            <w:r w:rsidRPr="00B14011">
              <w:rPr>
                <w:rFonts w:eastAsia="Calibri"/>
                <w:iCs/>
                <w:sz w:val="16"/>
                <w:szCs w:val="16"/>
              </w:rPr>
              <w:t>HRC=3, NPC=3, RI</w:t>
            </w:r>
            <w:r w:rsidR="009C3183">
              <w:rPr>
                <w:rFonts w:eastAsia="Calibri"/>
                <w:iCs/>
                <w:sz w:val="16"/>
                <w:szCs w:val="16"/>
              </w:rPr>
              <w:t>C</w:t>
            </w:r>
            <w:r w:rsidRPr="00B14011">
              <w:rPr>
                <w:rFonts w:eastAsia="Calibri"/>
                <w:iCs/>
                <w:sz w:val="16"/>
                <w:szCs w:val="16"/>
              </w:rPr>
              <w:t>= 4</w:t>
            </w:r>
          </w:p>
          <w:p w14:paraId="1827F305" w14:textId="77E57775" w:rsidR="00FE5E1A" w:rsidRPr="00B14011" w:rsidRDefault="00FE5E1A" w:rsidP="006716B7">
            <w:pPr>
              <w:tabs>
                <w:tab w:val="left" w:pos="900"/>
                <w:tab w:val="left" w:pos="990"/>
                <w:tab w:val="left" w:pos="8640"/>
                <w:tab w:val="left" w:pos="9180"/>
              </w:tabs>
              <w:rPr>
                <w:rFonts w:eastAsia="Calibri"/>
                <w:iCs/>
                <w:sz w:val="16"/>
                <w:szCs w:val="16"/>
              </w:rPr>
            </w:pPr>
            <w:r w:rsidRPr="00B14011">
              <w:rPr>
                <w:rFonts w:eastAsia="Calibri"/>
                <w:b/>
                <w:iCs/>
                <w:sz w:val="16"/>
                <w:szCs w:val="16"/>
              </w:rPr>
              <w:t>Source:</w:t>
            </w:r>
            <w:r w:rsidRPr="00B14011">
              <w:rPr>
                <w:sz w:val="16"/>
                <w:szCs w:val="16"/>
              </w:rPr>
              <w:t xml:space="preserve"> Commission </w:t>
            </w:r>
            <w:r w:rsidR="009C3183">
              <w:rPr>
                <w:sz w:val="16"/>
                <w:szCs w:val="16"/>
              </w:rPr>
              <w:t>m</w:t>
            </w:r>
            <w:r w:rsidRPr="00B14011">
              <w:rPr>
                <w:sz w:val="16"/>
                <w:szCs w:val="16"/>
              </w:rPr>
              <w:t>andate and minuted discussions with the commissions</w:t>
            </w:r>
          </w:p>
          <w:p w14:paraId="4FA2B3FF" w14:textId="77777777" w:rsidR="00FE5E1A" w:rsidRPr="00B14011" w:rsidRDefault="00FE5E1A" w:rsidP="00FE5E1A">
            <w:pPr>
              <w:tabs>
                <w:tab w:val="left" w:pos="900"/>
                <w:tab w:val="left" w:pos="990"/>
                <w:tab w:val="left" w:pos="8640"/>
                <w:tab w:val="left" w:pos="9180"/>
              </w:tabs>
              <w:spacing w:after="60"/>
              <w:rPr>
                <w:rFonts w:eastAsia="Calibri"/>
                <w:b/>
                <w:iCs/>
                <w:sz w:val="16"/>
                <w:szCs w:val="16"/>
              </w:rPr>
            </w:pPr>
          </w:p>
          <w:p w14:paraId="2FE02BC8" w14:textId="3924ADC1" w:rsidR="00FE5E1A" w:rsidRPr="00B14011" w:rsidRDefault="00FE5E1A" w:rsidP="00FE5E1A">
            <w:pPr>
              <w:contextualSpacing/>
              <w:jc w:val="both"/>
              <w:rPr>
                <w:sz w:val="16"/>
                <w:szCs w:val="16"/>
              </w:rPr>
            </w:pPr>
            <w:r w:rsidRPr="00B14011">
              <w:rPr>
                <w:b/>
                <w:sz w:val="16"/>
                <w:szCs w:val="16"/>
              </w:rPr>
              <w:t>Indicator 1.1.2.</w:t>
            </w:r>
            <w:r w:rsidRPr="00B14011">
              <w:rPr>
                <w:sz w:val="16"/>
                <w:szCs w:val="16"/>
              </w:rPr>
              <w:t xml:space="preserve">  National </w:t>
            </w:r>
            <w:r w:rsidR="00DA693E">
              <w:rPr>
                <w:sz w:val="16"/>
                <w:szCs w:val="16"/>
              </w:rPr>
              <w:t>l</w:t>
            </w:r>
            <w:r w:rsidRPr="00B14011">
              <w:rPr>
                <w:sz w:val="16"/>
                <w:szCs w:val="16"/>
              </w:rPr>
              <w:t>egislature conducts public hearings during budget cycle. (SDG indicator 16.7.3)</w:t>
            </w:r>
            <w:r w:rsidR="00DA693E">
              <w:rPr>
                <w:sz w:val="16"/>
                <w:szCs w:val="16"/>
              </w:rPr>
              <w:t>.</w:t>
            </w:r>
          </w:p>
          <w:p w14:paraId="45FC71F2" w14:textId="4F2A8E78" w:rsidR="00FE5E1A" w:rsidRPr="00B14011" w:rsidRDefault="00FE5E1A" w:rsidP="00FE5E1A">
            <w:pPr>
              <w:tabs>
                <w:tab w:val="left" w:pos="900"/>
                <w:tab w:val="left" w:pos="990"/>
                <w:tab w:val="left" w:pos="8640"/>
                <w:tab w:val="left" w:pos="9180"/>
              </w:tabs>
              <w:rPr>
                <w:rFonts w:eastAsia="Calibri"/>
                <w:iCs/>
                <w:sz w:val="16"/>
                <w:szCs w:val="16"/>
              </w:rPr>
            </w:pPr>
            <w:r w:rsidRPr="00B14011">
              <w:rPr>
                <w:rFonts w:eastAsia="Calibri"/>
                <w:b/>
                <w:iCs/>
                <w:sz w:val="16"/>
                <w:szCs w:val="16"/>
              </w:rPr>
              <w:t>Baseline (2016):</w:t>
            </w:r>
            <w:r w:rsidRPr="00B14011">
              <w:rPr>
                <w:sz w:val="16"/>
                <w:szCs w:val="16"/>
              </w:rPr>
              <w:t xml:space="preserve"> 0 hearings in 2016 budget cycle</w:t>
            </w:r>
          </w:p>
          <w:p w14:paraId="00AC2609" w14:textId="2EA864C4" w:rsidR="00FE5E1A" w:rsidRPr="00B14011" w:rsidRDefault="00FE5E1A" w:rsidP="00FE5E1A">
            <w:pPr>
              <w:tabs>
                <w:tab w:val="left" w:pos="900"/>
                <w:tab w:val="left" w:pos="990"/>
                <w:tab w:val="left" w:pos="8640"/>
                <w:tab w:val="left" w:pos="9180"/>
              </w:tabs>
              <w:rPr>
                <w:rFonts w:eastAsia="Calibri"/>
                <w:iCs/>
                <w:sz w:val="16"/>
                <w:szCs w:val="16"/>
              </w:rPr>
            </w:pPr>
            <w:r w:rsidRPr="00B14011">
              <w:rPr>
                <w:rFonts w:eastAsia="Calibri"/>
                <w:b/>
                <w:iCs/>
                <w:sz w:val="16"/>
                <w:szCs w:val="16"/>
              </w:rPr>
              <w:t>Target (2022):</w:t>
            </w:r>
            <w:r w:rsidRPr="00B14011">
              <w:rPr>
                <w:rFonts w:eastAsia="Calibri"/>
                <w:iCs/>
                <w:sz w:val="16"/>
                <w:szCs w:val="16"/>
              </w:rPr>
              <w:t xml:space="preserve"> 1 hearing per cycle</w:t>
            </w:r>
          </w:p>
          <w:p w14:paraId="673BE7EE" w14:textId="77777777" w:rsidR="00FE5E1A" w:rsidRPr="00B14011" w:rsidRDefault="00FE5E1A" w:rsidP="00FE5E1A">
            <w:pPr>
              <w:tabs>
                <w:tab w:val="left" w:pos="900"/>
                <w:tab w:val="left" w:pos="990"/>
                <w:tab w:val="left" w:pos="8640"/>
                <w:tab w:val="left" w:pos="9180"/>
              </w:tabs>
              <w:rPr>
                <w:rFonts w:eastAsia="Calibri"/>
                <w:iCs/>
                <w:sz w:val="16"/>
                <w:szCs w:val="16"/>
              </w:rPr>
            </w:pPr>
            <w:r w:rsidRPr="00B14011">
              <w:rPr>
                <w:rFonts w:eastAsia="Calibri"/>
                <w:b/>
                <w:iCs/>
                <w:sz w:val="16"/>
                <w:szCs w:val="16"/>
              </w:rPr>
              <w:t>Source</w:t>
            </w:r>
            <w:r w:rsidRPr="00B14011">
              <w:rPr>
                <w:rFonts w:eastAsia="Calibri"/>
                <w:iCs/>
                <w:sz w:val="16"/>
                <w:szCs w:val="16"/>
              </w:rPr>
              <w:t>: Parliament of Sri Lanka</w:t>
            </w:r>
          </w:p>
          <w:p w14:paraId="003D8C4D" w14:textId="77777777" w:rsidR="00FE5E1A" w:rsidRPr="00B14011" w:rsidRDefault="00FE5E1A" w:rsidP="00FE5E1A">
            <w:pPr>
              <w:tabs>
                <w:tab w:val="left" w:pos="900"/>
                <w:tab w:val="left" w:pos="990"/>
                <w:tab w:val="left" w:pos="8640"/>
                <w:tab w:val="left" w:pos="9180"/>
              </w:tabs>
              <w:spacing w:after="60"/>
              <w:rPr>
                <w:rFonts w:eastAsia="Calibri"/>
                <w:iCs/>
                <w:sz w:val="16"/>
                <w:szCs w:val="16"/>
              </w:rPr>
            </w:pPr>
          </w:p>
          <w:p w14:paraId="543C280F" w14:textId="77777777" w:rsidR="00FE5E1A" w:rsidRPr="00B14011" w:rsidRDefault="00FE5E1A" w:rsidP="00FE5E1A">
            <w:pPr>
              <w:contextualSpacing/>
              <w:rPr>
                <w:sz w:val="16"/>
                <w:szCs w:val="16"/>
              </w:rPr>
            </w:pPr>
            <w:r w:rsidRPr="00B14011">
              <w:rPr>
                <w:rFonts w:eastAsia="Calibri"/>
                <w:b/>
                <w:iCs/>
                <w:sz w:val="16"/>
                <w:szCs w:val="16"/>
              </w:rPr>
              <w:t>Indicator 1.1.3.</w:t>
            </w:r>
            <w:r w:rsidRPr="00B14011">
              <w:rPr>
                <w:rFonts w:eastAsia="Calibri"/>
                <w:iCs/>
                <w:sz w:val="16"/>
                <w:szCs w:val="16"/>
              </w:rPr>
              <w:t xml:space="preserve"> </w:t>
            </w:r>
            <w:r w:rsidRPr="00B14011">
              <w:rPr>
                <w:sz w:val="16"/>
                <w:szCs w:val="16"/>
              </w:rPr>
              <w:t xml:space="preserve">Number of </w:t>
            </w:r>
            <w:r w:rsidR="001F6357" w:rsidRPr="00B14011">
              <w:rPr>
                <w:sz w:val="16"/>
                <w:szCs w:val="16"/>
              </w:rPr>
              <w:t>policy</w:t>
            </w:r>
            <w:r w:rsidR="00A21080" w:rsidRPr="00B14011">
              <w:rPr>
                <w:sz w:val="16"/>
                <w:szCs w:val="16"/>
              </w:rPr>
              <w:t xml:space="preserve">/strategy drafts initiated/formulated and oversight processes implemented </w:t>
            </w:r>
            <w:r w:rsidR="001F6357" w:rsidRPr="00B14011">
              <w:rPr>
                <w:sz w:val="16"/>
                <w:szCs w:val="16"/>
              </w:rPr>
              <w:t>involving non-</w:t>
            </w:r>
            <w:r w:rsidRPr="00B14011">
              <w:rPr>
                <w:sz w:val="16"/>
                <w:szCs w:val="16"/>
              </w:rPr>
              <w:t>government actors support</w:t>
            </w:r>
            <w:r w:rsidR="001F6357" w:rsidRPr="00B14011">
              <w:rPr>
                <w:sz w:val="16"/>
                <w:szCs w:val="16"/>
              </w:rPr>
              <w:t>ed</w:t>
            </w:r>
            <w:r w:rsidRPr="00B14011">
              <w:rPr>
                <w:sz w:val="16"/>
                <w:szCs w:val="16"/>
              </w:rPr>
              <w:t xml:space="preserve"> by UNDP</w:t>
            </w:r>
            <w:r w:rsidR="00A21080" w:rsidRPr="00B14011">
              <w:rPr>
                <w:sz w:val="16"/>
                <w:szCs w:val="16"/>
              </w:rPr>
              <w:t>.</w:t>
            </w:r>
          </w:p>
          <w:p w14:paraId="22D9A93C" w14:textId="77777777" w:rsidR="00FE5E1A" w:rsidRPr="00B14011" w:rsidRDefault="00FE5E1A" w:rsidP="006716B7">
            <w:pPr>
              <w:pStyle w:val="p1"/>
              <w:ind w:left="0" w:firstLine="0"/>
              <w:rPr>
                <w:rFonts w:ascii="Times New Roman" w:eastAsia="Times New Roman" w:hAnsi="Times New Roman"/>
                <w:sz w:val="16"/>
                <w:szCs w:val="16"/>
                <w:lang w:val="en-GB"/>
              </w:rPr>
            </w:pPr>
            <w:r w:rsidRPr="00B14011">
              <w:rPr>
                <w:rFonts w:ascii="Times New Roman" w:eastAsia="Calibri" w:hAnsi="Times New Roman"/>
                <w:b/>
                <w:iCs/>
                <w:sz w:val="16"/>
                <w:szCs w:val="16"/>
                <w:lang w:val="en-GB"/>
              </w:rPr>
              <w:lastRenderedPageBreak/>
              <w:t>Baseline (2018):</w:t>
            </w:r>
            <w:r w:rsidRPr="00B14011">
              <w:rPr>
                <w:rFonts w:ascii="Times New Roman" w:hAnsi="Times New Roman"/>
                <w:sz w:val="16"/>
                <w:szCs w:val="16"/>
                <w:lang w:val="en-GB"/>
              </w:rPr>
              <w:t xml:space="preserve"> </w:t>
            </w:r>
            <w:r w:rsidR="001F6357" w:rsidRPr="00B14011">
              <w:rPr>
                <w:rFonts w:ascii="Times New Roman" w:eastAsia="Times New Roman" w:hAnsi="Times New Roman"/>
                <w:sz w:val="16"/>
                <w:szCs w:val="16"/>
                <w:lang w:val="en-GB"/>
              </w:rPr>
              <w:t>2</w:t>
            </w:r>
          </w:p>
          <w:p w14:paraId="133E263C" w14:textId="77777777" w:rsidR="00FE5E1A" w:rsidRPr="00B14011" w:rsidRDefault="00FE5E1A" w:rsidP="00FE5E1A">
            <w:pPr>
              <w:pStyle w:val="p1"/>
              <w:ind w:left="0" w:firstLine="0"/>
              <w:rPr>
                <w:rFonts w:ascii="Times New Roman" w:eastAsia="Times New Roman" w:hAnsi="Times New Roman"/>
                <w:sz w:val="16"/>
                <w:szCs w:val="16"/>
                <w:lang w:val="en-GB"/>
              </w:rPr>
            </w:pPr>
            <w:r w:rsidRPr="00B14011">
              <w:rPr>
                <w:rFonts w:ascii="Times New Roman" w:eastAsia="Calibri" w:hAnsi="Times New Roman"/>
                <w:b/>
                <w:iCs/>
                <w:sz w:val="16"/>
                <w:szCs w:val="16"/>
                <w:lang w:val="en-GB"/>
              </w:rPr>
              <w:t>Target (2022):</w:t>
            </w:r>
            <w:r w:rsidRPr="00B14011">
              <w:rPr>
                <w:rFonts w:ascii="Times New Roman" w:hAnsi="Times New Roman"/>
                <w:sz w:val="16"/>
                <w:szCs w:val="16"/>
                <w:lang w:val="en-GB"/>
              </w:rPr>
              <w:t xml:space="preserve"> </w:t>
            </w:r>
            <w:r w:rsidR="001F6357" w:rsidRPr="00B14011">
              <w:rPr>
                <w:rFonts w:ascii="Times New Roman" w:eastAsia="Times New Roman" w:hAnsi="Times New Roman"/>
                <w:sz w:val="16"/>
                <w:szCs w:val="16"/>
                <w:lang w:val="en-GB"/>
              </w:rPr>
              <w:t>8</w:t>
            </w:r>
          </w:p>
          <w:p w14:paraId="524D918E" w14:textId="77777777" w:rsidR="00FE5E1A" w:rsidRPr="00B14011" w:rsidRDefault="00FE5E1A" w:rsidP="00FE5E1A">
            <w:pPr>
              <w:tabs>
                <w:tab w:val="left" w:pos="900"/>
                <w:tab w:val="left" w:pos="990"/>
                <w:tab w:val="left" w:pos="8640"/>
                <w:tab w:val="left" w:pos="9180"/>
              </w:tabs>
              <w:rPr>
                <w:rFonts w:eastAsia="Calibri"/>
                <w:iCs/>
                <w:sz w:val="16"/>
                <w:szCs w:val="16"/>
              </w:rPr>
            </w:pPr>
            <w:r w:rsidRPr="00B14011">
              <w:rPr>
                <w:rFonts w:eastAsia="Calibri"/>
                <w:b/>
                <w:iCs/>
                <w:sz w:val="16"/>
                <w:szCs w:val="16"/>
              </w:rPr>
              <w:t xml:space="preserve">Source: </w:t>
            </w:r>
            <w:r w:rsidRPr="00B14011">
              <w:rPr>
                <w:rFonts w:eastAsia="Calibri"/>
                <w:iCs/>
                <w:sz w:val="16"/>
                <w:szCs w:val="16"/>
              </w:rPr>
              <w:t>UNDP</w:t>
            </w:r>
            <w:r w:rsidR="001F6357" w:rsidRPr="00B14011">
              <w:rPr>
                <w:rFonts w:eastAsia="Calibri"/>
                <w:iCs/>
                <w:sz w:val="16"/>
                <w:szCs w:val="16"/>
              </w:rPr>
              <w:t xml:space="preserve"> </w:t>
            </w:r>
            <w:r w:rsidR="00B6771E" w:rsidRPr="00B14011">
              <w:rPr>
                <w:rFonts w:eastAsia="Calibri"/>
                <w:iCs/>
                <w:sz w:val="16"/>
                <w:szCs w:val="16"/>
              </w:rPr>
              <w:t xml:space="preserve">project </w:t>
            </w:r>
            <w:r w:rsidRPr="00B14011">
              <w:rPr>
                <w:rFonts w:eastAsia="Calibri"/>
                <w:iCs/>
                <w:sz w:val="16"/>
                <w:szCs w:val="16"/>
              </w:rPr>
              <w:t>reports</w:t>
            </w:r>
            <w:r w:rsidR="001E1E00" w:rsidRPr="00B14011">
              <w:rPr>
                <w:rFonts w:eastAsia="Calibri"/>
                <w:iCs/>
                <w:sz w:val="16"/>
                <w:szCs w:val="16"/>
              </w:rPr>
              <w:t xml:space="preserve"> </w:t>
            </w:r>
          </w:p>
          <w:p w14:paraId="4D3B54BF" w14:textId="77777777" w:rsidR="00DA693E" w:rsidRDefault="00DA693E" w:rsidP="00FE5E1A">
            <w:pPr>
              <w:tabs>
                <w:tab w:val="left" w:pos="900"/>
                <w:tab w:val="left" w:pos="990"/>
                <w:tab w:val="left" w:pos="8640"/>
                <w:tab w:val="left" w:pos="9180"/>
              </w:tabs>
              <w:spacing w:after="60"/>
              <w:rPr>
                <w:rFonts w:eastAsia="Calibri"/>
                <w:b/>
                <w:iCs/>
                <w:sz w:val="16"/>
                <w:szCs w:val="16"/>
              </w:rPr>
            </w:pPr>
          </w:p>
          <w:p w14:paraId="19FB1629" w14:textId="2EFA3B91" w:rsidR="00FE5E1A" w:rsidRPr="00B14011" w:rsidRDefault="00FE5E1A" w:rsidP="00FE5E1A">
            <w:pPr>
              <w:tabs>
                <w:tab w:val="left" w:pos="900"/>
                <w:tab w:val="left" w:pos="990"/>
                <w:tab w:val="left" w:pos="8640"/>
                <w:tab w:val="left" w:pos="9180"/>
              </w:tabs>
              <w:spacing w:after="60"/>
              <w:rPr>
                <w:b/>
                <w:sz w:val="16"/>
                <w:szCs w:val="16"/>
              </w:rPr>
            </w:pPr>
            <w:r w:rsidRPr="00B14011">
              <w:rPr>
                <w:rFonts w:eastAsia="Calibri"/>
                <w:b/>
                <w:iCs/>
                <w:sz w:val="16"/>
                <w:szCs w:val="16"/>
              </w:rPr>
              <w:t xml:space="preserve">Output 1.2: </w:t>
            </w:r>
            <w:r w:rsidRPr="00B14011">
              <w:rPr>
                <w:b/>
                <w:sz w:val="16"/>
                <w:szCs w:val="16"/>
              </w:rPr>
              <w:t xml:space="preserve">Marginalized and vulnerable communities have increased and equitable access to </w:t>
            </w:r>
            <w:r w:rsidRPr="00B14011">
              <w:rPr>
                <w:b/>
                <w:bCs/>
                <w:sz w:val="16"/>
                <w:szCs w:val="16"/>
              </w:rPr>
              <w:t xml:space="preserve">justice, including </w:t>
            </w:r>
            <w:r w:rsidRPr="00B14011">
              <w:rPr>
                <w:b/>
                <w:sz w:val="16"/>
                <w:szCs w:val="16"/>
              </w:rPr>
              <w:t>demand-driven legal protection and gender sensitive services.</w:t>
            </w:r>
          </w:p>
          <w:p w14:paraId="508DD971" w14:textId="77777777" w:rsidR="00FE5E1A" w:rsidRPr="00B14011" w:rsidRDefault="00FE5E1A" w:rsidP="00FE5E1A">
            <w:pPr>
              <w:tabs>
                <w:tab w:val="left" w:pos="900"/>
                <w:tab w:val="left" w:pos="990"/>
                <w:tab w:val="left" w:pos="8640"/>
                <w:tab w:val="left" w:pos="9180"/>
              </w:tabs>
              <w:spacing w:after="60"/>
              <w:rPr>
                <w:rFonts w:eastAsia="Calibri"/>
                <w:iCs/>
                <w:sz w:val="16"/>
                <w:szCs w:val="16"/>
              </w:rPr>
            </w:pPr>
          </w:p>
          <w:p w14:paraId="6CDBA6E1" w14:textId="4BB809C2" w:rsidR="006716B7" w:rsidRPr="00B14011" w:rsidRDefault="00FE5E1A" w:rsidP="006716B7">
            <w:pPr>
              <w:tabs>
                <w:tab w:val="left" w:pos="900"/>
                <w:tab w:val="left" w:pos="990"/>
                <w:tab w:val="left" w:pos="8640"/>
                <w:tab w:val="left" w:pos="9180"/>
              </w:tabs>
              <w:rPr>
                <w:iCs/>
                <w:sz w:val="16"/>
                <w:szCs w:val="16"/>
              </w:rPr>
            </w:pPr>
            <w:r w:rsidRPr="00B14011">
              <w:rPr>
                <w:rFonts w:eastAsia="Calibri"/>
                <w:b/>
                <w:iCs/>
                <w:sz w:val="16"/>
                <w:szCs w:val="16"/>
              </w:rPr>
              <w:t>Indicator 1.2.1.</w:t>
            </w:r>
            <w:r w:rsidRPr="00B14011">
              <w:rPr>
                <w:rFonts w:eastAsia="Calibri"/>
                <w:iCs/>
                <w:sz w:val="16"/>
                <w:szCs w:val="16"/>
              </w:rPr>
              <w:t xml:space="preserve"> </w:t>
            </w:r>
            <w:r w:rsidRPr="00B14011">
              <w:rPr>
                <w:iCs/>
                <w:sz w:val="16"/>
                <w:szCs w:val="16"/>
              </w:rPr>
              <w:t>Extent</w:t>
            </w:r>
            <w:r w:rsidRPr="00B14011">
              <w:rPr>
                <w:rStyle w:val="FootnoteReference"/>
                <w:iCs/>
                <w:sz w:val="16"/>
                <w:szCs w:val="16"/>
              </w:rPr>
              <w:footnoteReference w:id="28"/>
            </w:r>
            <w:r w:rsidRPr="00B14011">
              <w:rPr>
                <w:iCs/>
                <w:sz w:val="16"/>
                <w:szCs w:val="16"/>
              </w:rPr>
              <w:t xml:space="preserve"> to which </w:t>
            </w:r>
            <w:r w:rsidR="00DA693E">
              <w:rPr>
                <w:iCs/>
                <w:sz w:val="16"/>
                <w:szCs w:val="16"/>
              </w:rPr>
              <w:t>t</w:t>
            </w:r>
            <w:r w:rsidRPr="00B14011">
              <w:rPr>
                <w:iCs/>
                <w:sz w:val="16"/>
                <w:szCs w:val="16"/>
              </w:rPr>
              <w:t xml:space="preserve">ransitional </w:t>
            </w:r>
            <w:r w:rsidR="00DA693E">
              <w:rPr>
                <w:iCs/>
                <w:sz w:val="16"/>
                <w:szCs w:val="16"/>
              </w:rPr>
              <w:t>j</w:t>
            </w:r>
            <w:r w:rsidRPr="00B14011">
              <w:rPr>
                <w:iCs/>
                <w:sz w:val="16"/>
                <w:szCs w:val="16"/>
              </w:rPr>
              <w:t>ustice mechanisms are operation</w:t>
            </w:r>
            <w:r w:rsidR="00D51A8E" w:rsidRPr="00B14011">
              <w:rPr>
                <w:iCs/>
                <w:sz w:val="16"/>
                <w:szCs w:val="16"/>
              </w:rPr>
              <w:t>alized</w:t>
            </w:r>
            <w:r w:rsidR="001F2704" w:rsidRPr="00B14011">
              <w:rPr>
                <w:iCs/>
                <w:sz w:val="16"/>
                <w:szCs w:val="16"/>
              </w:rPr>
              <w:t>.</w:t>
            </w:r>
          </w:p>
          <w:p w14:paraId="419DF5FB" w14:textId="77777777" w:rsidR="00FE5E1A" w:rsidRPr="00B14011" w:rsidRDefault="00FE5E1A" w:rsidP="006716B7">
            <w:pPr>
              <w:tabs>
                <w:tab w:val="left" w:pos="900"/>
                <w:tab w:val="left" w:pos="990"/>
                <w:tab w:val="left" w:pos="8640"/>
                <w:tab w:val="left" w:pos="9180"/>
              </w:tabs>
              <w:rPr>
                <w:iCs/>
                <w:sz w:val="16"/>
                <w:szCs w:val="16"/>
              </w:rPr>
            </w:pPr>
            <w:r w:rsidRPr="00B14011">
              <w:rPr>
                <w:rFonts w:eastAsia="Calibri"/>
                <w:b/>
                <w:iCs/>
                <w:sz w:val="16"/>
                <w:szCs w:val="16"/>
              </w:rPr>
              <w:t>Baseline (2018):</w:t>
            </w:r>
            <w:r w:rsidRPr="00B14011">
              <w:rPr>
                <w:rFonts w:eastAsia="Calibri"/>
                <w:iCs/>
                <w:sz w:val="16"/>
                <w:szCs w:val="16"/>
              </w:rPr>
              <w:t xml:space="preserve"> 1</w:t>
            </w:r>
          </w:p>
          <w:p w14:paraId="63F27BEB" w14:textId="77777777" w:rsidR="00FE5E1A" w:rsidRPr="00B14011" w:rsidRDefault="00FE5E1A" w:rsidP="006716B7">
            <w:pPr>
              <w:tabs>
                <w:tab w:val="left" w:pos="900"/>
                <w:tab w:val="left" w:pos="990"/>
                <w:tab w:val="left" w:pos="8640"/>
                <w:tab w:val="left" w:pos="9180"/>
              </w:tabs>
              <w:rPr>
                <w:rFonts w:eastAsia="Calibri"/>
                <w:b/>
                <w:iCs/>
                <w:sz w:val="16"/>
                <w:szCs w:val="16"/>
              </w:rPr>
            </w:pPr>
            <w:r w:rsidRPr="00B14011">
              <w:rPr>
                <w:rFonts w:eastAsia="Calibri"/>
                <w:b/>
                <w:iCs/>
                <w:sz w:val="16"/>
                <w:szCs w:val="16"/>
              </w:rPr>
              <w:t xml:space="preserve">Target (2022): </w:t>
            </w:r>
            <w:r w:rsidRPr="00B14011">
              <w:rPr>
                <w:rFonts w:eastAsia="Calibri"/>
                <w:iCs/>
                <w:sz w:val="16"/>
                <w:szCs w:val="16"/>
              </w:rPr>
              <w:t>4</w:t>
            </w:r>
          </w:p>
          <w:p w14:paraId="6888C920" w14:textId="6E5B2AB8" w:rsidR="00B31DD5" w:rsidRPr="00B14011" w:rsidRDefault="00FE5E1A" w:rsidP="006716B7">
            <w:pPr>
              <w:tabs>
                <w:tab w:val="left" w:pos="900"/>
                <w:tab w:val="left" w:pos="990"/>
                <w:tab w:val="left" w:pos="8640"/>
                <w:tab w:val="left" w:pos="9180"/>
              </w:tabs>
              <w:rPr>
                <w:iCs/>
                <w:sz w:val="16"/>
                <w:szCs w:val="16"/>
              </w:rPr>
            </w:pPr>
            <w:r w:rsidRPr="00B14011">
              <w:rPr>
                <w:rFonts w:eastAsia="Calibri"/>
                <w:b/>
                <w:iCs/>
                <w:sz w:val="16"/>
                <w:szCs w:val="16"/>
              </w:rPr>
              <w:t>Source:</w:t>
            </w:r>
            <w:r w:rsidRPr="00B14011">
              <w:rPr>
                <w:rFonts w:ascii="Calibri" w:hAnsi="Calibri"/>
              </w:rPr>
              <w:t xml:space="preserve"> </w:t>
            </w:r>
            <w:r w:rsidRPr="00B14011">
              <w:rPr>
                <w:iCs/>
                <w:sz w:val="16"/>
                <w:szCs w:val="16"/>
              </w:rPr>
              <w:t>Spe</w:t>
            </w:r>
            <w:r w:rsidR="00A4003D" w:rsidRPr="00B14011">
              <w:rPr>
                <w:iCs/>
                <w:sz w:val="16"/>
                <w:szCs w:val="16"/>
              </w:rPr>
              <w:t xml:space="preserve">cial Rapporteur </w:t>
            </w:r>
            <w:r w:rsidR="00DA693E">
              <w:rPr>
                <w:iCs/>
                <w:sz w:val="16"/>
                <w:szCs w:val="16"/>
              </w:rPr>
              <w:t>r</w:t>
            </w:r>
            <w:r w:rsidR="00A4003D" w:rsidRPr="00B14011">
              <w:rPr>
                <w:iCs/>
                <w:sz w:val="16"/>
                <w:szCs w:val="16"/>
              </w:rPr>
              <w:t>eports,</w:t>
            </w:r>
            <w:r w:rsidRPr="00B14011">
              <w:rPr>
                <w:iCs/>
                <w:sz w:val="16"/>
                <w:szCs w:val="16"/>
              </w:rPr>
              <w:t xml:space="preserve"> Office of the High Commissioner for Human Rights</w:t>
            </w:r>
          </w:p>
          <w:p w14:paraId="6298B9E6" w14:textId="77777777" w:rsidR="00FE5E1A" w:rsidRPr="00B14011" w:rsidRDefault="00FE5E1A" w:rsidP="00FE5E1A">
            <w:pPr>
              <w:tabs>
                <w:tab w:val="left" w:pos="900"/>
                <w:tab w:val="left" w:pos="990"/>
                <w:tab w:val="left" w:pos="8640"/>
                <w:tab w:val="left" w:pos="9180"/>
              </w:tabs>
              <w:rPr>
                <w:rFonts w:eastAsia="Calibri"/>
                <w:iCs/>
                <w:sz w:val="16"/>
                <w:szCs w:val="16"/>
              </w:rPr>
            </w:pPr>
          </w:p>
          <w:p w14:paraId="23B1F29B" w14:textId="18C8E4B6" w:rsidR="008B4F16" w:rsidRPr="00B14011" w:rsidRDefault="008B4F16" w:rsidP="008B4F16">
            <w:pPr>
              <w:tabs>
                <w:tab w:val="left" w:pos="900"/>
                <w:tab w:val="left" w:pos="990"/>
                <w:tab w:val="left" w:pos="8640"/>
                <w:tab w:val="left" w:pos="9180"/>
              </w:tabs>
              <w:rPr>
                <w:sz w:val="16"/>
              </w:rPr>
            </w:pPr>
            <w:r w:rsidRPr="00B14011">
              <w:rPr>
                <w:b/>
                <w:sz w:val="16"/>
              </w:rPr>
              <w:t xml:space="preserve">Indicator 1.2.2. </w:t>
            </w:r>
            <w:r w:rsidR="00E31E0F" w:rsidRPr="00B14011">
              <w:rPr>
                <w:sz w:val="16"/>
              </w:rPr>
              <w:t>Number of men and women</w:t>
            </w:r>
            <w:r w:rsidR="00CD5DAD" w:rsidRPr="00B14011">
              <w:rPr>
                <w:sz w:val="16"/>
              </w:rPr>
              <w:t xml:space="preserve"> </w:t>
            </w:r>
            <w:r w:rsidRPr="00B14011">
              <w:rPr>
                <w:sz w:val="16"/>
              </w:rPr>
              <w:t>accessing justice through UNDP interventions. (IRRF 3.4.1 aligned)</w:t>
            </w:r>
          </w:p>
          <w:p w14:paraId="7CB4DD1A" w14:textId="77777777" w:rsidR="008B4F16" w:rsidRPr="00B14011" w:rsidRDefault="008B4F16" w:rsidP="008B4F16">
            <w:pPr>
              <w:tabs>
                <w:tab w:val="left" w:pos="900"/>
                <w:tab w:val="left" w:pos="990"/>
                <w:tab w:val="left" w:pos="8640"/>
                <w:tab w:val="left" w:pos="9180"/>
              </w:tabs>
              <w:rPr>
                <w:b/>
                <w:sz w:val="16"/>
              </w:rPr>
            </w:pPr>
            <w:r w:rsidRPr="00B14011">
              <w:rPr>
                <w:b/>
                <w:sz w:val="16"/>
              </w:rPr>
              <w:t xml:space="preserve">Baseline: </w:t>
            </w:r>
            <w:r w:rsidRPr="00B14011">
              <w:rPr>
                <w:sz w:val="16"/>
              </w:rPr>
              <w:t>5,000 (at least 50% women)</w:t>
            </w:r>
          </w:p>
          <w:p w14:paraId="41933983" w14:textId="77777777" w:rsidR="008B4F16" w:rsidRPr="00B14011" w:rsidRDefault="008B4F16" w:rsidP="008B4F16">
            <w:pPr>
              <w:tabs>
                <w:tab w:val="left" w:pos="900"/>
                <w:tab w:val="left" w:pos="990"/>
                <w:tab w:val="left" w:pos="8640"/>
                <w:tab w:val="left" w:pos="9180"/>
              </w:tabs>
              <w:rPr>
                <w:rFonts w:eastAsia="Calibri"/>
                <w:iCs/>
                <w:sz w:val="8"/>
                <w:szCs w:val="16"/>
              </w:rPr>
            </w:pPr>
            <w:r w:rsidRPr="00B14011">
              <w:rPr>
                <w:b/>
                <w:sz w:val="16"/>
              </w:rPr>
              <w:t xml:space="preserve">Target: </w:t>
            </w:r>
            <w:r w:rsidRPr="00B14011">
              <w:rPr>
                <w:sz w:val="16"/>
              </w:rPr>
              <w:t>7,000 (at least 50% women)</w:t>
            </w:r>
          </w:p>
          <w:p w14:paraId="48123539" w14:textId="7D7E0E98" w:rsidR="008B4F16" w:rsidRPr="00B14011" w:rsidRDefault="008B4F16" w:rsidP="008B4F16">
            <w:pPr>
              <w:tabs>
                <w:tab w:val="left" w:pos="900"/>
                <w:tab w:val="left" w:pos="990"/>
                <w:tab w:val="left" w:pos="8640"/>
                <w:tab w:val="left" w:pos="9180"/>
              </w:tabs>
              <w:rPr>
                <w:rFonts w:eastAsia="Calibri"/>
                <w:iCs/>
                <w:sz w:val="16"/>
                <w:szCs w:val="16"/>
              </w:rPr>
            </w:pPr>
            <w:r w:rsidRPr="00B14011">
              <w:rPr>
                <w:rFonts w:eastAsia="Calibri"/>
                <w:b/>
                <w:iCs/>
                <w:sz w:val="16"/>
                <w:szCs w:val="16"/>
              </w:rPr>
              <w:t>Source</w:t>
            </w:r>
            <w:r w:rsidRPr="00B14011">
              <w:rPr>
                <w:rFonts w:eastAsia="Calibri"/>
                <w:iCs/>
                <w:sz w:val="16"/>
                <w:szCs w:val="16"/>
              </w:rPr>
              <w:t xml:space="preserve">: UNDP project reports </w:t>
            </w:r>
          </w:p>
          <w:p w14:paraId="24DEE922" w14:textId="77C1F912" w:rsidR="001B2556" w:rsidRPr="00B14011" w:rsidRDefault="001B2556" w:rsidP="00FE5E1A">
            <w:pPr>
              <w:tabs>
                <w:tab w:val="left" w:pos="900"/>
                <w:tab w:val="left" w:pos="990"/>
                <w:tab w:val="left" w:pos="8640"/>
                <w:tab w:val="left" w:pos="9180"/>
              </w:tabs>
              <w:spacing w:after="60"/>
              <w:ind w:right="855"/>
              <w:rPr>
                <w:rFonts w:eastAsia="Calibri"/>
                <w:iCs/>
                <w:sz w:val="16"/>
                <w:szCs w:val="16"/>
              </w:rPr>
            </w:pPr>
          </w:p>
          <w:p w14:paraId="16A2910D" w14:textId="3A82CD7B" w:rsidR="00FE5E1A" w:rsidRPr="00B14011" w:rsidRDefault="00FE5E1A" w:rsidP="00FE5E1A">
            <w:pPr>
              <w:rPr>
                <w:b/>
                <w:sz w:val="16"/>
                <w:szCs w:val="16"/>
              </w:rPr>
            </w:pPr>
            <w:r w:rsidRPr="00B14011">
              <w:rPr>
                <w:rFonts w:eastAsia="Calibri"/>
                <w:b/>
                <w:iCs/>
                <w:sz w:val="16"/>
                <w:szCs w:val="16"/>
              </w:rPr>
              <w:t xml:space="preserve">Output 1.3: </w:t>
            </w:r>
            <w:r w:rsidRPr="00B14011">
              <w:rPr>
                <w:b/>
                <w:sz w:val="16"/>
                <w:szCs w:val="16"/>
              </w:rPr>
              <w:t>National and subnational level institutions have the capacity to deliver equitable, accountable and effective services.</w:t>
            </w:r>
          </w:p>
          <w:p w14:paraId="75A34F13" w14:textId="77777777" w:rsidR="00FE5E1A" w:rsidRPr="00B14011" w:rsidRDefault="00FE5E1A" w:rsidP="00FE5E1A">
            <w:pPr>
              <w:tabs>
                <w:tab w:val="left" w:pos="900"/>
                <w:tab w:val="left" w:pos="990"/>
                <w:tab w:val="left" w:pos="8640"/>
                <w:tab w:val="left" w:pos="9180"/>
              </w:tabs>
              <w:spacing w:after="60"/>
              <w:ind w:right="855"/>
              <w:rPr>
                <w:rFonts w:eastAsia="Calibri"/>
                <w:b/>
                <w:iCs/>
                <w:sz w:val="16"/>
                <w:szCs w:val="16"/>
              </w:rPr>
            </w:pPr>
          </w:p>
          <w:p w14:paraId="151D8451" w14:textId="0C09A815" w:rsidR="00FE5E1A" w:rsidRPr="00B14011" w:rsidRDefault="00FE5E1A" w:rsidP="00FE5E1A">
            <w:pPr>
              <w:autoSpaceDE w:val="0"/>
              <w:autoSpaceDN w:val="0"/>
              <w:adjustRightInd w:val="0"/>
              <w:rPr>
                <w:sz w:val="16"/>
                <w:szCs w:val="16"/>
              </w:rPr>
            </w:pPr>
            <w:r w:rsidRPr="00B14011">
              <w:rPr>
                <w:rFonts w:eastAsia="Calibri"/>
                <w:b/>
                <w:iCs/>
                <w:sz w:val="16"/>
                <w:szCs w:val="16"/>
              </w:rPr>
              <w:t xml:space="preserve">Indicator 1.3.1: </w:t>
            </w:r>
            <w:r w:rsidRPr="00B14011">
              <w:rPr>
                <w:sz w:val="16"/>
                <w:szCs w:val="16"/>
              </w:rPr>
              <w:t xml:space="preserve">Proportion of the sample population satisfied with their last experience of public services in selected </w:t>
            </w:r>
            <w:r w:rsidR="00DA693E">
              <w:rPr>
                <w:sz w:val="16"/>
                <w:szCs w:val="16"/>
              </w:rPr>
              <w:t>d</w:t>
            </w:r>
            <w:r w:rsidRPr="00B14011">
              <w:rPr>
                <w:sz w:val="16"/>
                <w:szCs w:val="16"/>
              </w:rPr>
              <w:t>istricts</w:t>
            </w:r>
            <w:r w:rsidR="00DA693E">
              <w:rPr>
                <w:sz w:val="16"/>
                <w:szCs w:val="16"/>
              </w:rPr>
              <w:t>.</w:t>
            </w:r>
            <w:r w:rsidR="005805D9" w:rsidRPr="00B14011">
              <w:rPr>
                <w:rStyle w:val="FootnoteReference"/>
                <w:sz w:val="16"/>
                <w:szCs w:val="16"/>
              </w:rPr>
              <w:footnoteReference w:id="29"/>
            </w:r>
          </w:p>
          <w:p w14:paraId="2869C702" w14:textId="397FB9A2" w:rsidR="00FE5E1A" w:rsidRPr="00B14011" w:rsidRDefault="00FE5E1A" w:rsidP="00FE5E1A">
            <w:pPr>
              <w:rPr>
                <w:sz w:val="16"/>
                <w:szCs w:val="16"/>
              </w:rPr>
            </w:pPr>
            <w:r w:rsidRPr="00B14011">
              <w:rPr>
                <w:b/>
                <w:sz w:val="16"/>
                <w:szCs w:val="16"/>
              </w:rPr>
              <w:t>Baseline (2013)</w:t>
            </w:r>
            <w:r w:rsidR="00DA693E">
              <w:rPr>
                <w:b/>
                <w:sz w:val="16"/>
                <w:szCs w:val="16"/>
              </w:rPr>
              <w:t>:</w:t>
            </w:r>
            <w:r w:rsidRPr="00B14011">
              <w:rPr>
                <w:rStyle w:val="FootnoteReference"/>
                <w:b/>
                <w:sz w:val="16"/>
                <w:szCs w:val="16"/>
              </w:rPr>
              <w:footnoteReference w:id="30"/>
            </w:r>
            <w:r w:rsidRPr="00B14011">
              <w:rPr>
                <w:sz w:val="16"/>
                <w:szCs w:val="16"/>
              </w:rPr>
              <w:t xml:space="preserve"> </w:t>
            </w:r>
            <w:r w:rsidR="00261952" w:rsidRPr="00B14011">
              <w:rPr>
                <w:sz w:val="16"/>
                <w:szCs w:val="16"/>
              </w:rPr>
              <w:t>0</w:t>
            </w:r>
            <w:r w:rsidR="00BB219B" w:rsidRPr="00B14011">
              <w:rPr>
                <w:sz w:val="16"/>
                <w:szCs w:val="16"/>
              </w:rPr>
              <w:t>.</w:t>
            </w:r>
            <w:r w:rsidRPr="00B14011">
              <w:rPr>
                <w:sz w:val="16"/>
                <w:szCs w:val="16"/>
              </w:rPr>
              <w:t>5</w:t>
            </w:r>
            <w:r w:rsidR="00BB219B" w:rsidRPr="00B14011">
              <w:rPr>
                <w:sz w:val="16"/>
                <w:szCs w:val="16"/>
              </w:rPr>
              <w:t>3</w:t>
            </w:r>
            <w:r w:rsidRPr="00B14011">
              <w:rPr>
                <w:sz w:val="16"/>
                <w:szCs w:val="16"/>
              </w:rPr>
              <w:t xml:space="preserve"> </w:t>
            </w:r>
          </w:p>
          <w:p w14:paraId="7D045850" w14:textId="27EE085F" w:rsidR="00FE5E1A" w:rsidRPr="00B14011" w:rsidRDefault="00FE5E1A" w:rsidP="00FE5E1A">
            <w:pPr>
              <w:autoSpaceDE w:val="0"/>
              <w:autoSpaceDN w:val="0"/>
              <w:adjustRightInd w:val="0"/>
              <w:rPr>
                <w:sz w:val="16"/>
                <w:szCs w:val="16"/>
              </w:rPr>
            </w:pPr>
            <w:r w:rsidRPr="00B14011">
              <w:rPr>
                <w:b/>
                <w:sz w:val="16"/>
                <w:szCs w:val="16"/>
              </w:rPr>
              <w:t>Target (2022):</w:t>
            </w:r>
            <w:r w:rsidRPr="00B14011">
              <w:rPr>
                <w:sz w:val="16"/>
                <w:szCs w:val="16"/>
              </w:rPr>
              <w:t xml:space="preserve"> </w:t>
            </w:r>
            <w:r w:rsidR="00261952" w:rsidRPr="00B14011">
              <w:rPr>
                <w:sz w:val="16"/>
                <w:szCs w:val="16"/>
              </w:rPr>
              <w:t>0</w:t>
            </w:r>
            <w:r w:rsidR="00BB219B" w:rsidRPr="00B14011">
              <w:rPr>
                <w:sz w:val="16"/>
                <w:szCs w:val="16"/>
              </w:rPr>
              <w:t>.8</w:t>
            </w:r>
          </w:p>
          <w:p w14:paraId="2ABCE4EF" w14:textId="77777777" w:rsidR="00FE5E1A" w:rsidRPr="00B14011" w:rsidRDefault="00FE5E1A" w:rsidP="00FE5E1A">
            <w:pPr>
              <w:tabs>
                <w:tab w:val="left" w:pos="900"/>
                <w:tab w:val="left" w:pos="990"/>
                <w:tab w:val="left" w:pos="8640"/>
                <w:tab w:val="left" w:pos="9180"/>
              </w:tabs>
              <w:spacing w:after="60"/>
              <w:ind w:right="855"/>
              <w:rPr>
                <w:rFonts w:eastAsia="Calibri"/>
                <w:sz w:val="16"/>
                <w:szCs w:val="16"/>
              </w:rPr>
            </w:pPr>
            <w:r w:rsidRPr="00B14011">
              <w:rPr>
                <w:rFonts w:eastAsia="Calibri"/>
                <w:b/>
                <w:sz w:val="16"/>
                <w:szCs w:val="16"/>
              </w:rPr>
              <w:t xml:space="preserve">Source: </w:t>
            </w:r>
            <w:r w:rsidRPr="00B14011">
              <w:rPr>
                <w:rFonts w:eastAsia="Calibri"/>
                <w:sz w:val="16"/>
                <w:szCs w:val="16"/>
              </w:rPr>
              <w:t xml:space="preserve">Client Satisfaction Survey, UNDP </w:t>
            </w:r>
          </w:p>
          <w:p w14:paraId="2BA75FA5" w14:textId="77777777" w:rsidR="00FE5E1A" w:rsidRPr="00B14011" w:rsidRDefault="00FE5E1A" w:rsidP="00FE5E1A">
            <w:pPr>
              <w:tabs>
                <w:tab w:val="left" w:pos="900"/>
                <w:tab w:val="left" w:pos="990"/>
                <w:tab w:val="left" w:pos="8640"/>
                <w:tab w:val="left" w:pos="9180"/>
              </w:tabs>
              <w:rPr>
                <w:rFonts w:eastAsia="Calibri"/>
                <w:iCs/>
                <w:sz w:val="16"/>
                <w:szCs w:val="16"/>
              </w:rPr>
            </w:pPr>
          </w:p>
          <w:p w14:paraId="4F0D06F8" w14:textId="1CBF510E" w:rsidR="00891241" w:rsidRPr="00B14011" w:rsidRDefault="00FE5E1A" w:rsidP="00DD28EA">
            <w:pPr>
              <w:rPr>
                <w:sz w:val="16"/>
                <w:szCs w:val="16"/>
              </w:rPr>
            </w:pPr>
            <w:r w:rsidRPr="00B14011">
              <w:rPr>
                <w:b/>
                <w:sz w:val="16"/>
                <w:szCs w:val="16"/>
              </w:rPr>
              <w:t>Indicator 1.3.2</w:t>
            </w:r>
            <w:r w:rsidRPr="00B14011">
              <w:rPr>
                <w:sz w:val="16"/>
                <w:szCs w:val="16"/>
              </w:rPr>
              <w:t xml:space="preserve">. </w:t>
            </w:r>
            <w:r w:rsidR="008F7AE6" w:rsidRPr="00B14011">
              <w:rPr>
                <w:rStyle w:val="s1"/>
                <w:sz w:val="16"/>
                <w:szCs w:val="16"/>
              </w:rPr>
              <w:t>Number of</w:t>
            </w:r>
            <w:r w:rsidR="00A67A58" w:rsidRPr="00B14011">
              <w:rPr>
                <w:rStyle w:val="s1"/>
                <w:sz w:val="16"/>
                <w:szCs w:val="16"/>
              </w:rPr>
              <w:t xml:space="preserve"> people </w:t>
            </w:r>
            <w:r w:rsidR="00891241" w:rsidRPr="00B14011">
              <w:rPr>
                <w:rStyle w:val="s1"/>
                <w:sz w:val="16"/>
                <w:szCs w:val="16"/>
              </w:rPr>
              <w:t>(women and youth) supported for</w:t>
            </w:r>
            <w:r w:rsidR="00891241" w:rsidRPr="00B14011">
              <w:rPr>
                <w:sz w:val="16"/>
                <w:szCs w:val="16"/>
              </w:rPr>
              <w:t xml:space="preserve"> </w:t>
            </w:r>
            <w:r w:rsidR="003F78F2" w:rsidRPr="00B14011">
              <w:rPr>
                <w:sz w:val="16"/>
                <w:szCs w:val="16"/>
              </w:rPr>
              <w:t xml:space="preserve">strengthened livelihoods through </w:t>
            </w:r>
            <w:r w:rsidR="00E5131D" w:rsidRPr="00B14011">
              <w:rPr>
                <w:rStyle w:val="s1"/>
                <w:sz w:val="16"/>
                <w:szCs w:val="16"/>
              </w:rPr>
              <w:t>entrepreneurship</w:t>
            </w:r>
            <w:r w:rsidR="00891241" w:rsidRPr="00B14011">
              <w:rPr>
                <w:rStyle w:val="s1"/>
                <w:sz w:val="16"/>
                <w:szCs w:val="16"/>
              </w:rPr>
              <w:t xml:space="preserve">, skill training, and business support </w:t>
            </w:r>
            <w:r w:rsidR="00B51E95" w:rsidRPr="00B14011">
              <w:rPr>
                <w:rStyle w:val="s1"/>
                <w:sz w:val="16"/>
                <w:szCs w:val="16"/>
              </w:rPr>
              <w:t xml:space="preserve">services through </w:t>
            </w:r>
            <w:r w:rsidR="00B26059" w:rsidRPr="00B14011">
              <w:rPr>
                <w:rStyle w:val="s1"/>
                <w:sz w:val="16"/>
                <w:szCs w:val="16"/>
              </w:rPr>
              <w:t xml:space="preserve">the </w:t>
            </w:r>
            <w:r w:rsidR="00B51E95" w:rsidRPr="00B14011">
              <w:rPr>
                <w:rStyle w:val="s1"/>
                <w:sz w:val="16"/>
                <w:szCs w:val="16"/>
              </w:rPr>
              <w:t>strengthened</w:t>
            </w:r>
            <w:r w:rsidR="00AC10FE" w:rsidRPr="00B14011">
              <w:rPr>
                <w:rStyle w:val="s1"/>
                <w:sz w:val="16"/>
                <w:szCs w:val="16"/>
              </w:rPr>
              <w:t xml:space="preserve"> capacities of</w:t>
            </w:r>
            <w:r w:rsidR="00891241" w:rsidRPr="00B14011">
              <w:rPr>
                <w:rStyle w:val="s1"/>
                <w:sz w:val="16"/>
                <w:szCs w:val="16"/>
              </w:rPr>
              <w:t xml:space="preserve"> </w:t>
            </w:r>
            <w:r w:rsidR="00DA693E">
              <w:rPr>
                <w:rStyle w:val="s1"/>
                <w:sz w:val="16"/>
                <w:szCs w:val="16"/>
              </w:rPr>
              <w:t>e</w:t>
            </w:r>
            <w:r w:rsidR="00891241" w:rsidRPr="00B14011">
              <w:rPr>
                <w:rStyle w:val="s1"/>
                <w:sz w:val="16"/>
                <w:szCs w:val="16"/>
              </w:rPr>
              <w:t xml:space="preserve">conomic </w:t>
            </w:r>
            <w:r w:rsidR="00DA693E">
              <w:rPr>
                <w:rStyle w:val="s1"/>
                <w:sz w:val="16"/>
                <w:szCs w:val="16"/>
              </w:rPr>
              <w:t>a</w:t>
            </w:r>
            <w:r w:rsidR="00891241" w:rsidRPr="00B14011">
              <w:rPr>
                <w:rStyle w:val="s1"/>
                <w:sz w:val="16"/>
                <w:szCs w:val="16"/>
              </w:rPr>
              <w:t xml:space="preserve">dvisory </w:t>
            </w:r>
            <w:r w:rsidR="00DA693E">
              <w:rPr>
                <w:rStyle w:val="s1"/>
                <w:sz w:val="16"/>
                <w:szCs w:val="16"/>
              </w:rPr>
              <w:t>s</w:t>
            </w:r>
            <w:r w:rsidR="00891241" w:rsidRPr="00B14011">
              <w:rPr>
                <w:rStyle w:val="s1"/>
                <w:sz w:val="16"/>
                <w:szCs w:val="16"/>
              </w:rPr>
              <w:t xml:space="preserve">ervices </w:t>
            </w:r>
            <w:r w:rsidR="00DA693E">
              <w:rPr>
                <w:rStyle w:val="s1"/>
                <w:sz w:val="16"/>
                <w:szCs w:val="16"/>
              </w:rPr>
              <w:t>u</w:t>
            </w:r>
            <w:r w:rsidR="00891241" w:rsidRPr="00B14011">
              <w:rPr>
                <w:rStyle w:val="s1"/>
                <w:sz w:val="16"/>
                <w:szCs w:val="16"/>
              </w:rPr>
              <w:t>nits.</w:t>
            </w:r>
            <w:r w:rsidR="00891241" w:rsidRPr="00B14011">
              <w:rPr>
                <w:sz w:val="16"/>
                <w:szCs w:val="16"/>
              </w:rPr>
              <w:t xml:space="preserve"> </w:t>
            </w:r>
            <w:r w:rsidR="00B0205C" w:rsidRPr="00B14011">
              <w:rPr>
                <w:sz w:val="16"/>
                <w:szCs w:val="16"/>
              </w:rPr>
              <w:t>(IRRF 1.1.1B aligned)</w:t>
            </w:r>
          </w:p>
          <w:p w14:paraId="41D1439E" w14:textId="57984505" w:rsidR="00891241" w:rsidRPr="00B14011" w:rsidRDefault="00891241" w:rsidP="00891241">
            <w:pPr>
              <w:rPr>
                <w:rStyle w:val="s1"/>
                <w:sz w:val="16"/>
                <w:szCs w:val="16"/>
              </w:rPr>
            </w:pPr>
            <w:r w:rsidRPr="00B14011">
              <w:rPr>
                <w:rStyle w:val="s1"/>
                <w:b/>
                <w:sz w:val="16"/>
                <w:szCs w:val="16"/>
              </w:rPr>
              <w:t>Baseline</w:t>
            </w:r>
            <w:r w:rsidR="00C62EDF" w:rsidRPr="00B14011">
              <w:rPr>
                <w:rStyle w:val="s1"/>
                <w:b/>
                <w:sz w:val="16"/>
                <w:szCs w:val="16"/>
              </w:rPr>
              <w:t xml:space="preserve"> (2016)</w:t>
            </w:r>
            <w:r w:rsidRPr="00B14011">
              <w:rPr>
                <w:rStyle w:val="s1"/>
                <w:b/>
                <w:sz w:val="16"/>
                <w:szCs w:val="16"/>
              </w:rPr>
              <w:t>:</w:t>
            </w:r>
            <w:r w:rsidRPr="00B14011">
              <w:rPr>
                <w:rStyle w:val="s1"/>
                <w:sz w:val="16"/>
                <w:szCs w:val="16"/>
              </w:rPr>
              <w:t xml:space="preserve"> 4</w:t>
            </w:r>
            <w:r w:rsidR="00DA693E">
              <w:rPr>
                <w:rStyle w:val="s1"/>
                <w:sz w:val="16"/>
                <w:szCs w:val="16"/>
              </w:rPr>
              <w:t>,</w:t>
            </w:r>
            <w:r w:rsidRPr="00B14011">
              <w:rPr>
                <w:rStyle w:val="s1"/>
                <w:sz w:val="16"/>
                <w:szCs w:val="16"/>
              </w:rPr>
              <w:t>5</w:t>
            </w:r>
            <w:r w:rsidR="00AC272F" w:rsidRPr="00B14011">
              <w:rPr>
                <w:rStyle w:val="s1"/>
                <w:sz w:val="16"/>
                <w:szCs w:val="16"/>
              </w:rPr>
              <w:t>00</w:t>
            </w:r>
            <w:r w:rsidRPr="00B14011">
              <w:rPr>
                <w:rStyle w:val="s1"/>
                <w:sz w:val="16"/>
                <w:szCs w:val="16"/>
              </w:rPr>
              <w:t xml:space="preserve"> </w:t>
            </w:r>
            <w:r w:rsidR="000B57C3" w:rsidRPr="00B14011">
              <w:rPr>
                <w:rStyle w:val="s1"/>
                <w:sz w:val="16"/>
                <w:szCs w:val="16"/>
              </w:rPr>
              <w:t>(men 1990; 2</w:t>
            </w:r>
            <w:r w:rsidR="00845EB7">
              <w:rPr>
                <w:rStyle w:val="s1"/>
                <w:sz w:val="16"/>
                <w:szCs w:val="16"/>
              </w:rPr>
              <w:t>,</w:t>
            </w:r>
            <w:r w:rsidR="000B57C3" w:rsidRPr="00B14011">
              <w:rPr>
                <w:rStyle w:val="s1"/>
                <w:sz w:val="16"/>
                <w:szCs w:val="16"/>
              </w:rPr>
              <w:t>600 women)</w:t>
            </w:r>
            <w:r w:rsidR="00845EB7">
              <w:rPr>
                <w:rStyle w:val="s1"/>
                <w:sz w:val="16"/>
                <w:szCs w:val="16"/>
              </w:rPr>
              <w:t>,</w:t>
            </w:r>
            <w:r w:rsidR="000B57C3" w:rsidRPr="00B14011">
              <w:rPr>
                <w:rStyle w:val="s1"/>
                <w:sz w:val="16"/>
                <w:szCs w:val="16"/>
              </w:rPr>
              <w:t xml:space="preserve"> including </w:t>
            </w:r>
            <w:r w:rsidRPr="00B14011">
              <w:rPr>
                <w:rStyle w:val="s1"/>
                <w:sz w:val="16"/>
                <w:szCs w:val="16"/>
              </w:rPr>
              <w:t>1</w:t>
            </w:r>
            <w:r w:rsidR="00845EB7">
              <w:rPr>
                <w:rStyle w:val="s1"/>
                <w:sz w:val="16"/>
                <w:szCs w:val="16"/>
              </w:rPr>
              <w:t>,</w:t>
            </w:r>
            <w:r w:rsidRPr="00B14011">
              <w:rPr>
                <w:rStyle w:val="s1"/>
                <w:sz w:val="16"/>
                <w:szCs w:val="16"/>
              </w:rPr>
              <w:t>60</w:t>
            </w:r>
            <w:r w:rsidR="000B57C3" w:rsidRPr="00B14011">
              <w:rPr>
                <w:rStyle w:val="s1"/>
                <w:sz w:val="16"/>
                <w:szCs w:val="16"/>
              </w:rPr>
              <w:t>0</w:t>
            </w:r>
            <w:r w:rsidRPr="00B14011">
              <w:rPr>
                <w:rStyle w:val="s1"/>
                <w:sz w:val="16"/>
                <w:szCs w:val="16"/>
              </w:rPr>
              <w:t xml:space="preserve"> youth </w:t>
            </w:r>
            <w:r w:rsidR="00C62EDF" w:rsidRPr="00B14011">
              <w:rPr>
                <w:rStyle w:val="s1"/>
                <w:sz w:val="16"/>
                <w:szCs w:val="16"/>
              </w:rPr>
              <w:t>(</w:t>
            </w:r>
            <w:r w:rsidR="001F2704" w:rsidRPr="00B14011">
              <w:rPr>
                <w:rStyle w:val="s1"/>
                <w:sz w:val="16"/>
                <w:szCs w:val="16"/>
              </w:rPr>
              <w:t>960</w:t>
            </w:r>
            <w:r w:rsidR="00C62EDF" w:rsidRPr="00B14011">
              <w:rPr>
                <w:rStyle w:val="s1"/>
                <w:sz w:val="16"/>
                <w:szCs w:val="16"/>
              </w:rPr>
              <w:t xml:space="preserve"> women; </w:t>
            </w:r>
            <w:r w:rsidR="001F2704" w:rsidRPr="00B14011">
              <w:rPr>
                <w:rStyle w:val="s1"/>
                <w:sz w:val="16"/>
                <w:szCs w:val="16"/>
              </w:rPr>
              <w:t>640</w:t>
            </w:r>
            <w:r w:rsidR="00C62EDF" w:rsidRPr="00B14011">
              <w:rPr>
                <w:rStyle w:val="s1"/>
                <w:sz w:val="16"/>
                <w:szCs w:val="16"/>
              </w:rPr>
              <w:t xml:space="preserve"> men)</w:t>
            </w:r>
          </w:p>
          <w:p w14:paraId="141BD0FA" w14:textId="079CC6D5" w:rsidR="00891241" w:rsidRPr="00B14011" w:rsidRDefault="00891241" w:rsidP="00891241">
            <w:pPr>
              <w:pStyle w:val="CommentText"/>
              <w:rPr>
                <w:sz w:val="16"/>
                <w:szCs w:val="16"/>
              </w:rPr>
            </w:pPr>
            <w:r w:rsidRPr="00B14011">
              <w:rPr>
                <w:b/>
                <w:sz w:val="16"/>
                <w:szCs w:val="16"/>
              </w:rPr>
              <w:t>Target</w:t>
            </w:r>
            <w:r w:rsidR="00C62EDF" w:rsidRPr="00B14011">
              <w:rPr>
                <w:b/>
                <w:sz w:val="16"/>
                <w:szCs w:val="16"/>
              </w:rPr>
              <w:t xml:space="preserve"> (2022)</w:t>
            </w:r>
            <w:r w:rsidRPr="00B14011">
              <w:rPr>
                <w:sz w:val="16"/>
                <w:szCs w:val="16"/>
              </w:rPr>
              <w:t>: 30</w:t>
            </w:r>
            <w:r w:rsidR="000B57C3" w:rsidRPr="00B14011">
              <w:rPr>
                <w:sz w:val="16"/>
                <w:szCs w:val="16"/>
              </w:rPr>
              <w:t>,</w:t>
            </w:r>
            <w:r w:rsidRPr="00B14011">
              <w:rPr>
                <w:sz w:val="16"/>
                <w:szCs w:val="16"/>
              </w:rPr>
              <w:t>000</w:t>
            </w:r>
            <w:r w:rsidR="000B57C3" w:rsidRPr="00B14011">
              <w:rPr>
                <w:sz w:val="16"/>
                <w:szCs w:val="16"/>
              </w:rPr>
              <w:t xml:space="preserve"> (12,000 men; 18,000 women)</w:t>
            </w:r>
            <w:r w:rsidR="00845EB7">
              <w:rPr>
                <w:sz w:val="16"/>
                <w:szCs w:val="16"/>
              </w:rPr>
              <w:t>,</w:t>
            </w:r>
            <w:r w:rsidR="000B57C3" w:rsidRPr="00B14011">
              <w:rPr>
                <w:sz w:val="16"/>
                <w:szCs w:val="16"/>
              </w:rPr>
              <w:t xml:space="preserve"> </w:t>
            </w:r>
            <w:r w:rsidRPr="00B14011">
              <w:rPr>
                <w:sz w:val="16"/>
                <w:szCs w:val="16"/>
              </w:rPr>
              <w:t xml:space="preserve">including 12,000 youth </w:t>
            </w:r>
          </w:p>
          <w:p w14:paraId="1AC3FC4D" w14:textId="7A5EBAFA" w:rsidR="008450BF" w:rsidRPr="00B14011" w:rsidRDefault="000B57C3" w:rsidP="00722FA0">
            <w:pPr>
              <w:pStyle w:val="CommentText"/>
              <w:rPr>
                <w:sz w:val="16"/>
                <w:szCs w:val="16"/>
              </w:rPr>
            </w:pPr>
            <w:r w:rsidRPr="00B14011">
              <w:rPr>
                <w:rStyle w:val="s1"/>
                <w:b/>
                <w:sz w:val="16"/>
                <w:szCs w:val="16"/>
              </w:rPr>
              <w:t>Source:</w:t>
            </w:r>
            <w:r w:rsidRPr="00B14011">
              <w:rPr>
                <w:rStyle w:val="s1"/>
                <w:sz w:val="16"/>
                <w:szCs w:val="16"/>
              </w:rPr>
              <w:t xml:space="preserve"> UNDP project reports</w:t>
            </w:r>
          </w:p>
        </w:tc>
        <w:tc>
          <w:tcPr>
            <w:tcW w:w="1161" w:type="pct"/>
            <w:gridSpan w:val="2"/>
          </w:tcPr>
          <w:p w14:paraId="6BB2D5CF" w14:textId="77777777" w:rsidR="00C83EF8" w:rsidRPr="00B14011" w:rsidRDefault="00C83EF8" w:rsidP="00FE5E1A">
            <w:pPr>
              <w:rPr>
                <w:sz w:val="16"/>
                <w:szCs w:val="16"/>
              </w:rPr>
            </w:pPr>
            <w:r w:rsidRPr="00B14011">
              <w:rPr>
                <w:sz w:val="16"/>
                <w:szCs w:val="16"/>
              </w:rPr>
              <w:lastRenderedPageBreak/>
              <w:t>Presidential Secretariat</w:t>
            </w:r>
          </w:p>
          <w:p w14:paraId="46C15D1C" w14:textId="77777777" w:rsidR="00FE5E1A" w:rsidRPr="00B14011" w:rsidRDefault="00FE5E1A" w:rsidP="00FE5E1A">
            <w:pPr>
              <w:rPr>
                <w:sz w:val="16"/>
                <w:szCs w:val="16"/>
              </w:rPr>
            </w:pPr>
            <w:r w:rsidRPr="00B14011">
              <w:rPr>
                <w:sz w:val="16"/>
                <w:szCs w:val="16"/>
              </w:rPr>
              <w:t xml:space="preserve">Prime Minister’s Office </w:t>
            </w:r>
          </w:p>
          <w:p w14:paraId="031DDF35" w14:textId="77777777" w:rsidR="00FE5E1A" w:rsidRPr="00B14011" w:rsidRDefault="00FE5E1A" w:rsidP="00FE5E1A">
            <w:pPr>
              <w:rPr>
                <w:sz w:val="16"/>
                <w:szCs w:val="16"/>
              </w:rPr>
            </w:pPr>
            <w:r w:rsidRPr="00B14011">
              <w:rPr>
                <w:sz w:val="16"/>
                <w:szCs w:val="16"/>
              </w:rPr>
              <w:t>Parliament</w:t>
            </w:r>
          </w:p>
          <w:p w14:paraId="2C08942D" w14:textId="77777777" w:rsidR="00FE5E1A" w:rsidRPr="00B14011" w:rsidRDefault="00FE5E1A" w:rsidP="00FE5E1A">
            <w:pPr>
              <w:rPr>
                <w:sz w:val="16"/>
                <w:szCs w:val="16"/>
              </w:rPr>
            </w:pPr>
            <w:r w:rsidRPr="00B14011">
              <w:rPr>
                <w:sz w:val="16"/>
                <w:szCs w:val="16"/>
              </w:rPr>
              <w:t>Human Rights Commission</w:t>
            </w:r>
          </w:p>
          <w:p w14:paraId="6029445C" w14:textId="77777777" w:rsidR="00FE5E1A" w:rsidRPr="00B14011" w:rsidRDefault="00FE5E1A" w:rsidP="00FE5E1A">
            <w:pPr>
              <w:rPr>
                <w:sz w:val="16"/>
                <w:szCs w:val="16"/>
              </w:rPr>
            </w:pPr>
            <w:r w:rsidRPr="00B14011">
              <w:rPr>
                <w:sz w:val="16"/>
                <w:szCs w:val="16"/>
              </w:rPr>
              <w:t>National Police Commission</w:t>
            </w:r>
          </w:p>
          <w:p w14:paraId="2A306F3D" w14:textId="77777777" w:rsidR="00FE5E1A" w:rsidRPr="00B14011" w:rsidRDefault="00FE5E1A" w:rsidP="00FE5E1A">
            <w:pPr>
              <w:rPr>
                <w:sz w:val="16"/>
                <w:szCs w:val="16"/>
              </w:rPr>
            </w:pPr>
            <w:r w:rsidRPr="00B14011">
              <w:rPr>
                <w:sz w:val="16"/>
                <w:szCs w:val="16"/>
              </w:rPr>
              <w:t>Right to Information Commission</w:t>
            </w:r>
          </w:p>
          <w:p w14:paraId="1F284DA1" w14:textId="77777777" w:rsidR="00FE5E1A" w:rsidRPr="00B14011" w:rsidRDefault="00FE5E1A" w:rsidP="00FE5E1A">
            <w:pPr>
              <w:rPr>
                <w:sz w:val="16"/>
                <w:szCs w:val="16"/>
              </w:rPr>
            </w:pPr>
            <w:r w:rsidRPr="00B14011">
              <w:rPr>
                <w:sz w:val="16"/>
                <w:szCs w:val="16"/>
              </w:rPr>
              <w:t>Ministry of Home Affairs</w:t>
            </w:r>
          </w:p>
          <w:p w14:paraId="6836E47D" w14:textId="77777777" w:rsidR="00FE5E1A" w:rsidRPr="00B14011" w:rsidRDefault="00FE5E1A" w:rsidP="00FE5E1A">
            <w:pPr>
              <w:rPr>
                <w:sz w:val="16"/>
                <w:szCs w:val="16"/>
              </w:rPr>
            </w:pPr>
            <w:r w:rsidRPr="00B14011">
              <w:rPr>
                <w:sz w:val="16"/>
                <w:szCs w:val="16"/>
              </w:rPr>
              <w:t>Ministry of Public Administration</w:t>
            </w:r>
          </w:p>
          <w:p w14:paraId="1CE888CC" w14:textId="77777777" w:rsidR="00FE5E1A" w:rsidRPr="00B14011" w:rsidRDefault="00FE5E1A" w:rsidP="00FE5E1A">
            <w:pPr>
              <w:rPr>
                <w:sz w:val="16"/>
                <w:szCs w:val="16"/>
              </w:rPr>
            </w:pPr>
            <w:r w:rsidRPr="00B14011">
              <w:rPr>
                <w:sz w:val="16"/>
                <w:szCs w:val="16"/>
              </w:rPr>
              <w:t>Ministry of Provincial Councils and Local Government</w:t>
            </w:r>
          </w:p>
          <w:p w14:paraId="1FD4B77A" w14:textId="77777777" w:rsidR="00FE5E1A" w:rsidRPr="00B14011" w:rsidRDefault="00FE5E1A" w:rsidP="00FE5E1A">
            <w:pPr>
              <w:rPr>
                <w:sz w:val="16"/>
                <w:szCs w:val="16"/>
              </w:rPr>
            </w:pPr>
            <w:r w:rsidRPr="00B14011">
              <w:rPr>
                <w:sz w:val="16"/>
                <w:szCs w:val="16"/>
              </w:rPr>
              <w:t>Ministry of Finance</w:t>
            </w:r>
          </w:p>
          <w:p w14:paraId="3E8F9418" w14:textId="77777777" w:rsidR="00FE5E1A" w:rsidRPr="00B14011" w:rsidRDefault="00FE5E1A" w:rsidP="00FE5E1A">
            <w:pPr>
              <w:rPr>
                <w:sz w:val="16"/>
                <w:szCs w:val="16"/>
              </w:rPr>
            </w:pPr>
            <w:r w:rsidRPr="00B14011">
              <w:rPr>
                <w:sz w:val="16"/>
                <w:szCs w:val="16"/>
              </w:rPr>
              <w:t>Ministry of Women</w:t>
            </w:r>
          </w:p>
          <w:p w14:paraId="25312F37" w14:textId="77777777" w:rsidR="00FE5E1A" w:rsidRPr="00B14011" w:rsidRDefault="00FE5E1A" w:rsidP="00FE5E1A">
            <w:pPr>
              <w:rPr>
                <w:sz w:val="16"/>
                <w:szCs w:val="16"/>
              </w:rPr>
            </w:pPr>
            <w:r w:rsidRPr="00B14011">
              <w:rPr>
                <w:sz w:val="16"/>
                <w:szCs w:val="16"/>
              </w:rPr>
              <w:t xml:space="preserve">Ministry of National Co-existence, Dialogue and Official Languages </w:t>
            </w:r>
          </w:p>
          <w:p w14:paraId="6AED2A4B" w14:textId="77777777" w:rsidR="00FE5E1A" w:rsidRPr="00B14011" w:rsidRDefault="00FE5E1A" w:rsidP="00FE5E1A">
            <w:pPr>
              <w:rPr>
                <w:sz w:val="16"/>
                <w:szCs w:val="16"/>
              </w:rPr>
            </w:pPr>
            <w:r w:rsidRPr="00B14011">
              <w:rPr>
                <w:sz w:val="16"/>
                <w:szCs w:val="16"/>
              </w:rPr>
              <w:t xml:space="preserve">Ministry of National Policies and Economic </w:t>
            </w:r>
          </w:p>
          <w:p w14:paraId="277C6CDE" w14:textId="77777777" w:rsidR="00FE5E1A" w:rsidRPr="00B14011" w:rsidRDefault="00FE5E1A" w:rsidP="00FE5E1A">
            <w:pPr>
              <w:rPr>
                <w:sz w:val="16"/>
                <w:szCs w:val="16"/>
              </w:rPr>
            </w:pPr>
            <w:r w:rsidRPr="00B14011">
              <w:rPr>
                <w:sz w:val="16"/>
                <w:szCs w:val="16"/>
              </w:rPr>
              <w:t>Affairs</w:t>
            </w:r>
          </w:p>
          <w:p w14:paraId="6B695098" w14:textId="77777777" w:rsidR="00FE5E1A" w:rsidRPr="00B14011" w:rsidRDefault="00FE5E1A" w:rsidP="00FE5E1A">
            <w:pPr>
              <w:rPr>
                <w:sz w:val="16"/>
                <w:szCs w:val="16"/>
              </w:rPr>
            </w:pPr>
            <w:r w:rsidRPr="00B14011">
              <w:rPr>
                <w:sz w:val="16"/>
                <w:szCs w:val="16"/>
              </w:rPr>
              <w:t xml:space="preserve">Ministry of National Integration and Reconciliation </w:t>
            </w:r>
          </w:p>
          <w:p w14:paraId="4245D027" w14:textId="1A1682C5" w:rsidR="00FE5E1A" w:rsidRPr="00B14011" w:rsidRDefault="00FE5E1A" w:rsidP="00FE5E1A">
            <w:pPr>
              <w:rPr>
                <w:sz w:val="16"/>
                <w:szCs w:val="16"/>
              </w:rPr>
            </w:pPr>
            <w:r w:rsidRPr="00B14011">
              <w:rPr>
                <w:sz w:val="16"/>
                <w:szCs w:val="16"/>
              </w:rPr>
              <w:t xml:space="preserve">Ministry of Sustainable Development </w:t>
            </w:r>
          </w:p>
          <w:p w14:paraId="6CA391D6" w14:textId="0090AB38" w:rsidR="00FB2AB5" w:rsidRPr="00B14011" w:rsidRDefault="00FB2AB5" w:rsidP="00FE5E1A">
            <w:pPr>
              <w:rPr>
                <w:sz w:val="16"/>
                <w:szCs w:val="16"/>
              </w:rPr>
            </w:pPr>
            <w:r w:rsidRPr="00B14011">
              <w:rPr>
                <w:sz w:val="16"/>
                <w:szCs w:val="16"/>
              </w:rPr>
              <w:t>Ministry of Development Strategies and International Trade</w:t>
            </w:r>
          </w:p>
          <w:p w14:paraId="0B4F489B" w14:textId="77777777" w:rsidR="005A338D" w:rsidRPr="00B14011" w:rsidRDefault="005A338D" w:rsidP="005A338D">
            <w:pPr>
              <w:rPr>
                <w:sz w:val="16"/>
                <w:szCs w:val="16"/>
              </w:rPr>
            </w:pPr>
            <w:r w:rsidRPr="00B14011">
              <w:rPr>
                <w:sz w:val="16"/>
                <w:szCs w:val="16"/>
              </w:rPr>
              <w:t xml:space="preserve">Ministry of Law and Order </w:t>
            </w:r>
          </w:p>
          <w:p w14:paraId="7BA10D04" w14:textId="77777777" w:rsidR="005A338D" w:rsidRPr="00B14011" w:rsidRDefault="005A338D" w:rsidP="005A338D">
            <w:pPr>
              <w:rPr>
                <w:sz w:val="16"/>
                <w:szCs w:val="16"/>
              </w:rPr>
            </w:pPr>
            <w:r w:rsidRPr="00B14011">
              <w:rPr>
                <w:sz w:val="16"/>
                <w:szCs w:val="16"/>
              </w:rPr>
              <w:t>Ministry of Foreign Affairs</w:t>
            </w:r>
          </w:p>
          <w:p w14:paraId="6FFAB933" w14:textId="3F02DCBE" w:rsidR="00CA0E68" w:rsidRPr="00B14011" w:rsidRDefault="00CA0E68" w:rsidP="005A338D">
            <w:pPr>
              <w:rPr>
                <w:sz w:val="16"/>
                <w:szCs w:val="16"/>
              </w:rPr>
            </w:pPr>
            <w:r w:rsidRPr="00B14011">
              <w:rPr>
                <w:sz w:val="16"/>
                <w:szCs w:val="16"/>
              </w:rPr>
              <w:t>U</w:t>
            </w:r>
            <w:r w:rsidR="00DA693E">
              <w:rPr>
                <w:sz w:val="16"/>
                <w:szCs w:val="16"/>
              </w:rPr>
              <w:t xml:space="preserve">nited </w:t>
            </w:r>
            <w:r w:rsidRPr="00B14011">
              <w:rPr>
                <w:sz w:val="16"/>
                <w:szCs w:val="16"/>
              </w:rPr>
              <w:t>N</w:t>
            </w:r>
            <w:r w:rsidR="00DA693E">
              <w:rPr>
                <w:sz w:val="16"/>
                <w:szCs w:val="16"/>
              </w:rPr>
              <w:t>ation</w:t>
            </w:r>
            <w:r w:rsidRPr="00B14011">
              <w:rPr>
                <w:sz w:val="16"/>
                <w:szCs w:val="16"/>
              </w:rPr>
              <w:t xml:space="preserve"> Peacebuilding Fund</w:t>
            </w:r>
          </w:p>
          <w:p w14:paraId="58DB2AB0" w14:textId="72954EC3" w:rsidR="00CA0E68" w:rsidRPr="00B14011" w:rsidRDefault="00CA0E68" w:rsidP="005A338D">
            <w:pPr>
              <w:rPr>
                <w:sz w:val="16"/>
                <w:szCs w:val="16"/>
              </w:rPr>
            </w:pPr>
            <w:r w:rsidRPr="00B14011">
              <w:rPr>
                <w:sz w:val="16"/>
                <w:szCs w:val="16"/>
              </w:rPr>
              <w:t>UN</w:t>
            </w:r>
            <w:r w:rsidR="00DA693E">
              <w:rPr>
                <w:sz w:val="16"/>
                <w:szCs w:val="16"/>
              </w:rPr>
              <w:t>-</w:t>
            </w:r>
            <w:r w:rsidRPr="00B14011">
              <w:rPr>
                <w:sz w:val="16"/>
                <w:szCs w:val="16"/>
              </w:rPr>
              <w:t>Women</w:t>
            </w:r>
          </w:p>
          <w:p w14:paraId="6C7D40D2" w14:textId="2CE1818F" w:rsidR="00FE5E1A" w:rsidRPr="00B14011" w:rsidRDefault="00CA0E68" w:rsidP="00FE5E1A">
            <w:pPr>
              <w:rPr>
                <w:sz w:val="16"/>
                <w:szCs w:val="16"/>
              </w:rPr>
            </w:pPr>
            <w:r w:rsidRPr="00B14011">
              <w:rPr>
                <w:sz w:val="16"/>
                <w:szCs w:val="16"/>
              </w:rPr>
              <w:t>OHCHR</w:t>
            </w:r>
          </w:p>
          <w:p w14:paraId="75AA57E0" w14:textId="7265BC93" w:rsidR="00CA0E68" w:rsidRPr="00B14011" w:rsidRDefault="00DA693E" w:rsidP="00FE5E1A">
            <w:pPr>
              <w:rPr>
                <w:sz w:val="16"/>
                <w:szCs w:val="16"/>
              </w:rPr>
            </w:pPr>
            <w:r>
              <w:rPr>
                <w:sz w:val="16"/>
                <w:szCs w:val="16"/>
              </w:rPr>
              <w:lastRenderedPageBreak/>
              <w:t xml:space="preserve">South Asian Association for Regional Cooperation </w:t>
            </w:r>
            <w:r w:rsidR="00CA0E68" w:rsidRPr="00B14011">
              <w:rPr>
                <w:sz w:val="16"/>
                <w:szCs w:val="16"/>
              </w:rPr>
              <w:t>Fund</w:t>
            </w:r>
          </w:p>
          <w:p w14:paraId="6AC92998" w14:textId="3841CBC9" w:rsidR="0020511F" w:rsidRPr="00B14011" w:rsidRDefault="0020511F" w:rsidP="00FE5E1A">
            <w:pPr>
              <w:rPr>
                <w:sz w:val="16"/>
                <w:szCs w:val="16"/>
              </w:rPr>
            </w:pPr>
            <w:r w:rsidRPr="00B14011">
              <w:rPr>
                <w:sz w:val="16"/>
                <w:szCs w:val="16"/>
              </w:rPr>
              <w:t>E</w:t>
            </w:r>
            <w:r w:rsidR="00DA693E">
              <w:rPr>
                <w:sz w:val="16"/>
                <w:szCs w:val="16"/>
              </w:rPr>
              <w:t xml:space="preserve">uropean </w:t>
            </w:r>
            <w:r w:rsidRPr="00B14011">
              <w:rPr>
                <w:sz w:val="16"/>
                <w:szCs w:val="16"/>
              </w:rPr>
              <w:t>U</w:t>
            </w:r>
            <w:r w:rsidR="00DA693E">
              <w:rPr>
                <w:sz w:val="16"/>
                <w:szCs w:val="16"/>
              </w:rPr>
              <w:t>nion</w:t>
            </w:r>
          </w:p>
          <w:p w14:paraId="424D9425" w14:textId="77777777" w:rsidR="0020511F" w:rsidRPr="00B14011" w:rsidRDefault="0020511F" w:rsidP="00FE5E1A">
            <w:pPr>
              <w:rPr>
                <w:sz w:val="16"/>
                <w:szCs w:val="16"/>
              </w:rPr>
            </w:pPr>
            <w:r w:rsidRPr="00B14011">
              <w:rPr>
                <w:sz w:val="16"/>
                <w:szCs w:val="16"/>
              </w:rPr>
              <w:t>Norway</w:t>
            </w:r>
          </w:p>
          <w:p w14:paraId="6C9584F7" w14:textId="0C807759" w:rsidR="0020511F" w:rsidRPr="00B14011" w:rsidRDefault="0020511F" w:rsidP="00FE5E1A">
            <w:pPr>
              <w:rPr>
                <w:sz w:val="16"/>
                <w:szCs w:val="16"/>
              </w:rPr>
            </w:pPr>
            <w:r w:rsidRPr="00B14011">
              <w:rPr>
                <w:sz w:val="16"/>
                <w:szCs w:val="16"/>
              </w:rPr>
              <w:t>U</w:t>
            </w:r>
            <w:r w:rsidR="00DA693E">
              <w:rPr>
                <w:sz w:val="16"/>
                <w:szCs w:val="16"/>
              </w:rPr>
              <w:t xml:space="preserve">nited </w:t>
            </w:r>
            <w:r w:rsidRPr="00B14011">
              <w:rPr>
                <w:sz w:val="16"/>
                <w:szCs w:val="16"/>
              </w:rPr>
              <w:t>K</w:t>
            </w:r>
            <w:r w:rsidR="00DA693E">
              <w:rPr>
                <w:sz w:val="16"/>
                <w:szCs w:val="16"/>
              </w:rPr>
              <w:t>ingdom</w:t>
            </w:r>
          </w:p>
          <w:p w14:paraId="1C2CA78F" w14:textId="77777777" w:rsidR="00FE5E1A" w:rsidRPr="00B14011" w:rsidRDefault="00FE5E1A" w:rsidP="00FE5E1A">
            <w:pPr>
              <w:rPr>
                <w:sz w:val="16"/>
                <w:szCs w:val="16"/>
              </w:rPr>
            </w:pPr>
            <w:r w:rsidRPr="00B14011">
              <w:rPr>
                <w:sz w:val="16"/>
                <w:szCs w:val="16"/>
              </w:rPr>
              <w:t>Chamber</w:t>
            </w:r>
            <w:r w:rsidR="00474E49" w:rsidRPr="00B14011">
              <w:rPr>
                <w:sz w:val="16"/>
                <w:szCs w:val="16"/>
              </w:rPr>
              <w:t>s</w:t>
            </w:r>
            <w:r w:rsidRPr="00B14011">
              <w:rPr>
                <w:sz w:val="16"/>
                <w:szCs w:val="16"/>
              </w:rPr>
              <w:t xml:space="preserve"> of commerce </w:t>
            </w:r>
          </w:p>
          <w:p w14:paraId="7824E8BF" w14:textId="77777777" w:rsidR="00FE5E1A" w:rsidRPr="00B14011" w:rsidRDefault="00FE5E1A" w:rsidP="00FE5E1A">
            <w:pPr>
              <w:rPr>
                <w:sz w:val="16"/>
                <w:szCs w:val="16"/>
              </w:rPr>
            </w:pPr>
            <w:r w:rsidRPr="00B14011">
              <w:rPr>
                <w:sz w:val="16"/>
                <w:szCs w:val="16"/>
              </w:rPr>
              <w:t xml:space="preserve">Media </w:t>
            </w:r>
          </w:p>
          <w:p w14:paraId="3B01D263" w14:textId="77777777" w:rsidR="000E7F46" w:rsidRPr="00B14011" w:rsidRDefault="000E7F46" w:rsidP="00FE5E1A">
            <w:pPr>
              <w:rPr>
                <w:sz w:val="16"/>
                <w:szCs w:val="16"/>
              </w:rPr>
            </w:pPr>
            <w:r w:rsidRPr="00B14011">
              <w:rPr>
                <w:sz w:val="16"/>
                <w:szCs w:val="16"/>
              </w:rPr>
              <w:t>Civil society</w:t>
            </w:r>
            <w:r w:rsidR="0067762A" w:rsidRPr="00B14011">
              <w:rPr>
                <w:sz w:val="16"/>
                <w:szCs w:val="16"/>
              </w:rPr>
              <w:t xml:space="preserve"> organizations</w:t>
            </w:r>
            <w:r w:rsidR="00566DE1" w:rsidRPr="00B14011">
              <w:rPr>
                <w:sz w:val="16"/>
                <w:szCs w:val="16"/>
              </w:rPr>
              <w:t xml:space="preserve"> (CSOs)</w:t>
            </w:r>
            <w:r w:rsidR="0067762A" w:rsidRPr="00B14011">
              <w:rPr>
                <w:sz w:val="16"/>
                <w:szCs w:val="16"/>
              </w:rPr>
              <w:t xml:space="preserve"> </w:t>
            </w:r>
          </w:p>
          <w:p w14:paraId="4FF0E220" w14:textId="77777777" w:rsidR="000E7F46" w:rsidRPr="00B14011" w:rsidRDefault="000E7F46" w:rsidP="00FE5E1A">
            <w:pPr>
              <w:rPr>
                <w:sz w:val="16"/>
                <w:szCs w:val="16"/>
              </w:rPr>
            </w:pPr>
            <w:r w:rsidRPr="00B14011">
              <w:rPr>
                <w:sz w:val="16"/>
                <w:szCs w:val="16"/>
              </w:rPr>
              <w:t>Youth</w:t>
            </w:r>
            <w:r w:rsidR="0067762A" w:rsidRPr="00B14011">
              <w:rPr>
                <w:sz w:val="16"/>
                <w:szCs w:val="16"/>
              </w:rPr>
              <w:t xml:space="preserve"> </w:t>
            </w:r>
            <w:r w:rsidR="00566DE1" w:rsidRPr="00B14011">
              <w:rPr>
                <w:sz w:val="16"/>
                <w:szCs w:val="16"/>
              </w:rPr>
              <w:t>groups</w:t>
            </w:r>
            <w:r w:rsidR="0067762A" w:rsidRPr="00B14011">
              <w:rPr>
                <w:sz w:val="16"/>
                <w:szCs w:val="16"/>
              </w:rPr>
              <w:t xml:space="preserve"> </w:t>
            </w:r>
          </w:p>
          <w:p w14:paraId="47BB9C8E" w14:textId="131A7DF4" w:rsidR="00BC54AE" w:rsidRPr="00B14011" w:rsidRDefault="00BC54AE" w:rsidP="00722FA0">
            <w:pPr>
              <w:rPr>
                <w:iCs/>
                <w:sz w:val="16"/>
                <w:szCs w:val="16"/>
              </w:rPr>
            </w:pPr>
          </w:p>
        </w:tc>
        <w:tc>
          <w:tcPr>
            <w:tcW w:w="553" w:type="pct"/>
            <w:tcMar>
              <w:top w:w="15" w:type="dxa"/>
              <w:left w:w="108" w:type="dxa"/>
              <w:bottom w:w="0" w:type="dxa"/>
              <w:right w:w="108" w:type="dxa"/>
            </w:tcMar>
          </w:tcPr>
          <w:p w14:paraId="0371C99C" w14:textId="77777777" w:rsidR="00BC54AE" w:rsidRPr="00B14011" w:rsidRDefault="00BC54AE" w:rsidP="000B2DCA">
            <w:pPr>
              <w:tabs>
                <w:tab w:val="left" w:pos="900"/>
                <w:tab w:val="left" w:pos="990"/>
                <w:tab w:val="left" w:pos="8640"/>
                <w:tab w:val="left" w:pos="9180"/>
              </w:tabs>
              <w:rPr>
                <w:rFonts w:eastAsia="Calibri"/>
                <w:b/>
                <w:sz w:val="16"/>
                <w:szCs w:val="16"/>
              </w:rPr>
            </w:pPr>
            <w:r w:rsidRPr="00B14011">
              <w:rPr>
                <w:rFonts w:eastAsia="Calibri"/>
                <w:b/>
                <w:sz w:val="16"/>
                <w:szCs w:val="16"/>
              </w:rPr>
              <w:lastRenderedPageBreak/>
              <w:t xml:space="preserve">Regular </w:t>
            </w:r>
            <w:r w:rsidR="00F82BC8" w:rsidRPr="00B14011">
              <w:rPr>
                <w:rFonts w:eastAsia="Calibri"/>
                <w:b/>
                <w:sz w:val="16"/>
                <w:szCs w:val="16"/>
              </w:rPr>
              <w:t>r</w:t>
            </w:r>
            <w:r w:rsidRPr="00B14011">
              <w:rPr>
                <w:rFonts w:eastAsia="Calibri"/>
                <w:b/>
                <w:sz w:val="16"/>
                <w:szCs w:val="16"/>
              </w:rPr>
              <w:t>esources</w:t>
            </w:r>
          </w:p>
          <w:p w14:paraId="3DDC052E" w14:textId="77777777" w:rsidR="00917D0E" w:rsidRPr="00B14011" w:rsidRDefault="00917D0E" w:rsidP="000B2DCA">
            <w:pPr>
              <w:tabs>
                <w:tab w:val="left" w:pos="900"/>
                <w:tab w:val="left" w:pos="990"/>
                <w:tab w:val="left" w:pos="8640"/>
                <w:tab w:val="left" w:pos="9180"/>
              </w:tabs>
              <w:rPr>
                <w:rFonts w:eastAsia="Calibri"/>
                <w:b/>
                <w:sz w:val="16"/>
                <w:szCs w:val="16"/>
              </w:rPr>
            </w:pPr>
          </w:p>
          <w:p w14:paraId="3F5006DE" w14:textId="075C3F23" w:rsidR="00BC54AE" w:rsidRPr="00B14011" w:rsidRDefault="0088063E" w:rsidP="000B2DCA">
            <w:pPr>
              <w:tabs>
                <w:tab w:val="left" w:pos="900"/>
                <w:tab w:val="left" w:pos="990"/>
                <w:tab w:val="left" w:pos="8640"/>
                <w:tab w:val="left" w:pos="9180"/>
              </w:tabs>
              <w:rPr>
                <w:rFonts w:eastAsia="Calibri"/>
                <w:b/>
                <w:sz w:val="16"/>
                <w:szCs w:val="16"/>
              </w:rPr>
            </w:pPr>
            <w:r w:rsidRPr="00B14011">
              <w:rPr>
                <w:rFonts w:eastAsia="Calibri"/>
                <w:b/>
                <w:sz w:val="16"/>
                <w:szCs w:val="16"/>
              </w:rPr>
              <w:t>673,300</w:t>
            </w:r>
          </w:p>
          <w:p w14:paraId="7C243807" w14:textId="77777777" w:rsidR="00F82BC8" w:rsidRPr="00B14011" w:rsidRDefault="00F82BC8" w:rsidP="000B2DCA">
            <w:pPr>
              <w:tabs>
                <w:tab w:val="left" w:pos="900"/>
                <w:tab w:val="left" w:pos="990"/>
                <w:tab w:val="left" w:pos="8640"/>
                <w:tab w:val="left" w:pos="9180"/>
              </w:tabs>
              <w:rPr>
                <w:rFonts w:eastAsia="Calibri"/>
                <w:sz w:val="16"/>
                <w:szCs w:val="16"/>
              </w:rPr>
            </w:pPr>
          </w:p>
          <w:p w14:paraId="14866C64" w14:textId="77777777" w:rsidR="00BC54AE" w:rsidRPr="00B14011" w:rsidRDefault="00BC54AE" w:rsidP="000B2DCA">
            <w:pPr>
              <w:tabs>
                <w:tab w:val="left" w:pos="900"/>
                <w:tab w:val="left" w:pos="990"/>
                <w:tab w:val="left" w:pos="8640"/>
                <w:tab w:val="left" w:pos="9180"/>
              </w:tabs>
              <w:rPr>
                <w:rFonts w:eastAsia="Calibri"/>
                <w:b/>
                <w:sz w:val="16"/>
                <w:szCs w:val="16"/>
              </w:rPr>
            </w:pPr>
            <w:r w:rsidRPr="00B14011">
              <w:rPr>
                <w:rFonts w:eastAsia="Calibri"/>
                <w:b/>
                <w:sz w:val="16"/>
                <w:szCs w:val="16"/>
              </w:rPr>
              <w:t xml:space="preserve">Other </w:t>
            </w:r>
            <w:r w:rsidR="00F82BC8" w:rsidRPr="00B14011">
              <w:rPr>
                <w:rFonts w:eastAsia="Calibri"/>
                <w:b/>
                <w:sz w:val="16"/>
                <w:szCs w:val="16"/>
              </w:rPr>
              <w:t>r</w:t>
            </w:r>
            <w:r w:rsidRPr="00B14011">
              <w:rPr>
                <w:rFonts w:eastAsia="Calibri"/>
                <w:b/>
                <w:sz w:val="16"/>
                <w:szCs w:val="16"/>
              </w:rPr>
              <w:t>esources</w:t>
            </w:r>
          </w:p>
          <w:p w14:paraId="014CBA90" w14:textId="651278D0" w:rsidR="0067762A" w:rsidRPr="00B14011" w:rsidRDefault="0067762A" w:rsidP="0067762A">
            <w:pPr>
              <w:tabs>
                <w:tab w:val="left" w:pos="900"/>
                <w:tab w:val="left" w:pos="990"/>
                <w:tab w:val="left" w:pos="8640"/>
                <w:tab w:val="left" w:pos="9180"/>
              </w:tabs>
              <w:rPr>
                <w:rFonts w:eastAsia="Calibri"/>
                <w:b/>
                <w:strike/>
                <w:sz w:val="16"/>
                <w:szCs w:val="16"/>
              </w:rPr>
            </w:pPr>
          </w:p>
          <w:p w14:paraId="779DC9E6" w14:textId="3B5CBCCF" w:rsidR="00BC54AE" w:rsidRPr="00B14011" w:rsidRDefault="00917D0E" w:rsidP="0009295E">
            <w:pPr>
              <w:tabs>
                <w:tab w:val="left" w:pos="900"/>
                <w:tab w:val="left" w:pos="990"/>
                <w:tab w:val="left" w:pos="8640"/>
                <w:tab w:val="left" w:pos="9180"/>
              </w:tabs>
              <w:rPr>
                <w:rFonts w:eastAsia="Calibri"/>
                <w:b/>
                <w:sz w:val="16"/>
                <w:szCs w:val="16"/>
              </w:rPr>
            </w:pPr>
            <w:r w:rsidRPr="00B14011">
              <w:rPr>
                <w:rFonts w:eastAsia="Calibri"/>
                <w:b/>
                <w:sz w:val="16"/>
                <w:szCs w:val="16"/>
              </w:rPr>
              <w:t>16,145,267</w:t>
            </w:r>
          </w:p>
        </w:tc>
      </w:tr>
      <w:tr w:rsidR="003E59AA" w:rsidRPr="00B14011" w14:paraId="3E6E8DB8" w14:textId="77777777" w:rsidTr="007C75AF">
        <w:tc>
          <w:tcPr>
            <w:tcW w:w="5000" w:type="pct"/>
            <w:gridSpan w:val="6"/>
            <w:shd w:val="clear" w:color="auto" w:fill="auto"/>
            <w:tcMar>
              <w:top w:w="72" w:type="dxa"/>
              <w:left w:w="144" w:type="dxa"/>
              <w:bottom w:w="72" w:type="dxa"/>
              <w:right w:w="144" w:type="dxa"/>
            </w:tcMar>
          </w:tcPr>
          <w:p w14:paraId="67F50931" w14:textId="4400461E" w:rsidR="00BC54AE" w:rsidRPr="00B14011" w:rsidRDefault="00882844" w:rsidP="004B796A">
            <w:pPr>
              <w:autoSpaceDE w:val="0"/>
              <w:autoSpaceDN w:val="0"/>
              <w:rPr>
                <w:b/>
                <w:i/>
                <w:iCs/>
                <w:sz w:val="16"/>
                <w:szCs w:val="16"/>
                <w:lang w:eastAsia="en-GB"/>
              </w:rPr>
            </w:pPr>
            <w:r w:rsidRPr="00B14011">
              <w:rPr>
                <w:rFonts w:eastAsia="Calibri"/>
                <w:b/>
                <w:bCs/>
                <w:sz w:val="16"/>
                <w:szCs w:val="16"/>
              </w:rPr>
              <w:lastRenderedPageBreak/>
              <w:t xml:space="preserve">National priority or goal: </w:t>
            </w:r>
            <w:r w:rsidR="00694FDC" w:rsidRPr="005A3BE4">
              <w:rPr>
                <w:iCs/>
                <w:sz w:val="16"/>
                <w:szCs w:val="16"/>
                <w:lang w:eastAsia="en-GB"/>
              </w:rPr>
              <w:t>Adopt a green development strategy with a specific focus on green agriculture, energy, construction, green villages, cities and green employment for the sustainable development of Sri Lanka</w:t>
            </w:r>
            <w:r w:rsidR="00845EB7">
              <w:rPr>
                <w:iCs/>
                <w:sz w:val="16"/>
                <w:szCs w:val="16"/>
                <w:lang w:eastAsia="en-GB"/>
              </w:rPr>
              <w:t>.</w:t>
            </w:r>
          </w:p>
        </w:tc>
      </w:tr>
      <w:tr w:rsidR="003E59AA" w:rsidRPr="00B14011" w14:paraId="4D3A2DF7" w14:textId="77777777" w:rsidTr="007C75AF">
        <w:tc>
          <w:tcPr>
            <w:tcW w:w="5000" w:type="pct"/>
            <w:gridSpan w:val="6"/>
            <w:shd w:val="clear" w:color="auto" w:fill="auto"/>
            <w:tcMar>
              <w:top w:w="72" w:type="dxa"/>
              <w:left w:w="144" w:type="dxa"/>
              <w:bottom w:w="72" w:type="dxa"/>
              <w:right w:w="144" w:type="dxa"/>
            </w:tcMar>
          </w:tcPr>
          <w:p w14:paraId="323F9B6B" w14:textId="0C9819AC" w:rsidR="00BC54AE" w:rsidRPr="00B14011" w:rsidRDefault="00BC54AE" w:rsidP="004B796A">
            <w:pPr>
              <w:tabs>
                <w:tab w:val="left" w:pos="900"/>
                <w:tab w:val="left" w:pos="990"/>
                <w:tab w:val="left" w:pos="8640"/>
                <w:tab w:val="left" w:pos="9180"/>
              </w:tabs>
              <w:ind w:left="31"/>
              <w:rPr>
                <w:rFonts w:eastAsia="Calibri"/>
                <w:sz w:val="16"/>
                <w:szCs w:val="16"/>
              </w:rPr>
            </w:pPr>
            <w:r w:rsidRPr="00B14011">
              <w:rPr>
                <w:rFonts w:eastAsia="Calibri"/>
                <w:b/>
                <w:bCs/>
                <w:sz w:val="16"/>
                <w:szCs w:val="16"/>
              </w:rPr>
              <w:t xml:space="preserve">UNDAF </w:t>
            </w:r>
            <w:r w:rsidR="00882844" w:rsidRPr="00B14011">
              <w:rPr>
                <w:rFonts w:eastAsia="Calibri"/>
                <w:b/>
                <w:bCs/>
                <w:sz w:val="16"/>
                <w:szCs w:val="16"/>
              </w:rPr>
              <w:t>outcome</w:t>
            </w:r>
            <w:r w:rsidR="007838B5" w:rsidRPr="00B14011">
              <w:rPr>
                <w:rFonts w:eastAsia="Calibri"/>
                <w:b/>
                <w:bCs/>
                <w:sz w:val="16"/>
                <w:szCs w:val="16"/>
              </w:rPr>
              <w:t xml:space="preserve"> 4</w:t>
            </w:r>
            <w:r w:rsidR="00CD58A0" w:rsidRPr="005A3BE4">
              <w:rPr>
                <w:rFonts w:eastAsia="Calibri"/>
                <w:bCs/>
                <w:sz w:val="16"/>
                <w:szCs w:val="16"/>
              </w:rPr>
              <w:t xml:space="preserve">: </w:t>
            </w:r>
            <w:r w:rsidR="00956985" w:rsidRPr="005A3BE4">
              <w:rPr>
                <w:rFonts w:eastAsia="Calibri"/>
                <w:bCs/>
                <w:sz w:val="16"/>
                <w:szCs w:val="16"/>
              </w:rPr>
              <w:t xml:space="preserve"> </w:t>
            </w:r>
            <w:r w:rsidR="008A3EA7" w:rsidRPr="005A3BE4">
              <w:rPr>
                <w:sz w:val="16"/>
                <w:szCs w:val="16"/>
              </w:rPr>
              <w:t>By 2022, people in Sri Lanka, in particular the vulnerable and marginalized</w:t>
            </w:r>
            <w:r w:rsidR="00845EB7">
              <w:rPr>
                <w:sz w:val="16"/>
                <w:szCs w:val="16"/>
              </w:rPr>
              <w:t>,</w:t>
            </w:r>
            <w:r w:rsidR="008A3EA7" w:rsidRPr="005A3BE4">
              <w:rPr>
                <w:sz w:val="16"/>
                <w:szCs w:val="16"/>
              </w:rPr>
              <w:t xml:space="preserve"> are more resilient to climate change and natural disasters and benefit from increasingly sustainable management of natural resources, better environmental governance and</w:t>
            </w:r>
            <w:r w:rsidR="000F1E58" w:rsidRPr="005A3BE4">
              <w:rPr>
                <w:sz w:val="16"/>
                <w:szCs w:val="16"/>
              </w:rPr>
              <w:t xml:space="preserve"> blue/</w:t>
            </w:r>
            <w:r w:rsidR="008A3EA7" w:rsidRPr="005A3BE4">
              <w:rPr>
                <w:sz w:val="16"/>
                <w:szCs w:val="16"/>
              </w:rPr>
              <w:t xml:space="preserve"> green development.</w:t>
            </w:r>
          </w:p>
        </w:tc>
      </w:tr>
      <w:tr w:rsidR="003E59AA" w:rsidRPr="00B14011" w14:paraId="0A42443E" w14:textId="77777777" w:rsidTr="007C75AF">
        <w:tc>
          <w:tcPr>
            <w:tcW w:w="5000" w:type="pct"/>
            <w:gridSpan w:val="6"/>
            <w:shd w:val="clear" w:color="auto" w:fill="auto"/>
            <w:tcMar>
              <w:top w:w="72" w:type="dxa"/>
              <w:left w:w="144" w:type="dxa"/>
              <w:bottom w:w="72" w:type="dxa"/>
              <w:right w:w="144" w:type="dxa"/>
            </w:tcMar>
          </w:tcPr>
          <w:p w14:paraId="4C022B41" w14:textId="55F50C20" w:rsidR="00BC54AE" w:rsidRPr="00B14011" w:rsidRDefault="00BC54AE" w:rsidP="00146F5F">
            <w:pPr>
              <w:tabs>
                <w:tab w:val="left" w:pos="900"/>
                <w:tab w:val="left" w:pos="990"/>
                <w:tab w:val="left" w:pos="8640"/>
                <w:tab w:val="left" w:pos="9180"/>
              </w:tabs>
              <w:ind w:left="31"/>
              <w:rPr>
                <w:rFonts w:eastAsia="Calibri"/>
                <w:b/>
                <w:bCs/>
                <w:sz w:val="16"/>
                <w:szCs w:val="16"/>
              </w:rPr>
            </w:pPr>
          </w:p>
        </w:tc>
      </w:tr>
      <w:tr w:rsidR="003E59AA" w:rsidRPr="00B14011" w14:paraId="7F0EF76F" w14:textId="77777777" w:rsidTr="00722FA0">
        <w:trPr>
          <w:trHeight w:val="184"/>
        </w:trPr>
        <w:tc>
          <w:tcPr>
            <w:tcW w:w="872" w:type="pct"/>
            <w:vMerge w:val="restart"/>
            <w:tcMar>
              <w:top w:w="72" w:type="dxa"/>
              <w:left w:w="144" w:type="dxa"/>
              <w:bottom w:w="72" w:type="dxa"/>
              <w:right w:w="144" w:type="dxa"/>
            </w:tcMar>
          </w:tcPr>
          <w:p w14:paraId="57DAFF16" w14:textId="5C22FBB6" w:rsidR="00B843B7" w:rsidRPr="00845EB7" w:rsidRDefault="00345EC0" w:rsidP="00B843B7">
            <w:pPr>
              <w:rPr>
                <w:rFonts w:cs="Arial"/>
                <w:sz w:val="16"/>
                <w:szCs w:val="16"/>
              </w:rPr>
            </w:pPr>
            <w:r w:rsidRPr="00B14011">
              <w:rPr>
                <w:b/>
                <w:sz w:val="16"/>
                <w:szCs w:val="16"/>
              </w:rPr>
              <w:t>Indicator</w:t>
            </w:r>
            <w:r w:rsidR="00F4444A" w:rsidRPr="00B14011">
              <w:rPr>
                <w:b/>
                <w:sz w:val="16"/>
                <w:szCs w:val="16"/>
              </w:rPr>
              <w:t xml:space="preserve"> </w:t>
            </w:r>
            <w:r w:rsidR="000F583F" w:rsidRPr="00B14011">
              <w:rPr>
                <w:b/>
                <w:sz w:val="16"/>
                <w:szCs w:val="16"/>
              </w:rPr>
              <w:t>2.</w:t>
            </w:r>
            <w:r w:rsidR="00F4444A" w:rsidRPr="00B14011">
              <w:rPr>
                <w:b/>
                <w:sz w:val="16"/>
                <w:szCs w:val="16"/>
              </w:rPr>
              <w:t>1</w:t>
            </w:r>
            <w:r w:rsidRPr="00B14011">
              <w:rPr>
                <w:b/>
                <w:sz w:val="16"/>
                <w:szCs w:val="16"/>
              </w:rPr>
              <w:t xml:space="preserve">: </w:t>
            </w:r>
            <w:r w:rsidR="00B843B7" w:rsidRPr="00B14011">
              <w:rPr>
                <w:sz w:val="16"/>
                <w:szCs w:val="16"/>
              </w:rPr>
              <w:t>Number of districts with funded disaster risk reduction</w:t>
            </w:r>
            <w:r w:rsidR="00186A42" w:rsidRPr="00B14011">
              <w:rPr>
                <w:sz w:val="16"/>
                <w:szCs w:val="16"/>
              </w:rPr>
              <w:t xml:space="preserve"> (DRR)</w:t>
            </w:r>
            <w:r w:rsidR="00B843B7" w:rsidRPr="00B14011">
              <w:rPr>
                <w:sz w:val="16"/>
                <w:szCs w:val="16"/>
              </w:rPr>
              <w:t xml:space="preserve"> and response strategies </w:t>
            </w:r>
            <w:r w:rsidR="00B843B7" w:rsidRPr="00B14011">
              <w:rPr>
                <w:rFonts w:cs="Arial"/>
                <w:sz w:val="16"/>
                <w:szCs w:val="16"/>
              </w:rPr>
              <w:t xml:space="preserve">(SDG </w:t>
            </w:r>
            <w:r w:rsidR="00845EB7">
              <w:rPr>
                <w:rFonts w:cs="Arial"/>
                <w:sz w:val="16"/>
                <w:szCs w:val="16"/>
              </w:rPr>
              <w:t>i</w:t>
            </w:r>
            <w:r w:rsidR="00B843B7" w:rsidRPr="00B14011">
              <w:rPr>
                <w:rFonts w:cs="Arial"/>
                <w:sz w:val="16"/>
                <w:szCs w:val="16"/>
              </w:rPr>
              <w:t xml:space="preserve">ndicator 1.5.3, 11.b.2 and 13.1.1 </w:t>
            </w:r>
            <w:r w:rsidR="00845EB7">
              <w:rPr>
                <w:rFonts w:cs="Arial"/>
                <w:sz w:val="16"/>
                <w:szCs w:val="16"/>
              </w:rPr>
              <w:t xml:space="preserve">– </w:t>
            </w:r>
            <w:r w:rsidR="00B843B7" w:rsidRPr="00B14011">
              <w:rPr>
                <w:rFonts w:cs="Arial"/>
                <w:sz w:val="16"/>
                <w:szCs w:val="16"/>
              </w:rPr>
              <w:t>modified)</w:t>
            </w:r>
          </w:p>
          <w:p w14:paraId="0778C3D1" w14:textId="77777777" w:rsidR="00B843B7" w:rsidRPr="00B14011" w:rsidRDefault="00B843B7" w:rsidP="00B843B7">
            <w:pPr>
              <w:rPr>
                <w:sz w:val="16"/>
              </w:rPr>
            </w:pPr>
          </w:p>
          <w:p w14:paraId="036CC671" w14:textId="79E056F2" w:rsidR="00B843B7" w:rsidRPr="00B14011" w:rsidRDefault="00B843B7" w:rsidP="00B843B7">
            <w:pPr>
              <w:rPr>
                <w:sz w:val="16"/>
              </w:rPr>
            </w:pPr>
            <w:r w:rsidRPr="00B14011">
              <w:rPr>
                <w:b/>
                <w:sz w:val="16"/>
              </w:rPr>
              <w:t>Baseline</w:t>
            </w:r>
            <w:r w:rsidR="00894177" w:rsidRPr="00B14011">
              <w:rPr>
                <w:b/>
                <w:sz w:val="16"/>
              </w:rPr>
              <w:t xml:space="preserve"> (2018)</w:t>
            </w:r>
            <w:r w:rsidRPr="00B14011">
              <w:rPr>
                <w:sz w:val="16"/>
              </w:rPr>
              <w:t>: 0</w:t>
            </w:r>
            <w:r w:rsidR="00894177" w:rsidRPr="00B14011">
              <w:rPr>
                <w:sz w:val="16"/>
              </w:rPr>
              <w:t xml:space="preserve"> DRR strategies in place</w:t>
            </w:r>
          </w:p>
          <w:p w14:paraId="7F05922C" w14:textId="77777777" w:rsidR="00B843B7" w:rsidRPr="00B14011" w:rsidRDefault="00B843B7" w:rsidP="00B843B7">
            <w:pPr>
              <w:rPr>
                <w:sz w:val="16"/>
              </w:rPr>
            </w:pPr>
          </w:p>
          <w:p w14:paraId="13C599DF" w14:textId="7ECE530D" w:rsidR="00B843B7" w:rsidRPr="00B14011" w:rsidRDefault="00B843B7" w:rsidP="00B843B7">
            <w:pPr>
              <w:rPr>
                <w:sz w:val="16"/>
              </w:rPr>
            </w:pPr>
            <w:r w:rsidRPr="00B14011">
              <w:rPr>
                <w:b/>
                <w:sz w:val="16"/>
              </w:rPr>
              <w:t>Target</w:t>
            </w:r>
            <w:r w:rsidR="00B6405C" w:rsidRPr="00B14011">
              <w:rPr>
                <w:b/>
                <w:sz w:val="16"/>
              </w:rPr>
              <w:t xml:space="preserve"> (2022)</w:t>
            </w:r>
            <w:r w:rsidRPr="00B14011">
              <w:rPr>
                <w:sz w:val="16"/>
              </w:rPr>
              <w:t xml:space="preserve">: </w:t>
            </w:r>
          </w:p>
          <w:p w14:paraId="1EACCB78" w14:textId="682D6B8D" w:rsidR="00B843B7" w:rsidRPr="00B14011" w:rsidRDefault="00845EB7" w:rsidP="00B843B7">
            <w:pPr>
              <w:rPr>
                <w:sz w:val="16"/>
              </w:rPr>
            </w:pPr>
            <w:r>
              <w:rPr>
                <w:sz w:val="16"/>
                <w:szCs w:val="16"/>
              </w:rPr>
              <w:t>(</w:t>
            </w:r>
            <w:r w:rsidR="00B843B7" w:rsidRPr="00B14011">
              <w:rPr>
                <w:sz w:val="16"/>
                <w:szCs w:val="16"/>
              </w:rPr>
              <w:t xml:space="preserve">a) </w:t>
            </w:r>
            <w:r w:rsidR="009931B1" w:rsidRPr="00B14011">
              <w:rPr>
                <w:sz w:val="16"/>
                <w:szCs w:val="16"/>
              </w:rPr>
              <w:t>25 t</w:t>
            </w:r>
            <w:r w:rsidR="00B843B7" w:rsidRPr="00B14011">
              <w:rPr>
                <w:sz w:val="16"/>
                <w:szCs w:val="16"/>
              </w:rPr>
              <w:t>argeted district</w:t>
            </w:r>
            <w:r w:rsidR="002B1406" w:rsidRPr="00B14011">
              <w:rPr>
                <w:sz w:val="16"/>
                <w:szCs w:val="16"/>
              </w:rPr>
              <w:t>s have DRR</w:t>
            </w:r>
            <w:r w:rsidR="00A612CC" w:rsidRPr="00B14011">
              <w:rPr>
                <w:sz w:val="16"/>
                <w:szCs w:val="16"/>
              </w:rPr>
              <w:t xml:space="preserve"> s</w:t>
            </w:r>
            <w:r w:rsidR="002B1406" w:rsidRPr="00B14011">
              <w:rPr>
                <w:sz w:val="16"/>
                <w:szCs w:val="16"/>
              </w:rPr>
              <w:t>trategies</w:t>
            </w:r>
            <w:r w:rsidR="00CB7FD0" w:rsidRPr="00B14011">
              <w:rPr>
                <w:sz w:val="16"/>
                <w:szCs w:val="16"/>
              </w:rPr>
              <w:t xml:space="preserve"> in place</w:t>
            </w:r>
            <w:r w:rsidR="00743873" w:rsidRPr="00B14011">
              <w:rPr>
                <w:rStyle w:val="FootnoteReference"/>
                <w:sz w:val="16"/>
                <w:szCs w:val="16"/>
              </w:rPr>
              <w:footnoteReference w:id="31"/>
            </w:r>
            <w:r w:rsidR="00B843B7" w:rsidRPr="00B14011">
              <w:rPr>
                <w:sz w:val="16"/>
                <w:szCs w:val="16"/>
              </w:rPr>
              <w:t xml:space="preserve"> </w:t>
            </w:r>
          </w:p>
          <w:p w14:paraId="66066AB2" w14:textId="77777777" w:rsidR="00B843B7" w:rsidRPr="00B14011" w:rsidRDefault="00B843B7" w:rsidP="00B843B7">
            <w:pPr>
              <w:tabs>
                <w:tab w:val="left" w:pos="900"/>
                <w:tab w:val="left" w:pos="990"/>
                <w:tab w:val="left" w:pos="8640"/>
                <w:tab w:val="left" w:pos="9180"/>
              </w:tabs>
              <w:rPr>
                <w:rFonts w:eastAsia="Calibri"/>
                <w:b/>
                <w:iCs/>
                <w:sz w:val="16"/>
                <w:szCs w:val="16"/>
              </w:rPr>
            </w:pPr>
          </w:p>
          <w:p w14:paraId="72627D08" w14:textId="3183E60D" w:rsidR="00BC54AE" w:rsidRPr="00B14011" w:rsidRDefault="00845EB7" w:rsidP="00517EE4">
            <w:pPr>
              <w:rPr>
                <w:rFonts w:cs="Arial"/>
                <w:sz w:val="16"/>
                <w:szCs w:val="16"/>
              </w:rPr>
            </w:pPr>
            <w:r>
              <w:rPr>
                <w:rFonts w:cs="Arial"/>
                <w:sz w:val="16"/>
                <w:szCs w:val="16"/>
              </w:rPr>
              <w:t>(</w:t>
            </w:r>
            <w:r w:rsidR="00973FC2" w:rsidRPr="00B14011">
              <w:rPr>
                <w:rFonts w:cs="Arial"/>
                <w:sz w:val="16"/>
                <w:szCs w:val="16"/>
              </w:rPr>
              <w:t>b) 12</w:t>
            </w:r>
            <w:r w:rsidR="006307F2" w:rsidRPr="00B14011">
              <w:rPr>
                <w:rFonts w:cs="Arial"/>
                <w:sz w:val="16"/>
                <w:szCs w:val="16"/>
              </w:rPr>
              <w:t xml:space="preserve"> district</w:t>
            </w:r>
            <w:r w:rsidR="00186A42" w:rsidRPr="00B14011">
              <w:rPr>
                <w:rFonts w:cs="Arial"/>
                <w:sz w:val="16"/>
                <w:szCs w:val="16"/>
              </w:rPr>
              <w:t xml:space="preserve"> </w:t>
            </w:r>
            <w:r w:rsidR="00F4529E" w:rsidRPr="00B14011">
              <w:rPr>
                <w:rFonts w:cs="Arial"/>
                <w:sz w:val="16"/>
                <w:szCs w:val="16"/>
              </w:rPr>
              <w:t xml:space="preserve">level </w:t>
            </w:r>
            <w:r w:rsidR="00186A42" w:rsidRPr="00B14011">
              <w:rPr>
                <w:rFonts w:cs="Arial"/>
                <w:sz w:val="16"/>
                <w:szCs w:val="16"/>
              </w:rPr>
              <w:t>DRR</w:t>
            </w:r>
            <w:r w:rsidR="00973FC2" w:rsidRPr="00B14011">
              <w:rPr>
                <w:rFonts w:cs="Arial"/>
                <w:sz w:val="16"/>
                <w:szCs w:val="16"/>
              </w:rPr>
              <w:t xml:space="preserve"> district plans are</w:t>
            </w:r>
            <w:r w:rsidR="006307F2" w:rsidRPr="00B14011">
              <w:rPr>
                <w:rFonts w:cs="Arial"/>
                <w:sz w:val="16"/>
                <w:szCs w:val="16"/>
              </w:rPr>
              <w:t xml:space="preserve"> </w:t>
            </w:r>
            <w:r w:rsidR="00973FC2" w:rsidRPr="00B14011">
              <w:rPr>
                <w:rFonts w:cs="Arial"/>
                <w:sz w:val="16"/>
                <w:szCs w:val="16"/>
              </w:rPr>
              <w:t>funded</w:t>
            </w:r>
          </w:p>
        </w:tc>
        <w:tc>
          <w:tcPr>
            <w:tcW w:w="643" w:type="pct"/>
            <w:vMerge w:val="restart"/>
          </w:tcPr>
          <w:p w14:paraId="6936C077" w14:textId="451F497D" w:rsidR="00BC54AE" w:rsidRPr="00B14011" w:rsidRDefault="008A3EA7" w:rsidP="00517EE4">
            <w:pPr>
              <w:tabs>
                <w:tab w:val="left" w:pos="900"/>
                <w:tab w:val="left" w:pos="990"/>
                <w:tab w:val="left" w:pos="8640"/>
                <w:tab w:val="left" w:pos="9180"/>
              </w:tabs>
              <w:ind w:left="31"/>
              <w:rPr>
                <w:rFonts w:eastAsia="Calibri"/>
                <w:b/>
                <w:iCs/>
                <w:sz w:val="16"/>
                <w:szCs w:val="16"/>
              </w:rPr>
            </w:pPr>
            <w:r w:rsidRPr="00B14011">
              <w:rPr>
                <w:rFonts w:eastAsia="Calibri"/>
                <w:b/>
                <w:iCs/>
                <w:sz w:val="16"/>
                <w:szCs w:val="16"/>
              </w:rPr>
              <w:t>Source</w:t>
            </w:r>
            <w:r w:rsidRPr="00B14011">
              <w:rPr>
                <w:rFonts w:eastAsia="Calibri"/>
                <w:iCs/>
                <w:sz w:val="16"/>
                <w:szCs w:val="16"/>
              </w:rPr>
              <w:t xml:space="preserve">: </w:t>
            </w:r>
            <w:r w:rsidR="00F44B70" w:rsidRPr="00B14011">
              <w:rPr>
                <w:rFonts w:cs="Arial"/>
                <w:sz w:val="16"/>
                <w:szCs w:val="16"/>
              </w:rPr>
              <w:t xml:space="preserve">Disaster Management Centre: National </w:t>
            </w:r>
            <w:r w:rsidR="00845EB7">
              <w:rPr>
                <w:rFonts w:cs="Arial"/>
                <w:sz w:val="16"/>
                <w:szCs w:val="16"/>
              </w:rPr>
              <w:t>p</w:t>
            </w:r>
            <w:r w:rsidR="00F44B70" w:rsidRPr="00B14011">
              <w:rPr>
                <w:rFonts w:cs="Arial"/>
                <w:sz w:val="16"/>
                <w:szCs w:val="16"/>
              </w:rPr>
              <w:t>rogress report on implementation of Hyogo Framework for Action</w:t>
            </w:r>
            <w:r w:rsidRPr="00B14011">
              <w:rPr>
                <w:rFonts w:eastAsia="Calibri"/>
                <w:iCs/>
                <w:sz w:val="16"/>
                <w:szCs w:val="16"/>
              </w:rPr>
              <w:br/>
            </w:r>
            <w:r w:rsidRPr="00B14011">
              <w:rPr>
                <w:rFonts w:eastAsia="Calibri"/>
                <w:b/>
                <w:iCs/>
                <w:sz w:val="16"/>
                <w:szCs w:val="16"/>
              </w:rPr>
              <w:t>Frequency</w:t>
            </w:r>
            <w:r w:rsidR="00B722F5" w:rsidRPr="00B14011">
              <w:rPr>
                <w:rFonts w:eastAsia="Calibri"/>
                <w:iCs/>
                <w:sz w:val="16"/>
                <w:szCs w:val="16"/>
              </w:rPr>
              <w:t>: Per disaster occurrence</w:t>
            </w:r>
          </w:p>
        </w:tc>
        <w:tc>
          <w:tcPr>
            <w:tcW w:w="1771" w:type="pct"/>
            <w:vMerge w:val="restart"/>
            <w:tcMar>
              <w:top w:w="72" w:type="dxa"/>
              <w:left w:w="144" w:type="dxa"/>
              <w:bottom w:w="72" w:type="dxa"/>
              <w:right w:w="144" w:type="dxa"/>
            </w:tcMar>
          </w:tcPr>
          <w:p w14:paraId="748281A6" w14:textId="5C53081D" w:rsidR="008A3EA7" w:rsidRPr="00B14011" w:rsidRDefault="008A3EA7" w:rsidP="008A3EA7">
            <w:pPr>
              <w:contextualSpacing/>
              <w:rPr>
                <w:b/>
                <w:bCs/>
                <w:sz w:val="16"/>
                <w:szCs w:val="16"/>
              </w:rPr>
            </w:pPr>
            <w:r w:rsidRPr="00B14011">
              <w:rPr>
                <w:rFonts w:eastAsia="Calibri"/>
                <w:b/>
                <w:iCs/>
                <w:sz w:val="16"/>
                <w:szCs w:val="16"/>
              </w:rPr>
              <w:t xml:space="preserve">Output 2.1: </w:t>
            </w:r>
            <w:r w:rsidRPr="00B14011">
              <w:rPr>
                <w:b/>
                <w:bCs/>
                <w:sz w:val="16"/>
                <w:szCs w:val="16"/>
              </w:rPr>
              <w:t>Policies and risk management strategies are implemented at national and subnational levels</w:t>
            </w:r>
            <w:r w:rsidR="005C54FA" w:rsidRPr="00B14011">
              <w:rPr>
                <w:b/>
                <w:bCs/>
                <w:sz w:val="16"/>
                <w:szCs w:val="16"/>
              </w:rPr>
              <w:t xml:space="preserve"> (rural and urban)</w:t>
            </w:r>
            <w:r w:rsidRPr="00B14011">
              <w:rPr>
                <w:b/>
                <w:bCs/>
                <w:sz w:val="16"/>
                <w:szCs w:val="16"/>
              </w:rPr>
              <w:t xml:space="preserve"> for enhanced adaptation and resilience to climate change and disaster risk.</w:t>
            </w:r>
          </w:p>
          <w:p w14:paraId="4DB4B723" w14:textId="77777777" w:rsidR="008A3EA7" w:rsidRPr="00B14011" w:rsidRDefault="008A3EA7" w:rsidP="008A3EA7">
            <w:pPr>
              <w:tabs>
                <w:tab w:val="left" w:pos="900"/>
                <w:tab w:val="left" w:pos="990"/>
                <w:tab w:val="left" w:pos="8640"/>
                <w:tab w:val="left" w:pos="9180"/>
              </w:tabs>
              <w:ind w:left="31"/>
              <w:rPr>
                <w:rFonts w:eastAsia="Calibri"/>
                <w:b/>
                <w:iCs/>
                <w:sz w:val="16"/>
                <w:szCs w:val="16"/>
              </w:rPr>
            </w:pPr>
          </w:p>
          <w:p w14:paraId="12E0F40A" w14:textId="77777777" w:rsidR="001314C9" w:rsidRPr="00B14011" w:rsidRDefault="001314C9" w:rsidP="001314C9">
            <w:pPr>
              <w:tabs>
                <w:tab w:val="left" w:pos="900"/>
                <w:tab w:val="left" w:pos="990"/>
                <w:tab w:val="left" w:pos="8640"/>
                <w:tab w:val="left" w:pos="9180"/>
              </w:tabs>
              <w:rPr>
                <w:rFonts w:eastAsia="Calibri"/>
                <w:iCs/>
                <w:sz w:val="16"/>
                <w:szCs w:val="16"/>
              </w:rPr>
            </w:pPr>
            <w:r w:rsidRPr="00B14011">
              <w:rPr>
                <w:rFonts w:eastAsia="Calibri"/>
                <w:b/>
                <w:iCs/>
                <w:sz w:val="16"/>
                <w:szCs w:val="16"/>
              </w:rPr>
              <w:t>Indicator 2.1.1.</w:t>
            </w:r>
            <w:r w:rsidRPr="00B14011">
              <w:rPr>
                <w:rFonts w:eastAsia="Calibri"/>
                <w:iCs/>
                <w:sz w:val="16"/>
                <w:szCs w:val="16"/>
              </w:rPr>
              <w:t xml:space="preserve"> </w:t>
            </w:r>
            <w:r w:rsidRPr="00B14011">
              <w:rPr>
                <w:sz w:val="16"/>
                <w:szCs w:val="16"/>
              </w:rPr>
              <w:t>Percentage of national budget allocated for disaster risk reduction and climate resilience strengthening.</w:t>
            </w:r>
          </w:p>
          <w:p w14:paraId="5AFECDAB" w14:textId="786B3A37" w:rsidR="001314C9" w:rsidRPr="00B14011" w:rsidRDefault="001314C9" w:rsidP="001314C9">
            <w:pPr>
              <w:pStyle w:val="ListParagraph"/>
              <w:ind w:left="0"/>
              <w:rPr>
                <w:sz w:val="16"/>
                <w:szCs w:val="16"/>
              </w:rPr>
            </w:pPr>
            <w:r w:rsidRPr="00B14011">
              <w:rPr>
                <w:rFonts w:eastAsia="Calibri"/>
                <w:b/>
                <w:iCs/>
                <w:sz w:val="16"/>
                <w:szCs w:val="16"/>
              </w:rPr>
              <w:t>Baseline (2015):</w:t>
            </w:r>
            <w:r w:rsidRPr="00B14011">
              <w:rPr>
                <w:rFonts w:eastAsia="Calibri"/>
                <w:iCs/>
                <w:sz w:val="16"/>
                <w:szCs w:val="16"/>
              </w:rPr>
              <w:t xml:space="preserve"> </w:t>
            </w:r>
            <w:r w:rsidRPr="00B14011">
              <w:rPr>
                <w:sz w:val="16"/>
                <w:szCs w:val="16"/>
              </w:rPr>
              <w:t>0.63</w:t>
            </w:r>
            <w:r w:rsidR="00845EB7">
              <w:rPr>
                <w:sz w:val="16"/>
                <w:szCs w:val="16"/>
              </w:rPr>
              <w:t>%</w:t>
            </w:r>
          </w:p>
          <w:p w14:paraId="7C24EF23" w14:textId="14EAEDDC" w:rsidR="001314C9" w:rsidRPr="00B14011" w:rsidRDefault="001314C9" w:rsidP="001314C9">
            <w:pPr>
              <w:tabs>
                <w:tab w:val="left" w:pos="900"/>
                <w:tab w:val="left" w:pos="990"/>
                <w:tab w:val="left" w:pos="8640"/>
                <w:tab w:val="left" w:pos="9180"/>
              </w:tabs>
              <w:rPr>
                <w:rFonts w:eastAsia="Calibri"/>
                <w:iCs/>
                <w:sz w:val="16"/>
                <w:szCs w:val="16"/>
              </w:rPr>
            </w:pPr>
            <w:r w:rsidRPr="00B14011">
              <w:rPr>
                <w:rFonts w:eastAsia="Calibri"/>
                <w:b/>
                <w:iCs/>
                <w:sz w:val="16"/>
                <w:szCs w:val="16"/>
              </w:rPr>
              <w:t>Target (2022):</w:t>
            </w:r>
            <w:r w:rsidRPr="00B14011">
              <w:rPr>
                <w:rFonts w:eastAsia="Calibri"/>
                <w:iCs/>
                <w:sz w:val="16"/>
                <w:szCs w:val="16"/>
              </w:rPr>
              <w:t xml:space="preserve"> </w:t>
            </w:r>
            <w:r w:rsidR="00845EB7">
              <w:rPr>
                <w:rFonts w:eastAsia="Calibri"/>
                <w:iCs/>
                <w:sz w:val="16"/>
                <w:szCs w:val="16"/>
              </w:rPr>
              <w:t>2 %</w:t>
            </w:r>
          </w:p>
          <w:p w14:paraId="2FF6FFA3" w14:textId="77777777" w:rsidR="001314C9" w:rsidRPr="00B14011" w:rsidRDefault="001314C9" w:rsidP="001314C9">
            <w:pPr>
              <w:tabs>
                <w:tab w:val="left" w:pos="900"/>
                <w:tab w:val="left" w:pos="990"/>
                <w:tab w:val="left" w:pos="8640"/>
                <w:tab w:val="left" w:pos="9180"/>
              </w:tabs>
              <w:rPr>
                <w:rFonts w:eastAsia="Calibri"/>
                <w:b/>
                <w:iCs/>
                <w:sz w:val="16"/>
                <w:szCs w:val="16"/>
              </w:rPr>
            </w:pPr>
            <w:r w:rsidRPr="00B14011">
              <w:rPr>
                <w:rFonts w:eastAsia="Calibri"/>
                <w:b/>
                <w:iCs/>
                <w:sz w:val="16"/>
                <w:szCs w:val="16"/>
              </w:rPr>
              <w:t xml:space="preserve">Source: </w:t>
            </w:r>
            <w:r w:rsidRPr="00B14011">
              <w:rPr>
                <w:sz w:val="16"/>
                <w:szCs w:val="16"/>
              </w:rPr>
              <w:t>Annual budget of the National Planning Department.</w:t>
            </w:r>
          </w:p>
          <w:p w14:paraId="5BE5E2A0" w14:textId="77777777" w:rsidR="008A3EA7" w:rsidRPr="00B14011" w:rsidRDefault="008A3EA7" w:rsidP="006716B7">
            <w:pPr>
              <w:tabs>
                <w:tab w:val="left" w:pos="900"/>
                <w:tab w:val="left" w:pos="990"/>
                <w:tab w:val="left" w:pos="8640"/>
                <w:tab w:val="left" w:pos="9180"/>
              </w:tabs>
              <w:rPr>
                <w:rFonts w:eastAsia="Calibri"/>
                <w:b/>
                <w:iCs/>
                <w:sz w:val="16"/>
                <w:szCs w:val="16"/>
              </w:rPr>
            </w:pPr>
          </w:p>
          <w:p w14:paraId="1D33ECEB" w14:textId="3DDEF068" w:rsidR="00520E24" w:rsidRPr="00B14011" w:rsidRDefault="00E43D94" w:rsidP="00532A88">
            <w:pPr>
              <w:rPr>
                <w:rFonts w:eastAsia="MS Mincho"/>
                <w:sz w:val="16"/>
                <w:szCs w:val="16"/>
              </w:rPr>
            </w:pPr>
            <w:r w:rsidRPr="00B14011">
              <w:rPr>
                <w:rFonts w:eastAsia="MS Mincho"/>
                <w:b/>
                <w:sz w:val="16"/>
                <w:szCs w:val="16"/>
              </w:rPr>
              <w:t>Indicator 2.1.2</w:t>
            </w:r>
            <w:r w:rsidRPr="00B14011">
              <w:rPr>
                <w:rFonts w:eastAsia="MS Mincho"/>
                <w:sz w:val="16"/>
                <w:szCs w:val="16"/>
              </w:rPr>
              <w:t xml:space="preserve">. </w:t>
            </w:r>
            <w:r w:rsidR="00532A88" w:rsidRPr="00B14011">
              <w:rPr>
                <w:rFonts w:eastAsia="MS Mincho"/>
                <w:sz w:val="16"/>
                <w:szCs w:val="16"/>
              </w:rPr>
              <w:t xml:space="preserve">Number of males and females </w:t>
            </w:r>
            <w:r w:rsidR="00F23D16" w:rsidRPr="00B14011">
              <w:rPr>
                <w:rFonts w:eastAsia="MS Mincho"/>
                <w:sz w:val="16"/>
                <w:szCs w:val="16"/>
              </w:rPr>
              <w:t xml:space="preserve">living in drought-prone areas </w:t>
            </w:r>
            <w:r w:rsidR="00532A88" w:rsidRPr="00B14011">
              <w:rPr>
                <w:rFonts w:eastAsia="MS Mincho"/>
                <w:sz w:val="16"/>
                <w:szCs w:val="16"/>
              </w:rPr>
              <w:t>benefiting from the adoption of diversified, climate resilient livelihood option</w:t>
            </w:r>
            <w:r w:rsidR="0029512C" w:rsidRPr="00B14011">
              <w:rPr>
                <w:rFonts w:eastAsia="MS Mincho"/>
                <w:sz w:val="16"/>
                <w:szCs w:val="16"/>
              </w:rPr>
              <w:t>s.</w:t>
            </w:r>
          </w:p>
          <w:p w14:paraId="6C14B036" w14:textId="77777777" w:rsidR="00532A88" w:rsidRPr="00B14011" w:rsidRDefault="00532A88" w:rsidP="00532A88">
            <w:pPr>
              <w:rPr>
                <w:rFonts w:eastAsia="MS Mincho"/>
                <w:sz w:val="16"/>
                <w:szCs w:val="16"/>
              </w:rPr>
            </w:pPr>
            <w:r w:rsidRPr="00B14011">
              <w:rPr>
                <w:rFonts w:eastAsia="MS Mincho"/>
                <w:b/>
                <w:sz w:val="16"/>
                <w:szCs w:val="16"/>
              </w:rPr>
              <w:t>Baseline (2016):</w:t>
            </w:r>
            <w:r w:rsidRPr="00B14011">
              <w:rPr>
                <w:rFonts w:eastAsia="MS Mincho"/>
                <w:sz w:val="16"/>
                <w:szCs w:val="16"/>
              </w:rPr>
              <w:t xml:space="preserve"> 0</w:t>
            </w:r>
          </w:p>
          <w:p w14:paraId="70B8F456" w14:textId="39ADB254" w:rsidR="00532A88" w:rsidRPr="00B14011" w:rsidRDefault="00532A88" w:rsidP="00532A88">
            <w:pPr>
              <w:rPr>
                <w:rFonts w:eastAsia="MS Mincho"/>
                <w:sz w:val="16"/>
                <w:szCs w:val="16"/>
              </w:rPr>
            </w:pPr>
            <w:r w:rsidRPr="00B14011">
              <w:rPr>
                <w:rFonts w:eastAsia="MS Mincho"/>
                <w:b/>
                <w:sz w:val="16"/>
                <w:szCs w:val="16"/>
              </w:rPr>
              <w:t>Target (2022</w:t>
            </w:r>
            <w:r w:rsidRPr="00B14011">
              <w:rPr>
                <w:rFonts w:eastAsia="MS Mincho"/>
                <w:sz w:val="16"/>
                <w:szCs w:val="16"/>
              </w:rPr>
              <w:t>): 700,000 (</w:t>
            </w:r>
            <w:r w:rsidR="0029512C" w:rsidRPr="00B14011">
              <w:rPr>
                <w:rFonts w:eastAsia="MS Mincho"/>
                <w:sz w:val="16"/>
                <w:szCs w:val="16"/>
              </w:rPr>
              <w:t>357,000</w:t>
            </w:r>
            <w:r w:rsidRPr="00B14011">
              <w:rPr>
                <w:rFonts w:eastAsia="MS Mincho"/>
                <w:sz w:val="16"/>
                <w:szCs w:val="16"/>
              </w:rPr>
              <w:t xml:space="preserve"> women)</w:t>
            </w:r>
          </w:p>
          <w:p w14:paraId="51036D23" w14:textId="77777777" w:rsidR="008149B8" w:rsidRPr="00B14011" w:rsidRDefault="008149B8" w:rsidP="008149B8">
            <w:pPr>
              <w:spacing w:line="276" w:lineRule="auto"/>
              <w:rPr>
                <w:rFonts w:ascii="Arial" w:eastAsia="MS Mincho" w:hAnsi="Arial" w:cs="Arial"/>
                <w:sz w:val="16"/>
                <w:szCs w:val="16"/>
              </w:rPr>
            </w:pPr>
            <w:r w:rsidRPr="00B14011">
              <w:rPr>
                <w:b/>
                <w:sz w:val="16"/>
                <w:szCs w:val="16"/>
              </w:rPr>
              <w:t>Source</w:t>
            </w:r>
            <w:r w:rsidRPr="00B14011">
              <w:rPr>
                <w:sz w:val="16"/>
                <w:szCs w:val="16"/>
              </w:rPr>
              <w:t>: UNDP project reports</w:t>
            </w:r>
            <w:r w:rsidRPr="00B14011">
              <w:rPr>
                <w:rFonts w:ascii="Arial" w:eastAsia="MS Mincho" w:hAnsi="Arial" w:cs="Arial"/>
                <w:sz w:val="16"/>
                <w:szCs w:val="16"/>
              </w:rPr>
              <w:t xml:space="preserve"> </w:t>
            </w:r>
          </w:p>
          <w:p w14:paraId="028276AA" w14:textId="1425E5A3" w:rsidR="00891241" w:rsidRPr="00B14011" w:rsidRDefault="00891241" w:rsidP="008149B8">
            <w:pPr>
              <w:tabs>
                <w:tab w:val="left" w:pos="900"/>
                <w:tab w:val="left" w:pos="990"/>
                <w:tab w:val="left" w:pos="8640"/>
                <w:tab w:val="left" w:pos="9180"/>
              </w:tabs>
              <w:rPr>
                <w:rFonts w:eastAsia="Calibri"/>
                <w:b/>
                <w:iCs/>
                <w:sz w:val="16"/>
                <w:szCs w:val="16"/>
              </w:rPr>
            </w:pPr>
          </w:p>
          <w:p w14:paraId="620F0F21" w14:textId="72AD6CC9" w:rsidR="00360339" w:rsidRPr="00B14011" w:rsidRDefault="000B57C3" w:rsidP="00360339">
            <w:pPr>
              <w:rPr>
                <w:sz w:val="16"/>
                <w:szCs w:val="16"/>
              </w:rPr>
            </w:pPr>
            <w:r w:rsidRPr="00B14011">
              <w:rPr>
                <w:b/>
                <w:sz w:val="16"/>
                <w:szCs w:val="16"/>
              </w:rPr>
              <w:t xml:space="preserve">Indicator </w:t>
            </w:r>
            <w:r w:rsidR="00360339" w:rsidRPr="00B14011">
              <w:rPr>
                <w:b/>
                <w:sz w:val="16"/>
                <w:szCs w:val="16"/>
              </w:rPr>
              <w:t>2.1.</w:t>
            </w:r>
            <w:r w:rsidR="00E43D94" w:rsidRPr="00B14011">
              <w:rPr>
                <w:b/>
                <w:sz w:val="16"/>
                <w:szCs w:val="16"/>
              </w:rPr>
              <w:t>3</w:t>
            </w:r>
            <w:r w:rsidRPr="00B14011">
              <w:rPr>
                <w:sz w:val="16"/>
                <w:szCs w:val="16"/>
              </w:rPr>
              <w:t>.</w:t>
            </w:r>
            <w:r w:rsidR="00360339" w:rsidRPr="00B14011">
              <w:rPr>
                <w:sz w:val="16"/>
                <w:szCs w:val="16"/>
              </w:rPr>
              <w:t xml:space="preserve"> Number of males and females</w:t>
            </w:r>
            <w:r w:rsidR="0053796B" w:rsidRPr="00B14011">
              <w:rPr>
                <w:sz w:val="16"/>
                <w:szCs w:val="16"/>
              </w:rPr>
              <w:t xml:space="preserve"> in </w:t>
            </w:r>
            <w:r w:rsidR="00845EB7">
              <w:rPr>
                <w:sz w:val="16"/>
                <w:szCs w:val="16"/>
              </w:rPr>
              <w:t>d</w:t>
            </w:r>
            <w:r w:rsidR="0053796B" w:rsidRPr="00B14011">
              <w:rPr>
                <w:sz w:val="16"/>
                <w:szCs w:val="16"/>
              </w:rPr>
              <w:t xml:space="preserve">ry </w:t>
            </w:r>
            <w:r w:rsidR="00845EB7">
              <w:rPr>
                <w:sz w:val="16"/>
                <w:szCs w:val="16"/>
              </w:rPr>
              <w:t>z</w:t>
            </w:r>
            <w:r w:rsidR="0053796B" w:rsidRPr="00B14011">
              <w:rPr>
                <w:sz w:val="16"/>
                <w:szCs w:val="16"/>
              </w:rPr>
              <w:t>one districts</w:t>
            </w:r>
            <w:r w:rsidR="00313BC5" w:rsidRPr="00B14011">
              <w:rPr>
                <w:sz w:val="16"/>
                <w:szCs w:val="16"/>
              </w:rPr>
              <w:t xml:space="preserve"> </w:t>
            </w:r>
            <w:r w:rsidR="00934B5A" w:rsidRPr="00B14011">
              <w:rPr>
                <w:sz w:val="16"/>
                <w:szCs w:val="16"/>
              </w:rPr>
              <w:t>experiencing climate shocks and stresses</w:t>
            </w:r>
            <w:r w:rsidR="00886A1F" w:rsidRPr="00B14011">
              <w:rPr>
                <w:sz w:val="16"/>
                <w:szCs w:val="16"/>
              </w:rPr>
              <w:t>,</w:t>
            </w:r>
            <w:r w:rsidR="00934B5A" w:rsidRPr="00B14011">
              <w:rPr>
                <w:sz w:val="16"/>
                <w:szCs w:val="16"/>
              </w:rPr>
              <w:t xml:space="preserve"> obtaining</w:t>
            </w:r>
            <w:r w:rsidR="00360339" w:rsidRPr="00B14011">
              <w:rPr>
                <w:sz w:val="16"/>
                <w:szCs w:val="16"/>
              </w:rPr>
              <w:t xml:space="preserve"> year-round access to reliable and safe water supply.</w:t>
            </w:r>
          </w:p>
          <w:p w14:paraId="76C447BE" w14:textId="77777777" w:rsidR="00360339" w:rsidRPr="00B14011" w:rsidRDefault="00360339" w:rsidP="004B3459">
            <w:pPr>
              <w:tabs>
                <w:tab w:val="left" w:pos="900"/>
                <w:tab w:val="left" w:pos="990"/>
                <w:tab w:val="left" w:pos="8640"/>
                <w:tab w:val="left" w:pos="9180"/>
              </w:tabs>
              <w:rPr>
                <w:sz w:val="16"/>
                <w:szCs w:val="16"/>
              </w:rPr>
            </w:pPr>
            <w:r w:rsidRPr="00B14011">
              <w:rPr>
                <w:b/>
                <w:sz w:val="16"/>
                <w:szCs w:val="16"/>
              </w:rPr>
              <w:t>Baseline (2018)</w:t>
            </w:r>
            <w:r w:rsidRPr="00B14011">
              <w:rPr>
                <w:sz w:val="16"/>
                <w:szCs w:val="16"/>
              </w:rPr>
              <w:t>: None</w:t>
            </w:r>
            <w:r w:rsidR="00C36D67" w:rsidRPr="00B14011">
              <w:rPr>
                <w:sz w:val="16"/>
                <w:szCs w:val="16"/>
              </w:rPr>
              <w:t xml:space="preserve"> </w:t>
            </w:r>
          </w:p>
          <w:p w14:paraId="6301444D" w14:textId="77777777" w:rsidR="00360339" w:rsidRPr="00B14011" w:rsidRDefault="00360339" w:rsidP="00360339">
            <w:pPr>
              <w:spacing w:line="276" w:lineRule="auto"/>
              <w:rPr>
                <w:sz w:val="16"/>
                <w:szCs w:val="16"/>
              </w:rPr>
            </w:pPr>
            <w:r w:rsidRPr="00B14011">
              <w:rPr>
                <w:b/>
                <w:sz w:val="16"/>
                <w:szCs w:val="16"/>
              </w:rPr>
              <w:t>Target (2022)</w:t>
            </w:r>
            <w:r w:rsidRPr="00B14011">
              <w:rPr>
                <w:sz w:val="16"/>
                <w:szCs w:val="16"/>
              </w:rPr>
              <w:t>: 517,800 of which 264,0</w:t>
            </w:r>
            <w:r w:rsidR="000B57C3" w:rsidRPr="00B14011">
              <w:rPr>
                <w:sz w:val="16"/>
                <w:szCs w:val="16"/>
              </w:rPr>
              <w:t>00</w:t>
            </w:r>
            <w:r w:rsidRPr="00B14011">
              <w:rPr>
                <w:sz w:val="16"/>
                <w:szCs w:val="16"/>
              </w:rPr>
              <w:t xml:space="preserve"> are women</w:t>
            </w:r>
          </w:p>
          <w:p w14:paraId="42A6169D" w14:textId="77777777" w:rsidR="00360339" w:rsidRPr="00B14011" w:rsidRDefault="00360339" w:rsidP="00360339">
            <w:pPr>
              <w:spacing w:line="276" w:lineRule="auto"/>
              <w:rPr>
                <w:rFonts w:ascii="Arial" w:eastAsia="MS Mincho" w:hAnsi="Arial" w:cs="Arial"/>
                <w:sz w:val="16"/>
                <w:szCs w:val="16"/>
              </w:rPr>
            </w:pPr>
            <w:r w:rsidRPr="00B14011">
              <w:rPr>
                <w:b/>
                <w:sz w:val="16"/>
                <w:szCs w:val="16"/>
              </w:rPr>
              <w:t>Source</w:t>
            </w:r>
            <w:r w:rsidRPr="00B14011">
              <w:rPr>
                <w:sz w:val="16"/>
                <w:szCs w:val="16"/>
              </w:rPr>
              <w:t>: UNDP project reports</w:t>
            </w:r>
            <w:r w:rsidRPr="00B14011">
              <w:rPr>
                <w:rFonts w:ascii="Arial" w:eastAsia="MS Mincho" w:hAnsi="Arial" w:cs="Arial"/>
                <w:sz w:val="16"/>
                <w:szCs w:val="16"/>
              </w:rPr>
              <w:t xml:space="preserve"> </w:t>
            </w:r>
          </w:p>
          <w:p w14:paraId="78BE5A4D" w14:textId="77777777" w:rsidR="00360339" w:rsidRPr="00B14011" w:rsidRDefault="00360339" w:rsidP="002955B0">
            <w:pPr>
              <w:tabs>
                <w:tab w:val="left" w:pos="900"/>
                <w:tab w:val="left" w:pos="990"/>
                <w:tab w:val="left" w:pos="8640"/>
                <w:tab w:val="left" w:pos="9180"/>
              </w:tabs>
              <w:rPr>
                <w:rFonts w:eastAsia="Calibri"/>
                <w:b/>
                <w:iCs/>
                <w:sz w:val="16"/>
                <w:szCs w:val="16"/>
              </w:rPr>
            </w:pPr>
          </w:p>
          <w:p w14:paraId="11B12F7F" w14:textId="77777777" w:rsidR="008A3EA7" w:rsidRPr="00B14011" w:rsidRDefault="008A3EA7" w:rsidP="008A3EA7">
            <w:pPr>
              <w:rPr>
                <w:b/>
                <w:bCs/>
                <w:iCs/>
                <w:sz w:val="16"/>
                <w:szCs w:val="16"/>
              </w:rPr>
            </w:pPr>
            <w:r w:rsidRPr="00B14011">
              <w:rPr>
                <w:rFonts w:eastAsia="Calibri"/>
                <w:b/>
                <w:iCs/>
                <w:sz w:val="16"/>
                <w:szCs w:val="16"/>
              </w:rPr>
              <w:t xml:space="preserve">Output 2.2: </w:t>
            </w:r>
            <w:r w:rsidRPr="00B14011">
              <w:rPr>
                <w:b/>
                <w:bCs/>
                <w:sz w:val="16"/>
                <w:szCs w:val="16"/>
              </w:rPr>
              <w:t>Policies, systems and technologies in place to enable people to benefit from sustainable management of natural resources.</w:t>
            </w:r>
          </w:p>
          <w:p w14:paraId="5577D97A" w14:textId="77777777" w:rsidR="008A3EA7" w:rsidRPr="00B14011" w:rsidRDefault="008A3EA7" w:rsidP="008A3EA7">
            <w:pPr>
              <w:tabs>
                <w:tab w:val="left" w:pos="900"/>
                <w:tab w:val="left" w:pos="990"/>
                <w:tab w:val="left" w:pos="8640"/>
                <w:tab w:val="left" w:pos="9180"/>
              </w:tabs>
              <w:rPr>
                <w:rFonts w:eastAsia="Calibri"/>
                <w:b/>
                <w:iCs/>
                <w:sz w:val="16"/>
                <w:szCs w:val="16"/>
              </w:rPr>
            </w:pPr>
          </w:p>
          <w:p w14:paraId="71DEFBF4" w14:textId="77777777" w:rsidR="008A3EA7" w:rsidRPr="00B14011" w:rsidRDefault="008A3EA7" w:rsidP="008A3EA7">
            <w:pPr>
              <w:tabs>
                <w:tab w:val="left" w:pos="900"/>
                <w:tab w:val="left" w:pos="990"/>
                <w:tab w:val="left" w:pos="8640"/>
                <w:tab w:val="left" w:pos="9180"/>
              </w:tabs>
              <w:rPr>
                <w:rFonts w:eastAsia="Calibri"/>
                <w:iCs/>
                <w:sz w:val="16"/>
                <w:szCs w:val="16"/>
              </w:rPr>
            </w:pPr>
            <w:r w:rsidRPr="00B14011">
              <w:rPr>
                <w:rFonts w:eastAsia="Calibri"/>
                <w:b/>
                <w:iCs/>
                <w:sz w:val="16"/>
                <w:szCs w:val="16"/>
              </w:rPr>
              <w:t>Indicator 2.2.1.</w:t>
            </w:r>
            <w:r w:rsidRPr="00B14011">
              <w:rPr>
                <w:rFonts w:eastAsia="Calibri"/>
                <w:iCs/>
                <w:sz w:val="16"/>
                <w:szCs w:val="16"/>
              </w:rPr>
              <w:t xml:space="preserve"> </w:t>
            </w:r>
            <w:r w:rsidRPr="00B14011">
              <w:rPr>
                <w:sz w:val="16"/>
                <w:szCs w:val="16"/>
              </w:rPr>
              <w:t>Number of strategic natural resource conservation management plans developed at local level.</w:t>
            </w:r>
          </w:p>
          <w:p w14:paraId="1274A94B" w14:textId="03AA74A3" w:rsidR="008A3EA7" w:rsidRPr="00B14011" w:rsidRDefault="008A3EA7" w:rsidP="008A3EA7">
            <w:pPr>
              <w:tabs>
                <w:tab w:val="left" w:pos="900"/>
                <w:tab w:val="left" w:pos="990"/>
                <w:tab w:val="left" w:pos="8640"/>
                <w:tab w:val="left" w:pos="9180"/>
              </w:tabs>
              <w:rPr>
                <w:rFonts w:eastAsia="Calibri"/>
                <w:iCs/>
                <w:sz w:val="16"/>
                <w:szCs w:val="16"/>
              </w:rPr>
            </w:pPr>
            <w:r w:rsidRPr="00B14011">
              <w:rPr>
                <w:rFonts w:eastAsia="Calibri"/>
                <w:b/>
                <w:iCs/>
                <w:sz w:val="16"/>
                <w:szCs w:val="16"/>
              </w:rPr>
              <w:t>Baseline (2018):</w:t>
            </w:r>
            <w:r w:rsidR="00845EB7">
              <w:rPr>
                <w:rFonts w:eastAsia="Calibri"/>
                <w:iCs/>
                <w:sz w:val="16"/>
                <w:szCs w:val="16"/>
              </w:rPr>
              <w:t xml:space="preserve"> 0</w:t>
            </w:r>
          </w:p>
          <w:p w14:paraId="208F5A38" w14:textId="3D494E82" w:rsidR="008A3EA7" w:rsidRPr="00B14011" w:rsidRDefault="008A3EA7" w:rsidP="008A3EA7">
            <w:pPr>
              <w:tabs>
                <w:tab w:val="left" w:pos="900"/>
                <w:tab w:val="left" w:pos="990"/>
                <w:tab w:val="left" w:pos="8640"/>
                <w:tab w:val="left" w:pos="9180"/>
              </w:tabs>
              <w:rPr>
                <w:rFonts w:eastAsia="Calibri"/>
                <w:iCs/>
                <w:sz w:val="16"/>
                <w:szCs w:val="16"/>
              </w:rPr>
            </w:pPr>
            <w:r w:rsidRPr="00B14011">
              <w:rPr>
                <w:rFonts w:eastAsia="Calibri"/>
                <w:b/>
                <w:iCs/>
                <w:sz w:val="16"/>
                <w:szCs w:val="16"/>
              </w:rPr>
              <w:t xml:space="preserve">Target (2022): </w:t>
            </w:r>
            <w:r w:rsidR="00845EB7">
              <w:rPr>
                <w:rFonts w:eastAsia="Calibri"/>
                <w:iCs/>
                <w:sz w:val="16"/>
                <w:szCs w:val="16"/>
              </w:rPr>
              <w:t>5</w:t>
            </w:r>
          </w:p>
          <w:p w14:paraId="3684E41F" w14:textId="77777777" w:rsidR="008A3EA7" w:rsidRPr="00B14011" w:rsidRDefault="008A3EA7" w:rsidP="008A3EA7">
            <w:pPr>
              <w:rPr>
                <w:rFonts w:eastAsia="Calibri"/>
                <w:b/>
                <w:iCs/>
                <w:sz w:val="16"/>
                <w:szCs w:val="16"/>
              </w:rPr>
            </w:pPr>
            <w:r w:rsidRPr="00B14011">
              <w:rPr>
                <w:rFonts w:eastAsia="Calibri"/>
                <w:b/>
                <w:iCs/>
                <w:sz w:val="16"/>
                <w:szCs w:val="16"/>
              </w:rPr>
              <w:t xml:space="preserve">Source:  </w:t>
            </w:r>
            <w:r w:rsidRPr="00B14011">
              <w:rPr>
                <w:sz w:val="16"/>
                <w:szCs w:val="16"/>
              </w:rPr>
              <w:t>UNDP project reports</w:t>
            </w:r>
          </w:p>
          <w:p w14:paraId="23304192" w14:textId="77777777" w:rsidR="008A3EA7" w:rsidRPr="00B14011" w:rsidRDefault="008A3EA7" w:rsidP="008A3EA7">
            <w:pPr>
              <w:tabs>
                <w:tab w:val="left" w:pos="900"/>
                <w:tab w:val="left" w:pos="990"/>
                <w:tab w:val="left" w:pos="8640"/>
                <w:tab w:val="left" w:pos="9180"/>
              </w:tabs>
              <w:rPr>
                <w:rFonts w:eastAsia="Calibri"/>
                <w:b/>
                <w:iCs/>
                <w:sz w:val="16"/>
                <w:szCs w:val="16"/>
              </w:rPr>
            </w:pPr>
          </w:p>
          <w:p w14:paraId="0D503C62" w14:textId="77777777" w:rsidR="008A3EA7" w:rsidRPr="00B14011" w:rsidRDefault="008A3EA7" w:rsidP="008A3EA7">
            <w:pPr>
              <w:tabs>
                <w:tab w:val="left" w:pos="900"/>
                <w:tab w:val="left" w:pos="990"/>
                <w:tab w:val="left" w:pos="8640"/>
                <w:tab w:val="left" w:pos="9180"/>
              </w:tabs>
              <w:rPr>
                <w:rFonts w:eastAsia="Calibri"/>
                <w:iCs/>
                <w:sz w:val="16"/>
                <w:szCs w:val="16"/>
              </w:rPr>
            </w:pPr>
            <w:r w:rsidRPr="00B14011">
              <w:rPr>
                <w:rFonts w:eastAsia="Calibri"/>
                <w:b/>
                <w:iCs/>
                <w:sz w:val="16"/>
                <w:szCs w:val="16"/>
              </w:rPr>
              <w:t>Indicator 2.2.2.</w:t>
            </w:r>
            <w:r w:rsidRPr="00B14011">
              <w:rPr>
                <w:rFonts w:eastAsia="Calibri"/>
                <w:iCs/>
                <w:sz w:val="16"/>
                <w:szCs w:val="16"/>
              </w:rPr>
              <w:t xml:space="preserve">  </w:t>
            </w:r>
            <w:r w:rsidRPr="00B14011">
              <w:rPr>
                <w:sz w:val="16"/>
                <w:szCs w:val="16"/>
              </w:rPr>
              <w:t>Number of ecosystem-based land</w:t>
            </w:r>
            <w:r w:rsidR="00874B05" w:rsidRPr="00B14011">
              <w:rPr>
                <w:sz w:val="16"/>
                <w:szCs w:val="16"/>
              </w:rPr>
              <w:t xml:space="preserve"> use management plans developed and </w:t>
            </w:r>
            <w:r w:rsidR="00E66D34" w:rsidRPr="00B14011">
              <w:rPr>
                <w:sz w:val="16"/>
                <w:szCs w:val="16"/>
              </w:rPr>
              <w:t>implemented</w:t>
            </w:r>
          </w:p>
          <w:p w14:paraId="5A2933DF" w14:textId="4055B206" w:rsidR="008A3EA7" w:rsidRPr="00B14011" w:rsidRDefault="008A3EA7" w:rsidP="008A3EA7">
            <w:pPr>
              <w:tabs>
                <w:tab w:val="left" w:pos="900"/>
                <w:tab w:val="left" w:pos="990"/>
                <w:tab w:val="left" w:pos="8640"/>
                <w:tab w:val="left" w:pos="9180"/>
              </w:tabs>
              <w:rPr>
                <w:rFonts w:eastAsia="Calibri"/>
                <w:iCs/>
                <w:sz w:val="16"/>
                <w:szCs w:val="16"/>
              </w:rPr>
            </w:pPr>
            <w:r w:rsidRPr="00B14011">
              <w:rPr>
                <w:rFonts w:eastAsia="Calibri"/>
                <w:b/>
                <w:iCs/>
                <w:sz w:val="16"/>
                <w:szCs w:val="16"/>
              </w:rPr>
              <w:lastRenderedPageBreak/>
              <w:t xml:space="preserve">Baseline (2018): </w:t>
            </w:r>
            <w:r w:rsidR="00845EB7">
              <w:rPr>
                <w:rFonts w:eastAsia="Calibri"/>
                <w:iCs/>
                <w:sz w:val="16"/>
                <w:szCs w:val="16"/>
              </w:rPr>
              <w:t>0</w:t>
            </w:r>
          </w:p>
          <w:p w14:paraId="79B7DBA8" w14:textId="329B74CF" w:rsidR="008A3EA7" w:rsidRPr="00B14011" w:rsidRDefault="008A3EA7" w:rsidP="008A3EA7">
            <w:pPr>
              <w:tabs>
                <w:tab w:val="left" w:pos="900"/>
                <w:tab w:val="left" w:pos="990"/>
                <w:tab w:val="left" w:pos="8640"/>
                <w:tab w:val="left" w:pos="9180"/>
              </w:tabs>
              <w:ind w:left="14"/>
              <w:rPr>
                <w:rFonts w:eastAsia="Calibri"/>
                <w:b/>
                <w:iCs/>
                <w:sz w:val="16"/>
                <w:szCs w:val="16"/>
              </w:rPr>
            </w:pPr>
            <w:r w:rsidRPr="00B14011">
              <w:rPr>
                <w:rFonts w:eastAsia="Calibri"/>
                <w:b/>
                <w:iCs/>
                <w:sz w:val="16"/>
                <w:szCs w:val="16"/>
              </w:rPr>
              <w:t>Target (2022):</w:t>
            </w:r>
            <w:r w:rsidRPr="00B14011">
              <w:rPr>
                <w:rFonts w:eastAsia="Calibri"/>
                <w:iCs/>
                <w:sz w:val="16"/>
                <w:szCs w:val="16"/>
              </w:rPr>
              <w:t xml:space="preserve"> </w:t>
            </w:r>
            <w:r w:rsidR="00845EB7">
              <w:rPr>
                <w:rFonts w:eastAsia="Calibri"/>
                <w:iCs/>
                <w:sz w:val="16"/>
                <w:szCs w:val="16"/>
              </w:rPr>
              <w:t>8</w:t>
            </w:r>
          </w:p>
          <w:p w14:paraId="1D72C095" w14:textId="77777777" w:rsidR="008A3EA7" w:rsidRPr="00B14011" w:rsidRDefault="003544CB" w:rsidP="008A3EA7">
            <w:pPr>
              <w:tabs>
                <w:tab w:val="left" w:pos="900"/>
                <w:tab w:val="left" w:pos="990"/>
                <w:tab w:val="left" w:pos="8640"/>
                <w:tab w:val="left" w:pos="9180"/>
              </w:tabs>
              <w:rPr>
                <w:rFonts w:eastAsia="Calibri"/>
                <w:iCs/>
                <w:sz w:val="16"/>
                <w:szCs w:val="16"/>
              </w:rPr>
            </w:pPr>
            <w:r w:rsidRPr="00B14011">
              <w:rPr>
                <w:rFonts w:eastAsia="Calibri"/>
                <w:b/>
                <w:iCs/>
                <w:sz w:val="16"/>
                <w:szCs w:val="16"/>
              </w:rPr>
              <w:t>Source:</w:t>
            </w:r>
            <w:r w:rsidR="008A3EA7" w:rsidRPr="00B14011">
              <w:rPr>
                <w:sz w:val="16"/>
                <w:szCs w:val="16"/>
              </w:rPr>
              <w:t xml:space="preserve"> </w:t>
            </w:r>
            <w:r w:rsidR="00E66D34" w:rsidRPr="00B14011">
              <w:rPr>
                <w:sz w:val="16"/>
                <w:szCs w:val="16"/>
              </w:rPr>
              <w:t>A</w:t>
            </w:r>
            <w:r w:rsidR="008A3EA7" w:rsidRPr="00B14011">
              <w:rPr>
                <w:sz w:val="16"/>
                <w:szCs w:val="16"/>
              </w:rPr>
              <w:t xml:space="preserve">nnual reports from </w:t>
            </w:r>
            <w:r w:rsidR="00E66D34" w:rsidRPr="00B14011">
              <w:rPr>
                <w:sz w:val="16"/>
                <w:szCs w:val="16"/>
              </w:rPr>
              <w:t>the Department of Land Use Planning</w:t>
            </w:r>
          </w:p>
          <w:p w14:paraId="5652D40B" w14:textId="77777777" w:rsidR="00C17747" w:rsidRPr="00B14011" w:rsidRDefault="00C17747" w:rsidP="008A3EA7">
            <w:pPr>
              <w:rPr>
                <w:rFonts w:eastAsia="Calibri"/>
                <w:b/>
                <w:iCs/>
                <w:sz w:val="16"/>
                <w:szCs w:val="16"/>
              </w:rPr>
            </w:pPr>
          </w:p>
          <w:p w14:paraId="429D8183" w14:textId="09770C0F" w:rsidR="008A3EA7" w:rsidRPr="00B14011" w:rsidRDefault="008A3EA7" w:rsidP="008A3EA7">
            <w:pPr>
              <w:rPr>
                <w:b/>
                <w:sz w:val="16"/>
                <w:szCs w:val="16"/>
              </w:rPr>
            </w:pPr>
            <w:r w:rsidRPr="00B14011">
              <w:rPr>
                <w:rFonts w:eastAsia="Calibri"/>
                <w:b/>
                <w:iCs/>
                <w:sz w:val="16"/>
                <w:szCs w:val="16"/>
              </w:rPr>
              <w:t xml:space="preserve">Output 2.3: </w:t>
            </w:r>
            <w:r w:rsidRPr="00B14011">
              <w:rPr>
                <w:b/>
                <w:sz w:val="16"/>
                <w:szCs w:val="16"/>
              </w:rPr>
              <w:t>Low-carbon pathways and green development promoted focusi</w:t>
            </w:r>
            <w:r w:rsidR="002B3250" w:rsidRPr="00B14011">
              <w:rPr>
                <w:b/>
                <w:sz w:val="16"/>
                <w:szCs w:val="16"/>
              </w:rPr>
              <w:t xml:space="preserve">ng on renewable energy and </w:t>
            </w:r>
            <w:r w:rsidR="00E73923">
              <w:rPr>
                <w:b/>
                <w:sz w:val="16"/>
                <w:szCs w:val="16"/>
              </w:rPr>
              <w:t>b</w:t>
            </w:r>
            <w:r w:rsidR="002B3250" w:rsidRPr="00B14011">
              <w:rPr>
                <w:b/>
                <w:sz w:val="16"/>
                <w:szCs w:val="16"/>
              </w:rPr>
              <w:t>lue-</w:t>
            </w:r>
            <w:r w:rsidR="00E73923">
              <w:rPr>
                <w:b/>
                <w:sz w:val="16"/>
                <w:szCs w:val="16"/>
              </w:rPr>
              <w:t>g</w:t>
            </w:r>
            <w:r w:rsidR="002B3250" w:rsidRPr="00B14011">
              <w:rPr>
                <w:b/>
                <w:sz w:val="16"/>
                <w:szCs w:val="16"/>
              </w:rPr>
              <w:t>reen investment</w:t>
            </w:r>
          </w:p>
          <w:p w14:paraId="2F7E5E6D" w14:textId="77777777" w:rsidR="008A3EA7" w:rsidRPr="00B14011" w:rsidRDefault="008A3EA7" w:rsidP="008A3EA7">
            <w:pPr>
              <w:tabs>
                <w:tab w:val="left" w:pos="900"/>
                <w:tab w:val="left" w:pos="990"/>
                <w:tab w:val="left" w:pos="8640"/>
                <w:tab w:val="left" w:pos="9180"/>
              </w:tabs>
              <w:rPr>
                <w:rFonts w:eastAsia="Calibri"/>
                <w:b/>
                <w:iCs/>
                <w:sz w:val="16"/>
                <w:szCs w:val="16"/>
              </w:rPr>
            </w:pPr>
          </w:p>
          <w:p w14:paraId="1DF93B4A" w14:textId="77777777" w:rsidR="00BC7D43" w:rsidRPr="00B14011" w:rsidRDefault="00BC7D43" w:rsidP="008A3EA7">
            <w:pPr>
              <w:tabs>
                <w:tab w:val="left" w:pos="900"/>
                <w:tab w:val="left" w:pos="990"/>
                <w:tab w:val="left" w:pos="8640"/>
                <w:tab w:val="left" w:pos="9180"/>
              </w:tabs>
              <w:rPr>
                <w:rFonts w:eastAsia="Calibri"/>
                <w:iCs/>
                <w:sz w:val="16"/>
                <w:szCs w:val="16"/>
              </w:rPr>
            </w:pPr>
            <w:r w:rsidRPr="00B14011">
              <w:rPr>
                <w:rFonts w:eastAsia="Calibri"/>
                <w:b/>
                <w:iCs/>
                <w:sz w:val="16"/>
                <w:szCs w:val="16"/>
              </w:rPr>
              <w:t xml:space="preserve">Indicator 2.3.1:  </w:t>
            </w:r>
            <w:r w:rsidRPr="00B14011">
              <w:rPr>
                <w:rFonts w:eastAsia="Calibri"/>
                <w:iCs/>
                <w:sz w:val="16"/>
                <w:szCs w:val="16"/>
              </w:rPr>
              <w:t>Amou</w:t>
            </w:r>
            <w:r w:rsidR="00046D61" w:rsidRPr="00B14011">
              <w:rPr>
                <w:rFonts w:eastAsia="Calibri"/>
                <w:iCs/>
                <w:sz w:val="16"/>
                <w:szCs w:val="16"/>
              </w:rPr>
              <w:t xml:space="preserve">nt of investment </w:t>
            </w:r>
            <w:r w:rsidR="00410351" w:rsidRPr="00B14011">
              <w:rPr>
                <w:rFonts w:eastAsia="Calibri"/>
                <w:iCs/>
                <w:sz w:val="16"/>
                <w:szCs w:val="16"/>
              </w:rPr>
              <w:t xml:space="preserve">brokered by UNDP </w:t>
            </w:r>
            <w:r w:rsidR="00046D61" w:rsidRPr="00B14011">
              <w:rPr>
                <w:rFonts w:eastAsia="Calibri"/>
                <w:iCs/>
                <w:sz w:val="16"/>
                <w:szCs w:val="16"/>
              </w:rPr>
              <w:t>through public-</w:t>
            </w:r>
            <w:r w:rsidRPr="00B14011">
              <w:rPr>
                <w:rFonts w:eastAsia="Calibri"/>
                <w:iCs/>
                <w:sz w:val="16"/>
                <w:szCs w:val="16"/>
              </w:rPr>
              <w:t>private partnerships in renewable energy and low-carbon development.</w:t>
            </w:r>
          </w:p>
          <w:p w14:paraId="7D64487E" w14:textId="6E7704EA" w:rsidR="00BC7D43" w:rsidRPr="00B14011" w:rsidRDefault="00BC7D43" w:rsidP="008A3EA7">
            <w:pPr>
              <w:tabs>
                <w:tab w:val="left" w:pos="900"/>
                <w:tab w:val="left" w:pos="990"/>
                <w:tab w:val="left" w:pos="8640"/>
                <w:tab w:val="left" w:pos="9180"/>
              </w:tabs>
              <w:rPr>
                <w:rFonts w:eastAsia="Calibri"/>
                <w:iCs/>
                <w:sz w:val="16"/>
                <w:szCs w:val="16"/>
              </w:rPr>
            </w:pPr>
            <w:r w:rsidRPr="00B14011">
              <w:rPr>
                <w:rFonts w:eastAsia="Calibri"/>
                <w:b/>
                <w:iCs/>
                <w:sz w:val="16"/>
                <w:szCs w:val="16"/>
              </w:rPr>
              <w:t xml:space="preserve">Baseline (2018): </w:t>
            </w:r>
            <w:r w:rsidR="00E73923">
              <w:rPr>
                <w:rFonts w:eastAsia="Calibri"/>
                <w:iCs/>
                <w:sz w:val="16"/>
                <w:szCs w:val="16"/>
              </w:rPr>
              <w:t>0</w:t>
            </w:r>
          </w:p>
          <w:p w14:paraId="0B3DF5F9" w14:textId="67046A29" w:rsidR="00BC7D43" w:rsidRPr="00B14011" w:rsidRDefault="00BC7D43" w:rsidP="008A3EA7">
            <w:pPr>
              <w:tabs>
                <w:tab w:val="left" w:pos="900"/>
                <w:tab w:val="left" w:pos="990"/>
                <w:tab w:val="left" w:pos="8640"/>
                <w:tab w:val="left" w:pos="9180"/>
              </w:tabs>
              <w:rPr>
                <w:rFonts w:eastAsia="Calibri"/>
                <w:iCs/>
                <w:sz w:val="16"/>
                <w:szCs w:val="16"/>
              </w:rPr>
            </w:pPr>
            <w:r w:rsidRPr="00B14011">
              <w:rPr>
                <w:rFonts w:eastAsia="Calibri"/>
                <w:b/>
                <w:iCs/>
                <w:sz w:val="16"/>
                <w:szCs w:val="16"/>
              </w:rPr>
              <w:t xml:space="preserve">Target (2022): </w:t>
            </w:r>
            <w:r w:rsidR="00E73923">
              <w:rPr>
                <w:rFonts w:eastAsia="Calibri"/>
                <w:b/>
                <w:iCs/>
                <w:sz w:val="16"/>
                <w:szCs w:val="16"/>
              </w:rPr>
              <w:t>$</w:t>
            </w:r>
            <w:r w:rsidRPr="00B14011">
              <w:rPr>
                <w:rFonts w:eastAsia="Calibri"/>
                <w:iCs/>
                <w:sz w:val="16"/>
                <w:szCs w:val="16"/>
              </w:rPr>
              <w:t>1 million</w:t>
            </w:r>
          </w:p>
          <w:p w14:paraId="63121005" w14:textId="77777777" w:rsidR="00BC7D43" w:rsidRPr="00B14011" w:rsidRDefault="00BC7D43" w:rsidP="008A3EA7">
            <w:pPr>
              <w:tabs>
                <w:tab w:val="left" w:pos="900"/>
                <w:tab w:val="left" w:pos="990"/>
                <w:tab w:val="left" w:pos="8640"/>
                <w:tab w:val="left" w:pos="9180"/>
              </w:tabs>
              <w:rPr>
                <w:rFonts w:eastAsia="Calibri"/>
                <w:b/>
                <w:iCs/>
                <w:sz w:val="16"/>
                <w:szCs w:val="16"/>
              </w:rPr>
            </w:pPr>
            <w:r w:rsidRPr="00B14011">
              <w:rPr>
                <w:rFonts w:eastAsia="Calibri"/>
                <w:b/>
                <w:iCs/>
                <w:sz w:val="16"/>
                <w:szCs w:val="16"/>
              </w:rPr>
              <w:t xml:space="preserve">Source:  </w:t>
            </w:r>
            <w:r w:rsidRPr="00B14011">
              <w:rPr>
                <w:rFonts w:eastAsia="Calibri"/>
                <w:iCs/>
                <w:sz w:val="16"/>
                <w:szCs w:val="16"/>
              </w:rPr>
              <w:t>Sustainable Energy Authority</w:t>
            </w:r>
          </w:p>
          <w:p w14:paraId="46FD835B" w14:textId="77777777" w:rsidR="008A3EA7" w:rsidRPr="00B14011" w:rsidRDefault="008A3EA7" w:rsidP="008A3EA7">
            <w:pPr>
              <w:tabs>
                <w:tab w:val="left" w:pos="900"/>
                <w:tab w:val="left" w:pos="990"/>
                <w:tab w:val="left" w:pos="8640"/>
                <w:tab w:val="left" w:pos="9180"/>
              </w:tabs>
              <w:ind w:left="31"/>
              <w:rPr>
                <w:rFonts w:eastAsia="Calibri"/>
                <w:iCs/>
                <w:sz w:val="16"/>
                <w:szCs w:val="16"/>
              </w:rPr>
            </w:pPr>
          </w:p>
          <w:p w14:paraId="067D6A48" w14:textId="2F698920" w:rsidR="008A3EA7" w:rsidRPr="00B14011" w:rsidRDefault="008A3EA7" w:rsidP="008A3EA7">
            <w:pPr>
              <w:tabs>
                <w:tab w:val="left" w:pos="900"/>
                <w:tab w:val="left" w:pos="990"/>
                <w:tab w:val="left" w:pos="8640"/>
                <w:tab w:val="left" w:pos="9180"/>
              </w:tabs>
              <w:rPr>
                <w:rFonts w:eastAsia="Calibri"/>
                <w:iCs/>
                <w:sz w:val="16"/>
                <w:szCs w:val="16"/>
              </w:rPr>
            </w:pPr>
            <w:r w:rsidRPr="00B14011">
              <w:rPr>
                <w:rFonts w:eastAsia="Calibri"/>
                <w:b/>
                <w:iCs/>
                <w:sz w:val="16"/>
                <w:szCs w:val="16"/>
              </w:rPr>
              <w:t>Indicator 2.3</w:t>
            </w:r>
            <w:r w:rsidR="00D97AD1" w:rsidRPr="00B14011">
              <w:rPr>
                <w:rFonts w:eastAsia="Calibri"/>
                <w:b/>
                <w:iCs/>
                <w:sz w:val="16"/>
                <w:szCs w:val="16"/>
              </w:rPr>
              <w:t>.2.</w:t>
            </w:r>
            <w:r w:rsidRPr="00B14011">
              <w:rPr>
                <w:rFonts w:eastAsia="Calibri"/>
                <w:iCs/>
                <w:sz w:val="16"/>
                <w:szCs w:val="16"/>
              </w:rPr>
              <w:t xml:space="preserve"> Number of national and subnational government and private sector institutions using low-carbon technology options and obtain relevant certifications.</w:t>
            </w:r>
          </w:p>
          <w:p w14:paraId="1463016F" w14:textId="77777777" w:rsidR="008A3EA7" w:rsidRPr="00B14011" w:rsidRDefault="008A3EA7" w:rsidP="008A3EA7">
            <w:pPr>
              <w:tabs>
                <w:tab w:val="left" w:pos="900"/>
                <w:tab w:val="left" w:pos="990"/>
                <w:tab w:val="left" w:pos="8640"/>
                <w:tab w:val="left" w:pos="9180"/>
              </w:tabs>
              <w:rPr>
                <w:rFonts w:eastAsia="Calibri"/>
                <w:iCs/>
                <w:sz w:val="16"/>
                <w:szCs w:val="16"/>
              </w:rPr>
            </w:pPr>
            <w:r w:rsidRPr="00B14011">
              <w:rPr>
                <w:rFonts w:eastAsia="Calibri"/>
                <w:b/>
                <w:iCs/>
                <w:sz w:val="16"/>
                <w:szCs w:val="16"/>
              </w:rPr>
              <w:t>Baseline (2018):</w:t>
            </w:r>
            <w:r w:rsidR="006E52F2" w:rsidRPr="00B14011">
              <w:rPr>
                <w:rFonts w:eastAsia="Calibri"/>
                <w:b/>
                <w:iCs/>
                <w:sz w:val="16"/>
                <w:szCs w:val="16"/>
              </w:rPr>
              <w:t xml:space="preserve"> </w:t>
            </w:r>
            <w:r w:rsidR="006E52F2" w:rsidRPr="00B14011">
              <w:rPr>
                <w:rFonts w:eastAsia="Calibri"/>
                <w:iCs/>
                <w:sz w:val="16"/>
                <w:szCs w:val="16"/>
              </w:rPr>
              <w:t>0</w:t>
            </w:r>
            <w:r w:rsidR="00F65E3E" w:rsidRPr="00B14011">
              <w:rPr>
                <w:rFonts w:eastAsia="Calibri"/>
                <w:iCs/>
                <w:sz w:val="16"/>
                <w:szCs w:val="16"/>
              </w:rPr>
              <w:t xml:space="preserve"> </w:t>
            </w:r>
          </w:p>
          <w:p w14:paraId="353AB86C" w14:textId="77777777" w:rsidR="008A3EA7" w:rsidRPr="00B14011" w:rsidRDefault="008A3EA7" w:rsidP="008A3EA7">
            <w:pPr>
              <w:tabs>
                <w:tab w:val="left" w:pos="900"/>
                <w:tab w:val="left" w:pos="990"/>
                <w:tab w:val="left" w:pos="8640"/>
                <w:tab w:val="left" w:pos="9180"/>
              </w:tabs>
              <w:rPr>
                <w:rFonts w:eastAsia="Calibri"/>
                <w:b/>
                <w:iCs/>
                <w:sz w:val="16"/>
                <w:szCs w:val="16"/>
              </w:rPr>
            </w:pPr>
            <w:r w:rsidRPr="00B14011">
              <w:rPr>
                <w:rFonts w:eastAsia="Calibri"/>
                <w:b/>
                <w:iCs/>
                <w:sz w:val="16"/>
                <w:szCs w:val="16"/>
              </w:rPr>
              <w:t xml:space="preserve">Target (2022): </w:t>
            </w:r>
            <w:r w:rsidRPr="00B14011">
              <w:rPr>
                <w:rFonts w:eastAsia="Calibri"/>
                <w:iCs/>
                <w:sz w:val="16"/>
                <w:szCs w:val="16"/>
              </w:rPr>
              <w:t>25</w:t>
            </w:r>
          </w:p>
          <w:p w14:paraId="28C1CA72" w14:textId="77777777" w:rsidR="00747345" w:rsidRPr="00B14011" w:rsidRDefault="008A3EA7" w:rsidP="008A3EA7">
            <w:pPr>
              <w:tabs>
                <w:tab w:val="left" w:pos="900"/>
                <w:tab w:val="left" w:pos="990"/>
                <w:tab w:val="left" w:pos="8640"/>
                <w:tab w:val="left" w:pos="9180"/>
              </w:tabs>
              <w:rPr>
                <w:rFonts w:cs="Arial"/>
                <w:sz w:val="16"/>
                <w:szCs w:val="16"/>
              </w:rPr>
            </w:pPr>
            <w:r w:rsidRPr="00B14011">
              <w:rPr>
                <w:rFonts w:eastAsia="Calibri"/>
                <w:b/>
                <w:iCs/>
                <w:sz w:val="16"/>
                <w:szCs w:val="16"/>
              </w:rPr>
              <w:t xml:space="preserve">Source: </w:t>
            </w:r>
            <w:r w:rsidRPr="00B14011">
              <w:rPr>
                <w:rFonts w:eastAsia="Calibri"/>
                <w:iCs/>
                <w:sz w:val="16"/>
                <w:szCs w:val="16"/>
              </w:rPr>
              <w:t>UNDP project reports</w:t>
            </w:r>
          </w:p>
          <w:p w14:paraId="0E05C475" w14:textId="2B4C9EED" w:rsidR="0005263C" w:rsidRPr="00B14011" w:rsidRDefault="0005263C" w:rsidP="0005263C">
            <w:pPr>
              <w:tabs>
                <w:tab w:val="left" w:pos="900"/>
                <w:tab w:val="left" w:pos="990"/>
                <w:tab w:val="left" w:pos="8640"/>
                <w:tab w:val="left" w:pos="9180"/>
              </w:tabs>
              <w:rPr>
                <w:rFonts w:eastAsia="Calibri"/>
                <w:iCs/>
                <w:sz w:val="16"/>
                <w:szCs w:val="16"/>
              </w:rPr>
            </w:pPr>
          </w:p>
          <w:p w14:paraId="0E4E8231" w14:textId="090117CD" w:rsidR="0005263C" w:rsidRPr="00B14011" w:rsidRDefault="0005263C" w:rsidP="0005263C">
            <w:pPr>
              <w:tabs>
                <w:tab w:val="left" w:pos="900"/>
                <w:tab w:val="left" w:pos="990"/>
                <w:tab w:val="left" w:pos="8640"/>
                <w:tab w:val="left" w:pos="9180"/>
              </w:tabs>
              <w:rPr>
                <w:sz w:val="16"/>
                <w:szCs w:val="16"/>
              </w:rPr>
            </w:pPr>
            <w:r w:rsidRPr="00B14011">
              <w:rPr>
                <w:rFonts w:eastAsia="Calibri"/>
                <w:b/>
                <w:iCs/>
                <w:sz w:val="16"/>
                <w:szCs w:val="16"/>
              </w:rPr>
              <w:t>Indicator 2.3.</w:t>
            </w:r>
            <w:r w:rsidR="00047969" w:rsidRPr="00B14011">
              <w:rPr>
                <w:rFonts w:eastAsia="Calibri"/>
                <w:b/>
                <w:iCs/>
                <w:sz w:val="16"/>
                <w:szCs w:val="16"/>
              </w:rPr>
              <w:t>3</w:t>
            </w:r>
            <w:r w:rsidRPr="00B14011">
              <w:rPr>
                <w:rFonts w:eastAsia="Calibri"/>
                <w:iCs/>
                <w:sz w:val="16"/>
                <w:szCs w:val="16"/>
              </w:rPr>
              <w:t xml:space="preserve">.  Reduced </w:t>
            </w:r>
            <w:r w:rsidRPr="00B14011">
              <w:rPr>
                <w:sz w:val="16"/>
                <w:szCs w:val="16"/>
              </w:rPr>
              <w:t>greenhouse gas emissions through UNDP waste-to-energy initiatives.</w:t>
            </w:r>
          </w:p>
          <w:p w14:paraId="74E5426D" w14:textId="77777777" w:rsidR="0005263C" w:rsidRPr="00B14011" w:rsidRDefault="0005263C" w:rsidP="0005263C">
            <w:pPr>
              <w:tabs>
                <w:tab w:val="left" w:pos="900"/>
                <w:tab w:val="left" w:pos="990"/>
                <w:tab w:val="left" w:pos="8640"/>
                <w:tab w:val="left" w:pos="9180"/>
              </w:tabs>
              <w:rPr>
                <w:rFonts w:cs="Arial"/>
                <w:sz w:val="16"/>
                <w:szCs w:val="16"/>
              </w:rPr>
            </w:pPr>
            <w:r w:rsidRPr="00B14011">
              <w:rPr>
                <w:b/>
                <w:sz w:val="16"/>
                <w:szCs w:val="16"/>
              </w:rPr>
              <w:t>Baseline (2017):</w:t>
            </w:r>
            <w:r w:rsidRPr="00B14011">
              <w:rPr>
                <w:sz w:val="16"/>
                <w:szCs w:val="16"/>
              </w:rPr>
              <w:t xml:space="preserve">  </w:t>
            </w:r>
            <w:r w:rsidRPr="00B14011">
              <w:rPr>
                <w:rFonts w:cs="Arial"/>
                <w:sz w:val="16"/>
                <w:szCs w:val="16"/>
              </w:rPr>
              <w:t>3,649 tCO2e</w:t>
            </w:r>
          </w:p>
          <w:p w14:paraId="1A324B62" w14:textId="77777777" w:rsidR="0005263C" w:rsidRPr="00B14011" w:rsidRDefault="0005263C" w:rsidP="0005263C">
            <w:pPr>
              <w:tabs>
                <w:tab w:val="left" w:pos="900"/>
                <w:tab w:val="left" w:pos="990"/>
                <w:tab w:val="left" w:pos="8640"/>
                <w:tab w:val="left" w:pos="9180"/>
              </w:tabs>
              <w:rPr>
                <w:rFonts w:eastAsia="Calibri"/>
                <w:iCs/>
                <w:sz w:val="16"/>
                <w:szCs w:val="16"/>
              </w:rPr>
            </w:pPr>
            <w:r w:rsidRPr="00B14011">
              <w:rPr>
                <w:rFonts w:cs="Arial"/>
                <w:b/>
                <w:sz w:val="16"/>
                <w:szCs w:val="16"/>
              </w:rPr>
              <w:t>Target (2022):</w:t>
            </w:r>
            <w:r w:rsidR="00DF31CF" w:rsidRPr="00B14011">
              <w:rPr>
                <w:rFonts w:cs="Arial"/>
                <w:sz w:val="16"/>
                <w:szCs w:val="16"/>
              </w:rPr>
              <w:t xml:space="preserve">  2,500</w:t>
            </w:r>
            <w:r w:rsidRPr="00B14011">
              <w:rPr>
                <w:rFonts w:cs="Arial"/>
                <w:sz w:val="16"/>
                <w:szCs w:val="16"/>
              </w:rPr>
              <w:t xml:space="preserve"> tCO2e</w:t>
            </w:r>
          </w:p>
          <w:p w14:paraId="1682A4C7" w14:textId="77777777" w:rsidR="0005263C" w:rsidRPr="00B14011" w:rsidRDefault="0005263C" w:rsidP="0005263C">
            <w:pPr>
              <w:tabs>
                <w:tab w:val="left" w:pos="900"/>
                <w:tab w:val="left" w:pos="990"/>
                <w:tab w:val="left" w:pos="8640"/>
                <w:tab w:val="left" w:pos="9180"/>
              </w:tabs>
              <w:rPr>
                <w:rFonts w:eastAsia="Calibri"/>
                <w:iCs/>
                <w:sz w:val="16"/>
                <w:szCs w:val="16"/>
              </w:rPr>
            </w:pPr>
            <w:r w:rsidRPr="00B14011">
              <w:rPr>
                <w:rFonts w:eastAsia="Calibri"/>
                <w:b/>
                <w:iCs/>
                <w:sz w:val="16"/>
                <w:szCs w:val="16"/>
              </w:rPr>
              <w:t>Source:</w:t>
            </w:r>
            <w:r w:rsidRPr="00B14011">
              <w:rPr>
                <w:rFonts w:eastAsia="Calibri"/>
                <w:iCs/>
                <w:sz w:val="16"/>
                <w:szCs w:val="16"/>
              </w:rPr>
              <w:t xml:space="preserve">  Montreal Protocol Unit</w:t>
            </w:r>
            <w:r w:rsidRPr="00B14011">
              <w:rPr>
                <w:rStyle w:val="FootnoteReference"/>
                <w:rFonts w:eastAsia="Calibri"/>
                <w:iCs/>
                <w:sz w:val="16"/>
                <w:szCs w:val="16"/>
              </w:rPr>
              <w:footnoteReference w:id="32"/>
            </w:r>
          </w:p>
          <w:p w14:paraId="46E176A4" w14:textId="6C1229EA" w:rsidR="00236E50" w:rsidRPr="00B14011" w:rsidRDefault="00236E50" w:rsidP="00DD28EA">
            <w:pPr>
              <w:tabs>
                <w:tab w:val="left" w:pos="900"/>
                <w:tab w:val="left" w:pos="990"/>
                <w:tab w:val="left" w:pos="8640"/>
                <w:tab w:val="left" w:pos="9180"/>
              </w:tabs>
              <w:rPr>
                <w:rFonts w:eastAsia="Calibri"/>
                <w:iCs/>
                <w:sz w:val="16"/>
                <w:szCs w:val="16"/>
              </w:rPr>
            </w:pPr>
          </w:p>
          <w:p w14:paraId="52914D4A" w14:textId="0C26B60F" w:rsidR="00236E50" w:rsidRPr="00B14011" w:rsidRDefault="00236E50" w:rsidP="00236E50">
            <w:pPr>
              <w:rPr>
                <w:sz w:val="16"/>
                <w:szCs w:val="16"/>
              </w:rPr>
            </w:pPr>
            <w:r w:rsidRPr="00B14011">
              <w:rPr>
                <w:b/>
                <w:iCs/>
                <w:sz w:val="16"/>
                <w:szCs w:val="16"/>
              </w:rPr>
              <w:t>Indicator 2.3.</w:t>
            </w:r>
            <w:r w:rsidR="00047969" w:rsidRPr="00B14011">
              <w:rPr>
                <w:b/>
                <w:iCs/>
                <w:sz w:val="16"/>
                <w:szCs w:val="16"/>
              </w:rPr>
              <w:t>4</w:t>
            </w:r>
            <w:r w:rsidRPr="00B14011">
              <w:rPr>
                <w:iCs/>
                <w:sz w:val="16"/>
                <w:szCs w:val="16"/>
              </w:rPr>
              <w:t xml:space="preserve">. Number of </w:t>
            </w:r>
            <w:r w:rsidR="00E73923">
              <w:rPr>
                <w:iCs/>
                <w:sz w:val="16"/>
                <w:szCs w:val="16"/>
              </w:rPr>
              <w:t>m</w:t>
            </w:r>
            <w:r w:rsidRPr="00B14011">
              <w:rPr>
                <w:iCs/>
                <w:sz w:val="16"/>
                <w:szCs w:val="16"/>
              </w:rPr>
              <w:t>unicipal waste</w:t>
            </w:r>
            <w:r w:rsidR="00E73923">
              <w:rPr>
                <w:iCs/>
                <w:sz w:val="16"/>
                <w:szCs w:val="16"/>
              </w:rPr>
              <w:t>-</w:t>
            </w:r>
            <w:r w:rsidRPr="00B14011">
              <w:rPr>
                <w:iCs/>
                <w:sz w:val="16"/>
                <w:szCs w:val="16"/>
              </w:rPr>
              <w:t>to</w:t>
            </w:r>
            <w:r w:rsidR="00E73923">
              <w:rPr>
                <w:iCs/>
                <w:sz w:val="16"/>
                <w:szCs w:val="16"/>
              </w:rPr>
              <w:t>-</w:t>
            </w:r>
            <w:r w:rsidRPr="00B14011">
              <w:rPr>
                <w:iCs/>
                <w:sz w:val="16"/>
                <w:szCs w:val="16"/>
              </w:rPr>
              <w:t>energy systems established and operationalized</w:t>
            </w:r>
            <w:r w:rsidR="00E73923">
              <w:rPr>
                <w:iCs/>
                <w:sz w:val="16"/>
                <w:szCs w:val="16"/>
              </w:rPr>
              <w:t>.</w:t>
            </w:r>
          </w:p>
          <w:p w14:paraId="2B4EF650" w14:textId="6A3EE14B" w:rsidR="00236E50" w:rsidRPr="00B14011" w:rsidRDefault="00236E50" w:rsidP="00236E50">
            <w:pPr>
              <w:rPr>
                <w:sz w:val="16"/>
                <w:szCs w:val="16"/>
              </w:rPr>
            </w:pPr>
            <w:r w:rsidRPr="00B14011">
              <w:rPr>
                <w:b/>
                <w:iCs/>
                <w:sz w:val="16"/>
                <w:szCs w:val="16"/>
              </w:rPr>
              <w:t>Baseline (2018):</w:t>
            </w:r>
            <w:r w:rsidR="00E73923">
              <w:rPr>
                <w:b/>
                <w:iCs/>
                <w:sz w:val="16"/>
                <w:szCs w:val="16"/>
              </w:rPr>
              <w:t xml:space="preserve"> </w:t>
            </w:r>
            <w:r w:rsidRPr="00B14011">
              <w:rPr>
                <w:iCs/>
                <w:sz w:val="16"/>
                <w:szCs w:val="16"/>
              </w:rPr>
              <w:t>1</w:t>
            </w:r>
          </w:p>
          <w:p w14:paraId="0F4C1A28" w14:textId="6D9B7BF1" w:rsidR="00236E50" w:rsidRPr="00B14011" w:rsidRDefault="00D35F84" w:rsidP="00236E50">
            <w:pPr>
              <w:rPr>
                <w:sz w:val="16"/>
                <w:szCs w:val="16"/>
              </w:rPr>
            </w:pPr>
            <w:r w:rsidRPr="00B14011">
              <w:rPr>
                <w:b/>
                <w:iCs/>
                <w:sz w:val="16"/>
                <w:szCs w:val="16"/>
              </w:rPr>
              <w:t>Target (</w:t>
            </w:r>
            <w:r w:rsidR="00236E50" w:rsidRPr="00B14011">
              <w:rPr>
                <w:b/>
                <w:iCs/>
                <w:sz w:val="16"/>
                <w:szCs w:val="16"/>
              </w:rPr>
              <w:t>2022)</w:t>
            </w:r>
            <w:r w:rsidR="00236E50" w:rsidRPr="00B14011">
              <w:rPr>
                <w:iCs/>
                <w:sz w:val="16"/>
                <w:szCs w:val="16"/>
              </w:rPr>
              <w:t>: 6</w:t>
            </w:r>
          </w:p>
          <w:p w14:paraId="759421C2" w14:textId="77777777" w:rsidR="00236E50" w:rsidRPr="00B14011" w:rsidRDefault="00236E50" w:rsidP="00236E50">
            <w:pPr>
              <w:rPr>
                <w:sz w:val="16"/>
                <w:szCs w:val="16"/>
              </w:rPr>
            </w:pPr>
            <w:r w:rsidRPr="00B14011">
              <w:rPr>
                <w:b/>
                <w:iCs/>
                <w:sz w:val="16"/>
                <w:szCs w:val="16"/>
              </w:rPr>
              <w:t>Source:</w:t>
            </w:r>
            <w:r w:rsidRPr="00B14011">
              <w:rPr>
                <w:iCs/>
                <w:sz w:val="16"/>
                <w:szCs w:val="16"/>
              </w:rPr>
              <w:t xml:space="preserve"> UNDP project reports</w:t>
            </w:r>
          </w:p>
          <w:p w14:paraId="4EDFF647" w14:textId="77777777" w:rsidR="00236E50" w:rsidRPr="00B14011" w:rsidRDefault="00236E50" w:rsidP="00236E50">
            <w:pPr>
              <w:rPr>
                <w:sz w:val="16"/>
                <w:szCs w:val="16"/>
              </w:rPr>
            </w:pPr>
          </w:p>
          <w:p w14:paraId="23294544" w14:textId="020C2600" w:rsidR="008A3EA7" w:rsidRPr="00B14011" w:rsidRDefault="008A3EA7" w:rsidP="008A3EA7">
            <w:pPr>
              <w:ind w:firstLine="14"/>
              <w:rPr>
                <w:b/>
                <w:sz w:val="16"/>
                <w:szCs w:val="16"/>
              </w:rPr>
            </w:pPr>
            <w:r w:rsidRPr="00B14011">
              <w:rPr>
                <w:rFonts w:eastAsia="Calibri"/>
                <w:b/>
                <w:iCs/>
                <w:sz w:val="16"/>
                <w:szCs w:val="16"/>
              </w:rPr>
              <w:t xml:space="preserve">Output 2.4:  </w:t>
            </w:r>
            <w:r w:rsidRPr="00B14011">
              <w:rPr>
                <w:b/>
                <w:sz w:val="16"/>
                <w:szCs w:val="16"/>
              </w:rPr>
              <w:t xml:space="preserve">Reliable </w:t>
            </w:r>
            <w:r w:rsidR="00E73923">
              <w:rPr>
                <w:b/>
                <w:sz w:val="16"/>
                <w:szCs w:val="16"/>
              </w:rPr>
              <w:t>i</w:t>
            </w:r>
            <w:r w:rsidRPr="00B14011">
              <w:rPr>
                <w:b/>
                <w:sz w:val="16"/>
                <w:szCs w:val="16"/>
              </w:rPr>
              <w:t xml:space="preserve">nformation systems/capacities established to strengthen accountability, </w:t>
            </w:r>
            <w:r w:rsidR="00520110" w:rsidRPr="00B14011">
              <w:rPr>
                <w:b/>
                <w:sz w:val="16"/>
                <w:szCs w:val="16"/>
              </w:rPr>
              <w:t>use of evidence-</w:t>
            </w:r>
            <w:r w:rsidRPr="00B14011">
              <w:rPr>
                <w:b/>
                <w:sz w:val="16"/>
                <w:szCs w:val="16"/>
              </w:rPr>
              <w:t>based decision</w:t>
            </w:r>
            <w:r w:rsidR="00E73923">
              <w:rPr>
                <w:b/>
                <w:sz w:val="16"/>
                <w:szCs w:val="16"/>
              </w:rPr>
              <w:t>-</w:t>
            </w:r>
            <w:r w:rsidRPr="00B14011">
              <w:rPr>
                <w:b/>
                <w:sz w:val="16"/>
                <w:szCs w:val="16"/>
              </w:rPr>
              <w:t xml:space="preserve">making, and management of environmental standards. </w:t>
            </w:r>
          </w:p>
          <w:p w14:paraId="0152F722" w14:textId="77777777" w:rsidR="008A3EA7" w:rsidRPr="00B14011" w:rsidRDefault="008A3EA7" w:rsidP="008A3EA7">
            <w:pPr>
              <w:tabs>
                <w:tab w:val="left" w:pos="900"/>
                <w:tab w:val="left" w:pos="990"/>
                <w:tab w:val="left" w:pos="8640"/>
                <w:tab w:val="left" w:pos="9180"/>
              </w:tabs>
              <w:ind w:left="31"/>
              <w:rPr>
                <w:rFonts w:eastAsia="Calibri"/>
                <w:b/>
                <w:iCs/>
                <w:sz w:val="16"/>
                <w:szCs w:val="16"/>
              </w:rPr>
            </w:pPr>
          </w:p>
          <w:p w14:paraId="66DF7405" w14:textId="43C1C536" w:rsidR="008A3EA7" w:rsidRPr="00B14011" w:rsidRDefault="008A3EA7" w:rsidP="008A3EA7">
            <w:pPr>
              <w:ind w:left="14"/>
              <w:contextualSpacing/>
              <w:rPr>
                <w:sz w:val="16"/>
                <w:szCs w:val="16"/>
              </w:rPr>
            </w:pPr>
            <w:r w:rsidRPr="00B14011">
              <w:rPr>
                <w:rFonts w:eastAsia="Calibri"/>
                <w:b/>
                <w:iCs/>
                <w:sz w:val="16"/>
                <w:szCs w:val="16"/>
              </w:rPr>
              <w:t>Indicator 2.4.1.</w:t>
            </w:r>
            <w:r w:rsidRPr="00B14011">
              <w:rPr>
                <w:rFonts w:eastAsia="Calibri"/>
                <w:iCs/>
                <w:sz w:val="16"/>
                <w:szCs w:val="16"/>
              </w:rPr>
              <w:t xml:space="preserve"> </w:t>
            </w:r>
            <w:r w:rsidRPr="00B14011">
              <w:rPr>
                <w:sz w:val="16"/>
                <w:szCs w:val="16"/>
              </w:rPr>
              <w:t>Number of functional data management systems (relevant to</w:t>
            </w:r>
            <w:r w:rsidR="00D72591" w:rsidRPr="00B14011">
              <w:rPr>
                <w:sz w:val="16"/>
                <w:szCs w:val="16"/>
              </w:rPr>
              <w:t xml:space="preserve"> environment and</w:t>
            </w:r>
            <w:r w:rsidRPr="00B14011">
              <w:rPr>
                <w:sz w:val="16"/>
                <w:szCs w:val="16"/>
              </w:rPr>
              <w:t xml:space="preserve"> disaster risk reduction) </w:t>
            </w:r>
            <w:r w:rsidR="00E73923">
              <w:rPr>
                <w:sz w:val="16"/>
                <w:szCs w:val="16"/>
              </w:rPr>
              <w:t xml:space="preserve">that </w:t>
            </w:r>
            <w:r w:rsidRPr="00B14011">
              <w:rPr>
                <w:sz w:val="16"/>
                <w:szCs w:val="16"/>
              </w:rPr>
              <w:t xml:space="preserve">are linked to </w:t>
            </w:r>
            <w:r w:rsidR="00E73923">
              <w:rPr>
                <w:sz w:val="16"/>
                <w:szCs w:val="16"/>
              </w:rPr>
              <w:t>n</w:t>
            </w:r>
            <w:r w:rsidRPr="00B14011">
              <w:rPr>
                <w:sz w:val="16"/>
                <w:szCs w:val="16"/>
              </w:rPr>
              <w:t xml:space="preserve">ational </w:t>
            </w:r>
            <w:r w:rsidR="00E73923">
              <w:rPr>
                <w:sz w:val="16"/>
                <w:szCs w:val="16"/>
              </w:rPr>
              <w:t>s</w:t>
            </w:r>
            <w:r w:rsidRPr="00B14011">
              <w:rPr>
                <w:sz w:val="16"/>
                <w:szCs w:val="16"/>
              </w:rPr>
              <w:t xml:space="preserve">patial </w:t>
            </w:r>
            <w:r w:rsidR="00E73923">
              <w:rPr>
                <w:sz w:val="16"/>
                <w:szCs w:val="16"/>
              </w:rPr>
              <w:t>d</w:t>
            </w:r>
            <w:r w:rsidRPr="00B14011">
              <w:rPr>
                <w:sz w:val="16"/>
                <w:szCs w:val="16"/>
              </w:rPr>
              <w:t xml:space="preserve">ata </w:t>
            </w:r>
            <w:r w:rsidR="00E73923">
              <w:rPr>
                <w:sz w:val="16"/>
                <w:szCs w:val="16"/>
              </w:rPr>
              <w:t>i</w:t>
            </w:r>
            <w:r w:rsidRPr="00B14011">
              <w:rPr>
                <w:sz w:val="16"/>
                <w:szCs w:val="16"/>
              </w:rPr>
              <w:t>nfrastructure.</w:t>
            </w:r>
          </w:p>
          <w:p w14:paraId="2572C527" w14:textId="7BB78453" w:rsidR="008A3EA7" w:rsidRPr="00B14011" w:rsidRDefault="008A3EA7" w:rsidP="008A3EA7">
            <w:pPr>
              <w:tabs>
                <w:tab w:val="left" w:pos="900"/>
                <w:tab w:val="left" w:pos="990"/>
                <w:tab w:val="left" w:pos="8640"/>
                <w:tab w:val="left" w:pos="9180"/>
              </w:tabs>
              <w:rPr>
                <w:rFonts w:eastAsia="Calibri"/>
                <w:b/>
                <w:iCs/>
                <w:sz w:val="16"/>
                <w:szCs w:val="16"/>
              </w:rPr>
            </w:pPr>
            <w:r w:rsidRPr="00B14011">
              <w:rPr>
                <w:rFonts w:eastAsia="Calibri"/>
                <w:b/>
                <w:iCs/>
                <w:sz w:val="16"/>
                <w:szCs w:val="16"/>
              </w:rPr>
              <w:t xml:space="preserve">Baseline (2018): </w:t>
            </w:r>
            <w:r w:rsidR="00E73923">
              <w:rPr>
                <w:rFonts w:eastAsia="Calibri"/>
                <w:iCs/>
                <w:sz w:val="16"/>
                <w:szCs w:val="16"/>
              </w:rPr>
              <w:t>0</w:t>
            </w:r>
          </w:p>
          <w:p w14:paraId="3F02263C" w14:textId="77777777" w:rsidR="008A3EA7" w:rsidRPr="00B14011" w:rsidRDefault="008A3EA7" w:rsidP="008A3EA7">
            <w:pPr>
              <w:tabs>
                <w:tab w:val="left" w:pos="900"/>
                <w:tab w:val="left" w:pos="990"/>
                <w:tab w:val="left" w:pos="8640"/>
                <w:tab w:val="left" w:pos="9180"/>
              </w:tabs>
              <w:rPr>
                <w:rFonts w:eastAsia="Calibri"/>
                <w:b/>
                <w:iCs/>
                <w:sz w:val="16"/>
                <w:szCs w:val="16"/>
              </w:rPr>
            </w:pPr>
            <w:r w:rsidRPr="00B14011">
              <w:rPr>
                <w:rFonts w:eastAsia="Calibri"/>
                <w:b/>
                <w:iCs/>
                <w:sz w:val="16"/>
                <w:szCs w:val="16"/>
              </w:rPr>
              <w:t xml:space="preserve">Target (2022):  </w:t>
            </w:r>
            <w:r w:rsidRPr="00B14011">
              <w:rPr>
                <w:rFonts w:eastAsia="Calibri"/>
                <w:iCs/>
                <w:sz w:val="16"/>
                <w:szCs w:val="16"/>
              </w:rPr>
              <w:t>25</w:t>
            </w:r>
          </w:p>
          <w:p w14:paraId="5081A70F" w14:textId="1FDC8043" w:rsidR="008A3EA7" w:rsidRPr="00B14011" w:rsidRDefault="008A3EA7" w:rsidP="008A3EA7">
            <w:pPr>
              <w:tabs>
                <w:tab w:val="left" w:pos="900"/>
                <w:tab w:val="left" w:pos="990"/>
                <w:tab w:val="left" w:pos="8640"/>
                <w:tab w:val="left" w:pos="9180"/>
              </w:tabs>
              <w:rPr>
                <w:sz w:val="16"/>
                <w:szCs w:val="16"/>
              </w:rPr>
            </w:pPr>
            <w:r w:rsidRPr="00B14011">
              <w:rPr>
                <w:rFonts w:eastAsia="Calibri"/>
                <w:b/>
                <w:iCs/>
                <w:sz w:val="16"/>
                <w:szCs w:val="16"/>
              </w:rPr>
              <w:t>Source:</w:t>
            </w:r>
            <w:r w:rsidR="00EB6CE3" w:rsidRPr="00B14011">
              <w:rPr>
                <w:sz w:val="16"/>
                <w:szCs w:val="16"/>
              </w:rPr>
              <w:t xml:space="preserve"> </w:t>
            </w:r>
            <w:r w:rsidRPr="00B14011">
              <w:rPr>
                <w:sz w:val="16"/>
                <w:szCs w:val="16"/>
              </w:rPr>
              <w:t xml:space="preserve">Annual </w:t>
            </w:r>
            <w:r w:rsidR="00E73923">
              <w:rPr>
                <w:sz w:val="16"/>
                <w:szCs w:val="16"/>
              </w:rPr>
              <w:t>n</w:t>
            </w:r>
            <w:r w:rsidRPr="00B14011">
              <w:rPr>
                <w:sz w:val="16"/>
                <w:szCs w:val="16"/>
              </w:rPr>
              <w:t xml:space="preserve">ational </w:t>
            </w:r>
            <w:r w:rsidR="00E73923">
              <w:rPr>
                <w:sz w:val="16"/>
                <w:szCs w:val="16"/>
              </w:rPr>
              <w:t>s</w:t>
            </w:r>
            <w:r w:rsidRPr="00B14011">
              <w:rPr>
                <w:sz w:val="16"/>
                <w:szCs w:val="16"/>
              </w:rPr>
              <w:t>pat</w:t>
            </w:r>
            <w:r w:rsidR="00EB6CE3" w:rsidRPr="00B14011">
              <w:rPr>
                <w:sz w:val="16"/>
                <w:szCs w:val="16"/>
              </w:rPr>
              <w:t xml:space="preserve">ial </w:t>
            </w:r>
            <w:r w:rsidR="00E73923">
              <w:rPr>
                <w:sz w:val="16"/>
                <w:szCs w:val="16"/>
              </w:rPr>
              <w:t>d</w:t>
            </w:r>
            <w:r w:rsidR="00EB6CE3" w:rsidRPr="00B14011">
              <w:rPr>
                <w:sz w:val="16"/>
                <w:szCs w:val="16"/>
              </w:rPr>
              <w:t xml:space="preserve">ata </w:t>
            </w:r>
            <w:r w:rsidR="00E73923">
              <w:rPr>
                <w:sz w:val="16"/>
                <w:szCs w:val="16"/>
              </w:rPr>
              <w:t>i</w:t>
            </w:r>
            <w:r w:rsidR="00EB6CE3" w:rsidRPr="00B14011">
              <w:rPr>
                <w:sz w:val="16"/>
                <w:szCs w:val="16"/>
              </w:rPr>
              <w:t xml:space="preserve">nfrastructure </w:t>
            </w:r>
            <w:r w:rsidR="00E73923">
              <w:rPr>
                <w:sz w:val="16"/>
                <w:szCs w:val="16"/>
              </w:rPr>
              <w:t>r</w:t>
            </w:r>
            <w:r w:rsidR="00EB6CE3" w:rsidRPr="00B14011">
              <w:rPr>
                <w:sz w:val="16"/>
                <w:szCs w:val="16"/>
              </w:rPr>
              <w:t>eports</w:t>
            </w:r>
          </w:p>
          <w:p w14:paraId="18F2CD6F" w14:textId="77777777" w:rsidR="008A3EA7" w:rsidRPr="00B14011" w:rsidRDefault="008A3EA7" w:rsidP="008A3EA7">
            <w:pPr>
              <w:tabs>
                <w:tab w:val="left" w:pos="900"/>
                <w:tab w:val="left" w:pos="990"/>
                <w:tab w:val="left" w:pos="8640"/>
                <w:tab w:val="left" w:pos="9180"/>
              </w:tabs>
              <w:rPr>
                <w:sz w:val="16"/>
                <w:szCs w:val="16"/>
              </w:rPr>
            </w:pPr>
          </w:p>
          <w:p w14:paraId="35BFCCC7" w14:textId="693150C5" w:rsidR="008A3EA7" w:rsidRPr="00B14011" w:rsidRDefault="008A3EA7" w:rsidP="008A3EA7">
            <w:pPr>
              <w:ind w:left="14" w:hanging="14"/>
              <w:contextualSpacing/>
              <w:rPr>
                <w:sz w:val="16"/>
                <w:szCs w:val="16"/>
              </w:rPr>
            </w:pPr>
            <w:r w:rsidRPr="00B14011">
              <w:rPr>
                <w:b/>
                <w:sz w:val="16"/>
                <w:szCs w:val="16"/>
              </w:rPr>
              <w:lastRenderedPageBreak/>
              <w:t>Indicator 2.4.2.</w:t>
            </w:r>
            <w:r w:rsidRPr="00B14011">
              <w:rPr>
                <w:sz w:val="16"/>
                <w:szCs w:val="16"/>
              </w:rPr>
              <w:t xml:space="preserve"> Number of sectoral plans and projects developed based on environmental and disaster management data /information</w:t>
            </w:r>
            <w:r w:rsidR="00E73923">
              <w:rPr>
                <w:sz w:val="16"/>
                <w:szCs w:val="16"/>
              </w:rPr>
              <w:t>.</w:t>
            </w:r>
          </w:p>
          <w:p w14:paraId="1A1FC3A4" w14:textId="23F48BE1" w:rsidR="008A3EA7" w:rsidRPr="00B14011" w:rsidRDefault="008A3EA7" w:rsidP="008A3EA7">
            <w:pPr>
              <w:tabs>
                <w:tab w:val="left" w:pos="900"/>
                <w:tab w:val="left" w:pos="990"/>
                <w:tab w:val="left" w:pos="8640"/>
                <w:tab w:val="left" w:pos="9180"/>
              </w:tabs>
              <w:rPr>
                <w:rFonts w:eastAsia="Calibri"/>
                <w:iCs/>
                <w:sz w:val="16"/>
                <w:szCs w:val="16"/>
              </w:rPr>
            </w:pPr>
            <w:r w:rsidRPr="00B14011">
              <w:rPr>
                <w:rFonts w:eastAsia="Calibri"/>
                <w:b/>
                <w:iCs/>
                <w:sz w:val="16"/>
                <w:szCs w:val="16"/>
              </w:rPr>
              <w:t>Baseline:</w:t>
            </w:r>
            <w:r w:rsidRPr="00B14011">
              <w:rPr>
                <w:rFonts w:eastAsia="Calibri"/>
                <w:iCs/>
                <w:sz w:val="16"/>
                <w:szCs w:val="16"/>
              </w:rPr>
              <w:t xml:space="preserve">  </w:t>
            </w:r>
            <w:r w:rsidR="00E73923">
              <w:rPr>
                <w:rFonts w:eastAsia="Calibri"/>
                <w:iCs/>
                <w:sz w:val="16"/>
                <w:szCs w:val="16"/>
              </w:rPr>
              <w:t>0</w:t>
            </w:r>
          </w:p>
          <w:p w14:paraId="4FA119C8" w14:textId="77A7094E" w:rsidR="008A3EA7" w:rsidRPr="00B14011" w:rsidRDefault="008A3EA7" w:rsidP="008A3EA7">
            <w:pPr>
              <w:tabs>
                <w:tab w:val="left" w:pos="900"/>
                <w:tab w:val="left" w:pos="990"/>
                <w:tab w:val="left" w:pos="8640"/>
                <w:tab w:val="left" w:pos="9180"/>
              </w:tabs>
              <w:rPr>
                <w:rFonts w:eastAsia="Calibri"/>
                <w:iCs/>
                <w:sz w:val="16"/>
                <w:szCs w:val="16"/>
              </w:rPr>
            </w:pPr>
            <w:r w:rsidRPr="00B14011">
              <w:rPr>
                <w:rFonts w:eastAsia="Calibri"/>
                <w:b/>
                <w:iCs/>
                <w:sz w:val="16"/>
                <w:szCs w:val="16"/>
              </w:rPr>
              <w:t>Target:</w:t>
            </w:r>
            <w:r w:rsidRPr="00B14011">
              <w:rPr>
                <w:rFonts w:eastAsia="Calibri"/>
                <w:iCs/>
                <w:sz w:val="16"/>
                <w:szCs w:val="16"/>
              </w:rPr>
              <w:t xml:space="preserve">  </w:t>
            </w:r>
            <w:r w:rsidR="00E73923">
              <w:rPr>
                <w:rFonts w:eastAsia="Calibri"/>
                <w:iCs/>
                <w:sz w:val="16"/>
                <w:szCs w:val="16"/>
              </w:rPr>
              <w:t>5</w:t>
            </w:r>
          </w:p>
          <w:p w14:paraId="7266F820" w14:textId="77777777" w:rsidR="008A3EA7" w:rsidRPr="00B14011" w:rsidRDefault="008A3EA7" w:rsidP="008A3EA7">
            <w:pPr>
              <w:tabs>
                <w:tab w:val="left" w:pos="900"/>
                <w:tab w:val="left" w:pos="990"/>
                <w:tab w:val="left" w:pos="8640"/>
                <w:tab w:val="left" w:pos="9180"/>
              </w:tabs>
              <w:rPr>
                <w:sz w:val="16"/>
                <w:szCs w:val="16"/>
              </w:rPr>
            </w:pPr>
            <w:r w:rsidRPr="00B14011">
              <w:rPr>
                <w:rFonts w:eastAsia="Calibri"/>
                <w:b/>
                <w:iCs/>
                <w:sz w:val="16"/>
                <w:szCs w:val="16"/>
              </w:rPr>
              <w:t>Source:</w:t>
            </w:r>
            <w:r w:rsidRPr="00B14011">
              <w:rPr>
                <w:rFonts w:eastAsia="Calibri"/>
                <w:iCs/>
                <w:sz w:val="16"/>
                <w:szCs w:val="16"/>
              </w:rPr>
              <w:t xml:space="preserve">  </w:t>
            </w:r>
            <w:r w:rsidRPr="00B14011">
              <w:rPr>
                <w:sz w:val="16"/>
                <w:szCs w:val="16"/>
              </w:rPr>
              <w:t>UNDP project reports.</w:t>
            </w:r>
          </w:p>
          <w:p w14:paraId="7349E818" w14:textId="77777777" w:rsidR="008A3EA7" w:rsidRPr="00B14011" w:rsidRDefault="008A3EA7" w:rsidP="008A3EA7">
            <w:pPr>
              <w:tabs>
                <w:tab w:val="left" w:pos="900"/>
                <w:tab w:val="left" w:pos="990"/>
                <w:tab w:val="left" w:pos="8640"/>
                <w:tab w:val="left" w:pos="9180"/>
              </w:tabs>
              <w:rPr>
                <w:sz w:val="16"/>
                <w:szCs w:val="16"/>
              </w:rPr>
            </w:pPr>
          </w:p>
          <w:p w14:paraId="7559E650" w14:textId="5E1CFBFB" w:rsidR="00094AB7" w:rsidRPr="00B14011" w:rsidRDefault="008A3EA7" w:rsidP="00094AB7">
            <w:pPr>
              <w:rPr>
                <w:sz w:val="16"/>
                <w:szCs w:val="16"/>
              </w:rPr>
            </w:pPr>
            <w:r w:rsidRPr="00B14011">
              <w:rPr>
                <w:b/>
                <w:sz w:val="16"/>
                <w:szCs w:val="16"/>
              </w:rPr>
              <w:t>Indicator 2.4.3.</w:t>
            </w:r>
            <w:r w:rsidRPr="00B14011">
              <w:rPr>
                <w:sz w:val="16"/>
                <w:szCs w:val="16"/>
              </w:rPr>
              <w:t xml:space="preserve"> </w:t>
            </w:r>
            <w:r w:rsidR="00780370" w:rsidRPr="00B14011">
              <w:rPr>
                <w:sz w:val="16"/>
                <w:szCs w:val="16"/>
              </w:rPr>
              <w:t>Number of issues related to the enforcement of environmental laws and standards brought to the attention of the public and the authorities by CSO groups engaged in performing environment watchdog functions</w:t>
            </w:r>
            <w:r w:rsidR="00E73923">
              <w:rPr>
                <w:sz w:val="16"/>
                <w:szCs w:val="16"/>
              </w:rPr>
              <w:t>.</w:t>
            </w:r>
          </w:p>
          <w:p w14:paraId="14E5862C" w14:textId="18FBB5C3" w:rsidR="008A3EA7" w:rsidRPr="00B14011" w:rsidRDefault="008A3EA7" w:rsidP="00094AB7">
            <w:pPr>
              <w:ind w:left="14"/>
              <w:contextualSpacing/>
              <w:rPr>
                <w:sz w:val="16"/>
                <w:szCs w:val="16"/>
              </w:rPr>
            </w:pPr>
            <w:r w:rsidRPr="00B14011">
              <w:rPr>
                <w:b/>
                <w:sz w:val="16"/>
                <w:szCs w:val="16"/>
              </w:rPr>
              <w:t xml:space="preserve">Baseline (2018): </w:t>
            </w:r>
            <w:r w:rsidR="00E73923">
              <w:rPr>
                <w:sz w:val="16"/>
                <w:szCs w:val="16"/>
              </w:rPr>
              <w:t>0</w:t>
            </w:r>
          </w:p>
          <w:p w14:paraId="44590A3E" w14:textId="77777777" w:rsidR="008A3EA7" w:rsidRPr="00B14011" w:rsidRDefault="008A3EA7" w:rsidP="008A3EA7">
            <w:pPr>
              <w:ind w:left="14"/>
              <w:contextualSpacing/>
              <w:rPr>
                <w:sz w:val="16"/>
                <w:szCs w:val="16"/>
              </w:rPr>
            </w:pPr>
            <w:r w:rsidRPr="00B14011">
              <w:rPr>
                <w:b/>
                <w:sz w:val="16"/>
                <w:szCs w:val="16"/>
              </w:rPr>
              <w:t xml:space="preserve">Target (2022): </w:t>
            </w:r>
            <w:r w:rsidRPr="00B14011">
              <w:rPr>
                <w:sz w:val="16"/>
                <w:szCs w:val="16"/>
              </w:rPr>
              <w:t>10</w:t>
            </w:r>
          </w:p>
          <w:p w14:paraId="26EAD892" w14:textId="0B78AAB2" w:rsidR="0058321D" w:rsidRPr="00B14011" w:rsidRDefault="008A3EA7" w:rsidP="00D55DDB">
            <w:pPr>
              <w:ind w:left="14"/>
              <w:contextualSpacing/>
              <w:rPr>
                <w:sz w:val="16"/>
                <w:szCs w:val="16"/>
              </w:rPr>
            </w:pPr>
            <w:r w:rsidRPr="00B14011">
              <w:rPr>
                <w:b/>
                <w:sz w:val="16"/>
                <w:szCs w:val="16"/>
              </w:rPr>
              <w:t>Source:</w:t>
            </w:r>
            <w:r w:rsidRPr="00B14011">
              <w:rPr>
                <w:sz w:val="16"/>
                <w:szCs w:val="16"/>
              </w:rPr>
              <w:t xml:space="preserve"> UNDP project reports, reports from civil society networks.</w:t>
            </w:r>
          </w:p>
        </w:tc>
        <w:tc>
          <w:tcPr>
            <w:tcW w:w="1161" w:type="pct"/>
            <w:gridSpan w:val="2"/>
            <w:vMerge w:val="restart"/>
          </w:tcPr>
          <w:p w14:paraId="1A833009" w14:textId="77777777" w:rsidR="008A3EA7" w:rsidRPr="00B14011" w:rsidRDefault="008A3EA7" w:rsidP="008A3EA7">
            <w:pPr>
              <w:rPr>
                <w:sz w:val="16"/>
                <w:szCs w:val="16"/>
              </w:rPr>
            </w:pPr>
            <w:r w:rsidRPr="00B14011">
              <w:rPr>
                <w:sz w:val="16"/>
                <w:szCs w:val="16"/>
              </w:rPr>
              <w:lastRenderedPageBreak/>
              <w:t>Ministry of Mahaweli Development and Environment</w:t>
            </w:r>
          </w:p>
          <w:p w14:paraId="35D67853" w14:textId="77777777" w:rsidR="008A3EA7" w:rsidRPr="00B14011" w:rsidRDefault="008A3EA7" w:rsidP="008A3EA7">
            <w:pPr>
              <w:rPr>
                <w:sz w:val="16"/>
                <w:szCs w:val="16"/>
              </w:rPr>
            </w:pPr>
            <w:r w:rsidRPr="00B14011">
              <w:rPr>
                <w:sz w:val="16"/>
                <w:szCs w:val="16"/>
              </w:rPr>
              <w:t xml:space="preserve">Ministry of Power and Energy </w:t>
            </w:r>
          </w:p>
          <w:p w14:paraId="7FD2E4AF" w14:textId="77777777" w:rsidR="008A3EA7" w:rsidRPr="00B14011" w:rsidRDefault="008A3EA7" w:rsidP="008A3EA7">
            <w:pPr>
              <w:rPr>
                <w:sz w:val="16"/>
                <w:szCs w:val="16"/>
              </w:rPr>
            </w:pPr>
            <w:r w:rsidRPr="00B14011">
              <w:rPr>
                <w:sz w:val="16"/>
                <w:szCs w:val="16"/>
              </w:rPr>
              <w:t>Ministry of Disaster Management</w:t>
            </w:r>
          </w:p>
          <w:p w14:paraId="589C1A4A" w14:textId="77777777" w:rsidR="008A3EA7" w:rsidRPr="00B14011" w:rsidRDefault="008A3EA7" w:rsidP="008A3EA7">
            <w:pPr>
              <w:rPr>
                <w:sz w:val="16"/>
                <w:szCs w:val="16"/>
              </w:rPr>
            </w:pPr>
            <w:r w:rsidRPr="00B14011">
              <w:rPr>
                <w:sz w:val="16"/>
                <w:szCs w:val="16"/>
              </w:rPr>
              <w:t>Ministry of Provincial Councils and Local Government</w:t>
            </w:r>
          </w:p>
          <w:p w14:paraId="77A96784" w14:textId="77777777" w:rsidR="008A3EA7" w:rsidRPr="00B14011" w:rsidRDefault="008A3EA7" w:rsidP="008A3EA7">
            <w:pPr>
              <w:rPr>
                <w:sz w:val="16"/>
                <w:szCs w:val="16"/>
              </w:rPr>
            </w:pPr>
            <w:r w:rsidRPr="00B14011">
              <w:rPr>
                <w:sz w:val="16"/>
                <w:szCs w:val="16"/>
              </w:rPr>
              <w:t xml:space="preserve">Department of National Planning </w:t>
            </w:r>
          </w:p>
          <w:p w14:paraId="4CB74C62" w14:textId="77777777" w:rsidR="00CA0E68" w:rsidRPr="00B14011" w:rsidRDefault="00CA0E68" w:rsidP="008A3EA7">
            <w:pPr>
              <w:rPr>
                <w:sz w:val="16"/>
                <w:szCs w:val="16"/>
              </w:rPr>
            </w:pPr>
            <w:r w:rsidRPr="00B14011">
              <w:rPr>
                <w:sz w:val="16"/>
                <w:szCs w:val="16"/>
              </w:rPr>
              <w:t>WFP</w:t>
            </w:r>
          </w:p>
          <w:p w14:paraId="2EFA3879" w14:textId="77777777" w:rsidR="00CA0E68" w:rsidRPr="00B14011" w:rsidRDefault="00CA0E68" w:rsidP="008A3EA7">
            <w:pPr>
              <w:rPr>
                <w:sz w:val="16"/>
                <w:szCs w:val="16"/>
              </w:rPr>
            </w:pPr>
            <w:r w:rsidRPr="00B14011">
              <w:rPr>
                <w:sz w:val="16"/>
                <w:szCs w:val="16"/>
              </w:rPr>
              <w:t>UNEP</w:t>
            </w:r>
          </w:p>
          <w:p w14:paraId="740C6FD2" w14:textId="77777777" w:rsidR="00CA0E68" w:rsidRPr="00B14011" w:rsidRDefault="00CA0E68" w:rsidP="008A3EA7">
            <w:pPr>
              <w:rPr>
                <w:sz w:val="16"/>
                <w:szCs w:val="16"/>
              </w:rPr>
            </w:pPr>
            <w:r w:rsidRPr="00B14011">
              <w:rPr>
                <w:sz w:val="16"/>
                <w:szCs w:val="16"/>
              </w:rPr>
              <w:t>FAO</w:t>
            </w:r>
          </w:p>
          <w:p w14:paraId="31D306D4" w14:textId="2F3932A0" w:rsidR="00CA0E68" w:rsidRPr="00B14011" w:rsidRDefault="00CA0E68" w:rsidP="008A3EA7">
            <w:pPr>
              <w:rPr>
                <w:sz w:val="16"/>
                <w:szCs w:val="16"/>
              </w:rPr>
            </w:pPr>
            <w:r w:rsidRPr="00B14011">
              <w:rPr>
                <w:sz w:val="16"/>
                <w:szCs w:val="16"/>
              </w:rPr>
              <w:t>UNISDR</w:t>
            </w:r>
          </w:p>
          <w:p w14:paraId="468C457B" w14:textId="575B75F5" w:rsidR="0020511F" w:rsidRPr="00B14011" w:rsidRDefault="0020511F" w:rsidP="008A3EA7">
            <w:pPr>
              <w:rPr>
                <w:sz w:val="16"/>
                <w:szCs w:val="16"/>
              </w:rPr>
            </w:pPr>
            <w:r w:rsidRPr="00B14011">
              <w:rPr>
                <w:sz w:val="16"/>
                <w:szCs w:val="16"/>
              </w:rPr>
              <w:t>GEF</w:t>
            </w:r>
          </w:p>
          <w:p w14:paraId="38F51C9A" w14:textId="457C9200" w:rsidR="00664807" w:rsidRPr="00B14011" w:rsidRDefault="008A3EA7" w:rsidP="00664807">
            <w:pPr>
              <w:rPr>
                <w:sz w:val="16"/>
                <w:szCs w:val="16"/>
              </w:rPr>
            </w:pPr>
            <w:r w:rsidRPr="00B14011">
              <w:rPr>
                <w:sz w:val="16"/>
                <w:szCs w:val="16"/>
              </w:rPr>
              <w:t>Green Climate Fund</w:t>
            </w:r>
            <w:r w:rsidR="00664807" w:rsidRPr="00B14011">
              <w:rPr>
                <w:sz w:val="16"/>
                <w:szCs w:val="16"/>
              </w:rPr>
              <w:t xml:space="preserve"> </w:t>
            </w:r>
          </w:p>
          <w:p w14:paraId="56F9E124" w14:textId="436A154E" w:rsidR="00551018" w:rsidRPr="00B14011" w:rsidRDefault="00551018" w:rsidP="00664807">
            <w:pPr>
              <w:rPr>
                <w:sz w:val="16"/>
                <w:szCs w:val="16"/>
              </w:rPr>
            </w:pPr>
            <w:r w:rsidRPr="00B14011">
              <w:rPr>
                <w:sz w:val="16"/>
                <w:szCs w:val="16"/>
              </w:rPr>
              <w:t>Montreal Protocol</w:t>
            </w:r>
          </w:p>
          <w:p w14:paraId="2E571E48" w14:textId="77777777" w:rsidR="000E7F46" w:rsidRPr="00B14011" w:rsidRDefault="000E7F46" w:rsidP="00664807">
            <w:pPr>
              <w:rPr>
                <w:sz w:val="16"/>
                <w:szCs w:val="16"/>
              </w:rPr>
            </w:pPr>
            <w:r w:rsidRPr="00B14011">
              <w:rPr>
                <w:sz w:val="16"/>
                <w:szCs w:val="16"/>
              </w:rPr>
              <w:t>Private sector</w:t>
            </w:r>
          </w:p>
          <w:p w14:paraId="5F317DEE" w14:textId="77777777" w:rsidR="000E7F46" w:rsidRPr="00B14011" w:rsidRDefault="000E7F46" w:rsidP="00664807">
            <w:pPr>
              <w:rPr>
                <w:sz w:val="16"/>
                <w:szCs w:val="16"/>
              </w:rPr>
            </w:pPr>
            <w:r w:rsidRPr="00B14011">
              <w:rPr>
                <w:sz w:val="16"/>
                <w:szCs w:val="16"/>
              </w:rPr>
              <w:t>Youth</w:t>
            </w:r>
            <w:r w:rsidR="00ED3CFB" w:rsidRPr="00B14011">
              <w:rPr>
                <w:sz w:val="16"/>
                <w:szCs w:val="16"/>
              </w:rPr>
              <w:t xml:space="preserve"> networks </w:t>
            </w:r>
          </w:p>
          <w:p w14:paraId="08B90222" w14:textId="77777777" w:rsidR="000E7F46" w:rsidRPr="00B14011" w:rsidRDefault="000E7F46" w:rsidP="00664807">
            <w:pPr>
              <w:rPr>
                <w:sz w:val="16"/>
                <w:szCs w:val="16"/>
              </w:rPr>
            </w:pPr>
            <w:r w:rsidRPr="00B14011">
              <w:rPr>
                <w:sz w:val="16"/>
                <w:szCs w:val="16"/>
              </w:rPr>
              <w:t>Civil society</w:t>
            </w:r>
          </w:p>
          <w:p w14:paraId="3C9390B1" w14:textId="77777777" w:rsidR="00BC54AE" w:rsidRPr="00B14011" w:rsidRDefault="00BC54AE" w:rsidP="00542842">
            <w:pPr>
              <w:tabs>
                <w:tab w:val="left" w:pos="900"/>
                <w:tab w:val="left" w:pos="990"/>
                <w:tab w:val="left" w:pos="8640"/>
                <w:tab w:val="left" w:pos="9180"/>
              </w:tabs>
              <w:ind w:left="31"/>
              <w:rPr>
                <w:rFonts w:eastAsia="Calibri"/>
                <w:iCs/>
                <w:sz w:val="16"/>
                <w:szCs w:val="16"/>
              </w:rPr>
            </w:pPr>
          </w:p>
        </w:tc>
        <w:tc>
          <w:tcPr>
            <w:tcW w:w="553" w:type="pct"/>
            <w:vMerge w:val="restart"/>
            <w:tcMar>
              <w:top w:w="15" w:type="dxa"/>
              <w:left w:w="108" w:type="dxa"/>
              <w:bottom w:w="0" w:type="dxa"/>
              <w:right w:w="108" w:type="dxa"/>
            </w:tcMar>
          </w:tcPr>
          <w:p w14:paraId="0422B4F0" w14:textId="77777777" w:rsidR="00BC54AE" w:rsidRPr="00B14011" w:rsidRDefault="00BC54AE" w:rsidP="0009295E">
            <w:pPr>
              <w:tabs>
                <w:tab w:val="left" w:pos="900"/>
                <w:tab w:val="left" w:pos="990"/>
                <w:tab w:val="left" w:pos="8640"/>
                <w:tab w:val="left" w:pos="9180"/>
              </w:tabs>
              <w:ind w:left="31"/>
              <w:rPr>
                <w:rFonts w:eastAsia="Calibri"/>
                <w:b/>
                <w:sz w:val="16"/>
                <w:szCs w:val="16"/>
              </w:rPr>
            </w:pPr>
            <w:r w:rsidRPr="00B14011">
              <w:rPr>
                <w:rFonts w:eastAsia="Calibri"/>
                <w:b/>
                <w:sz w:val="16"/>
                <w:szCs w:val="16"/>
              </w:rPr>
              <w:t xml:space="preserve">Regular </w:t>
            </w:r>
            <w:r w:rsidR="00AD5E25" w:rsidRPr="00B14011">
              <w:rPr>
                <w:rFonts w:eastAsia="Calibri"/>
                <w:b/>
                <w:sz w:val="16"/>
                <w:szCs w:val="16"/>
              </w:rPr>
              <w:t>r</w:t>
            </w:r>
            <w:r w:rsidRPr="00B14011">
              <w:rPr>
                <w:rFonts w:eastAsia="Calibri"/>
                <w:b/>
                <w:sz w:val="16"/>
                <w:szCs w:val="16"/>
              </w:rPr>
              <w:t>esources</w:t>
            </w:r>
          </w:p>
          <w:p w14:paraId="42841E79" w14:textId="77777777" w:rsidR="007713DB" w:rsidRPr="00B14011" w:rsidRDefault="007713DB" w:rsidP="0009295E">
            <w:pPr>
              <w:tabs>
                <w:tab w:val="left" w:pos="900"/>
                <w:tab w:val="left" w:pos="990"/>
                <w:tab w:val="left" w:pos="8640"/>
                <w:tab w:val="left" w:pos="9180"/>
              </w:tabs>
              <w:ind w:left="31"/>
              <w:rPr>
                <w:rFonts w:eastAsia="Calibri"/>
                <w:b/>
                <w:sz w:val="16"/>
                <w:szCs w:val="16"/>
              </w:rPr>
            </w:pPr>
          </w:p>
          <w:p w14:paraId="6191E624" w14:textId="5466CA09" w:rsidR="0009295E" w:rsidRPr="00B14011" w:rsidRDefault="00002864" w:rsidP="0009295E">
            <w:pPr>
              <w:tabs>
                <w:tab w:val="left" w:pos="900"/>
                <w:tab w:val="left" w:pos="990"/>
                <w:tab w:val="left" w:pos="8640"/>
                <w:tab w:val="left" w:pos="9180"/>
              </w:tabs>
              <w:ind w:left="31"/>
              <w:rPr>
                <w:rFonts w:eastAsia="Calibri"/>
                <w:b/>
                <w:sz w:val="16"/>
                <w:szCs w:val="16"/>
              </w:rPr>
            </w:pPr>
            <w:r w:rsidRPr="00B14011">
              <w:rPr>
                <w:rFonts w:eastAsia="Calibri"/>
                <w:b/>
                <w:sz w:val="16"/>
                <w:szCs w:val="16"/>
              </w:rPr>
              <w:t>673,300</w:t>
            </w:r>
          </w:p>
          <w:p w14:paraId="3536D948" w14:textId="77777777" w:rsidR="007713DB" w:rsidRPr="00B14011" w:rsidRDefault="007713DB" w:rsidP="0009295E">
            <w:pPr>
              <w:tabs>
                <w:tab w:val="left" w:pos="900"/>
                <w:tab w:val="left" w:pos="990"/>
                <w:tab w:val="left" w:pos="8640"/>
                <w:tab w:val="left" w:pos="9180"/>
              </w:tabs>
              <w:ind w:left="31"/>
              <w:rPr>
                <w:rFonts w:eastAsia="Calibri"/>
                <w:b/>
                <w:sz w:val="16"/>
                <w:szCs w:val="16"/>
              </w:rPr>
            </w:pPr>
          </w:p>
          <w:p w14:paraId="143A6FB5" w14:textId="77777777" w:rsidR="0067762A" w:rsidRPr="00B14011" w:rsidRDefault="00BC54AE" w:rsidP="007713DB">
            <w:pPr>
              <w:tabs>
                <w:tab w:val="left" w:pos="900"/>
                <w:tab w:val="left" w:pos="990"/>
                <w:tab w:val="left" w:pos="8640"/>
                <w:tab w:val="left" w:pos="9180"/>
              </w:tabs>
              <w:ind w:left="31"/>
              <w:rPr>
                <w:rFonts w:eastAsia="Calibri"/>
                <w:b/>
                <w:sz w:val="16"/>
                <w:szCs w:val="16"/>
              </w:rPr>
            </w:pPr>
            <w:r w:rsidRPr="00B14011">
              <w:rPr>
                <w:rFonts w:eastAsia="Calibri"/>
                <w:b/>
                <w:sz w:val="16"/>
                <w:szCs w:val="16"/>
              </w:rPr>
              <w:t xml:space="preserve">Other </w:t>
            </w:r>
            <w:r w:rsidR="00AD5E25" w:rsidRPr="00B14011">
              <w:rPr>
                <w:rFonts w:eastAsia="Calibri"/>
                <w:b/>
                <w:sz w:val="16"/>
                <w:szCs w:val="16"/>
              </w:rPr>
              <w:t>r</w:t>
            </w:r>
            <w:r w:rsidRPr="00B14011">
              <w:rPr>
                <w:rFonts w:eastAsia="Calibri"/>
                <w:b/>
                <w:sz w:val="16"/>
                <w:szCs w:val="16"/>
              </w:rPr>
              <w:t>esources</w:t>
            </w:r>
          </w:p>
          <w:p w14:paraId="39F0FBBD" w14:textId="493DBAD4" w:rsidR="00BC54AE" w:rsidRPr="00B14011" w:rsidRDefault="00BC54AE" w:rsidP="00015526">
            <w:pPr>
              <w:tabs>
                <w:tab w:val="left" w:pos="900"/>
                <w:tab w:val="left" w:pos="990"/>
                <w:tab w:val="left" w:pos="8640"/>
                <w:tab w:val="left" w:pos="9180"/>
              </w:tabs>
              <w:rPr>
                <w:rFonts w:eastAsia="Calibri"/>
                <w:b/>
                <w:sz w:val="16"/>
                <w:szCs w:val="16"/>
              </w:rPr>
            </w:pPr>
          </w:p>
          <w:p w14:paraId="3A3785A6" w14:textId="427E1F43" w:rsidR="007C75AF" w:rsidRPr="00B14011" w:rsidRDefault="007C75AF" w:rsidP="00542842">
            <w:pPr>
              <w:tabs>
                <w:tab w:val="left" w:pos="900"/>
                <w:tab w:val="left" w:pos="990"/>
                <w:tab w:val="left" w:pos="8640"/>
                <w:tab w:val="left" w:pos="9180"/>
              </w:tabs>
              <w:ind w:left="31"/>
              <w:rPr>
                <w:rFonts w:eastAsia="Calibri"/>
                <w:b/>
                <w:sz w:val="16"/>
                <w:szCs w:val="16"/>
              </w:rPr>
            </w:pPr>
            <w:r w:rsidRPr="00B14011">
              <w:rPr>
                <w:rFonts w:eastAsia="Calibri"/>
                <w:b/>
                <w:sz w:val="16"/>
                <w:szCs w:val="16"/>
              </w:rPr>
              <w:t>78,551,954</w:t>
            </w:r>
          </w:p>
        </w:tc>
      </w:tr>
      <w:tr w:rsidR="003E59AA" w:rsidRPr="00B14011" w14:paraId="197457DA" w14:textId="77777777" w:rsidTr="00722FA0">
        <w:trPr>
          <w:trHeight w:val="184"/>
        </w:trPr>
        <w:tc>
          <w:tcPr>
            <w:tcW w:w="872" w:type="pct"/>
            <w:vMerge/>
            <w:tcBorders>
              <w:bottom w:val="single" w:sz="4" w:space="0" w:color="auto"/>
            </w:tcBorders>
            <w:tcMar>
              <w:top w:w="72" w:type="dxa"/>
              <w:left w:w="144" w:type="dxa"/>
              <w:bottom w:w="72" w:type="dxa"/>
              <w:right w:w="144" w:type="dxa"/>
            </w:tcMar>
          </w:tcPr>
          <w:p w14:paraId="7C375E1F" w14:textId="07B9BC99" w:rsidR="00BC54AE" w:rsidRPr="00B14011" w:rsidRDefault="00BC54AE" w:rsidP="000B2DCA">
            <w:pPr>
              <w:tabs>
                <w:tab w:val="left" w:pos="900"/>
                <w:tab w:val="left" w:pos="990"/>
                <w:tab w:val="left" w:pos="8640"/>
                <w:tab w:val="left" w:pos="9180"/>
              </w:tabs>
              <w:ind w:left="450"/>
              <w:rPr>
                <w:rFonts w:eastAsia="Calibri"/>
                <w:iCs/>
                <w:sz w:val="16"/>
                <w:szCs w:val="16"/>
              </w:rPr>
            </w:pPr>
          </w:p>
        </w:tc>
        <w:tc>
          <w:tcPr>
            <w:tcW w:w="643" w:type="pct"/>
            <w:vMerge/>
            <w:tcBorders>
              <w:bottom w:val="single" w:sz="4" w:space="0" w:color="auto"/>
            </w:tcBorders>
          </w:tcPr>
          <w:p w14:paraId="7322D4C1" w14:textId="77777777" w:rsidR="00BC54AE" w:rsidRPr="00B14011" w:rsidRDefault="00BC54AE" w:rsidP="000B2DCA">
            <w:pPr>
              <w:tabs>
                <w:tab w:val="left" w:pos="900"/>
                <w:tab w:val="left" w:pos="990"/>
                <w:tab w:val="left" w:pos="8640"/>
                <w:tab w:val="left" w:pos="9180"/>
              </w:tabs>
              <w:ind w:left="450"/>
              <w:rPr>
                <w:rFonts w:eastAsia="Calibri"/>
                <w:iCs/>
                <w:sz w:val="16"/>
                <w:szCs w:val="16"/>
              </w:rPr>
            </w:pPr>
          </w:p>
        </w:tc>
        <w:tc>
          <w:tcPr>
            <w:tcW w:w="1771" w:type="pct"/>
            <w:vMerge/>
            <w:tcBorders>
              <w:bottom w:val="single" w:sz="4" w:space="0" w:color="auto"/>
            </w:tcBorders>
            <w:tcMar>
              <w:top w:w="72" w:type="dxa"/>
              <w:left w:w="144" w:type="dxa"/>
              <w:bottom w:w="72" w:type="dxa"/>
              <w:right w:w="144" w:type="dxa"/>
            </w:tcMar>
          </w:tcPr>
          <w:p w14:paraId="1A48D5F2" w14:textId="77777777" w:rsidR="00BC54AE" w:rsidRPr="00B14011" w:rsidRDefault="00BC54AE" w:rsidP="000B2DCA">
            <w:pPr>
              <w:tabs>
                <w:tab w:val="left" w:pos="900"/>
                <w:tab w:val="left" w:pos="990"/>
                <w:tab w:val="left" w:pos="8640"/>
                <w:tab w:val="left" w:pos="9180"/>
              </w:tabs>
              <w:ind w:left="450"/>
              <w:rPr>
                <w:rFonts w:eastAsia="Calibri"/>
                <w:iCs/>
                <w:sz w:val="16"/>
                <w:szCs w:val="16"/>
              </w:rPr>
            </w:pPr>
          </w:p>
        </w:tc>
        <w:tc>
          <w:tcPr>
            <w:tcW w:w="1161" w:type="pct"/>
            <w:gridSpan w:val="2"/>
            <w:vMerge/>
            <w:tcBorders>
              <w:bottom w:val="single" w:sz="4" w:space="0" w:color="auto"/>
            </w:tcBorders>
          </w:tcPr>
          <w:p w14:paraId="774452B1" w14:textId="77777777" w:rsidR="00BC54AE" w:rsidRPr="00B14011" w:rsidRDefault="00BC54AE" w:rsidP="000B2DCA">
            <w:pPr>
              <w:tabs>
                <w:tab w:val="left" w:pos="900"/>
                <w:tab w:val="left" w:pos="990"/>
                <w:tab w:val="left" w:pos="8640"/>
                <w:tab w:val="left" w:pos="9180"/>
              </w:tabs>
              <w:ind w:left="450"/>
              <w:rPr>
                <w:rFonts w:eastAsia="Calibri"/>
                <w:iCs/>
                <w:sz w:val="16"/>
                <w:szCs w:val="16"/>
              </w:rPr>
            </w:pPr>
          </w:p>
        </w:tc>
        <w:tc>
          <w:tcPr>
            <w:tcW w:w="553" w:type="pct"/>
            <w:vMerge/>
            <w:tcBorders>
              <w:bottom w:val="single" w:sz="4" w:space="0" w:color="auto"/>
            </w:tcBorders>
            <w:tcMar>
              <w:top w:w="15" w:type="dxa"/>
              <w:left w:w="108" w:type="dxa"/>
              <w:bottom w:w="0" w:type="dxa"/>
              <w:right w:w="108" w:type="dxa"/>
            </w:tcMar>
          </w:tcPr>
          <w:p w14:paraId="13254FD5" w14:textId="77777777" w:rsidR="00BC54AE" w:rsidRPr="00B14011" w:rsidRDefault="00BC54AE" w:rsidP="000B2DCA">
            <w:pPr>
              <w:tabs>
                <w:tab w:val="left" w:pos="900"/>
                <w:tab w:val="left" w:pos="990"/>
                <w:tab w:val="left" w:pos="8640"/>
                <w:tab w:val="left" w:pos="9180"/>
              </w:tabs>
              <w:ind w:left="450"/>
              <w:rPr>
                <w:rFonts w:eastAsia="Calibri"/>
                <w:b/>
                <w:sz w:val="16"/>
                <w:szCs w:val="16"/>
              </w:rPr>
            </w:pPr>
          </w:p>
        </w:tc>
      </w:tr>
      <w:tr w:rsidR="003E59AA" w:rsidRPr="00B14011" w14:paraId="01FD9815" w14:textId="77777777" w:rsidTr="007C75AF">
        <w:tc>
          <w:tcPr>
            <w:tcW w:w="5000" w:type="pct"/>
            <w:gridSpan w:val="6"/>
            <w:shd w:val="clear" w:color="auto" w:fill="auto"/>
            <w:tcMar>
              <w:top w:w="72" w:type="dxa"/>
              <w:left w:w="144" w:type="dxa"/>
              <w:bottom w:w="72" w:type="dxa"/>
              <w:right w:w="144" w:type="dxa"/>
            </w:tcMar>
          </w:tcPr>
          <w:p w14:paraId="1F5B05E3" w14:textId="4057F44C" w:rsidR="00BC54AE" w:rsidRPr="00B14011" w:rsidRDefault="009E4A19" w:rsidP="004B796A">
            <w:pPr>
              <w:tabs>
                <w:tab w:val="left" w:pos="900"/>
                <w:tab w:val="left" w:pos="990"/>
                <w:tab w:val="left" w:pos="8640"/>
                <w:tab w:val="left" w:pos="9180"/>
              </w:tabs>
              <w:ind w:left="31"/>
              <w:jc w:val="both"/>
              <w:rPr>
                <w:rFonts w:eastAsia="Calibri"/>
                <w:sz w:val="16"/>
                <w:szCs w:val="16"/>
              </w:rPr>
            </w:pPr>
            <w:r w:rsidRPr="00B14011">
              <w:rPr>
                <w:rFonts w:eastAsia="Calibri"/>
                <w:b/>
                <w:bCs/>
                <w:sz w:val="16"/>
                <w:szCs w:val="16"/>
              </w:rPr>
              <w:lastRenderedPageBreak/>
              <w:t>National priority or goal</w:t>
            </w:r>
            <w:r w:rsidR="00BC54AE" w:rsidRPr="00B14011">
              <w:rPr>
                <w:rFonts w:eastAsia="Calibri"/>
                <w:b/>
                <w:bCs/>
                <w:sz w:val="16"/>
                <w:szCs w:val="16"/>
              </w:rPr>
              <w:t xml:space="preserve">: </w:t>
            </w:r>
            <w:r w:rsidR="00C772AF" w:rsidRPr="005A3BE4">
              <w:rPr>
                <w:rFonts w:eastAsia="Calibri"/>
                <w:bCs/>
                <w:sz w:val="16"/>
                <w:szCs w:val="16"/>
              </w:rPr>
              <w:t>Supporting the establishment of a national roadmap and strategy for sustainable development and supporting systematized implementation of data</w:t>
            </w:r>
            <w:r w:rsidR="00E73923">
              <w:rPr>
                <w:rFonts w:eastAsia="Calibri"/>
                <w:bCs/>
                <w:sz w:val="16"/>
                <w:szCs w:val="16"/>
              </w:rPr>
              <w:t>-</w:t>
            </w:r>
            <w:r w:rsidR="00C772AF" w:rsidRPr="005A3BE4">
              <w:rPr>
                <w:rFonts w:eastAsia="Calibri"/>
                <w:bCs/>
                <w:sz w:val="16"/>
                <w:szCs w:val="16"/>
              </w:rPr>
              <w:t>sharing and e-governance policies of the Government of Sri Lanka</w:t>
            </w:r>
            <w:r w:rsidR="00E73923">
              <w:rPr>
                <w:rFonts w:eastAsia="Calibri"/>
                <w:bCs/>
                <w:sz w:val="16"/>
                <w:szCs w:val="16"/>
              </w:rPr>
              <w:t>.</w:t>
            </w:r>
          </w:p>
        </w:tc>
      </w:tr>
      <w:tr w:rsidR="003E59AA" w:rsidRPr="00B14011" w14:paraId="785D8D02" w14:textId="77777777" w:rsidTr="007C75AF">
        <w:tc>
          <w:tcPr>
            <w:tcW w:w="5000" w:type="pct"/>
            <w:gridSpan w:val="6"/>
            <w:shd w:val="clear" w:color="auto" w:fill="auto"/>
            <w:tcMar>
              <w:top w:w="72" w:type="dxa"/>
              <w:left w:w="144" w:type="dxa"/>
              <w:bottom w:w="72" w:type="dxa"/>
              <w:right w:w="144" w:type="dxa"/>
            </w:tcMar>
          </w:tcPr>
          <w:p w14:paraId="78BFFD18" w14:textId="0943EF17" w:rsidR="00BC54AE" w:rsidRPr="00B14011" w:rsidRDefault="00BC54AE" w:rsidP="004B796A">
            <w:pPr>
              <w:tabs>
                <w:tab w:val="left" w:pos="900"/>
                <w:tab w:val="left" w:pos="990"/>
                <w:tab w:val="left" w:pos="8640"/>
                <w:tab w:val="left" w:pos="9180"/>
              </w:tabs>
              <w:ind w:left="31"/>
              <w:rPr>
                <w:rFonts w:eastAsia="Calibri"/>
                <w:b/>
                <w:bCs/>
                <w:sz w:val="16"/>
                <w:szCs w:val="16"/>
              </w:rPr>
            </w:pPr>
            <w:r w:rsidRPr="00B14011">
              <w:rPr>
                <w:rFonts w:eastAsia="Calibri"/>
                <w:b/>
                <w:bCs/>
                <w:sz w:val="16"/>
                <w:szCs w:val="16"/>
              </w:rPr>
              <w:t>UNDAF</w:t>
            </w:r>
            <w:r w:rsidR="009E4A19" w:rsidRPr="00B14011">
              <w:rPr>
                <w:rFonts w:eastAsia="Calibri"/>
                <w:b/>
                <w:bCs/>
                <w:sz w:val="16"/>
                <w:szCs w:val="16"/>
              </w:rPr>
              <w:t xml:space="preserve"> outcome</w:t>
            </w:r>
            <w:r w:rsidR="007838B5" w:rsidRPr="00B14011">
              <w:rPr>
                <w:rFonts w:eastAsia="Calibri"/>
                <w:b/>
                <w:bCs/>
                <w:sz w:val="16"/>
                <w:szCs w:val="16"/>
              </w:rPr>
              <w:t xml:space="preserve"> 1</w:t>
            </w:r>
            <w:r w:rsidR="00CD58A0" w:rsidRPr="00B14011">
              <w:rPr>
                <w:rFonts w:eastAsia="Calibri"/>
                <w:b/>
                <w:bCs/>
                <w:sz w:val="16"/>
                <w:szCs w:val="16"/>
              </w:rPr>
              <w:t>:</w:t>
            </w:r>
            <w:r w:rsidRPr="00B14011">
              <w:rPr>
                <w:rFonts w:eastAsia="Calibri"/>
                <w:b/>
                <w:bCs/>
                <w:sz w:val="16"/>
                <w:szCs w:val="16"/>
              </w:rPr>
              <w:t xml:space="preserve"> </w:t>
            </w:r>
            <w:r w:rsidR="00956985" w:rsidRPr="00B14011">
              <w:rPr>
                <w:rFonts w:eastAsia="Calibri"/>
                <w:b/>
                <w:bCs/>
                <w:sz w:val="16"/>
                <w:szCs w:val="16"/>
              </w:rPr>
              <w:t xml:space="preserve"> </w:t>
            </w:r>
            <w:r w:rsidR="00047A7D" w:rsidRPr="005A3BE4">
              <w:rPr>
                <w:sz w:val="16"/>
                <w:szCs w:val="28"/>
              </w:rPr>
              <w:t>By 2022, people in Sri Lanka benefit from improved data and knowledge management to address inequities and ensure inclusive and responsive decision</w:t>
            </w:r>
            <w:r w:rsidR="00E73923">
              <w:rPr>
                <w:sz w:val="16"/>
                <w:szCs w:val="28"/>
              </w:rPr>
              <w:t>-</w:t>
            </w:r>
            <w:r w:rsidR="00047A7D" w:rsidRPr="005A3BE4">
              <w:rPr>
                <w:sz w:val="16"/>
                <w:szCs w:val="28"/>
              </w:rPr>
              <w:t>making</w:t>
            </w:r>
            <w:r w:rsidR="00E73923">
              <w:rPr>
                <w:sz w:val="16"/>
                <w:szCs w:val="28"/>
              </w:rPr>
              <w:t>.</w:t>
            </w:r>
          </w:p>
        </w:tc>
      </w:tr>
      <w:tr w:rsidR="003E59AA" w:rsidRPr="00B14011" w14:paraId="2F667B5D" w14:textId="77777777" w:rsidTr="007C75AF">
        <w:tc>
          <w:tcPr>
            <w:tcW w:w="5000" w:type="pct"/>
            <w:gridSpan w:val="6"/>
            <w:shd w:val="clear" w:color="auto" w:fill="auto"/>
            <w:tcMar>
              <w:top w:w="72" w:type="dxa"/>
              <w:left w:w="144" w:type="dxa"/>
              <w:bottom w:w="72" w:type="dxa"/>
              <w:right w:w="144" w:type="dxa"/>
            </w:tcMar>
          </w:tcPr>
          <w:p w14:paraId="37F79045" w14:textId="136EBF45" w:rsidR="00BC54AE" w:rsidRPr="00B14011" w:rsidRDefault="00BC54AE" w:rsidP="00542842">
            <w:pPr>
              <w:tabs>
                <w:tab w:val="left" w:pos="900"/>
                <w:tab w:val="left" w:pos="990"/>
                <w:tab w:val="left" w:pos="8640"/>
                <w:tab w:val="left" w:pos="9180"/>
              </w:tabs>
              <w:ind w:left="31"/>
              <w:rPr>
                <w:rFonts w:eastAsia="Calibri"/>
                <w:b/>
                <w:bCs/>
                <w:sz w:val="16"/>
                <w:szCs w:val="16"/>
              </w:rPr>
            </w:pPr>
          </w:p>
        </w:tc>
      </w:tr>
      <w:tr w:rsidR="00F97644" w:rsidRPr="00B14011" w14:paraId="259FF2AC" w14:textId="77777777" w:rsidTr="007C75AF">
        <w:tc>
          <w:tcPr>
            <w:tcW w:w="872" w:type="pct"/>
            <w:tcMar>
              <w:top w:w="72" w:type="dxa"/>
              <w:left w:w="144" w:type="dxa"/>
              <w:bottom w:w="72" w:type="dxa"/>
              <w:right w:w="144" w:type="dxa"/>
            </w:tcMar>
          </w:tcPr>
          <w:p w14:paraId="29F4693B" w14:textId="0EFE2DFE" w:rsidR="00543E68" w:rsidRPr="00B14011" w:rsidRDefault="00543E68" w:rsidP="00981AEC">
            <w:pPr>
              <w:tabs>
                <w:tab w:val="left" w:pos="900"/>
                <w:tab w:val="left" w:pos="990"/>
                <w:tab w:val="left" w:pos="8640"/>
                <w:tab w:val="left" w:pos="9180"/>
              </w:tabs>
              <w:rPr>
                <w:rFonts w:eastAsia="Calibri"/>
                <w:b/>
                <w:iCs/>
                <w:sz w:val="16"/>
                <w:szCs w:val="16"/>
              </w:rPr>
            </w:pPr>
            <w:r w:rsidRPr="00B14011">
              <w:rPr>
                <w:rFonts w:eastAsia="Calibri"/>
                <w:b/>
                <w:iCs/>
                <w:sz w:val="16"/>
                <w:szCs w:val="16"/>
              </w:rPr>
              <w:t>Indicator</w:t>
            </w:r>
            <w:r w:rsidR="002846CC" w:rsidRPr="00B14011">
              <w:rPr>
                <w:rFonts w:eastAsia="Calibri"/>
                <w:b/>
                <w:iCs/>
                <w:sz w:val="16"/>
                <w:szCs w:val="16"/>
              </w:rPr>
              <w:t xml:space="preserve"> </w:t>
            </w:r>
            <w:r w:rsidR="00275A66" w:rsidRPr="00B14011">
              <w:rPr>
                <w:rFonts w:eastAsia="Calibri"/>
                <w:b/>
                <w:iCs/>
                <w:sz w:val="16"/>
                <w:szCs w:val="16"/>
              </w:rPr>
              <w:t>3.</w:t>
            </w:r>
            <w:r w:rsidR="00981AEC" w:rsidRPr="00B14011">
              <w:rPr>
                <w:rFonts w:eastAsia="Calibri"/>
                <w:b/>
                <w:iCs/>
                <w:sz w:val="16"/>
                <w:szCs w:val="16"/>
              </w:rPr>
              <w:t>1</w:t>
            </w:r>
            <w:r w:rsidRPr="00B14011">
              <w:rPr>
                <w:rFonts w:eastAsia="Calibri"/>
                <w:b/>
                <w:iCs/>
                <w:sz w:val="16"/>
                <w:szCs w:val="16"/>
              </w:rPr>
              <w:t>:</w:t>
            </w:r>
            <w:r w:rsidRPr="00B14011">
              <w:rPr>
                <w:sz w:val="16"/>
                <w:szCs w:val="16"/>
              </w:rPr>
              <w:t xml:space="preserve"> </w:t>
            </w:r>
            <w:r w:rsidR="00DE5A49" w:rsidRPr="00B14011">
              <w:rPr>
                <w:sz w:val="16"/>
                <w:szCs w:val="28"/>
              </w:rPr>
              <w:t>Propo</w:t>
            </w:r>
            <w:r w:rsidR="000C4556" w:rsidRPr="00B14011">
              <w:rPr>
                <w:sz w:val="16"/>
                <w:szCs w:val="28"/>
              </w:rPr>
              <w:t>rtion of SDG</w:t>
            </w:r>
            <w:r w:rsidR="00DE5A49" w:rsidRPr="00B14011">
              <w:rPr>
                <w:sz w:val="16"/>
                <w:szCs w:val="28"/>
              </w:rPr>
              <w:t xml:space="preserve"> indicators produced at the national level with full disaggregation w</w:t>
            </w:r>
            <w:r w:rsidR="007D49BF" w:rsidRPr="00B14011">
              <w:rPr>
                <w:sz w:val="16"/>
                <w:szCs w:val="28"/>
              </w:rPr>
              <w:t>hen relevant to the target</w:t>
            </w:r>
            <w:r w:rsidR="00DE5A49" w:rsidRPr="00B14011">
              <w:rPr>
                <w:sz w:val="16"/>
                <w:szCs w:val="28"/>
              </w:rPr>
              <w:t xml:space="preserve"> (SDG indicator 17.18.1)</w:t>
            </w:r>
          </w:p>
          <w:p w14:paraId="2075C531" w14:textId="77777777" w:rsidR="00543E68" w:rsidRPr="00B14011" w:rsidRDefault="00543E68" w:rsidP="00543E68">
            <w:pPr>
              <w:tabs>
                <w:tab w:val="left" w:pos="900"/>
                <w:tab w:val="left" w:pos="990"/>
                <w:tab w:val="left" w:pos="8640"/>
                <w:tab w:val="left" w:pos="9180"/>
              </w:tabs>
              <w:ind w:left="31"/>
              <w:rPr>
                <w:rFonts w:eastAsia="Calibri"/>
                <w:b/>
                <w:iCs/>
                <w:sz w:val="16"/>
                <w:szCs w:val="16"/>
              </w:rPr>
            </w:pPr>
          </w:p>
          <w:p w14:paraId="611AAA96" w14:textId="0CAF397A" w:rsidR="00543E68" w:rsidRPr="00B14011" w:rsidRDefault="00543E68" w:rsidP="00543E68">
            <w:pPr>
              <w:tabs>
                <w:tab w:val="left" w:pos="900"/>
                <w:tab w:val="left" w:pos="990"/>
                <w:tab w:val="left" w:pos="8640"/>
                <w:tab w:val="left" w:pos="9180"/>
              </w:tabs>
              <w:ind w:left="31"/>
              <w:rPr>
                <w:rFonts w:eastAsia="Calibri"/>
                <w:b/>
                <w:iCs/>
                <w:sz w:val="16"/>
                <w:szCs w:val="16"/>
              </w:rPr>
            </w:pPr>
            <w:r w:rsidRPr="00B14011">
              <w:rPr>
                <w:rFonts w:eastAsia="Calibri"/>
                <w:b/>
                <w:iCs/>
                <w:sz w:val="16"/>
                <w:szCs w:val="16"/>
              </w:rPr>
              <w:t>Baseline</w:t>
            </w:r>
            <w:r w:rsidR="00FC38CA" w:rsidRPr="00B14011">
              <w:rPr>
                <w:rFonts w:eastAsia="Calibri"/>
                <w:b/>
                <w:iCs/>
                <w:sz w:val="16"/>
                <w:szCs w:val="16"/>
              </w:rPr>
              <w:t xml:space="preserve"> (2018)</w:t>
            </w:r>
            <w:r w:rsidRPr="00B14011">
              <w:rPr>
                <w:rFonts w:eastAsia="Calibri"/>
                <w:b/>
                <w:iCs/>
                <w:sz w:val="16"/>
                <w:szCs w:val="16"/>
              </w:rPr>
              <w:t>:</w:t>
            </w:r>
            <w:r w:rsidR="00FC38CA" w:rsidRPr="00B14011">
              <w:rPr>
                <w:rFonts w:eastAsia="Calibri"/>
                <w:b/>
                <w:iCs/>
                <w:sz w:val="16"/>
                <w:szCs w:val="16"/>
              </w:rPr>
              <w:t xml:space="preserve"> </w:t>
            </w:r>
            <w:r w:rsidR="00FC38CA" w:rsidRPr="00B14011">
              <w:rPr>
                <w:rFonts w:eastAsia="Calibri"/>
                <w:iCs/>
                <w:sz w:val="16"/>
                <w:szCs w:val="16"/>
              </w:rPr>
              <w:t>25%</w:t>
            </w:r>
          </w:p>
          <w:p w14:paraId="570F28C3" w14:textId="72005413" w:rsidR="00543E68" w:rsidRPr="00B14011" w:rsidRDefault="00543E68" w:rsidP="00543E68">
            <w:pPr>
              <w:tabs>
                <w:tab w:val="left" w:pos="900"/>
                <w:tab w:val="left" w:pos="990"/>
                <w:tab w:val="left" w:pos="8640"/>
                <w:tab w:val="left" w:pos="9180"/>
              </w:tabs>
              <w:ind w:left="31"/>
              <w:rPr>
                <w:rFonts w:eastAsia="Calibri"/>
                <w:b/>
                <w:iCs/>
                <w:sz w:val="16"/>
                <w:szCs w:val="16"/>
              </w:rPr>
            </w:pPr>
            <w:r w:rsidRPr="00B14011">
              <w:rPr>
                <w:rFonts w:eastAsia="Calibri"/>
                <w:b/>
                <w:iCs/>
                <w:sz w:val="16"/>
                <w:szCs w:val="16"/>
              </w:rPr>
              <w:t>Target</w:t>
            </w:r>
            <w:r w:rsidR="00FC38CA" w:rsidRPr="00B14011">
              <w:rPr>
                <w:rFonts w:eastAsia="Calibri"/>
                <w:b/>
                <w:iCs/>
                <w:sz w:val="16"/>
                <w:szCs w:val="16"/>
              </w:rPr>
              <w:t xml:space="preserve"> (2022)</w:t>
            </w:r>
            <w:r w:rsidRPr="00B14011">
              <w:rPr>
                <w:rFonts w:eastAsia="Calibri"/>
                <w:b/>
                <w:iCs/>
                <w:sz w:val="16"/>
                <w:szCs w:val="16"/>
              </w:rPr>
              <w:t>:</w:t>
            </w:r>
            <w:r w:rsidR="00E73923">
              <w:rPr>
                <w:rFonts w:eastAsia="Calibri"/>
                <w:b/>
                <w:iCs/>
                <w:sz w:val="16"/>
                <w:szCs w:val="16"/>
              </w:rPr>
              <w:t xml:space="preserve"> </w:t>
            </w:r>
            <w:r w:rsidR="00FC38CA" w:rsidRPr="00B14011">
              <w:rPr>
                <w:rFonts w:eastAsia="Calibri"/>
                <w:iCs/>
                <w:sz w:val="16"/>
                <w:szCs w:val="16"/>
              </w:rPr>
              <w:t>78%</w:t>
            </w:r>
          </w:p>
          <w:p w14:paraId="0DD73CC0" w14:textId="77777777" w:rsidR="00BC54AE" w:rsidRPr="00B14011" w:rsidRDefault="00BC54AE" w:rsidP="00517EE4">
            <w:pPr>
              <w:tabs>
                <w:tab w:val="left" w:pos="900"/>
                <w:tab w:val="left" w:pos="990"/>
                <w:tab w:val="left" w:pos="8640"/>
                <w:tab w:val="left" w:pos="9180"/>
              </w:tabs>
              <w:ind w:left="31"/>
              <w:rPr>
                <w:rFonts w:eastAsia="Calibri"/>
                <w:iCs/>
                <w:sz w:val="16"/>
                <w:szCs w:val="16"/>
              </w:rPr>
            </w:pPr>
          </w:p>
        </w:tc>
        <w:tc>
          <w:tcPr>
            <w:tcW w:w="643" w:type="pct"/>
          </w:tcPr>
          <w:p w14:paraId="2135D270" w14:textId="4B81FFB3" w:rsidR="00542842" w:rsidRPr="00B14011" w:rsidRDefault="00BC54AE" w:rsidP="00981AEC">
            <w:pPr>
              <w:tabs>
                <w:tab w:val="left" w:pos="900"/>
                <w:tab w:val="left" w:pos="990"/>
                <w:tab w:val="left" w:pos="8640"/>
                <w:tab w:val="left" w:pos="9180"/>
              </w:tabs>
              <w:ind w:left="31"/>
              <w:rPr>
                <w:rFonts w:eastAsia="Calibri"/>
                <w:b/>
                <w:iCs/>
                <w:sz w:val="16"/>
                <w:szCs w:val="16"/>
              </w:rPr>
            </w:pPr>
            <w:r w:rsidRPr="00B14011">
              <w:rPr>
                <w:rFonts w:eastAsia="Calibri"/>
                <w:b/>
                <w:iCs/>
                <w:sz w:val="16"/>
                <w:szCs w:val="16"/>
              </w:rPr>
              <w:t>Source:</w:t>
            </w:r>
            <w:r w:rsidRPr="00B14011">
              <w:rPr>
                <w:rFonts w:eastAsia="Calibri"/>
                <w:iCs/>
                <w:sz w:val="16"/>
                <w:szCs w:val="16"/>
              </w:rPr>
              <w:t xml:space="preserve"> </w:t>
            </w:r>
            <w:r w:rsidR="00FD3A32" w:rsidRPr="00B14011">
              <w:rPr>
                <w:rFonts w:eastAsia="Calibri"/>
                <w:iCs/>
                <w:sz w:val="16"/>
                <w:szCs w:val="16"/>
              </w:rPr>
              <w:t xml:space="preserve">Department of Census and Statistics </w:t>
            </w:r>
          </w:p>
          <w:p w14:paraId="28D6DFF1" w14:textId="3C75ACE1" w:rsidR="008908AD" w:rsidRPr="00B14011" w:rsidRDefault="00BC54AE" w:rsidP="0009295E">
            <w:pPr>
              <w:tabs>
                <w:tab w:val="left" w:pos="900"/>
                <w:tab w:val="left" w:pos="990"/>
                <w:tab w:val="left" w:pos="8640"/>
                <w:tab w:val="left" w:pos="9180"/>
              </w:tabs>
              <w:ind w:left="31"/>
              <w:rPr>
                <w:rFonts w:eastAsia="Calibri"/>
                <w:iCs/>
                <w:sz w:val="16"/>
                <w:szCs w:val="16"/>
              </w:rPr>
            </w:pPr>
            <w:r w:rsidRPr="00B14011">
              <w:rPr>
                <w:rFonts w:eastAsia="Calibri"/>
                <w:b/>
                <w:iCs/>
                <w:sz w:val="16"/>
                <w:szCs w:val="16"/>
              </w:rPr>
              <w:t xml:space="preserve">Frequency: </w:t>
            </w:r>
            <w:r w:rsidR="000203B0" w:rsidRPr="00B14011">
              <w:rPr>
                <w:rFonts w:eastAsia="Calibri"/>
                <w:iCs/>
                <w:sz w:val="16"/>
                <w:szCs w:val="16"/>
              </w:rPr>
              <w:t>Annual</w:t>
            </w:r>
            <w:r w:rsidR="008908AD" w:rsidRPr="00B14011">
              <w:rPr>
                <w:rFonts w:eastAsia="Calibri"/>
                <w:iCs/>
                <w:sz w:val="16"/>
                <w:szCs w:val="16"/>
              </w:rPr>
              <w:br/>
            </w:r>
          </w:p>
          <w:p w14:paraId="5659DE71" w14:textId="77777777" w:rsidR="00BC54AE" w:rsidRPr="00B14011" w:rsidRDefault="00BC54AE" w:rsidP="0009295E">
            <w:pPr>
              <w:tabs>
                <w:tab w:val="left" w:pos="900"/>
                <w:tab w:val="left" w:pos="990"/>
                <w:tab w:val="left" w:pos="8640"/>
                <w:tab w:val="left" w:pos="9180"/>
              </w:tabs>
              <w:ind w:left="31"/>
              <w:rPr>
                <w:rFonts w:eastAsia="Calibri"/>
                <w:iCs/>
                <w:sz w:val="16"/>
                <w:szCs w:val="16"/>
              </w:rPr>
            </w:pPr>
          </w:p>
        </w:tc>
        <w:tc>
          <w:tcPr>
            <w:tcW w:w="1771" w:type="pct"/>
            <w:tcMar>
              <w:top w:w="72" w:type="dxa"/>
              <w:left w:w="144" w:type="dxa"/>
              <w:bottom w:w="72" w:type="dxa"/>
              <w:right w:w="144" w:type="dxa"/>
            </w:tcMar>
          </w:tcPr>
          <w:p w14:paraId="50B7703D" w14:textId="1AAC7FC1" w:rsidR="00543E68" w:rsidRPr="00B14011" w:rsidRDefault="00543E68" w:rsidP="00543E68">
            <w:pPr>
              <w:rPr>
                <w:b/>
                <w:sz w:val="16"/>
                <w:szCs w:val="16"/>
              </w:rPr>
            </w:pPr>
            <w:r w:rsidRPr="00B14011">
              <w:rPr>
                <w:rFonts w:eastAsia="Calibri"/>
                <w:b/>
                <w:iCs/>
                <w:sz w:val="16"/>
                <w:szCs w:val="16"/>
              </w:rPr>
              <w:t xml:space="preserve">Output 3.1: </w:t>
            </w:r>
            <w:r w:rsidRPr="00B14011">
              <w:rPr>
                <w:b/>
                <w:bCs/>
                <w:sz w:val="16"/>
                <w:szCs w:val="16"/>
              </w:rPr>
              <w:t>National and subnational data collection measurement and analytical systems in place to monitor progress on the</w:t>
            </w:r>
            <w:r w:rsidR="00360339" w:rsidRPr="00B14011">
              <w:rPr>
                <w:b/>
                <w:bCs/>
                <w:sz w:val="16"/>
                <w:szCs w:val="16"/>
              </w:rPr>
              <w:t xml:space="preserve"> </w:t>
            </w:r>
            <w:r w:rsidR="00520110" w:rsidRPr="00B14011">
              <w:rPr>
                <w:b/>
                <w:bCs/>
                <w:sz w:val="16"/>
                <w:szCs w:val="16"/>
              </w:rPr>
              <w:t>SDGs.</w:t>
            </w:r>
            <w:r w:rsidRPr="00B14011">
              <w:rPr>
                <w:b/>
                <w:sz w:val="16"/>
                <w:szCs w:val="16"/>
              </w:rPr>
              <w:t xml:space="preserve"> </w:t>
            </w:r>
          </w:p>
          <w:p w14:paraId="2859B02D" w14:textId="77777777" w:rsidR="00543E68" w:rsidRPr="00B14011" w:rsidRDefault="00543E68" w:rsidP="00543E68">
            <w:pPr>
              <w:tabs>
                <w:tab w:val="left" w:pos="900"/>
                <w:tab w:val="left" w:pos="990"/>
                <w:tab w:val="left" w:pos="8640"/>
                <w:tab w:val="left" w:pos="9180"/>
              </w:tabs>
              <w:rPr>
                <w:rFonts w:eastAsia="Calibri"/>
                <w:b/>
                <w:iCs/>
                <w:sz w:val="16"/>
                <w:szCs w:val="16"/>
              </w:rPr>
            </w:pPr>
          </w:p>
          <w:p w14:paraId="13C863ED" w14:textId="77777777" w:rsidR="00543E68" w:rsidRPr="00B14011" w:rsidRDefault="00543E68" w:rsidP="00543E68">
            <w:pPr>
              <w:tabs>
                <w:tab w:val="left" w:pos="4440"/>
              </w:tabs>
              <w:rPr>
                <w:sz w:val="16"/>
                <w:szCs w:val="16"/>
              </w:rPr>
            </w:pPr>
            <w:r w:rsidRPr="00B14011">
              <w:rPr>
                <w:rFonts w:eastAsia="Calibri"/>
                <w:b/>
                <w:iCs/>
                <w:sz w:val="16"/>
                <w:szCs w:val="16"/>
              </w:rPr>
              <w:t xml:space="preserve">Indicator 3.1.1. </w:t>
            </w:r>
            <w:r w:rsidR="00605BAE" w:rsidRPr="00B14011">
              <w:rPr>
                <w:sz w:val="16"/>
                <w:szCs w:val="16"/>
              </w:rPr>
              <w:t>Establishment of a national SDG baseline</w:t>
            </w:r>
            <w:r w:rsidR="00C90EAB" w:rsidRPr="00B14011">
              <w:rPr>
                <w:sz w:val="16"/>
                <w:szCs w:val="16"/>
              </w:rPr>
              <w:t xml:space="preserve"> </w:t>
            </w:r>
            <w:r w:rsidR="00605BAE" w:rsidRPr="00B14011">
              <w:rPr>
                <w:sz w:val="16"/>
                <w:szCs w:val="16"/>
              </w:rPr>
              <w:t>and identification of data gaps.</w:t>
            </w:r>
          </w:p>
          <w:p w14:paraId="09AE29B5" w14:textId="1787E2FE" w:rsidR="00543E68" w:rsidRPr="00B14011" w:rsidRDefault="00543E68" w:rsidP="00543E68">
            <w:pPr>
              <w:tabs>
                <w:tab w:val="left" w:pos="900"/>
                <w:tab w:val="left" w:pos="990"/>
                <w:tab w:val="left" w:pos="8640"/>
                <w:tab w:val="left" w:pos="9180"/>
              </w:tabs>
              <w:rPr>
                <w:rFonts w:eastAsia="Calibri"/>
                <w:iCs/>
                <w:sz w:val="16"/>
                <w:szCs w:val="16"/>
              </w:rPr>
            </w:pPr>
            <w:r w:rsidRPr="00B14011">
              <w:rPr>
                <w:rFonts w:eastAsia="Calibri"/>
                <w:b/>
                <w:iCs/>
                <w:sz w:val="16"/>
                <w:szCs w:val="16"/>
              </w:rPr>
              <w:t xml:space="preserve">Baseline (2018): </w:t>
            </w:r>
            <w:r w:rsidR="003E590A" w:rsidRPr="00B14011">
              <w:rPr>
                <w:rFonts w:eastAsia="Calibri"/>
                <w:iCs/>
                <w:sz w:val="16"/>
                <w:szCs w:val="16"/>
              </w:rPr>
              <w:t>SDG baseline not established</w:t>
            </w:r>
          </w:p>
          <w:p w14:paraId="7982B77A" w14:textId="291B7D4C" w:rsidR="00543E68" w:rsidRPr="00B14011" w:rsidRDefault="00543E68" w:rsidP="00543E68">
            <w:pPr>
              <w:tabs>
                <w:tab w:val="left" w:pos="900"/>
                <w:tab w:val="left" w:pos="990"/>
                <w:tab w:val="left" w:pos="8640"/>
                <w:tab w:val="left" w:pos="9180"/>
              </w:tabs>
              <w:rPr>
                <w:rFonts w:eastAsia="Calibri"/>
                <w:b/>
                <w:iCs/>
                <w:sz w:val="16"/>
                <w:szCs w:val="16"/>
              </w:rPr>
            </w:pPr>
            <w:r w:rsidRPr="00B14011">
              <w:rPr>
                <w:rFonts w:eastAsia="Calibri"/>
                <w:b/>
                <w:iCs/>
                <w:sz w:val="16"/>
                <w:szCs w:val="16"/>
              </w:rPr>
              <w:t>Target (20</w:t>
            </w:r>
            <w:r w:rsidR="003C5C25" w:rsidRPr="00B14011">
              <w:rPr>
                <w:rFonts w:eastAsia="Calibri"/>
                <w:b/>
                <w:iCs/>
                <w:sz w:val="16"/>
                <w:szCs w:val="16"/>
              </w:rPr>
              <w:t>18</w:t>
            </w:r>
            <w:r w:rsidRPr="00B14011">
              <w:rPr>
                <w:rFonts w:eastAsia="Calibri"/>
                <w:b/>
                <w:iCs/>
                <w:sz w:val="16"/>
                <w:szCs w:val="16"/>
              </w:rPr>
              <w:t xml:space="preserve">): </w:t>
            </w:r>
            <w:r w:rsidR="005E6B88" w:rsidRPr="00B14011">
              <w:rPr>
                <w:rFonts w:eastAsia="Calibri"/>
                <w:iCs/>
                <w:sz w:val="16"/>
                <w:szCs w:val="16"/>
              </w:rPr>
              <w:t>SDG baseline established</w:t>
            </w:r>
            <w:r w:rsidR="00360339" w:rsidRPr="00B14011">
              <w:rPr>
                <w:rFonts w:eastAsia="Calibri"/>
                <w:iCs/>
                <w:sz w:val="16"/>
                <w:szCs w:val="16"/>
              </w:rPr>
              <w:t xml:space="preserve"> </w:t>
            </w:r>
          </w:p>
          <w:p w14:paraId="26C5C267" w14:textId="66ADBFBD" w:rsidR="00543E68" w:rsidRPr="00B14011" w:rsidRDefault="00543E68" w:rsidP="00543E68">
            <w:pPr>
              <w:tabs>
                <w:tab w:val="left" w:pos="900"/>
                <w:tab w:val="left" w:pos="990"/>
                <w:tab w:val="left" w:pos="8640"/>
                <w:tab w:val="left" w:pos="9180"/>
              </w:tabs>
              <w:rPr>
                <w:rFonts w:eastAsia="Calibri"/>
                <w:b/>
                <w:iCs/>
                <w:sz w:val="16"/>
                <w:szCs w:val="16"/>
              </w:rPr>
            </w:pPr>
            <w:r w:rsidRPr="00B14011">
              <w:rPr>
                <w:rFonts w:eastAsia="Calibri"/>
                <w:b/>
                <w:iCs/>
                <w:sz w:val="16"/>
                <w:szCs w:val="16"/>
              </w:rPr>
              <w:t>Source:</w:t>
            </w:r>
            <w:r w:rsidRPr="00B14011">
              <w:rPr>
                <w:rFonts w:eastAsia="Calibri"/>
                <w:iCs/>
                <w:sz w:val="16"/>
                <w:szCs w:val="16"/>
              </w:rPr>
              <w:t xml:space="preserve"> UNDP project reports, SDG U</w:t>
            </w:r>
            <w:r w:rsidR="00E73923">
              <w:rPr>
                <w:rFonts w:eastAsia="Calibri"/>
                <w:iCs/>
                <w:sz w:val="16"/>
                <w:szCs w:val="16"/>
              </w:rPr>
              <w:t xml:space="preserve">nited </w:t>
            </w:r>
            <w:r w:rsidRPr="00B14011">
              <w:rPr>
                <w:rFonts w:eastAsia="Calibri"/>
                <w:iCs/>
                <w:sz w:val="16"/>
                <w:szCs w:val="16"/>
              </w:rPr>
              <w:t>N</w:t>
            </w:r>
            <w:r w:rsidR="00E73923">
              <w:rPr>
                <w:rFonts w:eastAsia="Calibri"/>
                <w:iCs/>
                <w:sz w:val="16"/>
                <w:szCs w:val="16"/>
              </w:rPr>
              <w:t>ations</w:t>
            </w:r>
            <w:r w:rsidRPr="00B14011">
              <w:rPr>
                <w:rFonts w:eastAsia="Calibri"/>
                <w:iCs/>
                <w:sz w:val="16"/>
                <w:szCs w:val="16"/>
              </w:rPr>
              <w:t xml:space="preserve"> working group reports </w:t>
            </w:r>
          </w:p>
          <w:p w14:paraId="514ECAB9" w14:textId="026E6CEF" w:rsidR="00543E68" w:rsidRPr="00B14011" w:rsidRDefault="00543E68" w:rsidP="008244C9">
            <w:pPr>
              <w:tabs>
                <w:tab w:val="left" w:pos="900"/>
                <w:tab w:val="left" w:pos="990"/>
                <w:tab w:val="left" w:pos="8640"/>
                <w:tab w:val="left" w:pos="9180"/>
              </w:tabs>
              <w:rPr>
                <w:rFonts w:eastAsia="Calibri"/>
                <w:iCs/>
                <w:sz w:val="16"/>
                <w:szCs w:val="16"/>
              </w:rPr>
            </w:pPr>
          </w:p>
          <w:p w14:paraId="56C40A2D" w14:textId="77777777" w:rsidR="00543E68" w:rsidRPr="00B14011" w:rsidRDefault="00820DEE" w:rsidP="00543E68">
            <w:pPr>
              <w:rPr>
                <w:sz w:val="16"/>
                <w:szCs w:val="16"/>
              </w:rPr>
            </w:pPr>
            <w:r w:rsidRPr="00B14011">
              <w:rPr>
                <w:rFonts w:eastAsia="Calibri"/>
                <w:b/>
                <w:iCs/>
                <w:sz w:val="16"/>
                <w:szCs w:val="16"/>
              </w:rPr>
              <w:t>Indicator 3.1.2</w:t>
            </w:r>
            <w:r w:rsidR="00543E68" w:rsidRPr="00B14011">
              <w:rPr>
                <w:rFonts w:eastAsia="Calibri"/>
                <w:b/>
                <w:iCs/>
                <w:sz w:val="16"/>
                <w:szCs w:val="16"/>
              </w:rPr>
              <w:t xml:space="preserve">. </w:t>
            </w:r>
            <w:r w:rsidR="00543E68" w:rsidRPr="00B14011">
              <w:rPr>
                <w:sz w:val="16"/>
                <w:szCs w:val="16"/>
              </w:rPr>
              <w:t xml:space="preserve">Existence of a policy </w:t>
            </w:r>
            <w:r w:rsidR="005805D9" w:rsidRPr="00B14011">
              <w:rPr>
                <w:sz w:val="16"/>
                <w:szCs w:val="16"/>
              </w:rPr>
              <w:t xml:space="preserve">and system </w:t>
            </w:r>
            <w:r w:rsidR="00543E68" w:rsidRPr="00B14011">
              <w:rPr>
                <w:sz w:val="16"/>
                <w:szCs w:val="16"/>
              </w:rPr>
              <w:t>for data sharing across government institutions.</w:t>
            </w:r>
          </w:p>
          <w:p w14:paraId="39C73A90" w14:textId="77777777" w:rsidR="00543E68" w:rsidRPr="00B14011" w:rsidRDefault="00543E68" w:rsidP="00543E68">
            <w:pPr>
              <w:rPr>
                <w:sz w:val="16"/>
                <w:szCs w:val="16"/>
              </w:rPr>
            </w:pPr>
            <w:r w:rsidRPr="00B14011">
              <w:rPr>
                <w:b/>
                <w:sz w:val="16"/>
                <w:szCs w:val="16"/>
              </w:rPr>
              <w:t>Baseline:</w:t>
            </w:r>
            <w:r w:rsidRPr="00B14011">
              <w:rPr>
                <w:sz w:val="16"/>
                <w:szCs w:val="16"/>
              </w:rPr>
              <w:t xml:space="preserve"> </w:t>
            </w:r>
            <w:r w:rsidR="005805D9" w:rsidRPr="00B14011">
              <w:rPr>
                <w:sz w:val="16"/>
                <w:szCs w:val="16"/>
              </w:rPr>
              <w:t>No</w:t>
            </w:r>
            <w:r w:rsidRPr="00B14011">
              <w:rPr>
                <w:sz w:val="16"/>
                <w:szCs w:val="16"/>
              </w:rPr>
              <w:t xml:space="preserve"> policy </w:t>
            </w:r>
            <w:r w:rsidR="005805D9" w:rsidRPr="00B14011">
              <w:rPr>
                <w:sz w:val="16"/>
                <w:szCs w:val="16"/>
              </w:rPr>
              <w:t>or system exists</w:t>
            </w:r>
            <w:r w:rsidRPr="00B14011">
              <w:rPr>
                <w:sz w:val="16"/>
                <w:szCs w:val="16"/>
              </w:rPr>
              <w:t xml:space="preserve"> </w:t>
            </w:r>
          </w:p>
          <w:p w14:paraId="2B1E7477" w14:textId="77777777" w:rsidR="00543E68" w:rsidRPr="00B14011" w:rsidRDefault="00543E68" w:rsidP="00543E68">
            <w:pPr>
              <w:rPr>
                <w:strike/>
                <w:sz w:val="16"/>
                <w:szCs w:val="16"/>
              </w:rPr>
            </w:pPr>
            <w:r w:rsidRPr="00B14011">
              <w:rPr>
                <w:b/>
                <w:sz w:val="16"/>
                <w:szCs w:val="16"/>
              </w:rPr>
              <w:t>Target:</w:t>
            </w:r>
            <w:r w:rsidRPr="00B14011">
              <w:rPr>
                <w:sz w:val="16"/>
                <w:szCs w:val="16"/>
              </w:rPr>
              <w:t xml:space="preserve">  Policy </w:t>
            </w:r>
            <w:r w:rsidR="005805D9" w:rsidRPr="00B14011">
              <w:rPr>
                <w:sz w:val="16"/>
                <w:szCs w:val="16"/>
              </w:rPr>
              <w:t>adopted</w:t>
            </w:r>
            <w:r w:rsidRPr="00B14011">
              <w:rPr>
                <w:sz w:val="16"/>
                <w:szCs w:val="16"/>
              </w:rPr>
              <w:t xml:space="preserve"> by 2019</w:t>
            </w:r>
            <w:r w:rsidR="005805D9" w:rsidRPr="00B14011">
              <w:rPr>
                <w:sz w:val="16"/>
                <w:szCs w:val="16"/>
              </w:rPr>
              <w:t>, system in place by 2022</w:t>
            </w:r>
          </w:p>
          <w:p w14:paraId="4A66BE04" w14:textId="77777777" w:rsidR="00543E68" w:rsidRPr="00B14011" w:rsidRDefault="00543E68" w:rsidP="00543E68">
            <w:pPr>
              <w:spacing w:after="160" w:line="256" w:lineRule="auto"/>
              <w:rPr>
                <w:sz w:val="16"/>
                <w:szCs w:val="16"/>
              </w:rPr>
            </w:pPr>
            <w:r w:rsidRPr="00B14011">
              <w:rPr>
                <w:rFonts w:eastAsia="Calibri"/>
                <w:b/>
                <w:iCs/>
                <w:sz w:val="16"/>
                <w:szCs w:val="16"/>
              </w:rPr>
              <w:t xml:space="preserve">Source: </w:t>
            </w:r>
            <w:r w:rsidR="00625B7F" w:rsidRPr="00B14011">
              <w:rPr>
                <w:rFonts w:eastAsia="Calibri"/>
                <w:iCs/>
                <w:sz w:val="16"/>
                <w:szCs w:val="16"/>
              </w:rPr>
              <w:t>Project</w:t>
            </w:r>
            <w:r w:rsidRPr="00B14011">
              <w:rPr>
                <w:sz w:val="16"/>
                <w:szCs w:val="16"/>
              </w:rPr>
              <w:t xml:space="preserve"> evaluation report</w:t>
            </w:r>
            <w:r w:rsidR="005413A7" w:rsidRPr="00B14011">
              <w:rPr>
                <w:sz w:val="16"/>
                <w:szCs w:val="16"/>
              </w:rPr>
              <w:t>.</w:t>
            </w:r>
          </w:p>
          <w:p w14:paraId="62946F8D" w14:textId="77777777" w:rsidR="00E61EA8" w:rsidRPr="00B14011" w:rsidRDefault="00E61EA8" w:rsidP="001711EA">
            <w:pPr>
              <w:rPr>
                <w:sz w:val="16"/>
                <w:szCs w:val="16"/>
              </w:rPr>
            </w:pPr>
            <w:r w:rsidRPr="00B14011">
              <w:rPr>
                <w:b/>
                <w:sz w:val="16"/>
                <w:szCs w:val="16"/>
              </w:rPr>
              <w:t>Indicator 3.1.3.</w:t>
            </w:r>
            <w:r w:rsidRPr="00B14011">
              <w:rPr>
                <w:sz w:val="16"/>
                <w:szCs w:val="16"/>
              </w:rPr>
              <w:t xml:space="preserve"> Existence of an overall (SDG-based) monitoring and analytical framework.</w:t>
            </w:r>
          </w:p>
          <w:p w14:paraId="738854BA" w14:textId="77777777" w:rsidR="00E61EA8" w:rsidRPr="00B14011" w:rsidRDefault="00E61EA8" w:rsidP="001711EA">
            <w:pPr>
              <w:rPr>
                <w:sz w:val="16"/>
                <w:szCs w:val="16"/>
              </w:rPr>
            </w:pPr>
            <w:r w:rsidRPr="00B14011">
              <w:rPr>
                <w:b/>
                <w:sz w:val="16"/>
                <w:szCs w:val="16"/>
              </w:rPr>
              <w:t>Baseline</w:t>
            </w:r>
            <w:r w:rsidRPr="00B14011">
              <w:rPr>
                <w:sz w:val="16"/>
                <w:szCs w:val="16"/>
              </w:rPr>
              <w:t>: Framework does not exist</w:t>
            </w:r>
          </w:p>
          <w:p w14:paraId="502761F9" w14:textId="32A1B171" w:rsidR="00E61EA8" w:rsidRPr="00B14011" w:rsidRDefault="00E61EA8" w:rsidP="001711EA">
            <w:pPr>
              <w:rPr>
                <w:sz w:val="16"/>
                <w:szCs w:val="16"/>
              </w:rPr>
            </w:pPr>
            <w:r w:rsidRPr="00B14011">
              <w:rPr>
                <w:b/>
                <w:sz w:val="16"/>
                <w:szCs w:val="16"/>
              </w:rPr>
              <w:t>Target</w:t>
            </w:r>
            <w:r w:rsidRPr="00B14011">
              <w:rPr>
                <w:sz w:val="16"/>
                <w:szCs w:val="16"/>
              </w:rPr>
              <w:t>:  Framework adopted by 2019, and institutionali</w:t>
            </w:r>
            <w:r w:rsidR="00E73923">
              <w:rPr>
                <w:sz w:val="16"/>
                <w:szCs w:val="16"/>
              </w:rPr>
              <w:t>z</w:t>
            </w:r>
            <w:r w:rsidRPr="00B14011">
              <w:rPr>
                <w:sz w:val="16"/>
                <w:szCs w:val="16"/>
              </w:rPr>
              <w:t>ed by 2022</w:t>
            </w:r>
          </w:p>
          <w:p w14:paraId="11E677C9" w14:textId="00211897" w:rsidR="00E61EA8" w:rsidRPr="00B14011" w:rsidRDefault="00E61EA8" w:rsidP="001711EA">
            <w:pPr>
              <w:rPr>
                <w:sz w:val="16"/>
                <w:szCs w:val="16"/>
              </w:rPr>
            </w:pPr>
            <w:r w:rsidRPr="00B14011">
              <w:rPr>
                <w:b/>
                <w:sz w:val="16"/>
                <w:szCs w:val="16"/>
              </w:rPr>
              <w:t>Source</w:t>
            </w:r>
            <w:r w:rsidRPr="00B14011">
              <w:rPr>
                <w:sz w:val="16"/>
                <w:szCs w:val="16"/>
              </w:rPr>
              <w:t xml:space="preserve">: UNDP </w:t>
            </w:r>
            <w:r w:rsidR="00E73923">
              <w:rPr>
                <w:sz w:val="16"/>
                <w:szCs w:val="16"/>
              </w:rPr>
              <w:t>p</w:t>
            </w:r>
            <w:r w:rsidRPr="00B14011">
              <w:rPr>
                <w:sz w:val="16"/>
                <w:szCs w:val="16"/>
              </w:rPr>
              <w:t xml:space="preserve">roject reports.  </w:t>
            </w:r>
          </w:p>
          <w:p w14:paraId="413865D5" w14:textId="77777777" w:rsidR="002F01EB" w:rsidRPr="00B14011" w:rsidRDefault="002F01EB" w:rsidP="00543E68">
            <w:pPr>
              <w:tabs>
                <w:tab w:val="left" w:pos="900"/>
                <w:tab w:val="left" w:pos="990"/>
                <w:tab w:val="left" w:pos="8640"/>
                <w:tab w:val="left" w:pos="9180"/>
              </w:tabs>
              <w:rPr>
                <w:rFonts w:eastAsia="Calibri"/>
                <w:iCs/>
                <w:sz w:val="16"/>
                <w:szCs w:val="16"/>
              </w:rPr>
            </w:pPr>
          </w:p>
          <w:p w14:paraId="5035C37E" w14:textId="10B918D9" w:rsidR="00543E68" w:rsidRPr="00B14011" w:rsidRDefault="00543E68" w:rsidP="00543E68">
            <w:pPr>
              <w:rPr>
                <w:b/>
                <w:sz w:val="16"/>
                <w:szCs w:val="16"/>
              </w:rPr>
            </w:pPr>
            <w:r w:rsidRPr="00B14011">
              <w:rPr>
                <w:rFonts w:eastAsia="Calibri"/>
                <w:b/>
                <w:iCs/>
                <w:sz w:val="16"/>
                <w:szCs w:val="16"/>
              </w:rPr>
              <w:t xml:space="preserve">Output 3.2: </w:t>
            </w:r>
            <w:r w:rsidRPr="00B14011">
              <w:rPr>
                <w:b/>
                <w:sz w:val="16"/>
                <w:szCs w:val="16"/>
              </w:rPr>
              <w:t>Evidence</w:t>
            </w:r>
            <w:r w:rsidR="00E73923">
              <w:rPr>
                <w:b/>
                <w:sz w:val="16"/>
                <w:szCs w:val="16"/>
              </w:rPr>
              <w:t>-</w:t>
            </w:r>
            <w:r w:rsidRPr="00B14011">
              <w:rPr>
                <w:b/>
                <w:sz w:val="16"/>
                <w:szCs w:val="16"/>
              </w:rPr>
              <w:t>based national development plan(s) informed by sustainable development framework formulated with citizen engagement.</w:t>
            </w:r>
          </w:p>
          <w:p w14:paraId="39998CB2" w14:textId="77777777" w:rsidR="00834EC5" w:rsidRPr="00B14011" w:rsidRDefault="00834EC5" w:rsidP="00543E68">
            <w:pPr>
              <w:rPr>
                <w:b/>
                <w:sz w:val="16"/>
                <w:szCs w:val="16"/>
              </w:rPr>
            </w:pPr>
          </w:p>
          <w:p w14:paraId="5D0EE5C8" w14:textId="5FC39E40" w:rsidR="00543E68" w:rsidRPr="00B14011" w:rsidRDefault="00543E68" w:rsidP="00543E68">
            <w:pPr>
              <w:rPr>
                <w:sz w:val="16"/>
                <w:szCs w:val="16"/>
              </w:rPr>
            </w:pPr>
            <w:r w:rsidRPr="00B14011">
              <w:rPr>
                <w:rFonts w:eastAsia="Calibri"/>
                <w:b/>
                <w:iCs/>
                <w:sz w:val="16"/>
                <w:szCs w:val="16"/>
              </w:rPr>
              <w:lastRenderedPageBreak/>
              <w:t>Indicator 3.2.</w:t>
            </w:r>
            <w:r w:rsidR="00732E78" w:rsidRPr="00B14011">
              <w:rPr>
                <w:rFonts w:eastAsia="Calibri"/>
                <w:b/>
                <w:iCs/>
                <w:sz w:val="16"/>
                <w:szCs w:val="16"/>
              </w:rPr>
              <w:t>1</w:t>
            </w:r>
            <w:r w:rsidRPr="00B14011">
              <w:rPr>
                <w:rFonts w:eastAsia="Calibri"/>
                <w:b/>
                <w:iCs/>
                <w:sz w:val="16"/>
                <w:szCs w:val="16"/>
              </w:rPr>
              <w:t xml:space="preserve">. </w:t>
            </w:r>
            <w:r w:rsidRPr="00B14011">
              <w:rPr>
                <w:sz w:val="16"/>
                <w:szCs w:val="16"/>
              </w:rPr>
              <w:t xml:space="preserve">Number of multi-stakeholder </w:t>
            </w:r>
            <w:r w:rsidR="004D700C" w:rsidRPr="00B14011">
              <w:rPr>
                <w:sz w:val="16"/>
                <w:szCs w:val="16"/>
              </w:rPr>
              <w:t>dialogues</w:t>
            </w:r>
            <w:r w:rsidR="007C737D" w:rsidRPr="00B14011">
              <w:rPr>
                <w:sz w:val="16"/>
                <w:szCs w:val="16"/>
              </w:rPr>
              <w:t>, including CSOs advocating gender equality,</w:t>
            </w:r>
            <w:r w:rsidR="004D700C" w:rsidRPr="00B14011">
              <w:rPr>
                <w:sz w:val="16"/>
                <w:szCs w:val="16"/>
              </w:rPr>
              <w:t xml:space="preserve"> organized </w:t>
            </w:r>
            <w:r w:rsidR="00E73923">
              <w:rPr>
                <w:sz w:val="16"/>
                <w:szCs w:val="16"/>
              </w:rPr>
              <w:t xml:space="preserve">and </w:t>
            </w:r>
            <w:r w:rsidR="004D700C" w:rsidRPr="00B14011">
              <w:rPr>
                <w:sz w:val="16"/>
                <w:szCs w:val="16"/>
              </w:rPr>
              <w:t>linked to SDG-based development planning</w:t>
            </w:r>
            <w:r w:rsidR="005316CF" w:rsidRPr="00B14011">
              <w:rPr>
                <w:sz w:val="16"/>
                <w:szCs w:val="16"/>
              </w:rPr>
              <w:t xml:space="preserve"> at national and subnational level</w:t>
            </w:r>
            <w:r w:rsidRPr="00B14011">
              <w:rPr>
                <w:sz w:val="16"/>
                <w:szCs w:val="16"/>
              </w:rPr>
              <w:t>.</w:t>
            </w:r>
          </w:p>
          <w:p w14:paraId="1F9200A6" w14:textId="77777777" w:rsidR="00543E68" w:rsidRPr="00B14011" w:rsidRDefault="00543E68" w:rsidP="00543E68">
            <w:pPr>
              <w:tabs>
                <w:tab w:val="left" w:pos="900"/>
                <w:tab w:val="left" w:pos="990"/>
                <w:tab w:val="left" w:pos="8640"/>
                <w:tab w:val="left" w:pos="9180"/>
              </w:tabs>
              <w:rPr>
                <w:rFonts w:eastAsia="Calibri"/>
                <w:b/>
                <w:iCs/>
                <w:sz w:val="16"/>
                <w:szCs w:val="16"/>
              </w:rPr>
            </w:pPr>
            <w:r w:rsidRPr="00B14011">
              <w:rPr>
                <w:rFonts w:eastAsia="Calibri"/>
                <w:b/>
                <w:iCs/>
                <w:sz w:val="16"/>
                <w:szCs w:val="16"/>
              </w:rPr>
              <w:t xml:space="preserve">Baseline (2018): </w:t>
            </w:r>
            <w:r w:rsidRPr="00B14011">
              <w:rPr>
                <w:rFonts w:eastAsia="Calibri"/>
                <w:iCs/>
                <w:sz w:val="16"/>
                <w:szCs w:val="16"/>
              </w:rPr>
              <w:t>None</w:t>
            </w:r>
          </w:p>
          <w:p w14:paraId="3F2FB5B9" w14:textId="77777777" w:rsidR="00543E68" w:rsidRPr="00B14011" w:rsidRDefault="00543E68" w:rsidP="00543E68">
            <w:pPr>
              <w:tabs>
                <w:tab w:val="left" w:pos="900"/>
                <w:tab w:val="left" w:pos="990"/>
                <w:tab w:val="left" w:pos="8640"/>
                <w:tab w:val="left" w:pos="9180"/>
              </w:tabs>
              <w:ind w:left="31"/>
              <w:rPr>
                <w:rFonts w:eastAsia="Calibri"/>
                <w:b/>
                <w:iCs/>
                <w:sz w:val="16"/>
                <w:szCs w:val="16"/>
              </w:rPr>
            </w:pPr>
            <w:r w:rsidRPr="00B14011">
              <w:rPr>
                <w:rFonts w:eastAsia="Calibri"/>
                <w:b/>
                <w:iCs/>
                <w:sz w:val="16"/>
                <w:szCs w:val="16"/>
              </w:rPr>
              <w:t xml:space="preserve">Target (2022): </w:t>
            </w:r>
            <w:r w:rsidR="005316CF" w:rsidRPr="00B14011">
              <w:rPr>
                <w:rFonts w:eastAsia="Calibri"/>
                <w:iCs/>
                <w:sz w:val="16"/>
                <w:szCs w:val="16"/>
              </w:rPr>
              <w:t>15</w:t>
            </w:r>
            <w:r w:rsidR="005316CF" w:rsidRPr="00B14011">
              <w:rPr>
                <w:rFonts w:eastAsia="Calibri"/>
                <w:b/>
                <w:iCs/>
                <w:sz w:val="16"/>
                <w:szCs w:val="16"/>
              </w:rPr>
              <w:t xml:space="preserve"> </w:t>
            </w:r>
          </w:p>
          <w:p w14:paraId="245B56BF" w14:textId="77777777" w:rsidR="00543E68" w:rsidRPr="00B14011" w:rsidRDefault="00543E68" w:rsidP="00543E68">
            <w:pPr>
              <w:tabs>
                <w:tab w:val="left" w:pos="900"/>
                <w:tab w:val="left" w:pos="990"/>
                <w:tab w:val="left" w:pos="8640"/>
                <w:tab w:val="left" w:pos="9180"/>
              </w:tabs>
              <w:ind w:left="31"/>
              <w:rPr>
                <w:rFonts w:eastAsia="Calibri"/>
                <w:iCs/>
                <w:sz w:val="16"/>
                <w:szCs w:val="16"/>
              </w:rPr>
            </w:pPr>
            <w:r w:rsidRPr="00B14011">
              <w:rPr>
                <w:rFonts w:eastAsia="Calibri"/>
                <w:b/>
                <w:iCs/>
                <w:sz w:val="16"/>
                <w:szCs w:val="16"/>
              </w:rPr>
              <w:t xml:space="preserve">Source: </w:t>
            </w:r>
            <w:r w:rsidRPr="00B14011">
              <w:rPr>
                <w:rFonts w:eastAsia="Calibri"/>
                <w:iCs/>
                <w:sz w:val="16"/>
                <w:szCs w:val="16"/>
              </w:rPr>
              <w:t xml:space="preserve">UNDP project reports </w:t>
            </w:r>
          </w:p>
          <w:p w14:paraId="41714A5C" w14:textId="17DAC86E" w:rsidR="00543E68" w:rsidRPr="00B14011" w:rsidRDefault="00543E68" w:rsidP="000871DC">
            <w:pPr>
              <w:tabs>
                <w:tab w:val="left" w:pos="900"/>
                <w:tab w:val="left" w:pos="990"/>
                <w:tab w:val="left" w:pos="8640"/>
                <w:tab w:val="left" w:pos="9180"/>
              </w:tabs>
              <w:rPr>
                <w:rFonts w:eastAsia="Calibri"/>
                <w:iCs/>
                <w:sz w:val="16"/>
                <w:szCs w:val="16"/>
              </w:rPr>
            </w:pPr>
          </w:p>
          <w:p w14:paraId="323E8723" w14:textId="6E690B65" w:rsidR="00543E68" w:rsidRPr="00B14011" w:rsidRDefault="00732E78" w:rsidP="00543E68">
            <w:pPr>
              <w:tabs>
                <w:tab w:val="left" w:pos="900"/>
                <w:tab w:val="left" w:pos="990"/>
                <w:tab w:val="left" w:pos="8640"/>
                <w:tab w:val="left" w:pos="9180"/>
              </w:tabs>
              <w:ind w:left="31"/>
              <w:rPr>
                <w:rFonts w:eastAsia="Calibri"/>
                <w:iCs/>
                <w:sz w:val="16"/>
                <w:szCs w:val="16"/>
              </w:rPr>
            </w:pPr>
            <w:r w:rsidRPr="00B14011">
              <w:rPr>
                <w:rFonts w:eastAsia="Calibri"/>
                <w:b/>
                <w:iCs/>
                <w:sz w:val="16"/>
                <w:szCs w:val="16"/>
              </w:rPr>
              <w:t>Indicator 3.2.2</w:t>
            </w:r>
            <w:r w:rsidR="00543E68" w:rsidRPr="00B14011">
              <w:rPr>
                <w:rFonts w:eastAsia="Calibri"/>
                <w:b/>
                <w:iCs/>
                <w:sz w:val="16"/>
                <w:szCs w:val="16"/>
              </w:rPr>
              <w:t xml:space="preserve">.  </w:t>
            </w:r>
            <w:r w:rsidR="00703649" w:rsidRPr="00B14011">
              <w:rPr>
                <w:sz w:val="16"/>
                <w:szCs w:val="16"/>
              </w:rPr>
              <w:t xml:space="preserve">Establishment of a </w:t>
            </w:r>
            <w:r w:rsidR="00FA336A">
              <w:rPr>
                <w:sz w:val="16"/>
                <w:szCs w:val="16"/>
              </w:rPr>
              <w:t>p</w:t>
            </w:r>
            <w:r w:rsidR="00703649" w:rsidRPr="00B14011">
              <w:rPr>
                <w:sz w:val="16"/>
                <w:szCs w:val="16"/>
              </w:rPr>
              <w:t xml:space="preserve">olicy </w:t>
            </w:r>
            <w:r w:rsidR="00FA336A">
              <w:rPr>
                <w:sz w:val="16"/>
                <w:szCs w:val="16"/>
              </w:rPr>
              <w:t>i</w:t>
            </w:r>
            <w:r w:rsidR="00703649" w:rsidRPr="00B14011">
              <w:rPr>
                <w:sz w:val="16"/>
                <w:szCs w:val="16"/>
              </w:rPr>
              <w:t xml:space="preserve">nnovation </w:t>
            </w:r>
            <w:r w:rsidR="00FA336A">
              <w:rPr>
                <w:sz w:val="16"/>
                <w:szCs w:val="16"/>
              </w:rPr>
              <w:t>l</w:t>
            </w:r>
            <w:r w:rsidR="00703649" w:rsidRPr="00B14011">
              <w:rPr>
                <w:sz w:val="16"/>
                <w:szCs w:val="16"/>
              </w:rPr>
              <w:t>ab</w:t>
            </w:r>
            <w:r w:rsidR="00543E68" w:rsidRPr="00B14011">
              <w:rPr>
                <w:sz w:val="16"/>
                <w:szCs w:val="16"/>
              </w:rPr>
              <w:t xml:space="preserve"> for </w:t>
            </w:r>
            <w:r w:rsidR="00FA336A">
              <w:rPr>
                <w:sz w:val="16"/>
                <w:szCs w:val="16"/>
              </w:rPr>
              <w:t>s</w:t>
            </w:r>
            <w:r w:rsidR="00543E68" w:rsidRPr="00B14011">
              <w:rPr>
                <w:sz w:val="16"/>
                <w:szCs w:val="16"/>
              </w:rPr>
              <w:t xml:space="preserve">ustainable </w:t>
            </w:r>
            <w:r w:rsidR="00FA336A">
              <w:rPr>
                <w:sz w:val="16"/>
                <w:szCs w:val="16"/>
              </w:rPr>
              <w:t>d</w:t>
            </w:r>
            <w:r w:rsidR="00543E68" w:rsidRPr="00B14011">
              <w:rPr>
                <w:sz w:val="16"/>
                <w:szCs w:val="16"/>
              </w:rPr>
              <w:t xml:space="preserve">evelopment </w:t>
            </w:r>
            <w:r w:rsidR="00FA336A">
              <w:rPr>
                <w:sz w:val="16"/>
                <w:szCs w:val="16"/>
              </w:rPr>
              <w:t>s</w:t>
            </w:r>
            <w:r w:rsidR="00543E68" w:rsidRPr="00B14011">
              <w:rPr>
                <w:sz w:val="16"/>
                <w:szCs w:val="16"/>
              </w:rPr>
              <w:t>olutions.</w:t>
            </w:r>
          </w:p>
          <w:p w14:paraId="23D309C8" w14:textId="77777777" w:rsidR="00543E68" w:rsidRPr="00B14011" w:rsidRDefault="00543E68" w:rsidP="00543E68">
            <w:pPr>
              <w:tabs>
                <w:tab w:val="left" w:pos="900"/>
                <w:tab w:val="left" w:pos="990"/>
                <w:tab w:val="left" w:pos="8640"/>
                <w:tab w:val="left" w:pos="9180"/>
              </w:tabs>
              <w:ind w:left="31"/>
              <w:rPr>
                <w:rFonts w:eastAsia="Calibri"/>
                <w:iCs/>
                <w:sz w:val="16"/>
                <w:szCs w:val="16"/>
              </w:rPr>
            </w:pPr>
            <w:r w:rsidRPr="00B14011">
              <w:rPr>
                <w:rFonts w:eastAsia="Calibri"/>
                <w:b/>
                <w:iCs/>
                <w:sz w:val="16"/>
                <w:szCs w:val="16"/>
              </w:rPr>
              <w:t xml:space="preserve">Baseline (2018): </w:t>
            </w:r>
            <w:r w:rsidRPr="00B14011">
              <w:rPr>
                <w:rFonts w:eastAsia="Calibri"/>
                <w:iCs/>
                <w:sz w:val="16"/>
                <w:szCs w:val="16"/>
              </w:rPr>
              <w:t>Not established</w:t>
            </w:r>
          </w:p>
          <w:p w14:paraId="722AFCBE" w14:textId="77777777" w:rsidR="00543E68" w:rsidRPr="00B14011" w:rsidRDefault="00543E68" w:rsidP="00543E68">
            <w:pPr>
              <w:tabs>
                <w:tab w:val="left" w:pos="900"/>
                <w:tab w:val="left" w:pos="990"/>
                <w:tab w:val="left" w:pos="8640"/>
                <w:tab w:val="left" w:pos="9180"/>
              </w:tabs>
              <w:ind w:left="31"/>
              <w:rPr>
                <w:rFonts w:eastAsia="Calibri"/>
                <w:iCs/>
                <w:sz w:val="16"/>
                <w:szCs w:val="16"/>
              </w:rPr>
            </w:pPr>
            <w:r w:rsidRPr="00B14011">
              <w:rPr>
                <w:rFonts w:eastAsia="Calibri"/>
                <w:b/>
                <w:iCs/>
                <w:sz w:val="16"/>
                <w:szCs w:val="16"/>
              </w:rPr>
              <w:t xml:space="preserve">Target (2022): </w:t>
            </w:r>
            <w:r w:rsidR="00703649" w:rsidRPr="00B14011">
              <w:rPr>
                <w:rFonts w:eastAsia="Calibri"/>
                <w:iCs/>
                <w:sz w:val="16"/>
                <w:szCs w:val="16"/>
              </w:rPr>
              <w:t>Lab</w:t>
            </w:r>
            <w:r w:rsidRPr="00B14011">
              <w:rPr>
                <w:rFonts w:eastAsia="Calibri"/>
                <w:iCs/>
                <w:sz w:val="16"/>
                <w:szCs w:val="16"/>
              </w:rPr>
              <w:t xml:space="preserve"> </w:t>
            </w:r>
            <w:r w:rsidR="005805D9" w:rsidRPr="00B14011">
              <w:rPr>
                <w:rFonts w:eastAsia="Calibri"/>
                <w:iCs/>
                <w:sz w:val="16"/>
                <w:szCs w:val="16"/>
              </w:rPr>
              <w:t xml:space="preserve">operational </w:t>
            </w:r>
            <w:r w:rsidRPr="00B14011">
              <w:rPr>
                <w:rFonts w:eastAsia="Calibri"/>
                <w:iCs/>
                <w:sz w:val="16"/>
                <w:szCs w:val="16"/>
              </w:rPr>
              <w:t xml:space="preserve">by </w:t>
            </w:r>
            <w:r w:rsidR="00703649" w:rsidRPr="00B14011">
              <w:rPr>
                <w:rFonts w:eastAsia="Calibri"/>
                <w:iCs/>
                <w:sz w:val="16"/>
                <w:szCs w:val="16"/>
              </w:rPr>
              <w:t>2019</w:t>
            </w:r>
          </w:p>
          <w:p w14:paraId="762F02FA" w14:textId="77777777" w:rsidR="00542842" w:rsidRPr="00B14011" w:rsidRDefault="00543E68" w:rsidP="009E33A0">
            <w:pPr>
              <w:tabs>
                <w:tab w:val="left" w:pos="900"/>
                <w:tab w:val="left" w:pos="990"/>
                <w:tab w:val="left" w:pos="8640"/>
                <w:tab w:val="left" w:pos="9180"/>
              </w:tabs>
              <w:ind w:left="31"/>
              <w:rPr>
                <w:rFonts w:eastAsia="Calibri"/>
                <w:iCs/>
                <w:sz w:val="16"/>
                <w:szCs w:val="16"/>
              </w:rPr>
            </w:pPr>
            <w:r w:rsidRPr="00B14011">
              <w:rPr>
                <w:rFonts w:eastAsia="Calibri"/>
                <w:b/>
                <w:iCs/>
                <w:sz w:val="16"/>
                <w:szCs w:val="16"/>
              </w:rPr>
              <w:t>Source:</w:t>
            </w:r>
            <w:r w:rsidRPr="00B14011">
              <w:rPr>
                <w:rFonts w:eastAsia="Calibri"/>
                <w:iCs/>
                <w:sz w:val="16"/>
                <w:szCs w:val="16"/>
              </w:rPr>
              <w:t xml:space="preserve"> </w:t>
            </w:r>
            <w:r w:rsidR="00625B7F" w:rsidRPr="00B14011">
              <w:rPr>
                <w:rFonts w:eastAsia="Calibri"/>
                <w:iCs/>
                <w:sz w:val="16"/>
                <w:szCs w:val="16"/>
              </w:rPr>
              <w:t xml:space="preserve">UNDP </w:t>
            </w:r>
            <w:r w:rsidRPr="00B14011">
              <w:rPr>
                <w:rFonts w:eastAsia="Calibri"/>
                <w:iCs/>
                <w:sz w:val="16"/>
                <w:szCs w:val="16"/>
              </w:rPr>
              <w:t xml:space="preserve">project reports   </w:t>
            </w:r>
          </w:p>
          <w:p w14:paraId="73A3F0A3" w14:textId="36931C51" w:rsidR="005C1837" w:rsidRPr="00B14011" w:rsidRDefault="005C1837" w:rsidP="000871DC">
            <w:pPr>
              <w:tabs>
                <w:tab w:val="left" w:pos="900"/>
                <w:tab w:val="left" w:pos="990"/>
                <w:tab w:val="left" w:pos="8640"/>
                <w:tab w:val="left" w:pos="9180"/>
              </w:tabs>
              <w:rPr>
                <w:rFonts w:eastAsia="Calibri"/>
                <w:iCs/>
                <w:sz w:val="16"/>
                <w:szCs w:val="16"/>
              </w:rPr>
            </w:pPr>
          </w:p>
          <w:p w14:paraId="73538969" w14:textId="464FEF34" w:rsidR="005C1837" w:rsidRPr="00B14011" w:rsidRDefault="005C1837" w:rsidP="009E33A0">
            <w:pPr>
              <w:tabs>
                <w:tab w:val="left" w:pos="900"/>
                <w:tab w:val="left" w:pos="990"/>
                <w:tab w:val="left" w:pos="8640"/>
                <w:tab w:val="left" w:pos="9180"/>
              </w:tabs>
              <w:ind w:left="31"/>
              <w:rPr>
                <w:rFonts w:eastAsia="Calibri"/>
                <w:iCs/>
                <w:sz w:val="16"/>
                <w:szCs w:val="16"/>
              </w:rPr>
            </w:pPr>
            <w:r w:rsidRPr="00B14011">
              <w:rPr>
                <w:rFonts w:eastAsia="Calibri"/>
                <w:b/>
                <w:iCs/>
                <w:sz w:val="16"/>
                <w:szCs w:val="16"/>
              </w:rPr>
              <w:t>Indicator 3.2.3</w:t>
            </w:r>
            <w:r w:rsidRPr="00B14011">
              <w:rPr>
                <w:rFonts w:eastAsia="Calibri"/>
                <w:iCs/>
                <w:sz w:val="16"/>
                <w:szCs w:val="16"/>
              </w:rPr>
              <w:t>: Number of evidence-based, sustainability-incorporated five-year provincial plans developed with UNDP support</w:t>
            </w:r>
            <w:r w:rsidR="00FA336A">
              <w:rPr>
                <w:rFonts w:eastAsia="Calibri"/>
                <w:iCs/>
                <w:sz w:val="16"/>
                <w:szCs w:val="16"/>
              </w:rPr>
              <w:t>.</w:t>
            </w:r>
          </w:p>
          <w:p w14:paraId="66CB6612" w14:textId="4EE70CB0" w:rsidR="005C1837" w:rsidRPr="00B14011" w:rsidRDefault="005C1837" w:rsidP="009E33A0">
            <w:pPr>
              <w:tabs>
                <w:tab w:val="left" w:pos="900"/>
                <w:tab w:val="left" w:pos="990"/>
                <w:tab w:val="left" w:pos="8640"/>
                <w:tab w:val="left" w:pos="9180"/>
              </w:tabs>
              <w:ind w:left="31"/>
              <w:rPr>
                <w:rFonts w:eastAsia="Calibri"/>
                <w:iCs/>
                <w:sz w:val="16"/>
                <w:szCs w:val="16"/>
              </w:rPr>
            </w:pPr>
            <w:r w:rsidRPr="00B14011">
              <w:rPr>
                <w:rFonts w:eastAsia="Calibri"/>
                <w:b/>
                <w:iCs/>
                <w:sz w:val="16"/>
                <w:szCs w:val="16"/>
              </w:rPr>
              <w:t>Baseline (2018)</w:t>
            </w:r>
            <w:r w:rsidRPr="00B14011">
              <w:rPr>
                <w:rFonts w:eastAsia="Calibri"/>
                <w:iCs/>
                <w:sz w:val="16"/>
                <w:szCs w:val="16"/>
              </w:rPr>
              <w:t xml:space="preserve">: </w:t>
            </w:r>
            <w:r w:rsidR="00FA336A">
              <w:rPr>
                <w:rFonts w:eastAsia="Calibri"/>
                <w:iCs/>
                <w:sz w:val="16"/>
                <w:szCs w:val="16"/>
              </w:rPr>
              <w:t>0</w:t>
            </w:r>
            <w:r w:rsidR="00FA336A" w:rsidRPr="00B14011">
              <w:rPr>
                <w:rFonts w:eastAsia="Calibri"/>
                <w:iCs/>
                <w:sz w:val="16"/>
                <w:szCs w:val="16"/>
              </w:rPr>
              <w:t xml:space="preserve"> </w:t>
            </w:r>
          </w:p>
          <w:p w14:paraId="2417B428" w14:textId="10DEA477" w:rsidR="005C1837" w:rsidRPr="00B14011" w:rsidRDefault="005C1837" w:rsidP="009E33A0">
            <w:pPr>
              <w:tabs>
                <w:tab w:val="left" w:pos="900"/>
                <w:tab w:val="left" w:pos="990"/>
                <w:tab w:val="left" w:pos="8640"/>
                <w:tab w:val="left" w:pos="9180"/>
              </w:tabs>
              <w:ind w:left="31"/>
              <w:rPr>
                <w:rFonts w:eastAsia="Calibri"/>
                <w:iCs/>
                <w:sz w:val="16"/>
                <w:szCs w:val="16"/>
              </w:rPr>
            </w:pPr>
            <w:r w:rsidRPr="00B14011">
              <w:rPr>
                <w:rFonts w:eastAsia="Calibri"/>
                <w:b/>
                <w:iCs/>
                <w:sz w:val="16"/>
                <w:szCs w:val="16"/>
              </w:rPr>
              <w:t>Target (2022)</w:t>
            </w:r>
            <w:r w:rsidRPr="00B14011">
              <w:rPr>
                <w:rFonts w:eastAsia="Calibri"/>
                <w:iCs/>
                <w:sz w:val="16"/>
                <w:szCs w:val="16"/>
              </w:rPr>
              <w:t xml:space="preserve">: </w:t>
            </w:r>
            <w:r w:rsidR="00FA336A">
              <w:rPr>
                <w:rFonts w:eastAsia="Calibri"/>
                <w:iCs/>
                <w:sz w:val="16"/>
                <w:szCs w:val="16"/>
              </w:rPr>
              <w:t>9</w:t>
            </w:r>
            <w:r w:rsidR="00FA336A" w:rsidRPr="00B14011">
              <w:rPr>
                <w:rFonts w:eastAsia="Calibri"/>
                <w:iCs/>
                <w:sz w:val="16"/>
                <w:szCs w:val="16"/>
              </w:rPr>
              <w:t xml:space="preserve"> </w:t>
            </w:r>
          </w:p>
          <w:p w14:paraId="3C67206C" w14:textId="798E23B0" w:rsidR="005C1837" w:rsidRPr="00B14011" w:rsidRDefault="005C1837" w:rsidP="009E33A0">
            <w:pPr>
              <w:tabs>
                <w:tab w:val="left" w:pos="900"/>
                <w:tab w:val="left" w:pos="990"/>
                <w:tab w:val="left" w:pos="8640"/>
                <w:tab w:val="left" w:pos="9180"/>
              </w:tabs>
              <w:ind w:left="31"/>
              <w:rPr>
                <w:rFonts w:eastAsia="Calibri"/>
                <w:iCs/>
                <w:sz w:val="16"/>
                <w:szCs w:val="16"/>
              </w:rPr>
            </w:pPr>
            <w:r w:rsidRPr="00B14011">
              <w:rPr>
                <w:rFonts w:eastAsia="Calibri"/>
                <w:b/>
                <w:iCs/>
                <w:sz w:val="16"/>
                <w:szCs w:val="16"/>
              </w:rPr>
              <w:t>Source</w:t>
            </w:r>
            <w:r w:rsidRPr="00B14011">
              <w:rPr>
                <w:rFonts w:eastAsia="Calibri"/>
                <w:iCs/>
                <w:sz w:val="16"/>
                <w:szCs w:val="16"/>
              </w:rPr>
              <w:t xml:space="preserve">: UNDP </w:t>
            </w:r>
            <w:r w:rsidR="00FA336A">
              <w:rPr>
                <w:rFonts w:eastAsia="Calibri"/>
                <w:iCs/>
                <w:sz w:val="16"/>
                <w:szCs w:val="16"/>
              </w:rPr>
              <w:t>p</w:t>
            </w:r>
            <w:r w:rsidRPr="00B14011">
              <w:rPr>
                <w:rFonts w:eastAsia="Calibri"/>
                <w:iCs/>
                <w:sz w:val="16"/>
                <w:szCs w:val="16"/>
              </w:rPr>
              <w:t xml:space="preserve">roject </w:t>
            </w:r>
            <w:r w:rsidR="00FA336A">
              <w:rPr>
                <w:rFonts w:eastAsia="Calibri"/>
                <w:iCs/>
                <w:sz w:val="16"/>
                <w:szCs w:val="16"/>
              </w:rPr>
              <w:t>r</w:t>
            </w:r>
            <w:r w:rsidRPr="00B14011">
              <w:rPr>
                <w:rFonts w:eastAsia="Calibri"/>
                <w:iCs/>
                <w:sz w:val="16"/>
                <w:szCs w:val="16"/>
              </w:rPr>
              <w:t xml:space="preserve">eports </w:t>
            </w:r>
          </w:p>
          <w:p w14:paraId="203EE248" w14:textId="178B6813" w:rsidR="004F5BF2" w:rsidRPr="00B14011" w:rsidRDefault="004F5BF2" w:rsidP="009E33A0">
            <w:pPr>
              <w:tabs>
                <w:tab w:val="left" w:pos="900"/>
                <w:tab w:val="left" w:pos="990"/>
                <w:tab w:val="left" w:pos="8640"/>
                <w:tab w:val="left" w:pos="9180"/>
              </w:tabs>
              <w:ind w:left="31"/>
              <w:rPr>
                <w:rFonts w:eastAsia="Calibri"/>
                <w:iCs/>
                <w:sz w:val="16"/>
                <w:szCs w:val="16"/>
              </w:rPr>
            </w:pPr>
          </w:p>
          <w:p w14:paraId="6877DB7B" w14:textId="4BD48B7C" w:rsidR="004F5BF2" w:rsidRPr="00B14011" w:rsidRDefault="004F5BF2" w:rsidP="004F5BF2">
            <w:pPr>
              <w:rPr>
                <w:sz w:val="16"/>
                <w:szCs w:val="16"/>
              </w:rPr>
            </w:pPr>
            <w:r w:rsidRPr="00B14011">
              <w:rPr>
                <w:rStyle w:val="s1"/>
                <w:b/>
                <w:sz w:val="16"/>
                <w:szCs w:val="16"/>
              </w:rPr>
              <w:t>Indicator 3.2.4:</w:t>
            </w:r>
            <w:r w:rsidRPr="00B14011">
              <w:rPr>
                <w:rStyle w:val="s1"/>
                <w:sz w:val="16"/>
                <w:szCs w:val="16"/>
              </w:rPr>
              <w:t xml:space="preserve"> </w:t>
            </w:r>
            <w:r w:rsidRPr="00B14011">
              <w:rPr>
                <w:sz w:val="16"/>
                <w:szCs w:val="16"/>
              </w:rPr>
              <w:t xml:space="preserve">Number of initiatives facilitated with the </w:t>
            </w:r>
            <w:r w:rsidR="00FA336A">
              <w:rPr>
                <w:sz w:val="16"/>
                <w:szCs w:val="16"/>
              </w:rPr>
              <w:t>G</w:t>
            </w:r>
            <w:r w:rsidRPr="00B14011">
              <w:rPr>
                <w:sz w:val="16"/>
                <w:szCs w:val="16"/>
              </w:rPr>
              <w:t xml:space="preserve">overnment incorporating South-South </w:t>
            </w:r>
            <w:r w:rsidR="00FA336A">
              <w:rPr>
                <w:sz w:val="16"/>
                <w:szCs w:val="16"/>
              </w:rPr>
              <w:t>c</w:t>
            </w:r>
            <w:r w:rsidRPr="00B14011">
              <w:rPr>
                <w:sz w:val="16"/>
                <w:szCs w:val="16"/>
              </w:rPr>
              <w:t>ooperation.</w:t>
            </w:r>
          </w:p>
          <w:p w14:paraId="592BF318" w14:textId="77777777" w:rsidR="004F5BF2" w:rsidRPr="00B14011" w:rsidRDefault="004F5BF2" w:rsidP="004F5BF2">
            <w:pPr>
              <w:rPr>
                <w:sz w:val="16"/>
                <w:szCs w:val="16"/>
              </w:rPr>
            </w:pPr>
            <w:r w:rsidRPr="00B14011">
              <w:rPr>
                <w:b/>
                <w:sz w:val="16"/>
                <w:szCs w:val="16"/>
              </w:rPr>
              <w:t>Baseline (2017</w:t>
            </w:r>
            <w:r w:rsidRPr="00B14011">
              <w:rPr>
                <w:sz w:val="16"/>
                <w:szCs w:val="16"/>
              </w:rPr>
              <w:t>): 2 </w:t>
            </w:r>
          </w:p>
          <w:p w14:paraId="0619D1C3" w14:textId="77777777" w:rsidR="004F5BF2" w:rsidRPr="00B14011" w:rsidRDefault="004F5BF2" w:rsidP="004F5BF2">
            <w:pPr>
              <w:rPr>
                <w:sz w:val="16"/>
                <w:szCs w:val="16"/>
              </w:rPr>
            </w:pPr>
            <w:r w:rsidRPr="00B14011">
              <w:rPr>
                <w:b/>
                <w:sz w:val="16"/>
                <w:szCs w:val="16"/>
              </w:rPr>
              <w:t>Target (2022):</w:t>
            </w:r>
            <w:r w:rsidRPr="00B14011">
              <w:rPr>
                <w:sz w:val="16"/>
                <w:szCs w:val="16"/>
              </w:rPr>
              <w:t xml:space="preserve"> 6</w:t>
            </w:r>
          </w:p>
          <w:p w14:paraId="5B53AA6C" w14:textId="69E21267" w:rsidR="005C1837" w:rsidRPr="00B14011" w:rsidRDefault="004F5BF2" w:rsidP="00777706">
            <w:pPr>
              <w:pStyle w:val="CommentText"/>
              <w:rPr>
                <w:rFonts w:eastAsia="Calibri"/>
                <w:iCs/>
                <w:sz w:val="16"/>
                <w:szCs w:val="16"/>
              </w:rPr>
            </w:pPr>
            <w:r w:rsidRPr="00B14011">
              <w:rPr>
                <w:b/>
                <w:sz w:val="16"/>
                <w:szCs w:val="16"/>
              </w:rPr>
              <w:t>Source:</w:t>
            </w:r>
            <w:r w:rsidRPr="00B14011">
              <w:rPr>
                <w:sz w:val="16"/>
                <w:szCs w:val="16"/>
              </w:rPr>
              <w:t xml:space="preserve"> UNDP project reports</w:t>
            </w:r>
          </w:p>
        </w:tc>
        <w:tc>
          <w:tcPr>
            <w:tcW w:w="1094" w:type="pct"/>
          </w:tcPr>
          <w:p w14:paraId="33BDCD3F" w14:textId="77777777" w:rsidR="0077217F" w:rsidRPr="00B14011" w:rsidRDefault="0077217F" w:rsidP="0077217F">
            <w:pPr>
              <w:rPr>
                <w:sz w:val="16"/>
                <w:szCs w:val="16"/>
              </w:rPr>
            </w:pPr>
            <w:r w:rsidRPr="00B14011">
              <w:rPr>
                <w:sz w:val="16"/>
                <w:szCs w:val="16"/>
              </w:rPr>
              <w:lastRenderedPageBreak/>
              <w:t>Ministry of National Policies and Economic Affairs</w:t>
            </w:r>
          </w:p>
          <w:p w14:paraId="1377C5D4" w14:textId="77777777" w:rsidR="0077217F" w:rsidRPr="00B14011" w:rsidRDefault="0077217F" w:rsidP="0077217F">
            <w:pPr>
              <w:rPr>
                <w:sz w:val="16"/>
                <w:szCs w:val="16"/>
              </w:rPr>
            </w:pPr>
            <w:r w:rsidRPr="00B14011">
              <w:rPr>
                <w:sz w:val="16"/>
                <w:szCs w:val="16"/>
              </w:rPr>
              <w:t>Ministry of Provincial Councils and Local Government</w:t>
            </w:r>
          </w:p>
          <w:p w14:paraId="74ED049E" w14:textId="77777777" w:rsidR="0077217F" w:rsidRPr="00B14011" w:rsidRDefault="0077217F" w:rsidP="0077217F">
            <w:pPr>
              <w:rPr>
                <w:sz w:val="16"/>
                <w:szCs w:val="16"/>
              </w:rPr>
            </w:pPr>
            <w:r w:rsidRPr="00B14011">
              <w:rPr>
                <w:sz w:val="16"/>
                <w:szCs w:val="16"/>
              </w:rPr>
              <w:t>Ministry of Public Administration</w:t>
            </w:r>
          </w:p>
          <w:p w14:paraId="43D720DA" w14:textId="77777777" w:rsidR="0077217F" w:rsidRPr="00B14011" w:rsidRDefault="0077217F" w:rsidP="0077217F">
            <w:pPr>
              <w:rPr>
                <w:sz w:val="16"/>
                <w:szCs w:val="16"/>
              </w:rPr>
            </w:pPr>
            <w:r w:rsidRPr="00B14011">
              <w:rPr>
                <w:sz w:val="16"/>
                <w:szCs w:val="16"/>
              </w:rPr>
              <w:t>Ministry of Sustainable Development</w:t>
            </w:r>
          </w:p>
          <w:p w14:paraId="2F1423FD" w14:textId="77777777" w:rsidR="0077217F" w:rsidRPr="00B14011" w:rsidRDefault="0077217F" w:rsidP="0077217F">
            <w:pPr>
              <w:rPr>
                <w:sz w:val="16"/>
                <w:szCs w:val="16"/>
              </w:rPr>
            </w:pPr>
            <w:r w:rsidRPr="00B14011">
              <w:rPr>
                <w:sz w:val="16"/>
                <w:szCs w:val="16"/>
              </w:rPr>
              <w:t>Department of Census and Statistics</w:t>
            </w:r>
          </w:p>
          <w:p w14:paraId="32B55DC1" w14:textId="77777777" w:rsidR="0077217F" w:rsidRPr="00B14011" w:rsidRDefault="0077217F" w:rsidP="0077217F">
            <w:pPr>
              <w:rPr>
                <w:sz w:val="16"/>
                <w:szCs w:val="16"/>
              </w:rPr>
            </w:pPr>
            <w:r w:rsidRPr="00B14011">
              <w:rPr>
                <w:sz w:val="16"/>
                <w:szCs w:val="16"/>
              </w:rPr>
              <w:t>Information Communication and Technology Agency</w:t>
            </w:r>
          </w:p>
          <w:p w14:paraId="72DA7B78" w14:textId="77777777" w:rsidR="0077217F" w:rsidRPr="00B14011" w:rsidRDefault="0077217F" w:rsidP="0077217F">
            <w:pPr>
              <w:rPr>
                <w:sz w:val="16"/>
                <w:szCs w:val="16"/>
              </w:rPr>
            </w:pPr>
            <w:r w:rsidRPr="00B14011">
              <w:rPr>
                <w:sz w:val="16"/>
                <w:szCs w:val="16"/>
              </w:rPr>
              <w:t>Centre for Science, Technology and Innovation</w:t>
            </w:r>
          </w:p>
          <w:p w14:paraId="2BBFF82D" w14:textId="33F7FBE6" w:rsidR="00CA0E68" w:rsidRPr="00B14011" w:rsidRDefault="00CA0E68" w:rsidP="0077217F">
            <w:pPr>
              <w:rPr>
                <w:sz w:val="16"/>
                <w:szCs w:val="16"/>
              </w:rPr>
            </w:pPr>
            <w:r w:rsidRPr="00B14011">
              <w:rPr>
                <w:sz w:val="16"/>
                <w:szCs w:val="16"/>
              </w:rPr>
              <w:t>U</w:t>
            </w:r>
            <w:r w:rsidR="009A486A">
              <w:rPr>
                <w:sz w:val="16"/>
                <w:szCs w:val="16"/>
              </w:rPr>
              <w:t>nited Nations country team</w:t>
            </w:r>
          </w:p>
          <w:p w14:paraId="42BF99F0" w14:textId="77777777" w:rsidR="00A47A0D" w:rsidRPr="00B14011" w:rsidRDefault="00A47A0D" w:rsidP="0077217F">
            <w:pPr>
              <w:rPr>
                <w:sz w:val="16"/>
                <w:szCs w:val="16"/>
              </w:rPr>
            </w:pPr>
            <w:r w:rsidRPr="00B14011">
              <w:rPr>
                <w:sz w:val="16"/>
                <w:szCs w:val="16"/>
              </w:rPr>
              <w:t>Media</w:t>
            </w:r>
          </w:p>
          <w:p w14:paraId="4B816307" w14:textId="77777777" w:rsidR="00A47A0D" w:rsidRPr="00B14011" w:rsidRDefault="00A47A0D" w:rsidP="0077217F">
            <w:pPr>
              <w:rPr>
                <w:sz w:val="16"/>
                <w:szCs w:val="16"/>
              </w:rPr>
            </w:pPr>
            <w:r w:rsidRPr="00B14011">
              <w:rPr>
                <w:sz w:val="16"/>
                <w:szCs w:val="16"/>
              </w:rPr>
              <w:t>Youth</w:t>
            </w:r>
          </w:p>
          <w:p w14:paraId="3DC0F163" w14:textId="77777777" w:rsidR="00A47A0D" w:rsidRPr="00B14011" w:rsidRDefault="00A47A0D" w:rsidP="0077217F">
            <w:pPr>
              <w:rPr>
                <w:sz w:val="16"/>
                <w:szCs w:val="16"/>
              </w:rPr>
            </w:pPr>
            <w:r w:rsidRPr="00B14011">
              <w:rPr>
                <w:sz w:val="16"/>
                <w:szCs w:val="16"/>
              </w:rPr>
              <w:t>Civil Society</w:t>
            </w:r>
          </w:p>
          <w:p w14:paraId="2DF947BF" w14:textId="77777777" w:rsidR="00A47A0D" w:rsidRPr="00B14011" w:rsidRDefault="00A47A0D" w:rsidP="0077217F">
            <w:pPr>
              <w:rPr>
                <w:sz w:val="16"/>
                <w:szCs w:val="16"/>
              </w:rPr>
            </w:pPr>
            <w:r w:rsidRPr="00B14011">
              <w:rPr>
                <w:sz w:val="16"/>
                <w:szCs w:val="16"/>
              </w:rPr>
              <w:t>Bilateral donors</w:t>
            </w:r>
          </w:p>
          <w:p w14:paraId="4F4229A0" w14:textId="77777777" w:rsidR="000E6C08" w:rsidRPr="00B14011" w:rsidRDefault="000E6C08" w:rsidP="000E6C08">
            <w:pPr>
              <w:rPr>
                <w:sz w:val="16"/>
                <w:szCs w:val="16"/>
              </w:rPr>
            </w:pPr>
          </w:p>
          <w:p w14:paraId="3843C4A7" w14:textId="77777777" w:rsidR="00AE73C9" w:rsidRPr="00B14011" w:rsidRDefault="00AE73C9" w:rsidP="0009295E">
            <w:pPr>
              <w:tabs>
                <w:tab w:val="left" w:pos="900"/>
                <w:tab w:val="left" w:pos="990"/>
                <w:tab w:val="left" w:pos="8640"/>
                <w:tab w:val="left" w:pos="9180"/>
              </w:tabs>
              <w:ind w:left="31"/>
              <w:rPr>
                <w:iCs/>
                <w:sz w:val="16"/>
                <w:szCs w:val="16"/>
              </w:rPr>
            </w:pPr>
          </w:p>
        </w:tc>
        <w:tc>
          <w:tcPr>
            <w:tcW w:w="620" w:type="pct"/>
            <w:gridSpan w:val="2"/>
            <w:tcMar>
              <w:top w:w="15" w:type="dxa"/>
              <w:left w:w="108" w:type="dxa"/>
              <w:bottom w:w="0" w:type="dxa"/>
              <w:right w:w="108" w:type="dxa"/>
            </w:tcMar>
          </w:tcPr>
          <w:p w14:paraId="1ADC193B" w14:textId="77777777" w:rsidR="00BC54AE" w:rsidRPr="00B14011" w:rsidRDefault="00BC54AE" w:rsidP="0009295E">
            <w:pPr>
              <w:tabs>
                <w:tab w:val="left" w:pos="900"/>
                <w:tab w:val="left" w:pos="990"/>
                <w:tab w:val="left" w:pos="8640"/>
                <w:tab w:val="left" w:pos="9180"/>
              </w:tabs>
              <w:ind w:left="31"/>
              <w:rPr>
                <w:rFonts w:eastAsia="Calibri"/>
                <w:b/>
                <w:sz w:val="16"/>
                <w:szCs w:val="16"/>
              </w:rPr>
            </w:pPr>
            <w:r w:rsidRPr="00B14011">
              <w:rPr>
                <w:rFonts w:eastAsia="Calibri"/>
                <w:b/>
                <w:sz w:val="16"/>
                <w:szCs w:val="16"/>
              </w:rPr>
              <w:t xml:space="preserve">Regular </w:t>
            </w:r>
            <w:r w:rsidR="00062F4B" w:rsidRPr="00B14011">
              <w:rPr>
                <w:rFonts w:eastAsia="Calibri"/>
                <w:b/>
                <w:sz w:val="16"/>
                <w:szCs w:val="16"/>
              </w:rPr>
              <w:t>r</w:t>
            </w:r>
            <w:r w:rsidRPr="00B14011">
              <w:rPr>
                <w:rFonts w:eastAsia="Calibri"/>
                <w:b/>
                <w:sz w:val="16"/>
                <w:szCs w:val="16"/>
              </w:rPr>
              <w:t>esources</w:t>
            </w:r>
          </w:p>
          <w:p w14:paraId="08C0A8C1" w14:textId="02837B2E" w:rsidR="00542842" w:rsidRPr="00B14011" w:rsidRDefault="006B6F72" w:rsidP="0009295E">
            <w:pPr>
              <w:tabs>
                <w:tab w:val="left" w:pos="900"/>
                <w:tab w:val="left" w:pos="990"/>
                <w:tab w:val="left" w:pos="8640"/>
                <w:tab w:val="left" w:pos="9180"/>
              </w:tabs>
              <w:ind w:left="31"/>
              <w:rPr>
                <w:rFonts w:eastAsia="Calibri"/>
                <w:b/>
                <w:sz w:val="16"/>
                <w:szCs w:val="16"/>
              </w:rPr>
            </w:pPr>
            <w:r w:rsidRPr="00B14011">
              <w:rPr>
                <w:rFonts w:eastAsia="Calibri"/>
                <w:b/>
                <w:sz w:val="16"/>
                <w:szCs w:val="16"/>
              </w:rPr>
              <w:t>822,400</w:t>
            </w:r>
          </w:p>
          <w:p w14:paraId="6216B00E" w14:textId="77777777" w:rsidR="00542842" w:rsidRPr="00B14011" w:rsidRDefault="00542842" w:rsidP="0009295E">
            <w:pPr>
              <w:tabs>
                <w:tab w:val="left" w:pos="900"/>
                <w:tab w:val="left" w:pos="990"/>
                <w:tab w:val="left" w:pos="8640"/>
                <w:tab w:val="left" w:pos="9180"/>
              </w:tabs>
              <w:ind w:left="31"/>
              <w:rPr>
                <w:rFonts w:eastAsia="Calibri"/>
                <w:sz w:val="16"/>
                <w:szCs w:val="16"/>
              </w:rPr>
            </w:pPr>
          </w:p>
          <w:p w14:paraId="1B6CEEEB" w14:textId="77777777" w:rsidR="00BC54AE" w:rsidRPr="00B14011" w:rsidRDefault="00BC54AE" w:rsidP="0009295E">
            <w:pPr>
              <w:tabs>
                <w:tab w:val="left" w:pos="900"/>
                <w:tab w:val="left" w:pos="990"/>
                <w:tab w:val="left" w:pos="8640"/>
                <w:tab w:val="left" w:pos="9180"/>
              </w:tabs>
              <w:ind w:left="31"/>
              <w:rPr>
                <w:rFonts w:eastAsia="Calibri"/>
                <w:b/>
                <w:sz w:val="16"/>
                <w:szCs w:val="16"/>
              </w:rPr>
            </w:pPr>
            <w:r w:rsidRPr="00B14011">
              <w:rPr>
                <w:rFonts w:eastAsia="Calibri"/>
                <w:b/>
                <w:sz w:val="16"/>
                <w:szCs w:val="16"/>
              </w:rPr>
              <w:t xml:space="preserve">Other </w:t>
            </w:r>
            <w:r w:rsidR="00062F4B" w:rsidRPr="00B14011">
              <w:rPr>
                <w:rFonts w:eastAsia="Calibri"/>
                <w:b/>
                <w:sz w:val="16"/>
                <w:szCs w:val="16"/>
              </w:rPr>
              <w:t>r</w:t>
            </w:r>
            <w:r w:rsidRPr="00B14011">
              <w:rPr>
                <w:rFonts w:eastAsia="Calibri"/>
                <w:b/>
                <w:sz w:val="16"/>
                <w:szCs w:val="16"/>
              </w:rPr>
              <w:t>esources</w:t>
            </w:r>
          </w:p>
          <w:p w14:paraId="1DB0E077" w14:textId="448D53AE" w:rsidR="00BC54AE" w:rsidRPr="00B14011" w:rsidRDefault="007C75AF" w:rsidP="00681719">
            <w:pPr>
              <w:tabs>
                <w:tab w:val="left" w:pos="900"/>
                <w:tab w:val="left" w:pos="990"/>
                <w:tab w:val="left" w:pos="8640"/>
                <w:tab w:val="left" w:pos="9180"/>
              </w:tabs>
              <w:rPr>
                <w:rFonts w:eastAsia="Calibri"/>
                <w:b/>
                <w:sz w:val="16"/>
                <w:szCs w:val="16"/>
              </w:rPr>
            </w:pPr>
            <w:r w:rsidRPr="00B14011">
              <w:rPr>
                <w:rFonts w:eastAsia="Calibri"/>
                <w:b/>
                <w:sz w:val="16"/>
                <w:szCs w:val="16"/>
              </w:rPr>
              <w:t>3,282,779</w:t>
            </w:r>
          </w:p>
        </w:tc>
      </w:tr>
    </w:tbl>
    <w:p w14:paraId="3F00832A" w14:textId="77777777" w:rsidR="00517EE4" w:rsidRPr="00B14011" w:rsidRDefault="00517EE4" w:rsidP="00211DF6">
      <w:pPr>
        <w:tabs>
          <w:tab w:val="left" w:pos="900"/>
          <w:tab w:val="left" w:pos="990"/>
          <w:tab w:val="left" w:pos="8640"/>
          <w:tab w:val="left" w:pos="9180"/>
        </w:tabs>
        <w:spacing w:after="120"/>
        <w:rPr>
          <w:sz w:val="20"/>
          <w:szCs w:val="20"/>
        </w:rPr>
      </w:pPr>
    </w:p>
    <w:p w14:paraId="042D883B" w14:textId="576D166F" w:rsidR="009B3DC8" w:rsidRPr="00B14011" w:rsidRDefault="00517EE4" w:rsidP="00517EE4">
      <w:pPr>
        <w:tabs>
          <w:tab w:val="left" w:pos="900"/>
          <w:tab w:val="left" w:pos="990"/>
          <w:tab w:val="left" w:pos="8640"/>
          <w:tab w:val="left" w:pos="9180"/>
        </w:tabs>
        <w:spacing w:after="120"/>
        <w:jc w:val="center"/>
        <w:rPr>
          <w:sz w:val="20"/>
          <w:szCs w:val="20"/>
        </w:rPr>
      </w:pPr>
      <w:r w:rsidRPr="00B14011">
        <w:rPr>
          <w:noProof/>
          <w:color w:val="000000"/>
          <w:sz w:val="16"/>
          <w:szCs w:val="16"/>
          <w:lang w:val="en-US"/>
        </w:rPr>
        <w:drawing>
          <wp:inline distT="0" distB="0" distL="0" distR="0" wp14:anchorId="0F027944" wp14:editId="6CF2F07B">
            <wp:extent cx="942975" cy="2857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42975" cy="28575"/>
                    </a:xfrm>
                    <a:prstGeom prst="rect">
                      <a:avLst/>
                    </a:prstGeom>
                    <a:noFill/>
                    <a:ln>
                      <a:noFill/>
                    </a:ln>
                  </pic:spPr>
                </pic:pic>
              </a:graphicData>
            </a:graphic>
          </wp:inline>
        </w:drawing>
      </w:r>
    </w:p>
    <w:sectPr w:rsidR="009B3DC8" w:rsidRPr="00B14011" w:rsidSect="00AB64CB">
      <w:headerReference w:type="even" r:id="rId24"/>
      <w:type w:val="continuous"/>
      <w:pgSz w:w="15840" w:h="12240" w:orient="landscape"/>
      <w:pgMar w:top="1440" w:right="1152" w:bottom="144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6D8EC" w14:textId="77777777" w:rsidR="00FF3687" w:rsidRDefault="00FF3687" w:rsidP="00441061">
      <w:r>
        <w:separator/>
      </w:r>
    </w:p>
  </w:endnote>
  <w:endnote w:type="continuationSeparator" w:id="0">
    <w:p w14:paraId="76D8C317" w14:textId="77777777" w:rsidR="00FF3687" w:rsidRDefault="00FF3687" w:rsidP="0044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B8930" w14:textId="77777777" w:rsidR="0024260D" w:rsidRPr="005841A3" w:rsidRDefault="0024260D">
    <w:pPr>
      <w:pStyle w:val="Footer"/>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12</w:t>
    </w:r>
    <w:r w:rsidRPr="005841A3">
      <w:rPr>
        <w:b/>
        <w:sz w:val="17"/>
        <w:szCs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07A8C" w14:textId="77777777" w:rsidR="0024260D" w:rsidRPr="005841A3" w:rsidRDefault="0024260D">
    <w:pPr>
      <w:pStyle w:val="Footer"/>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13</w:t>
    </w:r>
    <w:r w:rsidRPr="005841A3">
      <w:rPr>
        <w:b/>
        <w:sz w:val="17"/>
        <w:szCs w:val="17"/>
      </w:rPr>
      <w:fldChar w:fldCharType="end"/>
    </w:r>
  </w:p>
  <w:p w14:paraId="107A1372" w14:textId="77777777" w:rsidR="0024260D" w:rsidRDefault="0024260D" w:rsidP="005841A3">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7DB1E" w14:textId="705CF4D5" w:rsidR="0024260D" w:rsidRPr="005841A3" w:rsidRDefault="0024260D">
    <w:pPr>
      <w:pStyle w:val="Footer"/>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sidR="00AF1848">
      <w:rPr>
        <w:b/>
        <w:noProof/>
        <w:sz w:val="17"/>
        <w:szCs w:val="17"/>
      </w:rPr>
      <w:t>14</w:t>
    </w:r>
    <w:r w:rsidRPr="005841A3">
      <w:rPr>
        <w:b/>
        <w:sz w:val="17"/>
        <w:szCs w:val="17"/>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B6535" w14:textId="0EBD1EE0" w:rsidR="0024260D" w:rsidRPr="00707225" w:rsidRDefault="0024260D" w:rsidP="00C64184">
    <w:pPr>
      <w:pStyle w:val="Footer"/>
      <w:tabs>
        <w:tab w:val="clear" w:pos="8640"/>
      </w:tabs>
      <w:ind w:right="-450"/>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sidR="00AF1848">
      <w:rPr>
        <w:b/>
        <w:noProof/>
        <w:sz w:val="17"/>
        <w:szCs w:val="17"/>
      </w:rPr>
      <w:t>7</w:t>
    </w:r>
    <w:r w:rsidRPr="005841A3">
      <w:rPr>
        <w:b/>
        <w:sz w:val="17"/>
        <w:szCs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70986" w14:textId="77777777" w:rsidR="00FF3687" w:rsidRDefault="00FF3687" w:rsidP="00441061">
      <w:r>
        <w:separator/>
      </w:r>
    </w:p>
  </w:footnote>
  <w:footnote w:type="continuationSeparator" w:id="0">
    <w:p w14:paraId="5F574C0C" w14:textId="77777777" w:rsidR="00FF3687" w:rsidRDefault="00FF3687" w:rsidP="00441061">
      <w:r>
        <w:continuationSeparator/>
      </w:r>
    </w:p>
  </w:footnote>
  <w:footnote w:id="1">
    <w:p w14:paraId="77B0D462" w14:textId="350C54F5" w:rsidR="0024260D" w:rsidRPr="00345748" w:rsidRDefault="0024260D" w:rsidP="00187EF8">
      <w:pPr>
        <w:pStyle w:val="FootnoteText"/>
        <w:rPr>
          <w:szCs w:val="16"/>
          <w:lang w:val="en-US"/>
        </w:rPr>
      </w:pPr>
      <w:r w:rsidRPr="00345748">
        <w:rPr>
          <w:rStyle w:val="FootnoteReference"/>
          <w:szCs w:val="16"/>
        </w:rPr>
        <w:footnoteRef/>
      </w:r>
      <w:r w:rsidRPr="00345748">
        <w:rPr>
          <w:szCs w:val="16"/>
        </w:rPr>
        <w:t xml:space="preserve"> </w:t>
      </w:r>
      <w:r>
        <w:rPr>
          <w:szCs w:val="16"/>
        </w:rPr>
        <w:t>United Nations country team in Sri Lan</w:t>
      </w:r>
      <w:r w:rsidRPr="00345748">
        <w:rPr>
          <w:szCs w:val="16"/>
        </w:rPr>
        <w:t>ka</w:t>
      </w:r>
      <w:r w:rsidR="00672448">
        <w:rPr>
          <w:szCs w:val="16"/>
        </w:rPr>
        <w:t>,</w:t>
      </w:r>
      <w:r w:rsidR="00672448" w:rsidRPr="00345748">
        <w:rPr>
          <w:szCs w:val="16"/>
        </w:rPr>
        <w:t xml:space="preserve"> common</w:t>
      </w:r>
      <w:r w:rsidRPr="005A3BE4">
        <w:rPr>
          <w:szCs w:val="16"/>
        </w:rPr>
        <w:t xml:space="preserve"> country assessment</w:t>
      </w:r>
      <w:r w:rsidRPr="00345748">
        <w:rPr>
          <w:szCs w:val="16"/>
        </w:rPr>
        <w:t>, 2016</w:t>
      </w:r>
      <w:r>
        <w:rPr>
          <w:szCs w:val="16"/>
        </w:rPr>
        <w:t>.</w:t>
      </w:r>
    </w:p>
  </w:footnote>
  <w:footnote w:id="2">
    <w:p w14:paraId="55D09A67" w14:textId="4FBE0AF9" w:rsidR="0024260D" w:rsidRPr="00345748" w:rsidRDefault="0024260D" w:rsidP="00187EF8">
      <w:pPr>
        <w:pStyle w:val="NoSpacing1"/>
        <w:jc w:val="both"/>
        <w:rPr>
          <w:rFonts w:ascii="Times New Roman" w:hAnsi="Times New Roman" w:cs="Times New Roman"/>
          <w:sz w:val="16"/>
          <w:szCs w:val="16"/>
          <w:lang w:val="en-GB"/>
        </w:rPr>
      </w:pPr>
      <w:r w:rsidRPr="00345748">
        <w:rPr>
          <w:rStyle w:val="FootnoteReference"/>
          <w:sz w:val="16"/>
          <w:szCs w:val="16"/>
          <w:lang w:val="en-GB"/>
        </w:rPr>
        <w:footnoteRef/>
      </w:r>
      <w:r w:rsidRPr="00345748">
        <w:rPr>
          <w:rFonts w:ascii="Times New Roman" w:hAnsi="Times New Roman" w:cs="Times New Roman"/>
          <w:sz w:val="16"/>
          <w:szCs w:val="16"/>
          <w:lang w:val="en-GB"/>
        </w:rPr>
        <w:t xml:space="preserve"> UNDP</w:t>
      </w:r>
      <w:r>
        <w:rPr>
          <w:rFonts w:ascii="Times New Roman" w:hAnsi="Times New Roman" w:cs="Times New Roman"/>
          <w:sz w:val="16"/>
          <w:szCs w:val="16"/>
          <w:lang w:val="en-GB"/>
        </w:rPr>
        <w:t>,</w:t>
      </w:r>
      <w:r w:rsidRPr="00345748">
        <w:rPr>
          <w:rFonts w:ascii="Times New Roman" w:hAnsi="Times New Roman" w:cs="Times New Roman"/>
          <w:sz w:val="16"/>
          <w:szCs w:val="16"/>
          <w:lang w:val="en-GB"/>
        </w:rPr>
        <w:t xml:space="preserve"> </w:t>
      </w:r>
      <w:r w:rsidRPr="00345748">
        <w:rPr>
          <w:rFonts w:ascii="Times New Roman" w:hAnsi="Times New Roman" w:cs="Times New Roman"/>
          <w:i/>
          <w:iCs/>
          <w:sz w:val="16"/>
          <w:szCs w:val="16"/>
          <w:lang w:val="en-GB"/>
        </w:rPr>
        <w:t>Human Development Report 201</w:t>
      </w:r>
      <w:r>
        <w:rPr>
          <w:rFonts w:ascii="Times New Roman" w:hAnsi="Times New Roman" w:cs="Times New Roman"/>
          <w:i/>
          <w:iCs/>
          <w:sz w:val="16"/>
          <w:szCs w:val="16"/>
          <w:lang w:val="en-GB"/>
        </w:rPr>
        <w:t>6</w:t>
      </w:r>
      <w:r w:rsidRPr="00345748">
        <w:rPr>
          <w:rFonts w:ascii="Times New Roman" w:hAnsi="Times New Roman" w:cs="Times New Roman"/>
          <w:i/>
          <w:iCs/>
          <w:sz w:val="16"/>
          <w:szCs w:val="16"/>
          <w:lang w:val="en-GB"/>
        </w:rPr>
        <w:t>: Human Development</w:t>
      </w:r>
      <w:r>
        <w:rPr>
          <w:rFonts w:ascii="Times New Roman" w:hAnsi="Times New Roman" w:cs="Times New Roman"/>
          <w:i/>
          <w:iCs/>
          <w:sz w:val="16"/>
          <w:szCs w:val="16"/>
          <w:lang w:val="en-GB"/>
        </w:rPr>
        <w:t xml:space="preserve"> for Everyone</w:t>
      </w:r>
      <w:r>
        <w:rPr>
          <w:rFonts w:ascii="Times New Roman" w:hAnsi="Times New Roman" w:cs="Times New Roman"/>
          <w:sz w:val="16"/>
          <w:szCs w:val="16"/>
          <w:lang w:val="en-GB"/>
        </w:rPr>
        <w:t>,</w:t>
      </w:r>
      <w:r w:rsidRPr="00345748">
        <w:rPr>
          <w:rFonts w:ascii="Times New Roman" w:hAnsi="Times New Roman" w:cs="Times New Roman"/>
          <w:sz w:val="16"/>
          <w:szCs w:val="16"/>
          <w:lang w:val="en-GB"/>
        </w:rPr>
        <w:t xml:space="preserve"> New York, 201</w:t>
      </w:r>
      <w:r>
        <w:rPr>
          <w:rFonts w:ascii="Times New Roman" w:hAnsi="Times New Roman" w:cs="Times New Roman"/>
          <w:sz w:val="16"/>
          <w:szCs w:val="16"/>
          <w:lang w:val="en-GB"/>
        </w:rPr>
        <w:t>7</w:t>
      </w:r>
      <w:r w:rsidRPr="00345748">
        <w:rPr>
          <w:rFonts w:ascii="Times New Roman" w:hAnsi="Times New Roman" w:cs="Times New Roman"/>
          <w:sz w:val="16"/>
          <w:szCs w:val="16"/>
          <w:lang w:val="en-GB"/>
        </w:rPr>
        <w:t>.</w:t>
      </w:r>
    </w:p>
  </w:footnote>
  <w:footnote w:id="3">
    <w:p w14:paraId="3EC0435A" w14:textId="10A5F570" w:rsidR="0024260D" w:rsidRPr="00345748" w:rsidRDefault="0024260D" w:rsidP="00187EF8">
      <w:pPr>
        <w:pStyle w:val="FootnoteText"/>
        <w:rPr>
          <w:szCs w:val="16"/>
        </w:rPr>
      </w:pPr>
      <w:r w:rsidRPr="00345748">
        <w:rPr>
          <w:rStyle w:val="FootnoteReference"/>
          <w:szCs w:val="16"/>
        </w:rPr>
        <w:footnoteRef/>
      </w:r>
      <w:r w:rsidRPr="00345748">
        <w:rPr>
          <w:szCs w:val="16"/>
        </w:rPr>
        <w:t xml:space="preserve"> United Nations in Sri Lanka</w:t>
      </w:r>
      <w:r>
        <w:rPr>
          <w:szCs w:val="16"/>
        </w:rPr>
        <w:t>,</w:t>
      </w:r>
      <w:r w:rsidRPr="00345748">
        <w:rPr>
          <w:szCs w:val="16"/>
        </w:rPr>
        <w:t xml:space="preserve"> </w:t>
      </w:r>
      <w:r w:rsidRPr="00345748">
        <w:rPr>
          <w:i/>
          <w:iCs/>
          <w:szCs w:val="16"/>
        </w:rPr>
        <w:t xml:space="preserve">Millennium Development Goals </w:t>
      </w:r>
      <w:r>
        <w:rPr>
          <w:i/>
          <w:iCs/>
          <w:szCs w:val="16"/>
        </w:rPr>
        <w:t>c</w:t>
      </w:r>
      <w:r w:rsidRPr="00345748">
        <w:rPr>
          <w:i/>
          <w:iCs/>
          <w:szCs w:val="16"/>
        </w:rPr>
        <w:t xml:space="preserve">ountry </w:t>
      </w:r>
      <w:r>
        <w:rPr>
          <w:i/>
          <w:iCs/>
          <w:szCs w:val="16"/>
        </w:rPr>
        <w:t>r</w:t>
      </w:r>
      <w:r w:rsidRPr="00345748">
        <w:rPr>
          <w:i/>
          <w:iCs/>
          <w:szCs w:val="16"/>
        </w:rPr>
        <w:t>eport 2014</w:t>
      </w:r>
      <w:r>
        <w:rPr>
          <w:szCs w:val="16"/>
        </w:rPr>
        <w:t>,</w:t>
      </w:r>
      <w:r w:rsidRPr="00345748">
        <w:rPr>
          <w:szCs w:val="16"/>
        </w:rPr>
        <w:t xml:space="preserve"> Colombo, 2015.</w:t>
      </w:r>
    </w:p>
  </w:footnote>
  <w:footnote w:id="4">
    <w:p w14:paraId="70E496AE" w14:textId="21579281" w:rsidR="0024260D" w:rsidRPr="00345748" w:rsidRDefault="0024260D" w:rsidP="00187EF8">
      <w:pPr>
        <w:pStyle w:val="FootnoteText"/>
        <w:rPr>
          <w:szCs w:val="16"/>
        </w:rPr>
      </w:pPr>
      <w:r w:rsidRPr="00345748">
        <w:rPr>
          <w:rStyle w:val="FootnoteReference"/>
          <w:szCs w:val="16"/>
        </w:rPr>
        <w:footnoteRef/>
      </w:r>
      <w:r w:rsidRPr="00345748">
        <w:rPr>
          <w:szCs w:val="16"/>
        </w:rPr>
        <w:t xml:space="preserve"> World Bank, </w:t>
      </w:r>
      <w:r w:rsidRPr="00345748">
        <w:rPr>
          <w:iCs/>
          <w:szCs w:val="16"/>
        </w:rPr>
        <w:t>Sri Lanka</w:t>
      </w:r>
      <w:r>
        <w:rPr>
          <w:iCs/>
          <w:szCs w:val="16"/>
        </w:rPr>
        <w:t>,,</w:t>
      </w:r>
      <w:r w:rsidRPr="00345748">
        <w:rPr>
          <w:i/>
          <w:iCs/>
          <w:szCs w:val="16"/>
        </w:rPr>
        <w:t xml:space="preserve"> </w:t>
      </w:r>
      <w:r>
        <w:rPr>
          <w:iCs/>
          <w:szCs w:val="16"/>
        </w:rPr>
        <w:t>“</w:t>
      </w:r>
      <w:r w:rsidRPr="005A3BE4">
        <w:rPr>
          <w:iCs/>
          <w:szCs w:val="16"/>
        </w:rPr>
        <w:t xml:space="preserve">Ending </w:t>
      </w:r>
      <w:r>
        <w:rPr>
          <w:iCs/>
          <w:szCs w:val="16"/>
        </w:rPr>
        <w:t>p</w:t>
      </w:r>
      <w:r w:rsidRPr="005A3BE4">
        <w:rPr>
          <w:iCs/>
          <w:szCs w:val="16"/>
        </w:rPr>
        <w:t xml:space="preserve">overty and </w:t>
      </w:r>
      <w:r>
        <w:rPr>
          <w:iCs/>
          <w:szCs w:val="16"/>
        </w:rPr>
        <w:t>p</w:t>
      </w:r>
      <w:r w:rsidRPr="005A3BE4">
        <w:rPr>
          <w:iCs/>
          <w:szCs w:val="16"/>
        </w:rPr>
        <w:t xml:space="preserve">romoting </w:t>
      </w:r>
      <w:r>
        <w:rPr>
          <w:iCs/>
          <w:szCs w:val="16"/>
        </w:rPr>
        <w:t>s</w:t>
      </w:r>
      <w:r w:rsidRPr="005A3BE4">
        <w:rPr>
          <w:iCs/>
          <w:szCs w:val="16"/>
        </w:rPr>
        <w:t xml:space="preserve">hared </w:t>
      </w:r>
      <w:r>
        <w:rPr>
          <w:iCs/>
          <w:szCs w:val="16"/>
        </w:rPr>
        <w:t>p</w:t>
      </w:r>
      <w:r w:rsidRPr="005A3BE4">
        <w:rPr>
          <w:iCs/>
          <w:szCs w:val="16"/>
        </w:rPr>
        <w:t xml:space="preserve">rosperity – </w:t>
      </w:r>
      <w:r>
        <w:rPr>
          <w:iCs/>
          <w:szCs w:val="16"/>
        </w:rPr>
        <w:t>a</w:t>
      </w:r>
      <w:r w:rsidRPr="005A3BE4">
        <w:rPr>
          <w:iCs/>
          <w:szCs w:val="16"/>
        </w:rPr>
        <w:t xml:space="preserve"> </w:t>
      </w:r>
      <w:r>
        <w:rPr>
          <w:iCs/>
          <w:szCs w:val="16"/>
        </w:rPr>
        <w:t>s</w:t>
      </w:r>
      <w:r w:rsidRPr="005A3BE4">
        <w:rPr>
          <w:iCs/>
          <w:szCs w:val="16"/>
        </w:rPr>
        <w:t xml:space="preserve">ystematic </w:t>
      </w:r>
      <w:r>
        <w:rPr>
          <w:iCs/>
          <w:szCs w:val="16"/>
        </w:rPr>
        <w:t>c</w:t>
      </w:r>
      <w:r w:rsidRPr="005A3BE4">
        <w:rPr>
          <w:iCs/>
          <w:szCs w:val="16"/>
        </w:rPr>
        <w:t xml:space="preserve">ountry </w:t>
      </w:r>
      <w:r>
        <w:rPr>
          <w:iCs/>
          <w:szCs w:val="16"/>
        </w:rPr>
        <w:t>d</w:t>
      </w:r>
      <w:r w:rsidRPr="005A3BE4">
        <w:rPr>
          <w:iCs/>
          <w:szCs w:val="16"/>
        </w:rPr>
        <w:t>iagnostic</w:t>
      </w:r>
      <w:r>
        <w:rPr>
          <w:iCs/>
          <w:szCs w:val="16"/>
        </w:rPr>
        <w:t>”</w:t>
      </w:r>
      <w:r w:rsidRPr="00345748">
        <w:rPr>
          <w:i/>
          <w:iCs/>
          <w:szCs w:val="16"/>
        </w:rPr>
        <w:t>,</w:t>
      </w:r>
      <w:r w:rsidRPr="00345748">
        <w:rPr>
          <w:szCs w:val="16"/>
        </w:rPr>
        <w:t xml:space="preserve"> Washington, D.</w:t>
      </w:r>
      <w:r>
        <w:rPr>
          <w:szCs w:val="16"/>
        </w:rPr>
        <w:t xml:space="preserve"> </w:t>
      </w:r>
      <w:r w:rsidRPr="00345748">
        <w:rPr>
          <w:szCs w:val="16"/>
        </w:rPr>
        <w:t>C.</w:t>
      </w:r>
      <w:r>
        <w:rPr>
          <w:szCs w:val="16"/>
        </w:rPr>
        <w:t>, 2015.</w:t>
      </w:r>
    </w:p>
  </w:footnote>
  <w:footnote w:id="5">
    <w:p w14:paraId="0C7579E4" w14:textId="77777777" w:rsidR="0024260D" w:rsidRPr="00345748" w:rsidRDefault="0024260D" w:rsidP="00187EF8">
      <w:pPr>
        <w:pStyle w:val="FootnoteText"/>
        <w:rPr>
          <w:szCs w:val="16"/>
        </w:rPr>
      </w:pPr>
      <w:r w:rsidRPr="00345748">
        <w:rPr>
          <w:rStyle w:val="FootnoteReference"/>
          <w:szCs w:val="16"/>
        </w:rPr>
        <w:footnoteRef/>
      </w:r>
      <w:r w:rsidRPr="00345748">
        <w:rPr>
          <w:szCs w:val="16"/>
        </w:rPr>
        <w:t xml:space="preserve"> </w:t>
      </w:r>
      <w:r>
        <w:rPr>
          <w:szCs w:val="16"/>
        </w:rPr>
        <w:t>Ibid</w:t>
      </w:r>
      <w:r w:rsidRPr="00345748">
        <w:rPr>
          <w:szCs w:val="16"/>
        </w:rPr>
        <w:t>.</w:t>
      </w:r>
    </w:p>
  </w:footnote>
  <w:footnote w:id="6">
    <w:p w14:paraId="11D1C9DE" w14:textId="7E8D4DEF" w:rsidR="0024260D" w:rsidRPr="00DC477E" w:rsidRDefault="0024260D" w:rsidP="00187EF8">
      <w:pPr>
        <w:pStyle w:val="FootnoteText"/>
        <w:rPr>
          <w:szCs w:val="16"/>
          <w:lang w:val="en-US"/>
        </w:rPr>
      </w:pPr>
      <w:r w:rsidRPr="00DC477E">
        <w:rPr>
          <w:rStyle w:val="FootnoteReference"/>
          <w:szCs w:val="16"/>
        </w:rPr>
        <w:footnoteRef/>
      </w:r>
      <w:r w:rsidRPr="00DC477E">
        <w:rPr>
          <w:szCs w:val="16"/>
        </w:rPr>
        <w:t xml:space="preserve"> UNDP</w:t>
      </w:r>
      <w:r>
        <w:rPr>
          <w:szCs w:val="16"/>
        </w:rPr>
        <w:t>,</w:t>
      </w:r>
      <w:r w:rsidRPr="00DC477E">
        <w:rPr>
          <w:szCs w:val="16"/>
        </w:rPr>
        <w:t xml:space="preserve"> </w:t>
      </w:r>
      <w:r w:rsidRPr="005A3BE4">
        <w:rPr>
          <w:szCs w:val="16"/>
        </w:rPr>
        <w:t xml:space="preserve">Shaping the future: </w:t>
      </w:r>
      <w:r>
        <w:rPr>
          <w:szCs w:val="16"/>
        </w:rPr>
        <w:t>h</w:t>
      </w:r>
      <w:r w:rsidRPr="005A3BE4">
        <w:rPr>
          <w:szCs w:val="16"/>
        </w:rPr>
        <w:t xml:space="preserve">ow </w:t>
      </w:r>
      <w:r>
        <w:rPr>
          <w:szCs w:val="16"/>
        </w:rPr>
        <w:t>c</w:t>
      </w:r>
      <w:r w:rsidRPr="005A3BE4">
        <w:rPr>
          <w:szCs w:val="16"/>
        </w:rPr>
        <w:t xml:space="preserve">hanging </w:t>
      </w:r>
      <w:r>
        <w:rPr>
          <w:szCs w:val="16"/>
        </w:rPr>
        <w:t>d</w:t>
      </w:r>
      <w:r w:rsidRPr="005A3BE4">
        <w:rPr>
          <w:szCs w:val="16"/>
        </w:rPr>
        <w:t xml:space="preserve">emographics </w:t>
      </w:r>
      <w:r>
        <w:rPr>
          <w:szCs w:val="16"/>
        </w:rPr>
        <w:t>c</w:t>
      </w:r>
      <w:r w:rsidRPr="005A3BE4">
        <w:rPr>
          <w:szCs w:val="16"/>
        </w:rPr>
        <w:t xml:space="preserve">an </w:t>
      </w:r>
      <w:r>
        <w:rPr>
          <w:szCs w:val="16"/>
        </w:rPr>
        <w:t>p</w:t>
      </w:r>
      <w:r w:rsidRPr="005A3BE4">
        <w:rPr>
          <w:szCs w:val="16"/>
        </w:rPr>
        <w:t xml:space="preserve">ower </w:t>
      </w:r>
      <w:r>
        <w:rPr>
          <w:szCs w:val="16"/>
        </w:rPr>
        <w:t>h</w:t>
      </w:r>
      <w:r w:rsidRPr="005A3BE4">
        <w:rPr>
          <w:szCs w:val="16"/>
        </w:rPr>
        <w:t xml:space="preserve">uman </w:t>
      </w:r>
      <w:r>
        <w:rPr>
          <w:szCs w:val="16"/>
        </w:rPr>
        <w:t>d</w:t>
      </w:r>
      <w:r w:rsidRPr="005A3BE4">
        <w:rPr>
          <w:szCs w:val="16"/>
        </w:rPr>
        <w:t xml:space="preserve">evelopment – Asia-Pacific </w:t>
      </w:r>
      <w:r>
        <w:rPr>
          <w:szCs w:val="16"/>
        </w:rPr>
        <w:t>h</w:t>
      </w:r>
      <w:r w:rsidRPr="005A3BE4">
        <w:rPr>
          <w:szCs w:val="16"/>
        </w:rPr>
        <w:t xml:space="preserve">uman </w:t>
      </w:r>
      <w:r>
        <w:rPr>
          <w:szCs w:val="16"/>
        </w:rPr>
        <w:t>d</w:t>
      </w:r>
      <w:r w:rsidRPr="005A3BE4">
        <w:rPr>
          <w:szCs w:val="16"/>
        </w:rPr>
        <w:t xml:space="preserve">evelopment </w:t>
      </w:r>
      <w:r>
        <w:rPr>
          <w:szCs w:val="16"/>
        </w:rPr>
        <w:t>r</w:t>
      </w:r>
      <w:r w:rsidRPr="005A3BE4">
        <w:rPr>
          <w:szCs w:val="16"/>
        </w:rPr>
        <w:t>eport</w:t>
      </w:r>
      <w:r>
        <w:rPr>
          <w:szCs w:val="16"/>
        </w:rPr>
        <w:t>”</w:t>
      </w:r>
      <w:r w:rsidR="00672448">
        <w:rPr>
          <w:szCs w:val="16"/>
        </w:rPr>
        <w:t>,</w:t>
      </w:r>
      <w:r w:rsidR="00672448" w:rsidRPr="00DC477E">
        <w:rPr>
          <w:i/>
          <w:szCs w:val="16"/>
        </w:rPr>
        <w:t xml:space="preserve"> New</w:t>
      </w:r>
      <w:r w:rsidRPr="004B3459">
        <w:rPr>
          <w:szCs w:val="16"/>
        </w:rPr>
        <w:t xml:space="preserve"> York</w:t>
      </w:r>
      <w:r>
        <w:rPr>
          <w:szCs w:val="16"/>
        </w:rPr>
        <w:t>, 2016.</w:t>
      </w:r>
    </w:p>
  </w:footnote>
  <w:footnote w:id="7">
    <w:p w14:paraId="5029E79C" w14:textId="49FBA59F" w:rsidR="0024260D" w:rsidRPr="007213FC" w:rsidRDefault="0024260D" w:rsidP="007213FC">
      <w:pPr>
        <w:rPr>
          <w:szCs w:val="16"/>
          <w:lang w:val="en-US"/>
        </w:rPr>
      </w:pPr>
      <w:r w:rsidRPr="007213FC">
        <w:rPr>
          <w:rStyle w:val="FootnoteReference"/>
          <w:sz w:val="16"/>
          <w:szCs w:val="16"/>
        </w:rPr>
        <w:footnoteRef/>
      </w:r>
      <w:r w:rsidRPr="007213FC">
        <w:rPr>
          <w:sz w:val="16"/>
          <w:szCs w:val="16"/>
        </w:rPr>
        <w:t xml:space="preserve"> </w:t>
      </w:r>
      <w:r w:rsidRPr="007213FC">
        <w:rPr>
          <w:sz w:val="16"/>
          <w:szCs w:val="16"/>
          <w:lang w:val="en-US"/>
        </w:rPr>
        <w:t xml:space="preserve">Extended by two years at </w:t>
      </w:r>
      <w:r>
        <w:rPr>
          <w:sz w:val="16"/>
          <w:szCs w:val="16"/>
          <w:lang w:val="en-US"/>
        </w:rPr>
        <w:t xml:space="preserve">the </w:t>
      </w:r>
      <w:r w:rsidRPr="007213FC">
        <w:rPr>
          <w:sz w:val="16"/>
          <w:szCs w:val="16"/>
          <w:lang w:val="en-US"/>
        </w:rPr>
        <w:t>34</w:t>
      </w:r>
      <w:r w:rsidRPr="007213FC">
        <w:rPr>
          <w:sz w:val="16"/>
          <w:szCs w:val="16"/>
          <w:vertAlign w:val="superscript"/>
          <w:lang w:val="en-US"/>
        </w:rPr>
        <w:t>th</w:t>
      </w:r>
      <w:r w:rsidRPr="007213FC">
        <w:rPr>
          <w:sz w:val="16"/>
          <w:szCs w:val="16"/>
          <w:lang w:val="en-US"/>
        </w:rPr>
        <w:t xml:space="preserve"> session of the U</w:t>
      </w:r>
      <w:r>
        <w:rPr>
          <w:sz w:val="16"/>
          <w:szCs w:val="16"/>
          <w:lang w:val="en-US"/>
        </w:rPr>
        <w:t xml:space="preserve">nited </w:t>
      </w:r>
      <w:r w:rsidRPr="007213FC">
        <w:rPr>
          <w:sz w:val="16"/>
          <w:szCs w:val="16"/>
          <w:lang w:val="en-US"/>
        </w:rPr>
        <w:t>N</w:t>
      </w:r>
      <w:r>
        <w:rPr>
          <w:sz w:val="16"/>
          <w:szCs w:val="16"/>
          <w:lang w:val="en-US"/>
        </w:rPr>
        <w:t>ations</w:t>
      </w:r>
      <w:r w:rsidRPr="007213FC">
        <w:rPr>
          <w:sz w:val="16"/>
          <w:szCs w:val="16"/>
          <w:lang w:val="en-US"/>
        </w:rPr>
        <w:t xml:space="preserve"> Human Rights Council (</w:t>
      </w:r>
      <w:r w:rsidRPr="007213FC">
        <w:rPr>
          <w:color w:val="000000"/>
          <w:sz w:val="16"/>
          <w:szCs w:val="16"/>
          <w:shd w:val="clear" w:color="auto" w:fill="FFFFFF"/>
        </w:rPr>
        <w:t>A/HRC/34/L.1)</w:t>
      </w:r>
      <w:r>
        <w:rPr>
          <w:color w:val="000000"/>
          <w:sz w:val="16"/>
          <w:szCs w:val="16"/>
          <w:shd w:val="clear" w:color="auto" w:fill="FFFFFF"/>
        </w:rPr>
        <w:t>.</w:t>
      </w:r>
    </w:p>
  </w:footnote>
  <w:footnote w:id="8">
    <w:p w14:paraId="231DECE5" w14:textId="61512539" w:rsidR="0024260D" w:rsidRPr="00DE0E02" w:rsidRDefault="0024260D" w:rsidP="00DC459A">
      <w:pPr>
        <w:pStyle w:val="FootnoteText"/>
        <w:rPr>
          <w:lang w:val="en-US"/>
        </w:rPr>
      </w:pPr>
      <w:r>
        <w:rPr>
          <w:rStyle w:val="FootnoteReference"/>
        </w:rPr>
        <w:footnoteRef/>
      </w:r>
      <w:r>
        <w:t xml:space="preserve"> See </w:t>
      </w:r>
      <w:r w:rsidRPr="00120B5F">
        <w:t>http://megapolis.gov.lk/wp-content/uploads/2016/09/Megapolis-Plan_Jan16_English.pdf</w:t>
      </w:r>
      <w:r>
        <w:t>.</w:t>
      </w:r>
    </w:p>
  </w:footnote>
  <w:footnote w:id="9">
    <w:p w14:paraId="1EEC61A8" w14:textId="7BC6467C" w:rsidR="0024260D" w:rsidRPr="00345748" w:rsidRDefault="0024260D" w:rsidP="00042258">
      <w:pPr>
        <w:pStyle w:val="FootnoteText"/>
        <w:rPr>
          <w:szCs w:val="16"/>
        </w:rPr>
      </w:pPr>
      <w:r w:rsidRPr="00345748">
        <w:rPr>
          <w:rStyle w:val="FootnoteReference"/>
          <w:szCs w:val="16"/>
        </w:rPr>
        <w:footnoteRef/>
      </w:r>
      <w:r w:rsidRPr="00345748">
        <w:rPr>
          <w:szCs w:val="16"/>
        </w:rPr>
        <w:t xml:space="preserve"> Department of National Planning, Ministry of National Policies and Economic Affairs. </w:t>
      </w:r>
      <w:r>
        <w:rPr>
          <w:szCs w:val="16"/>
        </w:rPr>
        <w:t>“</w:t>
      </w:r>
      <w:r w:rsidRPr="005A3BE4">
        <w:rPr>
          <w:szCs w:val="16"/>
        </w:rPr>
        <w:t xml:space="preserve">Public </w:t>
      </w:r>
      <w:r>
        <w:rPr>
          <w:szCs w:val="16"/>
        </w:rPr>
        <w:t>i</w:t>
      </w:r>
      <w:r w:rsidRPr="005A3BE4">
        <w:rPr>
          <w:szCs w:val="16"/>
        </w:rPr>
        <w:t xml:space="preserve">nvestment </w:t>
      </w:r>
      <w:r>
        <w:rPr>
          <w:szCs w:val="16"/>
        </w:rPr>
        <w:t>p</w:t>
      </w:r>
      <w:r w:rsidRPr="005A3BE4">
        <w:rPr>
          <w:szCs w:val="16"/>
        </w:rPr>
        <w:t>rogramme: 2017-2020</w:t>
      </w:r>
      <w:r>
        <w:rPr>
          <w:szCs w:val="16"/>
        </w:rPr>
        <w:t>”</w:t>
      </w:r>
      <w:r w:rsidRPr="00345748">
        <w:rPr>
          <w:szCs w:val="16"/>
        </w:rPr>
        <w:t xml:space="preserve">. </w:t>
      </w:r>
    </w:p>
  </w:footnote>
  <w:footnote w:id="10">
    <w:p w14:paraId="404F7767" w14:textId="008B031B" w:rsidR="0024260D" w:rsidRPr="00DC477E" w:rsidRDefault="0024260D" w:rsidP="00187EF8">
      <w:pPr>
        <w:pStyle w:val="FootnoteText"/>
        <w:rPr>
          <w:szCs w:val="16"/>
        </w:rPr>
      </w:pPr>
      <w:r w:rsidRPr="00DC477E">
        <w:rPr>
          <w:rStyle w:val="FootnoteReference"/>
          <w:szCs w:val="16"/>
        </w:rPr>
        <w:footnoteRef/>
      </w:r>
      <w:r w:rsidRPr="00DC477E">
        <w:rPr>
          <w:szCs w:val="16"/>
        </w:rPr>
        <w:t xml:space="preserve"> de Mel, N</w:t>
      </w:r>
      <w:r>
        <w:rPr>
          <w:szCs w:val="16"/>
        </w:rPr>
        <w:t xml:space="preserve">. </w:t>
      </w:r>
      <w:r w:rsidRPr="00DC477E">
        <w:rPr>
          <w:szCs w:val="16"/>
        </w:rPr>
        <w:t>and Venugopal, R.</w:t>
      </w:r>
      <w:r>
        <w:rPr>
          <w:szCs w:val="16"/>
        </w:rPr>
        <w:t>,</w:t>
      </w:r>
      <w:r w:rsidRPr="00DC477E">
        <w:rPr>
          <w:szCs w:val="16"/>
        </w:rPr>
        <w:t xml:space="preserve"> </w:t>
      </w:r>
      <w:r w:rsidRPr="00DC477E">
        <w:rPr>
          <w:i/>
          <w:iCs/>
          <w:szCs w:val="16"/>
        </w:rPr>
        <w:t>Peacebuilding Context Assessment, Sri Lanka 2016</w:t>
      </w:r>
      <w:r>
        <w:rPr>
          <w:szCs w:val="16"/>
        </w:rPr>
        <w:t>. Colombo, 2016.</w:t>
      </w:r>
    </w:p>
  </w:footnote>
  <w:footnote w:id="11">
    <w:p w14:paraId="17AF5DF5" w14:textId="7002C041" w:rsidR="0024260D" w:rsidRPr="003C55FE" w:rsidRDefault="0024260D" w:rsidP="00187EF8">
      <w:pPr>
        <w:pStyle w:val="FootnoteText"/>
        <w:rPr>
          <w:szCs w:val="16"/>
        </w:rPr>
      </w:pPr>
      <w:r w:rsidRPr="003C55FE">
        <w:rPr>
          <w:rStyle w:val="FootnoteReference"/>
          <w:szCs w:val="16"/>
        </w:rPr>
        <w:footnoteRef/>
      </w:r>
      <w:r w:rsidRPr="003C55FE">
        <w:rPr>
          <w:szCs w:val="16"/>
        </w:rPr>
        <w:t xml:space="preserve"> Living above the official poverty line (roughly $1.50 per day in 2005 </w:t>
      </w:r>
      <w:r>
        <w:rPr>
          <w:szCs w:val="16"/>
        </w:rPr>
        <w:t xml:space="preserve">purchasing power parity (PPP) </w:t>
      </w:r>
      <w:r w:rsidRPr="003C55FE">
        <w:rPr>
          <w:szCs w:val="16"/>
        </w:rPr>
        <w:t>terms) but below $2.50 per day in 2005 PPP terms.</w:t>
      </w:r>
    </w:p>
  </w:footnote>
  <w:footnote w:id="12">
    <w:p w14:paraId="3DB42DDC" w14:textId="57E97EC3" w:rsidR="0024260D" w:rsidRPr="003C55FE" w:rsidRDefault="0024260D" w:rsidP="00187EF8">
      <w:pPr>
        <w:pStyle w:val="FootnoteText"/>
        <w:rPr>
          <w:szCs w:val="16"/>
        </w:rPr>
      </w:pPr>
      <w:r w:rsidRPr="003C55FE">
        <w:rPr>
          <w:rStyle w:val="FootnoteReference"/>
          <w:szCs w:val="16"/>
        </w:rPr>
        <w:footnoteRef/>
      </w:r>
      <w:r w:rsidRPr="003C55FE">
        <w:rPr>
          <w:szCs w:val="16"/>
        </w:rPr>
        <w:t xml:space="preserve"> World Bank, Sri Lanka, 2015</w:t>
      </w:r>
      <w:r>
        <w:rPr>
          <w:szCs w:val="16"/>
        </w:rPr>
        <w:t>.</w:t>
      </w:r>
    </w:p>
  </w:footnote>
  <w:footnote w:id="13">
    <w:p w14:paraId="4450310E" w14:textId="77777777" w:rsidR="0024260D" w:rsidRPr="003C55FE" w:rsidRDefault="0024260D" w:rsidP="00187EF8">
      <w:pPr>
        <w:pStyle w:val="FootnoteText"/>
        <w:rPr>
          <w:szCs w:val="16"/>
          <w:lang w:val="en-US"/>
        </w:rPr>
      </w:pPr>
      <w:r w:rsidRPr="003C55FE">
        <w:rPr>
          <w:rStyle w:val="FootnoteReference"/>
          <w:szCs w:val="16"/>
        </w:rPr>
        <w:footnoteRef/>
      </w:r>
      <w:r w:rsidRPr="003C55FE">
        <w:rPr>
          <w:szCs w:val="16"/>
        </w:rPr>
        <w:t xml:space="preserve"> </w:t>
      </w:r>
      <w:r w:rsidRPr="003C55FE">
        <w:rPr>
          <w:szCs w:val="16"/>
          <w:lang w:val="en-US"/>
        </w:rPr>
        <w:t>Ibid.</w:t>
      </w:r>
    </w:p>
  </w:footnote>
  <w:footnote w:id="14">
    <w:p w14:paraId="5376C1A6" w14:textId="77777777" w:rsidR="0024260D" w:rsidRPr="003C55FE" w:rsidRDefault="0024260D" w:rsidP="00187EF8">
      <w:pPr>
        <w:pStyle w:val="FootnoteText"/>
        <w:rPr>
          <w:szCs w:val="16"/>
        </w:rPr>
      </w:pPr>
      <w:r w:rsidRPr="003C55FE">
        <w:rPr>
          <w:rStyle w:val="FootnoteReference"/>
          <w:szCs w:val="16"/>
        </w:rPr>
        <w:footnoteRef/>
      </w:r>
      <w:r w:rsidRPr="003C55FE">
        <w:rPr>
          <w:szCs w:val="16"/>
        </w:rPr>
        <w:t xml:space="preserve"> Department of Census &amp; Statistics, Sri Lanka (2014).</w:t>
      </w:r>
    </w:p>
  </w:footnote>
  <w:footnote w:id="15">
    <w:p w14:paraId="44E9BA71" w14:textId="7642B9B2" w:rsidR="0024260D" w:rsidRPr="003C55FE" w:rsidRDefault="0024260D" w:rsidP="00187EF8">
      <w:pPr>
        <w:pStyle w:val="FootnoteText"/>
        <w:rPr>
          <w:szCs w:val="16"/>
        </w:rPr>
      </w:pPr>
      <w:r w:rsidRPr="003C55FE">
        <w:rPr>
          <w:rStyle w:val="FootnoteReference"/>
          <w:szCs w:val="16"/>
        </w:rPr>
        <w:footnoteRef/>
      </w:r>
      <w:r w:rsidRPr="003C55FE">
        <w:rPr>
          <w:szCs w:val="16"/>
        </w:rPr>
        <w:t xml:space="preserve"> </w:t>
      </w:r>
      <w:r>
        <w:rPr>
          <w:szCs w:val="16"/>
        </w:rPr>
        <w:t xml:space="preserve">Asia Development Bank. </w:t>
      </w:r>
      <w:r w:rsidRPr="00A97AF7">
        <w:rPr>
          <w:i/>
          <w:szCs w:val="16"/>
        </w:rPr>
        <w:t>Country Gender Assessment Sri Lanka: An Update 2015.</w:t>
      </w:r>
    </w:p>
  </w:footnote>
  <w:footnote w:id="16">
    <w:p w14:paraId="55A257E4" w14:textId="0669DBE6" w:rsidR="0024260D" w:rsidRPr="003C55FE" w:rsidRDefault="0024260D" w:rsidP="00187EF8">
      <w:pPr>
        <w:pStyle w:val="FootnoteText"/>
        <w:rPr>
          <w:szCs w:val="16"/>
          <w:lang w:val="en-US"/>
        </w:rPr>
      </w:pPr>
      <w:r w:rsidRPr="003C55FE">
        <w:rPr>
          <w:rStyle w:val="FootnoteReference"/>
          <w:szCs w:val="16"/>
        </w:rPr>
        <w:footnoteRef/>
      </w:r>
      <w:r w:rsidRPr="003C55FE">
        <w:rPr>
          <w:szCs w:val="16"/>
        </w:rPr>
        <w:t xml:space="preserve"> Department of Census &amp; Statistics, Sri Lanka. </w:t>
      </w:r>
      <w:r w:rsidRPr="003C55FE">
        <w:rPr>
          <w:i/>
          <w:szCs w:val="16"/>
        </w:rPr>
        <w:t>Labour Force Survey Annual Bulletin 2015</w:t>
      </w:r>
      <w:r w:rsidRPr="003C55FE">
        <w:rPr>
          <w:szCs w:val="16"/>
        </w:rPr>
        <w:t xml:space="preserve">. </w:t>
      </w:r>
    </w:p>
  </w:footnote>
  <w:footnote w:id="17">
    <w:p w14:paraId="7883B243" w14:textId="5E4F2CA1" w:rsidR="0024260D" w:rsidRPr="003C55FE" w:rsidRDefault="0024260D" w:rsidP="00187EF8">
      <w:pPr>
        <w:pStyle w:val="FootnoteText"/>
        <w:rPr>
          <w:szCs w:val="16"/>
          <w:lang w:val="en-US"/>
        </w:rPr>
      </w:pPr>
      <w:r w:rsidRPr="003C55FE">
        <w:rPr>
          <w:rStyle w:val="FootnoteReference"/>
          <w:szCs w:val="16"/>
        </w:rPr>
        <w:footnoteRef/>
      </w:r>
      <w:r w:rsidRPr="003C55FE">
        <w:rPr>
          <w:szCs w:val="16"/>
        </w:rPr>
        <w:t xml:space="preserve"> Verite Research</w:t>
      </w:r>
      <w:r>
        <w:rPr>
          <w:szCs w:val="16"/>
        </w:rPr>
        <w:t xml:space="preserve"> (2016)</w:t>
      </w:r>
      <w:r w:rsidRPr="003C55FE">
        <w:rPr>
          <w:szCs w:val="16"/>
        </w:rPr>
        <w:t xml:space="preserve">.  </w:t>
      </w:r>
      <w:r w:rsidRPr="003C55FE">
        <w:rPr>
          <w:i/>
          <w:szCs w:val="16"/>
        </w:rPr>
        <w:t xml:space="preserve">Mid-Term </w:t>
      </w:r>
      <w:r w:rsidR="00672448" w:rsidRPr="003C55FE">
        <w:rPr>
          <w:i/>
          <w:szCs w:val="16"/>
        </w:rPr>
        <w:t>Review:</w:t>
      </w:r>
      <w:r w:rsidRPr="003C55FE">
        <w:rPr>
          <w:i/>
          <w:szCs w:val="16"/>
        </w:rPr>
        <w:t xml:space="preserve"> United National Development Assistance Framework (UNDAF) 2012-2017</w:t>
      </w:r>
      <w:r w:rsidRPr="003C55FE">
        <w:rPr>
          <w:szCs w:val="16"/>
        </w:rPr>
        <w:t>.</w:t>
      </w:r>
    </w:p>
  </w:footnote>
  <w:footnote w:id="18">
    <w:p w14:paraId="01D09815" w14:textId="77777777" w:rsidR="0024260D" w:rsidRPr="003C55FE" w:rsidRDefault="0024260D" w:rsidP="00187EF8">
      <w:pPr>
        <w:pStyle w:val="FootnoteText"/>
        <w:rPr>
          <w:szCs w:val="16"/>
          <w:lang w:val="en-US"/>
        </w:rPr>
      </w:pPr>
      <w:r w:rsidRPr="003C55FE">
        <w:rPr>
          <w:rStyle w:val="FootnoteReference"/>
          <w:szCs w:val="16"/>
        </w:rPr>
        <w:footnoteRef/>
      </w:r>
      <w:r w:rsidRPr="003C55FE">
        <w:rPr>
          <w:szCs w:val="16"/>
        </w:rPr>
        <w:t xml:space="preserve"> Ibid.</w:t>
      </w:r>
    </w:p>
  </w:footnote>
  <w:footnote w:id="19">
    <w:p w14:paraId="3A6715E7" w14:textId="77777777" w:rsidR="0024260D" w:rsidRPr="003C55FE" w:rsidRDefault="0024260D" w:rsidP="00187EF8">
      <w:pPr>
        <w:pStyle w:val="FootnoteText"/>
        <w:rPr>
          <w:szCs w:val="16"/>
        </w:rPr>
      </w:pPr>
      <w:r w:rsidRPr="003C55FE">
        <w:rPr>
          <w:rStyle w:val="FootnoteReference"/>
          <w:szCs w:val="16"/>
        </w:rPr>
        <w:footnoteRef/>
      </w:r>
      <w:r w:rsidRPr="003C55FE">
        <w:rPr>
          <w:szCs w:val="16"/>
        </w:rPr>
        <w:t xml:space="preserve"> WFP. </w:t>
      </w:r>
      <w:r w:rsidRPr="003C55FE">
        <w:rPr>
          <w:i/>
          <w:iCs/>
          <w:szCs w:val="16"/>
        </w:rPr>
        <w:t>Sri Lanka Food Security Atlas: Livelihoods, Food Security and Resilience</w:t>
      </w:r>
      <w:r w:rsidRPr="003C55FE">
        <w:rPr>
          <w:szCs w:val="16"/>
        </w:rPr>
        <w:t>. Colombo, 2015</w:t>
      </w:r>
    </w:p>
  </w:footnote>
  <w:footnote w:id="20">
    <w:p w14:paraId="25982E92" w14:textId="77777777" w:rsidR="0024260D" w:rsidRPr="003C55FE" w:rsidRDefault="0024260D" w:rsidP="003C1685">
      <w:pPr>
        <w:jc w:val="both"/>
        <w:rPr>
          <w:sz w:val="16"/>
          <w:szCs w:val="16"/>
        </w:rPr>
      </w:pPr>
      <w:r w:rsidRPr="003C55FE">
        <w:rPr>
          <w:rStyle w:val="FootnoteReference"/>
          <w:sz w:val="16"/>
          <w:szCs w:val="16"/>
        </w:rPr>
        <w:footnoteRef/>
      </w:r>
      <w:r w:rsidRPr="003C55FE">
        <w:rPr>
          <w:sz w:val="16"/>
          <w:szCs w:val="16"/>
        </w:rPr>
        <w:t xml:space="preserve"> </w:t>
      </w:r>
      <w:r>
        <w:rPr>
          <w:sz w:val="16"/>
          <w:szCs w:val="16"/>
        </w:rPr>
        <w:t>Ibid</w:t>
      </w:r>
      <w:r w:rsidRPr="003C55FE">
        <w:rPr>
          <w:sz w:val="16"/>
          <w:szCs w:val="16"/>
        </w:rPr>
        <w:t>.</w:t>
      </w:r>
    </w:p>
  </w:footnote>
  <w:footnote w:id="21">
    <w:p w14:paraId="5A3F58E6" w14:textId="77777777" w:rsidR="0024260D" w:rsidRPr="003C55FE" w:rsidRDefault="0024260D" w:rsidP="003C1685">
      <w:pPr>
        <w:pStyle w:val="FootnoteText"/>
        <w:rPr>
          <w:szCs w:val="16"/>
        </w:rPr>
      </w:pPr>
      <w:r w:rsidRPr="003C55FE">
        <w:rPr>
          <w:rStyle w:val="FootnoteReference"/>
          <w:szCs w:val="16"/>
        </w:rPr>
        <w:footnoteRef/>
      </w:r>
      <w:r w:rsidRPr="003C55FE">
        <w:rPr>
          <w:szCs w:val="16"/>
        </w:rPr>
        <w:t xml:space="preserve"> World Bank, </w:t>
      </w:r>
      <w:r w:rsidRPr="003C55FE">
        <w:rPr>
          <w:iCs/>
          <w:szCs w:val="16"/>
        </w:rPr>
        <w:t>Sri Lanka (2015).</w:t>
      </w:r>
      <w:r w:rsidRPr="003C55FE">
        <w:rPr>
          <w:i/>
          <w:iCs/>
          <w:szCs w:val="16"/>
        </w:rPr>
        <w:t xml:space="preserve"> </w:t>
      </w:r>
    </w:p>
  </w:footnote>
  <w:footnote w:id="22">
    <w:p w14:paraId="50C25324" w14:textId="34966637" w:rsidR="0024260D" w:rsidRPr="003C55FE" w:rsidRDefault="0024260D" w:rsidP="00814BD1">
      <w:pPr>
        <w:widowControl w:val="0"/>
        <w:autoSpaceDE w:val="0"/>
        <w:autoSpaceDN w:val="0"/>
        <w:adjustRightInd w:val="0"/>
        <w:rPr>
          <w:sz w:val="16"/>
          <w:szCs w:val="16"/>
        </w:rPr>
      </w:pPr>
      <w:r w:rsidRPr="003C55FE">
        <w:rPr>
          <w:rStyle w:val="FootnoteReference"/>
          <w:sz w:val="16"/>
          <w:szCs w:val="16"/>
        </w:rPr>
        <w:footnoteRef/>
      </w:r>
      <w:r w:rsidRPr="003C55FE">
        <w:rPr>
          <w:sz w:val="16"/>
          <w:szCs w:val="16"/>
        </w:rPr>
        <w:t xml:space="preserve"> Otter, </w:t>
      </w:r>
      <w:r>
        <w:rPr>
          <w:sz w:val="16"/>
          <w:szCs w:val="16"/>
        </w:rPr>
        <w:t xml:space="preserve">T. </w:t>
      </w:r>
      <w:r w:rsidRPr="003C55FE">
        <w:rPr>
          <w:sz w:val="16"/>
          <w:szCs w:val="16"/>
        </w:rPr>
        <w:t xml:space="preserve">et al. </w:t>
      </w:r>
      <w:r w:rsidRPr="003C55FE">
        <w:rPr>
          <w:i/>
          <w:sz w:val="16"/>
          <w:szCs w:val="16"/>
        </w:rPr>
        <w:t>Evaluation of European Union-Support to District Development Programme (EU- SDDP) Sri Lanka</w:t>
      </w:r>
      <w:r w:rsidRPr="003C55FE">
        <w:rPr>
          <w:sz w:val="16"/>
          <w:szCs w:val="16"/>
        </w:rPr>
        <w:t>. EPRD Office for Economic Policy and Regional Development</w:t>
      </w:r>
      <w:r>
        <w:rPr>
          <w:sz w:val="16"/>
          <w:szCs w:val="16"/>
        </w:rPr>
        <w:t>,</w:t>
      </w:r>
      <w:r w:rsidRPr="003C55FE">
        <w:rPr>
          <w:sz w:val="16"/>
          <w:szCs w:val="16"/>
        </w:rPr>
        <w:t xml:space="preserve"> Ltd. June 2016.</w:t>
      </w:r>
    </w:p>
  </w:footnote>
  <w:footnote w:id="23">
    <w:p w14:paraId="3CE2F40D" w14:textId="2E1A1FC3" w:rsidR="0024260D" w:rsidRPr="004D75BF" w:rsidRDefault="0024260D" w:rsidP="00187EF8">
      <w:pPr>
        <w:pStyle w:val="FootnoteText"/>
        <w:rPr>
          <w:szCs w:val="16"/>
          <w:lang w:val="en-US"/>
        </w:rPr>
      </w:pPr>
      <w:r w:rsidRPr="004D75BF">
        <w:rPr>
          <w:rStyle w:val="FootnoteReference"/>
          <w:szCs w:val="16"/>
        </w:rPr>
        <w:footnoteRef/>
      </w:r>
      <w:r w:rsidRPr="004D75BF">
        <w:rPr>
          <w:szCs w:val="16"/>
        </w:rPr>
        <w:t xml:space="preserve"> Verite Research</w:t>
      </w:r>
      <w:r>
        <w:rPr>
          <w:szCs w:val="16"/>
        </w:rPr>
        <w:t>,</w:t>
      </w:r>
      <w:r w:rsidRPr="004D75BF">
        <w:rPr>
          <w:szCs w:val="16"/>
        </w:rPr>
        <w:t xml:space="preserve">  </w:t>
      </w:r>
      <w:r>
        <w:rPr>
          <w:szCs w:val="16"/>
        </w:rPr>
        <w:t>“</w:t>
      </w:r>
      <w:r w:rsidRPr="005A3BE4">
        <w:rPr>
          <w:szCs w:val="16"/>
        </w:rPr>
        <w:t>Mid-term review: UNDP country programme (2013-2017</w:t>
      </w:r>
      <w:r w:rsidRPr="00A86778">
        <w:rPr>
          <w:szCs w:val="16"/>
        </w:rPr>
        <w:t>)</w:t>
      </w:r>
      <w:r>
        <w:rPr>
          <w:szCs w:val="16"/>
        </w:rPr>
        <w:t>”,</w:t>
      </w:r>
      <w:r w:rsidRPr="004D75BF">
        <w:rPr>
          <w:szCs w:val="16"/>
        </w:rPr>
        <w:t xml:space="preserve"> </w:t>
      </w:r>
      <w:r>
        <w:rPr>
          <w:szCs w:val="16"/>
        </w:rPr>
        <w:t xml:space="preserve">October </w:t>
      </w:r>
      <w:r w:rsidRPr="004D75BF">
        <w:rPr>
          <w:szCs w:val="16"/>
        </w:rPr>
        <w:t>2016</w:t>
      </w:r>
      <w:r>
        <w:rPr>
          <w:szCs w:val="16"/>
        </w:rPr>
        <w:t>.</w:t>
      </w:r>
    </w:p>
  </w:footnote>
  <w:footnote w:id="24">
    <w:p w14:paraId="69B960F9" w14:textId="79D13FB3" w:rsidR="0024260D" w:rsidRPr="003759B9" w:rsidRDefault="0024260D" w:rsidP="00187EF8">
      <w:pPr>
        <w:pStyle w:val="FootnoteText"/>
        <w:rPr>
          <w:lang w:val="en-US"/>
        </w:rPr>
      </w:pPr>
      <w:r>
        <w:rPr>
          <w:rStyle w:val="FootnoteReference"/>
        </w:rPr>
        <w:footnoteRef/>
      </w:r>
      <w:r>
        <w:t xml:space="preserve"> </w:t>
      </w:r>
      <w:r w:rsidRPr="00B822D1">
        <w:rPr>
          <w:szCs w:val="16"/>
        </w:rPr>
        <w:t>Anodjan</w:t>
      </w:r>
      <w:r>
        <w:rPr>
          <w:szCs w:val="16"/>
        </w:rPr>
        <w:t>, S.</w:t>
      </w:r>
      <w:r w:rsidRPr="00B822D1">
        <w:rPr>
          <w:i/>
          <w:szCs w:val="16"/>
        </w:rPr>
        <w:t>, Partnership Mapping Report: UNDP Sri Lanka</w:t>
      </w:r>
      <w:r w:rsidR="00672448">
        <w:rPr>
          <w:szCs w:val="16"/>
        </w:rPr>
        <w:t xml:space="preserve">, </w:t>
      </w:r>
      <w:r w:rsidR="00672448" w:rsidRPr="00B822D1">
        <w:rPr>
          <w:szCs w:val="16"/>
        </w:rPr>
        <w:t>2014</w:t>
      </w:r>
      <w:r>
        <w:rPr>
          <w:szCs w:val="16"/>
        </w:rPr>
        <w:t>.</w:t>
      </w:r>
    </w:p>
  </w:footnote>
  <w:footnote w:id="25">
    <w:p w14:paraId="07CA30E3" w14:textId="77777777" w:rsidR="0024260D" w:rsidRPr="00883295" w:rsidRDefault="0024260D" w:rsidP="004E151B">
      <w:pPr>
        <w:pStyle w:val="FootnoteText"/>
        <w:rPr>
          <w:szCs w:val="16"/>
        </w:rPr>
      </w:pPr>
      <w:r w:rsidRPr="00883295">
        <w:rPr>
          <w:rStyle w:val="FootnoteReference"/>
          <w:szCs w:val="16"/>
        </w:rPr>
        <w:footnoteRef/>
      </w:r>
      <w:r w:rsidRPr="00883295">
        <w:rPr>
          <w:szCs w:val="16"/>
        </w:rPr>
        <w:t xml:space="preserve"> Verite Research, 2014.</w:t>
      </w:r>
    </w:p>
  </w:footnote>
  <w:footnote w:id="26">
    <w:p w14:paraId="35DB5EC6" w14:textId="3957DE7D" w:rsidR="0024260D" w:rsidRPr="00E14041" w:rsidRDefault="0024260D" w:rsidP="00E14041">
      <w:pPr>
        <w:tabs>
          <w:tab w:val="left" w:pos="900"/>
          <w:tab w:val="left" w:pos="990"/>
          <w:tab w:val="left" w:pos="8640"/>
          <w:tab w:val="left" w:pos="9180"/>
        </w:tabs>
        <w:rPr>
          <w:rFonts w:eastAsia="Calibri"/>
          <w:iCs/>
          <w:sz w:val="15"/>
          <w:szCs w:val="15"/>
        </w:rPr>
      </w:pPr>
      <w:r w:rsidRPr="00E14041">
        <w:rPr>
          <w:rStyle w:val="FootnoteReference"/>
          <w:sz w:val="15"/>
          <w:szCs w:val="15"/>
        </w:rPr>
        <w:footnoteRef/>
      </w:r>
      <w:r w:rsidRPr="00E14041">
        <w:rPr>
          <w:sz w:val="15"/>
          <w:szCs w:val="15"/>
        </w:rPr>
        <w:t xml:space="preserve"> The baseline will be determined following an assessment and strategy for </w:t>
      </w:r>
      <w:r>
        <w:rPr>
          <w:sz w:val="15"/>
          <w:szCs w:val="15"/>
        </w:rPr>
        <w:t>civil society organizations</w:t>
      </w:r>
      <w:r w:rsidRPr="00E14041">
        <w:rPr>
          <w:sz w:val="15"/>
          <w:szCs w:val="15"/>
        </w:rPr>
        <w:t xml:space="preserve"> engagement</w:t>
      </w:r>
      <w:r>
        <w:rPr>
          <w:sz w:val="15"/>
          <w:szCs w:val="15"/>
        </w:rPr>
        <w:t>.</w:t>
      </w:r>
    </w:p>
  </w:footnote>
  <w:footnote w:id="27">
    <w:p w14:paraId="72C234AD" w14:textId="1CB764CA" w:rsidR="0024260D" w:rsidRPr="00160267" w:rsidRDefault="0024260D" w:rsidP="00FE5E1A">
      <w:pPr>
        <w:pStyle w:val="FootnoteText"/>
        <w:rPr>
          <w:sz w:val="15"/>
          <w:szCs w:val="15"/>
          <w:lang w:val="en-US"/>
        </w:rPr>
      </w:pPr>
      <w:r w:rsidRPr="00160267">
        <w:rPr>
          <w:rStyle w:val="FootnoteReference"/>
          <w:sz w:val="15"/>
          <w:szCs w:val="15"/>
        </w:rPr>
        <w:footnoteRef/>
      </w:r>
      <w:r w:rsidRPr="00160267">
        <w:rPr>
          <w:sz w:val="15"/>
          <w:szCs w:val="15"/>
        </w:rPr>
        <w:t xml:space="preserve"> </w:t>
      </w:r>
      <w:r>
        <w:rPr>
          <w:sz w:val="15"/>
          <w:szCs w:val="15"/>
        </w:rPr>
        <w:t>Rating scale: 1 = very weak; 2 = weak; 3 = moderate; 4 = strong; 5 = very strong.</w:t>
      </w:r>
    </w:p>
  </w:footnote>
  <w:footnote w:id="28">
    <w:p w14:paraId="1F6BC43D" w14:textId="77777777" w:rsidR="0024260D" w:rsidRPr="00160267" w:rsidRDefault="0024260D" w:rsidP="00FE5E1A">
      <w:pPr>
        <w:pStyle w:val="FootnoteText"/>
        <w:rPr>
          <w:sz w:val="15"/>
          <w:szCs w:val="15"/>
          <w:lang w:val="en-US"/>
        </w:rPr>
      </w:pPr>
      <w:r w:rsidRPr="00160267">
        <w:rPr>
          <w:rStyle w:val="FootnoteReference"/>
          <w:sz w:val="15"/>
          <w:szCs w:val="15"/>
        </w:rPr>
        <w:footnoteRef/>
      </w:r>
      <w:r w:rsidRPr="00160267">
        <w:rPr>
          <w:sz w:val="15"/>
          <w:szCs w:val="15"/>
        </w:rPr>
        <w:t xml:space="preserve"> </w:t>
      </w:r>
      <w:r>
        <w:rPr>
          <w:sz w:val="15"/>
          <w:szCs w:val="15"/>
        </w:rPr>
        <w:t>Rating scale:  1 = no action taken; 2 = partially operational; 3 = Operational; 4 =  Fully Operational</w:t>
      </w:r>
    </w:p>
  </w:footnote>
  <w:footnote w:id="29">
    <w:p w14:paraId="04542783" w14:textId="77777777" w:rsidR="0024260D" w:rsidRPr="004B3459" w:rsidRDefault="0024260D">
      <w:pPr>
        <w:pStyle w:val="FootnoteText"/>
        <w:rPr>
          <w:lang w:val="en-US"/>
        </w:rPr>
      </w:pPr>
      <w:r>
        <w:rPr>
          <w:rStyle w:val="FootnoteReference"/>
        </w:rPr>
        <w:footnoteRef/>
      </w:r>
      <w:r>
        <w:t xml:space="preserve"> </w:t>
      </w:r>
      <w:r w:rsidRPr="004B3459">
        <w:rPr>
          <w:sz w:val="15"/>
          <w:szCs w:val="15"/>
        </w:rPr>
        <w:t>Vavuniya, Ampara, Jaffna districts</w:t>
      </w:r>
    </w:p>
  </w:footnote>
  <w:footnote w:id="30">
    <w:p w14:paraId="2B7C8DC7" w14:textId="68C4A591" w:rsidR="0024260D" w:rsidRPr="00160267" w:rsidRDefault="0024260D" w:rsidP="00FE5E1A">
      <w:pPr>
        <w:pStyle w:val="FootnoteText"/>
        <w:rPr>
          <w:sz w:val="15"/>
          <w:szCs w:val="15"/>
          <w:lang w:val="en-US"/>
        </w:rPr>
      </w:pPr>
      <w:r w:rsidRPr="00160267">
        <w:rPr>
          <w:rStyle w:val="FootnoteReference"/>
          <w:sz w:val="15"/>
          <w:szCs w:val="15"/>
        </w:rPr>
        <w:footnoteRef/>
      </w:r>
      <w:r w:rsidRPr="00160267">
        <w:rPr>
          <w:sz w:val="15"/>
          <w:szCs w:val="15"/>
        </w:rPr>
        <w:t xml:space="preserve"> </w:t>
      </w:r>
      <w:r w:rsidRPr="00160267">
        <w:rPr>
          <w:sz w:val="15"/>
          <w:szCs w:val="15"/>
          <w:lang w:val="en-US"/>
        </w:rPr>
        <w:t xml:space="preserve">Rating scale:  High </w:t>
      </w:r>
      <w:r>
        <w:rPr>
          <w:sz w:val="15"/>
          <w:szCs w:val="15"/>
          <w:lang w:val="en-US"/>
        </w:rPr>
        <w:t>&gt;</w:t>
      </w:r>
      <w:r w:rsidRPr="00160267">
        <w:rPr>
          <w:sz w:val="15"/>
          <w:szCs w:val="15"/>
          <w:lang w:val="en-US"/>
        </w:rPr>
        <w:t xml:space="preserve"> </w:t>
      </w:r>
      <w:r>
        <w:rPr>
          <w:sz w:val="15"/>
          <w:szCs w:val="15"/>
          <w:lang w:val="en-US"/>
        </w:rPr>
        <w:t>0</w:t>
      </w:r>
      <w:r w:rsidRPr="00160267">
        <w:rPr>
          <w:sz w:val="15"/>
          <w:szCs w:val="15"/>
          <w:lang w:val="en-US"/>
        </w:rPr>
        <w:t xml:space="preserve">.6, </w:t>
      </w:r>
      <w:r>
        <w:rPr>
          <w:sz w:val="15"/>
          <w:szCs w:val="15"/>
          <w:lang w:val="en-US"/>
        </w:rPr>
        <w:t xml:space="preserve">0.6&gt; </w:t>
      </w:r>
      <w:r w:rsidRPr="00160267">
        <w:rPr>
          <w:sz w:val="15"/>
          <w:szCs w:val="15"/>
          <w:lang w:val="en-US"/>
        </w:rPr>
        <w:t xml:space="preserve">Medium </w:t>
      </w:r>
      <w:r>
        <w:rPr>
          <w:sz w:val="15"/>
          <w:szCs w:val="15"/>
          <w:lang w:val="en-US"/>
        </w:rPr>
        <w:t>&gt;</w:t>
      </w:r>
      <w:r w:rsidRPr="00160267">
        <w:rPr>
          <w:sz w:val="15"/>
          <w:szCs w:val="15"/>
          <w:lang w:val="en-US"/>
        </w:rPr>
        <w:t xml:space="preserve"> </w:t>
      </w:r>
      <w:r>
        <w:rPr>
          <w:sz w:val="15"/>
          <w:szCs w:val="15"/>
          <w:lang w:val="en-US"/>
        </w:rPr>
        <w:t>0</w:t>
      </w:r>
      <w:r w:rsidRPr="00160267">
        <w:rPr>
          <w:sz w:val="15"/>
          <w:szCs w:val="15"/>
          <w:lang w:val="en-US"/>
        </w:rPr>
        <w:t xml:space="preserve">.3, Low </w:t>
      </w:r>
      <w:r>
        <w:rPr>
          <w:sz w:val="15"/>
          <w:szCs w:val="15"/>
          <w:lang w:val="en-US"/>
        </w:rPr>
        <w:t>&lt; 0.3</w:t>
      </w:r>
    </w:p>
  </w:footnote>
  <w:footnote w:id="31">
    <w:p w14:paraId="28CC7F02" w14:textId="60943C7D" w:rsidR="0024260D" w:rsidRPr="00743873" w:rsidRDefault="0024260D">
      <w:pPr>
        <w:pStyle w:val="FootnoteText"/>
        <w:rPr>
          <w:sz w:val="15"/>
          <w:szCs w:val="15"/>
          <w:lang w:val="en-US"/>
        </w:rPr>
      </w:pPr>
      <w:r w:rsidRPr="00743873">
        <w:rPr>
          <w:rStyle w:val="FootnoteReference"/>
          <w:sz w:val="15"/>
          <w:szCs w:val="15"/>
        </w:rPr>
        <w:footnoteRef/>
      </w:r>
      <w:r w:rsidRPr="00743873">
        <w:rPr>
          <w:sz w:val="15"/>
          <w:szCs w:val="15"/>
        </w:rPr>
        <w:t xml:space="preserve"> </w:t>
      </w:r>
      <w:r>
        <w:rPr>
          <w:sz w:val="15"/>
          <w:szCs w:val="15"/>
          <w:lang w:val="en-US"/>
        </w:rPr>
        <w:t xml:space="preserve">The locations of the </w:t>
      </w:r>
      <w:r w:rsidRPr="00743873">
        <w:rPr>
          <w:sz w:val="15"/>
          <w:szCs w:val="15"/>
          <w:lang w:val="en-US"/>
        </w:rPr>
        <w:t xml:space="preserve">districts will be defined in consultation </w:t>
      </w:r>
      <w:r>
        <w:rPr>
          <w:sz w:val="15"/>
          <w:szCs w:val="15"/>
          <w:lang w:val="en-US"/>
        </w:rPr>
        <w:t>with the Government.</w:t>
      </w:r>
    </w:p>
  </w:footnote>
  <w:footnote w:id="32">
    <w:p w14:paraId="6457E62E" w14:textId="7D0021EC" w:rsidR="0024260D" w:rsidRPr="00167DD4" w:rsidRDefault="0024260D" w:rsidP="0005263C">
      <w:pPr>
        <w:pStyle w:val="FootnoteText"/>
        <w:rPr>
          <w:lang w:val="en-US"/>
        </w:rPr>
      </w:pPr>
      <w:r>
        <w:rPr>
          <w:rStyle w:val="FootnoteReference"/>
        </w:rPr>
        <w:footnoteRef/>
      </w:r>
      <w:r>
        <w:t xml:space="preserve"> </w:t>
      </w:r>
      <w:r>
        <w:rPr>
          <w:lang w:val="en-US"/>
        </w:rPr>
        <w:t>Equivalent to 4 per cent of national emissions total.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A961E" w14:textId="77777777" w:rsidR="0024260D" w:rsidRPr="00916E69" w:rsidRDefault="0024260D">
    <w:pPr>
      <w:pStyle w:val="Header"/>
      <w:rPr>
        <w:lang w:val="en-US"/>
      </w:rPr>
    </w:pPr>
    <w:r>
      <w:rPr>
        <w:rFonts w:ascii="Times New Roman" w:hAnsi="Times New Roman"/>
        <w:b/>
        <w:sz w:val="17"/>
        <w:szCs w:val="17"/>
        <w:lang w:val="en-US" w:eastAsia="en-US"/>
      </w:rPr>
      <w:t>DP/DCP/BGD/3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24260D" w:rsidRPr="000B4BE2" w14:paraId="365C5808" w14:textId="77777777" w:rsidTr="007A4406">
      <w:trPr>
        <w:trHeight w:hRule="exact" w:val="864"/>
      </w:trPr>
      <w:tc>
        <w:tcPr>
          <w:tcW w:w="1267" w:type="dxa"/>
          <w:tcBorders>
            <w:bottom w:val="single" w:sz="4" w:space="0" w:color="auto"/>
          </w:tcBorders>
          <w:shd w:val="clear" w:color="auto" w:fill="auto"/>
          <w:vAlign w:val="bottom"/>
        </w:tcPr>
        <w:p w14:paraId="1E2BC885" w14:textId="77777777" w:rsidR="0024260D" w:rsidRPr="000B4BE2" w:rsidRDefault="0024260D" w:rsidP="000B4BE2">
          <w:pPr>
            <w:tabs>
              <w:tab w:val="center" w:pos="4320"/>
              <w:tab w:val="right" w:pos="8640"/>
            </w:tabs>
            <w:spacing w:after="120"/>
            <w:rPr>
              <w:noProof/>
              <w:sz w:val="17"/>
              <w:szCs w:val="20"/>
              <w:lang w:val="en-US"/>
            </w:rPr>
          </w:pPr>
        </w:p>
      </w:tc>
      <w:tc>
        <w:tcPr>
          <w:tcW w:w="1872" w:type="dxa"/>
          <w:tcBorders>
            <w:bottom w:val="single" w:sz="4" w:space="0" w:color="auto"/>
          </w:tcBorders>
          <w:shd w:val="clear" w:color="auto" w:fill="auto"/>
          <w:vAlign w:val="bottom"/>
        </w:tcPr>
        <w:p w14:paraId="10B850FD" w14:textId="77777777" w:rsidR="0024260D" w:rsidRPr="000B4BE2" w:rsidRDefault="0024260D" w:rsidP="000B4BE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szCs w:val="20"/>
            </w:rPr>
          </w:pPr>
          <w:r w:rsidRPr="000B4BE2">
            <w:rPr>
              <w:spacing w:val="2"/>
              <w:w w:val="96"/>
              <w:kern w:val="14"/>
              <w:sz w:val="28"/>
              <w:szCs w:val="20"/>
            </w:rPr>
            <w:t>United Nations</w:t>
          </w:r>
        </w:p>
      </w:tc>
      <w:tc>
        <w:tcPr>
          <w:tcW w:w="245" w:type="dxa"/>
          <w:tcBorders>
            <w:bottom w:val="single" w:sz="4" w:space="0" w:color="auto"/>
          </w:tcBorders>
          <w:shd w:val="clear" w:color="auto" w:fill="auto"/>
          <w:vAlign w:val="bottom"/>
        </w:tcPr>
        <w:p w14:paraId="0A07B602" w14:textId="77777777" w:rsidR="0024260D" w:rsidRPr="000B4BE2" w:rsidRDefault="0024260D" w:rsidP="000B4BE2">
          <w:pPr>
            <w:tabs>
              <w:tab w:val="center" w:pos="4320"/>
              <w:tab w:val="right" w:pos="8640"/>
            </w:tabs>
            <w:spacing w:after="120"/>
            <w:rPr>
              <w:noProof/>
              <w:sz w:val="17"/>
              <w:szCs w:val="20"/>
              <w:lang w:val="en-US"/>
            </w:rPr>
          </w:pPr>
        </w:p>
      </w:tc>
      <w:tc>
        <w:tcPr>
          <w:tcW w:w="6523" w:type="dxa"/>
          <w:gridSpan w:val="4"/>
          <w:tcBorders>
            <w:bottom w:val="single" w:sz="4" w:space="0" w:color="auto"/>
          </w:tcBorders>
          <w:shd w:val="clear" w:color="auto" w:fill="auto"/>
          <w:vAlign w:val="bottom"/>
        </w:tcPr>
        <w:p w14:paraId="64DE11C3" w14:textId="0074F692" w:rsidR="0024260D" w:rsidRPr="000B4BE2" w:rsidRDefault="0024260D" w:rsidP="00DF1598">
          <w:pPr>
            <w:suppressAutoHyphens/>
            <w:spacing w:after="80"/>
            <w:jc w:val="right"/>
            <w:rPr>
              <w:spacing w:val="4"/>
              <w:w w:val="103"/>
              <w:kern w:val="14"/>
              <w:position w:val="-4"/>
              <w:sz w:val="20"/>
              <w:szCs w:val="20"/>
            </w:rPr>
          </w:pPr>
          <w:r w:rsidRPr="000B4BE2">
            <w:rPr>
              <w:spacing w:val="4"/>
              <w:w w:val="103"/>
              <w:kern w:val="14"/>
              <w:position w:val="-4"/>
              <w:sz w:val="40"/>
              <w:szCs w:val="20"/>
            </w:rPr>
            <w:t>DP</w:t>
          </w:r>
          <w:r w:rsidRPr="000B4BE2">
            <w:rPr>
              <w:spacing w:val="4"/>
              <w:w w:val="103"/>
              <w:kern w:val="14"/>
              <w:position w:val="-4"/>
              <w:sz w:val="20"/>
              <w:szCs w:val="20"/>
            </w:rPr>
            <w:t>/DCP/</w:t>
          </w:r>
          <w:r>
            <w:rPr>
              <w:spacing w:val="4"/>
              <w:w w:val="103"/>
              <w:kern w:val="14"/>
              <w:position w:val="-4"/>
              <w:sz w:val="20"/>
              <w:szCs w:val="20"/>
            </w:rPr>
            <w:t>LKA</w:t>
          </w:r>
          <w:r w:rsidRPr="000B4BE2">
            <w:rPr>
              <w:spacing w:val="4"/>
              <w:w w:val="103"/>
              <w:kern w:val="14"/>
              <w:position w:val="-4"/>
              <w:sz w:val="20"/>
              <w:szCs w:val="20"/>
            </w:rPr>
            <w:t>/</w:t>
          </w:r>
          <w:r>
            <w:rPr>
              <w:spacing w:val="4"/>
              <w:w w:val="103"/>
              <w:kern w:val="14"/>
              <w:position w:val="-4"/>
              <w:sz w:val="20"/>
              <w:szCs w:val="20"/>
            </w:rPr>
            <w:t>3</w:t>
          </w:r>
        </w:p>
      </w:tc>
    </w:tr>
    <w:tr w:rsidR="0024260D" w:rsidRPr="000B4BE2" w14:paraId="7320DDD0" w14:textId="77777777" w:rsidTr="007A4406">
      <w:trPr>
        <w:gridAfter w:val="1"/>
        <w:wAfter w:w="28" w:type="dxa"/>
        <w:trHeight w:hRule="exact" w:val="2880"/>
      </w:trPr>
      <w:tc>
        <w:tcPr>
          <w:tcW w:w="1267" w:type="dxa"/>
          <w:tcBorders>
            <w:top w:val="single" w:sz="4" w:space="0" w:color="auto"/>
            <w:bottom w:val="single" w:sz="12" w:space="0" w:color="auto"/>
          </w:tcBorders>
          <w:shd w:val="clear" w:color="auto" w:fill="auto"/>
        </w:tcPr>
        <w:p w14:paraId="0FA9FDDB" w14:textId="77777777" w:rsidR="0024260D" w:rsidRPr="000B4BE2" w:rsidRDefault="0024260D" w:rsidP="000B4BE2">
          <w:pPr>
            <w:tabs>
              <w:tab w:val="center" w:pos="4320"/>
              <w:tab w:val="right" w:pos="8640"/>
            </w:tabs>
            <w:spacing w:before="109"/>
            <w:rPr>
              <w:noProof/>
              <w:sz w:val="17"/>
              <w:szCs w:val="20"/>
              <w:lang w:val="en-US"/>
            </w:rPr>
          </w:pPr>
          <w:r w:rsidRPr="000B4BE2">
            <w:rPr>
              <w:noProof/>
              <w:sz w:val="17"/>
              <w:szCs w:val="20"/>
              <w:lang w:val="en-US"/>
            </w:rPr>
            <w:t xml:space="preserve"> </w:t>
          </w:r>
          <w:r w:rsidRPr="000B4BE2">
            <w:rPr>
              <w:noProof/>
              <w:sz w:val="17"/>
              <w:szCs w:val="20"/>
              <w:lang w:val="en-US"/>
            </w:rPr>
            <w:drawing>
              <wp:inline distT="0" distB="0" distL="0" distR="0" wp14:anchorId="7AC44743" wp14:editId="56EED76A">
                <wp:extent cx="702945" cy="592455"/>
                <wp:effectExtent l="0" t="0" r="190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92455"/>
                        </a:xfrm>
                        <a:prstGeom prst="rect">
                          <a:avLst/>
                        </a:prstGeom>
                        <a:noFill/>
                        <a:ln>
                          <a:noFill/>
                        </a:ln>
                      </pic:spPr>
                    </pic:pic>
                  </a:graphicData>
                </a:graphic>
              </wp:inline>
            </w:drawing>
          </w:r>
        </w:p>
        <w:p w14:paraId="077C70F6" w14:textId="77777777" w:rsidR="0024260D" w:rsidRPr="000B4BE2" w:rsidRDefault="0024260D" w:rsidP="000B4BE2">
          <w:pPr>
            <w:tabs>
              <w:tab w:val="center" w:pos="4320"/>
              <w:tab w:val="right" w:pos="8640"/>
            </w:tabs>
            <w:spacing w:before="109"/>
            <w:rPr>
              <w:noProof/>
              <w:sz w:val="17"/>
              <w:szCs w:val="20"/>
              <w:lang w:val="en-US"/>
            </w:rPr>
          </w:pPr>
        </w:p>
      </w:tc>
      <w:tc>
        <w:tcPr>
          <w:tcW w:w="5227" w:type="dxa"/>
          <w:gridSpan w:val="3"/>
          <w:tcBorders>
            <w:top w:val="single" w:sz="4" w:space="0" w:color="auto"/>
            <w:bottom w:val="single" w:sz="12" w:space="0" w:color="auto"/>
          </w:tcBorders>
          <w:shd w:val="clear" w:color="auto" w:fill="auto"/>
        </w:tcPr>
        <w:p w14:paraId="643ADE35" w14:textId="77777777" w:rsidR="0024260D" w:rsidRPr="008E0FAB" w:rsidRDefault="0024260D" w:rsidP="00B1401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outlineLvl w:val="0"/>
            <w:rPr>
              <w:b/>
              <w:spacing w:val="-4"/>
              <w:w w:val="98"/>
              <w:kern w:val="14"/>
              <w:sz w:val="34"/>
            </w:rPr>
          </w:pPr>
          <w:r w:rsidRPr="00135684">
            <w:rPr>
              <w:b/>
              <w:sz w:val="34"/>
            </w:rPr>
            <w:t>Executive Board of the</w:t>
          </w:r>
          <w:r w:rsidRPr="00135684">
            <w:rPr>
              <w:b/>
              <w:sz w:val="34"/>
            </w:rPr>
            <w:br/>
            <w:t>United Nations Development</w:t>
          </w:r>
          <w:r w:rsidRPr="00135684">
            <w:rPr>
              <w:b/>
              <w:sz w:val="34"/>
            </w:rPr>
            <w:br/>
            <w:t>Programme, the United Nations Population Fund and the United Nations Office for Project Services</w:t>
          </w:r>
        </w:p>
        <w:p w14:paraId="4F9DA1AF" w14:textId="2AB5CEF4" w:rsidR="0024260D" w:rsidRPr="000B4BE2" w:rsidRDefault="0024260D" w:rsidP="000B4BE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spacing w:val="-4"/>
              <w:w w:val="98"/>
              <w:kern w:val="14"/>
              <w:sz w:val="34"/>
              <w:szCs w:val="20"/>
            </w:rPr>
          </w:pPr>
        </w:p>
      </w:tc>
      <w:tc>
        <w:tcPr>
          <w:tcW w:w="245" w:type="dxa"/>
          <w:tcBorders>
            <w:top w:val="single" w:sz="4" w:space="0" w:color="auto"/>
            <w:bottom w:val="single" w:sz="12" w:space="0" w:color="auto"/>
          </w:tcBorders>
          <w:shd w:val="clear" w:color="auto" w:fill="auto"/>
        </w:tcPr>
        <w:p w14:paraId="6D50926F" w14:textId="77777777" w:rsidR="0024260D" w:rsidRPr="000B4BE2" w:rsidRDefault="0024260D" w:rsidP="000B4BE2">
          <w:pPr>
            <w:tabs>
              <w:tab w:val="center" w:pos="4320"/>
              <w:tab w:val="right" w:pos="8640"/>
            </w:tabs>
            <w:spacing w:before="109"/>
            <w:rPr>
              <w:noProof/>
              <w:sz w:val="17"/>
              <w:szCs w:val="20"/>
              <w:lang w:val="en-US"/>
            </w:rPr>
          </w:pPr>
        </w:p>
      </w:tc>
      <w:tc>
        <w:tcPr>
          <w:tcW w:w="3140" w:type="dxa"/>
          <w:tcBorders>
            <w:top w:val="single" w:sz="4" w:space="0" w:color="auto"/>
            <w:bottom w:val="single" w:sz="12" w:space="0" w:color="auto"/>
          </w:tcBorders>
          <w:shd w:val="clear" w:color="auto" w:fill="auto"/>
        </w:tcPr>
        <w:p w14:paraId="470EA0B0" w14:textId="77777777" w:rsidR="0024260D" w:rsidRPr="000B4BE2" w:rsidRDefault="0024260D" w:rsidP="000B4BE2">
          <w:pPr>
            <w:suppressAutoHyphens/>
            <w:spacing w:before="240" w:line="240" w:lineRule="exact"/>
            <w:rPr>
              <w:spacing w:val="4"/>
              <w:w w:val="103"/>
              <w:kern w:val="14"/>
              <w:sz w:val="20"/>
              <w:szCs w:val="20"/>
            </w:rPr>
          </w:pPr>
          <w:r w:rsidRPr="000B4BE2">
            <w:rPr>
              <w:spacing w:val="4"/>
              <w:w w:val="103"/>
              <w:kern w:val="14"/>
              <w:sz w:val="20"/>
              <w:szCs w:val="20"/>
            </w:rPr>
            <w:t>Distr.: General</w:t>
          </w:r>
        </w:p>
        <w:p w14:paraId="17375D3A" w14:textId="6888BBE1" w:rsidR="0024260D" w:rsidRPr="000B4BE2" w:rsidRDefault="005A3BE4" w:rsidP="000B4BE2">
          <w:pPr>
            <w:suppressAutoHyphens/>
            <w:spacing w:line="240" w:lineRule="exact"/>
            <w:rPr>
              <w:spacing w:val="4"/>
              <w:w w:val="103"/>
              <w:kern w:val="14"/>
              <w:sz w:val="20"/>
              <w:szCs w:val="20"/>
            </w:rPr>
          </w:pPr>
          <w:r>
            <w:rPr>
              <w:spacing w:val="4"/>
              <w:w w:val="103"/>
              <w:kern w:val="14"/>
              <w:sz w:val="20"/>
              <w:szCs w:val="20"/>
            </w:rPr>
            <w:t>1</w:t>
          </w:r>
          <w:r w:rsidR="00AF1848">
            <w:rPr>
              <w:spacing w:val="4"/>
              <w:w w:val="103"/>
              <w:kern w:val="14"/>
              <w:sz w:val="20"/>
              <w:szCs w:val="20"/>
            </w:rPr>
            <w:t>3</w:t>
          </w:r>
          <w:r w:rsidR="0024260D">
            <w:rPr>
              <w:spacing w:val="4"/>
              <w:w w:val="103"/>
              <w:kern w:val="14"/>
              <w:sz w:val="20"/>
              <w:szCs w:val="20"/>
            </w:rPr>
            <w:t xml:space="preserve"> </w:t>
          </w:r>
          <w:r w:rsidR="00AF1848">
            <w:rPr>
              <w:spacing w:val="4"/>
              <w:w w:val="103"/>
              <w:kern w:val="14"/>
              <w:sz w:val="20"/>
              <w:szCs w:val="20"/>
            </w:rPr>
            <w:t>June</w:t>
          </w:r>
          <w:r w:rsidR="0024260D">
            <w:rPr>
              <w:spacing w:val="4"/>
              <w:w w:val="103"/>
              <w:kern w:val="14"/>
              <w:sz w:val="20"/>
              <w:szCs w:val="20"/>
            </w:rPr>
            <w:t xml:space="preserve"> 2017</w:t>
          </w:r>
        </w:p>
        <w:p w14:paraId="42003304" w14:textId="77777777" w:rsidR="0024260D" w:rsidRPr="000B4BE2" w:rsidRDefault="0024260D" w:rsidP="000B4BE2">
          <w:pPr>
            <w:suppressAutoHyphens/>
            <w:spacing w:line="240" w:lineRule="exact"/>
            <w:rPr>
              <w:spacing w:val="4"/>
              <w:w w:val="103"/>
              <w:kern w:val="14"/>
              <w:sz w:val="20"/>
              <w:szCs w:val="20"/>
            </w:rPr>
          </w:pPr>
        </w:p>
        <w:p w14:paraId="1CB1FC18" w14:textId="77777777" w:rsidR="0024260D" w:rsidRPr="000B4BE2" w:rsidRDefault="0024260D" w:rsidP="000B4BE2">
          <w:pPr>
            <w:suppressAutoHyphens/>
            <w:spacing w:line="240" w:lineRule="exact"/>
            <w:rPr>
              <w:spacing w:val="4"/>
              <w:w w:val="103"/>
              <w:kern w:val="14"/>
              <w:sz w:val="20"/>
              <w:szCs w:val="20"/>
            </w:rPr>
          </w:pPr>
          <w:r w:rsidRPr="000B4BE2">
            <w:rPr>
              <w:spacing w:val="4"/>
              <w:w w:val="103"/>
              <w:kern w:val="14"/>
              <w:sz w:val="20"/>
              <w:szCs w:val="20"/>
            </w:rPr>
            <w:t>Original: English</w:t>
          </w:r>
        </w:p>
      </w:tc>
    </w:tr>
  </w:tbl>
  <w:p w14:paraId="4EEA5E23" w14:textId="77777777" w:rsidR="0024260D" w:rsidRPr="000B4BE2" w:rsidRDefault="0024260D">
    <w:pPr>
      <w:pStyle w:val="Header"/>
      <w:rPr>
        <w:sz w:val="2"/>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24260D" w:rsidRPr="00D64B78" w14:paraId="6EC6BD7A" w14:textId="77777777" w:rsidTr="007A4406">
      <w:trPr>
        <w:trHeight w:hRule="exact" w:val="864"/>
      </w:trPr>
      <w:tc>
        <w:tcPr>
          <w:tcW w:w="4838" w:type="dxa"/>
          <w:tcBorders>
            <w:bottom w:val="single" w:sz="4" w:space="0" w:color="auto"/>
          </w:tcBorders>
          <w:vAlign w:val="bottom"/>
        </w:tcPr>
        <w:p w14:paraId="3F4CE3A8" w14:textId="77777777" w:rsidR="0024260D" w:rsidRPr="00D64B78" w:rsidRDefault="0024260D" w:rsidP="007A4406">
          <w:pPr>
            <w:widowControl w:val="0"/>
            <w:tabs>
              <w:tab w:val="center" w:pos="4320"/>
              <w:tab w:val="right" w:pos="8640"/>
            </w:tabs>
            <w:spacing w:after="80"/>
            <w:rPr>
              <w:b/>
              <w:sz w:val="17"/>
              <w:szCs w:val="17"/>
            </w:rPr>
          </w:pPr>
          <w:r w:rsidRPr="00D64B78">
            <w:rPr>
              <w:b/>
              <w:sz w:val="17"/>
              <w:szCs w:val="17"/>
            </w:rPr>
            <w:t>DP/DCP/</w:t>
          </w:r>
          <w:r>
            <w:rPr>
              <w:b/>
              <w:sz w:val="17"/>
              <w:szCs w:val="17"/>
            </w:rPr>
            <w:t>SSD</w:t>
          </w:r>
          <w:r w:rsidRPr="00D64B78">
            <w:rPr>
              <w:b/>
              <w:sz w:val="17"/>
              <w:szCs w:val="17"/>
            </w:rPr>
            <w:t>/2</w:t>
          </w:r>
        </w:p>
      </w:tc>
      <w:tc>
        <w:tcPr>
          <w:tcW w:w="5047" w:type="dxa"/>
          <w:tcBorders>
            <w:bottom w:val="single" w:sz="4" w:space="0" w:color="auto"/>
          </w:tcBorders>
          <w:vAlign w:val="bottom"/>
        </w:tcPr>
        <w:p w14:paraId="03C67016" w14:textId="77777777" w:rsidR="0024260D" w:rsidRPr="00D64B78" w:rsidRDefault="0024260D" w:rsidP="007A4406">
          <w:pPr>
            <w:widowControl w:val="0"/>
            <w:tabs>
              <w:tab w:val="center" w:pos="4320"/>
              <w:tab w:val="right" w:pos="8640"/>
            </w:tabs>
            <w:rPr>
              <w:sz w:val="17"/>
              <w:szCs w:val="17"/>
            </w:rPr>
          </w:pPr>
        </w:p>
      </w:tc>
    </w:tr>
  </w:tbl>
  <w:p w14:paraId="595FE815" w14:textId="77777777" w:rsidR="0024260D" w:rsidRPr="00944DE8" w:rsidRDefault="0024260D">
    <w:pPr>
      <w:pStyle w:val="Header"/>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5" w:type="dxa"/>
      <w:tblInd w:w="-25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24260D" w:rsidRPr="00D64B78" w14:paraId="75B7B6CD" w14:textId="77777777" w:rsidTr="00517EE4">
      <w:trPr>
        <w:trHeight w:hRule="exact" w:val="864"/>
      </w:trPr>
      <w:tc>
        <w:tcPr>
          <w:tcW w:w="4838" w:type="dxa"/>
          <w:tcBorders>
            <w:bottom w:val="single" w:sz="4" w:space="0" w:color="auto"/>
          </w:tcBorders>
          <w:vAlign w:val="bottom"/>
        </w:tcPr>
        <w:p w14:paraId="61CDDEBB" w14:textId="77777777" w:rsidR="0024260D" w:rsidRPr="00D64B78" w:rsidRDefault="0024260D" w:rsidP="007A4406">
          <w:pPr>
            <w:widowControl w:val="0"/>
            <w:tabs>
              <w:tab w:val="center" w:pos="4320"/>
              <w:tab w:val="right" w:pos="8640"/>
            </w:tabs>
            <w:spacing w:after="80"/>
            <w:rPr>
              <w:b/>
              <w:sz w:val="17"/>
              <w:szCs w:val="17"/>
            </w:rPr>
          </w:pPr>
        </w:p>
      </w:tc>
      <w:tc>
        <w:tcPr>
          <w:tcW w:w="5047" w:type="dxa"/>
          <w:tcBorders>
            <w:bottom w:val="single" w:sz="4" w:space="0" w:color="auto"/>
          </w:tcBorders>
          <w:vAlign w:val="bottom"/>
        </w:tcPr>
        <w:p w14:paraId="31E69390" w14:textId="52557BF8" w:rsidR="0024260D" w:rsidRPr="00D64B78" w:rsidRDefault="0024260D" w:rsidP="00517EE4">
          <w:pPr>
            <w:widowControl w:val="0"/>
            <w:tabs>
              <w:tab w:val="center" w:pos="4320"/>
              <w:tab w:val="right" w:pos="8640"/>
            </w:tabs>
            <w:jc w:val="right"/>
            <w:rPr>
              <w:sz w:val="17"/>
              <w:szCs w:val="17"/>
            </w:rPr>
          </w:pPr>
          <w:r w:rsidRPr="00D64B78">
            <w:rPr>
              <w:b/>
              <w:sz w:val="17"/>
              <w:szCs w:val="17"/>
            </w:rPr>
            <w:t>DP/DCP/</w:t>
          </w:r>
          <w:r>
            <w:rPr>
              <w:b/>
              <w:sz w:val="17"/>
              <w:szCs w:val="17"/>
            </w:rPr>
            <w:t>LKA</w:t>
          </w:r>
          <w:r w:rsidRPr="00D64B78">
            <w:rPr>
              <w:b/>
              <w:sz w:val="17"/>
              <w:szCs w:val="17"/>
            </w:rPr>
            <w:t>/</w:t>
          </w:r>
          <w:r>
            <w:rPr>
              <w:b/>
              <w:sz w:val="17"/>
              <w:szCs w:val="17"/>
            </w:rPr>
            <w:t>3</w:t>
          </w:r>
        </w:p>
      </w:tc>
    </w:tr>
  </w:tbl>
  <w:p w14:paraId="23ECDF38" w14:textId="77777777" w:rsidR="0024260D" w:rsidRDefault="0024260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24260D" w:rsidRPr="006A7669" w14:paraId="22FEFDF9" w14:textId="77777777" w:rsidTr="007A4406">
      <w:trPr>
        <w:trHeight w:hRule="exact" w:val="864"/>
      </w:trPr>
      <w:tc>
        <w:tcPr>
          <w:tcW w:w="1267" w:type="dxa"/>
          <w:tcBorders>
            <w:bottom w:val="single" w:sz="4" w:space="0" w:color="auto"/>
          </w:tcBorders>
          <w:shd w:val="clear" w:color="auto" w:fill="auto"/>
          <w:vAlign w:val="bottom"/>
        </w:tcPr>
        <w:p w14:paraId="17E563A8" w14:textId="77777777" w:rsidR="0024260D" w:rsidRPr="006A7669" w:rsidRDefault="0024260D" w:rsidP="007A4406">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14:paraId="562CEDFC" w14:textId="77777777" w:rsidR="0024260D" w:rsidRPr="006A7669" w:rsidRDefault="0024260D" w:rsidP="007A440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rPr>
          </w:pPr>
          <w:r w:rsidRPr="006A7669">
            <w:rPr>
              <w:spacing w:val="2"/>
              <w:w w:val="96"/>
              <w:kern w:val="14"/>
              <w:sz w:val="28"/>
            </w:rPr>
            <w:t>United Nations</w:t>
          </w:r>
        </w:p>
      </w:tc>
      <w:tc>
        <w:tcPr>
          <w:tcW w:w="245" w:type="dxa"/>
          <w:tcBorders>
            <w:bottom w:val="single" w:sz="4" w:space="0" w:color="auto"/>
          </w:tcBorders>
          <w:shd w:val="clear" w:color="auto" w:fill="auto"/>
          <w:vAlign w:val="bottom"/>
        </w:tcPr>
        <w:p w14:paraId="14B2C11B" w14:textId="77777777" w:rsidR="0024260D" w:rsidRPr="006A7669" w:rsidRDefault="0024260D" w:rsidP="007A4406">
          <w:pPr>
            <w:tabs>
              <w:tab w:val="center" w:pos="4320"/>
              <w:tab w:val="right" w:pos="8640"/>
            </w:tabs>
            <w:spacing w:after="120"/>
            <w:rPr>
              <w:noProof/>
              <w:sz w:val="17"/>
            </w:rPr>
          </w:pPr>
        </w:p>
      </w:tc>
      <w:tc>
        <w:tcPr>
          <w:tcW w:w="6523" w:type="dxa"/>
          <w:gridSpan w:val="4"/>
          <w:tcBorders>
            <w:bottom w:val="single" w:sz="4" w:space="0" w:color="auto"/>
          </w:tcBorders>
          <w:shd w:val="clear" w:color="auto" w:fill="auto"/>
          <w:vAlign w:val="bottom"/>
        </w:tcPr>
        <w:p w14:paraId="28A6D325" w14:textId="77777777" w:rsidR="0024260D" w:rsidRPr="006A7669" w:rsidRDefault="0024260D" w:rsidP="007A4406">
          <w:pPr>
            <w:suppressAutoHyphens/>
            <w:spacing w:after="80"/>
            <w:jc w:val="right"/>
            <w:rPr>
              <w:spacing w:val="4"/>
              <w:w w:val="103"/>
              <w:kern w:val="14"/>
              <w:position w:val="-4"/>
            </w:rPr>
          </w:pPr>
          <w:r w:rsidRPr="006A7669">
            <w:rPr>
              <w:spacing w:val="4"/>
              <w:w w:val="103"/>
              <w:kern w:val="14"/>
              <w:position w:val="-4"/>
              <w:sz w:val="40"/>
            </w:rPr>
            <w:t>DP</w:t>
          </w:r>
          <w:r w:rsidRPr="006A7669">
            <w:rPr>
              <w:spacing w:val="4"/>
              <w:w w:val="103"/>
              <w:kern w:val="14"/>
              <w:position w:val="-4"/>
            </w:rPr>
            <w:t>/DCP/</w:t>
          </w:r>
          <w:r>
            <w:rPr>
              <w:spacing w:val="4"/>
              <w:w w:val="103"/>
              <w:kern w:val="14"/>
              <w:position w:val="-4"/>
            </w:rPr>
            <w:t>MOZ</w:t>
          </w:r>
          <w:r w:rsidRPr="006A7669">
            <w:rPr>
              <w:spacing w:val="4"/>
              <w:w w:val="103"/>
              <w:kern w:val="14"/>
              <w:position w:val="-4"/>
            </w:rPr>
            <w:t>/</w:t>
          </w:r>
          <w:r>
            <w:rPr>
              <w:spacing w:val="4"/>
              <w:w w:val="103"/>
              <w:kern w:val="14"/>
              <w:position w:val="-4"/>
            </w:rPr>
            <w:t>3</w:t>
          </w:r>
        </w:p>
      </w:tc>
    </w:tr>
    <w:tr w:rsidR="0024260D" w:rsidRPr="006A7669" w14:paraId="7C3FE607" w14:textId="77777777" w:rsidTr="007A4406">
      <w:trPr>
        <w:gridAfter w:val="1"/>
        <w:wAfter w:w="28" w:type="dxa"/>
        <w:trHeight w:hRule="exact" w:val="2880"/>
      </w:trPr>
      <w:tc>
        <w:tcPr>
          <w:tcW w:w="1267" w:type="dxa"/>
          <w:tcBorders>
            <w:top w:val="single" w:sz="4" w:space="0" w:color="auto"/>
            <w:bottom w:val="single" w:sz="12" w:space="0" w:color="auto"/>
          </w:tcBorders>
          <w:shd w:val="clear" w:color="auto" w:fill="auto"/>
        </w:tcPr>
        <w:p w14:paraId="2B61F088" w14:textId="77777777" w:rsidR="0024260D" w:rsidRPr="006A7669" w:rsidRDefault="0024260D" w:rsidP="007A4406">
          <w:pPr>
            <w:tabs>
              <w:tab w:val="center" w:pos="4320"/>
              <w:tab w:val="right" w:pos="8640"/>
            </w:tabs>
            <w:spacing w:before="109"/>
            <w:rPr>
              <w:noProof/>
              <w:sz w:val="17"/>
            </w:rPr>
          </w:pPr>
          <w:r w:rsidRPr="006A7669">
            <w:rPr>
              <w:noProof/>
              <w:sz w:val="17"/>
            </w:rPr>
            <w:t xml:space="preserve"> </w:t>
          </w:r>
          <w:r w:rsidRPr="006A7669">
            <w:rPr>
              <w:noProof/>
              <w:sz w:val="17"/>
              <w:lang w:val="en-US"/>
            </w:rPr>
            <w:drawing>
              <wp:inline distT="0" distB="0" distL="0" distR="0" wp14:anchorId="23CAE3F0" wp14:editId="39972D47">
                <wp:extent cx="702945" cy="592455"/>
                <wp:effectExtent l="0" t="0" r="1905" b="0"/>
                <wp:docPr id="5" name="Picture 5"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92455"/>
                        </a:xfrm>
                        <a:prstGeom prst="rect">
                          <a:avLst/>
                        </a:prstGeom>
                        <a:noFill/>
                        <a:ln>
                          <a:noFill/>
                        </a:ln>
                      </pic:spPr>
                    </pic:pic>
                  </a:graphicData>
                </a:graphic>
              </wp:inline>
            </w:drawing>
          </w:r>
        </w:p>
        <w:p w14:paraId="67555849" w14:textId="77777777" w:rsidR="0024260D" w:rsidRPr="006A7669" w:rsidRDefault="0024260D" w:rsidP="007A4406">
          <w:pPr>
            <w:tabs>
              <w:tab w:val="center" w:pos="4320"/>
              <w:tab w:val="right" w:pos="8640"/>
            </w:tabs>
            <w:spacing w:before="109"/>
            <w:rPr>
              <w:noProof/>
              <w:sz w:val="17"/>
            </w:rPr>
          </w:pPr>
        </w:p>
      </w:tc>
      <w:tc>
        <w:tcPr>
          <w:tcW w:w="5227" w:type="dxa"/>
          <w:gridSpan w:val="3"/>
          <w:tcBorders>
            <w:top w:val="single" w:sz="4" w:space="0" w:color="auto"/>
            <w:bottom w:val="single" w:sz="12" w:space="0" w:color="auto"/>
          </w:tcBorders>
          <w:shd w:val="clear" w:color="auto" w:fill="auto"/>
        </w:tcPr>
        <w:p w14:paraId="5028E247" w14:textId="77777777" w:rsidR="0024260D" w:rsidRDefault="0024260D" w:rsidP="007A440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outlineLvl w:val="0"/>
            <w:rPr>
              <w:b/>
              <w:sz w:val="34"/>
            </w:rPr>
          </w:pPr>
          <w:r w:rsidRPr="006A7669">
            <w:rPr>
              <w:b/>
              <w:sz w:val="34"/>
            </w:rPr>
            <w:t>Executive Board of the</w:t>
          </w:r>
          <w:r w:rsidRPr="006A7669">
            <w:rPr>
              <w:b/>
              <w:sz w:val="34"/>
            </w:rPr>
            <w:br/>
            <w:t>United Nations Development</w:t>
          </w:r>
          <w:r w:rsidRPr="006A7669">
            <w:rPr>
              <w:b/>
              <w:sz w:val="34"/>
            </w:rPr>
            <w:br/>
            <w:t xml:space="preserve">Programme, the United Nations Population Fund and the </w:t>
          </w:r>
        </w:p>
        <w:p w14:paraId="4B7D9E00" w14:textId="77777777" w:rsidR="0024260D" w:rsidRDefault="0024260D" w:rsidP="007A440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sz w:val="34"/>
            </w:rPr>
          </w:pPr>
          <w:r w:rsidRPr="006A7669">
            <w:rPr>
              <w:b/>
              <w:sz w:val="34"/>
            </w:rPr>
            <w:t xml:space="preserve">United Nations Office for </w:t>
          </w:r>
        </w:p>
        <w:p w14:paraId="2D234888" w14:textId="77777777" w:rsidR="0024260D" w:rsidRPr="006A7669" w:rsidRDefault="0024260D" w:rsidP="007A440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spacing w:val="-4"/>
              <w:w w:val="98"/>
              <w:kern w:val="14"/>
              <w:sz w:val="34"/>
            </w:rPr>
          </w:pPr>
          <w:r w:rsidRPr="006A7669">
            <w:rPr>
              <w:b/>
              <w:sz w:val="34"/>
            </w:rPr>
            <w:t>Project Services</w:t>
          </w:r>
        </w:p>
      </w:tc>
      <w:tc>
        <w:tcPr>
          <w:tcW w:w="245" w:type="dxa"/>
          <w:tcBorders>
            <w:top w:val="single" w:sz="4" w:space="0" w:color="auto"/>
            <w:bottom w:val="single" w:sz="12" w:space="0" w:color="auto"/>
          </w:tcBorders>
          <w:shd w:val="clear" w:color="auto" w:fill="auto"/>
        </w:tcPr>
        <w:p w14:paraId="3DA25DC7" w14:textId="77777777" w:rsidR="0024260D" w:rsidRPr="006A7669" w:rsidRDefault="0024260D" w:rsidP="007A4406">
          <w:pPr>
            <w:tabs>
              <w:tab w:val="center" w:pos="4320"/>
              <w:tab w:val="right" w:pos="8640"/>
            </w:tabs>
            <w:spacing w:before="109"/>
            <w:rPr>
              <w:noProof/>
              <w:sz w:val="17"/>
            </w:rPr>
          </w:pPr>
        </w:p>
      </w:tc>
      <w:tc>
        <w:tcPr>
          <w:tcW w:w="3140" w:type="dxa"/>
          <w:tcBorders>
            <w:top w:val="single" w:sz="4" w:space="0" w:color="auto"/>
            <w:bottom w:val="single" w:sz="12" w:space="0" w:color="auto"/>
          </w:tcBorders>
          <w:shd w:val="clear" w:color="auto" w:fill="auto"/>
        </w:tcPr>
        <w:p w14:paraId="18F46301" w14:textId="77777777" w:rsidR="0024260D" w:rsidRPr="006A7669" w:rsidRDefault="0024260D" w:rsidP="007A4406">
          <w:pPr>
            <w:suppressAutoHyphens/>
            <w:spacing w:before="240" w:line="240" w:lineRule="exact"/>
            <w:rPr>
              <w:spacing w:val="4"/>
              <w:w w:val="103"/>
              <w:kern w:val="14"/>
            </w:rPr>
          </w:pPr>
          <w:r w:rsidRPr="006A7669">
            <w:rPr>
              <w:spacing w:val="4"/>
              <w:w w:val="103"/>
              <w:kern w:val="14"/>
            </w:rPr>
            <w:t>Distr.: General</w:t>
          </w:r>
        </w:p>
        <w:p w14:paraId="7286CA51" w14:textId="77777777" w:rsidR="0024260D" w:rsidRPr="006A7669" w:rsidRDefault="0024260D" w:rsidP="007A4406">
          <w:pPr>
            <w:suppressAutoHyphens/>
            <w:spacing w:line="240" w:lineRule="exact"/>
            <w:rPr>
              <w:spacing w:val="4"/>
              <w:w w:val="103"/>
              <w:kern w:val="14"/>
            </w:rPr>
          </w:pPr>
          <w:r>
            <w:rPr>
              <w:spacing w:val="4"/>
              <w:w w:val="103"/>
              <w:kern w:val="14"/>
            </w:rPr>
            <w:t>x</w:t>
          </w:r>
          <w:r w:rsidRPr="006A7669">
            <w:rPr>
              <w:spacing w:val="4"/>
              <w:w w:val="103"/>
              <w:kern w:val="14"/>
            </w:rPr>
            <w:t xml:space="preserve"> </w:t>
          </w:r>
          <w:r>
            <w:rPr>
              <w:spacing w:val="4"/>
              <w:w w:val="103"/>
              <w:kern w:val="14"/>
            </w:rPr>
            <w:t>April 2016</w:t>
          </w:r>
        </w:p>
        <w:p w14:paraId="380C8508" w14:textId="77777777" w:rsidR="0024260D" w:rsidRPr="006A7669" w:rsidRDefault="0024260D" w:rsidP="007A4406">
          <w:pPr>
            <w:suppressAutoHyphens/>
            <w:spacing w:line="240" w:lineRule="exact"/>
            <w:rPr>
              <w:spacing w:val="4"/>
              <w:w w:val="103"/>
              <w:kern w:val="14"/>
            </w:rPr>
          </w:pPr>
        </w:p>
        <w:p w14:paraId="53584445" w14:textId="77777777" w:rsidR="0024260D" w:rsidRPr="006A7669" w:rsidRDefault="0024260D" w:rsidP="007A4406">
          <w:pPr>
            <w:suppressAutoHyphens/>
            <w:spacing w:line="240" w:lineRule="exact"/>
            <w:rPr>
              <w:spacing w:val="4"/>
              <w:w w:val="103"/>
              <w:kern w:val="14"/>
            </w:rPr>
          </w:pPr>
          <w:r w:rsidRPr="006A7669">
            <w:rPr>
              <w:spacing w:val="4"/>
              <w:w w:val="103"/>
              <w:kern w:val="14"/>
            </w:rPr>
            <w:t>Original: English</w:t>
          </w:r>
        </w:p>
      </w:tc>
    </w:tr>
  </w:tbl>
  <w:p w14:paraId="3A688804" w14:textId="77777777" w:rsidR="0024260D" w:rsidRPr="00ED7FBC" w:rsidRDefault="0024260D">
    <w:pPr>
      <w:pStyle w:val="Header"/>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71"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24260D" w:rsidRPr="000B4BE2" w14:paraId="0F977BAA" w14:textId="77777777" w:rsidTr="007A4406">
      <w:trPr>
        <w:trHeight w:hRule="exact" w:val="864"/>
      </w:trPr>
      <w:tc>
        <w:tcPr>
          <w:tcW w:w="4838" w:type="dxa"/>
          <w:shd w:val="clear" w:color="auto" w:fill="auto"/>
          <w:vAlign w:val="bottom"/>
        </w:tcPr>
        <w:p w14:paraId="6AF5870B" w14:textId="1ECFD4A1" w:rsidR="0024260D" w:rsidRPr="000B4BE2" w:rsidRDefault="0024260D" w:rsidP="00517EE4">
          <w:pPr>
            <w:tabs>
              <w:tab w:val="center" w:pos="4320"/>
              <w:tab w:val="right" w:pos="8640"/>
            </w:tabs>
            <w:spacing w:after="80"/>
            <w:rPr>
              <w:b/>
              <w:noProof/>
              <w:sz w:val="17"/>
              <w:szCs w:val="20"/>
              <w:lang w:val="en-US"/>
            </w:rPr>
          </w:pPr>
          <w:r w:rsidRPr="000B4BE2">
            <w:rPr>
              <w:b/>
              <w:noProof/>
              <w:sz w:val="17"/>
              <w:szCs w:val="20"/>
              <w:lang w:val="en-US"/>
            </w:rPr>
            <w:t>D</w:t>
          </w:r>
          <w:r>
            <w:rPr>
              <w:b/>
              <w:noProof/>
              <w:sz w:val="17"/>
              <w:szCs w:val="20"/>
              <w:lang w:val="en-US"/>
            </w:rPr>
            <w:t>P/DCP/LKA/3</w:t>
          </w:r>
        </w:p>
      </w:tc>
      <w:tc>
        <w:tcPr>
          <w:tcW w:w="5033" w:type="dxa"/>
          <w:shd w:val="clear" w:color="auto" w:fill="auto"/>
          <w:vAlign w:val="bottom"/>
        </w:tcPr>
        <w:p w14:paraId="684A9087" w14:textId="77777777" w:rsidR="0024260D" w:rsidRPr="000B4BE2" w:rsidRDefault="0024260D" w:rsidP="000B4BE2">
          <w:pPr>
            <w:tabs>
              <w:tab w:val="center" w:pos="4320"/>
              <w:tab w:val="right" w:pos="8640"/>
            </w:tabs>
            <w:jc w:val="right"/>
            <w:rPr>
              <w:noProof/>
              <w:sz w:val="17"/>
              <w:szCs w:val="20"/>
              <w:lang w:val="en-US"/>
            </w:rPr>
          </w:pPr>
        </w:p>
      </w:tc>
    </w:tr>
  </w:tbl>
  <w:p w14:paraId="416FDC75" w14:textId="77777777" w:rsidR="0024260D" w:rsidRPr="00517EE4" w:rsidRDefault="0024260D">
    <w:pPr>
      <w:pStyle w:val="Header"/>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4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8572"/>
    </w:tblGrid>
    <w:tr w:rsidR="0024260D" w:rsidRPr="000B4BE2" w14:paraId="67A5C5C9" w14:textId="77777777" w:rsidTr="00F55B96">
      <w:trPr>
        <w:trHeight w:hRule="exact" w:val="864"/>
      </w:trPr>
      <w:tc>
        <w:tcPr>
          <w:tcW w:w="4838" w:type="dxa"/>
          <w:shd w:val="clear" w:color="auto" w:fill="auto"/>
          <w:vAlign w:val="bottom"/>
        </w:tcPr>
        <w:p w14:paraId="13D801A9" w14:textId="559B306B" w:rsidR="0024260D" w:rsidRPr="000B4BE2" w:rsidRDefault="0024260D" w:rsidP="00517EE4">
          <w:pPr>
            <w:tabs>
              <w:tab w:val="center" w:pos="4320"/>
              <w:tab w:val="right" w:pos="8640"/>
            </w:tabs>
            <w:spacing w:after="80"/>
            <w:rPr>
              <w:b/>
              <w:noProof/>
              <w:sz w:val="17"/>
              <w:szCs w:val="20"/>
              <w:lang w:val="en-US"/>
            </w:rPr>
          </w:pPr>
          <w:r w:rsidRPr="000B4BE2">
            <w:rPr>
              <w:b/>
              <w:noProof/>
              <w:sz w:val="17"/>
              <w:szCs w:val="20"/>
              <w:lang w:val="en-US"/>
            </w:rPr>
            <w:t>D</w:t>
          </w:r>
          <w:r>
            <w:rPr>
              <w:b/>
              <w:noProof/>
              <w:sz w:val="17"/>
              <w:szCs w:val="20"/>
              <w:lang w:val="en-US"/>
            </w:rPr>
            <w:t>P/DCP/LKA/3</w:t>
          </w:r>
        </w:p>
      </w:tc>
      <w:tc>
        <w:tcPr>
          <w:tcW w:w="8572" w:type="dxa"/>
          <w:shd w:val="clear" w:color="auto" w:fill="auto"/>
          <w:vAlign w:val="bottom"/>
        </w:tcPr>
        <w:p w14:paraId="60C45961" w14:textId="77777777" w:rsidR="0024260D" w:rsidRPr="000B4BE2" w:rsidRDefault="0024260D" w:rsidP="00F55B96">
          <w:pPr>
            <w:tabs>
              <w:tab w:val="center" w:pos="4320"/>
              <w:tab w:val="right" w:pos="8640"/>
            </w:tabs>
            <w:ind w:right="-2700"/>
            <w:jc w:val="right"/>
            <w:rPr>
              <w:noProof/>
              <w:sz w:val="17"/>
              <w:szCs w:val="20"/>
              <w:lang w:val="en-US"/>
            </w:rPr>
          </w:pPr>
        </w:p>
      </w:tc>
    </w:tr>
  </w:tbl>
  <w:p w14:paraId="5DA1B145" w14:textId="77777777" w:rsidR="0024260D" w:rsidRDefault="0024260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572"/>
    </w:tblGrid>
    <w:tr w:rsidR="0024260D" w:rsidRPr="00D64B78" w14:paraId="77A7E365" w14:textId="77777777" w:rsidTr="00477ECA">
      <w:trPr>
        <w:trHeight w:hRule="exact" w:val="864"/>
      </w:trPr>
      <w:tc>
        <w:tcPr>
          <w:tcW w:w="4838" w:type="dxa"/>
          <w:tcBorders>
            <w:bottom w:val="single" w:sz="4" w:space="0" w:color="auto"/>
          </w:tcBorders>
          <w:vAlign w:val="bottom"/>
        </w:tcPr>
        <w:p w14:paraId="5842C919" w14:textId="77777777" w:rsidR="0024260D" w:rsidRPr="00D64B78" w:rsidRDefault="0024260D" w:rsidP="007A4406">
          <w:pPr>
            <w:widowControl w:val="0"/>
            <w:tabs>
              <w:tab w:val="center" w:pos="4320"/>
              <w:tab w:val="right" w:pos="8640"/>
            </w:tabs>
            <w:spacing w:after="80"/>
            <w:rPr>
              <w:b/>
              <w:sz w:val="17"/>
              <w:szCs w:val="17"/>
            </w:rPr>
          </w:pPr>
        </w:p>
      </w:tc>
      <w:tc>
        <w:tcPr>
          <w:tcW w:w="8572" w:type="dxa"/>
          <w:tcBorders>
            <w:bottom w:val="single" w:sz="4" w:space="0" w:color="auto"/>
          </w:tcBorders>
          <w:vAlign w:val="bottom"/>
        </w:tcPr>
        <w:p w14:paraId="1529978E" w14:textId="66BB1BFD" w:rsidR="0024260D" w:rsidRPr="00D64B78" w:rsidRDefault="0024260D" w:rsidP="00517EE4">
          <w:pPr>
            <w:widowControl w:val="0"/>
            <w:tabs>
              <w:tab w:val="center" w:pos="4320"/>
              <w:tab w:val="right" w:pos="8640"/>
            </w:tabs>
            <w:jc w:val="right"/>
            <w:rPr>
              <w:sz w:val="17"/>
              <w:szCs w:val="17"/>
            </w:rPr>
          </w:pPr>
          <w:r w:rsidRPr="00D64B78">
            <w:rPr>
              <w:b/>
              <w:sz w:val="17"/>
              <w:szCs w:val="17"/>
            </w:rPr>
            <w:t>DP/DCP/</w:t>
          </w:r>
          <w:r>
            <w:rPr>
              <w:b/>
              <w:sz w:val="17"/>
              <w:szCs w:val="17"/>
            </w:rPr>
            <w:t>LKA</w:t>
          </w:r>
          <w:r w:rsidRPr="00D64B78">
            <w:rPr>
              <w:b/>
              <w:sz w:val="17"/>
              <w:szCs w:val="17"/>
            </w:rPr>
            <w:t>/</w:t>
          </w:r>
          <w:r>
            <w:rPr>
              <w:b/>
              <w:sz w:val="17"/>
              <w:szCs w:val="17"/>
            </w:rPr>
            <w:t>3</w:t>
          </w:r>
        </w:p>
      </w:tc>
    </w:tr>
  </w:tbl>
  <w:p w14:paraId="7ECB9E76" w14:textId="77777777" w:rsidR="0024260D" w:rsidRDefault="0024260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58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8742"/>
    </w:tblGrid>
    <w:tr w:rsidR="0024260D" w:rsidRPr="000B4BE2" w14:paraId="3931D10E" w14:textId="77777777" w:rsidTr="00477ECA">
      <w:trPr>
        <w:trHeight w:hRule="exact" w:val="864"/>
      </w:trPr>
      <w:tc>
        <w:tcPr>
          <w:tcW w:w="4838" w:type="dxa"/>
          <w:shd w:val="clear" w:color="auto" w:fill="auto"/>
          <w:vAlign w:val="bottom"/>
        </w:tcPr>
        <w:p w14:paraId="45F0AE14" w14:textId="6436DE4B" w:rsidR="0024260D" w:rsidRPr="000B4BE2" w:rsidRDefault="0024260D" w:rsidP="00517EE4">
          <w:pPr>
            <w:tabs>
              <w:tab w:val="center" w:pos="4320"/>
              <w:tab w:val="right" w:pos="8640"/>
            </w:tabs>
            <w:spacing w:after="80"/>
            <w:rPr>
              <w:b/>
              <w:noProof/>
              <w:sz w:val="17"/>
              <w:szCs w:val="20"/>
              <w:lang w:val="en-US"/>
            </w:rPr>
          </w:pPr>
          <w:r w:rsidRPr="000B4BE2">
            <w:rPr>
              <w:b/>
              <w:noProof/>
              <w:sz w:val="17"/>
              <w:szCs w:val="20"/>
              <w:lang w:val="en-US"/>
            </w:rPr>
            <w:t>D</w:t>
          </w:r>
          <w:r>
            <w:rPr>
              <w:b/>
              <w:noProof/>
              <w:sz w:val="17"/>
              <w:szCs w:val="20"/>
              <w:lang w:val="en-US"/>
            </w:rPr>
            <w:t>P/DCP/LKA/3</w:t>
          </w:r>
        </w:p>
      </w:tc>
      <w:tc>
        <w:tcPr>
          <w:tcW w:w="8742" w:type="dxa"/>
          <w:shd w:val="clear" w:color="auto" w:fill="auto"/>
          <w:vAlign w:val="bottom"/>
        </w:tcPr>
        <w:p w14:paraId="3D532150" w14:textId="77777777" w:rsidR="0024260D" w:rsidRPr="000B4BE2" w:rsidRDefault="0024260D" w:rsidP="000B4BE2">
          <w:pPr>
            <w:tabs>
              <w:tab w:val="center" w:pos="4320"/>
              <w:tab w:val="right" w:pos="8640"/>
            </w:tabs>
            <w:jc w:val="right"/>
            <w:rPr>
              <w:noProof/>
              <w:sz w:val="17"/>
              <w:szCs w:val="20"/>
              <w:lang w:val="en-US"/>
            </w:rPr>
          </w:pPr>
        </w:p>
      </w:tc>
    </w:tr>
  </w:tbl>
  <w:p w14:paraId="472DDB81" w14:textId="77777777" w:rsidR="0024260D" w:rsidRDefault="002426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97F35"/>
    <w:multiLevelType w:val="hybridMultilevel"/>
    <w:tmpl w:val="B73E5BB2"/>
    <w:lvl w:ilvl="0" w:tplc="309AE988">
      <w:start w:val="1"/>
      <w:numFmt w:val="upperRoman"/>
      <w:lvlText w:val="%1."/>
      <w:lvlJc w:val="left"/>
      <w:pPr>
        <w:ind w:left="3330" w:hanging="72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 w15:restartNumberingAfterBreak="0">
    <w:nsid w:val="078E1299"/>
    <w:multiLevelType w:val="hybridMultilevel"/>
    <w:tmpl w:val="0F86E962"/>
    <w:lvl w:ilvl="0" w:tplc="C45C7E9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A01E19"/>
    <w:multiLevelType w:val="hybridMultilevel"/>
    <w:tmpl w:val="0E1ED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E50A6"/>
    <w:multiLevelType w:val="hybridMultilevel"/>
    <w:tmpl w:val="0F86E962"/>
    <w:lvl w:ilvl="0" w:tplc="C45C7E9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0A36E8"/>
    <w:multiLevelType w:val="hybridMultilevel"/>
    <w:tmpl w:val="36D6314A"/>
    <w:lvl w:ilvl="0" w:tplc="4DBEF5BC">
      <w:start w:val="1"/>
      <w:numFmt w:val="bullet"/>
      <w:lvlText w:val="•"/>
      <w:lvlJc w:val="left"/>
      <w:pPr>
        <w:tabs>
          <w:tab w:val="num" w:pos="720"/>
        </w:tabs>
        <w:ind w:left="720" w:hanging="360"/>
      </w:pPr>
      <w:rPr>
        <w:rFonts w:ascii="Arial" w:hAnsi="Arial" w:hint="default"/>
      </w:rPr>
    </w:lvl>
    <w:lvl w:ilvl="1" w:tplc="C50C1068" w:tentative="1">
      <w:start w:val="1"/>
      <w:numFmt w:val="bullet"/>
      <w:lvlText w:val="•"/>
      <w:lvlJc w:val="left"/>
      <w:pPr>
        <w:tabs>
          <w:tab w:val="num" w:pos="1440"/>
        </w:tabs>
        <w:ind w:left="1440" w:hanging="360"/>
      </w:pPr>
      <w:rPr>
        <w:rFonts w:ascii="Arial" w:hAnsi="Arial" w:hint="default"/>
      </w:rPr>
    </w:lvl>
    <w:lvl w:ilvl="2" w:tplc="BF4C475C" w:tentative="1">
      <w:start w:val="1"/>
      <w:numFmt w:val="bullet"/>
      <w:lvlText w:val="•"/>
      <w:lvlJc w:val="left"/>
      <w:pPr>
        <w:tabs>
          <w:tab w:val="num" w:pos="2160"/>
        </w:tabs>
        <w:ind w:left="2160" w:hanging="360"/>
      </w:pPr>
      <w:rPr>
        <w:rFonts w:ascii="Arial" w:hAnsi="Arial" w:hint="default"/>
      </w:rPr>
    </w:lvl>
    <w:lvl w:ilvl="3" w:tplc="FA38D832" w:tentative="1">
      <w:start w:val="1"/>
      <w:numFmt w:val="bullet"/>
      <w:lvlText w:val="•"/>
      <w:lvlJc w:val="left"/>
      <w:pPr>
        <w:tabs>
          <w:tab w:val="num" w:pos="2880"/>
        </w:tabs>
        <w:ind w:left="2880" w:hanging="360"/>
      </w:pPr>
      <w:rPr>
        <w:rFonts w:ascii="Arial" w:hAnsi="Arial" w:hint="default"/>
      </w:rPr>
    </w:lvl>
    <w:lvl w:ilvl="4" w:tplc="94CA7F7E" w:tentative="1">
      <w:start w:val="1"/>
      <w:numFmt w:val="bullet"/>
      <w:lvlText w:val="•"/>
      <w:lvlJc w:val="left"/>
      <w:pPr>
        <w:tabs>
          <w:tab w:val="num" w:pos="3600"/>
        </w:tabs>
        <w:ind w:left="3600" w:hanging="360"/>
      </w:pPr>
      <w:rPr>
        <w:rFonts w:ascii="Arial" w:hAnsi="Arial" w:hint="default"/>
      </w:rPr>
    </w:lvl>
    <w:lvl w:ilvl="5" w:tplc="8DDE0D38" w:tentative="1">
      <w:start w:val="1"/>
      <w:numFmt w:val="bullet"/>
      <w:lvlText w:val="•"/>
      <w:lvlJc w:val="left"/>
      <w:pPr>
        <w:tabs>
          <w:tab w:val="num" w:pos="4320"/>
        </w:tabs>
        <w:ind w:left="4320" w:hanging="360"/>
      </w:pPr>
      <w:rPr>
        <w:rFonts w:ascii="Arial" w:hAnsi="Arial" w:hint="default"/>
      </w:rPr>
    </w:lvl>
    <w:lvl w:ilvl="6" w:tplc="7808493A" w:tentative="1">
      <w:start w:val="1"/>
      <w:numFmt w:val="bullet"/>
      <w:lvlText w:val="•"/>
      <w:lvlJc w:val="left"/>
      <w:pPr>
        <w:tabs>
          <w:tab w:val="num" w:pos="5040"/>
        </w:tabs>
        <w:ind w:left="5040" w:hanging="360"/>
      </w:pPr>
      <w:rPr>
        <w:rFonts w:ascii="Arial" w:hAnsi="Arial" w:hint="default"/>
      </w:rPr>
    </w:lvl>
    <w:lvl w:ilvl="7" w:tplc="BAF82AEE" w:tentative="1">
      <w:start w:val="1"/>
      <w:numFmt w:val="bullet"/>
      <w:lvlText w:val="•"/>
      <w:lvlJc w:val="left"/>
      <w:pPr>
        <w:tabs>
          <w:tab w:val="num" w:pos="5760"/>
        </w:tabs>
        <w:ind w:left="5760" w:hanging="360"/>
      </w:pPr>
      <w:rPr>
        <w:rFonts w:ascii="Arial" w:hAnsi="Arial" w:hint="default"/>
      </w:rPr>
    </w:lvl>
    <w:lvl w:ilvl="8" w:tplc="4E80166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D51FE6"/>
    <w:multiLevelType w:val="hybridMultilevel"/>
    <w:tmpl w:val="D4184570"/>
    <w:lvl w:ilvl="0" w:tplc="04090013">
      <w:start w:val="1"/>
      <w:numFmt w:val="upp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267D3C"/>
    <w:multiLevelType w:val="hybridMultilevel"/>
    <w:tmpl w:val="9B3E127A"/>
    <w:lvl w:ilvl="0" w:tplc="46C44F84">
      <w:start w:val="1"/>
      <w:numFmt w:val="decimal"/>
      <w:lvlText w:val="%1."/>
      <w:lvlJc w:val="left"/>
      <w:pPr>
        <w:ind w:left="720" w:hanging="360"/>
      </w:pPr>
      <w:rPr>
        <w:rFonts w:ascii="Times New Roman" w:eastAsia="Times New Roman" w:hAnsi="Times New Roman" w:cs="Times New Roman"/>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145FE7"/>
    <w:multiLevelType w:val="hybridMultilevel"/>
    <w:tmpl w:val="FB6602D6"/>
    <w:lvl w:ilvl="0" w:tplc="04090015">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15:restartNumberingAfterBreak="0">
    <w:nsid w:val="1C186F09"/>
    <w:multiLevelType w:val="hybridMultilevel"/>
    <w:tmpl w:val="A02E9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7E0C55"/>
    <w:multiLevelType w:val="hybridMultilevel"/>
    <w:tmpl w:val="78BEA480"/>
    <w:lvl w:ilvl="0" w:tplc="04090001">
      <w:start w:val="1"/>
      <w:numFmt w:val="bullet"/>
      <w:lvlText w:val=""/>
      <w:lvlJc w:val="left"/>
      <w:pPr>
        <w:ind w:left="391" w:hanging="360"/>
      </w:pPr>
      <w:rPr>
        <w:rFonts w:ascii="Symbol" w:hAnsi="Symbol" w:hint="default"/>
      </w:rPr>
    </w:lvl>
    <w:lvl w:ilvl="1" w:tplc="04090003" w:tentative="1">
      <w:start w:val="1"/>
      <w:numFmt w:val="bullet"/>
      <w:lvlText w:val="o"/>
      <w:lvlJc w:val="left"/>
      <w:pPr>
        <w:ind w:left="1111" w:hanging="360"/>
      </w:pPr>
      <w:rPr>
        <w:rFonts w:ascii="Courier New" w:hAnsi="Courier New" w:cs="Courier New" w:hint="default"/>
      </w:rPr>
    </w:lvl>
    <w:lvl w:ilvl="2" w:tplc="04090005" w:tentative="1">
      <w:start w:val="1"/>
      <w:numFmt w:val="bullet"/>
      <w:lvlText w:val=""/>
      <w:lvlJc w:val="left"/>
      <w:pPr>
        <w:ind w:left="1831" w:hanging="360"/>
      </w:pPr>
      <w:rPr>
        <w:rFonts w:ascii="Wingdings" w:hAnsi="Wingdings" w:hint="default"/>
      </w:rPr>
    </w:lvl>
    <w:lvl w:ilvl="3" w:tplc="04090001" w:tentative="1">
      <w:start w:val="1"/>
      <w:numFmt w:val="bullet"/>
      <w:lvlText w:val=""/>
      <w:lvlJc w:val="left"/>
      <w:pPr>
        <w:ind w:left="2551" w:hanging="360"/>
      </w:pPr>
      <w:rPr>
        <w:rFonts w:ascii="Symbol" w:hAnsi="Symbol" w:hint="default"/>
      </w:rPr>
    </w:lvl>
    <w:lvl w:ilvl="4" w:tplc="04090003" w:tentative="1">
      <w:start w:val="1"/>
      <w:numFmt w:val="bullet"/>
      <w:lvlText w:val="o"/>
      <w:lvlJc w:val="left"/>
      <w:pPr>
        <w:ind w:left="3271" w:hanging="360"/>
      </w:pPr>
      <w:rPr>
        <w:rFonts w:ascii="Courier New" w:hAnsi="Courier New" w:cs="Courier New" w:hint="default"/>
      </w:rPr>
    </w:lvl>
    <w:lvl w:ilvl="5" w:tplc="04090005" w:tentative="1">
      <w:start w:val="1"/>
      <w:numFmt w:val="bullet"/>
      <w:lvlText w:val=""/>
      <w:lvlJc w:val="left"/>
      <w:pPr>
        <w:ind w:left="3991" w:hanging="360"/>
      </w:pPr>
      <w:rPr>
        <w:rFonts w:ascii="Wingdings" w:hAnsi="Wingdings" w:hint="default"/>
      </w:rPr>
    </w:lvl>
    <w:lvl w:ilvl="6" w:tplc="04090001" w:tentative="1">
      <w:start w:val="1"/>
      <w:numFmt w:val="bullet"/>
      <w:lvlText w:val=""/>
      <w:lvlJc w:val="left"/>
      <w:pPr>
        <w:ind w:left="4711" w:hanging="360"/>
      </w:pPr>
      <w:rPr>
        <w:rFonts w:ascii="Symbol" w:hAnsi="Symbol" w:hint="default"/>
      </w:rPr>
    </w:lvl>
    <w:lvl w:ilvl="7" w:tplc="04090003" w:tentative="1">
      <w:start w:val="1"/>
      <w:numFmt w:val="bullet"/>
      <w:lvlText w:val="o"/>
      <w:lvlJc w:val="left"/>
      <w:pPr>
        <w:ind w:left="5431" w:hanging="360"/>
      </w:pPr>
      <w:rPr>
        <w:rFonts w:ascii="Courier New" w:hAnsi="Courier New" w:cs="Courier New" w:hint="default"/>
      </w:rPr>
    </w:lvl>
    <w:lvl w:ilvl="8" w:tplc="04090005" w:tentative="1">
      <w:start w:val="1"/>
      <w:numFmt w:val="bullet"/>
      <w:lvlText w:val=""/>
      <w:lvlJc w:val="left"/>
      <w:pPr>
        <w:ind w:left="6151" w:hanging="360"/>
      </w:pPr>
      <w:rPr>
        <w:rFonts w:ascii="Wingdings" w:hAnsi="Wingdings" w:hint="default"/>
      </w:rPr>
    </w:lvl>
  </w:abstractNum>
  <w:abstractNum w:abstractNumId="10" w15:restartNumberingAfterBreak="0">
    <w:nsid w:val="3AE05928"/>
    <w:multiLevelType w:val="hybridMultilevel"/>
    <w:tmpl w:val="0F86E962"/>
    <w:lvl w:ilvl="0" w:tplc="C45C7E92">
      <w:start w:val="1"/>
      <w:numFmt w:val="decimal"/>
      <w:lvlText w:val="%1."/>
      <w:lvlJc w:val="left"/>
      <w:pPr>
        <w:ind w:left="7920" w:hanging="360"/>
      </w:pPr>
      <w:rPr>
        <w:rFonts w:hint="default"/>
        <w:b w:val="0"/>
      </w:rPr>
    </w:lvl>
    <w:lvl w:ilvl="1" w:tplc="04090019" w:tentative="1">
      <w:start w:val="1"/>
      <w:numFmt w:val="lowerLetter"/>
      <w:lvlText w:val="%2."/>
      <w:lvlJc w:val="left"/>
      <w:pPr>
        <w:ind w:left="8640" w:hanging="360"/>
      </w:pPr>
    </w:lvl>
    <w:lvl w:ilvl="2" w:tplc="0409001B" w:tentative="1">
      <w:start w:val="1"/>
      <w:numFmt w:val="lowerRoman"/>
      <w:lvlText w:val="%3."/>
      <w:lvlJc w:val="right"/>
      <w:pPr>
        <w:ind w:left="9360" w:hanging="180"/>
      </w:pPr>
    </w:lvl>
    <w:lvl w:ilvl="3" w:tplc="0409000F" w:tentative="1">
      <w:start w:val="1"/>
      <w:numFmt w:val="decimal"/>
      <w:lvlText w:val="%4."/>
      <w:lvlJc w:val="left"/>
      <w:pPr>
        <w:ind w:left="10080" w:hanging="360"/>
      </w:pPr>
    </w:lvl>
    <w:lvl w:ilvl="4" w:tplc="04090019" w:tentative="1">
      <w:start w:val="1"/>
      <w:numFmt w:val="lowerLetter"/>
      <w:lvlText w:val="%5."/>
      <w:lvlJc w:val="left"/>
      <w:pPr>
        <w:ind w:left="10800" w:hanging="360"/>
      </w:pPr>
    </w:lvl>
    <w:lvl w:ilvl="5" w:tplc="0409001B" w:tentative="1">
      <w:start w:val="1"/>
      <w:numFmt w:val="lowerRoman"/>
      <w:lvlText w:val="%6."/>
      <w:lvlJc w:val="right"/>
      <w:pPr>
        <w:ind w:left="11520" w:hanging="180"/>
      </w:pPr>
    </w:lvl>
    <w:lvl w:ilvl="6" w:tplc="0409000F" w:tentative="1">
      <w:start w:val="1"/>
      <w:numFmt w:val="decimal"/>
      <w:lvlText w:val="%7."/>
      <w:lvlJc w:val="left"/>
      <w:pPr>
        <w:ind w:left="12240" w:hanging="360"/>
      </w:pPr>
    </w:lvl>
    <w:lvl w:ilvl="7" w:tplc="04090019" w:tentative="1">
      <w:start w:val="1"/>
      <w:numFmt w:val="lowerLetter"/>
      <w:lvlText w:val="%8."/>
      <w:lvlJc w:val="left"/>
      <w:pPr>
        <w:ind w:left="12960" w:hanging="360"/>
      </w:pPr>
    </w:lvl>
    <w:lvl w:ilvl="8" w:tplc="0409001B" w:tentative="1">
      <w:start w:val="1"/>
      <w:numFmt w:val="lowerRoman"/>
      <w:lvlText w:val="%9."/>
      <w:lvlJc w:val="right"/>
      <w:pPr>
        <w:ind w:left="13680" w:hanging="180"/>
      </w:pPr>
    </w:lvl>
  </w:abstractNum>
  <w:abstractNum w:abstractNumId="11" w15:restartNumberingAfterBreak="0">
    <w:nsid w:val="44F05CA2"/>
    <w:multiLevelType w:val="multilevel"/>
    <w:tmpl w:val="A1AA91D4"/>
    <w:lvl w:ilvl="0">
      <w:start w:val="1"/>
      <w:numFmt w:val="decimal"/>
      <w:lvlText w:val="%1."/>
      <w:lvlJc w:val="left"/>
      <w:pPr>
        <w:ind w:left="360" w:hanging="360"/>
      </w:pPr>
      <w:rPr>
        <w:rFonts w:hint="default"/>
        <w:i/>
        <w:color w:val="F79646" w:themeColor="accent6"/>
        <w:sz w:val="22"/>
      </w:rPr>
    </w:lvl>
    <w:lvl w:ilvl="1">
      <w:start w:val="2"/>
      <w:numFmt w:val="decimal"/>
      <w:lvlText w:val="%1.%2."/>
      <w:lvlJc w:val="left"/>
      <w:pPr>
        <w:ind w:left="360" w:hanging="360"/>
      </w:pPr>
      <w:rPr>
        <w:rFonts w:hint="default"/>
        <w:i/>
        <w:color w:val="F79646" w:themeColor="accent6"/>
        <w:sz w:val="22"/>
      </w:rPr>
    </w:lvl>
    <w:lvl w:ilvl="2">
      <w:start w:val="1"/>
      <w:numFmt w:val="decimal"/>
      <w:lvlText w:val="%1.%2.%3."/>
      <w:lvlJc w:val="left"/>
      <w:pPr>
        <w:ind w:left="720" w:hanging="720"/>
      </w:pPr>
      <w:rPr>
        <w:rFonts w:hint="default"/>
        <w:i/>
        <w:color w:val="F79646" w:themeColor="accent6"/>
        <w:sz w:val="22"/>
      </w:rPr>
    </w:lvl>
    <w:lvl w:ilvl="3">
      <w:start w:val="1"/>
      <w:numFmt w:val="decimal"/>
      <w:lvlText w:val="%1.%2.%3.%4."/>
      <w:lvlJc w:val="left"/>
      <w:pPr>
        <w:ind w:left="720" w:hanging="720"/>
      </w:pPr>
      <w:rPr>
        <w:rFonts w:hint="default"/>
        <w:i/>
        <w:color w:val="F79646" w:themeColor="accent6"/>
        <w:sz w:val="22"/>
      </w:rPr>
    </w:lvl>
    <w:lvl w:ilvl="4">
      <w:start w:val="1"/>
      <w:numFmt w:val="decimal"/>
      <w:lvlText w:val="%1.%2.%3.%4.%5."/>
      <w:lvlJc w:val="left"/>
      <w:pPr>
        <w:ind w:left="1080" w:hanging="1080"/>
      </w:pPr>
      <w:rPr>
        <w:rFonts w:hint="default"/>
        <w:i/>
        <w:color w:val="F79646" w:themeColor="accent6"/>
        <w:sz w:val="22"/>
      </w:rPr>
    </w:lvl>
    <w:lvl w:ilvl="5">
      <w:start w:val="1"/>
      <w:numFmt w:val="decimal"/>
      <w:lvlText w:val="%1.%2.%3.%4.%5.%6."/>
      <w:lvlJc w:val="left"/>
      <w:pPr>
        <w:ind w:left="1080" w:hanging="1080"/>
      </w:pPr>
      <w:rPr>
        <w:rFonts w:hint="default"/>
        <w:i/>
        <w:color w:val="F79646" w:themeColor="accent6"/>
        <w:sz w:val="22"/>
      </w:rPr>
    </w:lvl>
    <w:lvl w:ilvl="6">
      <w:start w:val="1"/>
      <w:numFmt w:val="decimal"/>
      <w:lvlText w:val="%1.%2.%3.%4.%5.%6.%7."/>
      <w:lvlJc w:val="left"/>
      <w:pPr>
        <w:ind w:left="1440" w:hanging="1440"/>
      </w:pPr>
      <w:rPr>
        <w:rFonts w:hint="default"/>
        <w:i/>
        <w:color w:val="F79646" w:themeColor="accent6"/>
        <w:sz w:val="22"/>
      </w:rPr>
    </w:lvl>
    <w:lvl w:ilvl="7">
      <w:start w:val="1"/>
      <w:numFmt w:val="decimal"/>
      <w:lvlText w:val="%1.%2.%3.%4.%5.%6.%7.%8."/>
      <w:lvlJc w:val="left"/>
      <w:pPr>
        <w:ind w:left="1440" w:hanging="1440"/>
      </w:pPr>
      <w:rPr>
        <w:rFonts w:hint="default"/>
        <w:i/>
        <w:color w:val="F79646" w:themeColor="accent6"/>
        <w:sz w:val="22"/>
      </w:rPr>
    </w:lvl>
    <w:lvl w:ilvl="8">
      <w:start w:val="1"/>
      <w:numFmt w:val="decimal"/>
      <w:lvlText w:val="%1.%2.%3.%4.%5.%6.%7.%8.%9."/>
      <w:lvlJc w:val="left"/>
      <w:pPr>
        <w:ind w:left="1800" w:hanging="1800"/>
      </w:pPr>
      <w:rPr>
        <w:rFonts w:hint="default"/>
        <w:i/>
        <w:color w:val="F79646" w:themeColor="accent6"/>
        <w:sz w:val="22"/>
      </w:rPr>
    </w:lvl>
  </w:abstractNum>
  <w:abstractNum w:abstractNumId="12"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4C423FA5"/>
    <w:multiLevelType w:val="hybridMultilevel"/>
    <w:tmpl w:val="A8BA5F5C"/>
    <w:lvl w:ilvl="0" w:tplc="0409000F">
      <w:start w:val="1"/>
      <w:numFmt w:val="decimal"/>
      <w:lvlText w:val="%1."/>
      <w:lvlJc w:val="left"/>
      <w:pPr>
        <w:ind w:left="720" w:hanging="360"/>
      </w:p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563745FD"/>
    <w:multiLevelType w:val="hybridMultilevel"/>
    <w:tmpl w:val="3DE26EA2"/>
    <w:lvl w:ilvl="0" w:tplc="04090001">
      <w:start w:val="1"/>
      <w:numFmt w:val="bullet"/>
      <w:lvlText w:val=""/>
      <w:lvlJc w:val="left"/>
      <w:pPr>
        <w:ind w:left="1800" w:hanging="360"/>
      </w:pPr>
      <w:rPr>
        <w:rFonts w:ascii="Symbol" w:hAnsi="Symbol" w:hint="default"/>
      </w:rPr>
    </w:lvl>
    <w:lvl w:ilvl="1" w:tplc="C5562588">
      <w:numFmt w:val="bullet"/>
      <w:lvlText w:val="•"/>
      <w:lvlJc w:val="left"/>
      <w:pPr>
        <w:ind w:left="2520" w:hanging="72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B13E7D"/>
    <w:multiLevelType w:val="hybridMultilevel"/>
    <w:tmpl w:val="0F86E962"/>
    <w:lvl w:ilvl="0" w:tplc="C45C7E9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5"/>
  </w:num>
  <w:num w:numId="3">
    <w:abstractNumId w:val="6"/>
  </w:num>
  <w:num w:numId="4">
    <w:abstractNumId w:val="0"/>
  </w:num>
  <w:num w:numId="5">
    <w:abstractNumId w:val="10"/>
  </w:num>
  <w:num w:numId="6">
    <w:abstractNumId w:val="7"/>
  </w:num>
  <w:num w:numId="7">
    <w:abstractNumId w:val="16"/>
  </w:num>
  <w:num w:numId="8">
    <w:abstractNumId w:val="1"/>
  </w:num>
  <w:num w:numId="9">
    <w:abstractNumId w:val="3"/>
  </w:num>
  <w:num w:numId="10">
    <w:abstractNumId w:val="13"/>
    <w:lvlOverride w:ilvl="0">
      <w:startOverride w:val="1"/>
    </w:lvlOverride>
    <w:lvlOverride w:ilvl="1"/>
    <w:lvlOverride w:ilvl="2"/>
    <w:lvlOverride w:ilvl="3"/>
    <w:lvlOverride w:ilvl="4"/>
    <w:lvlOverride w:ilvl="5"/>
    <w:lvlOverride w:ilvl="6"/>
    <w:lvlOverride w:ilvl="7"/>
    <w:lvlOverride w:ilvl="8"/>
  </w:num>
  <w:num w:numId="11">
    <w:abstractNumId w:val="12"/>
  </w:num>
  <w:num w:numId="12">
    <w:abstractNumId w:val="11"/>
  </w:num>
  <w:num w:numId="13">
    <w:abstractNumId w:val="5"/>
  </w:num>
  <w:num w:numId="14">
    <w:abstractNumId w:val="2"/>
  </w:num>
  <w:num w:numId="15">
    <w:abstractNumId w:val="8"/>
  </w:num>
  <w:num w:numId="16">
    <w:abstractNumId w:val="9"/>
  </w:num>
  <w:num w:numId="1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0" w:nlCheck="1" w:checkStyle="1"/>
  <w:activeWritingStyle w:appName="MSWord" w:lang="en-US" w:vendorID="64" w:dllVersion="0" w:nlCheck="1" w:checkStyle="1"/>
  <w:activeWritingStyle w:appName="MSWord" w:lang="en-AU" w:vendorID="64" w:dllVersion="0" w:nlCheck="1" w:checkStyle="0"/>
  <w:activeWritingStyle w:appName="MSWord" w:lang="fr-FR" w:vendorID="64" w:dllVersion="0" w:nlCheck="1" w:checkStyle="1"/>
  <w:activeWritingStyle w:appName="MSWord" w:lang="sv-SE" w:vendorID="64" w:dllVersion="0" w:nlCheck="1" w:checkStyle="0"/>
  <w:activeWritingStyle w:appName="MSWord" w:lang="en-IN" w:vendorID="64" w:dllVersion="0" w:nlCheck="1" w:checkStyle="1"/>
  <w:activeWritingStyle w:appName="MSWord" w:lang="en-ZW" w:vendorID="64" w:dllVersion="0" w:nlCheck="1" w:checkStyle="1"/>
  <w:activeWritingStyle w:appName="MSWord" w:lang="da-DK" w:vendorID="64" w:dllVersion="0" w:nlCheck="1" w:checkStyle="0"/>
  <w:activeWritingStyle w:appName="MSWord" w:lang="de-DE" w:vendorID="64" w:dllVersion="0" w:nlCheck="1" w:checkStyle="1"/>
  <w:activeWritingStyle w:appName="MSWord" w:lang="en-GB" w:vendorID="64" w:dllVersion="131078" w:nlCheck="1" w:checkStyle="1"/>
  <w:activeWritingStyle w:appName="MSWord" w:lang="en-US" w:vendorID="64" w:dllVersion="131078" w:nlCheck="1" w:checkStyle="1"/>
  <w:proofState w:spelling="clean" w:grammar="clean"/>
  <w:documentProtection w:edit="comments" w:formatting="1" w:enforcement="0"/>
  <w:defaultTabStop w:val="720"/>
  <w:hyphenationZone w:val="425"/>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numRestart w:val="eachSect"/>
    <w:footnote w:id="-1"/>
    <w:footnote w:id="0"/>
  </w:footnotePr>
  <w:endnotePr>
    <w:numFmt w:val="decimal"/>
    <w:numStart w:val="7"/>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53B"/>
    <w:rsid w:val="000005E0"/>
    <w:rsid w:val="000006FF"/>
    <w:rsid w:val="000010B5"/>
    <w:rsid w:val="000027D2"/>
    <w:rsid w:val="00002864"/>
    <w:rsid w:val="00002CDA"/>
    <w:rsid w:val="00003F2F"/>
    <w:rsid w:val="00004BAB"/>
    <w:rsid w:val="0000594D"/>
    <w:rsid w:val="00005E26"/>
    <w:rsid w:val="00006015"/>
    <w:rsid w:val="000109B8"/>
    <w:rsid w:val="000116C4"/>
    <w:rsid w:val="00011716"/>
    <w:rsid w:val="00011EF0"/>
    <w:rsid w:val="000121A9"/>
    <w:rsid w:val="00012F9E"/>
    <w:rsid w:val="00013A8D"/>
    <w:rsid w:val="00013BEB"/>
    <w:rsid w:val="00014125"/>
    <w:rsid w:val="000147E0"/>
    <w:rsid w:val="00015400"/>
    <w:rsid w:val="00015526"/>
    <w:rsid w:val="00015FDE"/>
    <w:rsid w:val="00016217"/>
    <w:rsid w:val="00016861"/>
    <w:rsid w:val="00017B06"/>
    <w:rsid w:val="00020046"/>
    <w:rsid w:val="000200CF"/>
    <w:rsid w:val="000203B0"/>
    <w:rsid w:val="000204D6"/>
    <w:rsid w:val="000205F1"/>
    <w:rsid w:val="00020B9B"/>
    <w:rsid w:val="00021AA6"/>
    <w:rsid w:val="00021DC6"/>
    <w:rsid w:val="00022047"/>
    <w:rsid w:val="00022569"/>
    <w:rsid w:val="00022FD2"/>
    <w:rsid w:val="0002389F"/>
    <w:rsid w:val="000238AB"/>
    <w:rsid w:val="00025E09"/>
    <w:rsid w:val="000274B9"/>
    <w:rsid w:val="0002758B"/>
    <w:rsid w:val="000276A0"/>
    <w:rsid w:val="0003028D"/>
    <w:rsid w:val="00030688"/>
    <w:rsid w:val="00030FAD"/>
    <w:rsid w:val="00031F9C"/>
    <w:rsid w:val="000330DB"/>
    <w:rsid w:val="0003320C"/>
    <w:rsid w:val="0003429F"/>
    <w:rsid w:val="000350CB"/>
    <w:rsid w:val="0003562A"/>
    <w:rsid w:val="00035DFD"/>
    <w:rsid w:val="00036095"/>
    <w:rsid w:val="00036AD5"/>
    <w:rsid w:val="00036AF4"/>
    <w:rsid w:val="00036E23"/>
    <w:rsid w:val="00040A1D"/>
    <w:rsid w:val="00041381"/>
    <w:rsid w:val="00041472"/>
    <w:rsid w:val="00041C10"/>
    <w:rsid w:val="00041E6D"/>
    <w:rsid w:val="00041EDD"/>
    <w:rsid w:val="00042258"/>
    <w:rsid w:val="00043521"/>
    <w:rsid w:val="00043804"/>
    <w:rsid w:val="000441A1"/>
    <w:rsid w:val="00044DC4"/>
    <w:rsid w:val="000453B7"/>
    <w:rsid w:val="000453E4"/>
    <w:rsid w:val="000454A5"/>
    <w:rsid w:val="00046000"/>
    <w:rsid w:val="00046CF8"/>
    <w:rsid w:val="00046D61"/>
    <w:rsid w:val="00046EB2"/>
    <w:rsid w:val="00046F83"/>
    <w:rsid w:val="00047969"/>
    <w:rsid w:val="00047A7D"/>
    <w:rsid w:val="00047E1E"/>
    <w:rsid w:val="00050869"/>
    <w:rsid w:val="000511FC"/>
    <w:rsid w:val="00052294"/>
    <w:rsid w:val="0005263C"/>
    <w:rsid w:val="00052B80"/>
    <w:rsid w:val="000547A2"/>
    <w:rsid w:val="00054A0D"/>
    <w:rsid w:val="000561C1"/>
    <w:rsid w:val="00056204"/>
    <w:rsid w:val="00056327"/>
    <w:rsid w:val="00056FB4"/>
    <w:rsid w:val="000570D1"/>
    <w:rsid w:val="00057159"/>
    <w:rsid w:val="000571A9"/>
    <w:rsid w:val="00057462"/>
    <w:rsid w:val="00057B46"/>
    <w:rsid w:val="00060036"/>
    <w:rsid w:val="0006009A"/>
    <w:rsid w:val="00060290"/>
    <w:rsid w:val="00061091"/>
    <w:rsid w:val="00061717"/>
    <w:rsid w:val="00061DE0"/>
    <w:rsid w:val="000625BA"/>
    <w:rsid w:val="000625CD"/>
    <w:rsid w:val="00062F4B"/>
    <w:rsid w:val="00063E24"/>
    <w:rsid w:val="000647E0"/>
    <w:rsid w:val="0006507A"/>
    <w:rsid w:val="00065495"/>
    <w:rsid w:val="000667FC"/>
    <w:rsid w:val="00066EC0"/>
    <w:rsid w:val="000678A7"/>
    <w:rsid w:val="0007048D"/>
    <w:rsid w:val="0007158D"/>
    <w:rsid w:val="00072229"/>
    <w:rsid w:val="00073CF1"/>
    <w:rsid w:val="00074BD0"/>
    <w:rsid w:val="00074CD2"/>
    <w:rsid w:val="00074D9A"/>
    <w:rsid w:val="00074DB9"/>
    <w:rsid w:val="000753C4"/>
    <w:rsid w:val="00075DF0"/>
    <w:rsid w:val="000762CA"/>
    <w:rsid w:val="00076CFD"/>
    <w:rsid w:val="00077591"/>
    <w:rsid w:val="0008004E"/>
    <w:rsid w:val="000800B3"/>
    <w:rsid w:val="000803A4"/>
    <w:rsid w:val="000806E3"/>
    <w:rsid w:val="00080AB4"/>
    <w:rsid w:val="00081A49"/>
    <w:rsid w:val="00081A64"/>
    <w:rsid w:val="000821B6"/>
    <w:rsid w:val="000828F2"/>
    <w:rsid w:val="0008339E"/>
    <w:rsid w:val="000842B3"/>
    <w:rsid w:val="00086DA1"/>
    <w:rsid w:val="000871DC"/>
    <w:rsid w:val="000876A1"/>
    <w:rsid w:val="000876A3"/>
    <w:rsid w:val="00090AD1"/>
    <w:rsid w:val="00090F4F"/>
    <w:rsid w:val="0009122B"/>
    <w:rsid w:val="00091476"/>
    <w:rsid w:val="00092879"/>
    <w:rsid w:val="0009295E"/>
    <w:rsid w:val="000949A0"/>
    <w:rsid w:val="00094AB1"/>
    <w:rsid w:val="00094AB7"/>
    <w:rsid w:val="00094E87"/>
    <w:rsid w:val="0009554B"/>
    <w:rsid w:val="0009570C"/>
    <w:rsid w:val="00096079"/>
    <w:rsid w:val="00096521"/>
    <w:rsid w:val="00096CCD"/>
    <w:rsid w:val="00096D6F"/>
    <w:rsid w:val="00097211"/>
    <w:rsid w:val="000975D7"/>
    <w:rsid w:val="00097EDA"/>
    <w:rsid w:val="00097FB2"/>
    <w:rsid w:val="000A151D"/>
    <w:rsid w:val="000A1B47"/>
    <w:rsid w:val="000A1F26"/>
    <w:rsid w:val="000A24C5"/>
    <w:rsid w:val="000A3069"/>
    <w:rsid w:val="000A3768"/>
    <w:rsid w:val="000A3802"/>
    <w:rsid w:val="000A39BF"/>
    <w:rsid w:val="000A3F7F"/>
    <w:rsid w:val="000A4A7E"/>
    <w:rsid w:val="000A6116"/>
    <w:rsid w:val="000A744A"/>
    <w:rsid w:val="000B0997"/>
    <w:rsid w:val="000B0B7D"/>
    <w:rsid w:val="000B0CBF"/>
    <w:rsid w:val="000B1851"/>
    <w:rsid w:val="000B2DCA"/>
    <w:rsid w:val="000B3A13"/>
    <w:rsid w:val="000B3D39"/>
    <w:rsid w:val="000B4023"/>
    <w:rsid w:val="000B4896"/>
    <w:rsid w:val="000B4BB2"/>
    <w:rsid w:val="000B4BE2"/>
    <w:rsid w:val="000B57C3"/>
    <w:rsid w:val="000B5E07"/>
    <w:rsid w:val="000B6140"/>
    <w:rsid w:val="000B6E1D"/>
    <w:rsid w:val="000C0277"/>
    <w:rsid w:val="000C043E"/>
    <w:rsid w:val="000C06CD"/>
    <w:rsid w:val="000C0F12"/>
    <w:rsid w:val="000C1AE5"/>
    <w:rsid w:val="000C1B77"/>
    <w:rsid w:val="000C27CC"/>
    <w:rsid w:val="000C29D7"/>
    <w:rsid w:val="000C363D"/>
    <w:rsid w:val="000C3C5B"/>
    <w:rsid w:val="000C3CF9"/>
    <w:rsid w:val="000C4456"/>
    <w:rsid w:val="000C4556"/>
    <w:rsid w:val="000C6D2E"/>
    <w:rsid w:val="000C76B0"/>
    <w:rsid w:val="000C7BBE"/>
    <w:rsid w:val="000C7F4E"/>
    <w:rsid w:val="000C7F87"/>
    <w:rsid w:val="000D01AF"/>
    <w:rsid w:val="000D2475"/>
    <w:rsid w:val="000D442C"/>
    <w:rsid w:val="000D449A"/>
    <w:rsid w:val="000D4DC4"/>
    <w:rsid w:val="000D7727"/>
    <w:rsid w:val="000E0428"/>
    <w:rsid w:val="000E08AB"/>
    <w:rsid w:val="000E0B4D"/>
    <w:rsid w:val="000E1826"/>
    <w:rsid w:val="000E1F7D"/>
    <w:rsid w:val="000E2087"/>
    <w:rsid w:val="000E2EEC"/>
    <w:rsid w:val="000E4BCB"/>
    <w:rsid w:val="000E5357"/>
    <w:rsid w:val="000E5459"/>
    <w:rsid w:val="000E612D"/>
    <w:rsid w:val="000E6C08"/>
    <w:rsid w:val="000E745A"/>
    <w:rsid w:val="000E7E9E"/>
    <w:rsid w:val="000E7EF4"/>
    <w:rsid w:val="000E7F46"/>
    <w:rsid w:val="000F0044"/>
    <w:rsid w:val="000F1E58"/>
    <w:rsid w:val="000F568F"/>
    <w:rsid w:val="000F583F"/>
    <w:rsid w:val="000F5AA9"/>
    <w:rsid w:val="000F5D75"/>
    <w:rsid w:val="000F6928"/>
    <w:rsid w:val="000F703B"/>
    <w:rsid w:val="00100341"/>
    <w:rsid w:val="0010080D"/>
    <w:rsid w:val="001038DC"/>
    <w:rsid w:val="00103B89"/>
    <w:rsid w:val="00103EDF"/>
    <w:rsid w:val="00103F8F"/>
    <w:rsid w:val="00106EF8"/>
    <w:rsid w:val="001101A2"/>
    <w:rsid w:val="0011032F"/>
    <w:rsid w:val="00111489"/>
    <w:rsid w:val="00111797"/>
    <w:rsid w:val="001118F8"/>
    <w:rsid w:val="00111B19"/>
    <w:rsid w:val="00112EEE"/>
    <w:rsid w:val="00114688"/>
    <w:rsid w:val="00114A64"/>
    <w:rsid w:val="00115657"/>
    <w:rsid w:val="00115DE2"/>
    <w:rsid w:val="00115F59"/>
    <w:rsid w:val="00115F85"/>
    <w:rsid w:val="00116C1A"/>
    <w:rsid w:val="0012037D"/>
    <w:rsid w:val="00120510"/>
    <w:rsid w:val="00120B11"/>
    <w:rsid w:val="00120B5F"/>
    <w:rsid w:val="00121158"/>
    <w:rsid w:val="00121F3E"/>
    <w:rsid w:val="0012229E"/>
    <w:rsid w:val="0012278D"/>
    <w:rsid w:val="001228D6"/>
    <w:rsid w:val="00123849"/>
    <w:rsid w:val="001239D5"/>
    <w:rsid w:val="00123A5E"/>
    <w:rsid w:val="00123FAE"/>
    <w:rsid w:val="00125010"/>
    <w:rsid w:val="00125266"/>
    <w:rsid w:val="00125B82"/>
    <w:rsid w:val="00126D8A"/>
    <w:rsid w:val="00126F48"/>
    <w:rsid w:val="00127210"/>
    <w:rsid w:val="001305E6"/>
    <w:rsid w:val="001314C9"/>
    <w:rsid w:val="00132306"/>
    <w:rsid w:val="0013239A"/>
    <w:rsid w:val="00132872"/>
    <w:rsid w:val="00132B5A"/>
    <w:rsid w:val="001341CC"/>
    <w:rsid w:val="001344C3"/>
    <w:rsid w:val="001361BA"/>
    <w:rsid w:val="0013761A"/>
    <w:rsid w:val="001400D6"/>
    <w:rsid w:val="0014147B"/>
    <w:rsid w:val="00141ACC"/>
    <w:rsid w:val="00141C66"/>
    <w:rsid w:val="00142A88"/>
    <w:rsid w:val="0014312B"/>
    <w:rsid w:val="0014423A"/>
    <w:rsid w:val="00146208"/>
    <w:rsid w:val="00146F5F"/>
    <w:rsid w:val="00147042"/>
    <w:rsid w:val="001471A7"/>
    <w:rsid w:val="00147B66"/>
    <w:rsid w:val="001506F6"/>
    <w:rsid w:val="00151AFC"/>
    <w:rsid w:val="00152379"/>
    <w:rsid w:val="00152C85"/>
    <w:rsid w:val="0015315F"/>
    <w:rsid w:val="00153202"/>
    <w:rsid w:val="00154032"/>
    <w:rsid w:val="001546BF"/>
    <w:rsid w:val="001547D3"/>
    <w:rsid w:val="00155329"/>
    <w:rsid w:val="001559BD"/>
    <w:rsid w:val="00156719"/>
    <w:rsid w:val="001567E7"/>
    <w:rsid w:val="00157494"/>
    <w:rsid w:val="00157F79"/>
    <w:rsid w:val="00161EB0"/>
    <w:rsid w:val="001621E4"/>
    <w:rsid w:val="00162A14"/>
    <w:rsid w:val="00163E84"/>
    <w:rsid w:val="00163F74"/>
    <w:rsid w:val="00165166"/>
    <w:rsid w:val="001668AA"/>
    <w:rsid w:val="00167263"/>
    <w:rsid w:val="00167341"/>
    <w:rsid w:val="001675B1"/>
    <w:rsid w:val="0016789D"/>
    <w:rsid w:val="00167C87"/>
    <w:rsid w:val="00170240"/>
    <w:rsid w:val="001711EA"/>
    <w:rsid w:val="00172092"/>
    <w:rsid w:val="00172EE3"/>
    <w:rsid w:val="001742AA"/>
    <w:rsid w:val="00175F8B"/>
    <w:rsid w:val="00175FF5"/>
    <w:rsid w:val="00176897"/>
    <w:rsid w:val="00177E7E"/>
    <w:rsid w:val="0018032E"/>
    <w:rsid w:val="0018043F"/>
    <w:rsid w:val="001804F2"/>
    <w:rsid w:val="0018190C"/>
    <w:rsid w:val="0018356F"/>
    <w:rsid w:val="00183D3A"/>
    <w:rsid w:val="001863C0"/>
    <w:rsid w:val="00186A42"/>
    <w:rsid w:val="0018720B"/>
    <w:rsid w:val="001876C5"/>
    <w:rsid w:val="00187CD0"/>
    <w:rsid w:val="00187CF2"/>
    <w:rsid w:val="00187D68"/>
    <w:rsid w:val="00187EF8"/>
    <w:rsid w:val="00190155"/>
    <w:rsid w:val="0019024B"/>
    <w:rsid w:val="001906B5"/>
    <w:rsid w:val="00190E4E"/>
    <w:rsid w:val="0019161D"/>
    <w:rsid w:val="00192879"/>
    <w:rsid w:val="00192DA3"/>
    <w:rsid w:val="00194163"/>
    <w:rsid w:val="00194FEB"/>
    <w:rsid w:val="00195AD8"/>
    <w:rsid w:val="00196089"/>
    <w:rsid w:val="001970A4"/>
    <w:rsid w:val="001970FE"/>
    <w:rsid w:val="00197AD1"/>
    <w:rsid w:val="00197B38"/>
    <w:rsid w:val="00197CFF"/>
    <w:rsid w:val="001A0F4C"/>
    <w:rsid w:val="001A4870"/>
    <w:rsid w:val="001A568A"/>
    <w:rsid w:val="001A648E"/>
    <w:rsid w:val="001B0020"/>
    <w:rsid w:val="001B0232"/>
    <w:rsid w:val="001B1D9D"/>
    <w:rsid w:val="001B2556"/>
    <w:rsid w:val="001B3418"/>
    <w:rsid w:val="001B372E"/>
    <w:rsid w:val="001B3F87"/>
    <w:rsid w:val="001B4026"/>
    <w:rsid w:val="001B55D3"/>
    <w:rsid w:val="001B5943"/>
    <w:rsid w:val="001B598C"/>
    <w:rsid w:val="001B5F1D"/>
    <w:rsid w:val="001B76A6"/>
    <w:rsid w:val="001B798C"/>
    <w:rsid w:val="001C07F8"/>
    <w:rsid w:val="001C1A25"/>
    <w:rsid w:val="001C2F59"/>
    <w:rsid w:val="001C30E4"/>
    <w:rsid w:val="001C52FB"/>
    <w:rsid w:val="001C5A11"/>
    <w:rsid w:val="001C6C08"/>
    <w:rsid w:val="001C6E00"/>
    <w:rsid w:val="001C7622"/>
    <w:rsid w:val="001D092A"/>
    <w:rsid w:val="001D09F5"/>
    <w:rsid w:val="001D0B36"/>
    <w:rsid w:val="001D2056"/>
    <w:rsid w:val="001D2F4C"/>
    <w:rsid w:val="001D32C9"/>
    <w:rsid w:val="001D3A72"/>
    <w:rsid w:val="001D3DB8"/>
    <w:rsid w:val="001D42D1"/>
    <w:rsid w:val="001D560F"/>
    <w:rsid w:val="001D5C1E"/>
    <w:rsid w:val="001D64E5"/>
    <w:rsid w:val="001D6DD6"/>
    <w:rsid w:val="001D6EB8"/>
    <w:rsid w:val="001D7DDE"/>
    <w:rsid w:val="001E05EC"/>
    <w:rsid w:val="001E17EF"/>
    <w:rsid w:val="001E1E00"/>
    <w:rsid w:val="001E2CCB"/>
    <w:rsid w:val="001E44BC"/>
    <w:rsid w:val="001E4809"/>
    <w:rsid w:val="001E4ABB"/>
    <w:rsid w:val="001E4F4F"/>
    <w:rsid w:val="001E7018"/>
    <w:rsid w:val="001E71AC"/>
    <w:rsid w:val="001E7C19"/>
    <w:rsid w:val="001F06FD"/>
    <w:rsid w:val="001F158D"/>
    <w:rsid w:val="001F23D6"/>
    <w:rsid w:val="001F2447"/>
    <w:rsid w:val="001F2704"/>
    <w:rsid w:val="001F27F4"/>
    <w:rsid w:val="001F3DC0"/>
    <w:rsid w:val="001F423C"/>
    <w:rsid w:val="001F4C5A"/>
    <w:rsid w:val="001F4EA9"/>
    <w:rsid w:val="001F4F73"/>
    <w:rsid w:val="001F5103"/>
    <w:rsid w:val="001F51FA"/>
    <w:rsid w:val="001F538D"/>
    <w:rsid w:val="001F5603"/>
    <w:rsid w:val="001F5C99"/>
    <w:rsid w:val="001F5C9E"/>
    <w:rsid w:val="001F6357"/>
    <w:rsid w:val="001F6425"/>
    <w:rsid w:val="001F661D"/>
    <w:rsid w:val="001F6772"/>
    <w:rsid w:val="001F721B"/>
    <w:rsid w:val="001F7421"/>
    <w:rsid w:val="00200195"/>
    <w:rsid w:val="00200AC3"/>
    <w:rsid w:val="00200B26"/>
    <w:rsid w:val="00200B5F"/>
    <w:rsid w:val="0020140B"/>
    <w:rsid w:val="00201EEF"/>
    <w:rsid w:val="00202173"/>
    <w:rsid w:val="002026B7"/>
    <w:rsid w:val="00203286"/>
    <w:rsid w:val="0020359F"/>
    <w:rsid w:val="002036D4"/>
    <w:rsid w:val="0020418A"/>
    <w:rsid w:val="0020418B"/>
    <w:rsid w:val="0020434F"/>
    <w:rsid w:val="00204670"/>
    <w:rsid w:val="002047C8"/>
    <w:rsid w:val="0020511F"/>
    <w:rsid w:val="002052B3"/>
    <w:rsid w:val="002058F9"/>
    <w:rsid w:val="002077D2"/>
    <w:rsid w:val="00211DF6"/>
    <w:rsid w:val="00212B1F"/>
    <w:rsid w:val="00212F09"/>
    <w:rsid w:val="00213064"/>
    <w:rsid w:val="00213D7C"/>
    <w:rsid w:val="00214513"/>
    <w:rsid w:val="002155B7"/>
    <w:rsid w:val="002157BC"/>
    <w:rsid w:val="00216FA8"/>
    <w:rsid w:val="0021766A"/>
    <w:rsid w:val="00220E4D"/>
    <w:rsid w:val="00220FE6"/>
    <w:rsid w:val="002216DB"/>
    <w:rsid w:val="00221DC6"/>
    <w:rsid w:val="002225D3"/>
    <w:rsid w:val="00222793"/>
    <w:rsid w:val="002228B0"/>
    <w:rsid w:val="00222A35"/>
    <w:rsid w:val="00222CD1"/>
    <w:rsid w:val="0022301D"/>
    <w:rsid w:val="002241B5"/>
    <w:rsid w:val="00224B2C"/>
    <w:rsid w:val="002251DB"/>
    <w:rsid w:val="00225F1A"/>
    <w:rsid w:val="00227510"/>
    <w:rsid w:val="00227E55"/>
    <w:rsid w:val="00230FBA"/>
    <w:rsid w:val="002311B4"/>
    <w:rsid w:val="00231F87"/>
    <w:rsid w:val="0023228F"/>
    <w:rsid w:val="00232AA0"/>
    <w:rsid w:val="0023341F"/>
    <w:rsid w:val="00234176"/>
    <w:rsid w:val="00234CDF"/>
    <w:rsid w:val="00236B91"/>
    <w:rsid w:val="00236E50"/>
    <w:rsid w:val="002370D5"/>
    <w:rsid w:val="00240BDB"/>
    <w:rsid w:val="00240CE0"/>
    <w:rsid w:val="002424C0"/>
    <w:rsid w:val="0024260D"/>
    <w:rsid w:val="0024263F"/>
    <w:rsid w:val="002429E9"/>
    <w:rsid w:val="00242CAA"/>
    <w:rsid w:val="002438E6"/>
    <w:rsid w:val="00244CD7"/>
    <w:rsid w:val="00244D23"/>
    <w:rsid w:val="002452CC"/>
    <w:rsid w:val="00245BA7"/>
    <w:rsid w:val="00245D74"/>
    <w:rsid w:val="00246D03"/>
    <w:rsid w:val="00246DDF"/>
    <w:rsid w:val="00247992"/>
    <w:rsid w:val="0025124B"/>
    <w:rsid w:val="00252BF5"/>
    <w:rsid w:val="002535DC"/>
    <w:rsid w:val="00253959"/>
    <w:rsid w:val="002550A9"/>
    <w:rsid w:val="00255D5A"/>
    <w:rsid w:val="002566F2"/>
    <w:rsid w:val="002573CC"/>
    <w:rsid w:val="00260D42"/>
    <w:rsid w:val="00260FAA"/>
    <w:rsid w:val="00261593"/>
    <w:rsid w:val="00261952"/>
    <w:rsid w:val="00261BDD"/>
    <w:rsid w:val="00262338"/>
    <w:rsid w:val="00262388"/>
    <w:rsid w:val="002626C1"/>
    <w:rsid w:val="00262EA4"/>
    <w:rsid w:val="0026343C"/>
    <w:rsid w:val="00263938"/>
    <w:rsid w:val="002646D7"/>
    <w:rsid w:val="002651C2"/>
    <w:rsid w:val="00266128"/>
    <w:rsid w:val="002662A8"/>
    <w:rsid w:val="002664FC"/>
    <w:rsid w:val="0026695D"/>
    <w:rsid w:val="00266F05"/>
    <w:rsid w:val="002671D7"/>
    <w:rsid w:val="002675F7"/>
    <w:rsid w:val="002701A4"/>
    <w:rsid w:val="002702F5"/>
    <w:rsid w:val="0027066B"/>
    <w:rsid w:val="002718A9"/>
    <w:rsid w:val="00271B08"/>
    <w:rsid w:val="0027236F"/>
    <w:rsid w:val="0027259C"/>
    <w:rsid w:val="00272C90"/>
    <w:rsid w:val="00272F32"/>
    <w:rsid w:val="00273543"/>
    <w:rsid w:val="0027396A"/>
    <w:rsid w:val="0027439C"/>
    <w:rsid w:val="00274436"/>
    <w:rsid w:val="00274559"/>
    <w:rsid w:val="00274C82"/>
    <w:rsid w:val="00274F14"/>
    <w:rsid w:val="002750F4"/>
    <w:rsid w:val="00275A66"/>
    <w:rsid w:val="00275C75"/>
    <w:rsid w:val="0027654D"/>
    <w:rsid w:val="00276E45"/>
    <w:rsid w:val="00280155"/>
    <w:rsid w:val="002810DF"/>
    <w:rsid w:val="002812AB"/>
    <w:rsid w:val="0028139F"/>
    <w:rsid w:val="002816D8"/>
    <w:rsid w:val="00281A07"/>
    <w:rsid w:val="00281CEC"/>
    <w:rsid w:val="00281E35"/>
    <w:rsid w:val="002825C6"/>
    <w:rsid w:val="00282A8C"/>
    <w:rsid w:val="00282AD3"/>
    <w:rsid w:val="00282DE8"/>
    <w:rsid w:val="0028342B"/>
    <w:rsid w:val="00283F84"/>
    <w:rsid w:val="002846CC"/>
    <w:rsid w:val="002850CC"/>
    <w:rsid w:val="002854EE"/>
    <w:rsid w:val="00285520"/>
    <w:rsid w:val="0028565C"/>
    <w:rsid w:val="002856C6"/>
    <w:rsid w:val="00285B0D"/>
    <w:rsid w:val="002875DE"/>
    <w:rsid w:val="00287E07"/>
    <w:rsid w:val="00290B28"/>
    <w:rsid w:val="00290EB3"/>
    <w:rsid w:val="0029213F"/>
    <w:rsid w:val="00292336"/>
    <w:rsid w:val="00292846"/>
    <w:rsid w:val="00292A90"/>
    <w:rsid w:val="00294165"/>
    <w:rsid w:val="0029512C"/>
    <w:rsid w:val="002955B0"/>
    <w:rsid w:val="00295619"/>
    <w:rsid w:val="00295A38"/>
    <w:rsid w:val="0029684F"/>
    <w:rsid w:val="00296BB1"/>
    <w:rsid w:val="0029718C"/>
    <w:rsid w:val="002971D6"/>
    <w:rsid w:val="002971E0"/>
    <w:rsid w:val="002A0CA3"/>
    <w:rsid w:val="002A271D"/>
    <w:rsid w:val="002A2CEF"/>
    <w:rsid w:val="002A2DB5"/>
    <w:rsid w:val="002A2F08"/>
    <w:rsid w:val="002A31CF"/>
    <w:rsid w:val="002A3641"/>
    <w:rsid w:val="002A4372"/>
    <w:rsid w:val="002A495F"/>
    <w:rsid w:val="002A4AE2"/>
    <w:rsid w:val="002A5186"/>
    <w:rsid w:val="002A6054"/>
    <w:rsid w:val="002A6D32"/>
    <w:rsid w:val="002A706F"/>
    <w:rsid w:val="002A70EA"/>
    <w:rsid w:val="002A7363"/>
    <w:rsid w:val="002A78A6"/>
    <w:rsid w:val="002A7F43"/>
    <w:rsid w:val="002B1225"/>
    <w:rsid w:val="002B1406"/>
    <w:rsid w:val="002B167C"/>
    <w:rsid w:val="002B1802"/>
    <w:rsid w:val="002B1EC0"/>
    <w:rsid w:val="002B28B7"/>
    <w:rsid w:val="002B2AA3"/>
    <w:rsid w:val="002B3250"/>
    <w:rsid w:val="002B365E"/>
    <w:rsid w:val="002B489A"/>
    <w:rsid w:val="002B5FD0"/>
    <w:rsid w:val="002B6341"/>
    <w:rsid w:val="002B7B67"/>
    <w:rsid w:val="002B7E3B"/>
    <w:rsid w:val="002C0526"/>
    <w:rsid w:val="002C06D5"/>
    <w:rsid w:val="002C1BBB"/>
    <w:rsid w:val="002C1EDB"/>
    <w:rsid w:val="002C27A8"/>
    <w:rsid w:val="002C333E"/>
    <w:rsid w:val="002C36C8"/>
    <w:rsid w:val="002C3933"/>
    <w:rsid w:val="002C4549"/>
    <w:rsid w:val="002C48E2"/>
    <w:rsid w:val="002C4A89"/>
    <w:rsid w:val="002C51A0"/>
    <w:rsid w:val="002C597C"/>
    <w:rsid w:val="002C5B51"/>
    <w:rsid w:val="002C68B2"/>
    <w:rsid w:val="002C70F7"/>
    <w:rsid w:val="002C7971"/>
    <w:rsid w:val="002D016B"/>
    <w:rsid w:val="002D0584"/>
    <w:rsid w:val="002D06A2"/>
    <w:rsid w:val="002D17C4"/>
    <w:rsid w:val="002D18CA"/>
    <w:rsid w:val="002D1CF0"/>
    <w:rsid w:val="002D2ADE"/>
    <w:rsid w:val="002D2E2A"/>
    <w:rsid w:val="002D4629"/>
    <w:rsid w:val="002D513C"/>
    <w:rsid w:val="002D5295"/>
    <w:rsid w:val="002D52BF"/>
    <w:rsid w:val="002D5C2A"/>
    <w:rsid w:val="002D68FA"/>
    <w:rsid w:val="002D69CB"/>
    <w:rsid w:val="002D6A5F"/>
    <w:rsid w:val="002D6F6D"/>
    <w:rsid w:val="002D7A66"/>
    <w:rsid w:val="002D7ECA"/>
    <w:rsid w:val="002E0141"/>
    <w:rsid w:val="002E0B5D"/>
    <w:rsid w:val="002E0B76"/>
    <w:rsid w:val="002E1495"/>
    <w:rsid w:val="002E14C9"/>
    <w:rsid w:val="002E1670"/>
    <w:rsid w:val="002E1AC9"/>
    <w:rsid w:val="002E2900"/>
    <w:rsid w:val="002E2D5A"/>
    <w:rsid w:val="002E3C0D"/>
    <w:rsid w:val="002E43EC"/>
    <w:rsid w:val="002E5B3C"/>
    <w:rsid w:val="002E5F57"/>
    <w:rsid w:val="002E6F06"/>
    <w:rsid w:val="002E7A79"/>
    <w:rsid w:val="002E7D3F"/>
    <w:rsid w:val="002F01EB"/>
    <w:rsid w:val="002F1514"/>
    <w:rsid w:val="002F271F"/>
    <w:rsid w:val="002F2C6E"/>
    <w:rsid w:val="002F346A"/>
    <w:rsid w:val="002F3C88"/>
    <w:rsid w:val="002F4067"/>
    <w:rsid w:val="002F47C8"/>
    <w:rsid w:val="002F47EB"/>
    <w:rsid w:val="002F567D"/>
    <w:rsid w:val="002F5A97"/>
    <w:rsid w:val="002F5B8E"/>
    <w:rsid w:val="002F632A"/>
    <w:rsid w:val="002F7339"/>
    <w:rsid w:val="002F7461"/>
    <w:rsid w:val="002F75BA"/>
    <w:rsid w:val="002F796A"/>
    <w:rsid w:val="00300394"/>
    <w:rsid w:val="00301164"/>
    <w:rsid w:val="003015C0"/>
    <w:rsid w:val="003025E2"/>
    <w:rsid w:val="003026BC"/>
    <w:rsid w:val="00305A19"/>
    <w:rsid w:val="00306195"/>
    <w:rsid w:val="00306D24"/>
    <w:rsid w:val="00307712"/>
    <w:rsid w:val="00310B95"/>
    <w:rsid w:val="0031189A"/>
    <w:rsid w:val="00312E6E"/>
    <w:rsid w:val="00313BC5"/>
    <w:rsid w:val="0031404A"/>
    <w:rsid w:val="00314AA6"/>
    <w:rsid w:val="00314B7C"/>
    <w:rsid w:val="00314E49"/>
    <w:rsid w:val="00314F54"/>
    <w:rsid w:val="00315445"/>
    <w:rsid w:val="0031640D"/>
    <w:rsid w:val="00317183"/>
    <w:rsid w:val="003200B9"/>
    <w:rsid w:val="003204AE"/>
    <w:rsid w:val="003208EF"/>
    <w:rsid w:val="00321D63"/>
    <w:rsid w:val="003220BC"/>
    <w:rsid w:val="00322D19"/>
    <w:rsid w:val="00323804"/>
    <w:rsid w:val="00324660"/>
    <w:rsid w:val="00324846"/>
    <w:rsid w:val="00324ABD"/>
    <w:rsid w:val="00324D9B"/>
    <w:rsid w:val="003255D5"/>
    <w:rsid w:val="003260C0"/>
    <w:rsid w:val="00326758"/>
    <w:rsid w:val="00326803"/>
    <w:rsid w:val="00326AD7"/>
    <w:rsid w:val="003272A6"/>
    <w:rsid w:val="003273CB"/>
    <w:rsid w:val="0033125E"/>
    <w:rsid w:val="003336F0"/>
    <w:rsid w:val="0033403B"/>
    <w:rsid w:val="003343D2"/>
    <w:rsid w:val="00334F36"/>
    <w:rsid w:val="0033584C"/>
    <w:rsid w:val="00336760"/>
    <w:rsid w:val="00336913"/>
    <w:rsid w:val="0033718C"/>
    <w:rsid w:val="00337407"/>
    <w:rsid w:val="00340E02"/>
    <w:rsid w:val="00341503"/>
    <w:rsid w:val="00342D80"/>
    <w:rsid w:val="003435BC"/>
    <w:rsid w:val="00343D23"/>
    <w:rsid w:val="00343E6E"/>
    <w:rsid w:val="003440AF"/>
    <w:rsid w:val="003446FE"/>
    <w:rsid w:val="003450C8"/>
    <w:rsid w:val="00345DE3"/>
    <w:rsid w:val="00345EC0"/>
    <w:rsid w:val="0034782B"/>
    <w:rsid w:val="003479DB"/>
    <w:rsid w:val="00350D43"/>
    <w:rsid w:val="00351AA4"/>
    <w:rsid w:val="00351E5C"/>
    <w:rsid w:val="003528A7"/>
    <w:rsid w:val="003544CB"/>
    <w:rsid w:val="0035580F"/>
    <w:rsid w:val="00355F5A"/>
    <w:rsid w:val="003578FD"/>
    <w:rsid w:val="00357CB4"/>
    <w:rsid w:val="00360339"/>
    <w:rsid w:val="003604EE"/>
    <w:rsid w:val="00360C96"/>
    <w:rsid w:val="0036195A"/>
    <w:rsid w:val="0036286B"/>
    <w:rsid w:val="00363371"/>
    <w:rsid w:val="003635DF"/>
    <w:rsid w:val="00364417"/>
    <w:rsid w:val="00364989"/>
    <w:rsid w:val="00366414"/>
    <w:rsid w:val="003664C0"/>
    <w:rsid w:val="0036652F"/>
    <w:rsid w:val="00366769"/>
    <w:rsid w:val="00367178"/>
    <w:rsid w:val="00367521"/>
    <w:rsid w:val="00367E04"/>
    <w:rsid w:val="00371336"/>
    <w:rsid w:val="003736BA"/>
    <w:rsid w:val="0037558E"/>
    <w:rsid w:val="00376025"/>
    <w:rsid w:val="003761F2"/>
    <w:rsid w:val="00376A05"/>
    <w:rsid w:val="003774FE"/>
    <w:rsid w:val="003800A4"/>
    <w:rsid w:val="003800CA"/>
    <w:rsid w:val="00382C42"/>
    <w:rsid w:val="00382C84"/>
    <w:rsid w:val="00382DCB"/>
    <w:rsid w:val="0038374F"/>
    <w:rsid w:val="00383BB9"/>
    <w:rsid w:val="00384565"/>
    <w:rsid w:val="00385771"/>
    <w:rsid w:val="00385AB0"/>
    <w:rsid w:val="00385E7F"/>
    <w:rsid w:val="003864A7"/>
    <w:rsid w:val="0038655F"/>
    <w:rsid w:val="0038657A"/>
    <w:rsid w:val="0039051A"/>
    <w:rsid w:val="00390E30"/>
    <w:rsid w:val="0039145E"/>
    <w:rsid w:val="00391862"/>
    <w:rsid w:val="00393ABE"/>
    <w:rsid w:val="0039441E"/>
    <w:rsid w:val="0039458D"/>
    <w:rsid w:val="00394D61"/>
    <w:rsid w:val="00395BBA"/>
    <w:rsid w:val="0039602A"/>
    <w:rsid w:val="00396B48"/>
    <w:rsid w:val="003A0E0A"/>
    <w:rsid w:val="003A15E0"/>
    <w:rsid w:val="003A1F5A"/>
    <w:rsid w:val="003A2ECE"/>
    <w:rsid w:val="003A2FEB"/>
    <w:rsid w:val="003A3D0C"/>
    <w:rsid w:val="003A4252"/>
    <w:rsid w:val="003A539A"/>
    <w:rsid w:val="003A5AD4"/>
    <w:rsid w:val="003A62A4"/>
    <w:rsid w:val="003A632C"/>
    <w:rsid w:val="003A7294"/>
    <w:rsid w:val="003A7476"/>
    <w:rsid w:val="003A79BB"/>
    <w:rsid w:val="003A7A69"/>
    <w:rsid w:val="003A7D86"/>
    <w:rsid w:val="003B0892"/>
    <w:rsid w:val="003B0AA1"/>
    <w:rsid w:val="003B0B75"/>
    <w:rsid w:val="003B1345"/>
    <w:rsid w:val="003B2269"/>
    <w:rsid w:val="003B243D"/>
    <w:rsid w:val="003B2750"/>
    <w:rsid w:val="003B304F"/>
    <w:rsid w:val="003B35B8"/>
    <w:rsid w:val="003B36AF"/>
    <w:rsid w:val="003B4247"/>
    <w:rsid w:val="003B5262"/>
    <w:rsid w:val="003B545D"/>
    <w:rsid w:val="003B5826"/>
    <w:rsid w:val="003B5D18"/>
    <w:rsid w:val="003B77A9"/>
    <w:rsid w:val="003B795D"/>
    <w:rsid w:val="003C005E"/>
    <w:rsid w:val="003C0646"/>
    <w:rsid w:val="003C1685"/>
    <w:rsid w:val="003C26A6"/>
    <w:rsid w:val="003C26C1"/>
    <w:rsid w:val="003C58E5"/>
    <w:rsid w:val="003C5C11"/>
    <w:rsid w:val="003C5C25"/>
    <w:rsid w:val="003C5F8F"/>
    <w:rsid w:val="003C6A5A"/>
    <w:rsid w:val="003C6AAD"/>
    <w:rsid w:val="003C7076"/>
    <w:rsid w:val="003C7572"/>
    <w:rsid w:val="003C772C"/>
    <w:rsid w:val="003C7F1F"/>
    <w:rsid w:val="003D08FE"/>
    <w:rsid w:val="003D10F0"/>
    <w:rsid w:val="003D1AFE"/>
    <w:rsid w:val="003D1D4D"/>
    <w:rsid w:val="003D246E"/>
    <w:rsid w:val="003D37DD"/>
    <w:rsid w:val="003D42AD"/>
    <w:rsid w:val="003D45DF"/>
    <w:rsid w:val="003D47C6"/>
    <w:rsid w:val="003D531F"/>
    <w:rsid w:val="003D7E38"/>
    <w:rsid w:val="003D7EAC"/>
    <w:rsid w:val="003E067E"/>
    <w:rsid w:val="003E0A39"/>
    <w:rsid w:val="003E0F87"/>
    <w:rsid w:val="003E1E3A"/>
    <w:rsid w:val="003E2CC7"/>
    <w:rsid w:val="003E3710"/>
    <w:rsid w:val="003E379A"/>
    <w:rsid w:val="003E391D"/>
    <w:rsid w:val="003E3DDF"/>
    <w:rsid w:val="003E52B0"/>
    <w:rsid w:val="003E590A"/>
    <w:rsid w:val="003E59AA"/>
    <w:rsid w:val="003E5D5E"/>
    <w:rsid w:val="003E5FF5"/>
    <w:rsid w:val="003E64DC"/>
    <w:rsid w:val="003E6562"/>
    <w:rsid w:val="003E736D"/>
    <w:rsid w:val="003E7395"/>
    <w:rsid w:val="003E7A43"/>
    <w:rsid w:val="003F058F"/>
    <w:rsid w:val="003F0B58"/>
    <w:rsid w:val="003F0D40"/>
    <w:rsid w:val="003F131A"/>
    <w:rsid w:val="003F1431"/>
    <w:rsid w:val="003F14DF"/>
    <w:rsid w:val="003F1933"/>
    <w:rsid w:val="003F1A93"/>
    <w:rsid w:val="003F2236"/>
    <w:rsid w:val="003F27B7"/>
    <w:rsid w:val="003F2DBA"/>
    <w:rsid w:val="003F4051"/>
    <w:rsid w:val="003F4468"/>
    <w:rsid w:val="003F4CAC"/>
    <w:rsid w:val="003F4D97"/>
    <w:rsid w:val="003F5249"/>
    <w:rsid w:val="003F5812"/>
    <w:rsid w:val="003F69A2"/>
    <w:rsid w:val="003F6AA4"/>
    <w:rsid w:val="003F6EA1"/>
    <w:rsid w:val="003F7294"/>
    <w:rsid w:val="003F7731"/>
    <w:rsid w:val="003F78F2"/>
    <w:rsid w:val="003F7B57"/>
    <w:rsid w:val="003F7E36"/>
    <w:rsid w:val="00400CFF"/>
    <w:rsid w:val="00400E4A"/>
    <w:rsid w:val="00402E9A"/>
    <w:rsid w:val="004030AF"/>
    <w:rsid w:val="0040318F"/>
    <w:rsid w:val="00403CF3"/>
    <w:rsid w:val="00403FA8"/>
    <w:rsid w:val="00404040"/>
    <w:rsid w:val="00404213"/>
    <w:rsid w:val="0040423B"/>
    <w:rsid w:val="004048AC"/>
    <w:rsid w:val="00404B8E"/>
    <w:rsid w:val="00404C01"/>
    <w:rsid w:val="00404F62"/>
    <w:rsid w:val="004051ED"/>
    <w:rsid w:val="0040645C"/>
    <w:rsid w:val="004068C2"/>
    <w:rsid w:val="00407B18"/>
    <w:rsid w:val="00410351"/>
    <w:rsid w:val="004129BF"/>
    <w:rsid w:val="0041362A"/>
    <w:rsid w:val="00414451"/>
    <w:rsid w:val="00414AFA"/>
    <w:rsid w:val="00415E7F"/>
    <w:rsid w:val="0041612A"/>
    <w:rsid w:val="00417228"/>
    <w:rsid w:val="00417573"/>
    <w:rsid w:val="00417B30"/>
    <w:rsid w:val="00417D2E"/>
    <w:rsid w:val="00420288"/>
    <w:rsid w:val="004203DE"/>
    <w:rsid w:val="00421C78"/>
    <w:rsid w:val="00421E43"/>
    <w:rsid w:val="004224CE"/>
    <w:rsid w:val="00422A71"/>
    <w:rsid w:val="00422C7B"/>
    <w:rsid w:val="00422DAE"/>
    <w:rsid w:val="00422E4A"/>
    <w:rsid w:val="0042305F"/>
    <w:rsid w:val="00423136"/>
    <w:rsid w:val="004247B1"/>
    <w:rsid w:val="00424A78"/>
    <w:rsid w:val="00424D89"/>
    <w:rsid w:val="004253EE"/>
    <w:rsid w:val="004254DB"/>
    <w:rsid w:val="00425F64"/>
    <w:rsid w:val="004265B4"/>
    <w:rsid w:val="00426A16"/>
    <w:rsid w:val="0042758C"/>
    <w:rsid w:val="0042763F"/>
    <w:rsid w:val="00427EEA"/>
    <w:rsid w:val="00430478"/>
    <w:rsid w:val="004313A0"/>
    <w:rsid w:val="00431651"/>
    <w:rsid w:val="00431836"/>
    <w:rsid w:val="004321E6"/>
    <w:rsid w:val="0043278E"/>
    <w:rsid w:val="00435230"/>
    <w:rsid w:val="004356A5"/>
    <w:rsid w:val="004360AC"/>
    <w:rsid w:val="0043646D"/>
    <w:rsid w:val="00436B83"/>
    <w:rsid w:val="0043735A"/>
    <w:rsid w:val="00437BFC"/>
    <w:rsid w:val="00437C43"/>
    <w:rsid w:val="00440006"/>
    <w:rsid w:val="004409E8"/>
    <w:rsid w:val="00440F74"/>
    <w:rsid w:val="00441061"/>
    <w:rsid w:val="004422A7"/>
    <w:rsid w:val="0044332C"/>
    <w:rsid w:val="00443341"/>
    <w:rsid w:val="00443D38"/>
    <w:rsid w:val="00444871"/>
    <w:rsid w:val="00447BDB"/>
    <w:rsid w:val="00450032"/>
    <w:rsid w:val="00450C70"/>
    <w:rsid w:val="00451A1D"/>
    <w:rsid w:val="00452C60"/>
    <w:rsid w:val="00453344"/>
    <w:rsid w:val="00453806"/>
    <w:rsid w:val="0045411D"/>
    <w:rsid w:val="00454404"/>
    <w:rsid w:val="00454638"/>
    <w:rsid w:val="00454D0F"/>
    <w:rsid w:val="00454E76"/>
    <w:rsid w:val="00457080"/>
    <w:rsid w:val="00460891"/>
    <w:rsid w:val="00460B8B"/>
    <w:rsid w:val="004617F5"/>
    <w:rsid w:val="004625B0"/>
    <w:rsid w:val="004626AA"/>
    <w:rsid w:val="004627D9"/>
    <w:rsid w:val="004638F4"/>
    <w:rsid w:val="00463BBA"/>
    <w:rsid w:val="00463DE5"/>
    <w:rsid w:val="00464AC9"/>
    <w:rsid w:val="00464FB2"/>
    <w:rsid w:val="00466383"/>
    <w:rsid w:val="004663E4"/>
    <w:rsid w:val="0046657E"/>
    <w:rsid w:val="00466CDC"/>
    <w:rsid w:val="004670E1"/>
    <w:rsid w:val="0046745E"/>
    <w:rsid w:val="00470093"/>
    <w:rsid w:val="0047148A"/>
    <w:rsid w:val="00471FD4"/>
    <w:rsid w:val="00472C71"/>
    <w:rsid w:val="004736BE"/>
    <w:rsid w:val="00474E49"/>
    <w:rsid w:val="0047556D"/>
    <w:rsid w:val="00475789"/>
    <w:rsid w:val="0047583A"/>
    <w:rsid w:val="00476170"/>
    <w:rsid w:val="00476492"/>
    <w:rsid w:val="00477812"/>
    <w:rsid w:val="004778BD"/>
    <w:rsid w:val="00477ECA"/>
    <w:rsid w:val="0048067C"/>
    <w:rsid w:val="00481E54"/>
    <w:rsid w:val="004820B0"/>
    <w:rsid w:val="0048241A"/>
    <w:rsid w:val="00482E2F"/>
    <w:rsid w:val="004841E1"/>
    <w:rsid w:val="00485235"/>
    <w:rsid w:val="00485680"/>
    <w:rsid w:val="0048585C"/>
    <w:rsid w:val="004859B4"/>
    <w:rsid w:val="00486ACD"/>
    <w:rsid w:val="00486DD8"/>
    <w:rsid w:val="00490066"/>
    <w:rsid w:val="004913B8"/>
    <w:rsid w:val="00492C65"/>
    <w:rsid w:val="0049335B"/>
    <w:rsid w:val="0049387F"/>
    <w:rsid w:val="0049403F"/>
    <w:rsid w:val="00494323"/>
    <w:rsid w:val="00494349"/>
    <w:rsid w:val="00494485"/>
    <w:rsid w:val="00497356"/>
    <w:rsid w:val="004A080A"/>
    <w:rsid w:val="004A0F27"/>
    <w:rsid w:val="004A0F37"/>
    <w:rsid w:val="004A0F68"/>
    <w:rsid w:val="004A1473"/>
    <w:rsid w:val="004A14FC"/>
    <w:rsid w:val="004A1AC1"/>
    <w:rsid w:val="004A2920"/>
    <w:rsid w:val="004A2DCF"/>
    <w:rsid w:val="004A3608"/>
    <w:rsid w:val="004A46EC"/>
    <w:rsid w:val="004A4A9F"/>
    <w:rsid w:val="004A4FBD"/>
    <w:rsid w:val="004A55A6"/>
    <w:rsid w:val="004A5A59"/>
    <w:rsid w:val="004A5DF4"/>
    <w:rsid w:val="004A737D"/>
    <w:rsid w:val="004A746A"/>
    <w:rsid w:val="004A77C1"/>
    <w:rsid w:val="004A7810"/>
    <w:rsid w:val="004A7E93"/>
    <w:rsid w:val="004B3459"/>
    <w:rsid w:val="004B3CFB"/>
    <w:rsid w:val="004B3FED"/>
    <w:rsid w:val="004B428A"/>
    <w:rsid w:val="004B49DF"/>
    <w:rsid w:val="004B4CE6"/>
    <w:rsid w:val="004B4EE1"/>
    <w:rsid w:val="004B5A94"/>
    <w:rsid w:val="004B5D6B"/>
    <w:rsid w:val="004B641B"/>
    <w:rsid w:val="004B6839"/>
    <w:rsid w:val="004B6EE6"/>
    <w:rsid w:val="004B76F8"/>
    <w:rsid w:val="004B796A"/>
    <w:rsid w:val="004C032F"/>
    <w:rsid w:val="004C06D8"/>
    <w:rsid w:val="004C0914"/>
    <w:rsid w:val="004C0BE0"/>
    <w:rsid w:val="004C1C79"/>
    <w:rsid w:val="004C1FA6"/>
    <w:rsid w:val="004C50C3"/>
    <w:rsid w:val="004C5CFD"/>
    <w:rsid w:val="004C7ED5"/>
    <w:rsid w:val="004D0A0E"/>
    <w:rsid w:val="004D0CC0"/>
    <w:rsid w:val="004D12C0"/>
    <w:rsid w:val="004D15E9"/>
    <w:rsid w:val="004D174B"/>
    <w:rsid w:val="004D18EA"/>
    <w:rsid w:val="004D1981"/>
    <w:rsid w:val="004D2B27"/>
    <w:rsid w:val="004D3713"/>
    <w:rsid w:val="004D6254"/>
    <w:rsid w:val="004D6315"/>
    <w:rsid w:val="004D6A13"/>
    <w:rsid w:val="004D700C"/>
    <w:rsid w:val="004D72CB"/>
    <w:rsid w:val="004D7C0D"/>
    <w:rsid w:val="004D7DC7"/>
    <w:rsid w:val="004D7E99"/>
    <w:rsid w:val="004E000F"/>
    <w:rsid w:val="004E00CE"/>
    <w:rsid w:val="004E0557"/>
    <w:rsid w:val="004E05B9"/>
    <w:rsid w:val="004E151B"/>
    <w:rsid w:val="004E2942"/>
    <w:rsid w:val="004E2BDB"/>
    <w:rsid w:val="004E4057"/>
    <w:rsid w:val="004E4C13"/>
    <w:rsid w:val="004E5BC1"/>
    <w:rsid w:val="004E778C"/>
    <w:rsid w:val="004E798E"/>
    <w:rsid w:val="004E7CAF"/>
    <w:rsid w:val="004F0B51"/>
    <w:rsid w:val="004F3162"/>
    <w:rsid w:val="004F36F5"/>
    <w:rsid w:val="004F3BB5"/>
    <w:rsid w:val="004F4EE2"/>
    <w:rsid w:val="004F50AF"/>
    <w:rsid w:val="004F5BF2"/>
    <w:rsid w:val="004F5EEC"/>
    <w:rsid w:val="004F681D"/>
    <w:rsid w:val="004F6E14"/>
    <w:rsid w:val="004F6E4B"/>
    <w:rsid w:val="004F71EC"/>
    <w:rsid w:val="005014DB"/>
    <w:rsid w:val="00501EF5"/>
    <w:rsid w:val="00501F6F"/>
    <w:rsid w:val="0050228C"/>
    <w:rsid w:val="005022B0"/>
    <w:rsid w:val="00502857"/>
    <w:rsid w:val="00502E5A"/>
    <w:rsid w:val="00503EDF"/>
    <w:rsid w:val="005044A9"/>
    <w:rsid w:val="00504DED"/>
    <w:rsid w:val="00505994"/>
    <w:rsid w:val="00505AB5"/>
    <w:rsid w:val="00505CBC"/>
    <w:rsid w:val="00505FD4"/>
    <w:rsid w:val="005064AD"/>
    <w:rsid w:val="00506C31"/>
    <w:rsid w:val="00506E25"/>
    <w:rsid w:val="005071F4"/>
    <w:rsid w:val="0051008B"/>
    <w:rsid w:val="0051132C"/>
    <w:rsid w:val="0051188A"/>
    <w:rsid w:val="005130D9"/>
    <w:rsid w:val="00513483"/>
    <w:rsid w:val="005146BA"/>
    <w:rsid w:val="00514919"/>
    <w:rsid w:val="00514A55"/>
    <w:rsid w:val="00514EF5"/>
    <w:rsid w:val="0051782D"/>
    <w:rsid w:val="00517948"/>
    <w:rsid w:val="00517EE4"/>
    <w:rsid w:val="00520110"/>
    <w:rsid w:val="0052087E"/>
    <w:rsid w:val="00520E24"/>
    <w:rsid w:val="00520F07"/>
    <w:rsid w:val="00521613"/>
    <w:rsid w:val="00521F8E"/>
    <w:rsid w:val="0052315E"/>
    <w:rsid w:val="00523203"/>
    <w:rsid w:val="005244B9"/>
    <w:rsid w:val="00525635"/>
    <w:rsid w:val="00525991"/>
    <w:rsid w:val="005266C8"/>
    <w:rsid w:val="005273D5"/>
    <w:rsid w:val="0052775E"/>
    <w:rsid w:val="005277B7"/>
    <w:rsid w:val="00530ED3"/>
    <w:rsid w:val="005316CF"/>
    <w:rsid w:val="0053219B"/>
    <w:rsid w:val="0053245C"/>
    <w:rsid w:val="00532A88"/>
    <w:rsid w:val="00534097"/>
    <w:rsid w:val="0053438E"/>
    <w:rsid w:val="005355EE"/>
    <w:rsid w:val="00535B16"/>
    <w:rsid w:val="00535CA6"/>
    <w:rsid w:val="005366D0"/>
    <w:rsid w:val="0053796B"/>
    <w:rsid w:val="00537E27"/>
    <w:rsid w:val="005400DA"/>
    <w:rsid w:val="005407D9"/>
    <w:rsid w:val="00540B4D"/>
    <w:rsid w:val="00540FFA"/>
    <w:rsid w:val="005413A7"/>
    <w:rsid w:val="005414C5"/>
    <w:rsid w:val="00541559"/>
    <w:rsid w:val="005422B5"/>
    <w:rsid w:val="00542842"/>
    <w:rsid w:val="00542862"/>
    <w:rsid w:val="00542930"/>
    <w:rsid w:val="005435B3"/>
    <w:rsid w:val="00543E68"/>
    <w:rsid w:val="00544001"/>
    <w:rsid w:val="00544384"/>
    <w:rsid w:val="005465BB"/>
    <w:rsid w:val="005468D6"/>
    <w:rsid w:val="00546CCB"/>
    <w:rsid w:val="005471BB"/>
    <w:rsid w:val="00547B78"/>
    <w:rsid w:val="00550849"/>
    <w:rsid w:val="00551018"/>
    <w:rsid w:val="0055121F"/>
    <w:rsid w:val="005527DB"/>
    <w:rsid w:val="00552C97"/>
    <w:rsid w:val="00553558"/>
    <w:rsid w:val="00554087"/>
    <w:rsid w:val="0055421B"/>
    <w:rsid w:val="00554B32"/>
    <w:rsid w:val="00554BF3"/>
    <w:rsid w:val="00555D8B"/>
    <w:rsid w:val="0055655F"/>
    <w:rsid w:val="0055657D"/>
    <w:rsid w:val="005567F6"/>
    <w:rsid w:val="005576B5"/>
    <w:rsid w:val="00560D0D"/>
    <w:rsid w:val="00561443"/>
    <w:rsid w:val="00561DE9"/>
    <w:rsid w:val="00562801"/>
    <w:rsid w:val="00563569"/>
    <w:rsid w:val="00563C16"/>
    <w:rsid w:val="00563FD2"/>
    <w:rsid w:val="00564048"/>
    <w:rsid w:val="005648F8"/>
    <w:rsid w:val="00564E69"/>
    <w:rsid w:val="00565FB1"/>
    <w:rsid w:val="005662FB"/>
    <w:rsid w:val="00566DE1"/>
    <w:rsid w:val="005672F0"/>
    <w:rsid w:val="00567781"/>
    <w:rsid w:val="00567B1A"/>
    <w:rsid w:val="00567ECC"/>
    <w:rsid w:val="005713B1"/>
    <w:rsid w:val="00574E00"/>
    <w:rsid w:val="00576286"/>
    <w:rsid w:val="00576A93"/>
    <w:rsid w:val="00576AB4"/>
    <w:rsid w:val="00576B65"/>
    <w:rsid w:val="005805D9"/>
    <w:rsid w:val="00580A7C"/>
    <w:rsid w:val="00582540"/>
    <w:rsid w:val="00582FAB"/>
    <w:rsid w:val="00583090"/>
    <w:rsid w:val="0058321D"/>
    <w:rsid w:val="005835F4"/>
    <w:rsid w:val="00583EFE"/>
    <w:rsid w:val="00584155"/>
    <w:rsid w:val="005841A3"/>
    <w:rsid w:val="00585150"/>
    <w:rsid w:val="005860A4"/>
    <w:rsid w:val="005865A3"/>
    <w:rsid w:val="00587151"/>
    <w:rsid w:val="005875B6"/>
    <w:rsid w:val="005900BC"/>
    <w:rsid w:val="005904B2"/>
    <w:rsid w:val="00590EAE"/>
    <w:rsid w:val="0059112A"/>
    <w:rsid w:val="00592A01"/>
    <w:rsid w:val="00593216"/>
    <w:rsid w:val="00593A11"/>
    <w:rsid w:val="00594138"/>
    <w:rsid w:val="005943D9"/>
    <w:rsid w:val="00594655"/>
    <w:rsid w:val="005946CE"/>
    <w:rsid w:val="00594BC3"/>
    <w:rsid w:val="00594E5F"/>
    <w:rsid w:val="005958D3"/>
    <w:rsid w:val="00596617"/>
    <w:rsid w:val="00596CA7"/>
    <w:rsid w:val="00596DC8"/>
    <w:rsid w:val="00596E16"/>
    <w:rsid w:val="00596E80"/>
    <w:rsid w:val="005A010D"/>
    <w:rsid w:val="005A164A"/>
    <w:rsid w:val="005A16A3"/>
    <w:rsid w:val="005A1C48"/>
    <w:rsid w:val="005A253A"/>
    <w:rsid w:val="005A2F01"/>
    <w:rsid w:val="005A30FD"/>
    <w:rsid w:val="005A3189"/>
    <w:rsid w:val="005A338D"/>
    <w:rsid w:val="005A3BE4"/>
    <w:rsid w:val="005A3C86"/>
    <w:rsid w:val="005A6E2F"/>
    <w:rsid w:val="005A7008"/>
    <w:rsid w:val="005A7E04"/>
    <w:rsid w:val="005B0056"/>
    <w:rsid w:val="005B0102"/>
    <w:rsid w:val="005B264B"/>
    <w:rsid w:val="005B3060"/>
    <w:rsid w:val="005B39E7"/>
    <w:rsid w:val="005B3BF5"/>
    <w:rsid w:val="005B4421"/>
    <w:rsid w:val="005B74BB"/>
    <w:rsid w:val="005B7929"/>
    <w:rsid w:val="005C07DA"/>
    <w:rsid w:val="005C095B"/>
    <w:rsid w:val="005C11BD"/>
    <w:rsid w:val="005C1837"/>
    <w:rsid w:val="005C1D5C"/>
    <w:rsid w:val="005C25D1"/>
    <w:rsid w:val="005C27D1"/>
    <w:rsid w:val="005C35A9"/>
    <w:rsid w:val="005C37A3"/>
    <w:rsid w:val="005C464B"/>
    <w:rsid w:val="005C54FA"/>
    <w:rsid w:val="005C74A0"/>
    <w:rsid w:val="005D052C"/>
    <w:rsid w:val="005D16FE"/>
    <w:rsid w:val="005D1EAE"/>
    <w:rsid w:val="005D326E"/>
    <w:rsid w:val="005D3482"/>
    <w:rsid w:val="005D3C5C"/>
    <w:rsid w:val="005D4084"/>
    <w:rsid w:val="005D4777"/>
    <w:rsid w:val="005D4815"/>
    <w:rsid w:val="005D4B58"/>
    <w:rsid w:val="005D4C2B"/>
    <w:rsid w:val="005E06AF"/>
    <w:rsid w:val="005E0DDF"/>
    <w:rsid w:val="005E11EB"/>
    <w:rsid w:val="005E1AE5"/>
    <w:rsid w:val="005E3306"/>
    <w:rsid w:val="005E46A4"/>
    <w:rsid w:val="005E6615"/>
    <w:rsid w:val="005E6B88"/>
    <w:rsid w:val="005E6CE7"/>
    <w:rsid w:val="005E7953"/>
    <w:rsid w:val="005E7E82"/>
    <w:rsid w:val="005F0177"/>
    <w:rsid w:val="005F0762"/>
    <w:rsid w:val="005F33B8"/>
    <w:rsid w:val="005F33F2"/>
    <w:rsid w:val="005F5EAE"/>
    <w:rsid w:val="005F6870"/>
    <w:rsid w:val="005F6C28"/>
    <w:rsid w:val="005F742F"/>
    <w:rsid w:val="005F7AB6"/>
    <w:rsid w:val="005F7E3C"/>
    <w:rsid w:val="00600972"/>
    <w:rsid w:val="00600D7D"/>
    <w:rsid w:val="00600E7B"/>
    <w:rsid w:val="00600F91"/>
    <w:rsid w:val="00600FA8"/>
    <w:rsid w:val="006026A3"/>
    <w:rsid w:val="00603977"/>
    <w:rsid w:val="00603C3C"/>
    <w:rsid w:val="00605A9B"/>
    <w:rsid w:val="00605BAE"/>
    <w:rsid w:val="00606068"/>
    <w:rsid w:val="006063DA"/>
    <w:rsid w:val="006068CB"/>
    <w:rsid w:val="00606CE3"/>
    <w:rsid w:val="006078D2"/>
    <w:rsid w:val="00611DD3"/>
    <w:rsid w:val="00611E02"/>
    <w:rsid w:val="00611EF0"/>
    <w:rsid w:val="006121E9"/>
    <w:rsid w:val="00612219"/>
    <w:rsid w:val="0061291A"/>
    <w:rsid w:val="00612E04"/>
    <w:rsid w:val="00613179"/>
    <w:rsid w:val="006143F0"/>
    <w:rsid w:val="0061468D"/>
    <w:rsid w:val="00614C1F"/>
    <w:rsid w:val="0061569A"/>
    <w:rsid w:val="00617277"/>
    <w:rsid w:val="006173A4"/>
    <w:rsid w:val="00617C44"/>
    <w:rsid w:val="00620E78"/>
    <w:rsid w:val="00622CE4"/>
    <w:rsid w:val="006234A7"/>
    <w:rsid w:val="006236F8"/>
    <w:rsid w:val="006237C6"/>
    <w:rsid w:val="00624C26"/>
    <w:rsid w:val="00624FAE"/>
    <w:rsid w:val="0062571E"/>
    <w:rsid w:val="00625917"/>
    <w:rsid w:val="00625B7F"/>
    <w:rsid w:val="00626450"/>
    <w:rsid w:val="00626AF7"/>
    <w:rsid w:val="00627144"/>
    <w:rsid w:val="0062789F"/>
    <w:rsid w:val="006301BE"/>
    <w:rsid w:val="0063030B"/>
    <w:rsid w:val="006307C5"/>
    <w:rsid w:val="006307F2"/>
    <w:rsid w:val="0063096E"/>
    <w:rsid w:val="00630B6E"/>
    <w:rsid w:val="00632350"/>
    <w:rsid w:val="006330BE"/>
    <w:rsid w:val="00633349"/>
    <w:rsid w:val="00633D61"/>
    <w:rsid w:val="00633D81"/>
    <w:rsid w:val="0063402A"/>
    <w:rsid w:val="0063402B"/>
    <w:rsid w:val="00636095"/>
    <w:rsid w:val="00636295"/>
    <w:rsid w:val="00636570"/>
    <w:rsid w:val="0063693E"/>
    <w:rsid w:val="00636AF1"/>
    <w:rsid w:val="00636EBA"/>
    <w:rsid w:val="00637901"/>
    <w:rsid w:val="00637955"/>
    <w:rsid w:val="00637D35"/>
    <w:rsid w:val="00637E1B"/>
    <w:rsid w:val="006400AF"/>
    <w:rsid w:val="006402DF"/>
    <w:rsid w:val="00640BE1"/>
    <w:rsid w:val="00640DDF"/>
    <w:rsid w:val="0064164B"/>
    <w:rsid w:val="006420AE"/>
    <w:rsid w:val="0064348B"/>
    <w:rsid w:val="00643529"/>
    <w:rsid w:val="00644468"/>
    <w:rsid w:val="0064472A"/>
    <w:rsid w:val="0064501B"/>
    <w:rsid w:val="0064510E"/>
    <w:rsid w:val="00645F5E"/>
    <w:rsid w:val="0064645E"/>
    <w:rsid w:val="006474AE"/>
    <w:rsid w:val="00647B1E"/>
    <w:rsid w:val="00647C55"/>
    <w:rsid w:val="00647DCA"/>
    <w:rsid w:val="0065008B"/>
    <w:rsid w:val="0065201C"/>
    <w:rsid w:val="00652257"/>
    <w:rsid w:val="00652608"/>
    <w:rsid w:val="00653365"/>
    <w:rsid w:val="00653776"/>
    <w:rsid w:val="00653A3B"/>
    <w:rsid w:val="00653B07"/>
    <w:rsid w:val="00653D93"/>
    <w:rsid w:val="00653FD9"/>
    <w:rsid w:val="00654619"/>
    <w:rsid w:val="00654D42"/>
    <w:rsid w:val="0065563B"/>
    <w:rsid w:val="00656328"/>
    <w:rsid w:val="006563FF"/>
    <w:rsid w:val="00656DA0"/>
    <w:rsid w:val="00657B86"/>
    <w:rsid w:val="00660279"/>
    <w:rsid w:val="00660D2D"/>
    <w:rsid w:val="0066144D"/>
    <w:rsid w:val="00661848"/>
    <w:rsid w:val="00661B6A"/>
    <w:rsid w:val="006622B9"/>
    <w:rsid w:val="006625C6"/>
    <w:rsid w:val="00662E1E"/>
    <w:rsid w:val="0066371E"/>
    <w:rsid w:val="00663D0D"/>
    <w:rsid w:val="00664807"/>
    <w:rsid w:val="00664F03"/>
    <w:rsid w:val="00664F25"/>
    <w:rsid w:val="006653F9"/>
    <w:rsid w:val="00665679"/>
    <w:rsid w:val="006659DA"/>
    <w:rsid w:val="00667388"/>
    <w:rsid w:val="00667F0C"/>
    <w:rsid w:val="006711A3"/>
    <w:rsid w:val="006716B7"/>
    <w:rsid w:val="00671D2A"/>
    <w:rsid w:val="0067213F"/>
    <w:rsid w:val="00672448"/>
    <w:rsid w:val="006724AD"/>
    <w:rsid w:val="00672BAB"/>
    <w:rsid w:val="0067314A"/>
    <w:rsid w:val="0067345C"/>
    <w:rsid w:val="00673D1E"/>
    <w:rsid w:val="006742AA"/>
    <w:rsid w:val="00675839"/>
    <w:rsid w:val="00676239"/>
    <w:rsid w:val="0067762A"/>
    <w:rsid w:val="006779CF"/>
    <w:rsid w:val="00677A8F"/>
    <w:rsid w:val="00677F8A"/>
    <w:rsid w:val="00681719"/>
    <w:rsid w:val="006819C0"/>
    <w:rsid w:val="00681A5B"/>
    <w:rsid w:val="006821E3"/>
    <w:rsid w:val="006826E6"/>
    <w:rsid w:val="006832FA"/>
    <w:rsid w:val="00683643"/>
    <w:rsid w:val="00683AD6"/>
    <w:rsid w:val="00683B69"/>
    <w:rsid w:val="00683C03"/>
    <w:rsid w:val="006842AE"/>
    <w:rsid w:val="00685749"/>
    <w:rsid w:val="00685A3D"/>
    <w:rsid w:val="00685AE2"/>
    <w:rsid w:val="00687BE9"/>
    <w:rsid w:val="0069097D"/>
    <w:rsid w:val="00691C39"/>
    <w:rsid w:val="00692B89"/>
    <w:rsid w:val="00694FDC"/>
    <w:rsid w:val="00695046"/>
    <w:rsid w:val="0069541E"/>
    <w:rsid w:val="00695854"/>
    <w:rsid w:val="0069591B"/>
    <w:rsid w:val="00696157"/>
    <w:rsid w:val="00696CBD"/>
    <w:rsid w:val="00696FD6"/>
    <w:rsid w:val="006A0CB7"/>
    <w:rsid w:val="006A18FB"/>
    <w:rsid w:val="006A3542"/>
    <w:rsid w:val="006A5773"/>
    <w:rsid w:val="006A5804"/>
    <w:rsid w:val="006A58F0"/>
    <w:rsid w:val="006A65A5"/>
    <w:rsid w:val="006A6730"/>
    <w:rsid w:val="006A7851"/>
    <w:rsid w:val="006B0372"/>
    <w:rsid w:val="006B0764"/>
    <w:rsid w:val="006B080C"/>
    <w:rsid w:val="006B2C2E"/>
    <w:rsid w:val="006B3C26"/>
    <w:rsid w:val="006B4467"/>
    <w:rsid w:val="006B4E00"/>
    <w:rsid w:val="006B52A4"/>
    <w:rsid w:val="006B59B3"/>
    <w:rsid w:val="006B6C46"/>
    <w:rsid w:val="006B6E78"/>
    <w:rsid w:val="006B6F72"/>
    <w:rsid w:val="006B7B83"/>
    <w:rsid w:val="006B7C24"/>
    <w:rsid w:val="006C0039"/>
    <w:rsid w:val="006C1752"/>
    <w:rsid w:val="006C17EB"/>
    <w:rsid w:val="006C1927"/>
    <w:rsid w:val="006C1C6A"/>
    <w:rsid w:val="006C2585"/>
    <w:rsid w:val="006C29D8"/>
    <w:rsid w:val="006C2A15"/>
    <w:rsid w:val="006C4008"/>
    <w:rsid w:val="006C4C00"/>
    <w:rsid w:val="006C55C4"/>
    <w:rsid w:val="006C5931"/>
    <w:rsid w:val="006C65EC"/>
    <w:rsid w:val="006C73EF"/>
    <w:rsid w:val="006D0202"/>
    <w:rsid w:val="006D035D"/>
    <w:rsid w:val="006D05D8"/>
    <w:rsid w:val="006D1723"/>
    <w:rsid w:val="006D2343"/>
    <w:rsid w:val="006D2A2A"/>
    <w:rsid w:val="006D2D35"/>
    <w:rsid w:val="006D39CC"/>
    <w:rsid w:val="006D4F04"/>
    <w:rsid w:val="006D544E"/>
    <w:rsid w:val="006D5D3F"/>
    <w:rsid w:val="006D60ED"/>
    <w:rsid w:val="006D78D9"/>
    <w:rsid w:val="006E10C9"/>
    <w:rsid w:val="006E1166"/>
    <w:rsid w:val="006E13C2"/>
    <w:rsid w:val="006E3B39"/>
    <w:rsid w:val="006E3BE6"/>
    <w:rsid w:val="006E43A1"/>
    <w:rsid w:val="006E468A"/>
    <w:rsid w:val="006E52F2"/>
    <w:rsid w:val="006E56E9"/>
    <w:rsid w:val="006E596E"/>
    <w:rsid w:val="006E7A72"/>
    <w:rsid w:val="006F033F"/>
    <w:rsid w:val="006F0492"/>
    <w:rsid w:val="006F04AC"/>
    <w:rsid w:val="006F1D6D"/>
    <w:rsid w:val="006F24D8"/>
    <w:rsid w:val="006F2B81"/>
    <w:rsid w:val="006F33B8"/>
    <w:rsid w:val="006F3EE2"/>
    <w:rsid w:val="006F407A"/>
    <w:rsid w:val="006F4C9C"/>
    <w:rsid w:val="006F5790"/>
    <w:rsid w:val="006F5D4E"/>
    <w:rsid w:val="006F640F"/>
    <w:rsid w:val="006F762A"/>
    <w:rsid w:val="006F78B2"/>
    <w:rsid w:val="00701B6B"/>
    <w:rsid w:val="0070351C"/>
    <w:rsid w:val="00703649"/>
    <w:rsid w:val="0070384F"/>
    <w:rsid w:val="00703A9E"/>
    <w:rsid w:val="00703D6D"/>
    <w:rsid w:val="00704152"/>
    <w:rsid w:val="0070492B"/>
    <w:rsid w:val="00704E0A"/>
    <w:rsid w:val="00704E8A"/>
    <w:rsid w:val="00704FB5"/>
    <w:rsid w:val="007051AC"/>
    <w:rsid w:val="00705352"/>
    <w:rsid w:val="0070564D"/>
    <w:rsid w:val="00706B71"/>
    <w:rsid w:val="0070768B"/>
    <w:rsid w:val="00710B7D"/>
    <w:rsid w:val="00711142"/>
    <w:rsid w:val="0071277A"/>
    <w:rsid w:val="00712EE5"/>
    <w:rsid w:val="00713493"/>
    <w:rsid w:val="00713494"/>
    <w:rsid w:val="00714031"/>
    <w:rsid w:val="00714365"/>
    <w:rsid w:val="0071466E"/>
    <w:rsid w:val="00714A6C"/>
    <w:rsid w:val="00714CD3"/>
    <w:rsid w:val="007163C7"/>
    <w:rsid w:val="00716FD9"/>
    <w:rsid w:val="00720024"/>
    <w:rsid w:val="007200F5"/>
    <w:rsid w:val="00720315"/>
    <w:rsid w:val="007206A8"/>
    <w:rsid w:val="0072116D"/>
    <w:rsid w:val="007212D2"/>
    <w:rsid w:val="007213FC"/>
    <w:rsid w:val="00721548"/>
    <w:rsid w:val="00721934"/>
    <w:rsid w:val="00721AEE"/>
    <w:rsid w:val="0072226F"/>
    <w:rsid w:val="00722FA0"/>
    <w:rsid w:val="007235F3"/>
    <w:rsid w:val="00723D04"/>
    <w:rsid w:val="00724209"/>
    <w:rsid w:val="00725892"/>
    <w:rsid w:val="00725B78"/>
    <w:rsid w:val="00727082"/>
    <w:rsid w:val="00730136"/>
    <w:rsid w:val="007313BC"/>
    <w:rsid w:val="007320E1"/>
    <w:rsid w:val="0073233C"/>
    <w:rsid w:val="00732B3F"/>
    <w:rsid w:val="00732D0C"/>
    <w:rsid w:val="00732E78"/>
    <w:rsid w:val="00733EAD"/>
    <w:rsid w:val="00734025"/>
    <w:rsid w:val="00734F54"/>
    <w:rsid w:val="00737C04"/>
    <w:rsid w:val="0074243B"/>
    <w:rsid w:val="00743873"/>
    <w:rsid w:val="00744110"/>
    <w:rsid w:val="007441E9"/>
    <w:rsid w:val="00744595"/>
    <w:rsid w:val="007446C2"/>
    <w:rsid w:val="00744E63"/>
    <w:rsid w:val="007452EE"/>
    <w:rsid w:val="00747345"/>
    <w:rsid w:val="007475CB"/>
    <w:rsid w:val="00747A52"/>
    <w:rsid w:val="007509B7"/>
    <w:rsid w:val="00750DF5"/>
    <w:rsid w:val="00750F1E"/>
    <w:rsid w:val="00751C12"/>
    <w:rsid w:val="007524D7"/>
    <w:rsid w:val="00752691"/>
    <w:rsid w:val="007528F2"/>
    <w:rsid w:val="0075534D"/>
    <w:rsid w:val="0075589A"/>
    <w:rsid w:val="00755BB8"/>
    <w:rsid w:val="00755F9B"/>
    <w:rsid w:val="007564A2"/>
    <w:rsid w:val="00756F05"/>
    <w:rsid w:val="007575C4"/>
    <w:rsid w:val="007579A0"/>
    <w:rsid w:val="00757A38"/>
    <w:rsid w:val="007603BC"/>
    <w:rsid w:val="0076050F"/>
    <w:rsid w:val="007615B3"/>
    <w:rsid w:val="00763700"/>
    <w:rsid w:val="0076427C"/>
    <w:rsid w:val="0076439A"/>
    <w:rsid w:val="0076476E"/>
    <w:rsid w:val="00765217"/>
    <w:rsid w:val="007659AA"/>
    <w:rsid w:val="00766564"/>
    <w:rsid w:val="007667B6"/>
    <w:rsid w:val="00766B8A"/>
    <w:rsid w:val="00766C90"/>
    <w:rsid w:val="00767F69"/>
    <w:rsid w:val="007713DB"/>
    <w:rsid w:val="0077217F"/>
    <w:rsid w:val="0077266C"/>
    <w:rsid w:val="00772802"/>
    <w:rsid w:val="00772CB9"/>
    <w:rsid w:val="007731D6"/>
    <w:rsid w:val="0077420B"/>
    <w:rsid w:val="00775066"/>
    <w:rsid w:val="007760EB"/>
    <w:rsid w:val="00776406"/>
    <w:rsid w:val="0077676A"/>
    <w:rsid w:val="0077676E"/>
    <w:rsid w:val="00777706"/>
    <w:rsid w:val="0078005A"/>
    <w:rsid w:val="00780370"/>
    <w:rsid w:val="00780F75"/>
    <w:rsid w:val="007811C6"/>
    <w:rsid w:val="00781B19"/>
    <w:rsid w:val="00781B6F"/>
    <w:rsid w:val="00781CC7"/>
    <w:rsid w:val="00781F9C"/>
    <w:rsid w:val="00782703"/>
    <w:rsid w:val="0078284C"/>
    <w:rsid w:val="00782DFD"/>
    <w:rsid w:val="007838B5"/>
    <w:rsid w:val="00783BCD"/>
    <w:rsid w:val="00783EDC"/>
    <w:rsid w:val="00784424"/>
    <w:rsid w:val="00784459"/>
    <w:rsid w:val="0078497D"/>
    <w:rsid w:val="00785474"/>
    <w:rsid w:val="00785AE2"/>
    <w:rsid w:val="0078634F"/>
    <w:rsid w:val="00787B99"/>
    <w:rsid w:val="00790D53"/>
    <w:rsid w:val="007918AA"/>
    <w:rsid w:val="00791ED7"/>
    <w:rsid w:val="007931C4"/>
    <w:rsid w:val="00793A10"/>
    <w:rsid w:val="007941C2"/>
    <w:rsid w:val="0079421C"/>
    <w:rsid w:val="0079450D"/>
    <w:rsid w:val="00794B09"/>
    <w:rsid w:val="0079526D"/>
    <w:rsid w:val="00795A2C"/>
    <w:rsid w:val="00795F59"/>
    <w:rsid w:val="0079615C"/>
    <w:rsid w:val="00796BE3"/>
    <w:rsid w:val="00797390"/>
    <w:rsid w:val="00797601"/>
    <w:rsid w:val="007A005C"/>
    <w:rsid w:val="007A05B6"/>
    <w:rsid w:val="007A0DD4"/>
    <w:rsid w:val="007A103D"/>
    <w:rsid w:val="007A1C0A"/>
    <w:rsid w:val="007A1C59"/>
    <w:rsid w:val="007A23F7"/>
    <w:rsid w:val="007A2F7C"/>
    <w:rsid w:val="007A4406"/>
    <w:rsid w:val="007A542F"/>
    <w:rsid w:val="007A5AC2"/>
    <w:rsid w:val="007A5B41"/>
    <w:rsid w:val="007A6E04"/>
    <w:rsid w:val="007B04EE"/>
    <w:rsid w:val="007B06FA"/>
    <w:rsid w:val="007B0C97"/>
    <w:rsid w:val="007B1929"/>
    <w:rsid w:val="007B2356"/>
    <w:rsid w:val="007B3673"/>
    <w:rsid w:val="007B3EEC"/>
    <w:rsid w:val="007B46B1"/>
    <w:rsid w:val="007B5792"/>
    <w:rsid w:val="007C1660"/>
    <w:rsid w:val="007C1A28"/>
    <w:rsid w:val="007C31E2"/>
    <w:rsid w:val="007C36D0"/>
    <w:rsid w:val="007C5CE1"/>
    <w:rsid w:val="007C6A88"/>
    <w:rsid w:val="007C6F85"/>
    <w:rsid w:val="007C737D"/>
    <w:rsid w:val="007C74D8"/>
    <w:rsid w:val="007C75AF"/>
    <w:rsid w:val="007D0569"/>
    <w:rsid w:val="007D0C06"/>
    <w:rsid w:val="007D16B1"/>
    <w:rsid w:val="007D17B4"/>
    <w:rsid w:val="007D19E4"/>
    <w:rsid w:val="007D256E"/>
    <w:rsid w:val="007D2B02"/>
    <w:rsid w:val="007D2EF6"/>
    <w:rsid w:val="007D3BD0"/>
    <w:rsid w:val="007D3FCC"/>
    <w:rsid w:val="007D44E5"/>
    <w:rsid w:val="007D46C4"/>
    <w:rsid w:val="007D49BF"/>
    <w:rsid w:val="007D4FE0"/>
    <w:rsid w:val="007D6170"/>
    <w:rsid w:val="007D6185"/>
    <w:rsid w:val="007D64FE"/>
    <w:rsid w:val="007D7400"/>
    <w:rsid w:val="007D7761"/>
    <w:rsid w:val="007D79FF"/>
    <w:rsid w:val="007D7E1D"/>
    <w:rsid w:val="007E02A7"/>
    <w:rsid w:val="007E033E"/>
    <w:rsid w:val="007E0FC0"/>
    <w:rsid w:val="007E1FF2"/>
    <w:rsid w:val="007E21FB"/>
    <w:rsid w:val="007E3E8C"/>
    <w:rsid w:val="007E468A"/>
    <w:rsid w:val="007E51A5"/>
    <w:rsid w:val="007E7806"/>
    <w:rsid w:val="007E7F4C"/>
    <w:rsid w:val="007E7F88"/>
    <w:rsid w:val="007F012F"/>
    <w:rsid w:val="007F0B36"/>
    <w:rsid w:val="007F0C11"/>
    <w:rsid w:val="007F14EE"/>
    <w:rsid w:val="007F2864"/>
    <w:rsid w:val="007F3018"/>
    <w:rsid w:val="007F35CD"/>
    <w:rsid w:val="007F3B02"/>
    <w:rsid w:val="007F3BEB"/>
    <w:rsid w:val="007F4C7D"/>
    <w:rsid w:val="007F52CF"/>
    <w:rsid w:val="007F5ACD"/>
    <w:rsid w:val="007F73EC"/>
    <w:rsid w:val="007F74AA"/>
    <w:rsid w:val="007F765A"/>
    <w:rsid w:val="007F795A"/>
    <w:rsid w:val="0080000F"/>
    <w:rsid w:val="00800C1B"/>
    <w:rsid w:val="00801B39"/>
    <w:rsid w:val="00802465"/>
    <w:rsid w:val="008046D9"/>
    <w:rsid w:val="0080576F"/>
    <w:rsid w:val="00805B1E"/>
    <w:rsid w:val="008060C3"/>
    <w:rsid w:val="008063A1"/>
    <w:rsid w:val="00807F00"/>
    <w:rsid w:val="008107BC"/>
    <w:rsid w:val="008109D6"/>
    <w:rsid w:val="00811159"/>
    <w:rsid w:val="008111F5"/>
    <w:rsid w:val="00812095"/>
    <w:rsid w:val="00812240"/>
    <w:rsid w:val="008125C9"/>
    <w:rsid w:val="008134BD"/>
    <w:rsid w:val="00813C04"/>
    <w:rsid w:val="0081435E"/>
    <w:rsid w:val="00814656"/>
    <w:rsid w:val="008149B8"/>
    <w:rsid w:val="00814BD1"/>
    <w:rsid w:val="008152E7"/>
    <w:rsid w:val="00815F39"/>
    <w:rsid w:val="00820955"/>
    <w:rsid w:val="00820DEE"/>
    <w:rsid w:val="00820E45"/>
    <w:rsid w:val="00821E2C"/>
    <w:rsid w:val="00822835"/>
    <w:rsid w:val="008236C4"/>
    <w:rsid w:val="00823CA6"/>
    <w:rsid w:val="00823F5C"/>
    <w:rsid w:val="008244C9"/>
    <w:rsid w:val="00824566"/>
    <w:rsid w:val="00825254"/>
    <w:rsid w:val="008263A2"/>
    <w:rsid w:val="00826758"/>
    <w:rsid w:val="008269CD"/>
    <w:rsid w:val="00826BE1"/>
    <w:rsid w:val="008272B7"/>
    <w:rsid w:val="0083053E"/>
    <w:rsid w:val="008317D5"/>
    <w:rsid w:val="00831E2B"/>
    <w:rsid w:val="00832C52"/>
    <w:rsid w:val="008339A2"/>
    <w:rsid w:val="008347F3"/>
    <w:rsid w:val="00834E94"/>
    <w:rsid w:val="00834EC5"/>
    <w:rsid w:val="008353E0"/>
    <w:rsid w:val="008365F0"/>
    <w:rsid w:val="00837F7A"/>
    <w:rsid w:val="00840006"/>
    <w:rsid w:val="00840559"/>
    <w:rsid w:val="00840D18"/>
    <w:rsid w:val="00841534"/>
    <w:rsid w:val="008434C9"/>
    <w:rsid w:val="00843B5D"/>
    <w:rsid w:val="008446EA"/>
    <w:rsid w:val="008450BF"/>
    <w:rsid w:val="008452A1"/>
    <w:rsid w:val="00845EB7"/>
    <w:rsid w:val="008462F1"/>
    <w:rsid w:val="00846930"/>
    <w:rsid w:val="008477C5"/>
    <w:rsid w:val="00850FDE"/>
    <w:rsid w:val="00851D65"/>
    <w:rsid w:val="00851F02"/>
    <w:rsid w:val="00852876"/>
    <w:rsid w:val="00853FC9"/>
    <w:rsid w:val="00854018"/>
    <w:rsid w:val="008543F5"/>
    <w:rsid w:val="008547A4"/>
    <w:rsid w:val="00855004"/>
    <w:rsid w:val="00855FF1"/>
    <w:rsid w:val="00856013"/>
    <w:rsid w:val="00856BA3"/>
    <w:rsid w:val="00856F68"/>
    <w:rsid w:val="008572C4"/>
    <w:rsid w:val="0085733E"/>
    <w:rsid w:val="00857CA1"/>
    <w:rsid w:val="00860008"/>
    <w:rsid w:val="008604A8"/>
    <w:rsid w:val="00860577"/>
    <w:rsid w:val="0086083B"/>
    <w:rsid w:val="00861AFA"/>
    <w:rsid w:val="00862B9F"/>
    <w:rsid w:val="00862E86"/>
    <w:rsid w:val="00863C61"/>
    <w:rsid w:val="00865522"/>
    <w:rsid w:val="008658E5"/>
    <w:rsid w:val="00865ADF"/>
    <w:rsid w:val="00865E61"/>
    <w:rsid w:val="00865F40"/>
    <w:rsid w:val="0086644C"/>
    <w:rsid w:val="008666B5"/>
    <w:rsid w:val="00866728"/>
    <w:rsid w:val="00867933"/>
    <w:rsid w:val="00867D17"/>
    <w:rsid w:val="00870393"/>
    <w:rsid w:val="008703B3"/>
    <w:rsid w:val="00870938"/>
    <w:rsid w:val="00871056"/>
    <w:rsid w:val="0087122D"/>
    <w:rsid w:val="00872532"/>
    <w:rsid w:val="00874B05"/>
    <w:rsid w:val="00874B6D"/>
    <w:rsid w:val="008754E4"/>
    <w:rsid w:val="00876330"/>
    <w:rsid w:val="00876985"/>
    <w:rsid w:val="0088042F"/>
    <w:rsid w:val="0088063E"/>
    <w:rsid w:val="00880889"/>
    <w:rsid w:val="0088151C"/>
    <w:rsid w:val="00882844"/>
    <w:rsid w:val="00882D5C"/>
    <w:rsid w:val="00883295"/>
    <w:rsid w:val="00883780"/>
    <w:rsid w:val="00883B99"/>
    <w:rsid w:val="00885066"/>
    <w:rsid w:val="00885798"/>
    <w:rsid w:val="00885F85"/>
    <w:rsid w:val="0088665E"/>
    <w:rsid w:val="00886A1F"/>
    <w:rsid w:val="00887068"/>
    <w:rsid w:val="0089050E"/>
    <w:rsid w:val="00890827"/>
    <w:rsid w:val="008908AD"/>
    <w:rsid w:val="00891208"/>
    <w:rsid w:val="00891241"/>
    <w:rsid w:val="00891AE4"/>
    <w:rsid w:val="00891CC6"/>
    <w:rsid w:val="00891DB9"/>
    <w:rsid w:val="008923C8"/>
    <w:rsid w:val="00892B50"/>
    <w:rsid w:val="00893260"/>
    <w:rsid w:val="008932A8"/>
    <w:rsid w:val="00893756"/>
    <w:rsid w:val="00894177"/>
    <w:rsid w:val="00894A9E"/>
    <w:rsid w:val="008950F6"/>
    <w:rsid w:val="008956E7"/>
    <w:rsid w:val="00896815"/>
    <w:rsid w:val="00897327"/>
    <w:rsid w:val="008A0744"/>
    <w:rsid w:val="008A0A6E"/>
    <w:rsid w:val="008A0C67"/>
    <w:rsid w:val="008A0D0F"/>
    <w:rsid w:val="008A2F33"/>
    <w:rsid w:val="008A2FB3"/>
    <w:rsid w:val="008A398B"/>
    <w:rsid w:val="008A3EA7"/>
    <w:rsid w:val="008A3F2B"/>
    <w:rsid w:val="008A3F61"/>
    <w:rsid w:val="008A405A"/>
    <w:rsid w:val="008A4C9C"/>
    <w:rsid w:val="008A5601"/>
    <w:rsid w:val="008A59AD"/>
    <w:rsid w:val="008A64C4"/>
    <w:rsid w:val="008A7285"/>
    <w:rsid w:val="008B028D"/>
    <w:rsid w:val="008B0666"/>
    <w:rsid w:val="008B0EEB"/>
    <w:rsid w:val="008B159E"/>
    <w:rsid w:val="008B18DF"/>
    <w:rsid w:val="008B36DF"/>
    <w:rsid w:val="008B3891"/>
    <w:rsid w:val="008B4205"/>
    <w:rsid w:val="008B431D"/>
    <w:rsid w:val="008B43E6"/>
    <w:rsid w:val="008B4F16"/>
    <w:rsid w:val="008B51FD"/>
    <w:rsid w:val="008B529F"/>
    <w:rsid w:val="008B601A"/>
    <w:rsid w:val="008B6648"/>
    <w:rsid w:val="008B672E"/>
    <w:rsid w:val="008B6902"/>
    <w:rsid w:val="008B7186"/>
    <w:rsid w:val="008B7BD0"/>
    <w:rsid w:val="008B7C25"/>
    <w:rsid w:val="008C035E"/>
    <w:rsid w:val="008C0823"/>
    <w:rsid w:val="008C1939"/>
    <w:rsid w:val="008C1B3A"/>
    <w:rsid w:val="008C2E2F"/>
    <w:rsid w:val="008C3396"/>
    <w:rsid w:val="008C4104"/>
    <w:rsid w:val="008C4CF7"/>
    <w:rsid w:val="008C621C"/>
    <w:rsid w:val="008C697C"/>
    <w:rsid w:val="008C705D"/>
    <w:rsid w:val="008C75ED"/>
    <w:rsid w:val="008C7649"/>
    <w:rsid w:val="008C7D40"/>
    <w:rsid w:val="008C7FE3"/>
    <w:rsid w:val="008D1285"/>
    <w:rsid w:val="008D1BBA"/>
    <w:rsid w:val="008D2CF1"/>
    <w:rsid w:val="008D4B46"/>
    <w:rsid w:val="008D580B"/>
    <w:rsid w:val="008D5AD6"/>
    <w:rsid w:val="008D70DF"/>
    <w:rsid w:val="008E0991"/>
    <w:rsid w:val="008E0B56"/>
    <w:rsid w:val="008E0BDC"/>
    <w:rsid w:val="008E1209"/>
    <w:rsid w:val="008E2515"/>
    <w:rsid w:val="008E2F2B"/>
    <w:rsid w:val="008E331D"/>
    <w:rsid w:val="008E338E"/>
    <w:rsid w:val="008E57FE"/>
    <w:rsid w:val="008E590A"/>
    <w:rsid w:val="008E6BB0"/>
    <w:rsid w:val="008E79BA"/>
    <w:rsid w:val="008F0E88"/>
    <w:rsid w:val="008F1DF1"/>
    <w:rsid w:val="008F2665"/>
    <w:rsid w:val="008F2944"/>
    <w:rsid w:val="008F3359"/>
    <w:rsid w:val="008F6376"/>
    <w:rsid w:val="008F757D"/>
    <w:rsid w:val="008F7AE6"/>
    <w:rsid w:val="009003E1"/>
    <w:rsid w:val="0090055F"/>
    <w:rsid w:val="00900CC2"/>
    <w:rsid w:val="00900FF6"/>
    <w:rsid w:val="009019FB"/>
    <w:rsid w:val="00904CFE"/>
    <w:rsid w:val="00905836"/>
    <w:rsid w:val="00905B05"/>
    <w:rsid w:val="00905F33"/>
    <w:rsid w:val="009068CB"/>
    <w:rsid w:val="00906909"/>
    <w:rsid w:val="0090753C"/>
    <w:rsid w:val="0091032B"/>
    <w:rsid w:val="009104E5"/>
    <w:rsid w:val="009106C9"/>
    <w:rsid w:val="00910C18"/>
    <w:rsid w:val="00910CE4"/>
    <w:rsid w:val="00911B66"/>
    <w:rsid w:val="00911DEF"/>
    <w:rsid w:val="00912404"/>
    <w:rsid w:val="00912A7E"/>
    <w:rsid w:val="00912F05"/>
    <w:rsid w:val="00915330"/>
    <w:rsid w:val="00915B51"/>
    <w:rsid w:val="00916198"/>
    <w:rsid w:val="00916526"/>
    <w:rsid w:val="00916D44"/>
    <w:rsid w:val="00916E69"/>
    <w:rsid w:val="00917525"/>
    <w:rsid w:val="0091777D"/>
    <w:rsid w:val="00917823"/>
    <w:rsid w:val="00917B1B"/>
    <w:rsid w:val="00917B99"/>
    <w:rsid w:val="00917D0E"/>
    <w:rsid w:val="0092057D"/>
    <w:rsid w:val="009218DE"/>
    <w:rsid w:val="009220E9"/>
    <w:rsid w:val="00922D00"/>
    <w:rsid w:val="00923F17"/>
    <w:rsid w:val="009240B8"/>
    <w:rsid w:val="009246CF"/>
    <w:rsid w:val="009258CF"/>
    <w:rsid w:val="009266DA"/>
    <w:rsid w:val="0092726C"/>
    <w:rsid w:val="00927323"/>
    <w:rsid w:val="00930DE8"/>
    <w:rsid w:val="00930DEE"/>
    <w:rsid w:val="009318DD"/>
    <w:rsid w:val="00931AC8"/>
    <w:rsid w:val="00931FA1"/>
    <w:rsid w:val="0093269B"/>
    <w:rsid w:val="0093283F"/>
    <w:rsid w:val="00932A84"/>
    <w:rsid w:val="00933CF0"/>
    <w:rsid w:val="00933F58"/>
    <w:rsid w:val="00934B5A"/>
    <w:rsid w:val="009351D5"/>
    <w:rsid w:val="00935413"/>
    <w:rsid w:val="00935F5D"/>
    <w:rsid w:val="00936082"/>
    <w:rsid w:val="00936290"/>
    <w:rsid w:val="009363FC"/>
    <w:rsid w:val="009368E0"/>
    <w:rsid w:val="0094004F"/>
    <w:rsid w:val="00940481"/>
    <w:rsid w:val="00940B35"/>
    <w:rsid w:val="0094253C"/>
    <w:rsid w:val="0094260B"/>
    <w:rsid w:val="00942661"/>
    <w:rsid w:val="00942696"/>
    <w:rsid w:val="009430F7"/>
    <w:rsid w:val="009434B4"/>
    <w:rsid w:val="00943647"/>
    <w:rsid w:val="00945307"/>
    <w:rsid w:val="0094558D"/>
    <w:rsid w:val="0094699A"/>
    <w:rsid w:val="00946FCE"/>
    <w:rsid w:val="00947D59"/>
    <w:rsid w:val="00950326"/>
    <w:rsid w:val="0095049C"/>
    <w:rsid w:val="00950E59"/>
    <w:rsid w:val="009515BC"/>
    <w:rsid w:val="00953ED0"/>
    <w:rsid w:val="00954217"/>
    <w:rsid w:val="0095492E"/>
    <w:rsid w:val="00954CD4"/>
    <w:rsid w:val="00955671"/>
    <w:rsid w:val="009556AC"/>
    <w:rsid w:val="00955BBF"/>
    <w:rsid w:val="00955F7D"/>
    <w:rsid w:val="00956985"/>
    <w:rsid w:val="0095737B"/>
    <w:rsid w:val="00957661"/>
    <w:rsid w:val="0096055C"/>
    <w:rsid w:val="0096062B"/>
    <w:rsid w:val="0096082F"/>
    <w:rsid w:val="00960A45"/>
    <w:rsid w:val="00960F07"/>
    <w:rsid w:val="00962086"/>
    <w:rsid w:val="0096242F"/>
    <w:rsid w:val="00962709"/>
    <w:rsid w:val="00962E3B"/>
    <w:rsid w:val="00962EF6"/>
    <w:rsid w:val="00962FF5"/>
    <w:rsid w:val="00963013"/>
    <w:rsid w:val="00963079"/>
    <w:rsid w:val="009644EE"/>
    <w:rsid w:val="00964A4E"/>
    <w:rsid w:val="009658A7"/>
    <w:rsid w:val="00965B02"/>
    <w:rsid w:val="00965C07"/>
    <w:rsid w:val="00965D2D"/>
    <w:rsid w:val="00967CF2"/>
    <w:rsid w:val="00970BA7"/>
    <w:rsid w:val="00970C7F"/>
    <w:rsid w:val="00971847"/>
    <w:rsid w:val="00971D49"/>
    <w:rsid w:val="00971F7A"/>
    <w:rsid w:val="00972964"/>
    <w:rsid w:val="00973FC2"/>
    <w:rsid w:val="00974D0F"/>
    <w:rsid w:val="00976764"/>
    <w:rsid w:val="00977267"/>
    <w:rsid w:val="0097762F"/>
    <w:rsid w:val="0098086F"/>
    <w:rsid w:val="009816B8"/>
    <w:rsid w:val="00981AEC"/>
    <w:rsid w:val="00981B57"/>
    <w:rsid w:val="009835D7"/>
    <w:rsid w:val="00983B45"/>
    <w:rsid w:val="00985720"/>
    <w:rsid w:val="00985CA0"/>
    <w:rsid w:val="00987000"/>
    <w:rsid w:val="0098766F"/>
    <w:rsid w:val="0099088E"/>
    <w:rsid w:val="009917A5"/>
    <w:rsid w:val="00992470"/>
    <w:rsid w:val="009931B1"/>
    <w:rsid w:val="00993912"/>
    <w:rsid w:val="00993EE3"/>
    <w:rsid w:val="00994050"/>
    <w:rsid w:val="00995A3A"/>
    <w:rsid w:val="00995C3C"/>
    <w:rsid w:val="009962CF"/>
    <w:rsid w:val="009967BE"/>
    <w:rsid w:val="009969D6"/>
    <w:rsid w:val="00997877"/>
    <w:rsid w:val="009A045E"/>
    <w:rsid w:val="009A0480"/>
    <w:rsid w:val="009A124E"/>
    <w:rsid w:val="009A14F7"/>
    <w:rsid w:val="009A22D7"/>
    <w:rsid w:val="009A2F2F"/>
    <w:rsid w:val="009A4543"/>
    <w:rsid w:val="009A4832"/>
    <w:rsid w:val="009A486A"/>
    <w:rsid w:val="009A5DB1"/>
    <w:rsid w:val="009A658E"/>
    <w:rsid w:val="009A6A66"/>
    <w:rsid w:val="009A7C5A"/>
    <w:rsid w:val="009A7E51"/>
    <w:rsid w:val="009B11D3"/>
    <w:rsid w:val="009B21B9"/>
    <w:rsid w:val="009B2277"/>
    <w:rsid w:val="009B2880"/>
    <w:rsid w:val="009B3DC8"/>
    <w:rsid w:val="009B4798"/>
    <w:rsid w:val="009B481B"/>
    <w:rsid w:val="009B4CD0"/>
    <w:rsid w:val="009B4DA7"/>
    <w:rsid w:val="009B530A"/>
    <w:rsid w:val="009B55A2"/>
    <w:rsid w:val="009B5C6A"/>
    <w:rsid w:val="009B61F8"/>
    <w:rsid w:val="009B67B9"/>
    <w:rsid w:val="009B6B8C"/>
    <w:rsid w:val="009B73E4"/>
    <w:rsid w:val="009C075B"/>
    <w:rsid w:val="009C180A"/>
    <w:rsid w:val="009C1895"/>
    <w:rsid w:val="009C1937"/>
    <w:rsid w:val="009C1C20"/>
    <w:rsid w:val="009C21C6"/>
    <w:rsid w:val="009C3183"/>
    <w:rsid w:val="009C37E8"/>
    <w:rsid w:val="009C383B"/>
    <w:rsid w:val="009C3902"/>
    <w:rsid w:val="009C3A80"/>
    <w:rsid w:val="009C46EF"/>
    <w:rsid w:val="009C5238"/>
    <w:rsid w:val="009C63FD"/>
    <w:rsid w:val="009C6AEC"/>
    <w:rsid w:val="009D12B4"/>
    <w:rsid w:val="009D1984"/>
    <w:rsid w:val="009D1E70"/>
    <w:rsid w:val="009D2135"/>
    <w:rsid w:val="009D2FA7"/>
    <w:rsid w:val="009D38AD"/>
    <w:rsid w:val="009D4CAE"/>
    <w:rsid w:val="009D55F9"/>
    <w:rsid w:val="009D5A11"/>
    <w:rsid w:val="009D7760"/>
    <w:rsid w:val="009E05D9"/>
    <w:rsid w:val="009E16E6"/>
    <w:rsid w:val="009E2953"/>
    <w:rsid w:val="009E30CE"/>
    <w:rsid w:val="009E33A0"/>
    <w:rsid w:val="009E3BC1"/>
    <w:rsid w:val="009E4A19"/>
    <w:rsid w:val="009E5283"/>
    <w:rsid w:val="009E52FC"/>
    <w:rsid w:val="009E5848"/>
    <w:rsid w:val="009E7A7F"/>
    <w:rsid w:val="009E7D3E"/>
    <w:rsid w:val="009F006B"/>
    <w:rsid w:val="009F00A9"/>
    <w:rsid w:val="009F04C3"/>
    <w:rsid w:val="009F0740"/>
    <w:rsid w:val="009F0760"/>
    <w:rsid w:val="009F1343"/>
    <w:rsid w:val="009F1E7F"/>
    <w:rsid w:val="009F2A34"/>
    <w:rsid w:val="009F3B29"/>
    <w:rsid w:val="009F42CE"/>
    <w:rsid w:val="009F4860"/>
    <w:rsid w:val="009F566E"/>
    <w:rsid w:val="00A00057"/>
    <w:rsid w:val="00A00485"/>
    <w:rsid w:val="00A01475"/>
    <w:rsid w:val="00A01A5F"/>
    <w:rsid w:val="00A0215B"/>
    <w:rsid w:val="00A023DA"/>
    <w:rsid w:val="00A02C96"/>
    <w:rsid w:val="00A02E65"/>
    <w:rsid w:val="00A02E9C"/>
    <w:rsid w:val="00A0340A"/>
    <w:rsid w:val="00A0440C"/>
    <w:rsid w:val="00A05753"/>
    <w:rsid w:val="00A0585F"/>
    <w:rsid w:val="00A05C79"/>
    <w:rsid w:val="00A0694A"/>
    <w:rsid w:val="00A07C85"/>
    <w:rsid w:val="00A10A30"/>
    <w:rsid w:val="00A10CA5"/>
    <w:rsid w:val="00A1137C"/>
    <w:rsid w:val="00A113D7"/>
    <w:rsid w:val="00A11548"/>
    <w:rsid w:val="00A11F0F"/>
    <w:rsid w:val="00A1236A"/>
    <w:rsid w:val="00A12A73"/>
    <w:rsid w:val="00A147D5"/>
    <w:rsid w:val="00A14FA2"/>
    <w:rsid w:val="00A15487"/>
    <w:rsid w:val="00A16126"/>
    <w:rsid w:val="00A17F40"/>
    <w:rsid w:val="00A203C4"/>
    <w:rsid w:val="00A21080"/>
    <w:rsid w:val="00A21955"/>
    <w:rsid w:val="00A21E42"/>
    <w:rsid w:val="00A24133"/>
    <w:rsid w:val="00A24369"/>
    <w:rsid w:val="00A24B19"/>
    <w:rsid w:val="00A262BF"/>
    <w:rsid w:val="00A26823"/>
    <w:rsid w:val="00A270FE"/>
    <w:rsid w:val="00A27809"/>
    <w:rsid w:val="00A30533"/>
    <w:rsid w:val="00A308A4"/>
    <w:rsid w:val="00A30CC4"/>
    <w:rsid w:val="00A3115C"/>
    <w:rsid w:val="00A317B0"/>
    <w:rsid w:val="00A32001"/>
    <w:rsid w:val="00A321BA"/>
    <w:rsid w:val="00A32C78"/>
    <w:rsid w:val="00A32E96"/>
    <w:rsid w:val="00A336FC"/>
    <w:rsid w:val="00A34577"/>
    <w:rsid w:val="00A34591"/>
    <w:rsid w:val="00A34E44"/>
    <w:rsid w:val="00A3640F"/>
    <w:rsid w:val="00A36696"/>
    <w:rsid w:val="00A37AD5"/>
    <w:rsid w:val="00A4003D"/>
    <w:rsid w:val="00A40180"/>
    <w:rsid w:val="00A40CE2"/>
    <w:rsid w:val="00A41DCA"/>
    <w:rsid w:val="00A432BB"/>
    <w:rsid w:val="00A43393"/>
    <w:rsid w:val="00A43E8E"/>
    <w:rsid w:val="00A43EDC"/>
    <w:rsid w:val="00A4450A"/>
    <w:rsid w:val="00A44DAD"/>
    <w:rsid w:val="00A44E4F"/>
    <w:rsid w:val="00A45BB8"/>
    <w:rsid w:val="00A45DC0"/>
    <w:rsid w:val="00A46D4D"/>
    <w:rsid w:val="00A47176"/>
    <w:rsid w:val="00A474BB"/>
    <w:rsid w:val="00A475C5"/>
    <w:rsid w:val="00A4768C"/>
    <w:rsid w:val="00A47A0D"/>
    <w:rsid w:val="00A47A36"/>
    <w:rsid w:val="00A47B06"/>
    <w:rsid w:val="00A500BE"/>
    <w:rsid w:val="00A50A68"/>
    <w:rsid w:val="00A50D3B"/>
    <w:rsid w:val="00A518AA"/>
    <w:rsid w:val="00A5217A"/>
    <w:rsid w:val="00A53049"/>
    <w:rsid w:val="00A53723"/>
    <w:rsid w:val="00A53B55"/>
    <w:rsid w:val="00A53FAE"/>
    <w:rsid w:val="00A5419D"/>
    <w:rsid w:val="00A54A90"/>
    <w:rsid w:val="00A551E5"/>
    <w:rsid w:val="00A56348"/>
    <w:rsid w:val="00A5703F"/>
    <w:rsid w:val="00A57D39"/>
    <w:rsid w:val="00A6057E"/>
    <w:rsid w:val="00A60972"/>
    <w:rsid w:val="00A60EB2"/>
    <w:rsid w:val="00A612CC"/>
    <w:rsid w:val="00A61A00"/>
    <w:rsid w:val="00A6316B"/>
    <w:rsid w:val="00A63330"/>
    <w:rsid w:val="00A641AB"/>
    <w:rsid w:val="00A6467B"/>
    <w:rsid w:val="00A65107"/>
    <w:rsid w:val="00A65316"/>
    <w:rsid w:val="00A6551B"/>
    <w:rsid w:val="00A657AB"/>
    <w:rsid w:val="00A65946"/>
    <w:rsid w:val="00A6725F"/>
    <w:rsid w:val="00A674FF"/>
    <w:rsid w:val="00A67504"/>
    <w:rsid w:val="00A67A58"/>
    <w:rsid w:val="00A67BD1"/>
    <w:rsid w:val="00A70837"/>
    <w:rsid w:val="00A70C39"/>
    <w:rsid w:val="00A70F69"/>
    <w:rsid w:val="00A71606"/>
    <w:rsid w:val="00A725A7"/>
    <w:rsid w:val="00A72611"/>
    <w:rsid w:val="00A731F7"/>
    <w:rsid w:val="00A733DD"/>
    <w:rsid w:val="00A73ABB"/>
    <w:rsid w:val="00A74181"/>
    <w:rsid w:val="00A74939"/>
    <w:rsid w:val="00A756ED"/>
    <w:rsid w:val="00A75D6F"/>
    <w:rsid w:val="00A760E1"/>
    <w:rsid w:val="00A76648"/>
    <w:rsid w:val="00A76D2C"/>
    <w:rsid w:val="00A77746"/>
    <w:rsid w:val="00A77BFD"/>
    <w:rsid w:val="00A80673"/>
    <w:rsid w:val="00A806AA"/>
    <w:rsid w:val="00A81FE1"/>
    <w:rsid w:val="00A82316"/>
    <w:rsid w:val="00A82792"/>
    <w:rsid w:val="00A83BF6"/>
    <w:rsid w:val="00A84D2A"/>
    <w:rsid w:val="00A84D37"/>
    <w:rsid w:val="00A8512C"/>
    <w:rsid w:val="00A85CAE"/>
    <w:rsid w:val="00A86778"/>
    <w:rsid w:val="00A86F7D"/>
    <w:rsid w:val="00A87059"/>
    <w:rsid w:val="00A87F31"/>
    <w:rsid w:val="00A9018D"/>
    <w:rsid w:val="00A90210"/>
    <w:rsid w:val="00A90D27"/>
    <w:rsid w:val="00A9103B"/>
    <w:rsid w:val="00A91082"/>
    <w:rsid w:val="00A91284"/>
    <w:rsid w:val="00A91411"/>
    <w:rsid w:val="00A91773"/>
    <w:rsid w:val="00A918A7"/>
    <w:rsid w:val="00A92871"/>
    <w:rsid w:val="00A9332D"/>
    <w:rsid w:val="00A935C5"/>
    <w:rsid w:val="00A93BDC"/>
    <w:rsid w:val="00A95564"/>
    <w:rsid w:val="00A955EB"/>
    <w:rsid w:val="00A968AD"/>
    <w:rsid w:val="00A96F09"/>
    <w:rsid w:val="00A97AF7"/>
    <w:rsid w:val="00AA180B"/>
    <w:rsid w:val="00AA1F49"/>
    <w:rsid w:val="00AA2CE1"/>
    <w:rsid w:val="00AA3A2E"/>
    <w:rsid w:val="00AA4099"/>
    <w:rsid w:val="00AA43DD"/>
    <w:rsid w:val="00AA455A"/>
    <w:rsid w:val="00AA4FD2"/>
    <w:rsid w:val="00AA5B9A"/>
    <w:rsid w:val="00AA65B9"/>
    <w:rsid w:val="00AA6913"/>
    <w:rsid w:val="00AA7DF8"/>
    <w:rsid w:val="00AB012B"/>
    <w:rsid w:val="00AB033F"/>
    <w:rsid w:val="00AB1177"/>
    <w:rsid w:val="00AB13FF"/>
    <w:rsid w:val="00AB2190"/>
    <w:rsid w:val="00AB2742"/>
    <w:rsid w:val="00AB2D1E"/>
    <w:rsid w:val="00AB36D1"/>
    <w:rsid w:val="00AB3979"/>
    <w:rsid w:val="00AB39EB"/>
    <w:rsid w:val="00AB3F27"/>
    <w:rsid w:val="00AB3FD9"/>
    <w:rsid w:val="00AB4E90"/>
    <w:rsid w:val="00AB53F3"/>
    <w:rsid w:val="00AB64CB"/>
    <w:rsid w:val="00AB6725"/>
    <w:rsid w:val="00AB7DE7"/>
    <w:rsid w:val="00AB7FBE"/>
    <w:rsid w:val="00AC10FE"/>
    <w:rsid w:val="00AC142C"/>
    <w:rsid w:val="00AC1BE7"/>
    <w:rsid w:val="00AC272F"/>
    <w:rsid w:val="00AC275F"/>
    <w:rsid w:val="00AC3AB9"/>
    <w:rsid w:val="00AC4A23"/>
    <w:rsid w:val="00AC4CEA"/>
    <w:rsid w:val="00AC50A4"/>
    <w:rsid w:val="00AC5A95"/>
    <w:rsid w:val="00AC5CC6"/>
    <w:rsid w:val="00AC6074"/>
    <w:rsid w:val="00AC60D5"/>
    <w:rsid w:val="00AC6346"/>
    <w:rsid w:val="00AC6471"/>
    <w:rsid w:val="00AC7FA1"/>
    <w:rsid w:val="00AD1751"/>
    <w:rsid w:val="00AD2B6E"/>
    <w:rsid w:val="00AD2D95"/>
    <w:rsid w:val="00AD3443"/>
    <w:rsid w:val="00AD348A"/>
    <w:rsid w:val="00AD3C17"/>
    <w:rsid w:val="00AD4B3C"/>
    <w:rsid w:val="00AD5BF6"/>
    <w:rsid w:val="00AD5E25"/>
    <w:rsid w:val="00AD68A5"/>
    <w:rsid w:val="00AD6A68"/>
    <w:rsid w:val="00AD6F0A"/>
    <w:rsid w:val="00AD702E"/>
    <w:rsid w:val="00AD7196"/>
    <w:rsid w:val="00AD75DC"/>
    <w:rsid w:val="00AE0584"/>
    <w:rsid w:val="00AE129F"/>
    <w:rsid w:val="00AE185D"/>
    <w:rsid w:val="00AE1BFE"/>
    <w:rsid w:val="00AE1C03"/>
    <w:rsid w:val="00AE2320"/>
    <w:rsid w:val="00AE3842"/>
    <w:rsid w:val="00AE3D83"/>
    <w:rsid w:val="00AE4374"/>
    <w:rsid w:val="00AE485C"/>
    <w:rsid w:val="00AE5A50"/>
    <w:rsid w:val="00AE6E2D"/>
    <w:rsid w:val="00AE72B7"/>
    <w:rsid w:val="00AE73C9"/>
    <w:rsid w:val="00AE7D4F"/>
    <w:rsid w:val="00AE7FE4"/>
    <w:rsid w:val="00AF17D3"/>
    <w:rsid w:val="00AF1848"/>
    <w:rsid w:val="00AF1871"/>
    <w:rsid w:val="00AF1D77"/>
    <w:rsid w:val="00AF244F"/>
    <w:rsid w:val="00AF38BA"/>
    <w:rsid w:val="00AF4F67"/>
    <w:rsid w:val="00AF55C4"/>
    <w:rsid w:val="00AF5811"/>
    <w:rsid w:val="00AF61F7"/>
    <w:rsid w:val="00AF6509"/>
    <w:rsid w:val="00AF684D"/>
    <w:rsid w:val="00AF6E06"/>
    <w:rsid w:val="00AF6F37"/>
    <w:rsid w:val="00B002DE"/>
    <w:rsid w:val="00B00BBE"/>
    <w:rsid w:val="00B00E38"/>
    <w:rsid w:val="00B0205C"/>
    <w:rsid w:val="00B02C59"/>
    <w:rsid w:val="00B0456E"/>
    <w:rsid w:val="00B04825"/>
    <w:rsid w:val="00B04C94"/>
    <w:rsid w:val="00B052CD"/>
    <w:rsid w:val="00B05C22"/>
    <w:rsid w:val="00B064E7"/>
    <w:rsid w:val="00B06A05"/>
    <w:rsid w:val="00B06BF6"/>
    <w:rsid w:val="00B06F7F"/>
    <w:rsid w:val="00B0715C"/>
    <w:rsid w:val="00B100F0"/>
    <w:rsid w:val="00B121F7"/>
    <w:rsid w:val="00B12DE8"/>
    <w:rsid w:val="00B13466"/>
    <w:rsid w:val="00B14011"/>
    <w:rsid w:val="00B1402E"/>
    <w:rsid w:val="00B14865"/>
    <w:rsid w:val="00B15FE4"/>
    <w:rsid w:val="00B162E5"/>
    <w:rsid w:val="00B1779A"/>
    <w:rsid w:val="00B17EDC"/>
    <w:rsid w:val="00B21123"/>
    <w:rsid w:val="00B2197F"/>
    <w:rsid w:val="00B21D50"/>
    <w:rsid w:val="00B2258E"/>
    <w:rsid w:val="00B2269B"/>
    <w:rsid w:val="00B22A77"/>
    <w:rsid w:val="00B22EA2"/>
    <w:rsid w:val="00B22F39"/>
    <w:rsid w:val="00B22F9B"/>
    <w:rsid w:val="00B23747"/>
    <w:rsid w:val="00B23A29"/>
    <w:rsid w:val="00B23AC9"/>
    <w:rsid w:val="00B23B0B"/>
    <w:rsid w:val="00B24090"/>
    <w:rsid w:val="00B24893"/>
    <w:rsid w:val="00B24FFE"/>
    <w:rsid w:val="00B25486"/>
    <w:rsid w:val="00B257E3"/>
    <w:rsid w:val="00B25B65"/>
    <w:rsid w:val="00B25DC3"/>
    <w:rsid w:val="00B26059"/>
    <w:rsid w:val="00B260C7"/>
    <w:rsid w:val="00B261C0"/>
    <w:rsid w:val="00B2680C"/>
    <w:rsid w:val="00B26BA6"/>
    <w:rsid w:val="00B27020"/>
    <w:rsid w:val="00B27494"/>
    <w:rsid w:val="00B279B9"/>
    <w:rsid w:val="00B27BFD"/>
    <w:rsid w:val="00B27DCA"/>
    <w:rsid w:val="00B30EB6"/>
    <w:rsid w:val="00B3124F"/>
    <w:rsid w:val="00B31DD5"/>
    <w:rsid w:val="00B3223E"/>
    <w:rsid w:val="00B32F1A"/>
    <w:rsid w:val="00B336C1"/>
    <w:rsid w:val="00B33EFB"/>
    <w:rsid w:val="00B349BA"/>
    <w:rsid w:val="00B34F48"/>
    <w:rsid w:val="00B354BC"/>
    <w:rsid w:val="00B36656"/>
    <w:rsid w:val="00B36DBA"/>
    <w:rsid w:val="00B37D3B"/>
    <w:rsid w:val="00B40214"/>
    <w:rsid w:val="00B40CBA"/>
    <w:rsid w:val="00B41746"/>
    <w:rsid w:val="00B41F2F"/>
    <w:rsid w:val="00B43CFE"/>
    <w:rsid w:val="00B43D3C"/>
    <w:rsid w:val="00B445CB"/>
    <w:rsid w:val="00B4486F"/>
    <w:rsid w:val="00B44E79"/>
    <w:rsid w:val="00B463AF"/>
    <w:rsid w:val="00B47FA2"/>
    <w:rsid w:val="00B51BA0"/>
    <w:rsid w:val="00B51C8C"/>
    <w:rsid w:val="00B51E95"/>
    <w:rsid w:val="00B52C89"/>
    <w:rsid w:val="00B530C7"/>
    <w:rsid w:val="00B53278"/>
    <w:rsid w:val="00B533C2"/>
    <w:rsid w:val="00B535BD"/>
    <w:rsid w:val="00B53701"/>
    <w:rsid w:val="00B53DFA"/>
    <w:rsid w:val="00B53E1F"/>
    <w:rsid w:val="00B547C0"/>
    <w:rsid w:val="00B5543D"/>
    <w:rsid w:val="00B55D24"/>
    <w:rsid w:val="00B55DBE"/>
    <w:rsid w:val="00B56A26"/>
    <w:rsid w:val="00B56DA3"/>
    <w:rsid w:val="00B5729B"/>
    <w:rsid w:val="00B5784C"/>
    <w:rsid w:val="00B60EB5"/>
    <w:rsid w:val="00B6110A"/>
    <w:rsid w:val="00B6176A"/>
    <w:rsid w:val="00B61AAC"/>
    <w:rsid w:val="00B6301A"/>
    <w:rsid w:val="00B63B81"/>
    <w:rsid w:val="00B63DAC"/>
    <w:rsid w:val="00B6405C"/>
    <w:rsid w:val="00B649CB"/>
    <w:rsid w:val="00B649DC"/>
    <w:rsid w:val="00B64CAD"/>
    <w:rsid w:val="00B66751"/>
    <w:rsid w:val="00B66894"/>
    <w:rsid w:val="00B66907"/>
    <w:rsid w:val="00B6771E"/>
    <w:rsid w:val="00B67AA6"/>
    <w:rsid w:val="00B67FED"/>
    <w:rsid w:val="00B70272"/>
    <w:rsid w:val="00B7066C"/>
    <w:rsid w:val="00B7140D"/>
    <w:rsid w:val="00B7149F"/>
    <w:rsid w:val="00B717D8"/>
    <w:rsid w:val="00B71945"/>
    <w:rsid w:val="00B722F5"/>
    <w:rsid w:val="00B72DF3"/>
    <w:rsid w:val="00B73739"/>
    <w:rsid w:val="00B740B9"/>
    <w:rsid w:val="00B74146"/>
    <w:rsid w:val="00B7439C"/>
    <w:rsid w:val="00B74F5D"/>
    <w:rsid w:val="00B7580E"/>
    <w:rsid w:val="00B75A33"/>
    <w:rsid w:val="00B75FFB"/>
    <w:rsid w:val="00B76A4E"/>
    <w:rsid w:val="00B76CE4"/>
    <w:rsid w:val="00B76F6C"/>
    <w:rsid w:val="00B778AC"/>
    <w:rsid w:val="00B77A01"/>
    <w:rsid w:val="00B8080B"/>
    <w:rsid w:val="00B811EF"/>
    <w:rsid w:val="00B81ECC"/>
    <w:rsid w:val="00B82B63"/>
    <w:rsid w:val="00B835D4"/>
    <w:rsid w:val="00B8395D"/>
    <w:rsid w:val="00B84149"/>
    <w:rsid w:val="00B842A3"/>
    <w:rsid w:val="00B843B7"/>
    <w:rsid w:val="00B84B87"/>
    <w:rsid w:val="00B8558C"/>
    <w:rsid w:val="00B85F4D"/>
    <w:rsid w:val="00B860E3"/>
    <w:rsid w:val="00B86EF1"/>
    <w:rsid w:val="00B8742B"/>
    <w:rsid w:val="00B90674"/>
    <w:rsid w:val="00B914CF"/>
    <w:rsid w:val="00B917E0"/>
    <w:rsid w:val="00B929F5"/>
    <w:rsid w:val="00B934E3"/>
    <w:rsid w:val="00B94323"/>
    <w:rsid w:val="00B95157"/>
    <w:rsid w:val="00B954FE"/>
    <w:rsid w:val="00B9566B"/>
    <w:rsid w:val="00B95E0A"/>
    <w:rsid w:val="00B961B7"/>
    <w:rsid w:val="00B963D4"/>
    <w:rsid w:val="00B97274"/>
    <w:rsid w:val="00B9772B"/>
    <w:rsid w:val="00B97805"/>
    <w:rsid w:val="00B97968"/>
    <w:rsid w:val="00BA18F0"/>
    <w:rsid w:val="00BA1BA1"/>
    <w:rsid w:val="00BA261F"/>
    <w:rsid w:val="00BA2DEF"/>
    <w:rsid w:val="00BA3421"/>
    <w:rsid w:val="00BA3CFF"/>
    <w:rsid w:val="00BA42FB"/>
    <w:rsid w:val="00BA4768"/>
    <w:rsid w:val="00BA516F"/>
    <w:rsid w:val="00BA5AE8"/>
    <w:rsid w:val="00BA5F6A"/>
    <w:rsid w:val="00BA628C"/>
    <w:rsid w:val="00BA63B8"/>
    <w:rsid w:val="00BA6ABE"/>
    <w:rsid w:val="00BA6F4E"/>
    <w:rsid w:val="00BA7059"/>
    <w:rsid w:val="00BB0051"/>
    <w:rsid w:val="00BB02C6"/>
    <w:rsid w:val="00BB1082"/>
    <w:rsid w:val="00BB2127"/>
    <w:rsid w:val="00BB219B"/>
    <w:rsid w:val="00BB33D3"/>
    <w:rsid w:val="00BB3805"/>
    <w:rsid w:val="00BB3F15"/>
    <w:rsid w:val="00BB4CC2"/>
    <w:rsid w:val="00BB52A5"/>
    <w:rsid w:val="00BB60B0"/>
    <w:rsid w:val="00BB6273"/>
    <w:rsid w:val="00BB6740"/>
    <w:rsid w:val="00BB7D32"/>
    <w:rsid w:val="00BB7EA1"/>
    <w:rsid w:val="00BB7F81"/>
    <w:rsid w:val="00BC1209"/>
    <w:rsid w:val="00BC123B"/>
    <w:rsid w:val="00BC16DC"/>
    <w:rsid w:val="00BC1E9A"/>
    <w:rsid w:val="00BC1F52"/>
    <w:rsid w:val="00BC207D"/>
    <w:rsid w:val="00BC269B"/>
    <w:rsid w:val="00BC27D2"/>
    <w:rsid w:val="00BC2F17"/>
    <w:rsid w:val="00BC335B"/>
    <w:rsid w:val="00BC46E3"/>
    <w:rsid w:val="00BC5431"/>
    <w:rsid w:val="00BC54AE"/>
    <w:rsid w:val="00BC663B"/>
    <w:rsid w:val="00BC6D47"/>
    <w:rsid w:val="00BC7947"/>
    <w:rsid w:val="00BC797C"/>
    <w:rsid w:val="00BC7D43"/>
    <w:rsid w:val="00BD0CE1"/>
    <w:rsid w:val="00BD1A6F"/>
    <w:rsid w:val="00BD3342"/>
    <w:rsid w:val="00BD35E1"/>
    <w:rsid w:val="00BD54FC"/>
    <w:rsid w:val="00BD5B6C"/>
    <w:rsid w:val="00BD63C3"/>
    <w:rsid w:val="00BD67CE"/>
    <w:rsid w:val="00BD6972"/>
    <w:rsid w:val="00BD76A4"/>
    <w:rsid w:val="00BD7D80"/>
    <w:rsid w:val="00BE163B"/>
    <w:rsid w:val="00BE1C8A"/>
    <w:rsid w:val="00BE2121"/>
    <w:rsid w:val="00BE4089"/>
    <w:rsid w:val="00BE480F"/>
    <w:rsid w:val="00BE4857"/>
    <w:rsid w:val="00BE4EF3"/>
    <w:rsid w:val="00BE55D7"/>
    <w:rsid w:val="00BE5701"/>
    <w:rsid w:val="00BE5847"/>
    <w:rsid w:val="00BE5BE0"/>
    <w:rsid w:val="00BE6267"/>
    <w:rsid w:val="00BE6B41"/>
    <w:rsid w:val="00BE70E8"/>
    <w:rsid w:val="00BF0E76"/>
    <w:rsid w:val="00BF1218"/>
    <w:rsid w:val="00BF19DC"/>
    <w:rsid w:val="00BF2210"/>
    <w:rsid w:val="00BF2527"/>
    <w:rsid w:val="00BF2B3E"/>
    <w:rsid w:val="00BF2DAF"/>
    <w:rsid w:val="00BF333A"/>
    <w:rsid w:val="00BF4E1B"/>
    <w:rsid w:val="00BF509C"/>
    <w:rsid w:val="00BF5532"/>
    <w:rsid w:val="00BF582C"/>
    <w:rsid w:val="00BF6AF7"/>
    <w:rsid w:val="00BF71EF"/>
    <w:rsid w:val="00BF7389"/>
    <w:rsid w:val="00C00A3D"/>
    <w:rsid w:val="00C023AF"/>
    <w:rsid w:val="00C02614"/>
    <w:rsid w:val="00C02799"/>
    <w:rsid w:val="00C0480F"/>
    <w:rsid w:val="00C05E57"/>
    <w:rsid w:val="00C05E74"/>
    <w:rsid w:val="00C06A01"/>
    <w:rsid w:val="00C0787B"/>
    <w:rsid w:val="00C1043C"/>
    <w:rsid w:val="00C10519"/>
    <w:rsid w:val="00C11E28"/>
    <w:rsid w:val="00C12A51"/>
    <w:rsid w:val="00C12CD1"/>
    <w:rsid w:val="00C157DD"/>
    <w:rsid w:val="00C1591E"/>
    <w:rsid w:val="00C15AB1"/>
    <w:rsid w:val="00C163C8"/>
    <w:rsid w:val="00C17747"/>
    <w:rsid w:val="00C20241"/>
    <w:rsid w:val="00C20D36"/>
    <w:rsid w:val="00C21038"/>
    <w:rsid w:val="00C215C0"/>
    <w:rsid w:val="00C217B4"/>
    <w:rsid w:val="00C225C8"/>
    <w:rsid w:val="00C22E21"/>
    <w:rsid w:val="00C23726"/>
    <w:rsid w:val="00C2396B"/>
    <w:rsid w:val="00C24F13"/>
    <w:rsid w:val="00C261AC"/>
    <w:rsid w:val="00C264DD"/>
    <w:rsid w:val="00C270CF"/>
    <w:rsid w:val="00C2785F"/>
    <w:rsid w:val="00C27AEF"/>
    <w:rsid w:val="00C27EF5"/>
    <w:rsid w:val="00C30808"/>
    <w:rsid w:val="00C30BA6"/>
    <w:rsid w:val="00C31467"/>
    <w:rsid w:val="00C32774"/>
    <w:rsid w:val="00C328CD"/>
    <w:rsid w:val="00C32EBE"/>
    <w:rsid w:val="00C33469"/>
    <w:rsid w:val="00C337DB"/>
    <w:rsid w:val="00C33D73"/>
    <w:rsid w:val="00C34CCB"/>
    <w:rsid w:val="00C34D57"/>
    <w:rsid w:val="00C35515"/>
    <w:rsid w:val="00C35807"/>
    <w:rsid w:val="00C35A0A"/>
    <w:rsid w:val="00C35A4B"/>
    <w:rsid w:val="00C36696"/>
    <w:rsid w:val="00C36720"/>
    <w:rsid w:val="00C36D67"/>
    <w:rsid w:val="00C374CD"/>
    <w:rsid w:val="00C37518"/>
    <w:rsid w:val="00C37F00"/>
    <w:rsid w:val="00C37FC7"/>
    <w:rsid w:val="00C40289"/>
    <w:rsid w:val="00C421C9"/>
    <w:rsid w:val="00C42A3A"/>
    <w:rsid w:val="00C42F62"/>
    <w:rsid w:val="00C43192"/>
    <w:rsid w:val="00C43CE6"/>
    <w:rsid w:val="00C43EB7"/>
    <w:rsid w:val="00C44332"/>
    <w:rsid w:val="00C4517F"/>
    <w:rsid w:val="00C45232"/>
    <w:rsid w:val="00C45637"/>
    <w:rsid w:val="00C46882"/>
    <w:rsid w:val="00C46C49"/>
    <w:rsid w:val="00C46E3D"/>
    <w:rsid w:val="00C46E94"/>
    <w:rsid w:val="00C5084D"/>
    <w:rsid w:val="00C51FA9"/>
    <w:rsid w:val="00C52A1D"/>
    <w:rsid w:val="00C52BA5"/>
    <w:rsid w:val="00C52EED"/>
    <w:rsid w:val="00C53323"/>
    <w:rsid w:val="00C53600"/>
    <w:rsid w:val="00C53BCF"/>
    <w:rsid w:val="00C53D38"/>
    <w:rsid w:val="00C54D8C"/>
    <w:rsid w:val="00C55988"/>
    <w:rsid w:val="00C5645A"/>
    <w:rsid w:val="00C566DE"/>
    <w:rsid w:val="00C568F5"/>
    <w:rsid w:val="00C57549"/>
    <w:rsid w:val="00C6047C"/>
    <w:rsid w:val="00C62A55"/>
    <w:rsid w:val="00C62EDF"/>
    <w:rsid w:val="00C63874"/>
    <w:rsid w:val="00C63B85"/>
    <w:rsid w:val="00C64184"/>
    <w:rsid w:val="00C66CEF"/>
    <w:rsid w:val="00C670FE"/>
    <w:rsid w:val="00C71087"/>
    <w:rsid w:val="00C71E3C"/>
    <w:rsid w:val="00C71F32"/>
    <w:rsid w:val="00C75492"/>
    <w:rsid w:val="00C75B2D"/>
    <w:rsid w:val="00C76803"/>
    <w:rsid w:val="00C772AF"/>
    <w:rsid w:val="00C77C78"/>
    <w:rsid w:val="00C81332"/>
    <w:rsid w:val="00C8136C"/>
    <w:rsid w:val="00C8146C"/>
    <w:rsid w:val="00C818FD"/>
    <w:rsid w:val="00C828B5"/>
    <w:rsid w:val="00C82A64"/>
    <w:rsid w:val="00C82D22"/>
    <w:rsid w:val="00C83EF8"/>
    <w:rsid w:val="00C83F51"/>
    <w:rsid w:val="00C845B0"/>
    <w:rsid w:val="00C846DD"/>
    <w:rsid w:val="00C8516E"/>
    <w:rsid w:val="00C85CA6"/>
    <w:rsid w:val="00C86910"/>
    <w:rsid w:val="00C86F2B"/>
    <w:rsid w:val="00C872E8"/>
    <w:rsid w:val="00C90EAB"/>
    <w:rsid w:val="00C9132D"/>
    <w:rsid w:val="00C9147E"/>
    <w:rsid w:val="00C9195E"/>
    <w:rsid w:val="00C919EB"/>
    <w:rsid w:val="00C925ED"/>
    <w:rsid w:val="00C929E3"/>
    <w:rsid w:val="00C9339F"/>
    <w:rsid w:val="00C93CCC"/>
    <w:rsid w:val="00C93CE7"/>
    <w:rsid w:val="00C953F4"/>
    <w:rsid w:val="00C95725"/>
    <w:rsid w:val="00C96A10"/>
    <w:rsid w:val="00C9747C"/>
    <w:rsid w:val="00C9753B"/>
    <w:rsid w:val="00CA0C87"/>
    <w:rsid w:val="00CA0DEC"/>
    <w:rsid w:val="00CA0E68"/>
    <w:rsid w:val="00CA1444"/>
    <w:rsid w:val="00CA1450"/>
    <w:rsid w:val="00CA19CD"/>
    <w:rsid w:val="00CA27DD"/>
    <w:rsid w:val="00CA3F40"/>
    <w:rsid w:val="00CA402E"/>
    <w:rsid w:val="00CA43CE"/>
    <w:rsid w:val="00CA49B4"/>
    <w:rsid w:val="00CA4A62"/>
    <w:rsid w:val="00CA561E"/>
    <w:rsid w:val="00CA5FE0"/>
    <w:rsid w:val="00CA659E"/>
    <w:rsid w:val="00CB1DD9"/>
    <w:rsid w:val="00CB23DD"/>
    <w:rsid w:val="00CB2757"/>
    <w:rsid w:val="00CB2FE7"/>
    <w:rsid w:val="00CB30CA"/>
    <w:rsid w:val="00CB3B57"/>
    <w:rsid w:val="00CB42AE"/>
    <w:rsid w:val="00CB6768"/>
    <w:rsid w:val="00CB713D"/>
    <w:rsid w:val="00CB7FD0"/>
    <w:rsid w:val="00CC111E"/>
    <w:rsid w:val="00CC14FC"/>
    <w:rsid w:val="00CC17DB"/>
    <w:rsid w:val="00CC19A4"/>
    <w:rsid w:val="00CC2F01"/>
    <w:rsid w:val="00CC30BF"/>
    <w:rsid w:val="00CC556C"/>
    <w:rsid w:val="00CC6453"/>
    <w:rsid w:val="00CD07C8"/>
    <w:rsid w:val="00CD0B1E"/>
    <w:rsid w:val="00CD0C49"/>
    <w:rsid w:val="00CD10E0"/>
    <w:rsid w:val="00CD12E3"/>
    <w:rsid w:val="00CD1BCC"/>
    <w:rsid w:val="00CD2618"/>
    <w:rsid w:val="00CD26EA"/>
    <w:rsid w:val="00CD2D8A"/>
    <w:rsid w:val="00CD31EA"/>
    <w:rsid w:val="00CD3AD3"/>
    <w:rsid w:val="00CD4CD3"/>
    <w:rsid w:val="00CD5131"/>
    <w:rsid w:val="00CD58A0"/>
    <w:rsid w:val="00CD5DAD"/>
    <w:rsid w:val="00CD63CF"/>
    <w:rsid w:val="00CD6746"/>
    <w:rsid w:val="00CD692F"/>
    <w:rsid w:val="00CD6AB1"/>
    <w:rsid w:val="00CD6ACF"/>
    <w:rsid w:val="00CD6E0E"/>
    <w:rsid w:val="00CD705B"/>
    <w:rsid w:val="00CD76E4"/>
    <w:rsid w:val="00CE0392"/>
    <w:rsid w:val="00CE03FD"/>
    <w:rsid w:val="00CE069A"/>
    <w:rsid w:val="00CE099C"/>
    <w:rsid w:val="00CE112A"/>
    <w:rsid w:val="00CE1427"/>
    <w:rsid w:val="00CE2060"/>
    <w:rsid w:val="00CE20A8"/>
    <w:rsid w:val="00CE2E72"/>
    <w:rsid w:val="00CE320A"/>
    <w:rsid w:val="00CE3A1B"/>
    <w:rsid w:val="00CE4301"/>
    <w:rsid w:val="00CE5162"/>
    <w:rsid w:val="00CE5481"/>
    <w:rsid w:val="00CE5866"/>
    <w:rsid w:val="00CE6F85"/>
    <w:rsid w:val="00CF0045"/>
    <w:rsid w:val="00CF01AA"/>
    <w:rsid w:val="00CF08E6"/>
    <w:rsid w:val="00CF1770"/>
    <w:rsid w:val="00CF1979"/>
    <w:rsid w:val="00CF421E"/>
    <w:rsid w:val="00CF5413"/>
    <w:rsid w:val="00CF6111"/>
    <w:rsid w:val="00CF7194"/>
    <w:rsid w:val="00CF7C90"/>
    <w:rsid w:val="00CF7CA3"/>
    <w:rsid w:val="00CF7EA0"/>
    <w:rsid w:val="00D00600"/>
    <w:rsid w:val="00D01067"/>
    <w:rsid w:val="00D028B1"/>
    <w:rsid w:val="00D030C5"/>
    <w:rsid w:val="00D0329F"/>
    <w:rsid w:val="00D0510B"/>
    <w:rsid w:val="00D05F0A"/>
    <w:rsid w:val="00D06299"/>
    <w:rsid w:val="00D0718E"/>
    <w:rsid w:val="00D07F46"/>
    <w:rsid w:val="00D1045D"/>
    <w:rsid w:val="00D116E3"/>
    <w:rsid w:val="00D11FF7"/>
    <w:rsid w:val="00D12B2A"/>
    <w:rsid w:val="00D133AA"/>
    <w:rsid w:val="00D13B0B"/>
    <w:rsid w:val="00D13CCF"/>
    <w:rsid w:val="00D1496F"/>
    <w:rsid w:val="00D14CF7"/>
    <w:rsid w:val="00D152B6"/>
    <w:rsid w:val="00D15DEA"/>
    <w:rsid w:val="00D15E67"/>
    <w:rsid w:val="00D166F1"/>
    <w:rsid w:val="00D16880"/>
    <w:rsid w:val="00D17C27"/>
    <w:rsid w:val="00D20210"/>
    <w:rsid w:val="00D20ABB"/>
    <w:rsid w:val="00D21415"/>
    <w:rsid w:val="00D21762"/>
    <w:rsid w:val="00D21801"/>
    <w:rsid w:val="00D219D5"/>
    <w:rsid w:val="00D236F7"/>
    <w:rsid w:val="00D23873"/>
    <w:rsid w:val="00D240FE"/>
    <w:rsid w:val="00D24165"/>
    <w:rsid w:val="00D24AEE"/>
    <w:rsid w:val="00D26A33"/>
    <w:rsid w:val="00D27235"/>
    <w:rsid w:val="00D277C6"/>
    <w:rsid w:val="00D27AEB"/>
    <w:rsid w:val="00D3073E"/>
    <w:rsid w:val="00D31676"/>
    <w:rsid w:val="00D316C8"/>
    <w:rsid w:val="00D31AFE"/>
    <w:rsid w:val="00D324FA"/>
    <w:rsid w:val="00D33228"/>
    <w:rsid w:val="00D337D5"/>
    <w:rsid w:val="00D3454B"/>
    <w:rsid w:val="00D34817"/>
    <w:rsid w:val="00D350F8"/>
    <w:rsid w:val="00D35F84"/>
    <w:rsid w:val="00D36002"/>
    <w:rsid w:val="00D365BB"/>
    <w:rsid w:val="00D3795A"/>
    <w:rsid w:val="00D37AB5"/>
    <w:rsid w:val="00D37AE3"/>
    <w:rsid w:val="00D40212"/>
    <w:rsid w:val="00D40C74"/>
    <w:rsid w:val="00D43282"/>
    <w:rsid w:val="00D4328B"/>
    <w:rsid w:val="00D43EA4"/>
    <w:rsid w:val="00D44508"/>
    <w:rsid w:val="00D44D43"/>
    <w:rsid w:val="00D47810"/>
    <w:rsid w:val="00D5128E"/>
    <w:rsid w:val="00D51A8E"/>
    <w:rsid w:val="00D51BA5"/>
    <w:rsid w:val="00D524B1"/>
    <w:rsid w:val="00D52FD0"/>
    <w:rsid w:val="00D535B6"/>
    <w:rsid w:val="00D54385"/>
    <w:rsid w:val="00D55525"/>
    <w:rsid w:val="00D55DDB"/>
    <w:rsid w:val="00D560D9"/>
    <w:rsid w:val="00D60E1E"/>
    <w:rsid w:val="00D60FF3"/>
    <w:rsid w:val="00D624CE"/>
    <w:rsid w:val="00D6259C"/>
    <w:rsid w:val="00D63586"/>
    <w:rsid w:val="00D638D3"/>
    <w:rsid w:val="00D63B91"/>
    <w:rsid w:val="00D64445"/>
    <w:rsid w:val="00D6455F"/>
    <w:rsid w:val="00D6467B"/>
    <w:rsid w:val="00D64A4A"/>
    <w:rsid w:val="00D657E0"/>
    <w:rsid w:val="00D6679C"/>
    <w:rsid w:val="00D66A79"/>
    <w:rsid w:val="00D671B9"/>
    <w:rsid w:val="00D717FE"/>
    <w:rsid w:val="00D71AEC"/>
    <w:rsid w:val="00D721D4"/>
    <w:rsid w:val="00D72370"/>
    <w:rsid w:val="00D72591"/>
    <w:rsid w:val="00D73EE6"/>
    <w:rsid w:val="00D742D2"/>
    <w:rsid w:val="00D744DC"/>
    <w:rsid w:val="00D74F43"/>
    <w:rsid w:val="00D75CF7"/>
    <w:rsid w:val="00D75F59"/>
    <w:rsid w:val="00D776C3"/>
    <w:rsid w:val="00D80153"/>
    <w:rsid w:val="00D80649"/>
    <w:rsid w:val="00D80E6A"/>
    <w:rsid w:val="00D819E8"/>
    <w:rsid w:val="00D81AC7"/>
    <w:rsid w:val="00D81CBC"/>
    <w:rsid w:val="00D81DAD"/>
    <w:rsid w:val="00D82878"/>
    <w:rsid w:val="00D8366F"/>
    <w:rsid w:val="00D84568"/>
    <w:rsid w:val="00D8495C"/>
    <w:rsid w:val="00D8547C"/>
    <w:rsid w:val="00D85892"/>
    <w:rsid w:val="00D85A24"/>
    <w:rsid w:val="00D85C3B"/>
    <w:rsid w:val="00D86737"/>
    <w:rsid w:val="00D8696A"/>
    <w:rsid w:val="00D909A0"/>
    <w:rsid w:val="00D90C33"/>
    <w:rsid w:val="00D9153B"/>
    <w:rsid w:val="00D9154A"/>
    <w:rsid w:val="00D93E2F"/>
    <w:rsid w:val="00D942DE"/>
    <w:rsid w:val="00D95903"/>
    <w:rsid w:val="00D95CAF"/>
    <w:rsid w:val="00D95D78"/>
    <w:rsid w:val="00D96D5D"/>
    <w:rsid w:val="00D97AD1"/>
    <w:rsid w:val="00DA0810"/>
    <w:rsid w:val="00DA0AB4"/>
    <w:rsid w:val="00DA23B3"/>
    <w:rsid w:val="00DA3B5B"/>
    <w:rsid w:val="00DA3FCE"/>
    <w:rsid w:val="00DA47DE"/>
    <w:rsid w:val="00DA59C2"/>
    <w:rsid w:val="00DA693E"/>
    <w:rsid w:val="00DB0449"/>
    <w:rsid w:val="00DB0EC7"/>
    <w:rsid w:val="00DB211F"/>
    <w:rsid w:val="00DB2989"/>
    <w:rsid w:val="00DB2A23"/>
    <w:rsid w:val="00DB3698"/>
    <w:rsid w:val="00DB40A5"/>
    <w:rsid w:val="00DB4203"/>
    <w:rsid w:val="00DB46B7"/>
    <w:rsid w:val="00DB568D"/>
    <w:rsid w:val="00DB60D9"/>
    <w:rsid w:val="00DB64A0"/>
    <w:rsid w:val="00DB660B"/>
    <w:rsid w:val="00DB6967"/>
    <w:rsid w:val="00DB6C25"/>
    <w:rsid w:val="00DB704B"/>
    <w:rsid w:val="00DB7920"/>
    <w:rsid w:val="00DB7CA1"/>
    <w:rsid w:val="00DC25DA"/>
    <w:rsid w:val="00DC37C7"/>
    <w:rsid w:val="00DC459A"/>
    <w:rsid w:val="00DC4A4C"/>
    <w:rsid w:val="00DC4C59"/>
    <w:rsid w:val="00DC5149"/>
    <w:rsid w:val="00DC53CC"/>
    <w:rsid w:val="00DC6D1A"/>
    <w:rsid w:val="00DC70E8"/>
    <w:rsid w:val="00DC7F73"/>
    <w:rsid w:val="00DD0468"/>
    <w:rsid w:val="00DD08F6"/>
    <w:rsid w:val="00DD14BF"/>
    <w:rsid w:val="00DD159D"/>
    <w:rsid w:val="00DD1B88"/>
    <w:rsid w:val="00DD21AF"/>
    <w:rsid w:val="00DD2233"/>
    <w:rsid w:val="00DD258E"/>
    <w:rsid w:val="00DD28EA"/>
    <w:rsid w:val="00DD327D"/>
    <w:rsid w:val="00DD3C08"/>
    <w:rsid w:val="00DD44E5"/>
    <w:rsid w:val="00DD5654"/>
    <w:rsid w:val="00DD5B62"/>
    <w:rsid w:val="00DD73CD"/>
    <w:rsid w:val="00DE0476"/>
    <w:rsid w:val="00DE0995"/>
    <w:rsid w:val="00DE274C"/>
    <w:rsid w:val="00DE2AAC"/>
    <w:rsid w:val="00DE4961"/>
    <w:rsid w:val="00DE4FC8"/>
    <w:rsid w:val="00DE5A49"/>
    <w:rsid w:val="00DE5D74"/>
    <w:rsid w:val="00DE6919"/>
    <w:rsid w:val="00DF04B2"/>
    <w:rsid w:val="00DF0A34"/>
    <w:rsid w:val="00DF0D23"/>
    <w:rsid w:val="00DF1125"/>
    <w:rsid w:val="00DF152C"/>
    <w:rsid w:val="00DF1598"/>
    <w:rsid w:val="00DF27AC"/>
    <w:rsid w:val="00DF28E7"/>
    <w:rsid w:val="00DF2FAE"/>
    <w:rsid w:val="00DF31CF"/>
    <w:rsid w:val="00DF3925"/>
    <w:rsid w:val="00DF399A"/>
    <w:rsid w:val="00DF4F4D"/>
    <w:rsid w:val="00DF59AA"/>
    <w:rsid w:val="00DF6280"/>
    <w:rsid w:val="00DF638F"/>
    <w:rsid w:val="00DF7B14"/>
    <w:rsid w:val="00E00009"/>
    <w:rsid w:val="00E01EF4"/>
    <w:rsid w:val="00E02CF2"/>
    <w:rsid w:val="00E03E26"/>
    <w:rsid w:val="00E04094"/>
    <w:rsid w:val="00E04947"/>
    <w:rsid w:val="00E04D65"/>
    <w:rsid w:val="00E06176"/>
    <w:rsid w:val="00E065E6"/>
    <w:rsid w:val="00E069F7"/>
    <w:rsid w:val="00E06C35"/>
    <w:rsid w:val="00E06CB4"/>
    <w:rsid w:val="00E0710D"/>
    <w:rsid w:val="00E07B9F"/>
    <w:rsid w:val="00E07F71"/>
    <w:rsid w:val="00E104DD"/>
    <w:rsid w:val="00E109ED"/>
    <w:rsid w:val="00E1134B"/>
    <w:rsid w:val="00E11351"/>
    <w:rsid w:val="00E114D8"/>
    <w:rsid w:val="00E1347F"/>
    <w:rsid w:val="00E14041"/>
    <w:rsid w:val="00E14A45"/>
    <w:rsid w:val="00E14D19"/>
    <w:rsid w:val="00E152B5"/>
    <w:rsid w:val="00E15333"/>
    <w:rsid w:val="00E1577D"/>
    <w:rsid w:val="00E1621B"/>
    <w:rsid w:val="00E16347"/>
    <w:rsid w:val="00E170A7"/>
    <w:rsid w:val="00E17993"/>
    <w:rsid w:val="00E2062E"/>
    <w:rsid w:val="00E20D9F"/>
    <w:rsid w:val="00E21114"/>
    <w:rsid w:val="00E22B84"/>
    <w:rsid w:val="00E2393A"/>
    <w:rsid w:val="00E26045"/>
    <w:rsid w:val="00E26BDB"/>
    <w:rsid w:val="00E27304"/>
    <w:rsid w:val="00E31E0F"/>
    <w:rsid w:val="00E3214D"/>
    <w:rsid w:val="00E326F8"/>
    <w:rsid w:val="00E327DC"/>
    <w:rsid w:val="00E33741"/>
    <w:rsid w:val="00E337F5"/>
    <w:rsid w:val="00E339E4"/>
    <w:rsid w:val="00E34EBC"/>
    <w:rsid w:val="00E35286"/>
    <w:rsid w:val="00E37211"/>
    <w:rsid w:val="00E37848"/>
    <w:rsid w:val="00E4034D"/>
    <w:rsid w:val="00E404B3"/>
    <w:rsid w:val="00E41EE7"/>
    <w:rsid w:val="00E42084"/>
    <w:rsid w:val="00E435F8"/>
    <w:rsid w:val="00E43663"/>
    <w:rsid w:val="00E43CEE"/>
    <w:rsid w:val="00E43D94"/>
    <w:rsid w:val="00E44854"/>
    <w:rsid w:val="00E44EF8"/>
    <w:rsid w:val="00E46953"/>
    <w:rsid w:val="00E46AA5"/>
    <w:rsid w:val="00E46D7F"/>
    <w:rsid w:val="00E474E8"/>
    <w:rsid w:val="00E50E32"/>
    <w:rsid w:val="00E512FA"/>
    <w:rsid w:val="00E5131D"/>
    <w:rsid w:val="00E523C5"/>
    <w:rsid w:val="00E532AF"/>
    <w:rsid w:val="00E5356E"/>
    <w:rsid w:val="00E55808"/>
    <w:rsid w:val="00E559EA"/>
    <w:rsid w:val="00E561F5"/>
    <w:rsid w:val="00E5696D"/>
    <w:rsid w:val="00E56E45"/>
    <w:rsid w:val="00E6161C"/>
    <w:rsid w:val="00E61EA8"/>
    <w:rsid w:val="00E61F51"/>
    <w:rsid w:val="00E629D9"/>
    <w:rsid w:val="00E62C55"/>
    <w:rsid w:val="00E62DEC"/>
    <w:rsid w:val="00E63233"/>
    <w:rsid w:val="00E63A35"/>
    <w:rsid w:val="00E64CF8"/>
    <w:rsid w:val="00E64DA5"/>
    <w:rsid w:val="00E65F8A"/>
    <w:rsid w:val="00E66D34"/>
    <w:rsid w:val="00E66ECB"/>
    <w:rsid w:val="00E67486"/>
    <w:rsid w:val="00E71903"/>
    <w:rsid w:val="00E7206C"/>
    <w:rsid w:val="00E727CE"/>
    <w:rsid w:val="00E73923"/>
    <w:rsid w:val="00E749E1"/>
    <w:rsid w:val="00E754A7"/>
    <w:rsid w:val="00E8007A"/>
    <w:rsid w:val="00E80578"/>
    <w:rsid w:val="00E80B43"/>
    <w:rsid w:val="00E8111A"/>
    <w:rsid w:val="00E815DA"/>
    <w:rsid w:val="00E81B9E"/>
    <w:rsid w:val="00E81D14"/>
    <w:rsid w:val="00E81E0B"/>
    <w:rsid w:val="00E82C91"/>
    <w:rsid w:val="00E833CB"/>
    <w:rsid w:val="00E83995"/>
    <w:rsid w:val="00E83CBA"/>
    <w:rsid w:val="00E83CC0"/>
    <w:rsid w:val="00E83D2E"/>
    <w:rsid w:val="00E83FB2"/>
    <w:rsid w:val="00E86D5C"/>
    <w:rsid w:val="00E87AA9"/>
    <w:rsid w:val="00E9030D"/>
    <w:rsid w:val="00E90615"/>
    <w:rsid w:val="00E919F8"/>
    <w:rsid w:val="00E91FE0"/>
    <w:rsid w:val="00E92BFB"/>
    <w:rsid w:val="00E92F54"/>
    <w:rsid w:val="00E94C15"/>
    <w:rsid w:val="00E959F1"/>
    <w:rsid w:val="00E95AC2"/>
    <w:rsid w:val="00E96ACB"/>
    <w:rsid w:val="00E97167"/>
    <w:rsid w:val="00E97491"/>
    <w:rsid w:val="00E977F4"/>
    <w:rsid w:val="00E97DB8"/>
    <w:rsid w:val="00E97DBB"/>
    <w:rsid w:val="00E97F5D"/>
    <w:rsid w:val="00EA0169"/>
    <w:rsid w:val="00EA0187"/>
    <w:rsid w:val="00EA163F"/>
    <w:rsid w:val="00EA169D"/>
    <w:rsid w:val="00EA2093"/>
    <w:rsid w:val="00EA3436"/>
    <w:rsid w:val="00EA3781"/>
    <w:rsid w:val="00EA39C1"/>
    <w:rsid w:val="00EA3DEE"/>
    <w:rsid w:val="00EA4A12"/>
    <w:rsid w:val="00EA5023"/>
    <w:rsid w:val="00EA50FC"/>
    <w:rsid w:val="00EA5563"/>
    <w:rsid w:val="00EA5812"/>
    <w:rsid w:val="00EA5841"/>
    <w:rsid w:val="00EA5CBB"/>
    <w:rsid w:val="00EA6B99"/>
    <w:rsid w:val="00EA7061"/>
    <w:rsid w:val="00EB0B31"/>
    <w:rsid w:val="00EB13FE"/>
    <w:rsid w:val="00EB18E7"/>
    <w:rsid w:val="00EB254B"/>
    <w:rsid w:val="00EB39F1"/>
    <w:rsid w:val="00EB3A3F"/>
    <w:rsid w:val="00EB408C"/>
    <w:rsid w:val="00EB43E9"/>
    <w:rsid w:val="00EB472E"/>
    <w:rsid w:val="00EB5000"/>
    <w:rsid w:val="00EB501E"/>
    <w:rsid w:val="00EB507D"/>
    <w:rsid w:val="00EB5434"/>
    <w:rsid w:val="00EB5BCA"/>
    <w:rsid w:val="00EB5D6C"/>
    <w:rsid w:val="00EB6319"/>
    <w:rsid w:val="00EB6A9B"/>
    <w:rsid w:val="00EB6CE3"/>
    <w:rsid w:val="00EB7239"/>
    <w:rsid w:val="00EB76D6"/>
    <w:rsid w:val="00EC00F0"/>
    <w:rsid w:val="00EC0178"/>
    <w:rsid w:val="00EC049F"/>
    <w:rsid w:val="00EC05F3"/>
    <w:rsid w:val="00EC0800"/>
    <w:rsid w:val="00EC0AE3"/>
    <w:rsid w:val="00EC1566"/>
    <w:rsid w:val="00EC1738"/>
    <w:rsid w:val="00EC23AB"/>
    <w:rsid w:val="00EC262F"/>
    <w:rsid w:val="00EC288C"/>
    <w:rsid w:val="00EC61FE"/>
    <w:rsid w:val="00EC7FA6"/>
    <w:rsid w:val="00ED024E"/>
    <w:rsid w:val="00ED0251"/>
    <w:rsid w:val="00ED04B2"/>
    <w:rsid w:val="00ED05BA"/>
    <w:rsid w:val="00ED194C"/>
    <w:rsid w:val="00ED22BD"/>
    <w:rsid w:val="00ED2C26"/>
    <w:rsid w:val="00ED3175"/>
    <w:rsid w:val="00ED32FD"/>
    <w:rsid w:val="00ED34BC"/>
    <w:rsid w:val="00ED3898"/>
    <w:rsid w:val="00ED3B45"/>
    <w:rsid w:val="00ED3C3D"/>
    <w:rsid w:val="00ED3CFB"/>
    <w:rsid w:val="00ED4229"/>
    <w:rsid w:val="00ED4409"/>
    <w:rsid w:val="00ED4CF9"/>
    <w:rsid w:val="00ED5EC2"/>
    <w:rsid w:val="00ED62FA"/>
    <w:rsid w:val="00ED637B"/>
    <w:rsid w:val="00ED7F4D"/>
    <w:rsid w:val="00EE03F3"/>
    <w:rsid w:val="00EE0489"/>
    <w:rsid w:val="00EE0674"/>
    <w:rsid w:val="00EE0DF2"/>
    <w:rsid w:val="00EE1CE5"/>
    <w:rsid w:val="00EE21DD"/>
    <w:rsid w:val="00EE38ED"/>
    <w:rsid w:val="00EE3B48"/>
    <w:rsid w:val="00EE56DF"/>
    <w:rsid w:val="00EE5A38"/>
    <w:rsid w:val="00EE5F56"/>
    <w:rsid w:val="00EE6ED3"/>
    <w:rsid w:val="00EE75B4"/>
    <w:rsid w:val="00EE7EB9"/>
    <w:rsid w:val="00EF0501"/>
    <w:rsid w:val="00EF1A24"/>
    <w:rsid w:val="00EF1BF1"/>
    <w:rsid w:val="00EF3F6F"/>
    <w:rsid w:val="00EF5069"/>
    <w:rsid w:val="00EF5A20"/>
    <w:rsid w:val="00EF5DC5"/>
    <w:rsid w:val="00EF62FE"/>
    <w:rsid w:val="00EF71E1"/>
    <w:rsid w:val="00EF73A3"/>
    <w:rsid w:val="00F008E5"/>
    <w:rsid w:val="00F0101B"/>
    <w:rsid w:val="00F015BB"/>
    <w:rsid w:val="00F017C5"/>
    <w:rsid w:val="00F01AC2"/>
    <w:rsid w:val="00F01BD5"/>
    <w:rsid w:val="00F022F9"/>
    <w:rsid w:val="00F0264E"/>
    <w:rsid w:val="00F04103"/>
    <w:rsid w:val="00F04A5D"/>
    <w:rsid w:val="00F05EAF"/>
    <w:rsid w:val="00F069D2"/>
    <w:rsid w:val="00F06D7C"/>
    <w:rsid w:val="00F0790D"/>
    <w:rsid w:val="00F07A54"/>
    <w:rsid w:val="00F1049D"/>
    <w:rsid w:val="00F119F0"/>
    <w:rsid w:val="00F11EB6"/>
    <w:rsid w:val="00F12530"/>
    <w:rsid w:val="00F125F1"/>
    <w:rsid w:val="00F133D3"/>
    <w:rsid w:val="00F13691"/>
    <w:rsid w:val="00F13FB0"/>
    <w:rsid w:val="00F147FD"/>
    <w:rsid w:val="00F14EC3"/>
    <w:rsid w:val="00F1591A"/>
    <w:rsid w:val="00F15FC1"/>
    <w:rsid w:val="00F16689"/>
    <w:rsid w:val="00F16812"/>
    <w:rsid w:val="00F16AB8"/>
    <w:rsid w:val="00F17762"/>
    <w:rsid w:val="00F2008D"/>
    <w:rsid w:val="00F2088C"/>
    <w:rsid w:val="00F2194F"/>
    <w:rsid w:val="00F229AE"/>
    <w:rsid w:val="00F22E16"/>
    <w:rsid w:val="00F23C5A"/>
    <w:rsid w:val="00F23C9C"/>
    <w:rsid w:val="00F23D16"/>
    <w:rsid w:val="00F23E91"/>
    <w:rsid w:val="00F26AA7"/>
    <w:rsid w:val="00F26B18"/>
    <w:rsid w:val="00F272B5"/>
    <w:rsid w:val="00F27390"/>
    <w:rsid w:val="00F277D4"/>
    <w:rsid w:val="00F31104"/>
    <w:rsid w:val="00F3167F"/>
    <w:rsid w:val="00F3344F"/>
    <w:rsid w:val="00F33905"/>
    <w:rsid w:val="00F33E65"/>
    <w:rsid w:val="00F34E93"/>
    <w:rsid w:val="00F34EC0"/>
    <w:rsid w:val="00F352CD"/>
    <w:rsid w:val="00F35680"/>
    <w:rsid w:val="00F371FB"/>
    <w:rsid w:val="00F3787A"/>
    <w:rsid w:val="00F40746"/>
    <w:rsid w:val="00F41CEB"/>
    <w:rsid w:val="00F43246"/>
    <w:rsid w:val="00F43BCE"/>
    <w:rsid w:val="00F4444A"/>
    <w:rsid w:val="00F4474B"/>
    <w:rsid w:val="00F44B70"/>
    <w:rsid w:val="00F4529E"/>
    <w:rsid w:val="00F452F7"/>
    <w:rsid w:val="00F456B3"/>
    <w:rsid w:val="00F45B90"/>
    <w:rsid w:val="00F45D49"/>
    <w:rsid w:val="00F46466"/>
    <w:rsid w:val="00F46C8F"/>
    <w:rsid w:val="00F4721A"/>
    <w:rsid w:val="00F47C1C"/>
    <w:rsid w:val="00F50220"/>
    <w:rsid w:val="00F50884"/>
    <w:rsid w:val="00F513E5"/>
    <w:rsid w:val="00F5219B"/>
    <w:rsid w:val="00F5241C"/>
    <w:rsid w:val="00F52DB3"/>
    <w:rsid w:val="00F53138"/>
    <w:rsid w:val="00F534C0"/>
    <w:rsid w:val="00F54690"/>
    <w:rsid w:val="00F54930"/>
    <w:rsid w:val="00F55192"/>
    <w:rsid w:val="00F5523B"/>
    <w:rsid w:val="00F55A53"/>
    <w:rsid w:val="00F55B96"/>
    <w:rsid w:val="00F56188"/>
    <w:rsid w:val="00F5696D"/>
    <w:rsid w:val="00F56BB1"/>
    <w:rsid w:val="00F56CED"/>
    <w:rsid w:val="00F570CC"/>
    <w:rsid w:val="00F60AC8"/>
    <w:rsid w:val="00F6204F"/>
    <w:rsid w:val="00F623B6"/>
    <w:rsid w:val="00F624F6"/>
    <w:rsid w:val="00F6280F"/>
    <w:rsid w:val="00F62819"/>
    <w:rsid w:val="00F6304D"/>
    <w:rsid w:val="00F63387"/>
    <w:rsid w:val="00F6394B"/>
    <w:rsid w:val="00F64E87"/>
    <w:rsid w:val="00F65E3E"/>
    <w:rsid w:val="00F6653B"/>
    <w:rsid w:val="00F66561"/>
    <w:rsid w:val="00F708D9"/>
    <w:rsid w:val="00F715B9"/>
    <w:rsid w:val="00F71AAF"/>
    <w:rsid w:val="00F71EB7"/>
    <w:rsid w:val="00F720FB"/>
    <w:rsid w:val="00F721C2"/>
    <w:rsid w:val="00F7369B"/>
    <w:rsid w:val="00F7389B"/>
    <w:rsid w:val="00F73D50"/>
    <w:rsid w:val="00F73F94"/>
    <w:rsid w:val="00F75320"/>
    <w:rsid w:val="00F76DBB"/>
    <w:rsid w:val="00F80602"/>
    <w:rsid w:val="00F81376"/>
    <w:rsid w:val="00F82A37"/>
    <w:rsid w:val="00F82BC8"/>
    <w:rsid w:val="00F83A57"/>
    <w:rsid w:val="00F83B30"/>
    <w:rsid w:val="00F8472E"/>
    <w:rsid w:val="00F84C20"/>
    <w:rsid w:val="00F85550"/>
    <w:rsid w:val="00F857E4"/>
    <w:rsid w:val="00F85ED5"/>
    <w:rsid w:val="00F86821"/>
    <w:rsid w:val="00F904C9"/>
    <w:rsid w:val="00F91606"/>
    <w:rsid w:val="00F9196D"/>
    <w:rsid w:val="00F92112"/>
    <w:rsid w:val="00F9230A"/>
    <w:rsid w:val="00F92366"/>
    <w:rsid w:val="00F92753"/>
    <w:rsid w:val="00F92B3A"/>
    <w:rsid w:val="00F93F23"/>
    <w:rsid w:val="00F94402"/>
    <w:rsid w:val="00F94685"/>
    <w:rsid w:val="00F947A1"/>
    <w:rsid w:val="00F951B4"/>
    <w:rsid w:val="00F9598E"/>
    <w:rsid w:val="00F95A84"/>
    <w:rsid w:val="00F95FD6"/>
    <w:rsid w:val="00F96B32"/>
    <w:rsid w:val="00F9735A"/>
    <w:rsid w:val="00F97644"/>
    <w:rsid w:val="00F97A65"/>
    <w:rsid w:val="00FA0910"/>
    <w:rsid w:val="00FA1093"/>
    <w:rsid w:val="00FA1F18"/>
    <w:rsid w:val="00FA267E"/>
    <w:rsid w:val="00FA336A"/>
    <w:rsid w:val="00FA3439"/>
    <w:rsid w:val="00FA42F4"/>
    <w:rsid w:val="00FA49EB"/>
    <w:rsid w:val="00FA4B73"/>
    <w:rsid w:val="00FA514A"/>
    <w:rsid w:val="00FA5217"/>
    <w:rsid w:val="00FA6502"/>
    <w:rsid w:val="00FA67F4"/>
    <w:rsid w:val="00FA7192"/>
    <w:rsid w:val="00FB0730"/>
    <w:rsid w:val="00FB0BC1"/>
    <w:rsid w:val="00FB14A0"/>
    <w:rsid w:val="00FB2496"/>
    <w:rsid w:val="00FB283E"/>
    <w:rsid w:val="00FB2AB5"/>
    <w:rsid w:val="00FB30D9"/>
    <w:rsid w:val="00FB34F8"/>
    <w:rsid w:val="00FB3BAE"/>
    <w:rsid w:val="00FB3C2B"/>
    <w:rsid w:val="00FB43AC"/>
    <w:rsid w:val="00FB4960"/>
    <w:rsid w:val="00FB4BF9"/>
    <w:rsid w:val="00FB4E4A"/>
    <w:rsid w:val="00FB5B60"/>
    <w:rsid w:val="00FB6588"/>
    <w:rsid w:val="00FB6D3A"/>
    <w:rsid w:val="00FB724A"/>
    <w:rsid w:val="00FB7924"/>
    <w:rsid w:val="00FB7F35"/>
    <w:rsid w:val="00FC0A2D"/>
    <w:rsid w:val="00FC11D6"/>
    <w:rsid w:val="00FC25AB"/>
    <w:rsid w:val="00FC3382"/>
    <w:rsid w:val="00FC3538"/>
    <w:rsid w:val="00FC38CA"/>
    <w:rsid w:val="00FC48DD"/>
    <w:rsid w:val="00FC569E"/>
    <w:rsid w:val="00FC65F9"/>
    <w:rsid w:val="00FC67CF"/>
    <w:rsid w:val="00FC67E5"/>
    <w:rsid w:val="00FC6A47"/>
    <w:rsid w:val="00FC6BFF"/>
    <w:rsid w:val="00FC76CF"/>
    <w:rsid w:val="00FC7E85"/>
    <w:rsid w:val="00FD04EB"/>
    <w:rsid w:val="00FD1036"/>
    <w:rsid w:val="00FD10F6"/>
    <w:rsid w:val="00FD131D"/>
    <w:rsid w:val="00FD15CB"/>
    <w:rsid w:val="00FD19D2"/>
    <w:rsid w:val="00FD28AF"/>
    <w:rsid w:val="00FD2AB5"/>
    <w:rsid w:val="00FD2D4D"/>
    <w:rsid w:val="00FD3A32"/>
    <w:rsid w:val="00FD3EC1"/>
    <w:rsid w:val="00FD44FE"/>
    <w:rsid w:val="00FD451B"/>
    <w:rsid w:val="00FD481F"/>
    <w:rsid w:val="00FD5177"/>
    <w:rsid w:val="00FD58D6"/>
    <w:rsid w:val="00FD5FD0"/>
    <w:rsid w:val="00FD72B6"/>
    <w:rsid w:val="00FE0AF4"/>
    <w:rsid w:val="00FE19EF"/>
    <w:rsid w:val="00FE256F"/>
    <w:rsid w:val="00FE2BAB"/>
    <w:rsid w:val="00FE35E1"/>
    <w:rsid w:val="00FE38CE"/>
    <w:rsid w:val="00FE447F"/>
    <w:rsid w:val="00FE4989"/>
    <w:rsid w:val="00FE4FAA"/>
    <w:rsid w:val="00FE57D3"/>
    <w:rsid w:val="00FE5D5E"/>
    <w:rsid w:val="00FE5E1A"/>
    <w:rsid w:val="00FE5FB2"/>
    <w:rsid w:val="00FE6D86"/>
    <w:rsid w:val="00FE6E04"/>
    <w:rsid w:val="00FE7037"/>
    <w:rsid w:val="00FE735A"/>
    <w:rsid w:val="00FE74A4"/>
    <w:rsid w:val="00FE7C8B"/>
    <w:rsid w:val="00FE7E76"/>
    <w:rsid w:val="00FF05E6"/>
    <w:rsid w:val="00FF0968"/>
    <w:rsid w:val="00FF0DA7"/>
    <w:rsid w:val="00FF1BD7"/>
    <w:rsid w:val="00FF25D2"/>
    <w:rsid w:val="00FF2652"/>
    <w:rsid w:val="00FF304E"/>
    <w:rsid w:val="00FF3276"/>
    <w:rsid w:val="00FF3413"/>
    <w:rsid w:val="00FF3687"/>
    <w:rsid w:val="00FF37AC"/>
    <w:rsid w:val="00FF4656"/>
    <w:rsid w:val="00FF5B26"/>
    <w:rsid w:val="00FF64B7"/>
    <w:rsid w:val="00FF69CB"/>
    <w:rsid w:val="00FF6AFA"/>
    <w:rsid w:val="00FF73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819A81B"/>
  <w15:docId w15:val="{7AD1090B-6417-4C43-8C67-730E75792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3B"/>
    <w:rPr>
      <w:lang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3">
    <w:name w:val="heading 3"/>
    <w:basedOn w:val="Normal"/>
    <w:next w:val="Normal"/>
    <w:link w:val="Heading3Char"/>
    <w:unhideWhenUsed/>
    <w:qFormat/>
    <w:locked/>
    <w:rsid w:val="00195AD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aliases w:val="single space,fn,footnote text,ft,Footnote Text Char Char Char Char Char Char Char Char Char Char,Footnote Text Char Char Char Char Char Char Char Char Char Char Char Char,Footnote Text2,ft2,Footnote Text Char Char Char,FA F,FOOTNOTES,ADB,f"/>
    <w:basedOn w:val="Normal"/>
    <w:link w:val="FootnoteTextChar"/>
    <w:uiPriority w:val="99"/>
    <w:qFormat/>
    <w:rsid w:val="00883295"/>
    <w:pPr>
      <w:widowControl w:val="0"/>
    </w:pPr>
    <w:rPr>
      <w:sz w:val="16"/>
    </w:rPr>
  </w:style>
  <w:style w:type="paragraph" w:styleId="Subtitle">
    <w:name w:val="Subtitle"/>
    <w:basedOn w:val="Normal"/>
    <w:link w:val="SubtitleChar"/>
    <w:qFormat/>
    <w:rsid w:val="00D9153B"/>
    <w:pPr>
      <w:spacing w:after="60"/>
      <w:jc w:val="center"/>
      <w:outlineLvl w:val="1"/>
    </w:pPr>
    <w:rPr>
      <w:rFonts w:ascii="Arial" w:hAnsi="Arial" w:cs="Arial"/>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arattere Carattere Char Char Char Carattere Cha"/>
    <w:link w:val="Char2"/>
    <w:uiPriority w:val="99"/>
    <w:qFormat/>
    <w:rsid w:val="00D9153B"/>
    <w:rPr>
      <w:rFonts w:cs="Times New Roman"/>
      <w:vertAlign w:val="superscript"/>
    </w:rPr>
  </w:style>
  <w:style w:type="paragraph" w:styleId="Footer">
    <w:name w:val="footer"/>
    <w:basedOn w:val="Normal"/>
    <w:link w:val="FooterChar"/>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WB Para"/>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uiPriority w:val="99"/>
    <w:semiHidden/>
    <w:rsid w:val="00400E4A"/>
    <w:rPr>
      <w:rFonts w:cs="Times New Roman"/>
      <w:sz w:val="6"/>
      <w:szCs w:val="6"/>
    </w:rPr>
  </w:style>
  <w:style w:type="character" w:customStyle="1" w:styleId="FooterChar">
    <w:name w:val="Footer Char"/>
    <w:link w:val="Footer"/>
    <w:locked/>
    <w:rsid w:val="005841A3"/>
    <w:rPr>
      <w:rFonts w:cs="Times New Roman"/>
    </w:rPr>
  </w:style>
  <w:style w:type="paragraph" w:styleId="CommentText">
    <w:name w:val="annotation text"/>
    <w:basedOn w:val="Normal"/>
    <w:link w:val="CommentTextChar"/>
    <w:uiPriority w:val="99"/>
    <w:rsid w:val="008543F5"/>
  </w:style>
  <w:style w:type="character" w:customStyle="1" w:styleId="CommentTextChar">
    <w:name w:val="Comment Text Char"/>
    <w:basedOn w:val="DefaultParagraphFont"/>
    <w:link w:val="CommentText"/>
    <w:uiPriority w:val="99"/>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single space Char,fn Char,footnote text Char,ft Char,Footnote Text Char Char Char Char Char Char Char Char Char Char Char,Footnote Text Char Char Char Char Char Char Char Char Char Char Char Char Char,Footnote Text2 Char,ft2 Char"/>
    <w:basedOn w:val="DefaultParagraphFont"/>
    <w:link w:val="FootnoteText"/>
    <w:rsid w:val="00883295"/>
    <w:rPr>
      <w:sz w:val="16"/>
      <w:lang w:eastAsia="en-US"/>
    </w:rPr>
  </w:style>
  <w:style w:type="character" w:customStyle="1" w:styleId="ListParagraphChar">
    <w:name w:val="List Paragraph Char"/>
    <w:aliases w:val="List Paragraph (numbered (a)) Char,WB Para Char"/>
    <w:link w:val="ListParagraph"/>
    <w:uiPriority w:val="34"/>
    <w:locked/>
    <w:rsid w:val="009A4543"/>
    <w:rPr>
      <w:lang w:val="en-US" w:eastAsia="en-US"/>
    </w:rPr>
  </w:style>
  <w:style w:type="paragraph" w:styleId="Revision">
    <w:name w:val="Revision"/>
    <w:hidden/>
    <w:uiPriority w:val="99"/>
    <w:semiHidden/>
    <w:rsid w:val="0050228C"/>
    <w:rPr>
      <w:lang w:val="en-US" w:eastAsia="en-US"/>
    </w:rPr>
  </w:style>
  <w:style w:type="paragraph" w:customStyle="1" w:styleId="Char2">
    <w:name w:val="Char2"/>
    <w:basedOn w:val="Normal"/>
    <w:link w:val="FootnoteReference"/>
    <w:uiPriority w:val="99"/>
    <w:rsid w:val="003E5D5E"/>
    <w:pPr>
      <w:spacing w:after="160" w:line="240" w:lineRule="exact"/>
      <w:jc w:val="both"/>
    </w:pPr>
    <w:rPr>
      <w:vertAlign w:val="superscript"/>
      <w:lang w:eastAsia="en-GB"/>
    </w:rPr>
  </w:style>
  <w:style w:type="paragraph" w:styleId="NoSpacing">
    <w:name w:val="No Spacing"/>
    <w:link w:val="NoSpacingChar"/>
    <w:qFormat/>
    <w:rsid w:val="003E5D5E"/>
    <w:rPr>
      <w:rFonts w:ascii="Calibri" w:hAnsi="Calibri"/>
      <w:sz w:val="22"/>
      <w:szCs w:val="22"/>
      <w:lang w:val="en-US" w:eastAsia="en-US"/>
    </w:rPr>
  </w:style>
  <w:style w:type="character" w:customStyle="1" w:styleId="NoSpacingChar">
    <w:name w:val="No Spacing Char"/>
    <w:link w:val="NoSpacing"/>
    <w:rsid w:val="003E5D5E"/>
    <w:rPr>
      <w:rFonts w:ascii="Calibri" w:hAnsi="Calibri"/>
      <w:sz w:val="22"/>
      <w:szCs w:val="22"/>
      <w:lang w:val="en-US" w:eastAsia="en-US"/>
    </w:rPr>
  </w:style>
  <w:style w:type="paragraph" w:customStyle="1" w:styleId="NoSpacing1">
    <w:name w:val="No Spacing1"/>
    <w:qFormat/>
    <w:rsid w:val="0038374F"/>
    <w:rPr>
      <w:rFonts w:ascii="Calibri" w:hAnsi="Calibri" w:cs="Calibri"/>
      <w:sz w:val="22"/>
      <w:szCs w:val="22"/>
      <w:lang w:val="en-AU" w:eastAsia="en-US"/>
    </w:rPr>
  </w:style>
  <w:style w:type="character" w:styleId="FollowedHyperlink">
    <w:name w:val="FollowedHyperlink"/>
    <w:basedOn w:val="DefaultParagraphFont"/>
    <w:semiHidden/>
    <w:unhideWhenUsed/>
    <w:rsid w:val="004A1473"/>
    <w:rPr>
      <w:color w:val="800080" w:themeColor="followedHyperlink"/>
      <w:u w:val="single"/>
    </w:rPr>
  </w:style>
  <w:style w:type="paragraph" w:customStyle="1" w:styleId="Default">
    <w:name w:val="Default"/>
    <w:rsid w:val="00FE7037"/>
    <w:pPr>
      <w:autoSpaceDE w:val="0"/>
      <w:autoSpaceDN w:val="0"/>
      <w:adjustRightInd w:val="0"/>
    </w:pPr>
    <w:rPr>
      <w:color w:val="000000"/>
      <w:lang w:val="en-US"/>
    </w:rPr>
  </w:style>
  <w:style w:type="paragraph" w:styleId="NormalWeb">
    <w:name w:val="Normal (Web)"/>
    <w:aliases w:val=" Char"/>
    <w:basedOn w:val="Normal"/>
    <w:uiPriority w:val="99"/>
    <w:unhideWhenUsed/>
    <w:rsid w:val="00FE7037"/>
    <w:pPr>
      <w:spacing w:before="100" w:beforeAutospacing="1" w:after="100" w:afterAutospacing="1"/>
    </w:pPr>
    <w:rPr>
      <w:rFonts w:eastAsiaTheme="minorEastAsia"/>
      <w:lang w:val="de-DE" w:eastAsia="de-DE"/>
    </w:rPr>
  </w:style>
  <w:style w:type="character" w:customStyle="1" w:styleId="Heading3Char">
    <w:name w:val="Heading 3 Char"/>
    <w:basedOn w:val="DefaultParagraphFont"/>
    <w:link w:val="Heading3"/>
    <w:rsid w:val="00195AD8"/>
    <w:rPr>
      <w:rFonts w:asciiTheme="majorHAnsi" w:eastAsiaTheme="majorEastAsia" w:hAnsiTheme="majorHAnsi" w:cstheme="majorBidi"/>
      <w:color w:val="243F60" w:themeColor="accent1" w:themeShade="7F"/>
      <w:sz w:val="24"/>
      <w:szCs w:val="24"/>
      <w:lang w:val="en-US" w:eastAsia="en-US"/>
    </w:rPr>
  </w:style>
  <w:style w:type="character" w:customStyle="1" w:styleId="formatdata">
    <w:name w:val="format_data"/>
    <w:basedOn w:val="DefaultParagraphFont"/>
    <w:rsid w:val="00195AD8"/>
  </w:style>
  <w:style w:type="paragraph" w:customStyle="1" w:styleId="ADRText">
    <w:name w:val="ADR_Text"/>
    <w:basedOn w:val="Normal"/>
    <w:qFormat/>
    <w:rsid w:val="00862B9F"/>
    <w:pPr>
      <w:autoSpaceDE w:val="0"/>
      <w:autoSpaceDN w:val="0"/>
      <w:adjustRightInd w:val="0"/>
    </w:pPr>
    <w:rPr>
      <w:rFonts w:ascii="Calibri" w:hAnsi="Calibri"/>
      <w:sz w:val="22"/>
    </w:rPr>
  </w:style>
  <w:style w:type="paragraph" w:styleId="EndnoteText">
    <w:name w:val="endnote text"/>
    <w:basedOn w:val="Normal"/>
    <w:link w:val="EndnoteTextChar"/>
    <w:uiPriority w:val="99"/>
    <w:unhideWhenUsed/>
    <w:rsid w:val="00862B9F"/>
    <w:rPr>
      <w:rFonts w:asciiTheme="minorHAnsi" w:eastAsiaTheme="minorHAnsi" w:hAnsiTheme="minorHAnsi" w:cstheme="minorBidi"/>
    </w:rPr>
  </w:style>
  <w:style w:type="character" w:customStyle="1" w:styleId="EndnoteTextChar">
    <w:name w:val="Endnote Text Char"/>
    <w:basedOn w:val="DefaultParagraphFont"/>
    <w:link w:val="EndnoteText"/>
    <w:uiPriority w:val="99"/>
    <w:rsid w:val="00862B9F"/>
    <w:rPr>
      <w:rFonts w:asciiTheme="minorHAnsi" w:eastAsiaTheme="minorHAnsi" w:hAnsiTheme="minorHAnsi" w:cstheme="minorBidi"/>
      <w:lang w:val="en-US" w:eastAsia="en-US"/>
    </w:rPr>
  </w:style>
  <w:style w:type="character" w:styleId="EndnoteReference">
    <w:name w:val="endnote reference"/>
    <w:basedOn w:val="DefaultParagraphFont"/>
    <w:uiPriority w:val="99"/>
    <w:semiHidden/>
    <w:unhideWhenUsed/>
    <w:rsid w:val="00862B9F"/>
    <w:rPr>
      <w:vertAlign w:val="superscript"/>
    </w:rPr>
  </w:style>
  <w:style w:type="character" w:styleId="Emphasis">
    <w:name w:val="Emphasis"/>
    <w:basedOn w:val="DefaultParagraphFont"/>
    <w:uiPriority w:val="20"/>
    <w:qFormat/>
    <w:locked/>
    <w:rsid w:val="00CD26EA"/>
    <w:rPr>
      <w:i/>
      <w:iCs/>
    </w:rPr>
  </w:style>
  <w:style w:type="character" w:customStyle="1" w:styleId="apple-converted-space">
    <w:name w:val="apple-converted-space"/>
    <w:basedOn w:val="DefaultParagraphFont"/>
    <w:rsid w:val="00F50884"/>
  </w:style>
  <w:style w:type="paragraph" w:customStyle="1" w:styleId="p1">
    <w:name w:val="p1"/>
    <w:basedOn w:val="Normal"/>
    <w:rsid w:val="001B0232"/>
    <w:pPr>
      <w:ind w:left="720" w:hanging="720"/>
      <w:jc w:val="both"/>
    </w:pPr>
    <w:rPr>
      <w:rFonts w:ascii="Calibri" w:eastAsiaTheme="minorHAnsi" w:hAnsi="Calibri"/>
      <w:sz w:val="17"/>
      <w:szCs w:val="17"/>
      <w:lang w:val="en-US"/>
    </w:rPr>
  </w:style>
  <w:style w:type="character" w:customStyle="1" w:styleId="s1">
    <w:name w:val="s1"/>
    <w:basedOn w:val="DefaultParagraphFont"/>
    <w:rsid w:val="001B0232"/>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autoRedefine/>
    <w:uiPriority w:val="99"/>
    <w:qFormat/>
    <w:rsid w:val="00187EF8"/>
    <w:pPr>
      <w:spacing w:after="160" w:line="240" w:lineRule="exact"/>
    </w:pPr>
    <w:rPr>
      <w:rFonts w:eastAsiaTheme="minorHAnsi" w:cstheme="minorBidi"/>
      <w:sz w:val="20"/>
      <w:vertAlign w:val="superscript"/>
      <w:lang w:val="en-US"/>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uiPriority w:val="99"/>
    <w:rsid w:val="00360339"/>
    <w:pPr>
      <w:spacing w:after="160" w:line="240" w:lineRule="exact"/>
      <w:jc w:val="both"/>
    </w:pPr>
    <w:rPr>
      <w:rFonts w:ascii="Arial" w:eastAsiaTheme="minorEastAsia" w:hAnsi="Arial"/>
      <w:sz w:val="18"/>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09933316">
      <w:bodyDiv w:val="1"/>
      <w:marLeft w:val="0"/>
      <w:marRight w:val="0"/>
      <w:marTop w:val="0"/>
      <w:marBottom w:val="0"/>
      <w:divBdr>
        <w:top w:val="none" w:sz="0" w:space="0" w:color="auto"/>
        <w:left w:val="none" w:sz="0" w:space="0" w:color="auto"/>
        <w:bottom w:val="none" w:sz="0" w:space="0" w:color="auto"/>
        <w:right w:val="none" w:sz="0" w:space="0" w:color="auto"/>
      </w:divBdr>
    </w:div>
    <w:div w:id="122426358">
      <w:bodyDiv w:val="1"/>
      <w:marLeft w:val="0"/>
      <w:marRight w:val="0"/>
      <w:marTop w:val="0"/>
      <w:marBottom w:val="0"/>
      <w:divBdr>
        <w:top w:val="none" w:sz="0" w:space="0" w:color="auto"/>
        <w:left w:val="none" w:sz="0" w:space="0" w:color="auto"/>
        <w:bottom w:val="none" w:sz="0" w:space="0" w:color="auto"/>
        <w:right w:val="none" w:sz="0" w:space="0" w:color="auto"/>
      </w:divBdr>
    </w:div>
    <w:div w:id="229118345">
      <w:bodyDiv w:val="1"/>
      <w:marLeft w:val="0"/>
      <w:marRight w:val="0"/>
      <w:marTop w:val="0"/>
      <w:marBottom w:val="0"/>
      <w:divBdr>
        <w:top w:val="none" w:sz="0" w:space="0" w:color="auto"/>
        <w:left w:val="none" w:sz="0" w:space="0" w:color="auto"/>
        <w:bottom w:val="none" w:sz="0" w:space="0" w:color="auto"/>
        <w:right w:val="none" w:sz="0" w:space="0" w:color="auto"/>
      </w:divBdr>
    </w:div>
    <w:div w:id="400719161">
      <w:bodyDiv w:val="1"/>
      <w:marLeft w:val="0"/>
      <w:marRight w:val="0"/>
      <w:marTop w:val="0"/>
      <w:marBottom w:val="0"/>
      <w:divBdr>
        <w:top w:val="none" w:sz="0" w:space="0" w:color="auto"/>
        <w:left w:val="none" w:sz="0" w:space="0" w:color="auto"/>
        <w:bottom w:val="none" w:sz="0" w:space="0" w:color="auto"/>
        <w:right w:val="none" w:sz="0" w:space="0" w:color="auto"/>
      </w:divBdr>
    </w:div>
    <w:div w:id="463735903">
      <w:bodyDiv w:val="1"/>
      <w:marLeft w:val="0"/>
      <w:marRight w:val="0"/>
      <w:marTop w:val="0"/>
      <w:marBottom w:val="0"/>
      <w:divBdr>
        <w:top w:val="none" w:sz="0" w:space="0" w:color="auto"/>
        <w:left w:val="none" w:sz="0" w:space="0" w:color="auto"/>
        <w:bottom w:val="none" w:sz="0" w:space="0" w:color="auto"/>
        <w:right w:val="none" w:sz="0" w:space="0" w:color="auto"/>
      </w:divBdr>
    </w:div>
    <w:div w:id="482889077">
      <w:bodyDiv w:val="1"/>
      <w:marLeft w:val="0"/>
      <w:marRight w:val="0"/>
      <w:marTop w:val="0"/>
      <w:marBottom w:val="0"/>
      <w:divBdr>
        <w:top w:val="none" w:sz="0" w:space="0" w:color="auto"/>
        <w:left w:val="none" w:sz="0" w:space="0" w:color="auto"/>
        <w:bottom w:val="none" w:sz="0" w:space="0" w:color="auto"/>
        <w:right w:val="none" w:sz="0" w:space="0" w:color="auto"/>
      </w:divBdr>
    </w:div>
    <w:div w:id="606280876">
      <w:bodyDiv w:val="1"/>
      <w:marLeft w:val="0"/>
      <w:marRight w:val="0"/>
      <w:marTop w:val="0"/>
      <w:marBottom w:val="0"/>
      <w:divBdr>
        <w:top w:val="none" w:sz="0" w:space="0" w:color="auto"/>
        <w:left w:val="none" w:sz="0" w:space="0" w:color="auto"/>
        <w:bottom w:val="none" w:sz="0" w:space="0" w:color="auto"/>
        <w:right w:val="none" w:sz="0" w:space="0" w:color="auto"/>
      </w:divBdr>
    </w:div>
    <w:div w:id="668022803">
      <w:bodyDiv w:val="1"/>
      <w:marLeft w:val="0"/>
      <w:marRight w:val="0"/>
      <w:marTop w:val="0"/>
      <w:marBottom w:val="0"/>
      <w:divBdr>
        <w:top w:val="none" w:sz="0" w:space="0" w:color="auto"/>
        <w:left w:val="none" w:sz="0" w:space="0" w:color="auto"/>
        <w:bottom w:val="none" w:sz="0" w:space="0" w:color="auto"/>
        <w:right w:val="none" w:sz="0" w:space="0" w:color="auto"/>
      </w:divBdr>
    </w:div>
    <w:div w:id="758598369">
      <w:bodyDiv w:val="1"/>
      <w:marLeft w:val="0"/>
      <w:marRight w:val="0"/>
      <w:marTop w:val="0"/>
      <w:marBottom w:val="0"/>
      <w:divBdr>
        <w:top w:val="none" w:sz="0" w:space="0" w:color="auto"/>
        <w:left w:val="none" w:sz="0" w:space="0" w:color="auto"/>
        <w:bottom w:val="none" w:sz="0" w:space="0" w:color="auto"/>
        <w:right w:val="none" w:sz="0" w:space="0" w:color="auto"/>
      </w:divBdr>
    </w:div>
    <w:div w:id="759568440">
      <w:bodyDiv w:val="1"/>
      <w:marLeft w:val="0"/>
      <w:marRight w:val="0"/>
      <w:marTop w:val="0"/>
      <w:marBottom w:val="0"/>
      <w:divBdr>
        <w:top w:val="none" w:sz="0" w:space="0" w:color="auto"/>
        <w:left w:val="none" w:sz="0" w:space="0" w:color="auto"/>
        <w:bottom w:val="none" w:sz="0" w:space="0" w:color="auto"/>
        <w:right w:val="none" w:sz="0" w:space="0" w:color="auto"/>
      </w:divBdr>
    </w:div>
    <w:div w:id="806707451">
      <w:bodyDiv w:val="1"/>
      <w:marLeft w:val="0"/>
      <w:marRight w:val="0"/>
      <w:marTop w:val="0"/>
      <w:marBottom w:val="0"/>
      <w:divBdr>
        <w:top w:val="none" w:sz="0" w:space="0" w:color="auto"/>
        <w:left w:val="none" w:sz="0" w:space="0" w:color="auto"/>
        <w:bottom w:val="none" w:sz="0" w:space="0" w:color="auto"/>
        <w:right w:val="none" w:sz="0" w:space="0" w:color="auto"/>
      </w:divBdr>
    </w:div>
    <w:div w:id="955215042">
      <w:bodyDiv w:val="1"/>
      <w:marLeft w:val="0"/>
      <w:marRight w:val="0"/>
      <w:marTop w:val="0"/>
      <w:marBottom w:val="0"/>
      <w:divBdr>
        <w:top w:val="none" w:sz="0" w:space="0" w:color="auto"/>
        <w:left w:val="none" w:sz="0" w:space="0" w:color="auto"/>
        <w:bottom w:val="none" w:sz="0" w:space="0" w:color="auto"/>
        <w:right w:val="none" w:sz="0" w:space="0" w:color="auto"/>
      </w:divBdr>
    </w:div>
    <w:div w:id="1000737765">
      <w:bodyDiv w:val="1"/>
      <w:marLeft w:val="0"/>
      <w:marRight w:val="0"/>
      <w:marTop w:val="0"/>
      <w:marBottom w:val="0"/>
      <w:divBdr>
        <w:top w:val="none" w:sz="0" w:space="0" w:color="auto"/>
        <w:left w:val="none" w:sz="0" w:space="0" w:color="auto"/>
        <w:bottom w:val="none" w:sz="0" w:space="0" w:color="auto"/>
        <w:right w:val="none" w:sz="0" w:space="0" w:color="auto"/>
      </w:divBdr>
    </w:div>
    <w:div w:id="1039404209">
      <w:bodyDiv w:val="1"/>
      <w:marLeft w:val="0"/>
      <w:marRight w:val="0"/>
      <w:marTop w:val="0"/>
      <w:marBottom w:val="0"/>
      <w:divBdr>
        <w:top w:val="none" w:sz="0" w:space="0" w:color="auto"/>
        <w:left w:val="none" w:sz="0" w:space="0" w:color="auto"/>
        <w:bottom w:val="none" w:sz="0" w:space="0" w:color="auto"/>
        <w:right w:val="none" w:sz="0" w:space="0" w:color="auto"/>
      </w:divBdr>
    </w:div>
    <w:div w:id="1101997896">
      <w:bodyDiv w:val="1"/>
      <w:marLeft w:val="0"/>
      <w:marRight w:val="0"/>
      <w:marTop w:val="0"/>
      <w:marBottom w:val="0"/>
      <w:divBdr>
        <w:top w:val="none" w:sz="0" w:space="0" w:color="auto"/>
        <w:left w:val="none" w:sz="0" w:space="0" w:color="auto"/>
        <w:bottom w:val="none" w:sz="0" w:space="0" w:color="auto"/>
        <w:right w:val="none" w:sz="0" w:space="0" w:color="auto"/>
      </w:divBdr>
    </w:div>
    <w:div w:id="1141656648">
      <w:bodyDiv w:val="1"/>
      <w:marLeft w:val="0"/>
      <w:marRight w:val="0"/>
      <w:marTop w:val="0"/>
      <w:marBottom w:val="0"/>
      <w:divBdr>
        <w:top w:val="none" w:sz="0" w:space="0" w:color="auto"/>
        <w:left w:val="none" w:sz="0" w:space="0" w:color="auto"/>
        <w:bottom w:val="none" w:sz="0" w:space="0" w:color="auto"/>
        <w:right w:val="none" w:sz="0" w:space="0" w:color="auto"/>
      </w:divBdr>
    </w:div>
    <w:div w:id="1144078808">
      <w:bodyDiv w:val="1"/>
      <w:marLeft w:val="0"/>
      <w:marRight w:val="0"/>
      <w:marTop w:val="0"/>
      <w:marBottom w:val="0"/>
      <w:divBdr>
        <w:top w:val="none" w:sz="0" w:space="0" w:color="auto"/>
        <w:left w:val="none" w:sz="0" w:space="0" w:color="auto"/>
        <w:bottom w:val="none" w:sz="0" w:space="0" w:color="auto"/>
        <w:right w:val="none" w:sz="0" w:space="0" w:color="auto"/>
      </w:divBdr>
    </w:div>
    <w:div w:id="1195924174">
      <w:bodyDiv w:val="1"/>
      <w:marLeft w:val="0"/>
      <w:marRight w:val="0"/>
      <w:marTop w:val="0"/>
      <w:marBottom w:val="0"/>
      <w:divBdr>
        <w:top w:val="none" w:sz="0" w:space="0" w:color="auto"/>
        <w:left w:val="none" w:sz="0" w:space="0" w:color="auto"/>
        <w:bottom w:val="none" w:sz="0" w:space="0" w:color="auto"/>
        <w:right w:val="none" w:sz="0" w:space="0" w:color="auto"/>
      </w:divBdr>
    </w:div>
    <w:div w:id="1206140690">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352419835">
      <w:bodyDiv w:val="1"/>
      <w:marLeft w:val="0"/>
      <w:marRight w:val="0"/>
      <w:marTop w:val="0"/>
      <w:marBottom w:val="0"/>
      <w:divBdr>
        <w:top w:val="none" w:sz="0" w:space="0" w:color="auto"/>
        <w:left w:val="none" w:sz="0" w:space="0" w:color="auto"/>
        <w:bottom w:val="none" w:sz="0" w:space="0" w:color="auto"/>
        <w:right w:val="none" w:sz="0" w:space="0" w:color="auto"/>
      </w:divBdr>
    </w:div>
    <w:div w:id="1471945530">
      <w:bodyDiv w:val="1"/>
      <w:marLeft w:val="0"/>
      <w:marRight w:val="0"/>
      <w:marTop w:val="0"/>
      <w:marBottom w:val="0"/>
      <w:divBdr>
        <w:top w:val="none" w:sz="0" w:space="0" w:color="auto"/>
        <w:left w:val="none" w:sz="0" w:space="0" w:color="auto"/>
        <w:bottom w:val="none" w:sz="0" w:space="0" w:color="auto"/>
        <w:right w:val="none" w:sz="0" w:space="0" w:color="auto"/>
      </w:divBdr>
    </w:div>
    <w:div w:id="1663197271">
      <w:bodyDiv w:val="1"/>
      <w:marLeft w:val="0"/>
      <w:marRight w:val="0"/>
      <w:marTop w:val="0"/>
      <w:marBottom w:val="0"/>
      <w:divBdr>
        <w:top w:val="none" w:sz="0" w:space="0" w:color="auto"/>
        <w:left w:val="none" w:sz="0" w:space="0" w:color="auto"/>
        <w:bottom w:val="none" w:sz="0" w:space="0" w:color="auto"/>
        <w:right w:val="none" w:sz="0" w:space="0" w:color="auto"/>
      </w:divBdr>
    </w:div>
    <w:div w:id="1760785520">
      <w:bodyDiv w:val="1"/>
      <w:marLeft w:val="0"/>
      <w:marRight w:val="0"/>
      <w:marTop w:val="0"/>
      <w:marBottom w:val="0"/>
      <w:divBdr>
        <w:top w:val="none" w:sz="0" w:space="0" w:color="auto"/>
        <w:left w:val="none" w:sz="0" w:space="0" w:color="auto"/>
        <w:bottom w:val="none" w:sz="0" w:space="0" w:color="auto"/>
        <w:right w:val="none" w:sz="0" w:space="0" w:color="auto"/>
      </w:divBdr>
    </w:div>
    <w:div w:id="1776556353">
      <w:bodyDiv w:val="1"/>
      <w:marLeft w:val="0"/>
      <w:marRight w:val="0"/>
      <w:marTop w:val="0"/>
      <w:marBottom w:val="0"/>
      <w:divBdr>
        <w:top w:val="none" w:sz="0" w:space="0" w:color="auto"/>
        <w:left w:val="none" w:sz="0" w:space="0" w:color="auto"/>
        <w:bottom w:val="none" w:sz="0" w:space="0" w:color="auto"/>
        <w:right w:val="none" w:sz="0" w:space="0" w:color="auto"/>
      </w:divBdr>
    </w:div>
    <w:div w:id="1939363731">
      <w:bodyDiv w:val="1"/>
      <w:marLeft w:val="0"/>
      <w:marRight w:val="0"/>
      <w:marTop w:val="0"/>
      <w:marBottom w:val="0"/>
      <w:divBdr>
        <w:top w:val="none" w:sz="0" w:space="0" w:color="auto"/>
        <w:left w:val="none" w:sz="0" w:space="0" w:color="auto"/>
        <w:bottom w:val="none" w:sz="0" w:space="0" w:color="auto"/>
        <w:right w:val="none" w:sz="0" w:space="0" w:color="auto"/>
      </w:divBdr>
    </w:div>
    <w:div w:id="1991860050">
      <w:bodyDiv w:val="1"/>
      <w:marLeft w:val="0"/>
      <w:marRight w:val="0"/>
      <w:marTop w:val="0"/>
      <w:marBottom w:val="0"/>
      <w:divBdr>
        <w:top w:val="none" w:sz="0" w:space="0" w:color="auto"/>
        <w:left w:val="none" w:sz="0" w:space="0" w:color="auto"/>
        <w:bottom w:val="none" w:sz="0" w:space="0" w:color="auto"/>
        <w:right w:val="none" w:sz="0" w:space="0" w:color="auto"/>
      </w:divBdr>
      <w:divsChild>
        <w:div w:id="363871493">
          <w:marLeft w:val="360"/>
          <w:marRight w:val="0"/>
          <w:marTop w:val="200"/>
          <w:marBottom w:val="0"/>
          <w:divBdr>
            <w:top w:val="none" w:sz="0" w:space="0" w:color="auto"/>
            <w:left w:val="none" w:sz="0" w:space="0" w:color="auto"/>
            <w:bottom w:val="none" w:sz="0" w:space="0" w:color="auto"/>
            <w:right w:val="none" w:sz="0" w:space="0" w:color="auto"/>
          </w:divBdr>
        </w:div>
        <w:div w:id="691881957">
          <w:marLeft w:val="360"/>
          <w:marRight w:val="0"/>
          <w:marTop w:val="200"/>
          <w:marBottom w:val="0"/>
          <w:divBdr>
            <w:top w:val="none" w:sz="0" w:space="0" w:color="auto"/>
            <w:left w:val="none" w:sz="0" w:space="0" w:color="auto"/>
            <w:bottom w:val="none" w:sz="0" w:space="0" w:color="auto"/>
            <w:right w:val="none" w:sz="0" w:space="0" w:color="auto"/>
          </w:divBdr>
        </w:div>
        <w:div w:id="1462965812">
          <w:marLeft w:val="360"/>
          <w:marRight w:val="0"/>
          <w:marTop w:val="200"/>
          <w:marBottom w:val="0"/>
          <w:divBdr>
            <w:top w:val="none" w:sz="0" w:space="0" w:color="auto"/>
            <w:left w:val="none" w:sz="0" w:space="0" w:color="auto"/>
            <w:bottom w:val="none" w:sz="0" w:space="0" w:color="auto"/>
            <w:right w:val="none" w:sz="0" w:space="0" w:color="auto"/>
          </w:divBdr>
        </w:div>
        <w:div w:id="1547914001">
          <w:marLeft w:val="360"/>
          <w:marRight w:val="0"/>
          <w:marTop w:val="200"/>
          <w:marBottom w:val="0"/>
          <w:divBdr>
            <w:top w:val="none" w:sz="0" w:space="0" w:color="auto"/>
            <w:left w:val="none" w:sz="0" w:space="0" w:color="auto"/>
            <w:bottom w:val="none" w:sz="0" w:space="0" w:color="auto"/>
            <w:right w:val="none" w:sz="0" w:space="0" w:color="auto"/>
          </w:divBdr>
        </w:div>
      </w:divsChild>
    </w:div>
    <w:div w:id="208984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8.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9596B4276AA047AECB3AFE2E6C289C" ma:contentTypeVersion="2" ma:contentTypeDescription="Create a new document." ma:contentTypeScope="" ma:versionID="6d9ab348c1491f3423c05d17ae366fee">
  <xsd:schema xmlns:xsd="http://www.w3.org/2001/XMLSchema" xmlns:xs="http://www.w3.org/2001/XMLSchema" xmlns:p="http://schemas.microsoft.com/office/2006/metadata/properties" xmlns:ns2="ec763f19-a5b5-4448-91c6-897dbfb85697" targetNamespace="http://schemas.microsoft.com/office/2006/metadata/properties" ma:root="true" ma:fieldsID="e0c0e7ebda6053e5b5d74a9b87c63a99" ns2:_="">
    <xsd:import namespace="ec763f19-a5b5-4448-91c6-897dbfb8569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63f19-a5b5-4448-91c6-897dbfb8569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3.xml><?xml version="1.0" encoding="utf-8"?>
<ds:datastoreItem xmlns:ds="http://schemas.openxmlformats.org/officeDocument/2006/customXml" ds:itemID="{007E8178-4903-41DA-BE24-2D591A890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63f19-a5b5-4448-91c6-897dbfb85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BFBFD5-87D3-47CD-AD0D-B4FCD25A0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6136</Words>
  <Characters>34981</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41035</CharactersWithSpaces>
  <SharedDoc>false</SharedDoc>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subject/>
  <dc:creator>John Magoha</dc:creator>
  <cp:keywords/>
  <dc:description/>
  <cp:lastModifiedBy>Svetlana Iazykova</cp:lastModifiedBy>
  <cp:revision>5</cp:revision>
  <cp:lastPrinted>2017-04-20T15:21:00Z</cp:lastPrinted>
  <dcterms:created xsi:type="dcterms:W3CDTF">2017-05-19T21:10:00Z</dcterms:created>
  <dcterms:modified xsi:type="dcterms:W3CDTF">2017-06-05T15:55:00Z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0x010100089596B4276AA047AECB3AFE2E6C289C</vt:lpwstr>
  </property>
  <property fmtid="{D5CDD505-2E9C-101B-9397-08002B2CF9AE}" pid="3" name="_dlc_DocIdItemGuid">
    <vt:lpwstr>d85662d7-541b-4ade-8939-e23478cf5ab7</vt:lpwstr>
  </property>
</Properties>
</file>