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D573" w14:textId="345A442F" w:rsidR="00964A4E" w:rsidRPr="00FC7CEA" w:rsidRDefault="00964A4E" w:rsidP="00EA0169">
      <w:pPr>
        <w:rPr>
          <w:b/>
          <w:color w:val="000000"/>
        </w:rPr>
      </w:pPr>
    </w:p>
    <w:p w14:paraId="2E4FD574" w14:textId="77777777" w:rsidR="00785474" w:rsidRPr="00FC7CEA" w:rsidRDefault="00785474" w:rsidP="00D9153B">
      <w:pPr>
        <w:rPr>
          <w:color w:val="000000"/>
          <w:sz w:val="6"/>
        </w:rPr>
        <w:sectPr w:rsidR="00785474" w:rsidRPr="00FC7CEA" w:rsidSect="009D1F1D">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E4FD575" w14:textId="43042312" w:rsidR="00FC7CEA" w:rsidRPr="00E70596" w:rsidRDefault="006E1155" w:rsidP="000C1EB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540" w:right="1260"/>
        <w:rPr>
          <w:b/>
          <w:bCs/>
          <w:color w:val="000000"/>
        </w:rPr>
      </w:pPr>
      <w:r>
        <w:rPr>
          <w:b/>
          <w:bCs/>
          <w:color w:val="000000"/>
        </w:rPr>
        <w:t>First</w:t>
      </w:r>
      <w:r w:rsidR="00FC7CEA" w:rsidRPr="00E70596">
        <w:rPr>
          <w:b/>
          <w:bCs/>
          <w:color w:val="000000"/>
        </w:rPr>
        <w:t xml:space="preserve"> regular session 2018</w:t>
      </w:r>
    </w:p>
    <w:p w14:paraId="2E4FD576" w14:textId="43669536" w:rsidR="00FC7CEA" w:rsidRPr="00E70596" w:rsidRDefault="006E1155" w:rsidP="000C1EB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540" w:right="1260"/>
        <w:rPr>
          <w:color w:val="000000"/>
        </w:rPr>
      </w:pPr>
      <w:r>
        <w:rPr>
          <w:color w:val="000000"/>
        </w:rPr>
        <w:t>4-8 June 2018</w:t>
      </w:r>
      <w:r w:rsidR="00FC7CEA" w:rsidRPr="00E70596">
        <w:rPr>
          <w:color w:val="000000"/>
        </w:rPr>
        <w:t>, New York</w:t>
      </w:r>
    </w:p>
    <w:p w14:paraId="2E4FD577" w14:textId="5A598CA4" w:rsidR="00FC7CEA" w:rsidRPr="00E70596" w:rsidRDefault="00FC7CEA" w:rsidP="000C1EB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540" w:right="1260"/>
        <w:rPr>
          <w:color w:val="000000"/>
        </w:rPr>
      </w:pPr>
      <w:r w:rsidRPr="00E70596">
        <w:rPr>
          <w:color w:val="000000"/>
        </w:rPr>
        <w:t xml:space="preserve">Item </w:t>
      </w:r>
      <w:r w:rsidR="00FD5A99">
        <w:rPr>
          <w:color w:val="000000"/>
        </w:rPr>
        <w:t>6</w:t>
      </w:r>
      <w:r w:rsidRPr="00E70596">
        <w:rPr>
          <w:color w:val="000000"/>
        </w:rPr>
        <w:t xml:space="preserve"> of the provisional agenda</w:t>
      </w:r>
    </w:p>
    <w:p w14:paraId="2E4FD578" w14:textId="77777777" w:rsidR="00FC7CEA" w:rsidRPr="00E70596" w:rsidRDefault="00FC7CEA" w:rsidP="000C1EBC">
      <w:pPr>
        <w:ind w:left="-540" w:right="1260"/>
        <w:rPr>
          <w:b/>
          <w:bCs/>
          <w:color w:val="000000"/>
        </w:rPr>
      </w:pPr>
      <w:r w:rsidRPr="00E70596">
        <w:rPr>
          <w:b/>
          <w:bCs/>
          <w:color w:val="000000"/>
        </w:rPr>
        <w:t>Country programmes and related matters</w:t>
      </w:r>
    </w:p>
    <w:p w14:paraId="2E4FD579" w14:textId="77777777" w:rsidR="00785474" w:rsidRPr="00E70596" w:rsidRDefault="00785474" w:rsidP="00D9153B">
      <w:pPr>
        <w:pStyle w:val="SingleTxt"/>
        <w:spacing w:after="0" w:line="120" w:lineRule="exact"/>
        <w:rPr>
          <w:color w:val="000000"/>
          <w:sz w:val="10"/>
          <w:lang w:val="en-US"/>
        </w:rPr>
      </w:pPr>
    </w:p>
    <w:p w14:paraId="2E4FD57A" w14:textId="77777777" w:rsidR="00785474" w:rsidRPr="00E70596" w:rsidRDefault="00785474" w:rsidP="00D9153B">
      <w:pPr>
        <w:pStyle w:val="SingleTxt"/>
        <w:spacing w:after="0" w:line="120" w:lineRule="exact"/>
        <w:rPr>
          <w:color w:val="000000"/>
          <w:sz w:val="10"/>
          <w:lang w:val="en-US"/>
        </w:rPr>
      </w:pPr>
    </w:p>
    <w:p w14:paraId="2E4FD57B" w14:textId="77777777" w:rsidR="00785474" w:rsidRPr="00E70596" w:rsidRDefault="00785474" w:rsidP="00D9153B">
      <w:pPr>
        <w:pStyle w:val="SingleTxt"/>
        <w:spacing w:after="0" w:line="120" w:lineRule="exact"/>
        <w:rPr>
          <w:color w:val="000000"/>
          <w:sz w:val="10"/>
          <w:lang w:val="en-US"/>
        </w:rPr>
      </w:pPr>
    </w:p>
    <w:p w14:paraId="665F547C" w14:textId="77777777" w:rsidR="006E1155" w:rsidRPr="006E1155" w:rsidRDefault="00D65AB1" w:rsidP="006E1155">
      <w:pPr>
        <w:tabs>
          <w:tab w:val="left" w:pos="1620"/>
        </w:tabs>
        <w:ind w:right="-360"/>
        <w:rPr>
          <w:bCs/>
          <w:color w:val="000000"/>
          <w:lang w:val="en-GB" w:eastAsia="fr-FR"/>
        </w:rPr>
      </w:pPr>
      <w:r w:rsidRPr="00E70596">
        <w:rPr>
          <w:color w:val="000000"/>
        </w:rPr>
        <w:tab/>
      </w:r>
    </w:p>
    <w:p w14:paraId="7239114E" w14:textId="43F145CB" w:rsidR="006E1155" w:rsidRPr="006E1155" w:rsidRDefault="006E1155" w:rsidP="006E1155">
      <w:pPr>
        <w:tabs>
          <w:tab w:val="left" w:pos="1620"/>
        </w:tabs>
        <w:ind w:right="-360"/>
        <w:rPr>
          <w:b/>
          <w:bCs/>
          <w:color w:val="000000"/>
          <w:sz w:val="32"/>
          <w:szCs w:val="32"/>
          <w:lang w:val="en-GB" w:eastAsia="fr-FR"/>
        </w:rPr>
      </w:pPr>
      <w:r w:rsidRPr="006E1155">
        <w:rPr>
          <w:b/>
          <w:bCs/>
          <w:color w:val="000000"/>
          <w:sz w:val="32"/>
          <w:szCs w:val="32"/>
          <w:lang w:val="en-GB" w:eastAsia="fr-FR"/>
        </w:rPr>
        <w:t xml:space="preserve">Draft country programme document for </w:t>
      </w:r>
      <w:r>
        <w:rPr>
          <w:b/>
          <w:bCs/>
          <w:color w:val="000000"/>
          <w:sz w:val="32"/>
          <w:szCs w:val="32"/>
          <w:lang w:val="en-GB" w:eastAsia="fr-FR"/>
        </w:rPr>
        <w:t>Malawi</w:t>
      </w:r>
      <w:r w:rsidRPr="006E1155">
        <w:rPr>
          <w:b/>
          <w:bCs/>
          <w:color w:val="000000"/>
          <w:sz w:val="32"/>
          <w:szCs w:val="32"/>
          <w:lang w:val="en-GB" w:eastAsia="fr-FR"/>
        </w:rPr>
        <w:t xml:space="preserve"> (201</w:t>
      </w:r>
      <w:r w:rsidR="00FD5A99">
        <w:rPr>
          <w:b/>
          <w:bCs/>
          <w:color w:val="000000"/>
          <w:sz w:val="32"/>
          <w:szCs w:val="32"/>
          <w:lang w:val="en-GB" w:eastAsia="fr-FR"/>
        </w:rPr>
        <w:t>9</w:t>
      </w:r>
      <w:r w:rsidRPr="006E1155">
        <w:rPr>
          <w:b/>
          <w:bCs/>
          <w:color w:val="000000"/>
          <w:sz w:val="32"/>
          <w:szCs w:val="32"/>
          <w:lang w:val="en-GB" w:eastAsia="fr-FR"/>
        </w:rPr>
        <w:t>-202</w:t>
      </w:r>
      <w:r w:rsidR="00FD5A99">
        <w:rPr>
          <w:b/>
          <w:bCs/>
          <w:color w:val="000000"/>
          <w:sz w:val="32"/>
          <w:szCs w:val="32"/>
          <w:lang w:val="en-GB" w:eastAsia="fr-FR"/>
        </w:rPr>
        <w:t>3</w:t>
      </w:r>
      <w:r w:rsidRPr="006E1155">
        <w:rPr>
          <w:b/>
          <w:bCs/>
          <w:color w:val="000000"/>
          <w:sz w:val="32"/>
          <w:szCs w:val="32"/>
          <w:lang w:val="en-GB" w:eastAsia="fr-FR"/>
        </w:rPr>
        <w:t>)</w:t>
      </w:r>
    </w:p>
    <w:p w14:paraId="1259CBA2" w14:textId="77777777" w:rsidR="006E1155" w:rsidRPr="006E1155" w:rsidRDefault="006E1155" w:rsidP="006E1155">
      <w:pPr>
        <w:tabs>
          <w:tab w:val="left" w:pos="1620"/>
        </w:tabs>
        <w:ind w:right="-360"/>
        <w:rPr>
          <w:b/>
          <w:color w:val="000000"/>
          <w:sz w:val="32"/>
          <w:szCs w:val="32"/>
          <w:lang w:val="en-GB" w:eastAsia="fr-FR"/>
        </w:rPr>
      </w:pPr>
    </w:p>
    <w:p w14:paraId="19E5C7B7" w14:textId="77777777" w:rsidR="006E1155" w:rsidRPr="006E1155" w:rsidRDefault="006E1155" w:rsidP="006E1155">
      <w:pPr>
        <w:tabs>
          <w:tab w:val="left" w:pos="1620"/>
        </w:tabs>
        <w:ind w:left="-720" w:right="328"/>
        <w:rPr>
          <w:color w:val="000000"/>
          <w:lang w:val="en-GB" w:eastAsia="fr-FR"/>
        </w:rPr>
      </w:pPr>
    </w:p>
    <w:p w14:paraId="1F2B845C" w14:textId="77777777" w:rsidR="006E1155" w:rsidRPr="006E1155" w:rsidRDefault="006E1155" w:rsidP="006E115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lang w:val="en-GB" w:eastAsia="fr-FR"/>
        </w:rPr>
      </w:pPr>
      <w:r w:rsidRPr="006E1155">
        <w:rPr>
          <w:color w:val="000000"/>
          <w:kern w:val="14"/>
          <w:sz w:val="28"/>
          <w:lang w:val="en-GB" w:eastAsia="fr-FR"/>
        </w:rPr>
        <w:t>Contents</w:t>
      </w:r>
    </w:p>
    <w:p w14:paraId="63817ED5" w14:textId="77777777" w:rsidR="006E1155" w:rsidRPr="006E1155" w:rsidRDefault="006E1155" w:rsidP="006E1155">
      <w:pPr>
        <w:tabs>
          <w:tab w:val="left" w:pos="1620"/>
        </w:tabs>
        <w:rPr>
          <w:color w:val="00000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6E1155" w:rsidRPr="006E1155" w14:paraId="620D5EF9" w14:textId="77777777" w:rsidTr="00CB121D">
        <w:tc>
          <w:tcPr>
            <w:tcW w:w="1060" w:type="dxa"/>
            <w:shd w:val="clear" w:color="auto" w:fill="auto"/>
          </w:tcPr>
          <w:p w14:paraId="79EBA12B" w14:textId="77777777" w:rsidR="006E1155" w:rsidRPr="006E1155" w:rsidRDefault="006E1155" w:rsidP="006E1155">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5F92EF1F" w14:textId="77777777" w:rsidR="006E1155" w:rsidRPr="006E1155" w:rsidRDefault="006E1155" w:rsidP="006E1155">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22EC65E2" w14:textId="77777777" w:rsidR="006E1155" w:rsidRPr="006E1155" w:rsidRDefault="006E1155" w:rsidP="006E1155">
            <w:pPr>
              <w:tabs>
                <w:tab w:val="left" w:pos="1620"/>
              </w:tabs>
              <w:suppressAutoHyphens/>
              <w:spacing w:after="120"/>
              <w:jc w:val="right"/>
              <w:rPr>
                <w:i/>
                <w:color w:val="000000"/>
                <w:spacing w:val="4"/>
                <w:w w:val="103"/>
                <w:kern w:val="14"/>
                <w:sz w:val="14"/>
                <w:lang w:val="en-GB" w:eastAsia="fr-FR"/>
              </w:rPr>
            </w:pPr>
            <w:r w:rsidRPr="006E1155">
              <w:rPr>
                <w:i/>
                <w:iCs/>
                <w:color w:val="000000"/>
                <w:kern w:val="14"/>
                <w:sz w:val="14"/>
                <w:lang w:val="en-GB" w:eastAsia="fr-FR"/>
              </w:rPr>
              <w:t>Page</w:t>
            </w:r>
          </w:p>
        </w:tc>
      </w:tr>
      <w:tr w:rsidR="006E1155" w:rsidRPr="006E1155" w14:paraId="4F900E73" w14:textId="77777777" w:rsidTr="00CB121D">
        <w:tc>
          <w:tcPr>
            <w:tcW w:w="9540" w:type="dxa"/>
            <w:gridSpan w:val="3"/>
            <w:shd w:val="clear" w:color="auto" w:fill="auto"/>
          </w:tcPr>
          <w:p w14:paraId="3601686D" w14:textId="77777777" w:rsidR="006E1155" w:rsidRPr="006E1155" w:rsidRDefault="006E1155" w:rsidP="006E1155">
            <w:pPr>
              <w:numPr>
                <w:ilvl w:val="0"/>
                <w:numId w:val="6"/>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Programme rationale</w:t>
            </w:r>
            <w:r w:rsidRPr="006E1155">
              <w:rPr>
                <w:color w:val="000000"/>
                <w:sz w:val="24"/>
                <w:szCs w:val="24"/>
                <w:lang w:val="en-GB" w:eastAsia="fr-FR"/>
              </w:rPr>
              <w:tab/>
            </w:r>
          </w:p>
        </w:tc>
        <w:tc>
          <w:tcPr>
            <w:tcW w:w="362" w:type="dxa"/>
            <w:vMerge w:val="restart"/>
            <w:shd w:val="clear" w:color="auto" w:fill="auto"/>
            <w:vAlign w:val="bottom"/>
          </w:tcPr>
          <w:p w14:paraId="6F0FDBA3" w14:textId="77777777" w:rsidR="006E1155" w:rsidRPr="006E1155" w:rsidRDefault="006E1155" w:rsidP="006E1155">
            <w:pPr>
              <w:tabs>
                <w:tab w:val="left" w:pos="1620"/>
              </w:tabs>
              <w:suppressAutoHyphens/>
              <w:spacing w:after="120" w:line="240" w:lineRule="exact"/>
              <w:jc w:val="right"/>
              <w:rPr>
                <w:color w:val="000000"/>
                <w:spacing w:val="4"/>
                <w:w w:val="103"/>
                <w:kern w:val="14"/>
                <w:lang w:val="en-GB" w:eastAsia="fr-FR"/>
              </w:rPr>
            </w:pPr>
            <w:r w:rsidRPr="006E1155">
              <w:rPr>
                <w:color w:val="000000"/>
                <w:kern w:val="14"/>
                <w:lang w:val="en-GB" w:eastAsia="fr-FR"/>
              </w:rPr>
              <w:t>2</w:t>
            </w:r>
          </w:p>
          <w:p w14:paraId="4E69E557" w14:textId="0C551545" w:rsidR="006E1155" w:rsidRPr="006E1155" w:rsidRDefault="00ED0BDC" w:rsidP="006E1155">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6E1155" w:rsidRPr="006E1155" w14:paraId="1E13A19C" w14:textId="77777777" w:rsidTr="00CB121D">
        <w:tc>
          <w:tcPr>
            <w:tcW w:w="9540" w:type="dxa"/>
            <w:gridSpan w:val="3"/>
            <w:shd w:val="clear" w:color="auto" w:fill="auto"/>
          </w:tcPr>
          <w:p w14:paraId="6487356E" w14:textId="77777777" w:rsidR="006E1155" w:rsidRPr="006E1155" w:rsidRDefault="006E1155" w:rsidP="006E1155">
            <w:pPr>
              <w:numPr>
                <w:ilvl w:val="0"/>
                <w:numId w:val="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Programme priorities and partnerships………………………………………………….</w:t>
            </w:r>
            <w:r w:rsidRPr="006E1155">
              <w:rPr>
                <w:color w:val="000000"/>
                <w:kern w:val="14"/>
                <w:sz w:val="17"/>
                <w:lang w:val="en-GB" w:eastAsia="fr-FR"/>
              </w:rPr>
              <w:tab/>
            </w:r>
            <w:r w:rsidRPr="006E1155">
              <w:rPr>
                <w:color w:val="000000"/>
                <w:kern w:val="14"/>
                <w:lang w:val="en-GB" w:eastAsia="fr-FR"/>
              </w:rPr>
              <w:t>……….…</w:t>
            </w:r>
          </w:p>
        </w:tc>
        <w:tc>
          <w:tcPr>
            <w:tcW w:w="362" w:type="dxa"/>
            <w:vMerge/>
            <w:shd w:val="clear" w:color="auto" w:fill="auto"/>
            <w:vAlign w:val="bottom"/>
          </w:tcPr>
          <w:p w14:paraId="3219AD21" w14:textId="77777777" w:rsidR="006E1155" w:rsidRPr="006E1155" w:rsidRDefault="006E1155" w:rsidP="006E1155">
            <w:pPr>
              <w:tabs>
                <w:tab w:val="left" w:pos="1620"/>
              </w:tabs>
              <w:suppressAutoHyphens/>
              <w:spacing w:after="120" w:line="240" w:lineRule="exact"/>
              <w:jc w:val="right"/>
              <w:rPr>
                <w:color w:val="000000"/>
                <w:spacing w:val="4"/>
                <w:w w:val="103"/>
                <w:kern w:val="14"/>
                <w:lang w:val="en-GB" w:eastAsia="fr-FR"/>
              </w:rPr>
            </w:pPr>
          </w:p>
        </w:tc>
      </w:tr>
      <w:tr w:rsidR="006E1155" w:rsidRPr="006E1155" w14:paraId="5D30BEA6" w14:textId="77777777" w:rsidTr="00CB121D">
        <w:tc>
          <w:tcPr>
            <w:tcW w:w="9540" w:type="dxa"/>
            <w:gridSpan w:val="3"/>
            <w:shd w:val="clear" w:color="auto" w:fill="auto"/>
          </w:tcPr>
          <w:p w14:paraId="722B903F" w14:textId="77777777" w:rsidR="006E1155" w:rsidRPr="006E1155" w:rsidRDefault="006E1155" w:rsidP="006E1155">
            <w:pPr>
              <w:numPr>
                <w:ilvl w:val="0"/>
                <w:numId w:val="6"/>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Programme and risk management</w:t>
            </w:r>
            <w:r w:rsidRPr="006E1155">
              <w:rPr>
                <w:color w:val="000000"/>
                <w:sz w:val="24"/>
                <w:szCs w:val="24"/>
                <w:lang w:val="en-GB" w:eastAsia="fr-FR"/>
              </w:rPr>
              <w:tab/>
            </w:r>
          </w:p>
        </w:tc>
        <w:tc>
          <w:tcPr>
            <w:tcW w:w="362" w:type="dxa"/>
            <w:vMerge w:val="restart"/>
            <w:shd w:val="clear" w:color="auto" w:fill="auto"/>
            <w:vAlign w:val="bottom"/>
          </w:tcPr>
          <w:p w14:paraId="0C49B208" w14:textId="3C66143C" w:rsidR="006E1155" w:rsidRPr="006E1155" w:rsidRDefault="00ED0BDC" w:rsidP="006E1155">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7</w:t>
            </w:r>
          </w:p>
          <w:p w14:paraId="023F9B2D" w14:textId="7968D579" w:rsidR="006E1155" w:rsidRPr="006E1155" w:rsidRDefault="00ED0BDC" w:rsidP="006E1155">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6E1155" w:rsidRPr="006E1155" w14:paraId="347C3A24" w14:textId="77777777" w:rsidTr="00CB121D">
        <w:tc>
          <w:tcPr>
            <w:tcW w:w="9540" w:type="dxa"/>
            <w:gridSpan w:val="3"/>
            <w:shd w:val="clear" w:color="auto" w:fill="auto"/>
          </w:tcPr>
          <w:p w14:paraId="320ED414" w14:textId="77777777" w:rsidR="006E1155" w:rsidRPr="006E1155" w:rsidRDefault="006E1155" w:rsidP="006E1155">
            <w:pPr>
              <w:numPr>
                <w:ilvl w:val="0"/>
                <w:numId w:val="6"/>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6E1155">
              <w:rPr>
                <w:color w:val="000000"/>
                <w:kern w:val="14"/>
                <w:lang w:val="en-GB" w:eastAsia="fr-FR"/>
              </w:rPr>
              <w:tab/>
              <w:t>Monitoring and evaluation</w:t>
            </w:r>
            <w:r w:rsidRPr="006E1155">
              <w:rPr>
                <w:color w:val="000000"/>
                <w:sz w:val="24"/>
                <w:szCs w:val="24"/>
                <w:lang w:val="en-GB" w:eastAsia="fr-FR"/>
              </w:rPr>
              <w:tab/>
            </w:r>
            <w:r w:rsidRPr="006E1155">
              <w:rPr>
                <w:color w:val="000000"/>
                <w:lang w:val="en-GB" w:eastAsia="fr-FR"/>
              </w:rPr>
              <w:t>…………………………………………………….……………………</w:t>
            </w:r>
          </w:p>
        </w:tc>
        <w:tc>
          <w:tcPr>
            <w:tcW w:w="362" w:type="dxa"/>
            <w:vMerge/>
            <w:shd w:val="clear" w:color="auto" w:fill="auto"/>
            <w:vAlign w:val="bottom"/>
          </w:tcPr>
          <w:p w14:paraId="7DEAD1B6" w14:textId="77777777" w:rsidR="006E1155" w:rsidRPr="006E1155" w:rsidRDefault="006E1155" w:rsidP="006E1155">
            <w:pPr>
              <w:tabs>
                <w:tab w:val="left" w:pos="1620"/>
              </w:tabs>
              <w:suppressAutoHyphens/>
              <w:spacing w:after="120" w:line="240" w:lineRule="exact"/>
              <w:jc w:val="right"/>
              <w:rPr>
                <w:color w:val="000000"/>
                <w:spacing w:val="4"/>
                <w:w w:val="103"/>
                <w:kern w:val="14"/>
                <w:lang w:val="en-GB" w:eastAsia="fr-FR"/>
              </w:rPr>
            </w:pPr>
          </w:p>
        </w:tc>
      </w:tr>
      <w:tr w:rsidR="006E1155" w:rsidRPr="006E1155" w14:paraId="11F5A270" w14:textId="77777777" w:rsidTr="00CB121D">
        <w:tc>
          <w:tcPr>
            <w:tcW w:w="9369" w:type="dxa"/>
            <w:gridSpan w:val="2"/>
            <w:shd w:val="clear" w:color="auto" w:fill="auto"/>
          </w:tcPr>
          <w:p w14:paraId="1CCF36D8" w14:textId="77777777" w:rsidR="006E1155" w:rsidRPr="006E1155" w:rsidRDefault="006E1155" w:rsidP="006E1155">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6E1155">
              <w:rPr>
                <w:color w:val="000000"/>
                <w:kern w:val="14"/>
                <w:lang w:val="en-GB" w:eastAsia="fr-FR"/>
              </w:rPr>
              <w:t xml:space="preserve">     Annex</w:t>
            </w:r>
          </w:p>
        </w:tc>
        <w:tc>
          <w:tcPr>
            <w:tcW w:w="533" w:type="dxa"/>
            <w:gridSpan w:val="2"/>
            <w:shd w:val="clear" w:color="auto" w:fill="auto"/>
            <w:vAlign w:val="bottom"/>
          </w:tcPr>
          <w:p w14:paraId="5477C60C" w14:textId="5B3F87CE" w:rsidR="006E1155" w:rsidRPr="006E1155" w:rsidRDefault="006E1155" w:rsidP="00ED0BDC">
            <w:pPr>
              <w:tabs>
                <w:tab w:val="left" w:pos="1620"/>
              </w:tabs>
              <w:suppressAutoHyphens/>
              <w:spacing w:after="120" w:line="240" w:lineRule="exact"/>
              <w:rPr>
                <w:color w:val="000000"/>
                <w:spacing w:val="4"/>
                <w:w w:val="103"/>
                <w:kern w:val="14"/>
                <w:lang w:val="en-GB" w:eastAsia="fr-FR"/>
              </w:rPr>
            </w:pPr>
          </w:p>
        </w:tc>
      </w:tr>
      <w:tr w:rsidR="006E1155" w:rsidRPr="006E1155" w14:paraId="086D7F20" w14:textId="77777777" w:rsidTr="00CB121D">
        <w:tc>
          <w:tcPr>
            <w:tcW w:w="9369" w:type="dxa"/>
            <w:gridSpan w:val="2"/>
            <w:shd w:val="clear" w:color="auto" w:fill="auto"/>
          </w:tcPr>
          <w:p w14:paraId="176561A1" w14:textId="5F646EFA" w:rsidR="006E1155" w:rsidRPr="006E1155" w:rsidRDefault="006E1155" w:rsidP="006E115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6E1155">
              <w:rPr>
                <w:color w:val="000000"/>
                <w:kern w:val="14"/>
                <w:lang w:val="en-GB" w:eastAsia="fr-FR"/>
              </w:rPr>
              <w:t xml:space="preserve">Results and resources framework for </w:t>
            </w:r>
            <w:r w:rsidR="00FC720C">
              <w:rPr>
                <w:color w:val="000000"/>
                <w:kern w:val="14"/>
                <w:lang w:val="en-GB" w:eastAsia="fr-FR"/>
              </w:rPr>
              <w:t>Malawi</w:t>
            </w:r>
            <w:r w:rsidRPr="006E1155">
              <w:rPr>
                <w:color w:val="000000"/>
                <w:kern w:val="14"/>
                <w:lang w:val="en-GB" w:eastAsia="fr-FR"/>
              </w:rPr>
              <w:t xml:space="preserve"> (201</w:t>
            </w:r>
            <w:r w:rsidR="00FD5A99">
              <w:rPr>
                <w:color w:val="000000"/>
                <w:kern w:val="14"/>
                <w:lang w:val="en-GB" w:eastAsia="fr-FR"/>
              </w:rPr>
              <w:t>9</w:t>
            </w:r>
            <w:r w:rsidRPr="006E1155">
              <w:rPr>
                <w:color w:val="000000"/>
                <w:kern w:val="14"/>
                <w:lang w:val="en-GB" w:eastAsia="fr-FR"/>
              </w:rPr>
              <w:t>-202</w:t>
            </w:r>
            <w:r w:rsidR="00FD5A99">
              <w:rPr>
                <w:color w:val="000000"/>
                <w:kern w:val="14"/>
                <w:lang w:val="en-GB" w:eastAsia="fr-FR"/>
              </w:rPr>
              <w:t>3</w:t>
            </w:r>
            <w:r w:rsidRPr="006E1155">
              <w:rPr>
                <w:color w:val="000000"/>
                <w:kern w:val="14"/>
                <w:lang w:val="en-GB" w:eastAsia="fr-FR"/>
              </w:rPr>
              <w:t>)</w:t>
            </w:r>
            <w:bookmarkStart w:id="0" w:name="_GoBack"/>
            <w:bookmarkEnd w:id="0"/>
          </w:p>
        </w:tc>
        <w:tc>
          <w:tcPr>
            <w:tcW w:w="533" w:type="dxa"/>
            <w:gridSpan w:val="2"/>
            <w:shd w:val="clear" w:color="auto" w:fill="auto"/>
            <w:vAlign w:val="bottom"/>
          </w:tcPr>
          <w:p w14:paraId="275F2725" w14:textId="62E982EE" w:rsidR="006E1155" w:rsidRPr="006E1155" w:rsidRDefault="00E540EA" w:rsidP="006E1155">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6BB2A971" w14:textId="1959E51C" w:rsidR="006E1155" w:rsidRPr="006E1155" w:rsidRDefault="006E1155" w:rsidP="006E1155"/>
    <w:p w14:paraId="2E4FD5A0" w14:textId="1C909123" w:rsidR="00A918A7" w:rsidRPr="00E70596" w:rsidRDefault="006E1155" w:rsidP="002467B7">
      <w:pPr>
        <w:pStyle w:val="HCh"/>
        <w:tabs>
          <w:tab w:val="right" w:pos="1022"/>
          <w:tab w:val="left" w:pos="1742"/>
          <w:tab w:val="left" w:pos="2218"/>
          <w:tab w:val="left" w:pos="2693"/>
          <w:tab w:val="left" w:pos="3182"/>
          <w:tab w:val="left" w:pos="3658"/>
          <w:tab w:val="left" w:pos="4133"/>
          <w:tab w:val="left" w:pos="4622"/>
          <w:tab w:val="left" w:pos="5098"/>
          <w:tab w:val="left" w:pos="5573"/>
          <w:tab w:val="left" w:pos="6048"/>
          <w:tab w:val="left" w:pos="8550"/>
        </w:tabs>
        <w:ind w:left="360" w:right="940" w:hanging="270"/>
        <w:rPr>
          <w:rFonts w:eastAsia="Calibri"/>
          <w:sz w:val="24"/>
          <w:szCs w:val="24"/>
        </w:rPr>
      </w:pPr>
      <w:r w:rsidRPr="006E1155">
        <w:rPr>
          <w:b w:val="0"/>
          <w:spacing w:val="0"/>
          <w:w w:val="100"/>
          <w:kern w:val="0"/>
          <w:sz w:val="20"/>
          <w:lang w:val="en-US"/>
        </w:rPr>
        <w:br w:type="page"/>
      </w:r>
      <w:r w:rsidR="002467B7" w:rsidRPr="002467B7">
        <w:rPr>
          <w:spacing w:val="0"/>
          <w:w w:val="100"/>
          <w:kern w:val="0"/>
          <w:sz w:val="24"/>
          <w:szCs w:val="24"/>
          <w:lang w:val="en-US"/>
        </w:rPr>
        <w:lastRenderedPageBreak/>
        <w:t>I.</w:t>
      </w:r>
      <w:r w:rsidR="002467B7" w:rsidRPr="002467B7">
        <w:rPr>
          <w:spacing w:val="0"/>
          <w:w w:val="100"/>
          <w:kern w:val="0"/>
          <w:sz w:val="24"/>
          <w:szCs w:val="24"/>
          <w:lang w:val="en-US"/>
        </w:rPr>
        <w:tab/>
      </w:r>
      <w:r w:rsidR="0059112A" w:rsidRPr="002467B7">
        <w:rPr>
          <w:rFonts w:eastAsia="Calibri"/>
          <w:sz w:val="24"/>
          <w:szCs w:val="24"/>
        </w:rPr>
        <w:t>Programme</w:t>
      </w:r>
      <w:r w:rsidR="0059112A" w:rsidRPr="00E70596">
        <w:rPr>
          <w:rFonts w:eastAsia="Calibri"/>
          <w:sz w:val="24"/>
          <w:szCs w:val="24"/>
        </w:rPr>
        <w:t xml:space="preserve"> </w:t>
      </w:r>
      <w:r w:rsidR="002467B7">
        <w:rPr>
          <w:rFonts w:eastAsia="Calibri"/>
          <w:sz w:val="24"/>
          <w:szCs w:val="24"/>
        </w:rPr>
        <w:t>r</w:t>
      </w:r>
      <w:r w:rsidR="0059112A" w:rsidRPr="00E70596">
        <w:rPr>
          <w:rFonts w:eastAsia="Calibri"/>
          <w:sz w:val="24"/>
          <w:szCs w:val="24"/>
        </w:rPr>
        <w:t>ationale</w:t>
      </w:r>
      <w:r w:rsidR="00A113D7" w:rsidRPr="00E70596">
        <w:rPr>
          <w:rFonts w:eastAsia="Calibri"/>
          <w:sz w:val="24"/>
          <w:szCs w:val="24"/>
        </w:rPr>
        <w:t xml:space="preserve"> </w:t>
      </w:r>
    </w:p>
    <w:p w14:paraId="2E4FD5A1" w14:textId="1FF22E1F" w:rsidR="007D52E4" w:rsidRDefault="003E5487"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Pr>
          <w:rFonts w:eastAsia="Calibri"/>
          <w:color w:val="000000" w:themeColor="text1"/>
          <w:lang w:val="en-GB" w:eastAsia="fr-FR"/>
        </w:rPr>
        <w:t>Malawi is c</w:t>
      </w:r>
      <w:r w:rsidRPr="00CF4B78">
        <w:rPr>
          <w:rFonts w:eastAsia="Calibri"/>
          <w:color w:val="000000" w:themeColor="text1"/>
          <w:lang w:val="en-GB" w:eastAsia="fr-FR"/>
        </w:rPr>
        <w:t>lassified</w:t>
      </w:r>
      <w:r w:rsidRPr="00CF4B78">
        <w:rPr>
          <w:color w:val="000000" w:themeColor="text1"/>
        </w:rPr>
        <w:t xml:space="preserve"> </w:t>
      </w:r>
      <w:r w:rsidR="00FC7CEA" w:rsidRPr="00CF4B78">
        <w:rPr>
          <w:color w:val="000000" w:themeColor="text1"/>
        </w:rPr>
        <w:t xml:space="preserve">as a </w:t>
      </w:r>
      <w:r>
        <w:rPr>
          <w:color w:val="000000" w:themeColor="text1"/>
        </w:rPr>
        <w:t>l</w:t>
      </w:r>
      <w:r w:rsidRPr="00CF4B78">
        <w:rPr>
          <w:color w:val="000000" w:themeColor="text1"/>
        </w:rPr>
        <w:t xml:space="preserve">east </w:t>
      </w:r>
      <w:r>
        <w:rPr>
          <w:color w:val="000000" w:themeColor="text1"/>
        </w:rPr>
        <w:t>d</w:t>
      </w:r>
      <w:r w:rsidRPr="00CF4B78">
        <w:rPr>
          <w:color w:val="000000" w:themeColor="text1"/>
        </w:rPr>
        <w:t xml:space="preserve">eveloped </w:t>
      </w:r>
      <w:r>
        <w:rPr>
          <w:color w:val="000000" w:themeColor="text1"/>
        </w:rPr>
        <w:t>c</w:t>
      </w:r>
      <w:r w:rsidRPr="00CF4B78">
        <w:rPr>
          <w:color w:val="000000" w:themeColor="text1"/>
        </w:rPr>
        <w:t>ountry</w:t>
      </w:r>
      <w:r>
        <w:rPr>
          <w:color w:val="000000" w:themeColor="text1"/>
        </w:rPr>
        <w:t>;</w:t>
      </w:r>
      <w:r w:rsidR="00FC7CEA" w:rsidRPr="00CF4B78">
        <w:rPr>
          <w:color w:val="000000" w:themeColor="text1"/>
        </w:rPr>
        <w:t xml:space="preserve"> nearly 70</w:t>
      </w:r>
      <w:r w:rsidR="002D296D" w:rsidRPr="00CF4B78">
        <w:rPr>
          <w:color w:val="000000" w:themeColor="text1"/>
        </w:rPr>
        <w:t xml:space="preserve"> per cent</w:t>
      </w:r>
      <w:r w:rsidR="00FC7CEA" w:rsidRPr="00CF4B78">
        <w:rPr>
          <w:color w:val="000000" w:themeColor="text1"/>
        </w:rPr>
        <w:t xml:space="preserve"> of </w:t>
      </w:r>
      <w:r>
        <w:rPr>
          <w:color w:val="000000" w:themeColor="text1"/>
        </w:rPr>
        <w:t>its</w:t>
      </w:r>
      <w:r w:rsidRPr="00CF4B78">
        <w:rPr>
          <w:color w:val="000000" w:themeColor="text1"/>
        </w:rPr>
        <w:t xml:space="preserve"> </w:t>
      </w:r>
      <w:r w:rsidR="00FC7CEA" w:rsidRPr="00CF4B78">
        <w:rPr>
          <w:color w:val="000000" w:themeColor="text1"/>
        </w:rPr>
        <w:t xml:space="preserve">17 million </w:t>
      </w:r>
      <w:r>
        <w:rPr>
          <w:color w:val="000000" w:themeColor="text1"/>
        </w:rPr>
        <w:t>people</w:t>
      </w:r>
      <w:r w:rsidRPr="00CF4B78">
        <w:rPr>
          <w:color w:val="000000" w:themeColor="text1"/>
        </w:rPr>
        <w:t xml:space="preserve"> </w:t>
      </w:r>
      <w:r w:rsidR="00FC7CEA" w:rsidRPr="00CF4B78">
        <w:rPr>
          <w:color w:val="000000" w:themeColor="text1"/>
        </w:rPr>
        <w:t>live on less than $1.90</w:t>
      </w:r>
      <w:r>
        <w:rPr>
          <w:color w:val="000000" w:themeColor="text1"/>
        </w:rPr>
        <w:t xml:space="preserve"> a </w:t>
      </w:r>
      <w:r w:rsidR="00FC7CEA" w:rsidRPr="00CF4B78">
        <w:rPr>
          <w:color w:val="000000" w:themeColor="text1"/>
        </w:rPr>
        <w:t>day, with poverty concentrated in rural areas</w:t>
      </w:r>
      <w:r w:rsidR="00BE467D" w:rsidRPr="00CF4B78">
        <w:rPr>
          <w:color w:val="000000" w:themeColor="text1"/>
        </w:rPr>
        <w:t>,</w:t>
      </w:r>
      <w:r w:rsidR="00FC7CEA" w:rsidRPr="00CF4B78">
        <w:rPr>
          <w:color w:val="000000" w:themeColor="text1"/>
        </w:rPr>
        <w:t xml:space="preserve"> where 95</w:t>
      </w:r>
      <w:r w:rsidR="002D296D" w:rsidRPr="00CF4B78">
        <w:rPr>
          <w:color w:val="000000" w:themeColor="text1"/>
        </w:rPr>
        <w:t xml:space="preserve"> per cent</w:t>
      </w:r>
      <w:r w:rsidR="00FC7CEA" w:rsidRPr="00CF4B78">
        <w:rPr>
          <w:color w:val="000000" w:themeColor="text1"/>
        </w:rPr>
        <w:t xml:space="preserve"> of the poor live.</w:t>
      </w:r>
      <w:r w:rsidR="00FC7CEA" w:rsidRPr="00E70596">
        <w:rPr>
          <w:rStyle w:val="FootnoteReference"/>
          <w:color w:val="000000" w:themeColor="text1"/>
        </w:rPr>
        <w:footnoteReference w:id="1"/>
      </w:r>
      <w:r w:rsidR="00FC7CEA" w:rsidRPr="00CF4B78">
        <w:rPr>
          <w:color w:val="000000" w:themeColor="text1"/>
        </w:rPr>
        <w:t xml:space="preserve"> </w:t>
      </w:r>
      <w:r w:rsidR="00FC7CEA" w:rsidRPr="00E70596">
        <w:rPr>
          <w:noProof/>
        </w:rPr>
        <w:t xml:space="preserve">Inequality is rising: the </w:t>
      </w:r>
      <w:r w:rsidR="00FC7CEA" w:rsidRPr="00E70596">
        <w:t>Gini</w:t>
      </w:r>
      <w:r w:rsidR="00FC7CEA" w:rsidRPr="00E70596">
        <w:rPr>
          <w:noProof/>
        </w:rPr>
        <w:t xml:space="preserve"> coefficient</w:t>
      </w:r>
      <w:r w:rsidR="00FC7CEA" w:rsidRPr="00E70596">
        <w:t xml:space="preserve"> increased from 0.339 to 0.461 between 2005 and 2017</w:t>
      </w:r>
      <w:r>
        <w:t>,</w:t>
      </w:r>
      <w:r w:rsidR="00FC7CEA" w:rsidRPr="00E70596">
        <w:rPr>
          <w:rStyle w:val="FootnoteReference"/>
        </w:rPr>
        <w:footnoteReference w:id="2"/>
      </w:r>
      <w:r w:rsidR="00FC7CEA" w:rsidRPr="00E70596">
        <w:t xml:space="preserve"> and the share of </w:t>
      </w:r>
      <w:r>
        <w:t xml:space="preserve">the </w:t>
      </w:r>
      <w:r w:rsidR="00FC7CEA" w:rsidRPr="00E70596">
        <w:t>poorest quintile in national consumption worsened from 10.1</w:t>
      </w:r>
      <w:r w:rsidR="002D296D" w:rsidRPr="00E70596">
        <w:t xml:space="preserve"> per cent</w:t>
      </w:r>
      <w:r w:rsidR="00FC7CEA" w:rsidRPr="00E70596">
        <w:t xml:space="preserve"> in 2005 to 5.5 </w:t>
      </w:r>
      <w:r w:rsidR="002D296D" w:rsidRPr="00E70596">
        <w:t>per cent</w:t>
      </w:r>
      <w:r w:rsidR="00FC7CEA" w:rsidRPr="00E70596">
        <w:t xml:space="preserve"> in 2012. </w:t>
      </w:r>
      <w:bookmarkStart w:id="1" w:name="_Hlk502763336"/>
      <w:bookmarkStart w:id="2" w:name="_Hlk502764986"/>
      <w:r w:rsidR="00FC7CEA" w:rsidRPr="00E70596">
        <w:t xml:space="preserve">Despite being largely peaceful, Malawi ranks 170 of 188 countries with a Human </w:t>
      </w:r>
      <w:r w:rsidR="00FC7CEA" w:rsidRPr="00CF4B78">
        <w:rPr>
          <w:rFonts w:eastAsia="Calibri"/>
          <w:color w:val="000000" w:themeColor="text1"/>
          <w:lang w:val="en-GB" w:eastAsia="fr-FR"/>
        </w:rPr>
        <w:t>Development</w:t>
      </w:r>
      <w:r w:rsidR="00FC7CEA" w:rsidRPr="00E70596">
        <w:t xml:space="preserve"> Index of 0.476, placing it well below the </w:t>
      </w:r>
      <w:r>
        <w:t>s</w:t>
      </w:r>
      <w:r w:rsidRPr="00E70596">
        <w:t>ub</w:t>
      </w:r>
      <w:r w:rsidR="00FC7CEA" w:rsidRPr="00E70596">
        <w:t>-Saharan average of 0.523.</w:t>
      </w:r>
      <w:r w:rsidR="00FC7CEA" w:rsidRPr="00E70596">
        <w:rPr>
          <w:rStyle w:val="FootnoteReference"/>
        </w:rPr>
        <w:footnoteReference w:id="3"/>
      </w:r>
      <w:r w:rsidR="00FC7CEA" w:rsidRPr="00E70596">
        <w:t xml:space="preserve"> Gender inequality is high (Gender Inequality Index of 0.614)</w:t>
      </w:r>
      <w:r w:rsidR="00FC7CEA" w:rsidRPr="00E70596">
        <w:rPr>
          <w:rStyle w:val="FootnoteReference"/>
        </w:rPr>
        <w:footnoteReference w:id="4"/>
      </w:r>
      <w:r w:rsidR="00FC7CEA" w:rsidRPr="00E70596">
        <w:t xml:space="preserve"> mainly due to negative social norms and discriminatory practices, resulting in </w:t>
      </w:r>
      <w:r w:rsidR="00AA7031">
        <w:t xml:space="preserve">women’s </w:t>
      </w:r>
      <w:r w:rsidR="00FC7CEA" w:rsidRPr="00E70596">
        <w:t xml:space="preserve">low levels </w:t>
      </w:r>
      <w:r w:rsidR="00FC7CEA" w:rsidRPr="00CF4B78">
        <w:rPr>
          <w:color w:val="000000" w:themeColor="text1"/>
        </w:rPr>
        <w:t>of</w:t>
      </w:r>
      <w:r w:rsidR="00FC7CEA" w:rsidRPr="00E70596">
        <w:t xml:space="preserve"> representation in politics and the economy (93</w:t>
      </w:r>
      <w:r w:rsidR="002D296D" w:rsidRPr="00E70596">
        <w:t xml:space="preserve"> per cent</w:t>
      </w:r>
      <w:r w:rsidR="00FC7CEA" w:rsidRPr="00E70596">
        <w:t xml:space="preserve"> of women are in unpaid labour compared to 79</w:t>
      </w:r>
      <w:r w:rsidR="002D296D" w:rsidRPr="00E70596">
        <w:t xml:space="preserve"> per cent</w:t>
      </w:r>
      <w:r w:rsidR="00FC7CEA" w:rsidRPr="00E70596">
        <w:t xml:space="preserve"> </w:t>
      </w:r>
      <w:r>
        <w:t xml:space="preserve">of </w:t>
      </w:r>
      <w:r w:rsidR="00FC7CEA" w:rsidRPr="00E70596">
        <w:t>men).</w:t>
      </w:r>
      <w:r w:rsidR="00FC7CEA" w:rsidRPr="00E70596">
        <w:rPr>
          <w:rStyle w:val="FootnoteReference"/>
        </w:rPr>
        <w:footnoteReference w:id="5"/>
      </w:r>
      <w:r w:rsidR="00FC7CEA" w:rsidRPr="00E70596">
        <w:t xml:space="preserve"> </w:t>
      </w:r>
    </w:p>
    <w:p w14:paraId="2E4FD5A2" w14:textId="165CFED4" w:rsidR="007D52E4"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The application of gender analysis in policymaking and budgeting is lacking. Coupled with weak enforcement of equality policies and laws, female-headed households are disadvantaged in terms of access to credit, subsidized fertilizer and extension services.</w:t>
      </w:r>
      <w:r w:rsidRPr="00E70596">
        <w:rPr>
          <w:rStyle w:val="FootnoteReference"/>
        </w:rPr>
        <w:footnoteReference w:id="6"/>
      </w:r>
      <w:r w:rsidRPr="00E70596">
        <w:t xml:space="preserve"> </w:t>
      </w:r>
      <w:bookmarkEnd w:id="1"/>
      <w:r w:rsidRPr="007D52E4">
        <w:rPr>
          <w:color w:val="000000" w:themeColor="text1"/>
        </w:rPr>
        <w:t>Economic progress has been volatile</w:t>
      </w:r>
      <w:r w:rsidR="00AA7031">
        <w:rPr>
          <w:color w:val="000000" w:themeColor="text1"/>
        </w:rPr>
        <w:t>.</w:t>
      </w:r>
      <w:r w:rsidRPr="00E70596">
        <w:rPr>
          <w:rStyle w:val="FootnoteReference"/>
          <w:color w:val="000000" w:themeColor="text1"/>
        </w:rPr>
        <w:footnoteReference w:id="7"/>
      </w:r>
      <w:r w:rsidRPr="007D52E4">
        <w:rPr>
          <w:color w:val="000000" w:themeColor="text1"/>
        </w:rPr>
        <w:t xml:space="preserve"> The economy grew by only </w:t>
      </w:r>
      <w:r w:rsidRPr="00E70596">
        <w:t>3</w:t>
      </w:r>
      <w:r w:rsidR="002D296D" w:rsidRPr="00E70596">
        <w:t xml:space="preserve"> per cent</w:t>
      </w:r>
      <w:r w:rsidRPr="00E70596">
        <w:t xml:space="preserve"> in 2015 and 2.8</w:t>
      </w:r>
      <w:r w:rsidR="002D296D" w:rsidRPr="00E70596">
        <w:t xml:space="preserve"> per cent</w:t>
      </w:r>
      <w:r w:rsidRPr="00E70596">
        <w:t xml:space="preserve"> in 2016</w:t>
      </w:r>
      <w:r w:rsidR="004415EA">
        <w:t>,</w:t>
      </w:r>
      <w:r w:rsidRPr="00E70596">
        <w:t xml:space="preserve"> largely due to weather-related shocks impacting agricultural productivity, but is projected to grow by 4.4</w:t>
      </w:r>
      <w:r w:rsidR="002D296D" w:rsidRPr="00E70596">
        <w:t xml:space="preserve"> per cent</w:t>
      </w:r>
      <w:r w:rsidRPr="00E70596">
        <w:t xml:space="preserve"> in 2017</w:t>
      </w:r>
      <w:r w:rsidR="00AA7031">
        <w:t>.</w:t>
      </w:r>
      <w:r w:rsidRPr="00E70596">
        <w:rPr>
          <w:rStyle w:val="FootnoteReference"/>
        </w:rPr>
        <w:footnoteReference w:id="8"/>
      </w:r>
      <w:r w:rsidRPr="00E70596">
        <w:t xml:space="preserve">  With 86</w:t>
      </w:r>
      <w:r w:rsidR="002D296D" w:rsidRPr="00E70596">
        <w:t xml:space="preserve"> per cent</w:t>
      </w:r>
      <w:r w:rsidRPr="00E70596">
        <w:t xml:space="preserve"> of the population reliant on subsistence agriculture, there is limited diversification in the economy; the manufacturing sector contributes less than 10</w:t>
      </w:r>
      <w:r w:rsidR="002D296D" w:rsidRPr="00E70596">
        <w:t xml:space="preserve"> per cent</w:t>
      </w:r>
      <w:r w:rsidRPr="00E70596">
        <w:t xml:space="preserve"> to </w:t>
      </w:r>
      <w:r w:rsidR="00AA7031">
        <w:t>the gross domestic product (</w:t>
      </w:r>
      <w:r w:rsidRPr="00E70596">
        <w:t>GDP</w:t>
      </w:r>
      <w:r w:rsidR="00AA7031">
        <w:t>).</w:t>
      </w:r>
      <w:r w:rsidRPr="00E70596">
        <w:rPr>
          <w:rStyle w:val="FootnoteReference"/>
        </w:rPr>
        <w:footnoteReference w:id="9"/>
      </w:r>
      <w:r w:rsidRPr="00E70596">
        <w:t xml:space="preserve"> Unemployment in 2016 was 6.74</w:t>
      </w:r>
      <w:r w:rsidR="002D296D" w:rsidRPr="00E70596">
        <w:t xml:space="preserve"> per cent</w:t>
      </w:r>
      <w:r w:rsidRPr="00E70596">
        <w:t xml:space="preserve"> but higher </w:t>
      </w:r>
      <w:r w:rsidRPr="007D52E4">
        <w:rPr>
          <w:color w:val="000000" w:themeColor="text1"/>
        </w:rPr>
        <w:t>for</w:t>
      </w:r>
      <w:r w:rsidRPr="00E70596">
        <w:t xml:space="preserve"> women (7.1</w:t>
      </w:r>
      <w:r w:rsidR="002D296D" w:rsidRPr="00E70596">
        <w:t xml:space="preserve"> per cent</w:t>
      </w:r>
      <w:r w:rsidRPr="00E70596">
        <w:t>) and youth (9.15</w:t>
      </w:r>
      <w:r w:rsidR="002D296D" w:rsidRPr="00E70596">
        <w:t xml:space="preserve"> per cent</w:t>
      </w:r>
      <w:r w:rsidRPr="00E70596">
        <w:t>)</w:t>
      </w:r>
      <w:r w:rsidR="00AA7031">
        <w:t>.</w:t>
      </w:r>
      <w:r w:rsidRPr="00E70596">
        <w:rPr>
          <w:rStyle w:val="FootnoteReference"/>
        </w:rPr>
        <w:footnoteReference w:id="10"/>
      </w:r>
      <w:r w:rsidRPr="00E70596">
        <w:t xml:space="preserve"> Despite 81</w:t>
      </w:r>
      <w:r w:rsidR="002D296D" w:rsidRPr="00E70596">
        <w:t xml:space="preserve"> per cent</w:t>
      </w:r>
      <w:r w:rsidRPr="00E70596">
        <w:t xml:space="preserve"> of the population engaging in labour activities</w:t>
      </w:r>
      <w:r w:rsidR="00AA7031">
        <w:t>,</w:t>
      </w:r>
      <w:r w:rsidRPr="00E70596">
        <w:rPr>
          <w:rStyle w:val="FootnoteReference"/>
        </w:rPr>
        <w:footnoteReference w:id="11"/>
      </w:r>
      <w:r w:rsidRPr="00E70596">
        <w:t xml:space="preserve"> formal employment opportunities are limited. Around 130,000 young people enter the labour market each year, with the formal sector producing only 30,000 jobs</w:t>
      </w:r>
      <w:r w:rsidR="00AA7031">
        <w:t>,</w:t>
      </w:r>
      <w:r w:rsidRPr="00E70596">
        <w:rPr>
          <w:rStyle w:val="FootnoteReference"/>
        </w:rPr>
        <w:footnoteReference w:id="12"/>
      </w:r>
      <w:r w:rsidRPr="00E70596">
        <w:t xml:space="preserve"> risking increased social tensions.</w:t>
      </w:r>
      <w:bookmarkEnd w:id="2"/>
      <w:r w:rsidR="00CF4B78">
        <w:t xml:space="preserve"> </w:t>
      </w:r>
    </w:p>
    <w:p w14:paraId="2E4FD5A3" w14:textId="2E0D4DC2" w:rsidR="007D52E4"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Lack of access to finance, corruption and unreliable electricity and water supply are key constraints hindering private sector development and investment</w:t>
      </w:r>
      <w:r w:rsidR="00AA7031">
        <w:t>.</w:t>
      </w:r>
      <w:r w:rsidRPr="00E70596">
        <w:rPr>
          <w:rStyle w:val="FootnoteReference"/>
        </w:rPr>
        <w:footnoteReference w:id="13"/>
      </w:r>
      <w:r w:rsidRPr="00E70596">
        <w:t xml:space="preserve"> The private sector presents a dualistic structure with a few, large and often foreign-owned companies engaged primarily in agricultural production with limited in-country </w:t>
      </w:r>
      <w:r w:rsidRPr="007D52E4">
        <w:rPr>
          <w:color w:val="000000" w:themeColor="text1"/>
        </w:rPr>
        <w:t>value</w:t>
      </w:r>
      <w:r w:rsidRPr="00E70596">
        <w:t xml:space="preserve"> addition, and many micro- and small-scale enterprises mainly in the informal sector (with a ‘missing middle’).</w:t>
      </w:r>
      <w:r w:rsidR="00AA7031">
        <w:t xml:space="preserve"> </w:t>
      </w:r>
      <w:r w:rsidRPr="00E70596">
        <w:t>Malawi is extremely vulnerable to the impacts of climate change, the costs of which were estimat</w:t>
      </w:r>
      <w:r w:rsidR="00F84840" w:rsidRPr="00E70596">
        <w:t>ed at $994 million in 2015-2016</w:t>
      </w:r>
      <w:r w:rsidR="00AA7031">
        <w:t xml:space="preserve"> (</w:t>
      </w:r>
      <w:r w:rsidRPr="00E70596">
        <w:t>14</w:t>
      </w:r>
      <w:r w:rsidR="002D296D" w:rsidRPr="00E70596">
        <w:t xml:space="preserve"> per cent</w:t>
      </w:r>
      <w:r w:rsidRPr="00E70596">
        <w:t xml:space="preserve"> of GDP</w:t>
      </w:r>
      <w:r w:rsidR="00AA7031">
        <w:t>).</w:t>
      </w:r>
      <w:r w:rsidRPr="00E70596">
        <w:rPr>
          <w:rStyle w:val="FootnoteReference"/>
        </w:rPr>
        <w:footnoteReference w:id="14"/>
      </w:r>
      <w:r w:rsidRPr="00E70596">
        <w:t xml:space="preserve"> Investments to break the cycle of multidimensional poverty and build more resilient communities are disrupted by recurrent shocks; floods and droughts led to nearly half the population requiring humanitarian assistance in 2015-2016.  </w:t>
      </w:r>
    </w:p>
    <w:p w14:paraId="2E4FD5A4" w14:textId="3662D2B4" w:rsidR="00243F37"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Over half of the 28 districts are disaster prone, exacerbated by limited early warning systems, low preparedness and recovery capacity, weak local institutions</w:t>
      </w:r>
      <w:r w:rsidR="00AA7031">
        <w:t xml:space="preserve"> and</w:t>
      </w:r>
      <w:r w:rsidRPr="00E70596">
        <w:t xml:space="preserve"> an unsustainably high dependency on natural resources for livelihood and </w:t>
      </w:r>
      <w:r w:rsidRPr="007D52E4">
        <w:rPr>
          <w:color w:val="000000" w:themeColor="text1"/>
        </w:rPr>
        <w:t>energy</w:t>
      </w:r>
      <w:r w:rsidRPr="00E70596">
        <w:t xml:space="preserve"> (88</w:t>
      </w:r>
      <w:r w:rsidR="002D296D" w:rsidRPr="00E70596">
        <w:t xml:space="preserve"> per cent</w:t>
      </w:r>
      <w:r w:rsidRPr="00E70596">
        <w:t xml:space="preserve"> of household energy needs are met by biomass).</w:t>
      </w:r>
      <w:r w:rsidRPr="00E70596">
        <w:rPr>
          <w:rStyle w:val="FootnoteReference"/>
        </w:rPr>
        <w:footnoteReference w:id="15"/>
      </w:r>
      <w:r w:rsidRPr="00E70596">
        <w:t xml:space="preserve"> Women are disproportionately vulnerable to </w:t>
      </w:r>
      <w:r w:rsidR="00AA7031">
        <w:t xml:space="preserve">the </w:t>
      </w:r>
      <w:r w:rsidRPr="00E70596">
        <w:t>impacts of climate change, in light of their unequal access to resources and low participation in decision-making.</w:t>
      </w:r>
      <w:r w:rsidRPr="00E70596">
        <w:rPr>
          <w:rStyle w:val="FootnoteReference"/>
        </w:rPr>
        <w:footnoteReference w:id="16"/>
      </w:r>
      <w:r w:rsidRPr="00E70596">
        <w:t xml:space="preserve"> Structural deficits in </w:t>
      </w:r>
      <w:r w:rsidRPr="00E70596">
        <w:lastRenderedPageBreak/>
        <w:t>electricity access, including frequent power cuts and the fact that only 10</w:t>
      </w:r>
      <w:r w:rsidR="002D296D" w:rsidRPr="00E70596">
        <w:t xml:space="preserve"> per cent</w:t>
      </w:r>
      <w:r w:rsidRPr="00E70596">
        <w:t xml:space="preserve"> of the country and less than 2</w:t>
      </w:r>
      <w:r w:rsidR="002D296D" w:rsidRPr="00E70596">
        <w:t xml:space="preserve"> per cent</w:t>
      </w:r>
      <w:r w:rsidRPr="00E70596">
        <w:t xml:space="preserve"> of the rural population are connected to the grid</w:t>
      </w:r>
      <w:r w:rsidR="00364740">
        <w:t>,</w:t>
      </w:r>
      <w:r w:rsidRPr="00E70596">
        <w:rPr>
          <w:rStyle w:val="FootnoteReference"/>
        </w:rPr>
        <w:footnoteReference w:id="17"/>
      </w:r>
      <w:r w:rsidRPr="00E70596">
        <w:t xml:space="preserve"> </w:t>
      </w:r>
      <w:r w:rsidR="00364740">
        <w:t>are</w:t>
      </w:r>
      <w:r w:rsidR="00364740" w:rsidRPr="00E70596">
        <w:t xml:space="preserve"> </w:t>
      </w:r>
      <w:r w:rsidRPr="00E70596">
        <w:t xml:space="preserve">fueling deforestation and </w:t>
      </w:r>
      <w:r w:rsidR="00A14FDE" w:rsidRPr="00E70596">
        <w:t>undermining business</w:t>
      </w:r>
      <w:r w:rsidRPr="00E70596">
        <w:t xml:space="preserve"> growth through intermittent energy supply.  </w:t>
      </w:r>
    </w:p>
    <w:p w14:paraId="2E4FD5A5" w14:textId="4CD11195" w:rsidR="008B1DA9" w:rsidRPr="00E70596" w:rsidRDefault="008B1DA9"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The Malawi Growth and Development Strategy 2017-2022 aims to accelerate the transition to a productive, competitive and resilient nation and integrates the </w:t>
      </w:r>
      <w:r w:rsidR="00752F6C" w:rsidRPr="00E70596">
        <w:t>Sustainable Development Goals</w:t>
      </w:r>
      <w:r w:rsidRPr="00E70596">
        <w:t xml:space="preserve">. It has five key priority areas: (a) </w:t>
      </w:r>
      <w:r w:rsidR="00364740">
        <w:t>a</w:t>
      </w:r>
      <w:r w:rsidR="00364740" w:rsidRPr="00E70596">
        <w:t>griculture</w:t>
      </w:r>
      <w:r w:rsidRPr="00E70596">
        <w:t xml:space="preserve">, </w:t>
      </w:r>
      <w:r w:rsidR="00364740">
        <w:t>w</w:t>
      </w:r>
      <w:r w:rsidR="00364740" w:rsidRPr="00E70596">
        <w:t xml:space="preserve">ater </w:t>
      </w:r>
      <w:r w:rsidR="00364740">
        <w:t>d</w:t>
      </w:r>
      <w:r w:rsidR="00364740" w:rsidRPr="00E70596">
        <w:t xml:space="preserve">evelopment </w:t>
      </w:r>
      <w:r w:rsidRPr="00E70596">
        <w:t xml:space="preserve">and </w:t>
      </w:r>
      <w:r w:rsidR="00364740">
        <w:t>c</w:t>
      </w:r>
      <w:r w:rsidR="00364740" w:rsidRPr="00E70596">
        <w:t xml:space="preserve">limate </w:t>
      </w:r>
      <w:r w:rsidR="00364740">
        <w:t>c</w:t>
      </w:r>
      <w:r w:rsidR="00364740" w:rsidRPr="00E70596">
        <w:t>hange</w:t>
      </w:r>
      <w:r w:rsidRPr="00E70596">
        <w:t xml:space="preserve">; (b) </w:t>
      </w:r>
      <w:r w:rsidR="00364740">
        <w:t>e</w:t>
      </w:r>
      <w:r w:rsidR="00364740" w:rsidRPr="00E70596">
        <w:t xml:space="preserve">ducation </w:t>
      </w:r>
      <w:r w:rsidRPr="00E70596">
        <w:t xml:space="preserve">and </w:t>
      </w:r>
      <w:r w:rsidR="00364740">
        <w:t>s</w:t>
      </w:r>
      <w:r w:rsidR="00364740" w:rsidRPr="00E70596">
        <w:t xml:space="preserve">kills </w:t>
      </w:r>
      <w:r w:rsidR="00364740">
        <w:t>d</w:t>
      </w:r>
      <w:r w:rsidR="00364740" w:rsidRPr="00E70596">
        <w:t>evelopment</w:t>
      </w:r>
      <w:r w:rsidRPr="00E70596">
        <w:t xml:space="preserve">; (c) </w:t>
      </w:r>
      <w:r w:rsidR="00364740">
        <w:t>e</w:t>
      </w:r>
      <w:r w:rsidR="00364740" w:rsidRPr="00E70596">
        <w:t>nergy</w:t>
      </w:r>
      <w:r w:rsidRPr="00E70596">
        <w:t xml:space="preserve">, </w:t>
      </w:r>
      <w:r w:rsidR="00364740">
        <w:t>i</w:t>
      </w:r>
      <w:r w:rsidR="00364740" w:rsidRPr="00E70596">
        <w:t xml:space="preserve">ndustry </w:t>
      </w:r>
      <w:r w:rsidRPr="00E70596">
        <w:t xml:space="preserve">and </w:t>
      </w:r>
      <w:r w:rsidR="00364740">
        <w:t>t</w:t>
      </w:r>
      <w:r w:rsidR="00364740" w:rsidRPr="00E70596">
        <w:t xml:space="preserve">ourism </w:t>
      </w:r>
      <w:r w:rsidR="00364740">
        <w:t>d</w:t>
      </w:r>
      <w:r w:rsidR="00364740" w:rsidRPr="00E70596">
        <w:t>evelopment</w:t>
      </w:r>
      <w:r w:rsidRPr="00E70596">
        <w:t xml:space="preserve">; (d) </w:t>
      </w:r>
      <w:r w:rsidR="00364740">
        <w:t>t</w:t>
      </w:r>
      <w:r w:rsidR="00364740" w:rsidRPr="00E70596">
        <w:t xml:space="preserve">ransport </w:t>
      </w:r>
      <w:r w:rsidRPr="00E70596">
        <w:t xml:space="preserve">and </w:t>
      </w:r>
      <w:r w:rsidR="00364740">
        <w:t>i</w:t>
      </w:r>
      <w:r w:rsidR="00364740" w:rsidRPr="00E70596">
        <w:t xml:space="preserve">nformation </w:t>
      </w:r>
      <w:r w:rsidR="00752F6C" w:rsidRPr="00E70596">
        <w:t xml:space="preserve">and </w:t>
      </w:r>
      <w:r w:rsidR="00364740">
        <w:t>c</w:t>
      </w:r>
      <w:r w:rsidR="00364740" w:rsidRPr="00E70596">
        <w:t xml:space="preserve">ommunication </w:t>
      </w:r>
      <w:r w:rsidR="00364740">
        <w:t>t</w:t>
      </w:r>
      <w:r w:rsidR="00364740" w:rsidRPr="00E70596">
        <w:t xml:space="preserve">echnology </w:t>
      </w:r>
      <w:r w:rsidR="00364740">
        <w:t>i</w:t>
      </w:r>
      <w:r w:rsidR="00364740" w:rsidRPr="00E70596">
        <w:t>nfrastructure</w:t>
      </w:r>
      <w:r w:rsidRPr="00E70596">
        <w:t xml:space="preserve">; and (e) </w:t>
      </w:r>
      <w:r w:rsidR="00364740">
        <w:t>h</w:t>
      </w:r>
      <w:r w:rsidR="00364740" w:rsidRPr="00E70596">
        <w:t xml:space="preserve">ealth </w:t>
      </w:r>
      <w:r w:rsidRPr="00E70596">
        <w:t xml:space="preserve">and </w:t>
      </w:r>
      <w:r w:rsidR="00364740">
        <w:t>p</w:t>
      </w:r>
      <w:r w:rsidR="00364740" w:rsidRPr="00E70596">
        <w:t>opulation</w:t>
      </w:r>
      <w:r w:rsidRPr="00E70596">
        <w:t xml:space="preserve">. Peace, good governance, effective decentralization and gender mainstreaming are key enablers. Malawi achieved only </w:t>
      </w:r>
      <w:r w:rsidR="00364740">
        <w:t>four</w:t>
      </w:r>
      <w:r w:rsidR="00364740" w:rsidRPr="00E70596">
        <w:t xml:space="preserve"> </w:t>
      </w:r>
      <w:r w:rsidRPr="00E70596">
        <w:t xml:space="preserve">of the eight </w:t>
      </w:r>
      <w:r w:rsidR="00752F6C" w:rsidRPr="00E70596">
        <w:t>Millennium Development Goals</w:t>
      </w:r>
      <w:r w:rsidRPr="00E70596">
        <w:t xml:space="preserve"> and the transition to the </w:t>
      </w:r>
      <w:r w:rsidR="00752F6C" w:rsidRPr="00E70596">
        <w:t>Sustainable Development Goals</w:t>
      </w:r>
      <w:r w:rsidRPr="00E70596">
        <w:t xml:space="preserve"> will require enhanced coordination and evidence-informed planning and implementation. A National Planning Commission created in 2017 is responsible for planning and oversight of implementation. </w:t>
      </w:r>
    </w:p>
    <w:p w14:paraId="2E4FD5A6" w14:textId="57DF7F57" w:rsidR="00243F37"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Malawi has ratified almost all international human rights conventions and treaties and strengthened the legal and policy framework for human rights. It has undergone two cycles of </w:t>
      </w:r>
      <w:r w:rsidR="00CB121D">
        <w:t>u</w:t>
      </w:r>
      <w:r w:rsidR="00CB121D" w:rsidRPr="00E70596">
        <w:t xml:space="preserve">niversal </w:t>
      </w:r>
      <w:r w:rsidR="00CB121D">
        <w:t>p</w:t>
      </w:r>
      <w:r w:rsidR="00CB121D" w:rsidRPr="00E70596">
        <w:t xml:space="preserve">eriodic </w:t>
      </w:r>
      <w:r w:rsidR="00CB121D">
        <w:t>r</w:t>
      </w:r>
      <w:r w:rsidR="00CB121D" w:rsidRPr="00E70596">
        <w:t xml:space="preserve">eview </w:t>
      </w:r>
      <w:r w:rsidRPr="00E70596">
        <w:t xml:space="preserve">(2010 and 2015). </w:t>
      </w:r>
      <w:r w:rsidR="009F0142" w:rsidRPr="00E70596">
        <w:t>While t</w:t>
      </w:r>
      <w:r w:rsidRPr="00E70596">
        <w:t>he law forb</w:t>
      </w:r>
      <w:r w:rsidR="008B1EA6" w:rsidRPr="00E70596">
        <w:t>ids discrimination in all forms</w:t>
      </w:r>
      <w:r w:rsidR="009F0142" w:rsidRPr="00E70596">
        <w:t xml:space="preserve">, </w:t>
      </w:r>
      <w:r w:rsidRPr="00E70596">
        <w:t xml:space="preserve">persons with albinism, women, </w:t>
      </w:r>
      <w:r w:rsidR="002D296D" w:rsidRPr="00E70596">
        <w:t>lesbian, gay, bisexual, transgender and intersex </w:t>
      </w:r>
      <w:r w:rsidR="009D2F1A">
        <w:t xml:space="preserve">(LGBTI) </w:t>
      </w:r>
      <w:r w:rsidRPr="00E70596">
        <w:t>populations and others continue to face hostilities that undermine their freedoms including access to services.</w:t>
      </w:r>
      <w:r w:rsidRPr="00E70596">
        <w:rPr>
          <w:rStyle w:val="FootnoteReference"/>
        </w:rPr>
        <w:footnoteReference w:id="18"/>
      </w:r>
      <w:r w:rsidRPr="00E70596">
        <w:t xml:space="preserve"> </w:t>
      </w:r>
      <w:r w:rsidRPr="00887E30">
        <w:rPr>
          <w:color w:val="000000" w:themeColor="text1"/>
        </w:rPr>
        <w:t>Access</w:t>
      </w:r>
      <w:r w:rsidRPr="00E70596">
        <w:t xml:space="preserve"> to justice is a challenge due to weak policy implementation, institutional capacities and the dysfunctionality of informal justice mechanisms, which has resulted in overcrowded courts and prisons.  </w:t>
      </w:r>
    </w:p>
    <w:p w14:paraId="2E4FD5A7" w14:textId="015212CE" w:rsidR="00243F37"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Weak governance contributes to inefficient public services, lack of transparency and accountability, weak rule of law and low representation by the poor and disadvantaged groups in decision-making.</w:t>
      </w:r>
      <w:r w:rsidRPr="00E70596">
        <w:rPr>
          <w:rStyle w:val="FootnoteReference"/>
        </w:rPr>
        <w:footnoteReference w:id="19"/>
      </w:r>
      <w:r w:rsidRPr="00E70596">
        <w:t xml:space="preserve"> Corruption remains a challenge, reflected in Malawi’s ranking of 120/176 on the Corruption Perception Index.</w:t>
      </w:r>
      <w:r w:rsidRPr="00E70596">
        <w:rPr>
          <w:rStyle w:val="FootnoteReference"/>
        </w:rPr>
        <w:footnoteReference w:id="20"/>
      </w:r>
      <w:r w:rsidRPr="00E70596">
        <w:t xml:space="preserve"> Accountability is low, with disempowered citizenry and weak oversight </w:t>
      </w:r>
      <w:r w:rsidRPr="00887E30">
        <w:rPr>
          <w:color w:val="000000" w:themeColor="text1"/>
        </w:rPr>
        <w:t>institutions</w:t>
      </w:r>
      <w:r w:rsidRPr="00E70596">
        <w:t>. The legislative and policy framework is strong, but implementation and regulatory enforcement remain weak due to insufficient institutional coordination, restrained public sector finance and weak performance incentives. Gaps in competences and skills for evidence-</w:t>
      </w:r>
      <w:r w:rsidR="008B1EA6" w:rsidRPr="00E70596">
        <w:t>informed</w:t>
      </w:r>
      <w:r w:rsidRPr="00E70596">
        <w:t xml:space="preserve"> policy and programme formulation, lack of disaggregated data and the disconnect between use of data and policy formulation and implementation also need improvement.</w:t>
      </w:r>
      <w:r w:rsidRPr="00E70596">
        <w:rPr>
          <w:rStyle w:val="FootnoteReference"/>
        </w:rPr>
        <w:footnoteReference w:id="21"/>
      </w:r>
      <w:r w:rsidRPr="00E70596">
        <w:t xml:space="preserve"> </w:t>
      </w:r>
    </w:p>
    <w:p w14:paraId="2E4FD5A8" w14:textId="427B82A4" w:rsidR="00243F37"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Effective decentralization, by making governance more responsive to the needs of the citizens and ensuring social accountability, is a </w:t>
      </w:r>
      <w:r w:rsidR="002A5055" w:rsidRPr="00E70596">
        <w:t>g</w:t>
      </w:r>
      <w:r w:rsidRPr="00E70596">
        <w:t xml:space="preserve">overnment priority and will impact on achievement of the </w:t>
      </w:r>
      <w:r w:rsidR="00752F6C" w:rsidRPr="00E70596">
        <w:t>Sustainable Development Goals</w:t>
      </w:r>
      <w:r w:rsidRPr="00E70596">
        <w:t xml:space="preserve">. A </w:t>
      </w:r>
      <w:r w:rsidR="00CB121D">
        <w:t>d</w:t>
      </w:r>
      <w:r w:rsidR="00CB121D" w:rsidRPr="00E70596">
        <w:t xml:space="preserve">ecentralization </w:t>
      </w:r>
      <w:r w:rsidR="00CB121D">
        <w:t>f</w:t>
      </w:r>
      <w:r w:rsidR="00CB121D" w:rsidRPr="00E70596">
        <w:t xml:space="preserve">ramework </w:t>
      </w:r>
      <w:r w:rsidRPr="00E70596">
        <w:t xml:space="preserve">and </w:t>
      </w:r>
      <w:r w:rsidR="00CB121D">
        <w:t>p</w:t>
      </w:r>
      <w:r w:rsidR="00CB121D" w:rsidRPr="00E70596">
        <w:t xml:space="preserve">olicy </w:t>
      </w:r>
      <w:r w:rsidR="007C4764" w:rsidRPr="00E70596">
        <w:t>are in place</w:t>
      </w:r>
      <w:r w:rsidRPr="00E70596">
        <w:t xml:space="preserve">, although planning, implementation and monitoring and evaluation at national and district levels have not yet been harmonized, devolution is not fully implemented and the capacity of the </w:t>
      </w:r>
      <w:r w:rsidR="00CB121D">
        <w:t>d</w:t>
      </w:r>
      <w:r w:rsidR="00CB121D" w:rsidRPr="00E70596">
        <w:t xml:space="preserve">istrict </w:t>
      </w:r>
      <w:r w:rsidR="00CB121D">
        <w:t>c</w:t>
      </w:r>
      <w:r w:rsidR="00CB121D" w:rsidRPr="00E70596">
        <w:t xml:space="preserve">ouncils </w:t>
      </w:r>
      <w:r w:rsidRPr="00E70596">
        <w:t>to involve communities in planning or to deliver services is challenged.</w:t>
      </w:r>
      <w:r w:rsidR="00CF4B78">
        <w:t xml:space="preserve"> </w:t>
      </w:r>
      <w:r w:rsidRPr="00E70596">
        <w:t xml:space="preserve">Tensions stemming from inequality and political and socioeconomic exclusion periodically threaten Malawi’s peace and unity. A National Peace Policy launched in 2017 will establish a framework for increased collaboration among stakeholders involved in conflict prevention, more effective and timely responses to early warning signs of conflict, and promotion of peace. Coordination mechanisms </w:t>
      </w:r>
      <w:r w:rsidR="00CB121D">
        <w:t xml:space="preserve">are needed </w:t>
      </w:r>
      <w:r w:rsidRPr="00E70596">
        <w:t>for all players in conflict prevention and peacebuilding.</w:t>
      </w:r>
    </w:p>
    <w:p w14:paraId="2E4FD5A9" w14:textId="50FDD6E5" w:rsidR="00243F37" w:rsidRPr="00E70596" w:rsidRDefault="00F45A0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t>Evaluations (</w:t>
      </w:r>
      <w:r w:rsidR="00752F6C" w:rsidRPr="00E70596">
        <w:t>United Nations Development Assistance Framework</w:t>
      </w:r>
      <w:r w:rsidR="00E41148">
        <w:t xml:space="preserve"> (UNDAF)</w:t>
      </w:r>
      <w:r w:rsidR="00FC7CEA" w:rsidRPr="00E70596">
        <w:t xml:space="preserve">, </w:t>
      </w:r>
      <w:r w:rsidR="00752F6C" w:rsidRPr="00E70596">
        <w:t xml:space="preserve">country programme </w:t>
      </w:r>
      <w:r w:rsidR="00FC7CEA" w:rsidRPr="00E70596">
        <w:t>end-of-cycle, outcome and project-level evaluations</w:t>
      </w:r>
      <w:r>
        <w:t>)</w:t>
      </w:r>
      <w:r w:rsidR="00FC7CEA" w:rsidRPr="00E70596">
        <w:t xml:space="preserve"> </w:t>
      </w:r>
      <w:r w:rsidR="00E41148">
        <w:t xml:space="preserve">have </w:t>
      </w:r>
      <w:r w:rsidR="00FC7CEA" w:rsidRPr="00E70596">
        <w:t xml:space="preserve">noted that UNDP interventions have been highly relevant, contributing to strengthening of the legislative and policy frameworks, including </w:t>
      </w:r>
      <w:r w:rsidR="00FC7CEA" w:rsidRPr="00E70596">
        <w:lastRenderedPageBreak/>
        <w:t xml:space="preserve">compliance with international obligations and reporting. Work on social cohesion, electoral reform and environmental sustainability yielded positive results. However, there is need to strengthen implementation capacity, particularly at subnational levels, and to strengthen the application of evidence and data for development. The </w:t>
      </w:r>
      <w:r w:rsidR="009F0142" w:rsidRPr="00E70596">
        <w:t>country programme</w:t>
      </w:r>
      <w:r w:rsidR="008B1EA6" w:rsidRPr="00E70596">
        <w:t xml:space="preserve"> </w:t>
      </w:r>
      <w:r w:rsidR="00FC7CEA" w:rsidRPr="00E70596">
        <w:t xml:space="preserve">evaluation also noted the need for improved indicators and strengthened coherence of interventions through a clear theory of change. </w:t>
      </w:r>
      <w:r w:rsidR="00047153">
        <w:t xml:space="preserve">The midterm </w:t>
      </w:r>
      <w:r w:rsidR="00047153">
        <w:rPr>
          <w:rFonts w:cstheme="minorHAnsi"/>
        </w:rPr>
        <w:t>e</w:t>
      </w:r>
      <w:r w:rsidR="00047153" w:rsidRPr="00887E30">
        <w:rPr>
          <w:rFonts w:cstheme="minorHAnsi"/>
        </w:rPr>
        <w:t xml:space="preserve">valuation </w:t>
      </w:r>
      <w:r w:rsidR="00FC7CEA" w:rsidRPr="00887E30">
        <w:rPr>
          <w:rFonts w:cstheme="minorHAnsi"/>
        </w:rPr>
        <w:t>reaffirm</w:t>
      </w:r>
      <w:r w:rsidR="00047153">
        <w:rPr>
          <w:rFonts w:cstheme="minorHAnsi"/>
        </w:rPr>
        <w:t>ed</w:t>
      </w:r>
      <w:r w:rsidR="00FC7CEA" w:rsidRPr="00887E30">
        <w:rPr>
          <w:rFonts w:cstheme="minorHAnsi"/>
        </w:rPr>
        <w:t xml:space="preserve"> the need to focus on outcomes</w:t>
      </w:r>
      <w:r w:rsidR="00E41148">
        <w:rPr>
          <w:rFonts w:cstheme="minorHAnsi"/>
        </w:rPr>
        <w:t>,</w:t>
      </w:r>
      <w:r w:rsidR="0027433B" w:rsidRPr="00E70596" w:rsidDel="0027433B">
        <w:rPr>
          <w:rStyle w:val="FootnoteReference"/>
          <w:rFonts w:cstheme="minorHAnsi"/>
        </w:rPr>
        <w:t xml:space="preserve"> </w:t>
      </w:r>
      <w:r w:rsidR="007C4764" w:rsidRPr="00887E30">
        <w:rPr>
          <w:rFonts w:cstheme="minorHAnsi"/>
        </w:rPr>
        <w:t>including gender-related</w:t>
      </w:r>
      <w:r w:rsidR="00E41148">
        <w:rPr>
          <w:rFonts w:cstheme="minorHAnsi"/>
        </w:rPr>
        <w:t xml:space="preserve"> outcomes</w:t>
      </w:r>
      <w:r w:rsidR="007C4764" w:rsidRPr="00887E30">
        <w:rPr>
          <w:rFonts w:cstheme="minorHAnsi"/>
        </w:rPr>
        <w:t xml:space="preserve">, </w:t>
      </w:r>
      <w:r w:rsidR="00FC7CEA" w:rsidRPr="00887E30">
        <w:rPr>
          <w:rFonts w:cstheme="minorHAnsi"/>
        </w:rPr>
        <w:t>across programmes and projects</w:t>
      </w:r>
      <w:r w:rsidR="006F54FF" w:rsidRPr="00E70596" w:rsidDel="006F54FF">
        <w:rPr>
          <w:rStyle w:val="FootnoteReference"/>
          <w:rFonts w:cstheme="minorHAnsi"/>
        </w:rPr>
        <w:t xml:space="preserve"> </w:t>
      </w:r>
    </w:p>
    <w:p w14:paraId="2E4FD5AA" w14:textId="45FCC02E"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240"/>
        <w:ind w:right="940" w:hanging="7"/>
        <w:jc w:val="both"/>
        <w:textAlignment w:val="baseline"/>
      </w:pPr>
      <w:r w:rsidRPr="00E70596">
        <w:t xml:space="preserve">UNDP has benefited from diverse partnerships, including </w:t>
      </w:r>
      <w:r w:rsidR="004415EA">
        <w:t xml:space="preserve">with </w:t>
      </w:r>
      <w:r w:rsidRPr="00E70596">
        <w:t>bilateral and multilateral</w:t>
      </w:r>
      <w:r w:rsidR="00E41148">
        <w:t xml:space="preserve"> agencie</w:t>
      </w:r>
      <w:r w:rsidRPr="00E70596">
        <w:t xml:space="preserve">s, private companies and associations, civil society and national and subnational government partners. Resource mobilization has seen an average annual </w:t>
      </w:r>
      <w:r w:rsidR="00E41148">
        <w:t>ratio of regular to</w:t>
      </w:r>
      <w:r w:rsidR="00E41148" w:rsidRPr="00E70596">
        <w:t xml:space="preserve"> </w:t>
      </w:r>
      <w:r w:rsidR="00E41148">
        <w:t>other</w:t>
      </w:r>
      <w:r w:rsidRPr="00E70596">
        <w:t xml:space="preserve"> resources of 1</w:t>
      </w:r>
      <w:r w:rsidR="00E41148">
        <w:t>:</w:t>
      </w:r>
      <w:r w:rsidRPr="00E70596">
        <w:t xml:space="preserve"> 2.48 in the past </w:t>
      </w:r>
      <w:r w:rsidR="00E41148">
        <w:t>five</w:t>
      </w:r>
      <w:r w:rsidR="00E41148" w:rsidRPr="00E70596">
        <w:t xml:space="preserve"> </w:t>
      </w:r>
      <w:r w:rsidRPr="00E70596">
        <w:t xml:space="preserve">years. Key </w:t>
      </w:r>
      <w:r w:rsidR="007C6B7D" w:rsidRPr="00E70596">
        <w:t xml:space="preserve">partners </w:t>
      </w:r>
      <w:r w:rsidRPr="00E70596">
        <w:t>have been the Government</w:t>
      </w:r>
      <w:r w:rsidRPr="00E70596">
        <w:rPr>
          <w:sz w:val="16"/>
          <w:vertAlign w:val="superscript"/>
        </w:rPr>
        <w:footnoteReference w:id="22"/>
      </w:r>
      <w:r w:rsidRPr="00887E30">
        <w:rPr>
          <w:sz w:val="16"/>
          <w:vertAlign w:val="superscript"/>
        </w:rPr>
        <w:t>,</w:t>
      </w:r>
      <w:r w:rsidRPr="00E70596">
        <w:t xml:space="preserve"> the European Union, </w:t>
      </w:r>
      <w:r w:rsidR="00047153">
        <w:t xml:space="preserve">United Kingdom </w:t>
      </w:r>
      <w:r w:rsidR="00752F6C" w:rsidRPr="00E70596">
        <w:t>Departmen</w:t>
      </w:r>
      <w:r w:rsidR="00E50109" w:rsidRPr="00E70596">
        <w:t>t for International Development</w:t>
      </w:r>
      <w:r w:rsidR="002C7787">
        <w:t xml:space="preserve"> (DfID)</w:t>
      </w:r>
      <w:r w:rsidRPr="00E70596">
        <w:t xml:space="preserve"> and </w:t>
      </w:r>
      <w:r w:rsidR="00197835">
        <w:t xml:space="preserve">the Government of </w:t>
      </w:r>
      <w:r w:rsidRPr="00E70596">
        <w:t xml:space="preserve">Norway.  UNDP secured funding from </w:t>
      </w:r>
      <w:r w:rsidR="00752F6C" w:rsidRPr="00E70596">
        <w:t>International Fund for Agricultural Development</w:t>
      </w:r>
      <w:r w:rsidR="00B0565B">
        <w:t xml:space="preserve"> (IFAD)</w:t>
      </w:r>
      <w:r w:rsidRPr="00E70596">
        <w:t>,</w:t>
      </w:r>
      <w:r w:rsidR="00197835">
        <w:t xml:space="preserve"> KfW</w:t>
      </w:r>
      <w:r w:rsidRPr="00E70596">
        <w:t>, the Global Environment Facility</w:t>
      </w:r>
      <w:r w:rsidR="00B0565B">
        <w:t xml:space="preserve"> (GEF)</w:t>
      </w:r>
      <w:r w:rsidR="00DB4E22">
        <w:t xml:space="preserve"> and</w:t>
      </w:r>
      <w:r w:rsidRPr="00E70596">
        <w:t xml:space="preserve"> Green Climate Fund. UNDP is exploring engagement with new partners such as the World Bank, the</w:t>
      </w:r>
      <w:r w:rsidR="006313E8" w:rsidRPr="00E70596">
        <w:t xml:space="preserve"> African Development Bank</w:t>
      </w:r>
      <w:r w:rsidR="00197835">
        <w:t xml:space="preserve"> </w:t>
      </w:r>
      <w:r w:rsidR="00B0565B">
        <w:t xml:space="preserve">(AfDB) </w:t>
      </w:r>
      <w:r w:rsidR="006313E8" w:rsidRPr="00E70596">
        <w:t xml:space="preserve">and </w:t>
      </w:r>
      <w:r w:rsidR="00197835">
        <w:t>f</w:t>
      </w:r>
      <w:r w:rsidR="00197835" w:rsidRPr="00E70596">
        <w:t>oundations</w:t>
      </w:r>
      <w:r w:rsidRPr="00E70596">
        <w:t xml:space="preserve">. Partnership </w:t>
      </w:r>
      <w:r w:rsidR="00197835">
        <w:t>s</w:t>
      </w:r>
      <w:r w:rsidR="00197835" w:rsidRPr="00E70596">
        <w:t xml:space="preserve">urveys </w:t>
      </w:r>
      <w:r w:rsidR="00197835">
        <w:t xml:space="preserve">in </w:t>
      </w:r>
      <w:r w:rsidR="00197835" w:rsidRPr="00E70596">
        <w:t xml:space="preserve">2015 and 2017 </w:t>
      </w:r>
      <w:r w:rsidRPr="00E70596">
        <w:t xml:space="preserve">showed that partners view </w:t>
      </w:r>
      <w:r w:rsidR="00197835">
        <w:t xml:space="preserve">the performance of </w:t>
      </w:r>
      <w:r w:rsidRPr="00E70596">
        <w:t>UNDP favo</w:t>
      </w:r>
      <w:r w:rsidR="00197835">
        <w:t>u</w:t>
      </w:r>
      <w:r w:rsidRPr="00E70596">
        <w:t xml:space="preserve">rably in </w:t>
      </w:r>
      <w:r w:rsidR="002C7787">
        <w:t xml:space="preserve">terms of </w:t>
      </w:r>
      <w:r w:rsidRPr="00E70596">
        <w:t xml:space="preserve">aligning to national priorities, contributing to democratic governance and poverty reduction and deploying </w:t>
      </w:r>
      <w:r w:rsidR="002C7787" w:rsidRPr="00E70596">
        <w:t>high</w:t>
      </w:r>
      <w:r w:rsidR="002C7787">
        <w:t>-</w:t>
      </w:r>
      <w:r w:rsidRPr="00E70596">
        <w:t xml:space="preserve">quality professionals.  </w:t>
      </w:r>
    </w:p>
    <w:p w14:paraId="2E4FD5AC" w14:textId="2C01F4E0" w:rsidR="004820B0" w:rsidRPr="00E70596" w:rsidRDefault="002467B7" w:rsidP="002467B7">
      <w:pPr>
        <w:pStyle w:val="Heading1"/>
        <w:spacing w:after="120"/>
        <w:ind w:left="360" w:right="940" w:hanging="540"/>
        <w:rPr>
          <w:rFonts w:ascii="Times New Roman" w:eastAsia="Calibri" w:hAnsi="Times New Roman"/>
          <w:sz w:val="24"/>
        </w:rPr>
      </w:pPr>
      <w:r>
        <w:rPr>
          <w:rFonts w:ascii="Times New Roman" w:eastAsia="Calibri" w:hAnsi="Times New Roman"/>
          <w:sz w:val="24"/>
          <w:lang w:val="en-US"/>
        </w:rPr>
        <w:t>II.</w:t>
      </w:r>
      <w:r>
        <w:rPr>
          <w:rFonts w:ascii="Times New Roman" w:eastAsia="Calibri" w:hAnsi="Times New Roman"/>
          <w:sz w:val="24"/>
          <w:lang w:val="en-US"/>
        </w:rPr>
        <w:tab/>
      </w:r>
      <w:r w:rsidR="00677F8A" w:rsidRPr="00E70596">
        <w:rPr>
          <w:rFonts w:ascii="Times New Roman" w:eastAsia="Calibri" w:hAnsi="Times New Roman"/>
          <w:sz w:val="24"/>
        </w:rPr>
        <w:t xml:space="preserve">Programme </w:t>
      </w:r>
      <w:r w:rsidR="00462376" w:rsidRPr="00E70596">
        <w:rPr>
          <w:rFonts w:ascii="Times New Roman" w:eastAsia="Calibri" w:hAnsi="Times New Roman"/>
          <w:sz w:val="24"/>
        </w:rPr>
        <w:t>priorities</w:t>
      </w:r>
      <w:r w:rsidR="002B6341" w:rsidRPr="00E70596">
        <w:rPr>
          <w:rFonts w:ascii="Times New Roman" w:eastAsia="Calibri" w:hAnsi="Times New Roman"/>
          <w:sz w:val="24"/>
        </w:rPr>
        <w:t xml:space="preserve"> </w:t>
      </w:r>
      <w:r w:rsidR="004736BE" w:rsidRPr="00E70596">
        <w:rPr>
          <w:rFonts w:ascii="Times New Roman" w:eastAsia="Calibri" w:hAnsi="Times New Roman"/>
          <w:sz w:val="24"/>
        </w:rPr>
        <w:t xml:space="preserve">and </w:t>
      </w:r>
      <w:r w:rsidR="00462376" w:rsidRPr="00E70596">
        <w:rPr>
          <w:rFonts w:ascii="Times New Roman" w:eastAsia="Calibri" w:hAnsi="Times New Roman"/>
          <w:sz w:val="24"/>
        </w:rPr>
        <w:t>partnerships</w:t>
      </w:r>
      <w:r w:rsidR="00074DB9" w:rsidRPr="00E70596">
        <w:rPr>
          <w:rFonts w:ascii="Times New Roman" w:eastAsia="Calibri" w:hAnsi="Times New Roman"/>
          <w:sz w:val="24"/>
        </w:rPr>
        <w:t xml:space="preserve"> </w:t>
      </w:r>
    </w:p>
    <w:p w14:paraId="2E4FD5AD" w14:textId="65D88D12" w:rsidR="008D7D00" w:rsidRPr="008D7D00"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rPr>
          <w:rFonts w:eastAsiaTheme="minorEastAsia"/>
          <w:lang w:eastAsia="en-ZA"/>
        </w:rPr>
      </w:pPr>
      <w:r w:rsidRPr="00AA016B">
        <w:t xml:space="preserve">The principal objective of the programme is to contribute to reduction of poverty, inequality and vulnerability to shocks. This will be achieved by scaling up employment and sustainable livelihood </w:t>
      </w:r>
      <w:r w:rsidRPr="00E70596">
        <w:t>opportunities</w:t>
      </w:r>
      <w:r w:rsidRPr="00AA016B">
        <w:t xml:space="preserve"> for </w:t>
      </w:r>
      <w:r w:rsidRPr="00E70596">
        <w:t>vulnerable</w:t>
      </w:r>
      <w:r w:rsidRPr="00AA016B">
        <w:t xml:space="preserve"> groups, including women, youth, persons with disabilities and albinism, and communities living in </w:t>
      </w:r>
      <w:r w:rsidR="002C7787">
        <w:t xml:space="preserve">areas prone to </w:t>
      </w:r>
      <w:r w:rsidRPr="00AA016B">
        <w:t>flood</w:t>
      </w:r>
      <w:r w:rsidR="002C7787">
        <w:t>ing</w:t>
      </w:r>
      <w:r w:rsidRPr="00AA016B">
        <w:t>, drought and other shock</w:t>
      </w:r>
      <w:r w:rsidR="002C7787">
        <w:t>s</w:t>
      </w:r>
      <w:r w:rsidRPr="00AA016B">
        <w:t xml:space="preserve">. Given </w:t>
      </w:r>
      <w:r w:rsidR="002C7787">
        <w:t>Malawi’s</w:t>
      </w:r>
      <w:r w:rsidR="002C7787" w:rsidRPr="00AA016B">
        <w:t xml:space="preserve"> </w:t>
      </w:r>
      <w:r w:rsidRPr="00AA016B">
        <w:t xml:space="preserve">high level of dependence on natural resources and environmental degradation, the programme will focus on building resilience of vulnerable groups to shocks by increasing their knowledge and skills to adapt and mitigate the effects of climate change. The </w:t>
      </w:r>
      <w:r w:rsidR="002C7787">
        <w:t>i</w:t>
      </w:r>
      <w:r w:rsidR="002C7787" w:rsidRPr="00AA016B">
        <w:t xml:space="preserve">ntegrated </w:t>
      </w:r>
      <w:r w:rsidR="00E50109" w:rsidRPr="00AA016B">
        <w:t xml:space="preserve">Sustainable Development Goals </w:t>
      </w:r>
      <w:r w:rsidRPr="00AA016B">
        <w:t xml:space="preserve">modelling found that </w:t>
      </w:r>
      <w:r w:rsidR="002C7787">
        <w:t>Goal</w:t>
      </w:r>
      <w:r w:rsidR="002C7787" w:rsidRPr="00AA016B">
        <w:t xml:space="preserve"> </w:t>
      </w:r>
      <w:r w:rsidRPr="00AA016B">
        <w:t>16 has the maximum multiplier</w:t>
      </w:r>
      <w:r w:rsidRPr="00E70596">
        <w:t xml:space="preserve"> effect on achieving all </w:t>
      </w:r>
      <w:r w:rsidR="00752F6C" w:rsidRPr="00E70596">
        <w:t>Goals</w:t>
      </w:r>
      <w:r w:rsidRPr="00E70596">
        <w:t>.</w:t>
      </w:r>
      <w:r w:rsidRPr="008A42E6">
        <w:rPr>
          <w:vertAlign w:val="superscript"/>
        </w:rPr>
        <w:footnoteReference w:id="23"/>
      </w:r>
      <w:r w:rsidRPr="00E70596">
        <w:t xml:space="preserve"> </w:t>
      </w:r>
      <w:r w:rsidR="00136F0C" w:rsidRPr="00E70596">
        <w:t xml:space="preserve"> </w:t>
      </w:r>
    </w:p>
    <w:p w14:paraId="2E4FD5AE" w14:textId="33030538" w:rsidR="00243F37" w:rsidRPr="008D7D00" w:rsidRDefault="002C7787"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rPr>
          <w:rFonts w:eastAsiaTheme="minorEastAsia"/>
          <w:lang w:eastAsia="en-ZA"/>
        </w:rPr>
      </w:pPr>
      <w:r>
        <w:t>T</w:t>
      </w:r>
      <w:r w:rsidR="00FC7CEA" w:rsidRPr="00AA016B">
        <w:t xml:space="preserve">he programme will have a strong focus on </w:t>
      </w:r>
      <w:r w:rsidR="00FC7CEA" w:rsidRPr="00E70596">
        <w:t xml:space="preserve">strengthening governance and </w:t>
      </w:r>
      <w:r w:rsidR="00FC7CEA" w:rsidRPr="00AA016B">
        <w:t xml:space="preserve">human rights institutions for development effectiveness and accountability, improved service provision and civic participation. It will also </w:t>
      </w:r>
      <w:r w:rsidR="00FC7CEA" w:rsidRPr="00E70596">
        <w:t>strengthen oversight institutions, decentralized structures and systems, and disaggregated data generation and analysis.</w:t>
      </w:r>
      <w:r w:rsidR="008D7D00">
        <w:rPr>
          <w:lang w:eastAsia="en-ZA"/>
        </w:rPr>
        <w:t xml:space="preserve"> </w:t>
      </w:r>
      <w:r w:rsidR="00FC7CEA" w:rsidRPr="008D7D00">
        <w:rPr>
          <w:rFonts w:eastAsiaTheme="minorEastAsia"/>
          <w:lang w:eastAsia="en-ZA"/>
        </w:rPr>
        <w:t>To scale</w:t>
      </w:r>
      <w:r>
        <w:rPr>
          <w:rFonts w:eastAsiaTheme="minorEastAsia"/>
          <w:lang w:eastAsia="en-ZA"/>
        </w:rPr>
        <w:t xml:space="preserve"> </w:t>
      </w:r>
      <w:r w:rsidR="00FC7CEA" w:rsidRPr="008D7D00">
        <w:rPr>
          <w:rFonts w:eastAsiaTheme="minorEastAsia"/>
          <w:lang w:eastAsia="en-ZA"/>
        </w:rPr>
        <w:t>up integrated solutions to complex and interconnected development challenges, t</w:t>
      </w:r>
      <w:r w:rsidR="00FC7CEA" w:rsidRPr="008D7D00">
        <w:rPr>
          <w:rFonts w:eastAsiaTheme="minorEastAsia"/>
          <w:color w:val="000000" w:themeColor="text1"/>
          <w:lang w:eastAsia="en-ZA"/>
        </w:rPr>
        <w:t xml:space="preserve">hree </w:t>
      </w:r>
      <w:r w:rsidR="00FC7CEA" w:rsidRPr="008D7D00">
        <w:rPr>
          <w:rFonts w:eastAsiaTheme="minorEastAsia"/>
          <w:lang w:eastAsia="en-ZA"/>
        </w:rPr>
        <w:t xml:space="preserve">complementary </w:t>
      </w:r>
      <w:r w:rsidR="002577D0" w:rsidRPr="008D7D00">
        <w:rPr>
          <w:rFonts w:eastAsiaTheme="minorEastAsia"/>
          <w:lang w:eastAsia="en-ZA"/>
        </w:rPr>
        <w:t>streams</w:t>
      </w:r>
      <w:r w:rsidR="00FC7CEA" w:rsidRPr="008D7D00">
        <w:rPr>
          <w:rFonts w:eastAsiaTheme="minorEastAsia"/>
          <w:lang w:eastAsia="en-ZA"/>
        </w:rPr>
        <w:t xml:space="preserve"> define the new programme: (a) enhancing economic innovation, inclusive business, job creation, and renewable energy access; (b) scaling up climate adaptation and </w:t>
      </w:r>
      <w:r w:rsidR="00FC7CEA" w:rsidRPr="00E70596">
        <w:t>resilience</w:t>
      </w:r>
      <w:r w:rsidR="00FC7CEA" w:rsidRPr="008D7D00">
        <w:rPr>
          <w:rFonts w:eastAsiaTheme="minorEastAsia"/>
          <w:lang w:eastAsia="en-ZA"/>
        </w:rPr>
        <w:t xml:space="preserve"> to shocks</w:t>
      </w:r>
      <w:r>
        <w:rPr>
          <w:rFonts w:eastAsiaTheme="minorEastAsia"/>
          <w:lang w:eastAsia="en-ZA"/>
        </w:rPr>
        <w:t>;</w:t>
      </w:r>
      <w:r w:rsidR="00FC7CEA" w:rsidRPr="008D7D00">
        <w:rPr>
          <w:rFonts w:eastAsiaTheme="minorEastAsia"/>
          <w:lang w:eastAsia="en-ZA"/>
        </w:rPr>
        <w:t xml:space="preserve"> and (c) strengthening effective, accountable and inclusive governance that promotes civic engagement, respect for human rights, rule of law, peace and </w:t>
      </w:r>
      <w:r w:rsidR="00574460" w:rsidRPr="008D7D00">
        <w:rPr>
          <w:rFonts w:eastAsiaTheme="minorEastAsia"/>
          <w:lang w:eastAsia="en-ZA"/>
        </w:rPr>
        <w:t>democracy</w:t>
      </w:r>
      <w:r w:rsidR="00FC7CEA" w:rsidRPr="008D7D00">
        <w:rPr>
          <w:rFonts w:eastAsiaTheme="minorEastAsia"/>
          <w:lang w:eastAsia="en-ZA"/>
        </w:rPr>
        <w:t xml:space="preserve">. The programme adopts a </w:t>
      </w:r>
      <w:r w:rsidRPr="008D7D00">
        <w:rPr>
          <w:rFonts w:eastAsiaTheme="minorEastAsia"/>
          <w:lang w:eastAsia="en-ZA"/>
        </w:rPr>
        <w:t>risk</w:t>
      </w:r>
      <w:r>
        <w:rPr>
          <w:rFonts w:eastAsiaTheme="minorEastAsia"/>
          <w:lang w:eastAsia="en-ZA"/>
        </w:rPr>
        <w:t>-</w:t>
      </w:r>
      <w:r w:rsidR="00FC7CEA" w:rsidRPr="008D7D00">
        <w:rPr>
          <w:rFonts w:eastAsiaTheme="minorEastAsia"/>
          <w:lang w:eastAsia="en-ZA"/>
        </w:rPr>
        <w:t xml:space="preserve">informed approach to safeguard Malawi’s development gains in the context of a changing climate. </w:t>
      </w:r>
    </w:p>
    <w:p w14:paraId="2E4FD5AF" w14:textId="6B7D1886" w:rsidR="00C74737" w:rsidRPr="0085135E"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rPr>
          <w:rFonts w:eastAsiaTheme="minorEastAsia"/>
          <w:lang w:eastAsia="en-ZA"/>
        </w:rPr>
      </w:pPr>
      <w:r w:rsidRPr="00E70596">
        <w:rPr>
          <w:lang w:eastAsia="fr-FR"/>
        </w:rPr>
        <w:t>It supports the</w:t>
      </w:r>
      <w:r w:rsidR="002C7787" w:rsidRPr="002C7787">
        <w:t xml:space="preserve"> </w:t>
      </w:r>
      <w:r w:rsidR="002C7787" w:rsidRPr="00E70596">
        <w:t>Malawi Growth and Development Strategy</w:t>
      </w:r>
      <w:r w:rsidRPr="00E70596">
        <w:rPr>
          <w:lang w:eastAsia="fr-FR"/>
        </w:rPr>
        <w:t xml:space="preserve"> </w:t>
      </w:r>
      <w:r w:rsidRPr="00E70596">
        <w:t>2017-2022</w:t>
      </w:r>
      <w:r w:rsidR="002C7787">
        <w:t xml:space="preserve"> and other</w:t>
      </w:r>
      <w:r w:rsidRPr="00E70596">
        <w:t xml:space="preserve"> key national policies and strategies. The </w:t>
      </w:r>
      <w:r w:rsidR="00DF74A0" w:rsidRPr="00E70596">
        <w:t>country programme</w:t>
      </w:r>
      <w:r w:rsidRPr="00E70596">
        <w:t xml:space="preserve"> </w:t>
      </w:r>
      <w:r w:rsidRPr="00E70596">
        <w:rPr>
          <w:lang w:eastAsia="fr-FR"/>
        </w:rPr>
        <w:t xml:space="preserve">is rooted in and </w:t>
      </w:r>
      <w:r w:rsidRPr="0085135E">
        <w:rPr>
          <w:rFonts w:eastAsiaTheme="minorEastAsia"/>
          <w:lang w:eastAsia="en-ZA"/>
        </w:rPr>
        <w:t>supports</w:t>
      </w:r>
      <w:r w:rsidRPr="00E70596">
        <w:rPr>
          <w:lang w:eastAsia="fr-FR"/>
        </w:rPr>
        <w:t xml:space="preserve"> domestication and integration of international commitments and treaties, </w:t>
      </w:r>
      <w:r w:rsidRPr="00E70596">
        <w:t>including</w:t>
      </w:r>
      <w:r w:rsidRPr="00E70596">
        <w:rPr>
          <w:lang w:eastAsia="fr-FR"/>
        </w:rPr>
        <w:t xml:space="preserve"> </w:t>
      </w:r>
      <w:r w:rsidR="0085135E" w:rsidRPr="00E70596">
        <w:rPr>
          <w:lang w:eastAsia="fr-FR"/>
        </w:rPr>
        <w:t xml:space="preserve">the African Union </w:t>
      </w:r>
      <w:r w:rsidRPr="00E70596">
        <w:rPr>
          <w:lang w:eastAsia="fr-FR"/>
        </w:rPr>
        <w:t>Agenda 2063</w:t>
      </w:r>
      <w:r w:rsidR="0085135E">
        <w:rPr>
          <w:lang w:eastAsia="fr-FR"/>
        </w:rPr>
        <w:t>,</w:t>
      </w:r>
      <w:r w:rsidRPr="00E70596">
        <w:rPr>
          <w:lang w:eastAsia="fr-FR"/>
        </w:rPr>
        <w:t xml:space="preserve"> the </w:t>
      </w:r>
      <w:r w:rsidR="00752F6C" w:rsidRPr="00E70596">
        <w:rPr>
          <w:lang w:eastAsia="fr-FR"/>
        </w:rPr>
        <w:t>Sustainable Development Goals</w:t>
      </w:r>
      <w:r w:rsidRPr="00E70596">
        <w:rPr>
          <w:lang w:eastAsia="fr-FR"/>
        </w:rPr>
        <w:t>, Sendai Frame</w:t>
      </w:r>
      <w:r w:rsidR="007C4764" w:rsidRPr="00E70596">
        <w:rPr>
          <w:lang w:eastAsia="fr-FR"/>
        </w:rPr>
        <w:t>work for Disaster Risk Reduction</w:t>
      </w:r>
      <w:r w:rsidRPr="00E70596">
        <w:rPr>
          <w:lang w:eastAsia="fr-FR"/>
        </w:rPr>
        <w:t xml:space="preserve">, the Paris </w:t>
      </w:r>
      <w:r w:rsidRPr="00E70596">
        <w:t>Agreement</w:t>
      </w:r>
      <w:r w:rsidRPr="00E70596">
        <w:rPr>
          <w:lang w:eastAsia="fr-FR"/>
        </w:rPr>
        <w:t xml:space="preserve"> on Climate Change, other multilateral </w:t>
      </w:r>
      <w:r w:rsidRPr="0085135E">
        <w:rPr>
          <w:rFonts w:eastAsiaTheme="minorEastAsia"/>
          <w:lang w:eastAsia="en-ZA"/>
        </w:rPr>
        <w:t>environmental</w:t>
      </w:r>
      <w:r w:rsidRPr="00E70596">
        <w:rPr>
          <w:lang w:eastAsia="fr-FR"/>
        </w:rPr>
        <w:t xml:space="preserve"> agreements</w:t>
      </w:r>
      <w:r w:rsidR="002C7787">
        <w:rPr>
          <w:lang w:eastAsia="fr-FR"/>
        </w:rPr>
        <w:t xml:space="preserve"> and</w:t>
      </w:r>
      <w:r w:rsidR="002C7787" w:rsidRPr="00E70596">
        <w:rPr>
          <w:lang w:eastAsia="fr-FR"/>
        </w:rPr>
        <w:t xml:space="preserve"> </w:t>
      </w:r>
      <w:r w:rsidRPr="00E70596">
        <w:rPr>
          <w:lang w:eastAsia="fr-FR"/>
        </w:rPr>
        <w:t xml:space="preserve">international and regional human rights treaties, </w:t>
      </w:r>
      <w:r w:rsidR="002C7787">
        <w:rPr>
          <w:lang w:eastAsia="fr-FR"/>
        </w:rPr>
        <w:t>in particular the</w:t>
      </w:r>
      <w:r w:rsidR="002C7787" w:rsidRPr="00E70596">
        <w:rPr>
          <w:lang w:eastAsia="fr-FR"/>
        </w:rPr>
        <w:t xml:space="preserve"> </w:t>
      </w:r>
      <w:r w:rsidRPr="00E70596">
        <w:rPr>
          <w:lang w:eastAsia="fr-FR"/>
        </w:rPr>
        <w:t xml:space="preserve">International Covenant on Economic, Social and Cultural Rights. </w:t>
      </w:r>
      <w:r w:rsidR="00C74737" w:rsidRPr="00E70596">
        <w:t xml:space="preserve">UNDP will continue to </w:t>
      </w:r>
      <w:r w:rsidR="002C7787">
        <w:t>cooperate</w:t>
      </w:r>
      <w:r w:rsidR="002C7787" w:rsidRPr="00E70596">
        <w:t xml:space="preserve"> </w:t>
      </w:r>
      <w:r w:rsidR="00C74737" w:rsidRPr="00E70596">
        <w:t xml:space="preserve">with the </w:t>
      </w:r>
      <w:r w:rsidR="002C7787">
        <w:t>G</w:t>
      </w:r>
      <w:r w:rsidR="002C7787" w:rsidRPr="00E70596">
        <w:t xml:space="preserve">overnment </w:t>
      </w:r>
      <w:r w:rsidR="00C74737" w:rsidRPr="00E70596">
        <w:t xml:space="preserve">at all levels for effective implementation of policies and to ensure greater ownership and sustainability of interventions including </w:t>
      </w:r>
      <w:r w:rsidR="00B8789A" w:rsidRPr="00E70596">
        <w:t xml:space="preserve">through further </w:t>
      </w:r>
      <w:r w:rsidR="00C74737" w:rsidRPr="00E70596">
        <w:t xml:space="preserve">cost-sharing. </w:t>
      </w:r>
      <w:r w:rsidR="00B8789A" w:rsidRPr="00E70596">
        <w:t xml:space="preserve">UNDP will also </w:t>
      </w:r>
      <w:r w:rsidR="00C74737" w:rsidRPr="00E70596">
        <w:t xml:space="preserve">partner with </w:t>
      </w:r>
      <w:r w:rsidR="00E50109" w:rsidRPr="00E70596">
        <w:t>bilateral</w:t>
      </w:r>
      <w:r w:rsidR="002C7787">
        <w:t xml:space="preserve"> agencie</w:t>
      </w:r>
      <w:r w:rsidR="00B8789A" w:rsidRPr="00E70596">
        <w:t>s, civil society</w:t>
      </w:r>
      <w:r w:rsidR="00C74737" w:rsidRPr="00E70596">
        <w:t xml:space="preserve">, academia and </w:t>
      </w:r>
      <w:r w:rsidR="00B8789A" w:rsidRPr="00E70596">
        <w:t xml:space="preserve">the </w:t>
      </w:r>
      <w:r w:rsidR="00C74737" w:rsidRPr="00E70596">
        <w:t xml:space="preserve">private sector to </w:t>
      </w:r>
      <w:r w:rsidR="002C7787" w:rsidRPr="00E70596">
        <w:t>mobili</w:t>
      </w:r>
      <w:r w:rsidR="002C7787">
        <w:t>z</w:t>
      </w:r>
      <w:r w:rsidR="002C7787" w:rsidRPr="00E70596">
        <w:t xml:space="preserve">e </w:t>
      </w:r>
      <w:r w:rsidR="00B8789A" w:rsidRPr="00E70596">
        <w:t xml:space="preserve">resources </w:t>
      </w:r>
      <w:r w:rsidR="002C7787">
        <w:t xml:space="preserve">to multiply the </w:t>
      </w:r>
      <w:r w:rsidR="00C74737" w:rsidRPr="00E70596">
        <w:t xml:space="preserve">impact </w:t>
      </w:r>
      <w:r w:rsidR="002C7787">
        <w:t>of</w:t>
      </w:r>
      <w:r w:rsidR="002C7787" w:rsidRPr="00E70596">
        <w:t xml:space="preserve"> </w:t>
      </w:r>
      <w:r w:rsidR="00C74737" w:rsidRPr="00E70596">
        <w:t xml:space="preserve">interventions. </w:t>
      </w:r>
      <w:r w:rsidR="00B8789A" w:rsidRPr="00E70596">
        <w:t xml:space="preserve">UNDP will continue to leverage the </w:t>
      </w:r>
      <w:r w:rsidR="00752F6C" w:rsidRPr="00E70596">
        <w:t xml:space="preserve">United Nations </w:t>
      </w:r>
      <w:r w:rsidR="00B8789A" w:rsidRPr="00E70596">
        <w:t xml:space="preserve">system in its programming, and provide an operational </w:t>
      </w:r>
      <w:r w:rsidR="00B8789A" w:rsidRPr="00E70596">
        <w:lastRenderedPageBreak/>
        <w:t>platform of support.</w:t>
      </w:r>
    </w:p>
    <w:p w14:paraId="2E4FD5B0" w14:textId="3922C65D" w:rsidR="00FC7CEA" w:rsidRPr="00E70596" w:rsidRDefault="00AA016B" w:rsidP="002467B7">
      <w:pPr>
        <w:tabs>
          <w:tab w:val="left" w:pos="8550"/>
        </w:tabs>
        <w:ind w:right="940" w:hanging="7"/>
        <w:contextualSpacing/>
        <w:jc w:val="both"/>
        <w:rPr>
          <w:rFonts w:eastAsiaTheme="minorEastAsia"/>
          <w:b/>
          <w:bCs/>
          <w:lang w:eastAsia="en-ZA"/>
        </w:rPr>
      </w:pPr>
      <w:r>
        <w:rPr>
          <w:rFonts w:eastAsiaTheme="minorEastAsia"/>
          <w:b/>
          <w:bCs/>
          <w:lang w:eastAsia="en-ZA"/>
        </w:rPr>
        <w:t xml:space="preserve">       </w:t>
      </w:r>
      <w:r w:rsidR="00FC7CEA" w:rsidRPr="00E70596">
        <w:rPr>
          <w:rFonts w:eastAsiaTheme="minorEastAsia"/>
          <w:b/>
          <w:bCs/>
          <w:lang w:eastAsia="en-ZA"/>
        </w:rPr>
        <w:t xml:space="preserve">Enhancing economic innovation, inclusive business, job creation and </w:t>
      </w:r>
      <w:r w:rsidR="002C7787">
        <w:rPr>
          <w:rFonts w:eastAsiaTheme="minorEastAsia"/>
          <w:b/>
          <w:bCs/>
          <w:lang w:eastAsia="en-ZA"/>
        </w:rPr>
        <w:t xml:space="preserve">access to </w:t>
      </w:r>
      <w:r w:rsidR="00FC7CEA" w:rsidRPr="00E70596">
        <w:rPr>
          <w:rFonts w:eastAsiaTheme="minorEastAsia"/>
          <w:b/>
          <w:bCs/>
          <w:lang w:eastAsia="en-ZA"/>
        </w:rPr>
        <w:t xml:space="preserve">renewable energy </w:t>
      </w:r>
    </w:p>
    <w:p w14:paraId="2E4FD5B1" w14:textId="574611AA" w:rsidR="0085135E" w:rsidRPr="0085135E" w:rsidRDefault="00243F37"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rPr>
          <w:rFonts w:eastAsiaTheme="minorEastAsia"/>
          <w:lang w:eastAsia="en-ZA"/>
        </w:rPr>
      </w:pPr>
      <w:r w:rsidRPr="0085135E">
        <w:rPr>
          <w:rFonts w:eastAsiaTheme="minorEastAsia"/>
          <w:lang w:eastAsia="en-ZA"/>
        </w:rPr>
        <w:t xml:space="preserve"> </w:t>
      </w:r>
      <w:r w:rsidR="00FC7CEA" w:rsidRPr="00AA016B">
        <w:t>Innovative financial instruments such as the Ma</w:t>
      </w:r>
      <w:r w:rsidR="00E50109" w:rsidRPr="00AA016B">
        <w:t>lawi Innovation Challenge Fund</w:t>
      </w:r>
      <w:r w:rsidR="002C7787">
        <w:t>,</w:t>
      </w:r>
      <w:r w:rsidR="00E50109" w:rsidRPr="00AA016B">
        <w:t xml:space="preserve"> </w:t>
      </w:r>
      <w:r w:rsidR="002C7787">
        <w:t>which</w:t>
      </w:r>
      <w:r w:rsidR="002C7787" w:rsidRPr="00AA016B">
        <w:t xml:space="preserve"> </w:t>
      </w:r>
      <w:r w:rsidR="00FC7CEA" w:rsidRPr="00AA016B">
        <w:t xml:space="preserve">targets the private sector’s </w:t>
      </w:r>
      <w:r w:rsidR="002C7787">
        <w:t>“</w:t>
      </w:r>
      <w:r w:rsidR="00FC7CEA" w:rsidRPr="00AA016B">
        <w:t xml:space="preserve">missing </w:t>
      </w:r>
      <w:r w:rsidR="002C7787" w:rsidRPr="00AA016B">
        <w:t>middle</w:t>
      </w:r>
      <w:r w:rsidR="002C7787">
        <w:t>”</w:t>
      </w:r>
      <w:r w:rsidR="00FC7CEA" w:rsidRPr="00AA016B">
        <w:t xml:space="preserve">, will continue to channel productive investment in agriculture, manufacturing, </w:t>
      </w:r>
      <w:r w:rsidR="00FC7CEA" w:rsidRPr="00E70596">
        <w:t>irrigation</w:t>
      </w:r>
      <w:r w:rsidR="002C7787">
        <w:t xml:space="preserve"> and</w:t>
      </w:r>
      <w:r w:rsidR="002C7787" w:rsidRPr="00AA016B">
        <w:t xml:space="preserve"> </w:t>
      </w:r>
      <w:r w:rsidR="00FC7CEA" w:rsidRPr="00AA016B">
        <w:t xml:space="preserve">services and will be expanded to the renewable energy sector. Based on interest from development partners such as </w:t>
      </w:r>
      <w:r w:rsidR="00632E5A">
        <w:t>DfID</w:t>
      </w:r>
      <w:r w:rsidR="00E50109" w:rsidRPr="00E70596">
        <w:t xml:space="preserve"> </w:t>
      </w:r>
      <w:r w:rsidR="00FC7CEA" w:rsidRPr="00AA016B">
        <w:t xml:space="preserve">and </w:t>
      </w:r>
      <w:r w:rsidR="00632E5A">
        <w:t xml:space="preserve">the Government of </w:t>
      </w:r>
      <w:r w:rsidR="00FC7CEA" w:rsidRPr="00AA016B">
        <w:t>Norway, UNDP will expand focus to accelerate growth of start-up companies, crowding-in impact investment for sustainable ente</w:t>
      </w:r>
      <w:r w:rsidR="00AB30D3" w:rsidRPr="00AA016B">
        <w:t>r</w:t>
      </w:r>
      <w:r w:rsidR="00FC7CEA" w:rsidRPr="00AA016B">
        <w:t xml:space="preserve">prise development and social enterprises, and scaling innovation (such as </w:t>
      </w:r>
      <w:r w:rsidR="00A95024" w:rsidRPr="00AA016B">
        <w:t>de-risking business growth</w:t>
      </w:r>
      <w:r w:rsidR="00FC7CEA" w:rsidRPr="00AA016B">
        <w:t xml:space="preserve"> for </w:t>
      </w:r>
      <w:r w:rsidR="00632E5A">
        <w:t>s</w:t>
      </w:r>
      <w:r w:rsidR="00752F6C" w:rsidRPr="00AA016B">
        <w:t>mall</w:t>
      </w:r>
      <w:r w:rsidR="00632E5A">
        <w:t>-</w:t>
      </w:r>
      <w:r w:rsidR="00752F6C" w:rsidRPr="00AA016B">
        <w:t xml:space="preserve"> to </w:t>
      </w:r>
      <w:r w:rsidR="00632E5A">
        <w:t>m</w:t>
      </w:r>
      <w:r w:rsidR="00632E5A" w:rsidRPr="00AA016B">
        <w:t>edium</w:t>
      </w:r>
      <w:r w:rsidR="00632E5A">
        <w:t>-sized</w:t>
      </w:r>
      <w:r w:rsidR="00632E5A" w:rsidRPr="00AA016B">
        <w:t xml:space="preserve"> </w:t>
      </w:r>
      <w:r w:rsidR="00632E5A">
        <w:t>e</w:t>
      </w:r>
      <w:r w:rsidR="00632E5A" w:rsidRPr="00AA016B">
        <w:t>nterprises</w:t>
      </w:r>
      <w:r w:rsidR="00FC7CEA" w:rsidRPr="00AA016B">
        <w:t xml:space="preserve">). </w:t>
      </w:r>
    </w:p>
    <w:p w14:paraId="2E4FD5B2" w14:textId="1BC0B36A" w:rsidR="00243F37" w:rsidRPr="0085135E"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rPr>
          <w:rFonts w:eastAsiaTheme="minorEastAsia"/>
          <w:lang w:eastAsia="en-ZA"/>
        </w:rPr>
      </w:pPr>
      <w:r w:rsidRPr="00AA016B">
        <w:t xml:space="preserve">Support will be aimed at creating jobs and promoting entrepreneurship through access to risk capital, business development services and business acceleration. Youth and women will be the primary targets as emerging innovators and positive disruptors for development.  </w:t>
      </w:r>
      <w:r w:rsidRPr="00E70596">
        <w:t xml:space="preserve">UNDP will continue to support the Ministry of Industry, Trade and Tourism and the Bureau of Standards, while increasing its focus on direct support </w:t>
      </w:r>
      <w:r w:rsidR="00752F6C" w:rsidRPr="00E70596">
        <w:t>for small</w:t>
      </w:r>
      <w:r w:rsidR="00632E5A">
        <w:t>-</w:t>
      </w:r>
      <w:r w:rsidR="00752F6C" w:rsidRPr="00E70596">
        <w:t xml:space="preserve"> to medium</w:t>
      </w:r>
      <w:r w:rsidR="00632E5A">
        <w:t>-sized</w:t>
      </w:r>
      <w:r w:rsidR="00752F6C" w:rsidRPr="00E70596">
        <w:t xml:space="preserve"> enterprises </w:t>
      </w:r>
      <w:r w:rsidRPr="00E70596">
        <w:t>to access</w:t>
      </w:r>
      <w:r w:rsidRPr="0085135E">
        <w:rPr>
          <w:color w:val="000000" w:themeColor="text1"/>
        </w:rPr>
        <w:t xml:space="preserve"> domestic and export markets by </w:t>
      </w:r>
      <w:r w:rsidRPr="0085135E">
        <w:rPr>
          <w:rFonts w:eastAsiaTheme="minorEastAsia"/>
          <w:lang w:eastAsia="en-ZA"/>
        </w:rPr>
        <w:t>improving</w:t>
      </w:r>
      <w:r w:rsidRPr="0085135E">
        <w:rPr>
          <w:color w:val="000000" w:themeColor="text1"/>
        </w:rPr>
        <w:t xml:space="preserve"> </w:t>
      </w:r>
      <w:r w:rsidRPr="0085135E">
        <w:rPr>
          <w:rFonts w:eastAsiaTheme="minorEastAsia"/>
          <w:lang w:eastAsia="en-ZA"/>
        </w:rPr>
        <w:t>adherence</w:t>
      </w:r>
      <w:r w:rsidRPr="0085135E">
        <w:rPr>
          <w:color w:val="000000" w:themeColor="text1"/>
        </w:rPr>
        <w:t xml:space="preserve"> to quality standards, opening opportunities for </w:t>
      </w:r>
      <w:r w:rsidRPr="00E70596">
        <w:t>employment</w:t>
      </w:r>
      <w:r w:rsidRPr="0085135E">
        <w:rPr>
          <w:color w:val="000000" w:themeColor="text1"/>
        </w:rPr>
        <w:t xml:space="preserve"> growth, economic diversification, innovation, higher productivity and competitiveness. </w:t>
      </w:r>
    </w:p>
    <w:p w14:paraId="2E4FD5B3" w14:textId="64320A1C" w:rsidR="00243F37" w:rsidRPr="00AA016B"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rPr>
          <w:rFonts w:eastAsiaTheme="minorEastAsia"/>
          <w:lang w:eastAsia="en-ZA"/>
        </w:rPr>
      </w:pPr>
      <w:r w:rsidRPr="00E70596">
        <w:t xml:space="preserve">UNDP will help close the energy gap by supporting </w:t>
      </w:r>
      <w:r w:rsidR="00632E5A">
        <w:t>s</w:t>
      </w:r>
      <w:r w:rsidR="00632E5A" w:rsidRPr="00E70596">
        <w:t xml:space="preserve">ustainable </w:t>
      </w:r>
      <w:r w:rsidR="00632E5A">
        <w:t>e</w:t>
      </w:r>
      <w:r w:rsidR="00632E5A" w:rsidRPr="00E70596">
        <w:t xml:space="preserve">nergy </w:t>
      </w:r>
      <w:r w:rsidRPr="00E70596">
        <w:t xml:space="preserve">for </w:t>
      </w:r>
      <w:r w:rsidR="00632E5A">
        <w:t>a</w:t>
      </w:r>
      <w:r w:rsidR="00632E5A" w:rsidRPr="00E70596">
        <w:t>ll</w:t>
      </w:r>
      <w:r w:rsidRPr="00E70596">
        <w:t xml:space="preserve">, complementing government efforts to create an enabling environment to accelerate renewable energy uptake, with a focus on clean energy mini-grids that deploy sustainable business models and strengthen social </w:t>
      </w:r>
      <w:r w:rsidRPr="00AA016B">
        <w:rPr>
          <w:rFonts w:eastAsiaTheme="minorEastAsia"/>
          <w:lang w:eastAsia="en-ZA"/>
        </w:rPr>
        <w:t>entrepreneurship</w:t>
      </w:r>
      <w:r w:rsidRPr="00E70596">
        <w:t>. Priorities will foc</w:t>
      </w:r>
      <w:r w:rsidR="00E50109" w:rsidRPr="00E70596">
        <w:t>us on: increasing clean energy</w:t>
      </w:r>
      <w:r w:rsidRPr="00E70596">
        <w:t xml:space="preserve"> for poor households </w:t>
      </w:r>
      <w:r w:rsidRPr="00E70596">
        <w:rPr>
          <w:lang w:eastAsia="fr-FR"/>
        </w:rPr>
        <w:t xml:space="preserve">that are </w:t>
      </w:r>
      <w:r w:rsidRPr="00E70596">
        <w:t xml:space="preserve">unlikely to be grid-connected over the next </w:t>
      </w:r>
      <w:r w:rsidR="00632E5A">
        <w:t xml:space="preserve">10 </w:t>
      </w:r>
      <w:r w:rsidRPr="00E70596">
        <w:t xml:space="preserve">years; promoting policy and market incentives for scaling up access to and uptake of renewable energy; through a joint </w:t>
      </w:r>
      <w:r w:rsidR="00752F6C" w:rsidRPr="00E70596">
        <w:t xml:space="preserve">United Nations </w:t>
      </w:r>
      <w:r w:rsidRPr="00E70596">
        <w:t xml:space="preserve">programme, scaling up sustainable business models for the application of solar </w:t>
      </w:r>
      <w:r w:rsidR="00632E5A">
        <w:t xml:space="preserve">energy </w:t>
      </w:r>
      <w:r w:rsidRPr="00E70596">
        <w:t xml:space="preserve">in </w:t>
      </w:r>
      <w:r w:rsidR="00632E5A">
        <w:t xml:space="preserve">the </w:t>
      </w:r>
      <w:r w:rsidRPr="00E70596">
        <w:t>health and education sector</w:t>
      </w:r>
      <w:r w:rsidR="00E50109" w:rsidRPr="00E70596">
        <w:t>s</w:t>
      </w:r>
      <w:r w:rsidRPr="00E70596">
        <w:t xml:space="preserve">, while building markets for private sector innovation; and </w:t>
      </w:r>
      <w:r w:rsidR="00632E5A" w:rsidRPr="00E70596">
        <w:t>facilitat</w:t>
      </w:r>
      <w:r w:rsidR="00632E5A">
        <w:t>ing</w:t>
      </w:r>
      <w:r w:rsidR="00632E5A" w:rsidRPr="00E70596">
        <w:t xml:space="preserve"> </w:t>
      </w:r>
      <w:r w:rsidRPr="00E70596">
        <w:t xml:space="preserve">a transition to renewable energy by the private sector through challenge funds modelled </w:t>
      </w:r>
      <w:r w:rsidR="00E50109" w:rsidRPr="00E70596">
        <w:t>on previous experience</w:t>
      </w:r>
      <w:r w:rsidRPr="00E70596">
        <w:t xml:space="preserve">.  Cooperation </w:t>
      </w:r>
      <w:r w:rsidR="00632E5A" w:rsidRPr="00E70596">
        <w:t xml:space="preserve">will be pursued </w:t>
      </w:r>
      <w:r w:rsidRPr="00E70596">
        <w:t xml:space="preserve">with </w:t>
      </w:r>
      <w:r w:rsidR="00632E5A">
        <w:t xml:space="preserve">the United Republic of </w:t>
      </w:r>
      <w:r w:rsidRPr="00E70596">
        <w:t>Tanzania as a regional leader on clean energy mini-grids.</w:t>
      </w:r>
    </w:p>
    <w:p w14:paraId="2E4FD5B4" w14:textId="2D9029C0" w:rsidR="00FC7CEA" w:rsidRPr="00AA016B" w:rsidRDefault="00FC7CEA" w:rsidP="002467B7">
      <w:pPr>
        <w:pStyle w:val="ListParagraph"/>
        <w:widowControl w:val="0"/>
        <w:numPr>
          <w:ilvl w:val="0"/>
          <w:numId w:val="5"/>
        </w:numPr>
        <w:shd w:val="clear" w:color="auto" w:fill="FFFFFF"/>
        <w:tabs>
          <w:tab w:val="left" w:pos="630"/>
          <w:tab w:val="left" w:pos="8550"/>
        </w:tabs>
        <w:adjustRightInd w:val="0"/>
        <w:spacing w:after="120"/>
        <w:ind w:right="940" w:hanging="7"/>
        <w:jc w:val="both"/>
        <w:textAlignment w:val="baseline"/>
        <w:rPr>
          <w:rFonts w:eastAsiaTheme="minorEastAsia"/>
          <w:lang w:eastAsia="en-ZA"/>
        </w:rPr>
      </w:pPr>
      <w:r w:rsidRPr="00E70596">
        <w:t xml:space="preserve">UNDP will deepen its analytics and responsible engagement with the private sector, including deploying its convening power to mobilize private capital for domestic investments to achieve the </w:t>
      </w:r>
      <w:r w:rsidR="00752F6C" w:rsidRPr="00E70596">
        <w:t>Sustainable Development Goals</w:t>
      </w:r>
      <w:r w:rsidRPr="00E70596">
        <w:t xml:space="preserve">. </w:t>
      </w:r>
      <w:r w:rsidRPr="00AA016B">
        <w:rPr>
          <w:rFonts w:eastAsiaTheme="minorEastAsia"/>
          <w:lang w:eastAsia="en-ZA"/>
        </w:rPr>
        <w:t>Achieving</w:t>
      </w:r>
      <w:r w:rsidRPr="00E70596">
        <w:t xml:space="preserve"> inclusive growth will be aided by cooperation with </w:t>
      </w:r>
      <w:r w:rsidR="00B0565B">
        <w:t>AfDB</w:t>
      </w:r>
      <w:r w:rsidRPr="00E70596">
        <w:t xml:space="preserve">, </w:t>
      </w:r>
      <w:r w:rsidR="00B0565B">
        <w:t>IFAD</w:t>
      </w:r>
      <w:r w:rsidRPr="00E70596">
        <w:t>, the World Bank</w:t>
      </w:r>
      <w:r w:rsidR="00B0565B">
        <w:t xml:space="preserve"> and</w:t>
      </w:r>
      <w:r w:rsidRPr="00E70596">
        <w:t xml:space="preserve"> </w:t>
      </w:r>
      <w:r w:rsidR="00752F6C" w:rsidRPr="00E70596">
        <w:t xml:space="preserve">United Nations </w:t>
      </w:r>
      <w:r w:rsidRPr="00E70596">
        <w:t>partners to cataly</w:t>
      </w:r>
      <w:r w:rsidR="000F26EF">
        <w:t>s</w:t>
      </w:r>
      <w:r w:rsidRPr="00E70596">
        <w:t xml:space="preserve">e private sector partnerships through blended finance and scaling up social entrepreneurship. </w:t>
      </w:r>
    </w:p>
    <w:p w14:paraId="2E4FD5B6" w14:textId="0C14B395" w:rsidR="00FC7CEA" w:rsidRPr="00E70596" w:rsidRDefault="00FC7CEA" w:rsidP="002467B7">
      <w:pPr>
        <w:tabs>
          <w:tab w:val="left" w:pos="8550"/>
        </w:tabs>
        <w:ind w:right="940" w:firstLine="360"/>
        <w:contextualSpacing/>
        <w:jc w:val="both"/>
        <w:rPr>
          <w:b/>
          <w:bCs/>
        </w:rPr>
      </w:pPr>
      <w:r w:rsidRPr="00E70596">
        <w:rPr>
          <w:rFonts w:eastAsiaTheme="minorEastAsia"/>
          <w:b/>
          <w:bCs/>
          <w:lang w:eastAsia="en-ZA"/>
        </w:rPr>
        <w:t>Scaling up climate adaptation and resilience to shocks</w:t>
      </w:r>
    </w:p>
    <w:p w14:paraId="2E4FD5B7" w14:textId="6A89085E" w:rsidR="00FC7CEA" w:rsidRPr="00E70596" w:rsidRDefault="00D61B82"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In line with the civic engagement and decentralization priorities described below, </w:t>
      </w:r>
      <w:r w:rsidR="00FC7CEA" w:rsidRPr="00E70596">
        <w:t xml:space="preserve">UNDP will focus on improving the integration of climate change adaptation into national, subnational and sector development plans, including accelerating adaptation investments based on community priorities, sustainable solutions to natural resources management and responsive local institutions. Leveraging engagement with the </w:t>
      </w:r>
      <w:r w:rsidR="00B0565B">
        <w:t>GEF</w:t>
      </w:r>
      <w:r w:rsidR="00752F6C" w:rsidRPr="00E70596">
        <w:t xml:space="preserve"> and Green Climate Fund</w:t>
      </w:r>
      <w:r w:rsidR="00FC7CEA" w:rsidRPr="00E70596">
        <w:t xml:space="preserve">, UNDP will assist in building national climate information and early warning systems to improve access to reliable and timely information to reduce disaster risk, inform livelihood decisions, strengthen shock-responsive social protection, and guide infrastructure and urban planning with the </w:t>
      </w:r>
      <w:r w:rsidR="00340893" w:rsidRPr="00AA016B">
        <w:t>United Nations Children’s Fund</w:t>
      </w:r>
      <w:r w:rsidR="00FC7CEA" w:rsidRPr="00E70596">
        <w:t>, W</w:t>
      </w:r>
      <w:r w:rsidR="00752F6C" w:rsidRPr="00E70596">
        <w:t xml:space="preserve">orld Food Programme </w:t>
      </w:r>
      <w:r w:rsidR="00FC7CEA" w:rsidRPr="00E70596">
        <w:t>and World Bank.</w:t>
      </w:r>
    </w:p>
    <w:p w14:paraId="2E4FD5B8" w14:textId="215AB86A" w:rsidR="00FC7CEA" w:rsidRPr="00E70596" w:rsidRDefault="00E50109"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W</w:t>
      </w:r>
      <w:r w:rsidR="00FC7CEA" w:rsidRPr="00E70596">
        <w:t xml:space="preserve">ith </w:t>
      </w:r>
      <w:r w:rsidR="00B0565B">
        <w:t xml:space="preserve">the </w:t>
      </w:r>
      <w:r w:rsidR="00FC7CEA" w:rsidRPr="00E70596">
        <w:t>Department</w:t>
      </w:r>
      <w:r w:rsidR="0026598D">
        <w:t>s</w:t>
      </w:r>
      <w:r w:rsidR="00FC7CEA" w:rsidRPr="00E70596">
        <w:t xml:space="preserve"> of Disaster Management Affairs,</w:t>
      </w:r>
      <w:r w:rsidR="00E57345">
        <w:t xml:space="preserve"> </w:t>
      </w:r>
      <w:r w:rsidR="00457CE1">
        <w:t xml:space="preserve">of </w:t>
      </w:r>
      <w:r w:rsidR="00FC7CEA" w:rsidRPr="00E70596">
        <w:t>Climate Change and Meteorological Services,</w:t>
      </w:r>
      <w:r w:rsidR="00E57345">
        <w:t xml:space="preserve"> </w:t>
      </w:r>
      <w:r w:rsidR="00457CE1">
        <w:t>of</w:t>
      </w:r>
      <w:r w:rsidR="00FC7CEA" w:rsidRPr="00E70596">
        <w:t xml:space="preserve"> Water Resources, </w:t>
      </w:r>
      <w:r w:rsidR="00457CE1">
        <w:t xml:space="preserve">of </w:t>
      </w:r>
      <w:r w:rsidR="00FC7CEA" w:rsidRPr="00E70596">
        <w:t xml:space="preserve">Fisheries, </w:t>
      </w:r>
      <w:r w:rsidR="00457CE1">
        <w:t>of</w:t>
      </w:r>
      <w:r w:rsidR="00732C11">
        <w:t xml:space="preserve"> </w:t>
      </w:r>
      <w:r w:rsidR="00FC7CEA" w:rsidRPr="00E70596">
        <w:t xml:space="preserve">Agriculture Extension Services, </w:t>
      </w:r>
      <w:r w:rsidR="0026598D">
        <w:t xml:space="preserve">the </w:t>
      </w:r>
      <w:r w:rsidR="00FC7CEA" w:rsidRPr="00E70596">
        <w:t>Ministry of Tr</w:t>
      </w:r>
      <w:r w:rsidR="007120BA" w:rsidRPr="00E70596">
        <w:t xml:space="preserve">ansportation and Public Works, </w:t>
      </w:r>
      <w:r w:rsidR="00DF74A0" w:rsidRPr="00E70596">
        <w:t>c</w:t>
      </w:r>
      <w:r w:rsidR="007120BA" w:rsidRPr="00E70596">
        <w:t xml:space="preserve">ity </w:t>
      </w:r>
      <w:r w:rsidR="00DF74A0" w:rsidRPr="00E70596">
        <w:t>a</w:t>
      </w:r>
      <w:r w:rsidR="00FC7CEA" w:rsidRPr="00E70596">
        <w:t xml:space="preserve">dministrations and </w:t>
      </w:r>
      <w:r w:rsidR="00DF74A0" w:rsidRPr="00E70596">
        <w:t>d</w:t>
      </w:r>
      <w:r w:rsidR="00FC7CEA" w:rsidRPr="00E70596">
        <w:t>istricts, priority will be extended to scaling-up disaster risk reduction and preparedness in urban and peri-urban areas, while strengthening household resilience to shocks through nature-based solutions such as watershed rehabilitation. UNDP will focus on</w:t>
      </w:r>
      <w:r w:rsidR="00732C11">
        <w:t xml:space="preserve"> women and </w:t>
      </w:r>
      <w:r w:rsidR="00FC7CEA" w:rsidRPr="00E70596">
        <w:t xml:space="preserve">vulnerable groups in post-disaster recovery by strengthening the capacity of </w:t>
      </w:r>
      <w:r w:rsidR="00732C11">
        <w:t xml:space="preserve">local </w:t>
      </w:r>
      <w:r w:rsidR="00FC7CEA" w:rsidRPr="00E70596">
        <w:t>government</w:t>
      </w:r>
      <w:r w:rsidR="00732C11">
        <w:t xml:space="preserve"> </w:t>
      </w:r>
      <w:r w:rsidR="00FC7CEA" w:rsidRPr="00E70596">
        <w:t>s</w:t>
      </w:r>
      <w:r w:rsidR="00732C11">
        <w:t>tructures</w:t>
      </w:r>
      <w:r w:rsidR="00FC7CEA" w:rsidRPr="00E70596">
        <w:t xml:space="preserve"> and communities</w:t>
      </w:r>
      <w:r w:rsidR="00732C11">
        <w:t xml:space="preserve"> for</w:t>
      </w:r>
      <w:r w:rsidR="00FC7CEA" w:rsidRPr="00E70596">
        <w:t xml:space="preserve"> disaster preparedness and risk reduction plans in </w:t>
      </w:r>
      <w:r w:rsidR="00E57345">
        <w:t xml:space="preserve">rural, </w:t>
      </w:r>
      <w:r w:rsidR="00FC7CEA" w:rsidRPr="00E70596">
        <w:t>urban and peri-urban areas.</w:t>
      </w:r>
    </w:p>
    <w:p w14:paraId="2E4FD5B9" w14:textId="07DEBC7C"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lastRenderedPageBreak/>
        <w:t xml:space="preserve">UNDP will leverage its investment in the biometric national identification cards to strengthen Malawi’s social registry and improve the capacity of the national statistical system to monitor the impact </w:t>
      </w:r>
      <w:r w:rsidR="0080539B">
        <w:t xml:space="preserve">of </w:t>
      </w:r>
      <w:r w:rsidRPr="00E70596">
        <w:t>resilience</w:t>
      </w:r>
      <w:r w:rsidR="0026598D">
        <w:t>-</w:t>
      </w:r>
      <w:r w:rsidRPr="00E70596">
        <w:t xml:space="preserve">building and related </w:t>
      </w:r>
      <w:r w:rsidR="0080539B" w:rsidRPr="00E70596">
        <w:t>programm</w:t>
      </w:r>
      <w:r w:rsidR="0080539B">
        <w:t>ing</w:t>
      </w:r>
      <w:r w:rsidR="0080539B" w:rsidRPr="00E70596">
        <w:t xml:space="preserve"> </w:t>
      </w:r>
      <w:r w:rsidRPr="00E70596">
        <w:t xml:space="preserve">on households. This focus will help </w:t>
      </w:r>
      <w:r w:rsidR="0080539B">
        <w:t xml:space="preserve">to remove </w:t>
      </w:r>
      <w:r w:rsidRPr="00E70596">
        <w:t>a data bottleneck</w:t>
      </w:r>
      <w:r w:rsidR="0080539B">
        <w:t>,</w:t>
      </w:r>
      <w:r w:rsidRPr="00E70596">
        <w:t xml:space="preserve"> enabling </w:t>
      </w:r>
      <w:r w:rsidR="0080539B" w:rsidRPr="00E70596">
        <w:t>accelerat</w:t>
      </w:r>
      <w:r w:rsidR="0080539B">
        <w:t>ed</w:t>
      </w:r>
      <w:r w:rsidR="0080539B" w:rsidRPr="00E70596">
        <w:t xml:space="preserve"> </w:t>
      </w:r>
      <w:r w:rsidRPr="00E70596">
        <w:t xml:space="preserve">implementation of the </w:t>
      </w:r>
      <w:r w:rsidR="00752F6C" w:rsidRPr="00E70596">
        <w:t>Sustainable Development Goals</w:t>
      </w:r>
      <w:r w:rsidRPr="00E70596">
        <w:t xml:space="preserve">. UNDP will prioritize collaboration with the Ministries of Finance, Economic Planning and Development, </w:t>
      </w:r>
      <w:r w:rsidR="00E57345">
        <w:t xml:space="preserve">of </w:t>
      </w:r>
      <w:r w:rsidRPr="00E70596">
        <w:t>Local Government and Rural Development, and the Department of Disaster Management Affairs. </w:t>
      </w:r>
    </w:p>
    <w:p w14:paraId="2E4FD5BA" w14:textId="72A0F95E"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after="120"/>
        <w:ind w:right="940" w:hanging="7"/>
        <w:jc w:val="both"/>
        <w:textAlignment w:val="baseline"/>
      </w:pPr>
      <w:r w:rsidRPr="00E70596">
        <w:t xml:space="preserve">UNDP will work to improve coordination </w:t>
      </w:r>
      <w:r w:rsidR="00B14423">
        <w:t>between</w:t>
      </w:r>
      <w:r w:rsidR="00B14423" w:rsidRPr="00E70596">
        <w:t xml:space="preserve"> </w:t>
      </w:r>
      <w:r w:rsidRPr="00E70596">
        <w:t xml:space="preserve">national actors including scaling up access to domestic and international sources of climate finance – such as local </w:t>
      </w:r>
      <w:r w:rsidR="0026598D">
        <w:t>“</w:t>
      </w:r>
      <w:r w:rsidRPr="00E70596">
        <w:t>gree</w:t>
      </w:r>
      <w:r w:rsidR="00AB30D3" w:rsidRPr="00E70596">
        <w:t>n</w:t>
      </w:r>
      <w:r w:rsidRPr="00E70596">
        <w:t xml:space="preserve"> </w:t>
      </w:r>
      <w:r w:rsidR="00B14423" w:rsidRPr="00E70596">
        <w:t>taxes</w:t>
      </w:r>
      <w:r w:rsidR="00B14423">
        <w:t>”</w:t>
      </w:r>
      <w:r w:rsidR="00B14423" w:rsidRPr="00E70596">
        <w:t xml:space="preserve"> </w:t>
      </w:r>
      <w:r w:rsidR="0026598D" w:rsidRPr="00E70596">
        <w:t>–</w:t>
      </w:r>
      <w:r w:rsidRPr="00E70596">
        <w:t xml:space="preserve"> to enable priority actions that accelerate Malawi’s transition to more risk-informed and climate-resilient development. Opportunities to leverage private sector know-how and resources for climate change mitigation and adaptation will be pursued. UNDP will strengthen South-South cooperation, including with China in disaster risk management and with Rwanda in climate change development funds. </w:t>
      </w:r>
    </w:p>
    <w:p w14:paraId="2E4FD5BE" w14:textId="742D366C" w:rsidR="00FC7CEA" w:rsidRPr="00E70596" w:rsidRDefault="00FC7CEA" w:rsidP="002467B7">
      <w:pPr>
        <w:tabs>
          <w:tab w:val="left" w:pos="8550"/>
        </w:tabs>
        <w:spacing w:after="120"/>
        <w:ind w:left="360" w:right="940" w:hanging="7"/>
        <w:contextualSpacing/>
        <w:jc w:val="both"/>
        <w:rPr>
          <w:rFonts w:eastAsiaTheme="minorEastAsia"/>
          <w:b/>
          <w:bCs/>
          <w:lang w:eastAsia="en-ZA"/>
        </w:rPr>
      </w:pPr>
      <w:r w:rsidRPr="00E70596">
        <w:rPr>
          <w:rFonts w:eastAsiaTheme="minorEastAsia"/>
          <w:b/>
          <w:bCs/>
          <w:lang w:eastAsia="en-ZA"/>
        </w:rPr>
        <w:t xml:space="preserve">Strengthening effective, accountable and inclusive governance that promotes civic engagement, respect for human rights, the rule of law, peace and </w:t>
      </w:r>
      <w:r w:rsidR="00574460" w:rsidRPr="00E70596">
        <w:rPr>
          <w:rFonts w:eastAsiaTheme="minorEastAsia"/>
          <w:b/>
          <w:bCs/>
          <w:lang w:eastAsia="en-ZA"/>
        </w:rPr>
        <w:t>democracy</w:t>
      </w:r>
      <w:r w:rsidRPr="00E70596">
        <w:rPr>
          <w:rFonts w:eastAsiaTheme="minorEastAsia"/>
          <w:b/>
          <w:bCs/>
          <w:lang w:eastAsia="en-ZA"/>
        </w:rPr>
        <w:t xml:space="preserve"> </w:t>
      </w:r>
    </w:p>
    <w:p w14:paraId="2E4FD5C0" w14:textId="177EEB20" w:rsidR="00FC7CEA" w:rsidRPr="00E70596" w:rsidRDefault="00B8789A" w:rsidP="002467B7">
      <w:pPr>
        <w:pStyle w:val="ListParagraph"/>
        <w:widowControl w:val="0"/>
        <w:numPr>
          <w:ilvl w:val="0"/>
          <w:numId w:val="5"/>
        </w:numPr>
        <w:shd w:val="clear" w:color="auto" w:fill="FFFFFF"/>
        <w:tabs>
          <w:tab w:val="left" w:pos="630"/>
          <w:tab w:val="left" w:pos="8550"/>
        </w:tabs>
        <w:adjustRightInd w:val="0"/>
        <w:ind w:right="940" w:hanging="7"/>
        <w:jc w:val="both"/>
        <w:textAlignment w:val="baseline"/>
      </w:pPr>
      <w:r w:rsidRPr="00E70596">
        <w:t xml:space="preserve">Drawing on its normative mandate </w:t>
      </w:r>
      <w:r w:rsidR="00E32C3D" w:rsidRPr="00E70596">
        <w:t xml:space="preserve">and work </w:t>
      </w:r>
      <w:r w:rsidRPr="00E70596">
        <w:t>on human rights</w:t>
      </w:r>
      <w:r w:rsidR="00E32C3D" w:rsidRPr="00E70596">
        <w:t xml:space="preserve"> in Malawi</w:t>
      </w:r>
      <w:r w:rsidRPr="00E70596">
        <w:t xml:space="preserve">, </w:t>
      </w:r>
      <w:r w:rsidR="00FC7CEA" w:rsidRPr="00E70596">
        <w:t xml:space="preserve">UNDP will strengthen technical capabilities of human rights institutions and coordination mechanisms at national and subnational levels. It will focus on the </w:t>
      </w:r>
      <w:r w:rsidR="00B14423" w:rsidRPr="00E70596">
        <w:t>harmoni</w:t>
      </w:r>
      <w:r w:rsidR="00B14423">
        <w:t>z</w:t>
      </w:r>
      <w:r w:rsidR="00B14423" w:rsidRPr="00E70596">
        <w:t>ation</w:t>
      </w:r>
      <w:r w:rsidR="00FC7CEA" w:rsidRPr="00E70596">
        <w:t xml:space="preserve">, implementation and enforcement of laws and policies in line with international standards. A joint </w:t>
      </w:r>
      <w:r w:rsidR="00752F6C" w:rsidRPr="00E70596">
        <w:t xml:space="preserve">United Nations </w:t>
      </w:r>
      <w:r w:rsidR="00FC7CEA" w:rsidRPr="00E70596">
        <w:t xml:space="preserve">programme on human rights will bring together the </w:t>
      </w:r>
      <w:r w:rsidR="00B14423">
        <w:t xml:space="preserve">Government’s </w:t>
      </w:r>
      <w:r w:rsidR="00FC7CEA" w:rsidRPr="00E70596">
        <w:t>Human Rights Commission, Ombudsman</w:t>
      </w:r>
      <w:r w:rsidR="00B14423">
        <w:t xml:space="preserve"> and </w:t>
      </w:r>
      <w:r w:rsidR="00FC7CEA" w:rsidRPr="00E70596">
        <w:t>Ministry of Justice</w:t>
      </w:r>
      <w:r w:rsidR="009D2F1A">
        <w:t xml:space="preserve"> and Constitutional Affairs</w:t>
      </w:r>
      <w:r w:rsidR="00FC7CEA" w:rsidRPr="00E70596">
        <w:t xml:space="preserve"> with civil society in a new approach to expand the space for dialogue, focusing on implementing the recommendations of </w:t>
      </w:r>
      <w:r w:rsidR="00752F6C" w:rsidRPr="00E70596">
        <w:t xml:space="preserve">United Nations </w:t>
      </w:r>
      <w:r w:rsidR="00B14423">
        <w:t>h</w:t>
      </w:r>
      <w:r w:rsidR="00B14423" w:rsidRPr="00E70596">
        <w:t xml:space="preserve">uman </w:t>
      </w:r>
      <w:r w:rsidR="00B14423">
        <w:t>r</w:t>
      </w:r>
      <w:r w:rsidR="00B14423" w:rsidRPr="00E70596">
        <w:t xml:space="preserve">ights </w:t>
      </w:r>
      <w:r w:rsidR="00B14423">
        <w:t>m</w:t>
      </w:r>
      <w:r w:rsidR="00B14423" w:rsidRPr="00E70596">
        <w:t xml:space="preserve">echanisms </w:t>
      </w:r>
      <w:r w:rsidR="00FC7CEA" w:rsidRPr="00E70596">
        <w:t xml:space="preserve">and advancing the rights of marginalized and vulnerable groups. UNDP will work to strengthen monitoring of public reporting on disability, enhancing generation, analysis and use of evidence. </w:t>
      </w:r>
    </w:p>
    <w:p w14:paraId="2E4FD5C1" w14:textId="715191F6" w:rsidR="00B67E07"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Through partnership with </w:t>
      </w:r>
      <w:r w:rsidR="00DF74A0" w:rsidRPr="00E70596">
        <w:t xml:space="preserve">the </w:t>
      </w:r>
      <w:r w:rsidR="00752F6C" w:rsidRPr="00E70596">
        <w:t>European Union</w:t>
      </w:r>
      <w:r w:rsidRPr="00E70596">
        <w:t>, Paralegal Advisory Services Institute and community-based organizations, UNDP</w:t>
      </w:r>
      <w:r w:rsidR="00423B19" w:rsidRPr="00E70596">
        <w:t xml:space="preserve"> will promote</w:t>
      </w:r>
      <w:r w:rsidRPr="00E70596">
        <w:t xml:space="preserve"> access to justice </w:t>
      </w:r>
      <w:r w:rsidR="00423B19" w:rsidRPr="00E70596">
        <w:t xml:space="preserve">that </w:t>
      </w:r>
      <w:r w:rsidRPr="00E70596">
        <w:t xml:space="preserve">will aim to achieve timely, effective and inclusive justice processes through provision of village mediation and paralegal services. These will reduce the number of people in detention, especially women and children, and the duration of incarceration and overcrowding of police cells and prisons, including </w:t>
      </w:r>
      <w:r w:rsidR="00B14423">
        <w:t xml:space="preserve">the </w:t>
      </w:r>
      <w:r w:rsidRPr="00E70596">
        <w:t>backlog of court cases.</w:t>
      </w:r>
      <w:r w:rsidR="00CF4B78">
        <w:t xml:space="preserve"> </w:t>
      </w:r>
      <w:r w:rsidRPr="00E70596">
        <w:t xml:space="preserve">Greater emphasis will be placed on strengthening </w:t>
      </w:r>
      <w:r w:rsidR="001C4768">
        <w:t xml:space="preserve">the </w:t>
      </w:r>
      <w:r w:rsidRPr="00E70596">
        <w:t xml:space="preserve">technical and financial capabilities of democratic governance institutions through implementation and enforcement of laws and policies to improve transparency and accountability, through the strengthened oversight institutions such as Parliament, Office of Ombudsman </w:t>
      </w:r>
      <w:r w:rsidR="00F84840" w:rsidRPr="00E70596">
        <w:t xml:space="preserve">and the </w:t>
      </w:r>
      <w:r w:rsidRPr="00E70596">
        <w:t>Anti-Corruption Bur</w:t>
      </w:r>
      <w:r w:rsidR="00E32C3D" w:rsidRPr="00E70596">
        <w:t>eau</w:t>
      </w:r>
      <w:r w:rsidRPr="00E70596">
        <w:t xml:space="preserve">. </w:t>
      </w:r>
    </w:p>
    <w:p w14:paraId="2E4FD5C2" w14:textId="745227FB" w:rsidR="003A2E02"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UNDP will promote civic engagement and participation in decision-making processes through increasing awareness of human rights as well as active, free and meaningful participation of marginalized groups, especially women, children, people with disabilities, </w:t>
      </w:r>
      <w:r w:rsidR="001C4768">
        <w:t xml:space="preserve">people with </w:t>
      </w:r>
      <w:r w:rsidRPr="00E70596">
        <w:t xml:space="preserve">albinism, </w:t>
      </w:r>
      <w:r w:rsidR="00340893" w:rsidRPr="00E70596">
        <w:t xml:space="preserve">people living with </w:t>
      </w:r>
      <w:r w:rsidR="001C4768">
        <w:t>HIV/AIDS</w:t>
      </w:r>
      <w:r w:rsidRPr="00E70596">
        <w:t xml:space="preserve"> and </w:t>
      </w:r>
      <w:r w:rsidR="009D2F1A">
        <w:t>LGBTI</w:t>
      </w:r>
      <w:r w:rsidR="001C4768">
        <w:t xml:space="preserve"> people</w:t>
      </w:r>
      <w:r w:rsidRPr="00E70596">
        <w:t xml:space="preserve">. To improve service delivery and public engagement in local development planning, budgeting and monitoring processes, a joint </w:t>
      </w:r>
      <w:r w:rsidR="00340893" w:rsidRPr="00E70596">
        <w:t xml:space="preserve">United Nations </w:t>
      </w:r>
      <w:r w:rsidRPr="00E70596">
        <w:t xml:space="preserve">programme on </w:t>
      </w:r>
      <w:r w:rsidR="001C4768">
        <w:t>d</w:t>
      </w:r>
      <w:r w:rsidRPr="00E70596">
        <w:t xml:space="preserve">ecentralization and </w:t>
      </w:r>
      <w:r w:rsidR="001C4768">
        <w:t>l</w:t>
      </w:r>
      <w:r w:rsidR="001C4768" w:rsidRPr="00E70596">
        <w:t xml:space="preserve">ocal </w:t>
      </w:r>
      <w:r w:rsidR="001C4768">
        <w:t>g</w:t>
      </w:r>
      <w:r w:rsidR="001C4768" w:rsidRPr="00E70596">
        <w:t xml:space="preserve">overnance </w:t>
      </w:r>
      <w:r w:rsidRPr="00E70596">
        <w:t xml:space="preserve">will support rolling out of sectoral devolution to strengthen local government systems and coordination structures and alignment of national and local development planning processes. </w:t>
      </w:r>
      <w:r w:rsidR="001C4768">
        <w:t>Special attention will be given to l</w:t>
      </w:r>
      <w:r w:rsidR="001C4768" w:rsidRPr="00E70596">
        <w:t>ocali</w:t>
      </w:r>
      <w:r w:rsidR="001C4768">
        <w:t>z</w:t>
      </w:r>
      <w:r w:rsidR="001C4768" w:rsidRPr="00E70596">
        <w:t xml:space="preserve">ation </w:t>
      </w:r>
      <w:r w:rsidRPr="00E70596">
        <w:t xml:space="preserve">of </w:t>
      </w:r>
      <w:r w:rsidR="001C4768">
        <w:t xml:space="preserve">the </w:t>
      </w:r>
      <w:r w:rsidR="00752F6C" w:rsidRPr="00E70596">
        <w:t>Sustainable Development Goals</w:t>
      </w:r>
      <w:r w:rsidRPr="00E70596">
        <w:t xml:space="preserve"> and support to develop </w:t>
      </w:r>
      <w:r w:rsidR="001C4768">
        <w:t xml:space="preserve">the </w:t>
      </w:r>
      <w:r w:rsidRPr="00E70596">
        <w:t xml:space="preserve">capabilities of subnational stakeholders </w:t>
      </w:r>
      <w:r w:rsidR="001C4768">
        <w:t>for</w:t>
      </w:r>
      <w:r w:rsidRPr="00E70596">
        <w:t xml:space="preserve"> implementation.  </w:t>
      </w:r>
    </w:p>
    <w:p w14:paraId="2E4FD5C3" w14:textId="57DE2279"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The programme will enhance collaboration at district level to reduce transaction costs and expand benefits from interventions focused on economic opportunities, climate adaptation and disaster risk reduction.</w:t>
      </w:r>
      <w:r w:rsidR="003A2E02">
        <w:t xml:space="preserve"> </w:t>
      </w:r>
      <w:r w:rsidRPr="00E70596">
        <w:t xml:space="preserve">UNDP will continue to support the Government in platforms to improve coordination of development assistance, </w:t>
      </w:r>
      <w:r w:rsidR="00E32C3D" w:rsidRPr="00E70596">
        <w:t xml:space="preserve">building on its expertise and experience in Malawi in this area, </w:t>
      </w:r>
      <w:r w:rsidRPr="00E70596">
        <w:t>while adopting new approaches to address shifts in the global development finance landscape, and build national capacity to mobilize diverse forms of development finance</w:t>
      </w:r>
      <w:r w:rsidR="001C4768">
        <w:t>,</w:t>
      </w:r>
      <w:r w:rsidRPr="00E70596">
        <w:t xml:space="preserve"> </w:t>
      </w:r>
      <w:r w:rsidR="00E32C3D" w:rsidRPr="00E70596">
        <w:t>based</w:t>
      </w:r>
      <w:r w:rsidRPr="00E70596">
        <w:t xml:space="preserve"> on Rwanda’s experience in developing a national climate change investment fund. An integrated programme of support to the National Planning Commission will assist in aligning planning and reporting frameworks with </w:t>
      </w:r>
      <w:r w:rsidR="001C4768">
        <w:t xml:space="preserve">the </w:t>
      </w:r>
      <w:r w:rsidR="00752F6C" w:rsidRPr="00E70596">
        <w:t>Sustainable Development Goals</w:t>
      </w:r>
      <w:r w:rsidRPr="00E70596">
        <w:t xml:space="preserve"> at national and local levels.</w:t>
      </w:r>
    </w:p>
    <w:p w14:paraId="2E4FD5C4" w14:textId="66B0268E"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lastRenderedPageBreak/>
        <w:t xml:space="preserve">UNDP will enhance coordination of support </w:t>
      </w:r>
      <w:r w:rsidR="001C4768">
        <w:t>to improve</w:t>
      </w:r>
      <w:r w:rsidR="001C4768" w:rsidRPr="00E70596">
        <w:t xml:space="preserve"> </w:t>
      </w:r>
      <w:r w:rsidRPr="00E70596">
        <w:t xml:space="preserve">data, collaborating with the </w:t>
      </w:r>
      <w:r w:rsidR="00340893" w:rsidRPr="00E70596">
        <w:t>National Planning Commission</w:t>
      </w:r>
      <w:r w:rsidRPr="00E70596">
        <w:t xml:space="preserve">, National Statistics Office </w:t>
      </w:r>
      <w:r w:rsidR="00F84840" w:rsidRPr="00E70596">
        <w:t>and others</w:t>
      </w:r>
      <w:r w:rsidR="00BD44B2" w:rsidRPr="00E70596">
        <w:t>.</w:t>
      </w:r>
      <w:r w:rsidRPr="00E70596">
        <w:t xml:space="preserve">  Leveraging its investment in the national roll-out of over 9 million </w:t>
      </w:r>
      <w:r w:rsidR="00340893" w:rsidRPr="00E70596">
        <w:t xml:space="preserve">identification </w:t>
      </w:r>
      <w:r w:rsidRPr="00E70596">
        <w:t xml:space="preserve">cards, UNDP, with </w:t>
      </w:r>
      <w:r w:rsidR="001C4768">
        <w:t xml:space="preserve">other </w:t>
      </w:r>
      <w:r w:rsidR="00340893" w:rsidRPr="00E70596">
        <w:t xml:space="preserve">United Nations </w:t>
      </w:r>
      <w:r w:rsidR="001C4768">
        <w:t>a</w:t>
      </w:r>
      <w:r w:rsidR="001C4768" w:rsidRPr="00E70596">
        <w:t>gencies</w:t>
      </w:r>
      <w:r w:rsidRPr="00E70596">
        <w:t>, will support the strengthening of the national data ecosystem to ensure the improved collection and use of quality disaggregated data for development planning and programming, enhancing capacity for evidence-based planning, beneficiary and service targeting and accountable administrative systems</w:t>
      </w:r>
      <w:r w:rsidR="00E32C3D" w:rsidRPr="00E70596">
        <w:t xml:space="preserve">, including </w:t>
      </w:r>
      <w:r w:rsidRPr="00E70596">
        <w:t>harmoni</w:t>
      </w:r>
      <w:r w:rsidR="00652268">
        <w:t>z</w:t>
      </w:r>
      <w:r w:rsidRPr="00E70596">
        <w:t xml:space="preserve">ation of collection systems at sectoral and district levels. UNDP will also continue to provide linkages and interfaces to other public and private sector systems to optimize the use of the </w:t>
      </w:r>
      <w:r w:rsidR="00340893" w:rsidRPr="00E70596">
        <w:t>identification cards</w:t>
      </w:r>
      <w:r w:rsidRPr="00E70596">
        <w:t xml:space="preserve">.  </w:t>
      </w:r>
    </w:p>
    <w:p w14:paraId="2E4FD5C5" w14:textId="5A985B6C"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200"/>
        <w:ind w:right="940" w:hanging="7"/>
        <w:jc w:val="both"/>
        <w:textAlignment w:val="baseline"/>
      </w:pPr>
      <w:r w:rsidRPr="00E70596">
        <w:t>To respond to political and economic exclusion driving tension and conflict, UNDP will support roll</w:t>
      </w:r>
      <w:r w:rsidR="0026598D">
        <w:t>-</w:t>
      </w:r>
      <w:r w:rsidRPr="00E70596">
        <w:t xml:space="preserve">out of the </w:t>
      </w:r>
      <w:r w:rsidR="00E57345">
        <w:t>n</w:t>
      </w:r>
      <w:r w:rsidRPr="00E70596">
        <w:t xml:space="preserve">ational </w:t>
      </w:r>
      <w:r w:rsidR="00E57345">
        <w:t>p</w:t>
      </w:r>
      <w:r w:rsidRPr="00E70596">
        <w:t xml:space="preserve">eace </w:t>
      </w:r>
      <w:r w:rsidR="00E57345">
        <w:t>a</w:t>
      </w:r>
      <w:r w:rsidRPr="00E70596">
        <w:t xml:space="preserve">rchitecture at </w:t>
      </w:r>
      <w:r w:rsidR="00652268">
        <w:t>n</w:t>
      </w:r>
      <w:r w:rsidR="00652268" w:rsidRPr="00E70596">
        <w:t xml:space="preserve">ational </w:t>
      </w:r>
      <w:r w:rsidRPr="00E70596">
        <w:t xml:space="preserve">and </w:t>
      </w:r>
      <w:r w:rsidR="00652268">
        <w:t>d</w:t>
      </w:r>
      <w:r w:rsidR="00652268" w:rsidRPr="00E70596">
        <w:t xml:space="preserve">istrict </w:t>
      </w:r>
      <w:r w:rsidRPr="00E70596">
        <w:t xml:space="preserve">levels, including developing early warning systems to identify triggers for conflict and building conflict resolution mechanisms. </w:t>
      </w:r>
      <w:r w:rsidR="00E32C3D" w:rsidRPr="00E70596">
        <w:t>I</w:t>
      </w:r>
      <w:r w:rsidRPr="00E70596">
        <w:t xml:space="preserve">nterventions will include establishment and </w:t>
      </w:r>
      <w:r w:rsidR="00652268" w:rsidRPr="00E70596">
        <w:t>capacity</w:t>
      </w:r>
      <w:r w:rsidR="00652268">
        <w:t>-</w:t>
      </w:r>
      <w:r w:rsidRPr="00E70596">
        <w:t xml:space="preserve">building </w:t>
      </w:r>
      <w:r w:rsidR="00652268">
        <w:t>of</w:t>
      </w:r>
      <w:r w:rsidR="00652268" w:rsidRPr="00E70596">
        <w:t xml:space="preserve"> </w:t>
      </w:r>
      <w:r w:rsidR="00652268">
        <w:t>d</w:t>
      </w:r>
      <w:r w:rsidR="00652268" w:rsidRPr="00E70596">
        <w:t xml:space="preserve">istrict </w:t>
      </w:r>
      <w:r w:rsidR="00652268">
        <w:t>p</w:t>
      </w:r>
      <w:r w:rsidR="00652268" w:rsidRPr="00E70596">
        <w:t xml:space="preserve">eace </w:t>
      </w:r>
      <w:r w:rsidR="00652268">
        <w:t>c</w:t>
      </w:r>
      <w:r w:rsidR="00652268" w:rsidRPr="00E70596">
        <w:t xml:space="preserve">ommittees </w:t>
      </w:r>
      <w:r w:rsidRPr="00E70596">
        <w:t xml:space="preserve">and </w:t>
      </w:r>
      <w:r w:rsidR="00652268">
        <w:t>m</w:t>
      </w:r>
      <w:r w:rsidR="00652268" w:rsidRPr="00E70596">
        <w:t>ulti</w:t>
      </w:r>
      <w:r w:rsidRPr="00E70596">
        <w:t>-</w:t>
      </w:r>
      <w:r w:rsidR="00652268">
        <w:t>p</w:t>
      </w:r>
      <w:r w:rsidR="00652268" w:rsidRPr="00E70596">
        <w:t xml:space="preserve">arty </w:t>
      </w:r>
      <w:r w:rsidR="00652268">
        <w:t>l</w:t>
      </w:r>
      <w:r w:rsidR="00652268" w:rsidRPr="00E70596">
        <w:t xml:space="preserve">iaison </w:t>
      </w:r>
      <w:r w:rsidR="00652268">
        <w:t>c</w:t>
      </w:r>
      <w:r w:rsidR="00652268" w:rsidRPr="00E70596">
        <w:t>ommittees</w:t>
      </w:r>
      <w:r w:rsidRPr="00E70596">
        <w:t>; facilitating national dialogues on contentious issues such as land and access to resources; building collaborative leadership and dialogue</w:t>
      </w:r>
      <w:r w:rsidR="00CF4B78">
        <w:t xml:space="preserve"> skills for political leaders; </w:t>
      </w:r>
      <w:r w:rsidR="00652268">
        <w:t xml:space="preserve">and </w:t>
      </w:r>
      <w:r w:rsidRPr="00E70596">
        <w:t xml:space="preserve">increasing </w:t>
      </w:r>
      <w:r w:rsidR="00652268">
        <w:t xml:space="preserve">the </w:t>
      </w:r>
      <w:r w:rsidRPr="00E70596">
        <w:t xml:space="preserve">participation </w:t>
      </w:r>
      <w:r w:rsidR="00652268" w:rsidRPr="00E70596">
        <w:t xml:space="preserve">women and youth </w:t>
      </w:r>
      <w:r w:rsidRPr="00E70596">
        <w:t xml:space="preserve">in peace and security. </w:t>
      </w:r>
      <w:r w:rsidR="00652268">
        <w:t>I</w:t>
      </w:r>
      <w:r w:rsidRPr="00E70596">
        <w:t xml:space="preserve">n collaboration with </w:t>
      </w:r>
      <w:r w:rsidR="00652268">
        <w:t xml:space="preserve">the </w:t>
      </w:r>
      <w:r w:rsidR="00340893" w:rsidRPr="00E70596">
        <w:t xml:space="preserve">United Nations </w:t>
      </w:r>
      <w:r w:rsidR="00652268">
        <w:t xml:space="preserve">Entity for Gender Equality and the Empowerment of </w:t>
      </w:r>
      <w:r w:rsidRPr="00E70596">
        <w:t xml:space="preserve">Women </w:t>
      </w:r>
      <w:r w:rsidR="00652268">
        <w:t xml:space="preserve">(UN-Women) </w:t>
      </w:r>
      <w:r w:rsidRPr="00E70596">
        <w:t xml:space="preserve">and </w:t>
      </w:r>
      <w:r w:rsidR="00652268">
        <w:t>d</w:t>
      </w:r>
      <w:r w:rsidR="00652268" w:rsidRPr="00E70596">
        <w:t xml:space="preserve">evelopment </w:t>
      </w:r>
      <w:r w:rsidR="00652268">
        <w:t>p</w:t>
      </w:r>
      <w:r w:rsidR="00652268" w:rsidRPr="00E70596">
        <w:t>artners</w:t>
      </w:r>
      <w:r w:rsidRPr="00E70596">
        <w:t xml:space="preserve">, </w:t>
      </w:r>
      <w:r w:rsidR="00652268">
        <w:t xml:space="preserve">UNDP </w:t>
      </w:r>
      <w:r w:rsidRPr="00E70596">
        <w:t xml:space="preserve">will establish an integrated programme of support to electoral stakeholders including the Malawi Electoral Commission to encourage multi-stakeholder consensus around the </w:t>
      </w:r>
      <w:r w:rsidR="00652268">
        <w:t>t</w:t>
      </w:r>
      <w:r w:rsidR="00652268" w:rsidRPr="00E70596">
        <w:t xml:space="preserve">ripartite </w:t>
      </w:r>
      <w:r w:rsidRPr="00E70596">
        <w:t xml:space="preserve">elections in 2019 and beyond, to ensure credible and peaceful processes. </w:t>
      </w:r>
      <w:r w:rsidR="001C088C" w:rsidRPr="00E70596">
        <w:t xml:space="preserve">It will include </w:t>
      </w:r>
      <w:r w:rsidRPr="00E70596">
        <w:t xml:space="preserve">improved operational practices and constructive engagement around civic and voter education, voter registration building on the </w:t>
      </w:r>
      <w:r w:rsidR="00652268">
        <w:t>n</w:t>
      </w:r>
      <w:r w:rsidR="00652268" w:rsidRPr="00E70596">
        <w:t xml:space="preserve">ational </w:t>
      </w:r>
      <w:r w:rsidR="00340893" w:rsidRPr="00E70596">
        <w:t>identification cards</w:t>
      </w:r>
      <w:r w:rsidRPr="00E70596">
        <w:t xml:space="preserve">, results management and electoral conflict management. UNDP will engage political parties to promote gender equality, </w:t>
      </w:r>
      <w:r w:rsidR="00652268">
        <w:t xml:space="preserve">for example through </w:t>
      </w:r>
      <w:r w:rsidRPr="00E70596">
        <w:t xml:space="preserve">review and implementation of party policies to ensure </w:t>
      </w:r>
      <w:r w:rsidR="00652268">
        <w:t xml:space="preserve">they include </w:t>
      </w:r>
      <w:r w:rsidRPr="00E70596">
        <w:t>gender equality and strengthen women’s political participation and empowerment.</w:t>
      </w:r>
    </w:p>
    <w:p w14:paraId="2E4FD5C7" w14:textId="2649B26A" w:rsidR="0063402B" w:rsidRPr="00E70596" w:rsidRDefault="002467B7" w:rsidP="002467B7">
      <w:pPr>
        <w:pStyle w:val="Heading1"/>
        <w:tabs>
          <w:tab w:val="left" w:pos="720"/>
        </w:tabs>
        <w:ind w:left="360" w:right="940" w:hanging="540"/>
        <w:rPr>
          <w:rFonts w:ascii="Times New Roman" w:eastAsia="Calibri" w:hAnsi="Times New Roman"/>
          <w:sz w:val="24"/>
        </w:rPr>
      </w:pPr>
      <w:r>
        <w:rPr>
          <w:rFonts w:ascii="Times New Roman" w:eastAsia="Calibri" w:hAnsi="Times New Roman"/>
          <w:sz w:val="24"/>
          <w:lang w:val="en-US"/>
        </w:rPr>
        <w:t>III.</w:t>
      </w:r>
      <w:r>
        <w:rPr>
          <w:rFonts w:ascii="Times New Roman" w:eastAsia="Calibri" w:hAnsi="Times New Roman"/>
          <w:sz w:val="24"/>
          <w:lang w:val="en-US"/>
        </w:rPr>
        <w:tab/>
      </w:r>
      <w:r w:rsidR="0063402B" w:rsidRPr="00E70596">
        <w:rPr>
          <w:rFonts w:ascii="Times New Roman" w:eastAsia="Calibri" w:hAnsi="Times New Roman"/>
          <w:sz w:val="24"/>
        </w:rPr>
        <w:t xml:space="preserve">Programme and </w:t>
      </w:r>
      <w:r w:rsidR="00462376" w:rsidRPr="00E70596">
        <w:rPr>
          <w:rFonts w:ascii="Times New Roman" w:eastAsia="Calibri" w:hAnsi="Times New Roman"/>
          <w:sz w:val="24"/>
        </w:rPr>
        <w:t>risk</w:t>
      </w:r>
      <w:r w:rsidR="00AC1BE7" w:rsidRPr="00E70596">
        <w:rPr>
          <w:rFonts w:ascii="Times New Roman" w:eastAsia="Calibri" w:hAnsi="Times New Roman"/>
          <w:sz w:val="24"/>
        </w:rPr>
        <w:t xml:space="preserve"> </w:t>
      </w:r>
      <w:r w:rsidR="00462376" w:rsidRPr="00E70596">
        <w:rPr>
          <w:rFonts w:ascii="Times New Roman" w:eastAsia="Calibri" w:hAnsi="Times New Roman"/>
          <w:sz w:val="24"/>
        </w:rPr>
        <w:t>management</w:t>
      </w:r>
      <w:r w:rsidR="0063402B" w:rsidRPr="00E70596">
        <w:rPr>
          <w:rFonts w:ascii="Times New Roman" w:eastAsia="Calibri" w:hAnsi="Times New Roman"/>
          <w:sz w:val="24"/>
        </w:rPr>
        <w:t xml:space="preserve"> </w:t>
      </w:r>
    </w:p>
    <w:p w14:paraId="2E4FD5C8" w14:textId="15CB048B"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The programme will be nationally executed; projects will use the most appropriate implementation modality to ensure an effective and efficient delivery of nationally owned, sustainable results. Support to </w:t>
      </w:r>
      <w:r w:rsidR="006243F0" w:rsidRPr="00E70596">
        <w:t>national implementation</w:t>
      </w:r>
      <w:r w:rsidRPr="00E70596">
        <w:t xml:space="preserve"> to address capacity gaps in national implementing partners and direct implementation will safeguard and ensure </w:t>
      </w:r>
      <w:r w:rsidR="00652268">
        <w:t xml:space="preserve">the </w:t>
      </w:r>
      <w:r w:rsidRPr="00E70596">
        <w:t xml:space="preserve">accountability </w:t>
      </w:r>
      <w:r w:rsidR="00652268">
        <w:t xml:space="preserve">of UNDP </w:t>
      </w:r>
      <w:r w:rsidRPr="00E70596">
        <w:t xml:space="preserve">in complex programming situations. </w:t>
      </w:r>
    </w:p>
    <w:p w14:paraId="2E4FD5C9" w14:textId="178EF0F2"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In accordance with Executive Board decision </w:t>
      </w:r>
      <w:r w:rsidR="00652268">
        <w:t>2013/9</w:t>
      </w:r>
      <w:r w:rsidRPr="00E70596">
        <w:t xml:space="preserve">, all direct project costs associated with implementation </w:t>
      </w:r>
      <w:r w:rsidR="00E14047" w:rsidRPr="00E70596">
        <w:t xml:space="preserve">will </w:t>
      </w:r>
      <w:r w:rsidRPr="00E70596">
        <w:t xml:space="preserve">be charged to </w:t>
      </w:r>
      <w:r w:rsidR="00652268">
        <w:t xml:space="preserve">the </w:t>
      </w:r>
      <w:r w:rsidRPr="00E70596">
        <w:t xml:space="preserve">concerned projects. </w:t>
      </w:r>
      <w:r w:rsidR="00652268">
        <w:t>T</w:t>
      </w:r>
      <w:r w:rsidRPr="00E70596">
        <w:t xml:space="preserve">he </w:t>
      </w:r>
      <w:r w:rsidR="00652268">
        <w:t>capacity of the c</w:t>
      </w:r>
      <w:r w:rsidR="00652268" w:rsidRPr="00E70596">
        <w:t xml:space="preserve">ountry </w:t>
      </w:r>
      <w:r w:rsidR="00652268">
        <w:t>o</w:t>
      </w:r>
      <w:r w:rsidR="00652268" w:rsidRPr="00E70596">
        <w:t xml:space="preserve">ffice </w:t>
      </w:r>
      <w:r w:rsidRPr="00E70596">
        <w:t xml:space="preserve">will be reviewed to </w:t>
      </w:r>
      <w:r w:rsidR="00652268">
        <w:t>ensure</w:t>
      </w:r>
      <w:r w:rsidRPr="00E70596">
        <w:t xml:space="preserve"> it is well positioned for effective implementation of the programme. The </w:t>
      </w:r>
      <w:r w:rsidR="00652268">
        <w:t>c</w:t>
      </w:r>
      <w:r w:rsidR="00652268" w:rsidRPr="00E70596">
        <w:t xml:space="preserve">ountry </w:t>
      </w:r>
      <w:r w:rsidR="00652268">
        <w:t>o</w:t>
      </w:r>
      <w:r w:rsidR="00652268" w:rsidRPr="00E70596">
        <w:t xml:space="preserve">ffice </w:t>
      </w:r>
      <w:r w:rsidRPr="00E70596">
        <w:t xml:space="preserve">will collaborate with the Regional Service Centre and </w:t>
      </w:r>
      <w:r w:rsidR="00652268">
        <w:t>h</w:t>
      </w:r>
      <w:r w:rsidR="00652268" w:rsidRPr="00E70596">
        <w:t xml:space="preserve">eadquarters </w:t>
      </w:r>
      <w:r w:rsidRPr="00E70596">
        <w:t>to provide technical and managerial assistance, where necessary. Four major sources of risk require mitigation strategies: (</w:t>
      </w:r>
      <w:r w:rsidR="00652268">
        <w:t>a</w:t>
      </w:r>
      <w:r w:rsidRPr="00E70596">
        <w:t>) security incidents and social tensions, particularly related</w:t>
      </w:r>
      <w:r w:rsidR="00652268">
        <w:t xml:space="preserve"> to </w:t>
      </w:r>
      <w:r w:rsidR="00652268" w:rsidRPr="00E70596">
        <w:t>land and election</w:t>
      </w:r>
      <w:r w:rsidR="00652268">
        <w:t>s</w:t>
      </w:r>
      <w:r w:rsidRPr="00E70596">
        <w:t>; (</w:t>
      </w:r>
      <w:r w:rsidR="00652268">
        <w:t>b</w:t>
      </w:r>
      <w:r w:rsidRPr="00E70596">
        <w:t>) climate impacts and shocks</w:t>
      </w:r>
      <w:r w:rsidR="00652268">
        <w:t xml:space="preserve"> (</w:t>
      </w:r>
      <w:r w:rsidRPr="00E70596">
        <w:t xml:space="preserve">flooding or </w:t>
      </w:r>
      <w:r w:rsidR="00AE70B1" w:rsidRPr="00E70596">
        <w:t>drought</w:t>
      </w:r>
      <w:r w:rsidR="00AE70B1">
        <w:t>)</w:t>
      </w:r>
      <w:r w:rsidRPr="00E70596">
        <w:t>; (</w:t>
      </w:r>
      <w:r w:rsidR="00AE70B1">
        <w:t>c</w:t>
      </w:r>
      <w:r w:rsidRPr="00E70596">
        <w:t>) limited reform incentives, implementation and financial management capacity at district and sub</w:t>
      </w:r>
      <w:r w:rsidR="00025961">
        <w:t>-</w:t>
      </w:r>
      <w:r w:rsidRPr="00E70596">
        <w:t>district levels</w:t>
      </w:r>
      <w:r w:rsidR="00AE70B1">
        <w:t>;</w:t>
      </w:r>
      <w:r w:rsidR="00FB7E62" w:rsidRPr="00E70596">
        <w:t xml:space="preserve"> and </w:t>
      </w:r>
      <w:r w:rsidR="00970CF3" w:rsidRPr="00E70596">
        <w:t>(</w:t>
      </w:r>
      <w:r w:rsidR="00AE70B1">
        <w:t>d</w:t>
      </w:r>
      <w:r w:rsidR="00FB7E62" w:rsidRPr="00E70596">
        <w:t xml:space="preserve">) inability to mobilize resources from </w:t>
      </w:r>
      <w:r w:rsidR="00E52AF3" w:rsidRPr="00E70596">
        <w:t xml:space="preserve">key </w:t>
      </w:r>
      <w:r w:rsidR="00FB7E62" w:rsidRPr="00E70596">
        <w:t>donors</w:t>
      </w:r>
      <w:r w:rsidRPr="00E70596">
        <w:t xml:space="preserve">. </w:t>
      </w:r>
      <w:r w:rsidR="00FB7E62" w:rsidRPr="00E70596">
        <w:t xml:space="preserve"> </w:t>
      </w:r>
    </w:p>
    <w:p w14:paraId="2E4FD5CA" w14:textId="7D9F1688" w:rsidR="006A3607"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Security risks will be mitigated </w:t>
      </w:r>
      <w:r w:rsidR="00AE70B1">
        <w:t>through</w:t>
      </w:r>
      <w:r w:rsidRPr="00E70596">
        <w:t xml:space="preserve"> close collaboration with </w:t>
      </w:r>
      <w:r w:rsidR="00AE70B1">
        <w:t xml:space="preserve">the </w:t>
      </w:r>
      <w:r w:rsidR="006243F0" w:rsidRPr="00E70596">
        <w:t xml:space="preserve">United Nations Department of Safety and Security </w:t>
      </w:r>
      <w:r w:rsidRPr="00E70596">
        <w:t xml:space="preserve">and ongoing support to peacebuilding and social cohesion. Capacity risks will be mitigated by implementing a plan to reinforce </w:t>
      </w:r>
      <w:r w:rsidR="00AE70B1">
        <w:t xml:space="preserve">the capacities of </w:t>
      </w:r>
      <w:r w:rsidRPr="00E70596">
        <w:t xml:space="preserve">national partner in financial, project and procurement management, </w:t>
      </w:r>
      <w:r w:rsidR="00211C53" w:rsidRPr="00E70596">
        <w:t xml:space="preserve">in collaboration with other </w:t>
      </w:r>
      <w:r w:rsidR="006243F0" w:rsidRPr="00E70596">
        <w:t xml:space="preserve">United Nations </w:t>
      </w:r>
      <w:r w:rsidR="006D43BE">
        <w:t>a</w:t>
      </w:r>
      <w:r w:rsidR="006D43BE" w:rsidRPr="00E70596">
        <w:t xml:space="preserve">gencies </w:t>
      </w:r>
      <w:r w:rsidRPr="00E70596">
        <w:t xml:space="preserve">implementing the </w:t>
      </w:r>
      <w:r w:rsidR="006D43BE">
        <w:t>h</w:t>
      </w:r>
      <w:r w:rsidR="006D43BE" w:rsidRPr="00E70596">
        <w:t xml:space="preserve">armonized </w:t>
      </w:r>
      <w:r w:rsidR="006D43BE">
        <w:t>a</w:t>
      </w:r>
      <w:r w:rsidR="006D43BE" w:rsidRPr="00E70596">
        <w:t xml:space="preserve">pproach </w:t>
      </w:r>
      <w:r w:rsidR="006243F0" w:rsidRPr="00E70596">
        <w:t xml:space="preserve">to </w:t>
      </w:r>
      <w:r w:rsidR="006D43BE">
        <w:t>c</w:t>
      </w:r>
      <w:r w:rsidR="006D43BE" w:rsidRPr="00E70596">
        <w:t xml:space="preserve">ash </w:t>
      </w:r>
      <w:r w:rsidR="006D43BE">
        <w:t>t</w:t>
      </w:r>
      <w:r w:rsidR="006243F0" w:rsidRPr="00E70596">
        <w:t>ransfers</w:t>
      </w:r>
      <w:r w:rsidRPr="00E70596">
        <w:t xml:space="preserve">. </w:t>
      </w:r>
      <w:r w:rsidR="00574460" w:rsidRPr="00E70596">
        <w:t>C</w:t>
      </w:r>
      <w:r w:rsidR="00E52AF3" w:rsidRPr="00E70596">
        <w:t xml:space="preserve">limate change </w:t>
      </w:r>
      <w:r w:rsidR="00574460" w:rsidRPr="00E70596">
        <w:t xml:space="preserve">risks </w:t>
      </w:r>
      <w:r w:rsidR="00E52AF3" w:rsidRPr="00E70596">
        <w:t>will be mitigated by ensuring comprehensive disaster contingency plans in collaboration with other U</w:t>
      </w:r>
      <w:r w:rsidR="006D43BE">
        <w:t xml:space="preserve">nited </w:t>
      </w:r>
      <w:r w:rsidR="00E52AF3" w:rsidRPr="00E70596">
        <w:t>N</w:t>
      </w:r>
      <w:r w:rsidR="006D43BE">
        <w:t>ations</w:t>
      </w:r>
      <w:r w:rsidR="00E52AF3" w:rsidRPr="00E70596">
        <w:t xml:space="preserve"> </w:t>
      </w:r>
      <w:r w:rsidR="006D43BE">
        <w:t>a</w:t>
      </w:r>
      <w:r w:rsidR="006D43BE" w:rsidRPr="00E70596">
        <w:t>gencies</w:t>
      </w:r>
      <w:r w:rsidR="00E52AF3" w:rsidRPr="00E70596">
        <w:t xml:space="preserve">.  </w:t>
      </w:r>
      <w:r w:rsidR="00574460" w:rsidRPr="00E70596">
        <w:t>Finally, the resource mobilization strategy will be strengthened through enhanced communication and donor visibility, targeting also non-traditional donors, and leveraging capacities of the UNDP Regional Service Centre.</w:t>
      </w:r>
      <w:r w:rsidR="00972F9B" w:rsidRPr="00E70596">
        <w:t xml:space="preserve"> </w:t>
      </w:r>
      <w:r w:rsidR="00010300" w:rsidRPr="00E70596">
        <w:t xml:space="preserve"> </w:t>
      </w:r>
    </w:p>
    <w:p w14:paraId="2E4FD5CB" w14:textId="14621138" w:rsidR="00FC7CEA" w:rsidRPr="00E70596" w:rsidRDefault="001C088C"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I</w:t>
      </w:r>
      <w:r w:rsidR="00972F9B" w:rsidRPr="00E70596">
        <w:t>nterventions</w:t>
      </w:r>
      <w:r w:rsidRPr="00E70596">
        <w:t xml:space="preserve"> will be scaled up or down depending on </w:t>
      </w:r>
      <w:r w:rsidR="006D43BE">
        <w:t xml:space="preserve">the availability of </w:t>
      </w:r>
      <w:r w:rsidRPr="00E70596">
        <w:t>resource</w:t>
      </w:r>
      <w:r w:rsidR="006D43BE">
        <w:t>s</w:t>
      </w:r>
      <w:r w:rsidRPr="00E70596">
        <w:t>. A</w:t>
      </w:r>
      <w:r w:rsidR="001E1A39" w:rsidRPr="00E70596">
        <w:t xml:space="preserve"> crisis </w:t>
      </w:r>
      <w:r w:rsidR="001E1A39" w:rsidRPr="00E70596">
        <w:lastRenderedPageBreak/>
        <w:t xml:space="preserve">modifier approach </w:t>
      </w:r>
      <w:r w:rsidRPr="00E70596">
        <w:t xml:space="preserve">will be considered to </w:t>
      </w:r>
      <w:r w:rsidR="001E1A39" w:rsidRPr="00E70596">
        <w:t xml:space="preserve">instill flexibility and rapid response </w:t>
      </w:r>
      <w:r w:rsidRPr="00E70596">
        <w:t xml:space="preserve">in case of </w:t>
      </w:r>
      <w:r w:rsidR="001E1A39" w:rsidRPr="00E70596">
        <w:t>need.</w:t>
      </w:r>
      <w:r w:rsidR="00574460" w:rsidRPr="00E70596">
        <w:t xml:space="preserve"> Risk mitigation plans will be developed during preparation of programmes/projects, in collaboration with national stakeholders.  </w:t>
      </w:r>
      <w:r w:rsidR="00FC7CEA" w:rsidRPr="00E70596">
        <w:t xml:space="preserve">Accelerated procedures can be adopted to provide a rapid response to crisis situations and respond effectively to new requests for UNDP support.  The </w:t>
      </w:r>
      <w:r w:rsidR="006D43BE">
        <w:t>c</w:t>
      </w:r>
      <w:r w:rsidR="006D43BE" w:rsidRPr="00E70596">
        <w:t xml:space="preserve">ountry </w:t>
      </w:r>
      <w:r w:rsidR="006D43BE">
        <w:t>o</w:t>
      </w:r>
      <w:r w:rsidR="006D43BE" w:rsidRPr="00E70596">
        <w:t xml:space="preserve">ffice </w:t>
      </w:r>
      <w:r w:rsidR="00FC7CEA" w:rsidRPr="00E70596">
        <w:t xml:space="preserve">will invoke the </w:t>
      </w:r>
      <w:r w:rsidR="006D43BE">
        <w:t>b</w:t>
      </w:r>
      <w:r w:rsidR="006D43BE" w:rsidRPr="00E70596">
        <w:t xml:space="preserve">usiness </w:t>
      </w:r>
      <w:r w:rsidR="006D43BE">
        <w:t>c</w:t>
      </w:r>
      <w:r w:rsidR="006D43BE" w:rsidRPr="00E70596">
        <w:t xml:space="preserve">ontinuity </w:t>
      </w:r>
      <w:r w:rsidR="006D43BE">
        <w:t>p</w:t>
      </w:r>
      <w:r w:rsidR="006D43BE" w:rsidRPr="00E70596">
        <w:t xml:space="preserve">lan </w:t>
      </w:r>
      <w:r w:rsidR="00FC7CEA" w:rsidRPr="00E70596">
        <w:t xml:space="preserve">in case of crisis affecting its normal operations. </w:t>
      </w:r>
    </w:p>
    <w:p w14:paraId="2E4FD5CC" w14:textId="05AC3A74"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200"/>
        <w:ind w:right="940" w:hanging="7"/>
        <w:jc w:val="both"/>
        <w:textAlignment w:val="baseline"/>
      </w:pPr>
      <w:r w:rsidRPr="00E70596">
        <w:t xml:space="preserve">This country programme document outlines </w:t>
      </w:r>
      <w:r w:rsidR="006D43BE">
        <w:t xml:space="preserve">the </w:t>
      </w:r>
      <w:r w:rsidRPr="00E70596">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Programme and Operations Policies and Procedures and the </w:t>
      </w:r>
      <w:r w:rsidR="006D43BE">
        <w:t>i</w:t>
      </w:r>
      <w:r w:rsidR="006D43BE" w:rsidRPr="00E70596">
        <w:t xml:space="preserve">nternal </w:t>
      </w:r>
      <w:r w:rsidR="006D43BE">
        <w:t>c</w:t>
      </w:r>
      <w:r w:rsidR="006D43BE" w:rsidRPr="00E70596">
        <w:t xml:space="preserve">ontrols </w:t>
      </w:r>
      <w:r w:rsidR="006D43BE">
        <w:t>f</w:t>
      </w:r>
      <w:r w:rsidR="006D43BE" w:rsidRPr="00E70596">
        <w:t>ramework</w:t>
      </w:r>
      <w:r w:rsidRPr="00E70596">
        <w:t xml:space="preserve">. </w:t>
      </w:r>
    </w:p>
    <w:p w14:paraId="2E4FD5CE" w14:textId="1E77FA6B" w:rsidR="00701B6B" w:rsidRPr="00E70596" w:rsidRDefault="002467B7" w:rsidP="002467B7">
      <w:pPr>
        <w:pStyle w:val="Heading1"/>
        <w:tabs>
          <w:tab w:val="left" w:pos="720"/>
          <w:tab w:val="left" w:pos="8370"/>
        </w:tabs>
        <w:ind w:left="360" w:right="940" w:hanging="540"/>
        <w:rPr>
          <w:rFonts w:ascii="Times New Roman" w:eastAsia="Calibri" w:hAnsi="Times New Roman"/>
          <w:sz w:val="24"/>
        </w:rPr>
      </w:pPr>
      <w:r>
        <w:rPr>
          <w:rFonts w:ascii="Times New Roman" w:eastAsia="Calibri" w:hAnsi="Times New Roman"/>
          <w:sz w:val="24"/>
          <w:lang w:val="en-US"/>
        </w:rPr>
        <w:t>IV.</w:t>
      </w:r>
      <w:r>
        <w:rPr>
          <w:rFonts w:ascii="Times New Roman" w:eastAsia="Calibri" w:hAnsi="Times New Roman"/>
          <w:sz w:val="24"/>
          <w:lang w:val="en-US"/>
        </w:rPr>
        <w:tab/>
      </w:r>
      <w:r w:rsidR="001D42D1" w:rsidRPr="00E70596">
        <w:rPr>
          <w:rFonts w:ascii="Times New Roman" w:eastAsia="Calibri" w:hAnsi="Times New Roman"/>
          <w:sz w:val="24"/>
        </w:rPr>
        <w:t xml:space="preserve">Monitoring and </w:t>
      </w:r>
      <w:r>
        <w:rPr>
          <w:rFonts w:ascii="Times New Roman" w:eastAsia="Calibri" w:hAnsi="Times New Roman"/>
          <w:sz w:val="24"/>
          <w:lang w:val="en-US"/>
        </w:rPr>
        <w:t>e</w:t>
      </w:r>
      <w:r w:rsidR="001B3F87" w:rsidRPr="00E70596">
        <w:rPr>
          <w:rFonts w:ascii="Times New Roman" w:eastAsia="Calibri" w:hAnsi="Times New Roman"/>
          <w:sz w:val="24"/>
        </w:rPr>
        <w:t>valuation</w:t>
      </w:r>
    </w:p>
    <w:p w14:paraId="2E4FD5CF" w14:textId="6BBB1F72"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Well-articulated results frameworks will be key to effective monitoring and evaluation initiatives under the country programme. UNDP will ensure that the programme’s results framework is aligned with national priorities</w:t>
      </w:r>
      <w:r w:rsidR="001B0875">
        <w:t xml:space="preserve"> as outlined in the </w:t>
      </w:r>
      <w:r w:rsidR="001B0875" w:rsidRPr="00E70596">
        <w:t>Malawi Growth and Development Strategy</w:t>
      </w:r>
      <w:r w:rsidR="001B0875" w:rsidRPr="00E70596">
        <w:rPr>
          <w:lang w:eastAsia="fr-FR"/>
        </w:rPr>
        <w:t xml:space="preserve"> </w:t>
      </w:r>
      <w:r w:rsidR="001B0875" w:rsidRPr="00E70596">
        <w:t>2017-2022</w:t>
      </w:r>
      <w:r w:rsidR="001B0875">
        <w:t xml:space="preserve"> and the UNDAF,</w:t>
      </w:r>
      <w:r w:rsidRPr="00E70596">
        <w:t xml:space="preserve"> </w:t>
      </w:r>
      <w:r w:rsidR="001B0875">
        <w:t xml:space="preserve">as well as with the </w:t>
      </w:r>
      <w:r w:rsidR="001B0875" w:rsidRPr="00E70596">
        <w:t>UNDP Strategic Plan</w:t>
      </w:r>
      <w:r w:rsidR="001B0875">
        <w:t>, 2018-2021,</w:t>
      </w:r>
      <w:r w:rsidR="001B0875" w:rsidRPr="00E70596">
        <w:t xml:space="preserve"> </w:t>
      </w:r>
      <w:r w:rsidR="001B0875">
        <w:t xml:space="preserve">the </w:t>
      </w:r>
      <w:r w:rsidR="00752F6C" w:rsidRPr="00E70596">
        <w:t>Sustainable Development Goals</w:t>
      </w:r>
      <w:r w:rsidR="00F84840" w:rsidRPr="00E70596">
        <w:t xml:space="preserve"> </w:t>
      </w:r>
      <w:r w:rsidRPr="00E70596">
        <w:t xml:space="preserve">and other international and national commitments. Given </w:t>
      </w:r>
      <w:r w:rsidR="001B0875">
        <w:t xml:space="preserve">the </w:t>
      </w:r>
      <w:r w:rsidRPr="00E70596">
        <w:t xml:space="preserve">lessons </w:t>
      </w:r>
      <w:r w:rsidR="001B0875">
        <w:t xml:space="preserve">learned </w:t>
      </w:r>
      <w:r w:rsidRPr="00E70596">
        <w:t xml:space="preserve">from the </w:t>
      </w:r>
      <w:r w:rsidR="001B0875">
        <w:t>evaluation of the previous c</w:t>
      </w:r>
      <w:r w:rsidRPr="00E70596">
        <w:t xml:space="preserve">ountry </w:t>
      </w:r>
      <w:r w:rsidR="001B0875">
        <w:t>p</w:t>
      </w:r>
      <w:r w:rsidR="001B0875" w:rsidRPr="00E70596">
        <w:t>rogramme</w:t>
      </w:r>
      <w:r w:rsidRPr="00E70596">
        <w:t xml:space="preserve">, UNDP will pay special attention to maintaining an appropriate number of indicators that can be tracked and provide a clear picture of expected change at the outcome level. </w:t>
      </w:r>
    </w:p>
    <w:p w14:paraId="2E4FD5D0" w14:textId="3BA14E9D"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As far as possible, UNDP will use the national information and data systems to monitor its contribution to national results, including surveys and censuses conducted by the National Statistical Office. Where appropriate, data generated by international agencies will be used to monitor progress. UNDP will contribute to strengthening of existing data and information systems, including improving data quality, analysis and use to provide a foundation for </w:t>
      </w:r>
      <w:r w:rsidR="00752F6C" w:rsidRPr="00E70596">
        <w:t xml:space="preserve">programme </w:t>
      </w:r>
      <w:r w:rsidR="00D72C25">
        <w:t xml:space="preserve">monitoring. </w:t>
      </w:r>
      <w:r w:rsidRPr="00E70596">
        <w:t>In this regard, UNDP will work towards ensuring interoperability of existing data systems and advocate for increased use of data for evidence-</w:t>
      </w:r>
      <w:r w:rsidR="00211C53" w:rsidRPr="00E70596">
        <w:t>informed</w:t>
      </w:r>
      <w:r w:rsidRPr="00E70596">
        <w:t xml:space="preserve"> policymaking and monitoring of development results. A joint </w:t>
      </w:r>
      <w:r w:rsidR="00B13677" w:rsidRPr="00E70596">
        <w:t xml:space="preserve">United Nations </w:t>
      </w:r>
      <w:r w:rsidRPr="00E70596">
        <w:t xml:space="preserve">programme will support a robust data ecosystem through coordination of the national statistical system to reduce fragmentation.  </w:t>
      </w:r>
    </w:p>
    <w:p w14:paraId="2E4FD5D1" w14:textId="142B5738"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Collection and analysis of disaggregated data by sex, location, age, disability and socioeconomic status is essential to aid programming </w:t>
      </w:r>
      <w:r w:rsidR="00211C53" w:rsidRPr="00E70596">
        <w:t>anchored</w:t>
      </w:r>
      <w:r w:rsidRPr="00E70596">
        <w:t xml:space="preserve"> on </w:t>
      </w:r>
      <w:r w:rsidR="00B13677">
        <w:t>“</w:t>
      </w:r>
      <w:r w:rsidRPr="00E70596">
        <w:t>leaving no one behind</w:t>
      </w:r>
      <w:r w:rsidR="00B13677">
        <w:t>”</w:t>
      </w:r>
      <w:r w:rsidRPr="00E70596">
        <w:t xml:space="preserve">. UNDP will collaborate with research institutions, civil society, local and global think tanks in analyzing socioeconomic data to provide evidence on trends on vulnerabilities, poverty, income and gender inequalities. UNDP will liaise with the </w:t>
      </w:r>
      <w:r w:rsidR="00B13677">
        <w:t>United Nations O</w:t>
      </w:r>
      <w:r w:rsidR="00B13677" w:rsidRPr="00E70596">
        <w:t xml:space="preserve">ffice </w:t>
      </w:r>
      <w:r w:rsidR="00B13677">
        <w:t>for</w:t>
      </w:r>
      <w:r w:rsidR="00B13677" w:rsidRPr="00E70596">
        <w:t xml:space="preserve"> </w:t>
      </w:r>
      <w:r w:rsidRPr="00E70596">
        <w:t xml:space="preserve">South-South Cooperation to access available resources, knowledge, experiences and opportunities from regional and global sources for addressing challenges </w:t>
      </w:r>
      <w:r w:rsidR="00B13677" w:rsidRPr="00E70596">
        <w:t>o</w:t>
      </w:r>
      <w:r w:rsidR="00B13677">
        <w:t>f</w:t>
      </w:r>
      <w:r w:rsidR="00B13677" w:rsidRPr="00E70596">
        <w:t xml:space="preserve"> </w:t>
      </w:r>
      <w:r w:rsidRPr="00E70596">
        <w:t>marginalized groups.</w:t>
      </w:r>
    </w:p>
    <w:p w14:paraId="2E4FD5D2" w14:textId="2ECB8AAF" w:rsidR="00FC7CEA" w:rsidRPr="00E70596" w:rsidRDefault="00FC7CEA" w:rsidP="002467B7">
      <w:pPr>
        <w:pStyle w:val="ListParagraph"/>
        <w:widowControl w:val="0"/>
        <w:numPr>
          <w:ilvl w:val="0"/>
          <w:numId w:val="5"/>
        </w:numPr>
        <w:shd w:val="clear" w:color="auto" w:fill="FFFFFF"/>
        <w:tabs>
          <w:tab w:val="left" w:pos="630"/>
          <w:tab w:val="left" w:pos="8550"/>
        </w:tabs>
        <w:adjustRightInd w:val="0"/>
        <w:spacing w:before="120" w:after="120"/>
        <w:ind w:right="940" w:hanging="7"/>
        <w:jc w:val="both"/>
        <w:textAlignment w:val="baseline"/>
      </w:pPr>
      <w:r w:rsidRPr="00E70596">
        <w:t xml:space="preserve">Evaluations and monitoring of the </w:t>
      </w:r>
      <w:r w:rsidR="00B13677">
        <w:t>c</w:t>
      </w:r>
      <w:r w:rsidR="00B13677" w:rsidRPr="00E70596">
        <w:t xml:space="preserve">ountry </w:t>
      </w:r>
      <w:r w:rsidR="00B13677">
        <w:t>p</w:t>
      </w:r>
      <w:r w:rsidR="00B13677" w:rsidRPr="00E70596">
        <w:t xml:space="preserve">rogramme </w:t>
      </w:r>
      <w:r w:rsidRPr="00E70596">
        <w:t>and related projects will be in line with the</w:t>
      </w:r>
      <w:r w:rsidR="00B13677">
        <w:t xml:space="preserve"> UNDAF</w:t>
      </w:r>
      <w:r w:rsidR="006243F0" w:rsidRPr="00E70596">
        <w:t xml:space="preserve"> </w:t>
      </w:r>
      <w:r w:rsidRPr="00E70596">
        <w:t>monitoring system and UNDP corporate policies.</w:t>
      </w:r>
      <w:r w:rsidR="005A15A3" w:rsidRPr="00E70596">
        <w:t xml:space="preserve"> UNDP will set aside at least 1</w:t>
      </w:r>
      <w:r w:rsidR="002D296D" w:rsidRPr="00E70596">
        <w:t xml:space="preserve"> per cent</w:t>
      </w:r>
      <w:r w:rsidR="005A15A3" w:rsidRPr="00E70596">
        <w:t xml:space="preserve"> of its programme resources for monitoring and evaluation. </w:t>
      </w:r>
      <w:r w:rsidR="00B13677">
        <w:t>T</w:t>
      </w:r>
      <w:r w:rsidRPr="00E70596">
        <w:t xml:space="preserve">he UNDP </w:t>
      </w:r>
      <w:r w:rsidR="00B13677">
        <w:t>g</w:t>
      </w:r>
      <w:r w:rsidR="00B13677" w:rsidRPr="00E70596">
        <w:t xml:space="preserve">ender </w:t>
      </w:r>
      <w:r w:rsidRPr="00E70596">
        <w:t xml:space="preserve">marker will be used to assess programme results including budgets and expenditures on gender-related initiatives as a proxy for monitoring the responsiveness of the programme to the gender equality agenda.  </w:t>
      </w:r>
    </w:p>
    <w:p w14:paraId="2E4FD5D3" w14:textId="77777777" w:rsidR="009D1F1D" w:rsidRPr="00E70596" w:rsidRDefault="009D1F1D" w:rsidP="009D1F1D">
      <w:pPr>
        <w:widowControl w:val="0"/>
        <w:shd w:val="clear" w:color="auto" w:fill="FFFFFF"/>
        <w:tabs>
          <w:tab w:val="left" w:pos="630"/>
        </w:tabs>
        <w:adjustRightInd w:val="0"/>
        <w:spacing w:before="120" w:after="120"/>
        <w:ind w:right="720"/>
        <w:jc w:val="both"/>
        <w:textAlignment w:val="baseline"/>
      </w:pPr>
    </w:p>
    <w:p w14:paraId="2E4FD5D4" w14:textId="77777777" w:rsidR="009D1F1D" w:rsidRPr="00E70596" w:rsidRDefault="009D1F1D" w:rsidP="009D1F1D">
      <w:pPr>
        <w:widowControl w:val="0"/>
        <w:shd w:val="clear" w:color="auto" w:fill="FFFFFF"/>
        <w:tabs>
          <w:tab w:val="left" w:pos="630"/>
        </w:tabs>
        <w:adjustRightInd w:val="0"/>
        <w:spacing w:before="120" w:after="120"/>
        <w:ind w:right="720"/>
        <w:jc w:val="both"/>
        <w:textAlignment w:val="baseline"/>
        <w:sectPr w:rsidR="009D1F1D" w:rsidRPr="00E70596" w:rsidSect="002467B7">
          <w:headerReference w:type="even" r:id="rId17"/>
          <w:footerReference w:type="even" r:id="rId18"/>
          <w:footerReference w:type="default" r:id="rId19"/>
          <w:type w:val="continuous"/>
          <w:pgSz w:w="12240" w:h="15840"/>
          <w:pgMar w:top="1166" w:right="1195" w:bottom="1440" w:left="1710" w:header="720" w:footer="720" w:gutter="0"/>
          <w:cols w:space="720"/>
          <w:docGrid w:linePitch="272"/>
        </w:sectPr>
      </w:pPr>
    </w:p>
    <w:p w14:paraId="0B2C86B9" w14:textId="15E8D7D1" w:rsidR="002467B7" w:rsidRPr="002467B7" w:rsidRDefault="002467B7" w:rsidP="002467B7">
      <w:pPr>
        <w:keepNext/>
        <w:spacing w:after="120"/>
        <w:outlineLvl w:val="3"/>
        <w:rPr>
          <w:b/>
          <w:color w:val="0000FF"/>
          <w:sz w:val="24"/>
          <w:szCs w:val="24"/>
        </w:rPr>
      </w:pPr>
      <w:r w:rsidRPr="002467B7">
        <w:rPr>
          <w:b/>
          <w:bCs/>
          <w:color w:val="000000"/>
          <w:sz w:val="24"/>
          <w:szCs w:val="24"/>
        </w:rPr>
        <w:lastRenderedPageBreak/>
        <w:t xml:space="preserve">Annex. Results and resources framework for </w:t>
      </w:r>
      <w:r>
        <w:rPr>
          <w:b/>
          <w:bCs/>
          <w:color w:val="000000"/>
          <w:sz w:val="24"/>
          <w:szCs w:val="24"/>
        </w:rPr>
        <w:t>Malawi</w:t>
      </w:r>
      <w:r w:rsidRPr="002467B7">
        <w:rPr>
          <w:b/>
          <w:bCs/>
          <w:color w:val="000000"/>
          <w:sz w:val="24"/>
          <w:szCs w:val="24"/>
        </w:rPr>
        <w:t xml:space="preserve"> (201</w:t>
      </w:r>
      <w:r>
        <w:rPr>
          <w:b/>
          <w:bCs/>
          <w:color w:val="000000"/>
          <w:sz w:val="24"/>
          <w:szCs w:val="24"/>
        </w:rPr>
        <w:t>9</w:t>
      </w:r>
      <w:r w:rsidRPr="002467B7">
        <w:rPr>
          <w:b/>
          <w:bCs/>
          <w:color w:val="000000"/>
          <w:sz w:val="24"/>
          <w:szCs w:val="24"/>
        </w:rPr>
        <w:t>-202</w:t>
      </w:r>
      <w:r>
        <w:rPr>
          <w:b/>
          <w:bCs/>
          <w:color w:val="000000"/>
          <w:sz w:val="24"/>
          <w:szCs w:val="24"/>
        </w:rPr>
        <w:t>3</w:t>
      </w:r>
      <w:r w:rsidRPr="002467B7">
        <w:rPr>
          <w:b/>
          <w:bCs/>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3526"/>
      </w:tblGrid>
      <w:tr w:rsidR="007034ED" w:rsidRPr="00123906" w14:paraId="2E4FD5D7" w14:textId="77777777" w:rsidTr="00A977E3">
        <w:trPr>
          <w:trHeight w:val="25"/>
        </w:trPr>
        <w:tc>
          <w:tcPr>
            <w:tcW w:w="5000" w:type="pct"/>
            <w:shd w:val="clear" w:color="auto" w:fill="auto"/>
            <w:tcMar>
              <w:top w:w="72" w:type="dxa"/>
              <w:left w:w="144" w:type="dxa"/>
              <w:bottom w:w="72" w:type="dxa"/>
              <w:right w:w="144" w:type="dxa"/>
            </w:tcMar>
          </w:tcPr>
          <w:p w14:paraId="2E4FD5D6" w14:textId="77777777" w:rsidR="007034ED" w:rsidRPr="00123906" w:rsidRDefault="007034ED" w:rsidP="00587E93">
            <w:pPr>
              <w:rPr>
                <w:color w:val="000000"/>
                <w:sz w:val="18"/>
                <w:szCs w:val="18"/>
              </w:rPr>
            </w:pPr>
            <w:r w:rsidRPr="00123906">
              <w:rPr>
                <w:b/>
                <w:bCs/>
                <w:color w:val="000000"/>
                <w:sz w:val="18"/>
                <w:szCs w:val="18"/>
                <w:lang w:val="en-GB"/>
              </w:rPr>
              <w:t xml:space="preserve">NATIONAL PRIORITY OR GOAL: </w:t>
            </w:r>
            <w:r w:rsidRPr="00123906">
              <w:rPr>
                <w:b/>
                <w:bCs/>
                <w:color w:val="000000" w:themeColor="text1"/>
                <w:sz w:val="18"/>
                <w:szCs w:val="18"/>
                <w:lang w:val="en-GB" w:eastAsia="en-GB"/>
              </w:rPr>
              <w:t>Transition of Malawi to a productive, competitive and resilient nation.</w:t>
            </w:r>
          </w:p>
        </w:tc>
      </w:tr>
      <w:tr w:rsidR="007034ED" w:rsidRPr="00123906" w14:paraId="2E4FD5D9" w14:textId="77777777" w:rsidTr="00A977E3">
        <w:trPr>
          <w:trHeight w:val="125"/>
        </w:trPr>
        <w:tc>
          <w:tcPr>
            <w:tcW w:w="5000" w:type="pct"/>
            <w:shd w:val="clear" w:color="auto" w:fill="auto"/>
            <w:tcMar>
              <w:top w:w="72" w:type="dxa"/>
              <w:left w:w="144" w:type="dxa"/>
              <w:bottom w:w="72" w:type="dxa"/>
              <w:right w:w="144" w:type="dxa"/>
            </w:tcMar>
          </w:tcPr>
          <w:p w14:paraId="2E4FD5D8" w14:textId="519429E0" w:rsidR="007034ED" w:rsidRPr="00123906" w:rsidRDefault="007034ED" w:rsidP="00587E93">
            <w:pPr>
              <w:rPr>
                <w:sz w:val="18"/>
                <w:szCs w:val="18"/>
              </w:rPr>
            </w:pPr>
            <w:r w:rsidRPr="00123906">
              <w:rPr>
                <w:b/>
                <w:bCs/>
                <w:sz w:val="18"/>
                <w:szCs w:val="18"/>
                <w:lang w:val="en-GB"/>
              </w:rPr>
              <w:t>UNDAF OUTCOME INVOLVING UNDP #1:</w:t>
            </w:r>
            <w:r w:rsidRPr="00123906">
              <w:rPr>
                <w:sz w:val="18"/>
                <w:szCs w:val="18"/>
                <w:lang w:val="en-GB"/>
              </w:rPr>
              <w:t xml:space="preserve"> By 2023, Malawi has strengthened economic diversification, inclusive business, entrepreneurship, and access to clean energy</w:t>
            </w:r>
          </w:p>
        </w:tc>
      </w:tr>
      <w:tr w:rsidR="007034ED" w:rsidRPr="00123906" w14:paraId="2E4FD5DB" w14:textId="77777777" w:rsidTr="00A977E3">
        <w:trPr>
          <w:trHeight w:val="125"/>
        </w:trPr>
        <w:tc>
          <w:tcPr>
            <w:tcW w:w="5000" w:type="pct"/>
            <w:shd w:val="clear" w:color="auto" w:fill="auto"/>
            <w:tcMar>
              <w:top w:w="72" w:type="dxa"/>
              <w:left w:w="144" w:type="dxa"/>
              <w:bottom w:w="72" w:type="dxa"/>
              <w:right w:w="144" w:type="dxa"/>
            </w:tcMar>
          </w:tcPr>
          <w:p w14:paraId="2E4FD5DA" w14:textId="645C0BF0" w:rsidR="007034ED" w:rsidRPr="00123906" w:rsidRDefault="007034ED" w:rsidP="00587E93">
            <w:pPr>
              <w:rPr>
                <w:b/>
                <w:bCs/>
                <w:color w:val="000000"/>
                <w:sz w:val="18"/>
                <w:szCs w:val="18"/>
              </w:rPr>
            </w:pPr>
            <w:r w:rsidRPr="00123906">
              <w:rPr>
                <w:b/>
                <w:bCs/>
                <w:color w:val="000000"/>
                <w:sz w:val="18"/>
                <w:szCs w:val="18"/>
                <w:lang w:val="en-GB"/>
              </w:rPr>
              <w:t>RELATED STRATEGIC PLAN OUTCOM</w:t>
            </w:r>
            <w:r w:rsidR="00B13677">
              <w:rPr>
                <w:b/>
                <w:bCs/>
                <w:color w:val="000000"/>
                <w:sz w:val="18"/>
                <w:szCs w:val="18"/>
                <w:lang w:val="en-GB"/>
              </w:rPr>
              <w:t>E</w:t>
            </w:r>
            <w:r w:rsidRPr="00123906">
              <w:rPr>
                <w:b/>
                <w:bCs/>
                <w:color w:val="000000"/>
                <w:sz w:val="18"/>
                <w:szCs w:val="18"/>
                <w:lang w:val="en-GB"/>
              </w:rPr>
              <w:t xml:space="preserve"> </w:t>
            </w:r>
            <w:r w:rsidRPr="00123906">
              <w:rPr>
                <w:rStyle w:val="apple-converted-space"/>
                <w:sz w:val="18"/>
                <w:szCs w:val="18"/>
              </w:rPr>
              <w:t>  </w:t>
            </w:r>
            <w:r w:rsidRPr="00123906">
              <w:rPr>
                <w:sz w:val="18"/>
                <w:szCs w:val="18"/>
              </w:rPr>
              <w:t xml:space="preserve"> </w:t>
            </w:r>
            <w:r w:rsidRPr="00123906">
              <w:rPr>
                <w:rFonts w:eastAsia="Calibri"/>
                <w:b/>
                <w:bCs/>
                <w:sz w:val="18"/>
                <w:szCs w:val="18"/>
                <w:lang w:val="en-GB"/>
              </w:rPr>
              <w:t xml:space="preserve">Outcome 1: </w:t>
            </w:r>
            <w:r w:rsidRPr="00123906">
              <w:rPr>
                <w:rFonts w:eastAsia="Calibri"/>
                <w:bCs/>
                <w:sz w:val="18"/>
                <w:szCs w:val="18"/>
                <w:lang w:val="en-GB"/>
              </w:rPr>
              <w:t>Advance poverty reduction in all its forms and dimensions</w:t>
            </w:r>
          </w:p>
        </w:tc>
      </w:tr>
    </w:tbl>
    <w:tbl>
      <w:tblPr>
        <w:tblStyle w:val="TableGrid"/>
        <w:tblW w:w="13500" w:type="dxa"/>
        <w:tblLayout w:type="fixed"/>
        <w:tblLook w:val="04A0" w:firstRow="1" w:lastRow="0" w:firstColumn="1" w:lastColumn="0" w:noHBand="0" w:noVBand="1"/>
      </w:tblPr>
      <w:tblGrid>
        <w:gridCol w:w="2245"/>
        <w:gridCol w:w="1800"/>
        <w:gridCol w:w="5850"/>
        <w:gridCol w:w="2340"/>
        <w:gridCol w:w="1265"/>
      </w:tblGrid>
      <w:tr w:rsidR="007034ED" w:rsidRPr="00123906" w14:paraId="2E4FD5E3" w14:textId="77777777" w:rsidTr="00A977E3">
        <w:tc>
          <w:tcPr>
            <w:tcW w:w="2245" w:type="dxa"/>
            <w:tcBorders>
              <w:top w:val="single" w:sz="4" w:space="0" w:color="auto"/>
              <w:left w:val="single" w:sz="4" w:space="0" w:color="auto"/>
              <w:bottom w:val="single" w:sz="4" w:space="0" w:color="auto"/>
              <w:right w:val="single" w:sz="6" w:space="0" w:color="auto"/>
            </w:tcBorders>
            <w:shd w:val="clear" w:color="auto" w:fill="auto"/>
            <w:vAlign w:val="center"/>
          </w:tcPr>
          <w:p w14:paraId="12758A3E" w14:textId="77777777" w:rsidR="00123906" w:rsidRPr="00123906" w:rsidRDefault="00123906" w:rsidP="00123906">
            <w:pPr>
              <w:tabs>
                <w:tab w:val="left" w:pos="1620"/>
              </w:tabs>
              <w:contextualSpacing/>
              <w:jc w:val="center"/>
              <w:rPr>
                <w:b/>
                <w:bCs/>
                <w:color w:val="000000"/>
                <w:sz w:val="18"/>
                <w:szCs w:val="18"/>
                <w:lang w:val="en-GB" w:eastAsia="fr-FR"/>
              </w:rPr>
            </w:pPr>
            <w:r w:rsidRPr="00123906">
              <w:rPr>
                <w:b/>
                <w:bCs/>
                <w:color w:val="000000"/>
                <w:sz w:val="18"/>
                <w:szCs w:val="18"/>
                <w:lang w:val="en-GB" w:eastAsia="fr-FR"/>
              </w:rPr>
              <w:t>UNDAF outcome indicators,</w:t>
            </w:r>
          </w:p>
          <w:p w14:paraId="2E4FD5DC" w14:textId="42452877" w:rsidR="007034ED" w:rsidRPr="00123906" w:rsidRDefault="00123906" w:rsidP="00123906">
            <w:pPr>
              <w:jc w:val="center"/>
              <w:rPr>
                <w:b/>
                <w:sz w:val="18"/>
                <w:szCs w:val="18"/>
              </w:rPr>
            </w:pPr>
            <w:r w:rsidRPr="00123906">
              <w:rPr>
                <w:b/>
                <w:bCs/>
                <w:color w:val="000000"/>
                <w:sz w:val="18"/>
                <w:szCs w:val="18"/>
                <w:lang w:val="en-GB" w:eastAsia="fr-FR"/>
              </w:rPr>
              <w:t>baselines and targets</w:t>
            </w:r>
          </w:p>
        </w:tc>
        <w:tc>
          <w:tcPr>
            <w:tcW w:w="1800" w:type="dxa"/>
            <w:tcBorders>
              <w:top w:val="single" w:sz="4" w:space="0" w:color="auto"/>
              <w:left w:val="single" w:sz="6" w:space="0" w:color="auto"/>
              <w:bottom w:val="single" w:sz="4" w:space="0" w:color="auto"/>
              <w:right w:val="single" w:sz="6" w:space="0" w:color="auto"/>
            </w:tcBorders>
            <w:shd w:val="clear" w:color="auto" w:fill="auto"/>
            <w:vAlign w:val="center"/>
          </w:tcPr>
          <w:p w14:paraId="2E4FD5DD" w14:textId="251B19D0" w:rsidR="007034ED" w:rsidRPr="00123906" w:rsidRDefault="00123906" w:rsidP="00587E93">
            <w:pPr>
              <w:jc w:val="center"/>
              <w:rPr>
                <w:b/>
                <w:sz w:val="18"/>
                <w:szCs w:val="18"/>
              </w:rPr>
            </w:pPr>
            <w:r w:rsidRPr="00123906">
              <w:rPr>
                <w:b/>
                <w:bCs/>
                <w:color w:val="000000"/>
                <w:sz w:val="18"/>
                <w:szCs w:val="18"/>
                <w:lang w:val="en-GB" w:eastAsia="fr-FR"/>
              </w:rPr>
              <w:t>Data source and frequency of data collection, and responsibilities</w:t>
            </w:r>
          </w:p>
        </w:tc>
        <w:tc>
          <w:tcPr>
            <w:tcW w:w="5850" w:type="dxa"/>
            <w:tcBorders>
              <w:top w:val="single" w:sz="4" w:space="0" w:color="auto"/>
              <w:left w:val="single" w:sz="6" w:space="0" w:color="auto"/>
              <w:bottom w:val="single" w:sz="4" w:space="0" w:color="auto"/>
              <w:right w:val="single" w:sz="6" w:space="0" w:color="auto"/>
            </w:tcBorders>
            <w:shd w:val="clear" w:color="auto" w:fill="auto"/>
            <w:vAlign w:val="center"/>
          </w:tcPr>
          <w:p w14:paraId="2E4FD5DF" w14:textId="5204B327" w:rsidR="007034ED" w:rsidRPr="00123906" w:rsidRDefault="00123906" w:rsidP="007C69FB">
            <w:pPr>
              <w:rPr>
                <w:b/>
                <w:sz w:val="18"/>
                <w:szCs w:val="18"/>
              </w:rPr>
            </w:pPr>
            <w:r w:rsidRPr="00123906">
              <w:rPr>
                <w:b/>
                <w:sz w:val="18"/>
                <w:szCs w:val="18"/>
              </w:rPr>
              <w:t>Indicative country programme outputs (including indicators, baselines targets)</w:t>
            </w:r>
          </w:p>
        </w:tc>
        <w:tc>
          <w:tcPr>
            <w:tcW w:w="2340" w:type="dxa"/>
            <w:tcBorders>
              <w:top w:val="single" w:sz="4" w:space="0" w:color="auto"/>
              <w:left w:val="single" w:sz="6" w:space="0" w:color="auto"/>
              <w:bottom w:val="single" w:sz="4" w:space="0" w:color="auto"/>
              <w:right w:val="single" w:sz="6" w:space="0" w:color="auto"/>
            </w:tcBorders>
            <w:shd w:val="clear" w:color="auto" w:fill="auto"/>
            <w:vAlign w:val="center"/>
          </w:tcPr>
          <w:p w14:paraId="2A88C591" w14:textId="77777777" w:rsidR="00A977E3" w:rsidRPr="006231E6" w:rsidRDefault="00A977E3" w:rsidP="00A977E3">
            <w:pPr>
              <w:tabs>
                <w:tab w:val="left" w:pos="1620"/>
              </w:tabs>
              <w:contextualSpacing/>
              <w:jc w:val="center"/>
              <w:rPr>
                <w:b/>
                <w:bCs/>
                <w:color w:val="000000"/>
                <w:sz w:val="18"/>
                <w:szCs w:val="18"/>
                <w:lang w:val="en-GB" w:eastAsia="fr-FR"/>
              </w:rPr>
            </w:pPr>
            <w:r w:rsidRPr="006231E6">
              <w:rPr>
                <w:b/>
                <w:bCs/>
                <w:color w:val="000000"/>
                <w:sz w:val="18"/>
                <w:szCs w:val="18"/>
                <w:lang w:val="en-GB" w:eastAsia="fr-FR"/>
              </w:rPr>
              <w:t>Major partners/</w:t>
            </w:r>
          </w:p>
          <w:p w14:paraId="2E4FD5E1" w14:textId="5C10163A" w:rsidR="007034ED" w:rsidRPr="00123906" w:rsidRDefault="00A977E3" w:rsidP="00A977E3">
            <w:pPr>
              <w:jc w:val="center"/>
              <w:rPr>
                <w:b/>
                <w:sz w:val="18"/>
                <w:szCs w:val="18"/>
              </w:rPr>
            </w:pPr>
            <w:r w:rsidRPr="006231E6">
              <w:rPr>
                <w:b/>
                <w:bCs/>
                <w:color w:val="000000"/>
                <w:sz w:val="18"/>
                <w:szCs w:val="18"/>
                <w:lang w:val="en-GB" w:eastAsia="fr-FR"/>
              </w:rPr>
              <w:t>Partnerships</w:t>
            </w:r>
            <w:r>
              <w:rPr>
                <w:b/>
                <w:bCs/>
                <w:color w:val="000000"/>
                <w:sz w:val="18"/>
                <w:szCs w:val="18"/>
                <w:lang w:val="en-GB" w:eastAsia="fr-FR"/>
              </w:rPr>
              <w:t xml:space="preserve"> frameworks</w:t>
            </w:r>
          </w:p>
        </w:tc>
        <w:tc>
          <w:tcPr>
            <w:tcW w:w="1265" w:type="dxa"/>
            <w:tcBorders>
              <w:top w:val="single" w:sz="4" w:space="0" w:color="auto"/>
              <w:left w:val="single" w:sz="6" w:space="0" w:color="auto"/>
              <w:bottom w:val="single" w:sz="4" w:space="0" w:color="auto"/>
              <w:right w:val="single" w:sz="4" w:space="0" w:color="auto"/>
            </w:tcBorders>
            <w:shd w:val="clear" w:color="auto" w:fill="auto"/>
            <w:vAlign w:val="center"/>
          </w:tcPr>
          <w:p w14:paraId="2E4FD5E2" w14:textId="01E82E70" w:rsidR="007034ED" w:rsidRPr="00123906" w:rsidRDefault="00123906" w:rsidP="00097E65">
            <w:pPr>
              <w:ind w:right="-109"/>
              <w:rPr>
                <w:b/>
                <w:sz w:val="18"/>
                <w:szCs w:val="18"/>
              </w:rPr>
            </w:pPr>
            <w:r w:rsidRPr="006231E6">
              <w:rPr>
                <w:b/>
                <w:bCs/>
                <w:color w:val="000000"/>
                <w:sz w:val="18"/>
                <w:szCs w:val="18"/>
                <w:lang w:val="en-GB" w:eastAsia="fr-FR"/>
              </w:rPr>
              <w:t>Indica</w:t>
            </w:r>
            <w:r>
              <w:rPr>
                <w:b/>
                <w:bCs/>
                <w:color w:val="000000"/>
                <w:sz w:val="18"/>
                <w:szCs w:val="18"/>
                <w:lang w:val="en-GB" w:eastAsia="fr-FR"/>
              </w:rPr>
              <w:t>tive resources by outcome (in $</w:t>
            </w:r>
            <w:r w:rsidRPr="006231E6">
              <w:rPr>
                <w:b/>
                <w:bCs/>
                <w:color w:val="000000"/>
                <w:sz w:val="18"/>
                <w:szCs w:val="18"/>
                <w:lang w:val="en-GB" w:eastAsia="fr-FR"/>
              </w:rPr>
              <w:t>)</w:t>
            </w:r>
          </w:p>
        </w:tc>
      </w:tr>
      <w:tr w:rsidR="007034ED" w:rsidRPr="00123906" w14:paraId="2E4FD603" w14:textId="77777777" w:rsidTr="00C64A9B">
        <w:tc>
          <w:tcPr>
            <w:tcW w:w="2245" w:type="dxa"/>
            <w:tcBorders>
              <w:top w:val="single" w:sz="4" w:space="0" w:color="auto"/>
              <w:left w:val="single" w:sz="4" w:space="0" w:color="auto"/>
            </w:tcBorders>
            <w:vAlign w:val="center"/>
          </w:tcPr>
          <w:p w14:paraId="2E4FD5E4" w14:textId="3150016A" w:rsidR="007034ED" w:rsidRPr="00123906" w:rsidRDefault="007034ED" w:rsidP="00587E93">
            <w:pPr>
              <w:rPr>
                <w:b/>
                <w:sz w:val="18"/>
                <w:szCs w:val="18"/>
              </w:rPr>
            </w:pPr>
            <w:r w:rsidRPr="00123906">
              <w:rPr>
                <w:b/>
                <w:bCs/>
                <w:sz w:val="18"/>
                <w:szCs w:val="18"/>
              </w:rPr>
              <w:t>1.1</w:t>
            </w:r>
            <w:r w:rsidRPr="00123906">
              <w:rPr>
                <w:b/>
                <w:sz w:val="18"/>
                <w:szCs w:val="18"/>
              </w:rPr>
              <w:t xml:space="preserve"> The employment rate by sex, age, </w:t>
            </w:r>
            <w:r w:rsidR="00B13677">
              <w:rPr>
                <w:b/>
                <w:sz w:val="18"/>
                <w:szCs w:val="18"/>
              </w:rPr>
              <w:t>mother tongue</w:t>
            </w:r>
            <w:r w:rsidRPr="00123906">
              <w:rPr>
                <w:b/>
                <w:sz w:val="18"/>
                <w:szCs w:val="18"/>
              </w:rPr>
              <w:t>.</w:t>
            </w:r>
          </w:p>
          <w:p w14:paraId="2E4FD5E5" w14:textId="385F5663" w:rsidR="007034ED" w:rsidRPr="00123906" w:rsidRDefault="007034ED" w:rsidP="00587E93">
            <w:pPr>
              <w:rPr>
                <w:sz w:val="18"/>
                <w:szCs w:val="18"/>
              </w:rPr>
            </w:pPr>
            <w:r w:rsidRPr="00123906">
              <w:rPr>
                <w:b/>
                <w:sz w:val="18"/>
                <w:szCs w:val="18"/>
              </w:rPr>
              <w:t>Baseline:</w:t>
            </w:r>
            <w:r w:rsidRPr="00123906">
              <w:rPr>
                <w:sz w:val="18"/>
                <w:szCs w:val="18"/>
              </w:rPr>
              <w:t xml:space="preserve"> 80% (</w:t>
            </w:r>
            <w:r w:rsidR="00B13677">
              <w:rPr>
                <w:sz w:val="18"/>
                <w:szCs w:val="18"/>
              </w:rPr>
              <w:t>National Statistics Office (</w:t>
            </w:r>
            <w:r w:rsidRPr="00123906">
              <w:rPr>
                <w:sz w:val="18"/>
                <w:szCs w:val="18"/>
              </w:rPr>
              <w:t>NSO</w:t>
            </w:r>
            <w:r w:rsidR="00B13677">
              <w:rPr>
                <w:sz w:val="18"/>
                <w:szCs w:val="18"/>
              </w:rPr>
              <w:t>)</w:t>
            </w:r>
            <w:r w:rsidRPr="00123906">
              <w:rPr>
                <w:sz w:val="18"/>
                <w:szCs w:val="18"/>
              </w:rPr>
              <w:t xml:space="preserve"> 2013)</w:t>
            </w:r>
          </w:p>
          <w:p w14:paraId="2E4FD5E6" w14:textId="77777777" w:rsidR="007034ED" w:rsidRPr="00123906" w:rsidRDefault="007034ED" w:rsidP="00587E93">
            <w:pPr>
              <w:rPr>
                <w:sz w:val="18"/>
                <w:szCs w:val="18"/>
              </w:rPr>
            </w:pPr>
            <w:r w:rsidRPr="00123906">
              <w:rPr>
                <w:sz w:val="18"/>
                <w:szCs w:val="18"/>
              </w:rPr>
              <w:t>(F</w:t>
            </w:r>
            <w:r w:rsidR="005848E8" w:rsidRPr="00123906">
              <w:rPr>
                <w:sz w:val="18"/>
                <w:szCs w:val="18"/>
              </w:rPr>
              <w:t>: 74</w:t>
            </w:r>
            <w:r w:rsidRPr="00123906">
              <w:rPr>
                <w:sz w:val="18"/>
                <w:szCs w:val="18"/>
              </w:rPr>
              <w:t xml:space="preserve"> %; M: 86 %)</w:t>
            </w:r>
          </w:p>
          <w:p w14:paraId="63F5E5CD" w14:textId="77777777" w:rsidR="00B13677" w:rsidRDefault="007034ED" w:rsidP="00587E93">
            <w:pPr>
              <w:rPr>
                <w:sz w:val="18"/>
                <w:szCs w:val="18"/>
              </w:rPr>
            </w:pPr>
            <w:r w:rsidRPr="00123906">
              <w:rPr>
                <w:b/>
                <w:sz w:val="18"/>
                <w:szCs w:val="18"/>
              </w:rPr>
              <w:t>Target:</w:t>
            </w:r>
            <w:r w:rsidRPr="00123906">
              <w:rPr>
                <w:sz w:val="18"/>
                <w:szCs w:val="18"/>
              </w:rPr>
              <w:t xml:space="preserve"> TBD % </w:t>
            </w:r>
          </w:p>
          <w:p w14:paraId="2E4FD5E7" w14:textId="629E0A16" w:rsidR="007034ED" w:rsidRPr="00123906" w:rsidRDefault="007034ED" w:rsidP="00587E93">
            <w:pPr>
              <w:rPr>
                <w:sz w:val="18"/>
                <w:szCs w:val="18"/>
              </w:rPr>
            </w:pPr>
            <w:r w:rsidRPr="00123906">
              <w:rPr>
                <w:sz w:val="18"/>
                <w:szCs w:val="18"/>
              </w:rPr>
              <w:t>(F: TBD %; M: TBD %)</w:t>
            </w:r>
          </w:p>
          <w:p w14:paraId="2E4FD5E8" w14:textId="77777777" w:rsidR="007034ED" w:rsidRPr="00123906" w:rsidRDefault="007034ED" w:rsidP="00587E93">
            <w:pPr>
              <w:rPr>
                <w:sz w:val="18"/>
                <w:szCs w:val="18"/>
              </w:rPr>
            </w:pPr>
          </w:p>
        </w:tc>
        <w:tc>
          <w:tcPr>
            <w:tcW w:w="1800" w:type="dxa"/>
            <w:vMerge w:val="restart"/>
            <w:tcBorders>
              <w:top w:val="single" w:sz="4" w:space="0" w:color="auto"/>
            </w:tcBorders>
            <w:vAlign w:val="center"/>
          </w:tcPr>
          <w:p w14:paraId="2E4FD5E9" w14:textId="77777777" w:rsidR="007034ED" w:rsidRPr="00123906" w:rsidRDefault="007034ED" w:rsidP="00DA67AA">
            <w:pPr>
              <w:pStyle w:val="ListParagraph"/>
              <w:numPr>
                <w:ilvl w:val="0"/>
                <w:numId w:val="2"/>
              </w:numPr>
              <w:ind w:left="0"/>
              <w:jc w:val="both"/>
              <w:rPr>
                <w:color w:val="000000"/>
                <w:sz w:val="18"/>
                <w:szCs w:val="18"/>
              </w:rPr>
            </w:pPr>
          </w:p>
          <w:p w14:paraId="2E4FD5EA" w14:textId="77777777" w:rsidR="007034ED" w:rsidRPr="00123906" w:rsidRDefault="007034ED" w:rsidP="00DA67AA">
            <w:pPr>
              <w:pStyle w:val="ListParagraph"/>
              <w:numPr>
                <w:ilvl w:val="0"/>
                <w:numId w:val="2"/>
              </w:numPr>
              <w:ind w:left="0"/>
              <w:jc w:val="both"/>
              <w:rPr>
                <w:color w:val="000000"/>
                <w:sz w:val="18"/>
                <w:szCs w:val="18"/>
              </w:rPr>
            </w:pPr>
          </w:p>
          <w:p w14:paraId="2E4FD5EB" w14:textId="77777777" w:rsidR="007034ED" w:rsidRPr="00123906" w:rsidRDefault="007034ED" w:rsidP="00DA67AA">
            <w:pPr>
              <w:pStyle w:val="ListParagraph"/>
              <w:numPr>
                <w:ilvl w:val="0"/>
                <w:numId w:val="2"/>
              </w:numPr>
              <w:ind w:left="0"/>
              <w:jc w:val="both"/>
              <w:rPr>
                <w:color w:val="000000"/>
                <w:sz w:val="18"/>
                <w:szCs w:val="18"/>
              </w:rPr>
            </w:pPr>
          </w:p>
          <w:p w14:paraId="2E4FD5EC" w14:textId="77777777" w:rsidR="007034ED" w:rsidRPr="00123906" w:rsidRDefault="007034ED" w:rsidP="00DA67AA">
            <w:pPr>
              <w:pStyle w:val="ListParagraph"/>
              <w:numPr>
                <w:ilvl w:val="0"/>
                <w:numId w:val="2"/>
              </w:numPr>
              <w:ind w:left="0"/>
              <w:jc w:val="both"/>
              <w:rPr>
                <w:color w:val="000000"/>
                <w:sz w:val="18"/>
                <w:szCs w:val="18"/>
              </w:rPr>
            </w:pPr>
          </w:p>
          <w:p w14:paraId="2E4FD5ED" w14:textId="3C48C7D0" w:rsidR="007034ED" w:rsidRPr="00123906" w:rsidRDefault="00B13677" w:rsidP="00DB4E22">
            <w:pPr>
              <w:pStyle w:val="ListParagraph"/>
              <w:numPr>
                <w:ilvl w:val="0"/>
                <w:numId w:val="2"/>
              </w:numPr>
              <w:ind w:left="0"/>
              <w:rPr>
                <w:color w:val="000000"/>
                <w:sz w:val="18"/>
                <w:szCs w:val="18"/>
              </w:rPr>
            </w:pPr>
            <w:r>
              <w:rPr>
                <w:color w:val="000000"/>
                <w:sz w:val="18"/>
                <w:szCs w:val="18"/>
              </w:rPr>
              <w:t>NSO annual r</w:t>
            </w:r>
            <w:r w:rsidRPr="00123906">
              <w:rPr>
                <w:color w:val="000000"/>
                <w:sz w:val="18"/>
                <w:szCs w:val="18"/>
              </w:rPr>
              <w:t xml:space="preserve">eport </w:t>
            </w:r>
          </w:p>
          <w:p w14:paraId="2E4FD5EE" w14:textId="66085838" w:rsidR="007034ED" w:rsidRPr="00123906" w:rsidRDefault="00B13677" w:rsidP="00DB4E22">
            <w:pPr>
              <w:pStyle w:val="ListParagraph"/>
              <w:numPr>
                <w:ilvl w:val="0"/>
                <w:numId w:val="2"/>
              </w:numPr>
              <w:ind w:left="0"/>
              <w:rPr>
                <w:color w:val="000000"/>
                <w:sz w:val="18"/>
                <w:szCs w:val="18"/>
              </w:rPr>
            </w:pPr>
            <w:r w:rsidRPr="00123906">
              <w:rPr>
                <w:color w:val="000000"/>
                <w:sz w:val="18"/>
                <w:szCs w:val="18"/>
              </w:rPr>
              <w:t xml:space="preserve">Independent assessment </w:t>
            </w:r>
            <w:r>
              <w:rPr>
                <w:color w:val="000000"/>
                <w:sz w:val="18"/>
                <w:szCs w:val="18"/>
              </w:rPr>
              <w:t>of annual s</w:t>
            </w:r>
            <w:r w:rsidR="007034ED" w:rsidRPr="00123906">
              <w:rPr>
                <w:color w:val="000000"/>
                <w:sz w:val="18"/>
                <w:szCs w:val="18"/>
              </w:rPr>
              <w:t xml:space="preserve">ector </w:t>
            </w:r>
            <w:r>
              <w:rPr>
                <w:color w:val="000000"/>
                <w:sz w:val="18"/>
                <w:szCs w:val="18"/>
              </w:rPr>
              <w:t>s</w:t>
            </w:r>
            <w:r w:rsidRPr="00123906">
              <w:rPr>
                <w:color w:val="000000"/>
                <w:sz w:val="18"/>
                <w:szCs w:val="18"/>
              </w:rPr>
              <w:t xml:space="preserve">trategy </w:t>
            </w:r>
            <w:r>
              <w:rPr>
                <w:color w:val="000000"/>
                <w:sz w:val="18"/>
                <w:szCs w:val="18"/>
              </w:rPr>
              <w:t>r</w:t>
            </w:r>
            <w:r w:rsidRPr="00123906">
              <w:rPr>
                <w:color w:val="000000"/>
                <w:sz w:val="18"/>
                <w:szCs w:val="18"/>
              </w:rPr>
              <w:t>eports</w:t>
            </w:r>
          </w:p>
          <w:p w14:paraId="2E4FD5EF" w14:textId="08F15ED1" w:rsidR="007034ED" w:rsidRPr="00123906" w:rsidRDefault="007034ED" w:rsidP="00DB4E22">
            <w:pPr>
              <w:pStyle w:val="ListParagraph"/>
              <w:numPr>
                <w:ilvl w:val="0"/>
                <w:numId w:val="2"/>
              </w:numPr>
              <w:ind w:left="0"/>
              <w:rPr>
                <w:color w:val="000000"/>
                <w:sz w:val="18"/>
                <w:szCs w:val="18"/>
              </w:rPr>
            </w:pPr>
            <w:r w:rsidRPr="00123906">
              <w:rPr>
                <w:color w:val="000000"/>
                <w:sz w:val="18"/>
                <w:szCs w:val="18"/>
              </w:rPr>
              <w:t xml:space="preserve"> </w:t>
            </w:r>
          </w:p>
          <w:p w14:paraId="2E4FD5F0" w14:textId="67EE2220" w:rsidR="007034ED" w:rsidRPr="00123906" w:rsidRDefault="007034ED" w:rsidP="00DB4E22">
            <w:pPr>
              <w:pStyle w:val="ListParagraph"/>
              <w:numPr>
                <w:ilvl w:val="0"/>
                <w:numId w:val="2"/>
              </w:numPr>
              <w:ind w:left="0"/>
              <w:rPr>
                <w:color w:val="000000"/>
                <w:sz w:val="18"/>
                <w:szCs w:val="18"/>
              </w:rPr>
            </w:pPr>
            <w:r w:rsidRPr="00123906">
              <w:rPr>
                <w:color w:val="000000"/>
                <w:sz w:val="18"/>
                <w:szCs w:val="18"/>
              </w:rPr>
              <w:t xml:space="preserve">Sustainable Energy </w:t>
            </w:r>
            <w:r w:rsidR="00B13677">
              <w:rPr>
                <w:color w:val="000000"/>
                <w:sz w:val="18"/>
                <w:szCs w:val="18"/>
              </w:rPr>
              <w:t>for</w:t>
            </w:r>
            <w:r w:rsidR="00B13677" w:rsidRPr="00123906">
              <w:rPr>
                <w:color w:val="000000"/>
                <w:sz w:val="18"/>
                <w:szCs w:val="18"/>
              </w:rPr>
              <w:t xml:space="preserve"> </w:t>
            </w:r>
            <w:r w:rsidRPr="00123906">
              <w:rPr>
                <w:color w:val="000000"/>
                <w:sz w:val="18"/>
                <w:szCs w:val="18"/>
              </w:rPr>
              <w:t xml:space="preserve">All </w:t>
            </w:r>
            <w:r w:rsidR="00B13677">
              <w:rPr>
                <w:color w:val="000000"/>
                <w:sz w:val="18"/>
                <w:szCs w:val="18"/>
              </w:rPr>
              <w:t>c</w:t>
            </w:r>
            <w:r w:rsidR="00B13677" w:rsidRPr="00123906">
              <w:rPr>
                <w:color w:val="000000"/>
                <w:sz w:val="18"/>
                <w:szCs w:val="18"/>
              </w:rPr>
              <w:t xml:space="preserve">ountry </w:t>
            </w:r>
            <w:r w:rsidR="00B13677">
              <w:rPr>
                <w:color w:val="000000"/>
                <w:sz w:val="18"/>
                <w:szCs w:val="18"/>
              </w:rPr>
              <w:t>a</w:t>
            </w:r>
            <w:r w:rsidR="00B13677" w:rsidRPr="00123906">
              <w:rPr>
                <w:color w:val="000000"/>
                <w:sz w:val="18"/>
                <w:szCs w:val="18"/>
              </w:rPr>
              <w:t xml:space="preserve">ssessment </w:t>
            </w:r>
            <w:r w:rsidRPr="00123906">
              <w:rPr>
                <w:color w:val="000000"/>
                <w:sz w:val="18"/>
                <w:szCs w:val="18"/>
              </w:rPr>
              <w:t>(every four years)</w:t>
            </w:r>
          </w:p>
          <w:p w14:paraId="2E4FD5F1" w14:textId="621807A6" w:rsidR="007034ED" w:rsidRPr="00123906" w:rsidRDefault="007034ED" w:rsidP="00DB4E22">
            <w:pPr>
              <w:pStyle w:val="ListParagraph"/>
              <w:numPr>
                <w:ilvl w:val="0"/>
                <w:numId w:val="2"/>
              </w:numPr>
              <w:ind w:left="0"/>
              <w:rPr>
                <w:iCs/>
                <w:color w:val="000000"/>
                <w:sz w:val="18"/>
                <w:szCs w:val="18"/>
              </w:rPr>
            </w:pPr>
            <w:r w:rsidRPr="00123906">
              <w:rPr>
                <w:color w:val="000000"/>
                <w:sz w:val="18"/>
                <w:szCs w:val="18"/>
              </w:rPr>
              <w:t xml:space="preserve">Independent assessment of </w:t>
            </w:r>
            <w:r w:rsidR="00B13677">
              <w:rPr>
                <w:color w:val="000000"/>
                <w:sz w:val="18"/>
                <w:szCs w:val="18"/>
              </w:rPr>
              <w:t>e</w:t>
            </w:r>
            <w:r w:rsidR="00B13677" w:rsidRPr="00123906">
              <w:rPr>
                <w:color w:val="000000"/>
                <w:sz w:val="18"/>
                <w:szCs w:val="18"/>
              </w:rPr>
              <w:t xml:space="preserve">nergy </w:t>
            </w:r>
            <w:r w:rsidR="00B13677">
              <w:rPr>
                <w:color w:val="000000"/>
                <w:sz w:val="18"/>
                <w:szCs w:val="18"/>
              </w:rPr>
              <w:t>a</w:t>
            </w:r>
            <w:r w:rsidR="00B13677" w:rsidRPr="00123906">
              <w:rPr>
                <w:color w:val="000000"/>
                <w:sz w:val="18"/>
                <w:szCs w:val="18"/>
              </w:rPr>
              <w:t xml:space="preserve">ccess </w:t>
            </w:r>
            <w:r w:rsidRPr="00123906">
              <w:rPr>
                <w:color w:val="000000"/>
                <w:sz w:val="18"/>
                <w:szCs w:val="18"/>
              </w:rPr>
              <w:t>(triannual</w:t>
            </w:r>
            <w:r w:rsidRPr="00123906">
              <w:rPr>
                <w:iCs/>
                <w:color w:val="000000"/>
                <w:sz w:val="18"/>
                <w:szCs w:val="18"/>
              </w:rPr>
              <w:t>)</w:t>
            </w:r>
          </w:p>
          <w:p w14:paraId="2E4FD5F2" w14:textId="77777777" w:rsidR="007034ED" w:rsidRPr="00123906" w:rsidRDefault="007034ED" w:rsidP="00587E93">
            <w:pPr>
              <w:jc w:val="both"/>
              <w:rPr>
                <w:sz w:val="18"/>
                <w:szCs w:val="18"/>
              </w:rPr>
            </w:pPr>
          </w:p>
        </w:tc>
        <w:tc>
          <w:tcPr>
            <w:tcW w:w="5850" w:type="dxa"/>
            <w:tcBorders>
              <w:top w:val="single" w:sz="4" w:space="0" w:color="auto"/>
            </w:tcBorders>
          </w:tcPr>
          <w:p w14:paraId="2E4FD5F3" w14:textId="77777777" w:rsidR="007034ED" w:rsidRPr="00123906" w:rsidRDefault="007034ED" w:rsidP="007C69FB">
            <w:pPr>
              <w:rPr>
                <w:sz w:val="18"/>
                <w:szCs w:val="18"/>
              </w:rPr>
            </w:pPr>
            <w:r w:rsidRPr="00123906">
              <w:rPr>
                <w:b/>
                <w:bCs/>
                <w:sz w:val="18"/>
                <w:szCs w:val="18"/>
              </w:rPr>
              <w:t>Output 1.1:</w:t>
            </w:r>
            <w:r w:rsidRPr="00123906">
              <w:rPr>
                <w:sz w:val="18"/>
                <w:szCs w:val="18"/>
              </w:rPr>
              <w:t xml:space="preserve"> Women and youth in targeted areas have access to employment opportunities.</w:t>
            </w:r>
          </w:p>
          <w:p w14:paraId="2E4FD5F4" w14:textId="77777777" w:rsidR="007034ED" w:rsidRPr="00123906" w:rsidRDefault="007034ED" w:rsidP="007C69FB">
            <w:pPr>
              <w:rPr>
                <w:b/>
                <w:bCs/>
                <w:sz w:val="18"/>
                <w:szCs w:val="18"/>
              </w:rPr>
            </w:pPr>
          </w:p>
          <w:p w14:paraId="2E4FD5F5" w14:textId="7DF9150C" w:rsidR="007034ED" w:rsidRPr="00123906" w:rsidRDefault="007034ED" w:rsidP="007C69FB">
            <w:pPr>
              <w:rPr>
                <w:sz w:val="18"/>
                <w:szCs w:val="18"/>
              </w:rPr>
            </w:pPr>
            <w:r w:rsidRPr="00123906">
              <w:rPr>
                <w:b/>
                <w:bCs/>
                <w:sz w:val="18"/>
                <w:szCs w:val="18"/>
              </w:rPr>
              <w:t xml:space="preserve">Indicator 1.1.1: </w:t>
            </w:r>
            <w:r w:rsidRPr="00123906">
              <w:rPr>
                <w:sz w:val="18"/>
                <w:szCs w:val="18"/>
              </w:rPr>
              <w:t>Number of new jobs generated by firms participating in the M</w:t>
            </w:r>
            <w:r w:rsidR="00E57345">
              <w:rPr>
                <w:sz w:val="18"/>
                <w:szCs w:val="18"/>
              </w:rPr>
              <w:t xml:space="preserve">alawi </w:t>
            </w:r>
            <w:r w:rsidRPr="00123906">
              <w:rPr>
                <w:sz w:val="18"/>
                <w:szCs w:val="18"/>
              </w:rPr>
              <w:t>I</w:t>
            </w:r>
            <w:r w:rsidR="00E57345">
              <w:rPr>
                <w:sz w:val="18"/>
                <w:szCs w:val="18"/>
              </w:rPr>
              <w:t xml:space="preserve">nnovation </w:t>
            </w:r>
            <w:r w:rsidRPr="00123906">
              <w:rPr>
                <w:sz w:val="18"/>
                <w:szCs w:val="18"/>
              </w:rPr>
              <w:t>C</w:t>
            </w:r>
            <w:r w:rsidR="00E57345">
              <w:rPr>
                <w:sz w:val="18"/>
                <w:szCs w:val="18"/>
              </w:rPr>
              <w:t xml:space="preserve">hallenge </w:t>
            </w:r>
            <w:r w:rsidRPr="00123906">
              <w:rPr>
                <w:sz w:val="18"/>
                <w:szCs w:val="18"/>
              </w:rPr>
              <w:t>F</w:t>
            </w:r>
            <w:r w:rsidR="00E57345">
              <w:rPr>
                <w:sz w:val="18"/>
                <w:szCs w:val="18"/>
              </w:rPr>
              <w:t>und</w:t>
            </w:r>
            <w:r w:rsidRPr="00123906">
              <w:rPr>
                <w:sz w:val="18"/>
                <w:szCs w:val="18"/>
              </w:rPr>
              <w:t xml:space="preserve"> </w:t>
            </w:r>
            <w:r w:rsidR="0047634F">
              <w:rPr>
                <w:sz w:val="18"/>
                <w:szCs w:val="18"/>
              </w:rPr>
              <w:t>(MICF)</w:t>
            </w:r>
          </w:p>
          <w:p w14:paraId="2E4FD5F6" w14:textId="77777777" w:rsidR="007034ED" w:rsidRPr="00123906" w:rsidRDefault="007034ED" w:rsidP="007C69FB">
            <w:pPr>
              <w:rPr>
                <w:sz w:val="18"/>
                <w:szCs w:val="18"/>
              </w:rPr>
            </w:pPr>
            <w:r w:rsidRPr="00123906">
              <w:rPr>
                <w:b/>
                <w:bCs/>
                <w:sz w:val="18"/>
                <w:szCs w:val="18"/>
              </w:rPr>
              <w:t>Baseline</w:t>
            </w:r>
            <w:r w:rsidRPr="00123906">
              <w:rPr>
                <w:sz w:val="18"/>
                <w:szCs w:val="18"/>
              </w:rPr>
              <w:t xml:space="preserve">: 0; </w:t>
            </w:r>
            <w:r w:rsidRPr="00123906">
              <w:rPr>
                <w:b/>
                <w:bCs/>
                <w:sz w:val="18"/>
                <w:szCs w:val="18"/>
              </w:rPr>
              <w:t>Target</w:t>
            </w:r>
            <w:r w:rsidRPr="00123906">
              <w:rPr>
                <w:sz w:val="18"/>
                <w:szCs w:val="18"/>
              </w:rPr>
              <w:t>: 650, 30% are females, 10% of funds targeted to persons with disabilities.</w:t>
            </w:r>
          </w:p>
          <w:p w14:paraId="2E4FD5F7" w14:textId="77777777" w:rsidR="007034ED" w:rsidRPr="00123906" w:rsidRDefault="007034ED" w:rsidP="007C69FB">
            <w:pPr>
              <w:rPr>
                <w:sz w:val="18"/>
                <w:szCs w:val="18"/>
              </w:rPr>
            </w:pPr>
            <w:r w:rsidRPr="00123906">
              <w:rPr>
                <w:b/>
                <w:sz w:val="18"/>
                <w:szCs w:val="18"/>
              </w:rPr>
              <w:t>Data source</w:t>
            </w:r>
            <w:r w:rsidRPr="00123906">
              <w:rPr>
                <w:sz w:val="18"/>
                <w:szCs w:val="18"/>
              </w:rPr>
              <w:t>: MICF reports</w:t>
            </w:r>
          </w:p>
        </w:tc>
        <w:tc>
          <w:tcPr>
            <w:tcW w:w="2340" w:type="dxa"/>
            <w:vMerge w:val="restart"/>
            <w:tcBorders>
              <w:top w:val="single" w:sz="4" w:space="0" w:color="auto"/>
            </w:tcBorders>
            <w:vAlign w:val="center"/>
          </w:tcPr>
          <w:p w14:paraId="2E4FD5F8" w14:textId="1D7763AC" w:rsidR="007034ED" w:rsidRPr="00123906" w:rsidRDefault="007034ED" w:rsidP="007C69FB">
            <w:pPr>
              <w:rPr>
                <w:iCs/>
                <w:color w:val="000000"/>
                <w:sz w:val="18"/>
                <w:szCs w:val="18"/>
              </w:rPr>
            </w:pPr>
            <w:r w:rsidRPr="00123906">
              <w:rPr>
                <w:iCs/>
                <w:color w:val="000000"/>
                <w:sz w:val="18"/>
                <w:szCs w:val="18"/>
              </w:rPr>
              <w:t xml:space="preserve">Ministry of </w:t>
            </w:r>
            <w:r w:rsidR="00E57345">
              <w:rPr>
                <w:iCs/>
                <w:color w:val="000000"/>
                <w:sz w:val="18"/>
                <w:szCs w:val="18"/>
              </w:rPr>
              <w:t>Industry</w:t>
            </w:r>
            <w:r w:rsidR="000F54D6">
              <w:rPr>
                <w:iCs/>
                <w:color w:val="000000"/>
                <w:sz w:val="18"/>
                <w:szCs w:val="18"/>
              </w:rPr>
              <w:t>,</w:t>
            </w:r>
            <w:r w:rsidR="00E57345">
              <w:rPr>
                <w:iCs/>
                <w:color w:val="000000"/>
                <w:sz w:val="18"/>
                <w:szCs w:val="18"/>
              </w:rPr>
              <w:t xml:space="preserve"> </w:t>
            </w:r>
            <w:r w:rsidRPr="00123906">
              <w:rPr>
                <w:iCs/>
                <w:color w:val="000000"/>
                <w:sz w:val="18"/>
                <w:szCs w:val="18"/>
              </w:rPr>
              <w:t>Trade</w:t>
            </w:r>
            <w:r w:rsidR="000F54D6">
              <w:rPr>
                <w:iCs/>
                <w:color w:val="000000"/>
                <w:sz w:val="18"/>
                <w:szCs w:val="18"/>
              </w:rPr>
              <w:t xml:space="preserve"> and Tourism</w:t>
            </w:r>
          </w:p>
          <w:p w14:paraId="2E4FD5F9" w14:textId="7780E29D" w:rsidR="007034ED" w:rsidRPr="00123906" w:rsidRDefault="00025961" w:rsidP="007C69FB">
            <w:pPr>
              <w:rPr>
                <w:iCs/>
                <w:color w:val="000000"/>
                <w:sz w:val="18"/>
                <w:szCs w:val="18"/>
              </w:rPr>
            </w:pPr>
            <w:r>
              <w:rPr>
                <w:iCs/>
                <w:color w:val="000000"/>
                <w:sz w:val="18"/>
                <w:szCs w:val="18"/>
              </w:rPr>
              <w:t>DfID</w:t>
            </w:r>
            <w:r w:rsidR="007034ED" w:rsidRPr="00123906">
              <w:rPr>
                <w:iCs/>
                <w:color w:val="000000"/>
                <w:sz w:val="18"/>
                <w:szCs w:val="18"/>
              </w:rPr>
              <w:t xml:space="preserve">, </w:t>
            </w:r>
            <w:r w:rsidR="00BB1AEC" w:rsidRPr="00123906">
              <w:rPr>
                <w:iCs/>
                <w:color w:val="000000"/>
                <w:sz w:val="18"/>
                <w:szCs w:val="18"/>
              </w:rPr>
              <w:t>K</w:t>
            </w:r>
            <w:r w:rsidR="00BB1AEC">
              <w:rPr>
                <w:iCs/>
                <w:color w:val="000000"/>
                <w:sz w:val="18"/>
                <w:szCs w:val="18"/>
              </w:rPr>
              <w:t>f</w:t>
            </w:r>
            <w:r w:rsidR="00BB1AEC" w:rsidRPr="00123906">
              <w:rPr>
                <w:iCs/>
                <w:color w:val="000000"/>
                <w:sz w:val="18"/>
                <w:szCs w:val="18"/>
              </w:rPr>
              <w:t>W</w:t>
            </w:r>
          </w:p>
          <w:p w14:paraId="2E4FD5FA" w14:textId="06D7EC7A" w:rsidR="007034ED" w:rsidRPr="00123906" w:rsidRDefault="00C94743" w:rsidP="00C94743">
            <w:pPr>
              <w:rPr>
                <w:sz w:val="18"/>
                <w:szCs w:val="18"/>
              </w:rPr>
            </w:pPr>
            <w:r w:rsidRPr="00123906">
              <w:rPr>
                <w:iCs/>
                <w:color w:val="000000"/>
                <w:sz w:val="18"/>
                <w:szCs w:val="18"/>
              </w:rPr>
              <w:t>UNIDO, IFAD</w:t>
            </w:r>
          </w:p>
        </w:tc>
        <w:tc>
          <w:tcPr>
            <w:tcW w:w="1265" w:type="dxa"/>
            <w:vMerge w:val="restart"/>
            <w:tcBorders>
              <w:top w:val="single" w:sz="4" w:space="0" w:color="auto"/>
              <w:right w:val="single" w:sz="4" w:space="0" w:color="auto"/>
            </w:tcBorders>
            <w:vAlign w:val="center"/>
          </w:tcPr>
          <w:p w14:paraId="2E4FD5FB" w14:textId="77777777" w:rsidR="007034ED" w:rsidRPr="00123906" w:rsidRDefault="007034ED" w:rsidP="00587E93">
            <w:pPr>
              <w:rPr>
                <w:b/>
                <w:bCs/>
                <w:color w:val="000000"/>
                <w:sz w:val="18"/>
                <w:szCs w:val="18"/>
              </w:rPr>
            </w:pPr>
            <w:r w:rsidRPr="00123906">
              <w:rPr>
                <w:b/>
                <w:bCs/>
                <w:color w:val="000000"/>
                <w:sz w:val="18"/>
                <w:szCs w:val="18"/>
              </w:rPr>
              <w:t>Regular</w:t>
            </w:r>
          </w:p>
          <w:p w14:paraId="2E4FD5FC" w14:textId="7C46D1AC" w:rsidR="007034ED" w:rsidRPr="00123906" w:rsidRDefault="007034ED" w:rsidP="00587E93">
            <w:pPr>
              <w:rPr>
                <w:b/>
                <w:bCs/>
                <w:color w:val="000000"/>
                <w:sz w:val="18"/>
                <w:szCs w:val="18"/>
              </w:rPr>
            </w:pPr>
            <w:r w:rsidRPr="00123906">
              <w:rPr>
                <w:b/>
                <w:bCs/>
                <w:color w:val="000000"/>
                <w:sz w:val="18"/>
                <w:szCs w:val="18"/>
              </w:rPr>
              <w:t xml:space="preserve"> </w:t>
            </w:r>
            <w:r w:rsidR="00BB1AEC">
              <w:rPr>
                <w:b/>
                <w:bCs/>
                <w:color w:val="000000"/>
                <w:sz w:val="18"/>
                <w:szCs w:val="18"/>
              </w:rPr>
              <w:t>$</w:t>
            </w:r>
            <w:r w:rsidRPr="00123906">
              <w:rPr>
                <w:b/>
                <w:bCs/>
                <w:color w:val="000000"/>
                <w:sz w:val="18"/>
                <w:szCs w:val="18"/>
              </w:rPr>
              <w:t>21,000,000</w:t>
            </w:r>
          </w:p>
          <w:p w14:paraId="2E4FD5FD" w14:textId="77777777" w:rsidR="007034ED" w:rsidRPr="00123906" w:rsidRDefault="007034ED" w:rsidP="00587E93">
            <w:pPr>
              <w:rPr>
                <w:b/>
                <w:bCs/>
                <w:color w:val="000000"/>
                <w:sz w:val="18"/>
                <w:szCs w:val="18"/>
              </w:rPr>
            </w:pPr>
          </w:p>
          <w:p w14:paraId="2E4FD5FE" w14:textId="77777777" w:rsidR="007034ED" w:rsidRPr="00123906" w:rsidRDefault="007034ED" w:rsidP="00587E93">
            <w:pPr>
              <w:rPr>
                <w:b/>
                <w:color w:val="000000"/>
                <w:sz w:val="18"/>
                <w:szCs w:val="18"/>
              </w:rPr>
            </w:pPr>
            <w:r w:rsidRPr="00123906">
              <w:rPr>
                <w:b/>
                <w:color w:val="000000"/>
                <w:sz w:val="18"/>
                <w:szCs w:val="18"/>
              </w:rPr>
              <w:t>Other</w:t>
            </w:r>
          </w:p>
          <w:p w14:paraId="2E4FD5FF" w14:textId="43E69E68" w:rsidR="007034ED" w:rsidRPr="00123906" w:rsidRDefault="007034ED" w:rsidP="00587E93">
            <w:pPr>
              <w:rPr>
                <w:b/>
                <w:bCs/>
                <w:color w:val="000000"/>
                <w:sz w:val="18"/>
                <w:szCs w:val="18"/>
              </w:rPr>
            </w:pPr>
            <w:r w:rsidRPr="00123906">
              <w:rPr>
                <w:b/>
                <w:bCs/>
                <w:color w:val="000000"/>
                <w:sz w:val="18"/>
                <w:szCs w:val="18"/>
              </w:rPr>
              <w:t>$48,500,000</w:t>
            </w:r>
          </w:p>
          <w:p w14:paraId="2E4FD600" w14:textId="77777777" w:rsidR="007034ED" w:rsidRPr="00123906" w:rsidRDefault="007034ED" w:rsidP="00587E93">
            <w:pPr>
              <w:rPr>
                <w:b/>
                <w:color w:val="000000"/>
                <w:sz w:val="18"/>
                <w:szCs w:val="18"/>
              </w:rPr>
            </w:pPr>
          </w:p>
          <w:p w14:paraId="2E4FD602" w14:textId="2015AF01" w:rsidR="007034ED" w:rsidRPr="00123906" w:rsidRDefault="007034ED" w:rsidP="00587E93">
            <w:pPr>
              <w:rPr>
                <w:sz w:val="18"/>
                <w:szCs w:val="18"/>
              </w:rPr>
            </w:pPr>
          </w:p>
        </w:tc>
      </w:tr>
      <w:tr w:rsidR="007034ED" w:rsidRPr="00123906" w14:paraId="2E4FD613" w14:textId="77777777" w:rsidTr="00A977E3">
        <w:tc>
          <w:tcPr>
            <w:tcW w:w="2245" w:type="dxa"/>
            <w:tcBorders>
              <w:left w:val="single" w:sz="4" w:space="0" w:color="auto"/>
            </w:tcBorders>
            <w:vAlign w:val="center"/>
          </w:tcPr>
          <w:p w14:paraId="2E4FD604" w14:textId="77777777" w:rsidR="007034ED" w:rsidRPr="00123906" w:rsidRDefault="007034ED" w:rsidP="00587E93">
            <w:pPr>
              <w:rPr>
                <w:b/>
                <w:sz w:val="18"/>
                <w:szCs w:val="18"/>
              </w:rPr>
            </w:pPr>
            <w:r w:rsidRPr="00123906">
              <w:rPr>
                <w:b/>
                <w:bCs/>
                <w:sz w:val="18"/>
                <w:szCs w:val="18"/>
              </w:rPr>
              <w:t>1.2</w:t>
            </w:r>
            <w:r w:rsidRPr="00123906">
              <w:rPr>
                <w:b/>
                <w:sz w:val="18"/>
                <w:szCs w:val="18"/>
              </w:rPr>
              <w:t xml:space="preserve"> Share of renewable energy in the mix</w:t>
            </w:r>
          </w:p>
          <w:p w14:paraId="2E4FD605" w14:textId="77777777" w:rsidR="007034ED" w:rsidRPr="00123906" w:rsidRDefault="007034ED" w:rsidP="00587E93">
            <w:pPr>
              <w:rPr>
                <w:sz w:val="18"/>
                <w:szCs w:val="18"/>
              </w:rPr>
            </w:pPr>
            <w:r w:rsidRPr="00123906">
              <w:rPr>
                <w:b/>
                <w:sz w:val="18"/>
                <w:szCs w:val="18"/>
              </w:rPr>
              <w:t>Baseline:</w:t>
            </w:r>
            <w:r w:rsidRPr="00123906">
              <w:rPr>
                <w:sz w:val="18"/>
                <w:szCs w:val="18"/>
              </w:rPr>
              <w:t xml:space="preserve"> 7% (2017)</w:t>
            </w:r>
          </w:p>
          <w:p w14:paraId="2E4FD606" w14:textId="77777777" w:rsidR="007034ED" w:rsidRPr="00123906" w:rsidRDefault="007034ED" w:rsidP="00587E93">
            <w:pPr>
              <w:rPr>
                <w:sz w:val="18"/>
                <w:szCs w:val="18"/>
              </w:rPr>
            </w:pPr>
            <w:r w:rsidRPr="00123906">
              <w:rPr>
                <w:b/>
                <w:sz w:val="18"/>
                <w:szCs w:val="18"/>
              </w:rPr>
              <w:t>Target:</w:t>
            </w:r>
            <w:r w:rsidRPr="00123906">
              <w:rPr>
                <w:sz w:val="18"/>
                <w:szCs w:val="18"/>
              </w:rPr>
              <w:t xml:space="preserve"> 15% (2022)</w:t>
            </w:r>
          </w:p>
          <w:p w14:paraId="2E4FD607" w14:textId="77777777" w:rsidR="007034ED" w:rsidRPr="00123906" w:rsidRDefault="007034ED" w:rsidP="00587E93">
            <w:pPr>
              <w:rPr>
                <w:b/>
                <w:bCs/>
                <w:sz w:val="18"/>
                <w:szCs w:val="18"/>
              </w:rPr>
            </w:pPr>
          </w:p>
        </w:tc>
        <w:tc>
          <w:tcPr>
            <w:tcW w:w="1800" w:type="dxa"/>
            <w:vMerge/>
            <w:vAlign w:val="center"/>
          </w:tcPr>
          <w:p w14:paraId="2E4FD608" w14:textId="77777777" w:rsidR="007034ED" w:rsidRPr="00123906" w:rsidRDefault="007034ED" w:rsidP="00587E93">
            <w:pPr>
              <w:jc w:val="both"/>
              <w:rPr>
                <w:sz w:val="18"/>
                <w:szCs w:val="18"/>
              </w:rPr>
            </w:pPr>
          </w:p>
        </w:tc>
        <w:tc>
          <w:tcPr>
            <w:tcW w:w="5850" w:type="dxa"/>
          </w:tcPr>
          <w:p w14:paraId="2E4FD609" w14:textId="0157DD6B" w:rsidR="007034ED" w:rsidRPr="00123906" w:rsidRDefault="007034ED" w:rsidP="007C69FB">
            <w:pPr>
              <w:rPr>
                <w:sz w:val="18"/>
                <w:szCs w:val="18"/>
              </w:rPr>
            </w:pPr>
            <w:r w:rsidRPr="00123906">
              <w:rPr>
                <w:b/>
                <w:bCs/>
                <w:sz w:val="18"/>
                <w:szCs w:val="18"/>
              </w:rPr>
              <w:t>Output 1.2:</w:t>
            </w:r>
            <w:r w:rsidRPr="00123906">
              <w:rPr>
                <w:sz w:val="18"/>
                <w:szCs w:val="18"/>
              </w:rPr>
              <w:t xml:space="preserve">  Public and private sector institutions enabled to develop and implement policies and practices that enhance innovation, productivity and entrepreneurship.</w:t>
            </w:r>
          </w:p>
          <w:p w14:paraId="2E4FD60A" w14:textId="77777777" w:rsidR="007034ED" w:rsidRPr="00123906" w:rsidRDefault="007034ED" w:rsidP="007C69FB">
            <w:pPr>
              <w:rPr>
                <w:sz w:val="18"/>
                <w:szCs w:val="18"/>
              </w:rPr>
            </w:pPr>
          </w:p>
          <w:p w14:paraId="2E4FD60B" w14:textId="77777777" w:rsidR="007034ED" w:rsidRPr="00123906" w:rsidRDefault="007034ED" w:rsidP="007C69FB">
            <w:pPr>
              <w:rPr>
                <w:sz w:val="18"/>
                <w:szCs w:val="18"/>
              </w:rPr>
            </w:pPr>
            <w:r w:rsidRPr="00123906">
              <w:rPr>
                <w:b/>
                <w:bCs/>
                <w:sz w:val="18"/>
                <w:szCs w:val="18"/>
              </w:rPr>
              <w:t>Indicator 1.2.1:</w:t>
            </w:r>
            <w:r w:rsidRPr="00123906">
              <w:rPr>
                <w:sz w:val="18"/>
                <w:szCs w:val="18"/>
              </w:rPr>
              <w:t xml:space="preserve"> Number of private sector entrepreneurs enabled to access regional and international markets, including access to affordable capital to de-risk investment and business growth.</w:t>
            </w:r>
          </w:p>
          <w:p w14:paraId="2E4FD60C" w14:textId="22D5F8FC" w:rsidR="007034ED" w:rsidRPr="00123906" w:rsidRDefault="007034ED" w:rsidP="007C69FB">
            <w:pPr>
              <w:rPr>
                <w:b/>
                <w:bCs/>
                <w:sz w:val="18"/>
                <w:szCs w:val="18"/>
              </w:rPr>
            </w:pPr>
            <w:r w:rsidRPr="00123906">
              <w:rPr>
                <w:b/>
                <w:bCs/>
                <w:sz w:val="18"/>
                <w:szCs w:val="18"/>
              </w:rPr>
              <w:t xml:space="preserve">Baseline: 0; Target: </w:t>
            </w:r>
            <w:r w:rsidR="00BB1AEC" w:rsidRPr="00123906">
              <w:rPr>
                <w:b/>
                <w:bCs/>
                <w:sz w:val="18"/>
                <w:szCs w:val="18"/>
              </w:rPr>
              <w:t>TB</w:t>
            </w:r>
            <w:r w:rsidR="00BB1AEC">
              <w:rPr>
                <w:b/>
                <w:bCs/>
                <w:sz w:val="18"/>
                <w:szCs w:val="18"/>
              </w:rPr>
              <w:t>D</w:t>
            </w:r>
            <w:r w:rsidR="00BB1AEC" w:rsidRPr="00123906">
              <w:rPr>
                <w:b/>
                <w:bCs/>
                <w:sz w:val="18"/>
                <w:szCs w:val="18"/>
              </w:rPr>
              <w:t xml:space="preserve"> </w:t>
            </w:r>
          </w:p>
          <w:p w14:paraId="2E4FD60D" w14:textId="0837747C" w:rsidR="007034ED" w:rsidRPr="00123906" w:rsidRDefault="007034ED" w:rsidP="007C69FB">
            <w:pPr>
              <w:rPr>
                <w:bCs/>
                <w:sz w:val="18"/>
                <w:szCs w:val="18"/>
              </w:rPr>
            </w:pPr>
            <w:r w:rsidRPr="00123906">
              <w:rPr>
                <w:b/>
                <w:bCs/>
                <w:sz w:val="18"/>
                <w:szCs w:val="18"/>
              </w:rPr>
              <w:t xml:space="preserve">Data Source: </w:t>
            </w:r>
            <w:r w:rsidRPr="00123906">
              <w:rPr>
                <w:bCs/>
                <w:sz w:val="18"/>
                <w:szCs w:val="18"/>
              </w:rPr>
              <w:t>Ministry of Industry</w:t>
            </w:r>
            <w:r w:rsidR="000F54D6">
              <w:rPr>
                <w:bCs/>
                <w:sz w:val="18"/>
                <w:szCs w:val="18"/>
              </w:rPr>
              <w:t>,</w:t>
            </w:r>
            <w:r w:rsidRPr="00123906">
              <w:rPr>
                <w:bCs/>
                <w:sz w:val="18"/>
                <w:szCs w:val="18"/>
              </w:rPr>
              <w:t xml:space="preserve"> Trade</w:t>
            </w:r>
            <w:r w:rsidR="000F54D6">
              <w:rPr>
                <w:bCs/>
                <w:sz w:val="18"/>
                <w:szCs w:val="18"/>
              </w:rPr>
              <w:t xml:space="preserve"> and Tourism</w:t>
            </w:r>
          </w:p>
          <w:p w14:paraId="2E4FD60E" w14:textId="77777777" w:rsidR="007034ED" w:rsidRPr="00123906" w:rsidRDefault="007034ED" w:rsidP="007C69FB">
            <w:pPr>
              <w:rPr>
                <w:b/>
                <w:sz w:val="18"/>
                <w:szCs w:val="18"/>
              </w:rPr>
            </w:pPr>
          </w:p>
          <w:p w14:paraId="2E4FD60F" w14:textId="77777777" w:rsidR="007034ED" w:rsidRPr="00123906" w:rsidRDefault="007034ED" w:rsidP="007C69FB">
            <w:pPr>
              <w:rPr>
                <w:sz w:val="18"/>
                <w:szCs w:val="18"/>
              </w:rPr>
            </w:pPr>
            <w:r w:rsidRPr="00123906">
              <w:rPr>
                <w:b/>
                <w:bCs/>
                <w:sz w:val="18"/>
                <w:szCs w:val="18"/>
              </w:rPr>
              <w:t>Indicator 1.2.2:</w:t>
            </w:r>
            <w:r w:rsidRPr="00123906">
              <w:rPr>
                <w:sz w:val="18"/>
                <w:szCs w:val="18"/>
              </w:rPr>
              <w:t xml:space="preserve"> Number of product certifications granted by an accredited national product certification body.</w:t>
            </w:r>
          </w:p>
          <w:p w14:paraId="2E4FD610" w14:textId="58D6404B" w:rsidR="007034ED" w:rsidRPr="00123906" w:rsidRDefault="007034ED" w:rsidP="007C69FB">
            <w:pPr>
              <w:rPr>
                <w:sz w:val="18"/>
                <w:szCs w:val="18"/>
              </w:rPr>
            </w:pPr>
            <w:r w:rsidRPr="00123906">
              <w:rPr>
                <w:b/>
                <w:bCs/>
                <w:sz w:val="18"/>
                <w:szCs w:val="18"/>
              </w:rPr>
              <w:t>Baseline</w:t>
            </w:r>
            <w:r w:rsidRPr="00123906">
              <w:rPr>
                <w:sz w:val="18"/>
                <w:szCs w:val="18"/>
              </w:rPr>
              <w:t xml:space="preserve">: 0; </w:t>
            </w:r>
            <w:r w:rsidRPr="00123906">
              <w:rPr>
                <w:b/>
                <w:bCs/>
                <w:sz w:val="18"/>
                <w:szCs w:val="18"/>
              </w:rPr>
              <w:t>Target</w:t>
            </w:r>
            <w:r w:rsidRPr="00123906">
              <w:rPr>
                <w:sz w:val="18"/>
                <w:szCs w:val="18"/>
              </w:rPr>
              <w:t xml:space="preserve">: 10; Data source: Bureau of Standards </w:t>
            </w:r>
            <w:r w:rsidR="00BB1AEC">
              <w:rPr>
                <w:sz w:val="18"/>
                <w:szCs w:val="18"/>
              </w:rPr>
              <w:t>a</w:t>
            </w:r>
            <w:r w:rsidRPr="00123906">
              <w:rPr>
                <w:sz w:val="18"/>
                <w:szCs w:val="18"/>
              </w:rPr>
              <w:t xml:space="preserve">nnual </w:t>
            </w:r>
            <w:r w:rsidR="00BB1AEC">
              <w:rPr>
                <w:sz w:val="18"/>
                <w:szCs w:val="18"/>
              </w:rPr>
              <w:t>r</w:t>
            </w:r>
            <w:r w:rsidR="00BB1AEC" w:rsidRPr="00123906">
              <w:rPr>
                <w:sz w:val="18"/>
                <w:szCs w:val="18"/>
              </w:rPr>
              <w:t>eport</w:t>
            </w:r>
          </w:p>
        </w:tc>
        <w:tc>
          <w:tcPr>
            <w:tcW w:w="2340" w:type="dxa"/>
            <w:vMerge/>
            <w:vAlign w:val="center"/>
          </w:tcPr>
          <w:p w14:paraId="2E4FD611" w14:textId="77777777" w:rsidR="007034ED" w:rsidRPr="00123906" w:rsidRDefault="007034ED" w:rsidP="007C69FB">
            <w:pPr>
              <w:rPr>
                <w:iCs/>
                <w:color w:val="000000"/>
                <w:sz w:val="18"/>
                <w:szCs w:val="18"/>
              </w:rPr>
            </w:pPr>
          </w:p>
        </w:tc>
        <w:tc>
          <w:tcPr>
            <w:tcW w:w="1265" w:type="dxa"/>
            <w:vMerge/>
            <w:tcBorders>
              <w:bottom w:val="single" w:sz="4" w:space="0" w:color="auto"/>
              <w:right w:val="single" w:sz="4" w:space="0" w:color="auto"/>
            </w:tcBorders>
            <w:vAlign w:val="center"/>
          </w:tcPr>
          <w:p w14:paraId="2E4FD612" w14:textId="77777777" w:rsidR="007034ED" w:rsidRPr="00123906" w:rsidRDefault="007034ED" w:rsidP="00587E93">
            <w:pPr>
              <w:jc w:val="both"/>
              <w:rPr>
                <w:sz w:val="18"/>
                <w:szCs w:val="18"/>
              </w:rPr>
            </w:pPr>
          </w:p>
        </w:tc>
      </w:tr>
      <w:tr w:rsidR="007034ED" w:rsidRPr="00123906" w14:paraId="2E4FD627" w14:textId="77777777" w:rsidTr="00C64A9B">
        <w:tc>
          <w:tcPr>
            <w:tcW w:w="2245" w:type="dxa"/>
            <w:tcBorders>
              <w:left w:val="single" w:sz="4" w:space="0" w:color="auto"/>
            </w:tcBorders>
            <w:vAlign w:val="center"/>
          </w:tcPr>
          <w:p w14:paraId="2E4FD614" w14:textId="6E910077" w:rsidR="007034ED" w:rsidRPr="00123906" w:rsidRDefault="007034ED" w:rsidP="00587E93">
            <w:pPr>
              <w:rPr>
                <w:b/>
                <w:sz w:val="18"/>
                <w:szCs w:val="18"/>
              </w:rPr>
            </w:pPr>
            <w:r w:rsidRPr="00123906">
              <w:rPr>
                <w:b/>
                <w:bCs/>
                <w:sz w:val="18"/>
                <w:szCs w:val="18"/>
              </w:rPr>
              <w:t>1.3</w:t>
            </w:r>
            <w:r w:rsidRPr="00123906">
              <w:rPr>
                <w:b/>
                <w:sz w:val="18"/>
                <w:szCs w:val="18"/>
              </w:rPr>
              <w:t xml:space="preserve"> Number of </w:t>
            </w:r>
            <w:r w:rsidR="00C344A1" w:rsidRPr="00123906">
              <w:rPr>
                <w:b/>
                <w:sz w:val="18"/>
                <w:szCs w:val="18"/>
              </w:rPr>
              <w:t>rural population</w:t>
            </w:r>
            <w:r w:rsidR="0010063C">
              <w:rPr>
                <w:b/>
                <w:sz w:val="18"/>
                <w:szCs w:val="18"/>
              </w:rPr>
              <w:t xml:space="preserve"> </w:t>
            </w:r>
            <w:r w:rsidRPr="00123906">
              <w:rPr>
                <w:b/>
                <w:sz w:val="18"/>
                <w:szCs w:val="18"/>
              </w:rPr>
              <w:t>with access to clean energy</w:t>
            </w:r>
          </w:p>
          <w:p w14:paraId="2E4FD615" w14:textId="77777777" w:rsidR="007034ED" w:rsidRPr="00123906" w:rsidRDefault="007034ED" w:rsidP="00587E93">
            <w:pPr>
              <w:rPr>
                <w:sz w:val="18"/>
                <w:szCs w:val="18"/>
              </w:rPr>
            </w:pPr>
            <w:r w:rsidRPr="00123906">
              <w:rPr>
                <w:color w:val="00B0F0"/>
                <w:sz w:val="18"/>
                <w:szCs w:val="18"/>
              </w:rPr>
              <w:t>.</w:t>
            </w:r>
          </w:p>
          <w:p w14:paraId="2E4FD616" w14:textId="366329BB" w:rsidR="007034ED" w:rsidRPr="00123906" w:rsidRDefault="007034ED" w:rsidP="00587E93">
            <w:pPr>
              <w:rPr>
                <w:sz w:val="18"/>
                <w:szCs w:val="18"/>
              </w:rPr>
            </w:pPr>
            <w:r w:rsidRPr="00123906">
              <w:rPr>
                <w:b/>
                <w:sz w:val="18"/>
                <w:szCs w:val="18"/>
              </w:rPr>
              <w:t>Baseline:</w:t>
            </w:r>
            <w:r w:rsidRPr="00123906">
              <w:rPr>
                <w:sz w:val="18"/>
                <w:szCs w:val="18"/>
              </w:rPr>
              <w:t xml:space="preserve"> 0~1,300,500 people (2017)</w:t>
            </w:r>
          </w:p>
          <w:p w14:paraId="2E4FD618" w14:textId="2E4A6965" w:rsidR="007034ED" w:rsidRPr="00123906" w:rsidRDefault="007034ED" w:rsidP="00587E93">
            <w:pPr>
              <w:rPr>
                <w:sz w:val="18"/>
                <w:szCs w:val="18"/>
              </w:rPr>
            </w:pPr>
            <w:r w:rsidRPr="00123906">
              <w:rPr>
                <w:b/>
                <w:sz w:val="18"/>
                <w:szCs w:val="18"/>
              </w:rPr>
              <w:t xml:space="preserve">Target: </w:t>
            </w:r>
            <w:r w:rsidR="0010063C">
              <w:rPr>
                <w:sz w:val="18"/>
                <w:szCs w:val="18"/>
              </w:rPr>
              <w:t>1,335,700</w:t>
            </w:r>
            <w:r w:rsidRPr="00123906">
              <w:rPr>
                <w:sz w:val="18"/>
                <w:szCs w:val="18"/>
              </w:rPr>
              <w:t xml:space="preserve"> people, of wh</w:t>
            </w:r>
            <w:r w:rsidR="0010063C">
              <w:rPr>
                <w:sz w:val="18"/>
                <w:szCs w:val="18"/>
              </w:rPr>
              <w:t>om</w:t>
            </w:r>
            <w:r w:rsidRPr="00123906">
              <w:rPr>
                <w:sz w:val="18"/>
                <w:szCs w:val="18"/>
              </w:rPr>
              <w:t xml:space="preserve"> 30% women)</w:t>
            </w:r>
          </w:p>
        </w:tc>
        <w:tc>
          <w:tcPr>
            <w:tcW w:w="1800" w:type="dxa"/>
            <w:vMerge/>
            <w:vAlign w:val="center"/>
          </w:tcPr>
          <w:p w14:paraId="2E4FD619" w14:textId="77777777" w:rsidR="007034ED" w:rsidRPr="00123906" w:rsidRDefault="007034ED" w:rsidP="00587E93">
            <w:pPr>
              <w:jc w:val="both"/>
              <w:rPr>
                <w:sz w:val="18"/>
                <w:szCs w:val="18"/>
              </w:rPr>
            </w:pPr>
          </w:p>
        </w:tc>
        <w:tc>
          <w:tcPr>
            <w:tcW w:w="5850" w:type="dxa"/>
          </w:tcPr>
          <w:p w14:paraId="2E4FD61A" w14:textId="77777777" w:rsidR="007034ED" w:rsidRPr="00123906" w:rsidRDefault="007034ED" w:rsidP="007C69FB">
            <w:pPr>
              <w:rPr>
                <w:sz w:val="18"/>
                <w:szCs w:val="18"/>
              </w:rPr>
            </w:pPr>
            <w:r w:rsidRPr="00123906">
              <w:rPr>
                <w:b/>
                <w:bCs/>
                <w:sz w:val="18"/>
                <w:szCs w:val="18"/>
              </w:rPr>
              <w:t>Output 1.3:</w:t>
            </w:r>
            <w:r w:rsidRPr="00123906">
              <w:rPr>
                <w:sz w:val="18"/>
                <w:szCs w:val="18"/>
              </w:rPr>
              <w:t xml:space="preserve"> Inclusive and sustainable solutions adopted at the national and subnational levels to achieve increased energy efficiency and universal modern energy access (especially off-grid sources of renewable energy).</w:t>
            </w:r>
          </w:p>
          <w:p w14:paraId="2E4FD61B" w14:textId="77777777" w:rsidR="007034ED" w:rsidRPr="00123906" w:rsidRDefault="007034ED" w:rsidP="007C69FB">
            <w:pPr>
              <w:rPr>
                <w:sz w:val="18"/>
                <w:szCs w:val="18"/>
              </w:rPr>
            </w:pPr>
          </w:p>
          <w:p w14:paraId="2E4FD61C" w14:textId="035FEC4E" w:rsidR="007034ED" w:rsidRPr="00123906" w:rsidRDefault="007034ED" w:rsidP="007C69FB">
            <w:pPr>
              <w:rPr>
                <w:sz w:val="18"/>
                <w:szCs w:val="18"/>
              </w:rPr>
            </w:pPr>
            <w:r w:rsidRPr="00123906">
              <w:rPr>
                <w:b/>
                <w:bCs/>
                <w:sz w:val="18"/>
                <w:szCs w:val="18"/>
              </w:rPr>
              <w:t>Indicator 1.3.1:</w:t>
            </w:r>
            <w:r w:rsidRPr="00123906">
              <w:rPr>
                <w:sz w:val="18"/>
                <w:szCs w:val="18"/>
              </w:rPr>
              <w:t xml:space="preserve"> proportion of households benefiting from clean, affordable and sustainable energy access.</w:t>
            </w:r>
          </w:p>
          <w:p w14:paraId="2E4FD61D" w14:textId="77777777" w:rsidR="007034ED" w:rsidRPr="00123906" w:rsidRDefault="007034ED" w:rsidP="007C69FB">
            <w:pPr>
              <w:rPr>
                <w:sz w:val="18"/>
                <w:szCs w:val="18"/>
              </w:rPr>
            </w:pPr>
            <w:r w:rsidRPr="00123906">
              <w:rPr>
                <w:b/>
                <w:sz w:val="18"/>
                <w:szCs w:val="18"/>
              </w:rPr>
              <w:t>Baseline:</w:t>
            </w:r>
            <w:r w:rsidRPr="00123906">
              <w:rPr>
                <w:sz w:val="18"/>
                <w:szCs w:val="18"/>
              </w:rPr>
              <w:t xml:space="preserve"> 7%; </w:t>
            </w:r>
            <w:r w:rsidRPr="00123906">
              <w:rPr>
                <w:b/>
                <w:sz w:val="18"/>
                <w:szCs w:val="18"/>
              </w:rPr>
              <w:t>Target:</w:t>
            </w:r>
            <w:r w:rsidRPr="00123906">
              <w:rPr>
                <w:sz w:val="18"/>
                <w:szCs w:val="18"/>
              </w:rPr>
              <w:t xml:space="preserve"> 15% (30% female-headed, 40% coverage of households with persons with disabilities)</w:t>
            </w:r>
          </w:p>
          <w:p w14:paraId="2E4FD61E" w14:textId="77777777" w:rsidR="007034ED" w:rsidRPr="00123906" w:rsidRDefault="007034ED" w:rsidP="007C69FB">
            <w:pPr>
              <w:rPr>
                <w:sz w:val="18"/>
                <w:szCs w:val="18"/>
              </w:rPr>
            </w:pPr>
            <w:r w:rsidRPr="00123906">
              <w:rPr>
                <w:b/>
                <w:sz w:val="18"/>
                <w:szCs w:val="18"/>
              </w:rPr>
              <w:lastRenderedPageBreak/>
              <w:t>Data source:</w:t>
            </w:r>
            <w:r w:rsidRPr="00123906">
              <w:rPr>
                <w:sz w:val="18"/>
                <w:szCs w:val="18"/>
              </w:rPr>
              <w:t xml:space="preserve"> Department of Energy Services</w:t>
            </w:r>
          </w:p>
          <w:p w14:paraId="2E4FD61F" w14:textId="77777777" w:rsidR="007034ED" w:rsidRPr="00123906" w:rsidRDefault="007034ED" w:rsidP="007C69FB">
            <w:pPr>
              <w:rPr>
                <w:bCs/>
                <w:sz w:val="18"/>
                <w:szCs w:val="18"/>
              </w:rPr>
            </w:pPr>
          </w:p>
          <w:p w14:paraId="2E4FD620" w14:textId="77777777" w:rsidR="007034ED" w:rsidRPr="00123906" w:rsidRDefault="007034ED" w:rsidP="007C69FB">
            <w:pPr>
              <w:rPr>
                <w:b/>
                <w:bCs/>
                <w:sz w:val="18"/>
                <w:szCs w:val="18"/>
              </w:rPr>
            </w:pPr>
            <w:r w:rsidRPr="00123906">
              <w:rPr>
                <w:b/>
                <w:bCs/>
                <w:sz w:val="18"/>
                <w:szCs w:val="18"/>
              </w:rPr>
              <w:t xml:space="preserve">Indicator 1.3.2: </w:t>
            </w:r>
            <w:r w:rsidRPr="00123906">
              <w:rPr>
                <w:sz w:val="18"/>
                <w:szCs w:val="18"/>
              </w:rPr>
              <w:t xml:space="preserve">Cumulative installed generation capacity for rural populations through mini-grids </w:t>
            </w:r>
          </w:p>
          <w:p w14:paraId="2E4FD621" w14:textId="77777777" w:rsidR="007034ED" w:rsidRPr="00123906" w:rsidRDefault="007034ED" w:rsidP="007C69FB">
            <w:pPr>
              <w:rPr>
                <w:bCs/>
                <w:sz w:val="18"/>
                <w:szCs w:val="18"/>
              </w:rPr>
            </w:pPr>
            <w:r w:rsidRPr="00123906">
              <w:rPr>
                <w:b/>
                <w:bCs/>
                <w:sz w:val="18"/>
                <w:szCs w:val="18"/>
              </w:rPr>
              <w:t>Baseline</w:t>
            </w:r>
            <w:r w:rsidRPr="00123906">
              <w:rPr>
                <w:sz w:val="18"/>
                <w:szCs w:val="18"/>
              </w:rPr>
              <w:t xml:space="preserve">:  56 kW; </w:t>
            </w:r>
            <w:r w:rsidRPr="00123906">
              <w:rPr>
                <w:b/>
                <w:bCs/>
                <w:sz w:val="18"/>
                <w:szCs w:val="18"/>
              </w:rPr>
              <w:t>Target</w:t>
            </w:r>
            <w:r w:rsidRPr="00123906">
              <w:rPr>
                <w:sz w:val="18"/>
                <w:szCs w:val="18"/>
              </w:rPr>
              <w:t>: 2,000 kW</w:t>
            </w:r>
          </w:p>
          <w:p w14:paraId="2E4FD623" w14:textId="42D12271" w:rsidR="007034ED" w:rsidRPr="00123906" w:rsidRDefault="007034ED" w:rsidP="007C69FB">
            <w:pPr>
              <w:rPr>
                <w:sz w:val="18"/>
                <w:szCs w:val="18"/>
              </w:rPr>
            </w:pPr>
            <w:r w:rsidRPr="00123906">
              <w:rPr>
                <w:b/>
                <w:sz w:val="18"/>
                <w:szCs w:val="18"/>
              </w:rPr>
              <w:t>Data source</w:t>
            </w:r>
            <w:r w:rsidRPr="00123906">
              <w:rPr>
                <w:sz w:val="18"/>
                <w:szCs w:val="18"/>
              </w:rPr>
              <w:t>: Department of Energy Services</w:t>
            </w:r>
          </w:p>
        </w:tc>
        <w:tc>
          <w:tcPr>
            <w:tcW w:w="2340" w:type="dxa"/>
            <w:vAlign w:val="center"/>
          </w:tcPr>
          <w:p w14:paraId="2E4FD625" w14:textId="224A5E4C" w:rsidR="007034ED" w:rsidRPr="00A977E3" w:rsidRDefault="007034ED" w:rsidP="00C94743">
            <w:pPr>
              <w:rPr>
                <w:iCs/>
                <w:color w:val="000000"/>
                <w:sz w:val="18"/>
                <w:szCs w:val="18"/>
              </w:rPr>
            </w:pPr>
            <w:r w:rsidRPr="00123906">
              <w:rPr>
                <w:iCs/>
                <w:color w:val="000000"/>
                <w:sz w:val="18"/>
                <w:szCs w:val="18"/>
              </w:rPr>
              <w:lastRenderedPageBreak/>
              <w:t xml:space="preserve">Ministry of Natural Resources, Energy, and Mining (Depts. of Energy, </w:t>
            </w:r>
            <w:r w:rsidR="009B6FBC">
              <w:rPr>
                <w:iCs/>
                <w:color w:val="000000"/>
                <w:sz w:val="18"/>
                <w:szCs w:val="18"/>
              </w:rPr>
              <w:t xml:space="preserve">of </w:t>
            </w:r>
            <w:r w:rsidRPr="00123906">
              <w:rPr>
                <w:iCs/>
                <w:color w:val="000000"/>
                <w:sz w:val="18"/>
                <w:szCs w:val="18"/>
              </w:rPr>
              <w:t xml:space="preserve">Environmental Affairs, </w:t>
            </w:r>
            <w:r w:rsidR="009B6FBC">
              <w:rPr>
                <w:iCs/>
                <w:color w:val="000000"/>
                <w:sz w:val="18"/>
                <w:szCs w:val="18"/>
              </w:rPr>
              <w:t xml:space="preserve">of </w:t>
            </w:r>
            <w:r w:rsidRPr="00123906">
              <w:rPr>
                <w:iCs/>
                <w:color w:val="000000"/>
                <w:sz w:val="18"/>
                <w:szCs w:val="18"/>
              </w:rPr>
              <w:t xml:space="preserve">Forestry, </w:t>
            </w:r>
            <w:r w:rsidR="009B6FBC">
              <w:rPr>
                <w:iCs/>
                <w:color w:val="000000"/>
                <w:sz w:val="18"/>
                <w:szCs w:val="18"/>
              </w:rPr>
              <w:t xml:space="preserve">and of </w:t>
            </w:r>
            <w:r w:rsidRPr="00123906">
              <w:rPr>
                <w:iCs/>
                <w:color w:val="000000"/>
                <w:sz w:val="18"/>
                <w:szCs w:val="18"/>
              </w:rPr>
              <w:t>Climate Change), GEF, bilateral donors.</w:t>
            </w:r>
          </w:p>
        </w:tc>
        <w:tc>
          <w:tcPr>
            <w:tcW w:w="1265" w:type="dxa"/>
            <w:vMerge/>
            <w:tcBorders>
              <w:right w:val="single" w:sz="4" w:space="0" w:color="auto"/>
            </w:tcBorders>
            <w:vAlign w:val="center"/>
          </w:tcPr>
          <w:p w14:paraId="2E4FD626" w14:textId="77777777" w:rsidR="007034ED" w:rsidRPr="00123906" w:rsidRDefault="007034ED" w:rsidP="00587E93">
            <w:pPr>
              <w:rPr>
                <w:sz w:val="18"/>
                <w:szCs w:val="18"/>
              </w:rPr>
            </w:pPr>
          </w:p>
        </w:tc>
      </w:tr>
    </w:tbl>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3499"/>
      </w:tblGrid>
      <w:tr w:rsidR="007034ED" w:rsidRPr="00123906" w14:paraId="2E4FD62A" w14:textId="77777777" w:rsidTr="00A977E3">
        <w:trPr>
          <w:trHeight w:val="25"/>
        </w:trPr>
        <w:tc>
          <w:tcPr>
            <w:tcW w:w="5000" w:type="pct"/>
            <w:shd w:val="clear" w:color="auto" w:fill="auto"/>
            <w:tcMar>
              <w:top w:w="72" w:type="dxa"/>
              <w:left w:w="144" w:type="dxa"/>
              <w:bottom w:w="72" w:type="dxa"/>
              <w:right w:w="144" w:type="dxa"/>
            </w:tcMar>
          </w:tcPr>
          <w:p w14:paraId="2E4FD629" w14:textId="77777777" w:rsidR="007034ED" w:rsidRPr="00123906" w:rsidRDefault="007034ED" w:rsidP="00587E93">
            <w:pPr>
              <w:rPr>
                <w:color w:val="000000"/>
                <w:sz w:val="18"/>
                <w:szCs w:val="18"/>
              </w:rPr>
            </w:pPr>
            <w:r w:rsidRPr="00123906">
              <w:rPr>
                <w:b/>
                <w:bCs/>
                <w:color w:val="000000"/>
                <w:sz w:val="18"/>
                <w:szCs w:val="18"/>
                <w:lang w:val="en-GB"/>
              </w:rPr>
              <w:t xml:space="preserve">NATIONAL PRIORITY OR GOAL: </w:t>
            </w:r>
            <w:r w:rsidRPr="00123906">
              <w:rPr>
                <w:b/>
                <w:bCs/>
                <w:color w:val="000000" w:themeColor="text1"/>
                <w:sz w:val="18"/>
                <w:szCs w:val="18"/>
                <w:lang w:val="en-GB" w:eastAsia="en-GB"/>
              </w:rPr>
              <w:t>Actively respond to climate change, prevent disasters, strengthen sustainable natural resource management and environmental protection</w:t>
            </w:r>
            <w:r w:rsidRPr="00123906">
              <w:rPr>
                <w:color w:val="000000" w:themeColor="text1"/>
                <w:sz w:val="18"/>
                <w:szCs w:val="18"/>
              </w:rPr>
              <w:t xml:space="preserve"> </w:t>
            </w:r>
          </w:p>
        </w:tc>
      </w:tr>
      <w:tr w:rsidR="007034ED" w:rsidRPr="00123906" w14:paraId="2E4FD62C" w14:textId="77777777" w:rsidTr="00A977E3">
        <w:trPr>
          <w:trHeight w:val="127"/>
        </w:trPr>
        <w:tc>
          <w:tcPr>
            <w:tcW w:w="5000" w:type="pct"/>
            <w:shd w:val="clear" w:color="auto" w:fill="auto"/>
            <w:tcMar>
              <w:top w:w="72" w:type="dxa"/>
              <w:left w:w="144" w:type="dxa"/>
              <w:bottom w:w="72" w:type="dxa"/>
              <w:right w:w="144" w:type="dxa"/>
            </w:tcMar>
          </w:tcPr>
          <w:p w14:paraId="2E4FD62B" w14:textId="02A7AFDC" w:rsidR="007034ED" w:rsidRPr="00123906" w:rsidRDefault="007034ED" w:rsidP="00587E93">
            <w:pPr>
              <w:tabs>
                <w:tab w:val="left" w:pos="3429"/>
              </w:tabs>
              <w:contextualSpacing/>
              <w:rPr>
                <w:rFonts w:eastAsiaTheme="minorEastAsia"/>
                <w:sz w:val="18"/>
                <w:szCs w:val="18"/>
              </w:rPr>
            </w:pPr>
            <w:r w:rsidRPr="00123906">
              <w:rPr>
                <w:b/>
                <w:bCs/>
                <w:color w:val="000000"/>
                <w:sz w:val="18"/>
                <w:szCs w:val="18"/>
                <w:lang w:val="en-GB"/>
              </w:rPr>
              <w:t>UNDAF OUTCOME INVOLVING UNDP #2:</w:t>
            </w:r>
            <w:r w:rsidRPr="00123906">
              <w:rPr>
                <w:color w:val="000000"/>
                <w:sz w:val="18"/>
                <w:szCs w:val="18"/>
                <w:lang w:val="en-GB"/>
              </w:rPr>
              <w:t xml:space="preserve"> </w:t>
            </w:r>
            <w:r w:rsidRPr="00123906">
              <w:rPr>
                <w:sz w:val="18"/>
                <w:szCs w:val="18"/>
                <w:lang w:val="en-GB"/>
              </w:rPr>
              <w:t>By 2023, households have increased food and nutrition security, equitable access to healthy ecosystems and resilient livelihoods</w:t>
            </w:r>
            <w:r w:rsidR="00BB1AEC">
              <w:rPr>
                <w:sz w:val="18"/>
                <w:szCs w:val="18"/>
                <w:lang w:val="en-GB"/>
              </w:rPr>
              <w:t>.</w:t>
            </w:r>
          </w:p>
        </w:tc>
      </w:tr>
      <w:tr w:rsidR="007034ED" w:rsidRPr="00123906" w14:paraId="2E4FD62E" w14:textId="77777777" w:rsidTr="00A977E3">
        <w:trPr>
          <w:trHeight w:val="127"/>
        </w:trPr>
        <w:tc>
          <w:tcPr>
            <w:tcW w:w="5000" w:type="pct"/>
            <w:shd w:val="clear" w:color="auto" w:fill="auto"/>
            <w:tcMar>
              <w:top w:w="72" w:type="dxa"/>
              <w:left w:w="144" w:type="dxa"/>
              <w:bottom w:w="72" w:type="dxa"/>
              <w:right w:w="144" w:type="dxa"/>
            </w:tcMar>
          </w:tcPr>
          <w:p w14:paraId="2E4FD62D" w14:textId="037CCB86" w:rsidR="007034ED" w:rsidRPr="00123906" w:rsidRDefault="007034ED" w:rsidP="00587E93">
            <w:pPr>
              <w:rPr>
                <w:sz w:val="18"/>
                <w:szCs w:val="18"/>
              </w:rPr>
            </w:pPr>
            <w:r w:rsidRPr="00123906">
              <w:rPr>
                <w:b/>
                <w:bCs/>
                <w:color w:val="000000"/>
                <w:sz w:val="18"/>
                <w:szCs w:val="18"/>
                <w:lang w:val="en-GB"/>
              </w:rPr>
              <w:t xml:space="preserve">RELATED STRATEGIC PLAN OUTCOMES:  </w:t>
            </w:r>
            <w:r w:rsidRPr="00123906">
              <w:rPr>
                <w:rFonts w:eastAsia="Calibri"/>
                <w:b/>
                <w:bCs/>
                <w:sz w:val="18"/>
                <w:szCs w:val="18"/>
                <w:lang w:val="en-GB"/>
              </w:rPr>
              <w:t xml:space="preserve">Outcome 3: </w:t>
            </w:r>
            <w:r w:rsidRPr="00123906">
              <w:rPr>
                <w:rFonts w:eastAsia="Calibri"/>
                <w:bCs/>
                <w:sz w:val="18"/>
                <w:szCs w:val="18"/>
                <w:lang w:val="en-GB"/>
              </w:rPr>
              <w:t>Strengthening resilience and shocks to crises</w:t>
            </w:r>
          </w:p>
        </w:tc>
      </w:tr>
    </w:tbl>
    <w:tbl>
      <w:tblPr>
        <w:tblStyle w:val="TableGrid"/>
        <w:tblW w:w="13495" w:type="dxa"/>
        <w:tblLayout w:type="fixed"/>
        <w:tblLook w:val="04A0" w:firstRow="1" w:lastRow="0" w:firstColumn="1" w:lastColumn="0" w:noHBand="0" w:noVBand="1"/>
      </w:tblPr>
      <w:tblGrid>
        <w:gridCol w:w="2246"/>
        <w:gridCol w:w="1801"/>
        <w:gridCol w:w="5852"/>
        <w:gridCol w:w="2341"/>
        <w:gridCol w:w="1255"/>
      </w:tblGrid>
      <w:tr w:rsidR="007034ED" w:rsidRPr="00123906" w14:paraId="2E4FD65E" w14:textId="77777777" w:rsidTr="00A977E3">
        <w:tc>
          <w:tcPr>
            <w:tcW w:w="2246" w:type="dxa"/>
            <w:vMerge w:val="restart"/>
            <w:vAlign w:val="center"/>
          </w:tcPr>
          <w:p w14:paraId="2E4FD62F" w14:textId="77777777" w:rsidR="007034ED" w:rsidRPr="00123906" w:rsidRDefault="007034ED" w:rsidP="00587E93">
            <w:pPr>
              <w:rPr>
                <w:bCs/>
                <w:sz w:val="18"/>
                <w:szCs w:val="18"/>
              </w:rPr>
            </w:pPr>
            <w:r w:rsidRPr="00123906">
              <w:rPr>
                <w:b/>
                <w:bCs/>
                <w:sz w:val="18"/>
                <w:szCs w:val="18"/>
              </w:rPr>
              <w:t xml:space="preserve">2.1 </w:t>
            </w:r>
            <w:r w:rsidRPr="00123906">
              <w:rPr>
                <w:bCs/>
                <w:sz w:val="18"/>
                <w:szCs w:val="18"/>
              </w:rPr>
              <w:t>Multi-dimensional poverty rates (by sex, location, income, age)</w:t>
            </w:r>
          </w:p>
          <w:p w14:paraId="2E4FD630" w14:textId="77777777" w:rsidR="007034ED" w:rsidRPr="00123906" w:rsidRDefault="007034ED" w:rsidP="00587E93">
            <w:pPr>
              <w:rPr>
                <w:b/>
                <w:bCs/>
                <w:sz w:val="18"/>
                <w:szCs w:val="18"/>
              </w:rPr>
            </w:pPr>
          </w:p>
          <w:p w14:paraId="2E4FD631" w14:textId="48C42B4F" w:rsidR="007034ED" w:rsidRPr="00123906" w:rsidRDefault="007034ED" w:rsidP="00587E93">
            <w:pPr>
              <w:rPr>
                <w:bCs/>
                <w:sz w:val="18"/>
                <w:szCs w:val="18"/>
              </w:rPr>
            </w:pPr>
            <w:r w:rsidRPr="00123906">
              <w:rPr>
                <w:b/>
                <w:bCs/>
                <w:sz w:val="18"/>
                <w:szCs w:val="18"/>
              </w:rPr>
              <w:t xml:space="preserve">Baseline: </w:t>
            </w:r>
            <w:r w:rsidRPr="00123906">
              <w:rPr>
                <w:bCs/>
                <w:sz w:val="18"/>
                <w:szCs w:val="18"/>
              </w:rPr>
              <w:t>0.273 (H</w:t>
            </w:r>
            <w:r w:rsidR="00BB1AEC">
              <w:rPr>
                <w:bCs/>
                <w:sz w:val="18"/>
                <w:szCs w:val="18"/>
              </w:rPr>
              <w:t xml:space="preserve">uman </w:t>
            </w:r>
            <w:r w:rsidRPr="00123906">
              <w:rPr>
                <w:bCs/>
                <w:sz w:val="18"/>
                <w:szCs w:val="18"/>
              </w:rPr>
              <w:t>D</w:t>
            </w:r>
            <w:r w:rsidR="00BB1AEC">
              <w:rPr>
                <w:bCs/>
                <w:sz w:val="18"/>
                <w:szCs w:val="18"/>
              </w:rPr>
              <w:t xml:space="preserve">evelopment </w:t>
            </w:r>
            <w:r w:rsidRPr="00123906">
              <w:rPr>
                <w:bCs/>
                <w:sz w:val="18"/>
                <w:szCs w:val="18"/>
              </w:rPr>
              <w:t>R</w:t>
            </w:r>
            <w:r w:rsidR="00BB1AEC">
              <w:rPr>
                <w:bCs/>
                <w:sz w:val="18"/>
                <w:szCs w:val="18"/>
              </w:rPr>
              <w:t>eport (HDR)</w:t>
            </w:r>
            <w:r w:rsidRPr="00123906">
              <w:rPr>
                <w:bCs/>
                <w:sz w:val="18"/>
                <w:szCs w:val="18"/>
              </w:rPr>
              <w:t>, 2016)</w:t>
            </w:r>
          </w:p>
          <w:p w14:paraId="2E4FD632" w14:textId="77777777" w:rsidR="007034ED" w:rsidRPr="00123906" w:rsidRDefault="007034ED" w:rsidP="00587E93">
            <w:pPr>
              <w:rPr>
                <w:b/>
                <w:bCs/>
                <w:sz w:val="18"/>
                <w:szCs w:val="18"/>
              </w:rPr>
            </w:pPr>
            <w:r w:rsidRPr="00123906">
              <w:rPr>
                <w:b/>
                <w:bCs/>
                <w:sz w:val="18"/>
                <w:szCs w:val="18"/>
              </w:rPr>
              <w:t xml:space="preserve">Target: </w:t>
            </w:r>
            <w:r w:rsidRPr="00123906">
              <w:rPr>
                <w:bCs/>
                <w:sz w:val="18"/>
                <w:szCs w:val="18"/>
              </w:rPr>
              <w:t>0.260 (HDR, 2023)</w:t>
            </w:r>
          </w:p>
          <w:p w14:paraId="2E4FD633" w14:textId="77777777" w:rsidR="007034ED" w:rsidRPr="00123906" w:rsidRDefault="007034ED" w:rsidP="00587E93">
            <w:pPr>
              <w:rPr>
                <w:b/>
                <w:bCs/>
                <w:sz w:val="18"/>
                <w:szCs w:val="18"/>
              </w:rPr>
            </w:pPr>
          </w:p>
          <w:p w14:paraId="2E4FD634" w14:textId="77777777" w:rsidR="007034ED" w:rsidRPr="00123906" w:rsidRDefault="007034ED" w:rsidP="00587E93">
            <w:pPr>
              <w:rPr>
                <w:bCs/>
                <w:sz w:val="18"/>
                <w:szCs w:val="18"/>
              </w:rPr>
            </w:pPr>
            <w:r w:rsidRPr="00123906">
              <w:rPr>
                <w:b/>
                <w:bCs/>
                <w:sz w:val="18"/>
                <w:szCs w:val="18"/>
              </w:rPr>
              <w:t>2.2</w:t>
            </w:r>
            <w:r w:rsidRPr="00123906">
              <w:rPr>
                <w:sz w:val="18"/>
                <w:szCs w:val="18"/>
              </w:rPr>
              <w:t xml:space="preserve"> Gini index   </w:t>
            </w:r>
          </w:p>
          <w:p w14:paraId="0FA11AAB" w14:textId="77777777" w:rsidR="00547768" w:rsidRDefault="007034ED" w:rsidP="00587E93">
            <w:pPr>
              <w:rPr>
                <w:sz w:val="18"/>
                <w:szCs w:val="18"/>
              </w:rPr>
            </w:pPr>
            <w:r w:rsidRPr="00123906">
              <w:rPr>
                <w:b/>
                <w:sz w:val="18"/>
                <w:szCs w:val="18"/>
              </w:rPr>
              <w:t>Baseline</w:t>
            </w:r>
            <w:r w:rsidRPr="00123906">
              <w:rPr>
                <w:sz w:val="18"/>
                <w:szCs w:val="18"/>
              </w:rPr>
              <w:t xml:space="preserve">: 46.1 </w:t>
            </w:r>
          </w:p>
          <w:p w14:paraId="2E4FD635" w14:textId="2F92039B" w:rsidR="007034ED" w:rsidRPr="00123906" w:rsidRDefault="007034ED" w:rsidP="00587E93">
            <w:pPr>
              <w:rPr>
                <w:bCs/>
                <w:sz w:val="18"/>
                <w:szCs w:val="18"/>
              </w:rPr>
            </w:pPr>
            <w:r w:rsidRPr="00123906">
              <w:rPr>
                <w:sz w:val="18"/>
                <w:szCs w:val="18"/>
              </w:rPr>
              <w:t>(HDR, 2016)</w:t>
            </w:r>
          </w:p>
          <w:p w14:paraId="2E4FD636" w14:textId="77777777" w:rsidR="007034ED" w:rsidRPr="00123906" w:rsidRDefault="007034ED" w:rsidP="00587E93">
            <w:pPr>
              <w:rPr>
                <w:sz w:val="18"/>
                <w:szCs w:val="18"/>
              </w:rPr>
            </w:pPr>
            <w:r w:rsidRPr="00123906">
              <w:rPr>
                <w:b/>
                <w:sz w:val="18"/>
                <w:szCs w:val="18"/>
              </w:rPr>
              <w:t>Target</w:t>
            </w:r>
            <w:r w:rsidRPr="00123906">
              <w:rPr>
                <w:sz w:val="18"/>
                <w:szCs w:val="18"/>
              </w:rPr>
              <w:t>: 40.0 [2005 range]</w:t>
            </w:r>
          </w:p>
          <w:p w14:paraId="2E4FD637" w14:textId="77777777" w:rsidR="007034ED" w:rsidRPr="00123906" w:rsidRDefault="007034ED" w:rsidP="00587E93">
            <w:pPr>
              <w:rPr>
                <w:sz w:val="18"/>
                <w:szCs w:val="18"/>
              </w:rPr>
            </w:pPr>
          </w:p>
          <w:p w14:paraId="2E4FD638" w14:textId="77777777" w:rsidR="007034ED" w:rsidRPr="00123906" w:rsidRDefault="007034ED" w:rsidP="00587E93">
            <w:pPr>
              <w:rPr>
                <w:sz w:val="18"/>
                <w:szCs w:val="18"/>
              </w:rPr>
            </w:pPr>
          </w:p>
          <w:p w14:paraId="2E4FD639" w14:textId="3DA9D3DF" w:rsidR="007034ED" w:rsidRPr="00123906" w:rsidRDefault="007034ED" w:rsidP="00587E93">
            <w:pPr>
              <w:rPr>
                <w:sz w:val="18"/>
                <w:szCs w:val="18"/>
              </w:rPr>
            </w:pPr>
            <w:r w:rsidRPr="00123906">
              <w:rPr>
                <w:b/>
                <w:bCs/>
                <w:sz w:val="18"/>
                <w:szCs w:val="18"/>
              </w:rPr>
              <w:t>2.3</w:t>
            </w:r>
            <w:r w:rsidRPr="00123906">
              <w:rPr>
                <w:sz w:val="18"/>
                <w:szCs w:val="18"/>
              </w:rPr>
              <w:t xml:space="preserve"> Economic loss from natural hazards (e.g. geophysical and climate-induced hazards) as a proportion of GDP</w:t>
            </w:r>
          </w:p>
          <w:p w14:paraId="2E4FD63A" w14:textId="022FB957" w:rsidR="007034ED" w:rsidRPr="00123906" w:rsidRDefault="007034ED" w:rsidP="00587E93">
            <w:pPr>
              <w:rPr>
                <w:bCs/>
                <w:sz w:val="18"/>
                <w:szCs w:val="18"/>
              </w:rPr>
            </w:pPr>
            <w:r w:rsidRPr="00123906">
              <w:rPr>
                <w:b/>
                <w:sz w:val="18"/>
                <w:szCs w:val="18"/>
              </w:rPr>
              <w:t>Baseline</w:t>
            </w:r>
            <w:r w:rsidRPr="00123906">
              <w:rPr>
                <w:sz w:val="18"/>
                <w:szCs w:val="18"/>
              </w:rPr>
              <w:t>: 12.74% (2016) (</w:t>
            </w:r>
            <w:r w:rsidR="00547768">
              <w:rPr>
                <w:sz w:val="18"/>
                <w:szCs w:val="18"/>
              </w:rPr>
              <w:t>Sustainable Development Goal i</w:t>
            </w:r>
            <w:r w:rsidR="00547768" w:rsidRPr="00123906">
              <w:rPr>
                <w:sz w:val="18"/>
                <w:szCs w:val="18"/>
              </w:rPr>
              <w:t>ndicators</w:t>
            </w:r>
            <w:r w:rsidRPr="00123906">
              <w:rPr>
                <w:sz w:val="18"/>
                <w:szCs w:val="18"/>
              </w:rPr>
              <w:t xml:space="preserve">, 2016 </w:t>
            </w:r>
            <w:r w:rsidR="00547768">
              <w:rPr>
                <w:sz w:val="18"/>
                <w:szCs w:val="18"/>
              </w:rPr>
              <w:t>r</w:t>
            </w:r>
            <w:r w:rsidR="00547768" w:rsidRPr="00123906">
              <w:rPr>
                <w:sz w:val="18"/>
                <w:szCs w:val="18"/>
              </w:rPr>
              <w:t>eport</w:t>
            </w:r>
            <w:r w:rsidRPr="00123906">
              <w:rPr>
                <w:sz w:val="18"/>
                <w:szCs w:val="18"/>
              </w:rPr>
              <w:t>)</w:t>
            </w:r>
          </w:p>
          <w:p w14:paraId="2E4FD63D" w14:textId="7921B7B2" w:rsidR="007034ED" w:rsidRPr="00123906" w:rsidRDefault="007034ED" w:rsidP="00587E93">
            <w:pPr>
              <w:rPr>
                <w:bCs/>
                <w:sz w:val="18"/>
                <w:szCs w:val="18"/>
              </w:rPr>
            </w:pPr>
            <w:r w:rsidRPr="00123906">
              <w:rPr>
                <w:b/>
                <w:sz w:val="18"/>
                <w:szCs w:val="18"/>
              </w:rPr>
              <w:t>Target</w:t>
            </w:r>
            <w:r w:rsidRPr="00123906">
              <w:rPr>
                <w:sz w:val="18"/>
                <w:szCs w:val="18"/>
              </w:rPr>
              <w:t>: below 10%. (2023)</w:t>
            </w:r>
          </w:p>
        </w:tc>
        <w:tc>
          <w:tcPr>
            <w:tcW w:w="1801" w:type="dxa"/>
            <w:vMerge w:val="restart"/>
            <w:vAlign w:val="center"/>
          </w:tcPr>
          <w:p w14:paraId="2E4FD63E" w14:textId="77777777" w:rsidR="007034ED" w:rsidRPr="00123906" w:rsidRDefault="007034ED" w:rsidP="00DA67AA">
            <w:pPr>
              <w:pStyle w:val="ListParagraph"/>
              <w:numPr>
                <w:ilvl w:val="0"/>
                <w:numId w:val="3"/>
              </w:numPr>
              <w:ind w:left="0"/>
              <w:rPr>
                <w:color w:val="000000"/>
                <w:sz w:val="18"/>
                <w:szCs w:val="18"/>
              </w:rPr>
            </w:pPr>
          </w:p>
          <w:p w14:paraId="2E4FD63F" w14:textId="77777777" w:rsidR="007034ED" w:rsidRPr="00123906" w:rsidRDefault="007034ED" w:rsidP="00DA67AA">
            <w:pPr>
              <w:pStyle w:val="ListParagraph"/>
              <w:numPr>
                <w:ilvl w:val="0"/>
                <w:numId w:val="3"/>
              </w:numPr>
              <w:ind w:left="0"/>
              <w:rPr>
                <w:color w:val="000000"/>
                <w:sz w:val="18"/>
                <w:szCs w:val="18"/>
              </w:rPr>
            </w:pPr>
          </w:p>
          <w:p w14:paraId="2E4FD640" w14:textId="77777777" w:rsidR="007034ED" w:rsidRPr="00123906" w:rsidRDefault="007034ED" w:rsidP="00DA67AA">
            <w:pPr>
              <w:pStyle w:val="ListParagraph"/>
              <w:numPr>
                <w:ilvl w:val="0"/>
                <w:numId w:val="3"/>
              </w:numPr>
              <w:ind w:left="0"/>
              <w:rPr>
                <w:color w:val="000000"/>
                <w:sz w:val="18"/>
                <w:szCs w:val="18"/>
              </w:rPr>
            </w:pPr>
            <w:r w:rsidRPr="00123906">
              <w:rPr>
                <w:color w:val="000000"/>
                <w:sz w:val="18"/>
                <w:szCs w:val="18"/>
              </w:rPr>
              <w:t>Integrated Household Survey Report</w:t>
            </w:r>
          </w:p>
          <w:p w14:paraId="2E4FD641" w14:textId="77777777" w:rsidR="007034ED" w:rsidRPr="00123906" w:rsidRDefault="007034ED" w:rsidP="00587E93">
            <w:pPr>
              <w:rPr>
                <w:bCs/>
                <w:color w:val="000000"/>
                <w:sz w:val="18"/>
                <w:szCs w:val="18"/>
              </w:rPr>
            </w:pPr>
          </w:p>
          <w:p w14:paraId="2E4FD642" w14:textId="77777777" w:rsidR="007034ED" w:rsidRPr="00123906" w:rsidRDefault="007034ED" w:rsidP="00587E93">
            <w:pPr>
              <w:pStyle w:val="ListParagraph"/>
              <w:ind w:left="0"/>
              <w:rPr>
                <w:color w:val="000000"/>
                <w:sz w:val="18"/>
                <w:szCs w:val="18"/>
              </w:rPr>
            </w:pPr>
            <w:r w:rsidRPr="00123906">
              <w:rPr>
                <w:color w:val="000000"/>
                <w:sz w:val="18"/>
                <w:szCs w:val="18"/>
              </w:rPr>
              <w:t>Human Development Report</w:t>
            </w:r>
          </w:p>
          <w:p w14:paraId="2E4FD643" w14:textId="77777777" w:rsidR="007034ED" w:rsidRPr="00123906" w:rsidRDefault="007034ED" w:rsidP="00587E93">
            <w:pPr>
              <w:pStyle w:val="ListParagraph"/>
              <w:ind w:left="0"/>
              <w:rPr>
                <w:bCs/>
                <w:color w:val="000000"/>
                <w:sz w:val="18"/>
                <w:szCs w:val="18"/>
              </w:rPr>
            </w:pPr>
          </w:p>
          <w:p w14:paraId="2E4FD644" w14:textId="6BE934AA" w:rsidR="007034ED" w:rsidRPr="00123906" w:rsidRDefault="007034ED" w:rsidP="00587E93">
            <w:pPr>
              <w:jc w:val="both"/>
              <w:rPr>
                <w:sz w:val="18"/>
                <w:szCs w:val="18"/>
              </w:rPr>
            </w:pPr>
            <w:r w:rsidRPr="00123906">
              <w:rPr>
                <w:sz w:val="18"/>
                <w:szCs w:val="18"/>
              </w:rPr>
              <w:t xml:space="preserve">Independent </w:t>
            </w:r>
            <w:r w:rsidR="00BB1AEC">
              <w:rPr>
                <w:sz w:val="18"/>
                <w:szCs w:val="18"/>
              </w:rPr>
              <w:t>r</w:t>
            </w:r>
            <w:r w:rsidR="00BB1AEC" w:rsidRPr="00123906">
              <w:rPr>
                <w:sz w:val="18"/>
                <w:szCs w:val="18"/>
              </w:rPr>
              <w:t>eviews</w:t>
            </w:r>
          </w:p>
        </w:tc>
        <w:tc>
          <w:tcPr>
            <w:tcW w:w="5852" w:type="dxa"/>
          </w:tcPr>
          <w:p w14:paraId="2E4FD645" w14:textId="6C963CEA" w:rsidR="007034ED" w:rsidRPr="00123906" w:rsidRDefault="007034ED" w:rsidP="00587E93">
            <w:pPr>
              <w:jc w:val="both"/>
              <w:rPr>
                <w:sz w:val="18"/>
                <w:szCs w:val="18"/>
              </w:rPr>
            </w:pPr>
            <w:r w:rsidRPr="00123906">
              <w:rPr>
                <w:b/>
                <w:bCs/>
                <w:sz w:val="18"/>
                <w:szCs w:val="18"/>
              </w:rPr>
              <w:t>Output 2.1</w:t>
            </w:r>
            <w:r w:rsidRPr="00123906">
              <w:rPr>
                <w:sz w:val="18"/>
                <w:szCs w:val="18"/>
              </w:rPr>
              <w:t xml:space="preserve">: </w:t>
            </w:r>
            <w:r w:rsidR="00547768" w:rsidRPr="00123906">
              <w:rPr>
                <w:sz w:val="18"/>
                <w:szCs w:val="18"/>
              </w:rPr>
              <w:t>Scaled</w:t>
            </w:r>
            <w:r w:rsidR="00547768">
              <w:rPr>
                <w:sz w:val="18"/>
                <w:szCs w:val="18"/>
              </w:rPr>
              <w:t>-</w:t>
            </w:r>
            <w:r w:rsidRPr="00123906">
              <w:rPr>
                <w:sz w:val="18"/>
                <w:szCs w:val="18"/>
              </w:rPr>
              <w:t>up action, finance and partnerships for climate change adaptation, mitigation and disaster risk management across sectors.</w:t>
            </w:r>
          </w:p>
          <w:p w14:paraId="2E4FD646" w14:textId="77777777" w:rsidR="007034ED" w:rsidRPr="00123906" w:rsidRDefault="007034ED" w:rsidP="00587E93">
            <w:pPr>
              <w:jc w:val="both"/>
              <w:rPr>
                <w:sz w:val="18"/>
                <w:szCs w:val="18"/>
              </w:rPr>
            </w:pPr>
          </w:p>
          <w:p w14:paraId="2E4FD647" w14:textId="0C86470F" w:rsidR="007034ED" w:rsidRPr="00123906" w:rsidRDefault="007034ED" w:rsidP="00587E93">
            <w:pPr>
              <w:jc w:val="both"/>
              <w:rPr>
                <w:sz w:val="18"/>
                <w:szCs w:val="18"/>
              </w:rPr>
            </w:pPr>
            <w:r w:rsidRPr="00123906">
              <w:rPr>
                <w:b/>
                <w:bCs/>
                <w:sz w:val="18"/>
                <w:szCs w:val="18"/>
              </w:rPr>
              <w:t xml:space="preserve">Indicator 2.1.1: </w:t>
            </w:r>
            <w:r w:rsidRPr="00123906">
              <w:rPr>
                <w:sz w:val="18"/>
                <w:szCs w:val="18"/>
              </w:rPr>
              <w:t xml:space="preserve">Proportion of local governments that adopt and implement climate adaptation, mitigation and disaster risk reduction </w:t>
            </w:r>
            <w:r w:rsidR="00547768">
              <w:rPr>
                <w:sz w:val="18"/>
                <w:szCs w:val="18"/>
              </w:rPr>
              <w:t xml:space="preserve">(DRR) </w:t>
            </w:r>
            <w:r w:rsidRPr="00123906">
              <w:rPr>
                <w:sz w:val="18"/>
                <w:szCs w:val="18"/>
              </w:rPr>
              <w:t xml:space="preserve">strategies, including through </w:t>
            </w:r>
            <w:r w:rsidR="00547768">
              <w:rPr>
                <w:sz w:val="18"/>
                <w:szCs w:val="18"/>
              </w:rPr>
              <w:t>S</w:t>
            </w:r>
            <w:r w:rsidR="00547768" w:rsidRPr="00123906">
              <w:rPr>
                <w:sz w:val="18"/>
                <w:szCs w:val="18"/>
              </w:rPr>
              <w:t>outh</w:t>
            </w:r>
            <w:r w:rsidRPr="00123906">
              <w:rPr>
                <w:sz w:val="18"/>
                <w:szCs w:val="18"/>
              </w:rPr>
              <w:t>-</w:t>
            </w:r>
            <w:r w:rsidR="00547768">
              <w:rPr>
                <w:sz w:val="18"/>
                <w:szCs w:val="18"/>
              </w:rPr>
              <w:t>S</w:t>
            </w:r>
            <w:r w:rsidR="00547768" w:rsidRPr="00123906">
              <w:rPr>
                <w:sz w:val="18"/>
                <w:szCs w:val="18"/>
              </w:rPr>
              <w:t xml:space="preserve">outh </w:t>
            </w:r>
            <w:r w:rsidRPr="00123906">
              <w:rPr>
                <w:sz w:val="18"/>
                <w:szCs w:val="18"/>
              </w:rPr>
              <w:t>and trilateral cooperation.</w:t>
            </w:r>
          </w:p>
          <w:p w14:paraId="2E4FD649" w14:textId="77777777" w:rsidR="007034ED" w:rsidRPr="00123906" w:rsidRDefault="007034ED" w:rsidP="00587E93">
            <w:pPr>
              <w:jc w:val="both"/>
              <w:rPr>
                <w:sz w:val="18"/>
                <w:szCs w:val="18"/>
              </w:rPr>
            </w:pPr>
            <w:r w:rsidRPr="00123906">
              <w:rPr>
                <w:b/>
                <w:bCs/>
                <w:sz w:val="18"/>
                <w:szCs w:val="18"/>
              </w:rPr>
              <w:t>Baseline</w:t>
            </w:r>
            <w:r w:rsidRPr="00123906">
              <w:rPr>
                <w:sz w:val="18"/>
                <w:szCs w:val="18"/>
              </w:rPr>
              <w:t>:</w:t>
            </w:r>
            <w:r w:rsidRPr="00123906">
              <w:rPr>
                <w:color w:val="FF0000"/>
                <w:sz w:val="18"/>
                <w:szCs w:val="18"/>
              </w:rPr>
              <w:t xml:space="preserve"> </w:t>
            </w:r>
            <w:r w:rsidRPr="00123906">
              <w:rPr>
                <w:sz w:val="18"/>
                <w:szCs w:val="18"/>
              </w:rPr>
              <w:t xml:space="preserve">5; </w:t>
            </w:r>
            <w:r w:rsidRPr="00123906">
              <w:rPr>
                <w:b/>
                <w:bCs/>
                <w:sz w:val="18"/>
                <w:szCs w:val="18"/>
              </w:rPr>
              <w:t>Target</w:t>
            </w:r>
            <w:r w:rsidRPr="00123906">
              <w:rPr>
                <w:sz w:val="18"/>
                <w:szCs w:val="18"/>
              </w:rPr>
              <w:t>: 21</w:t>
            </w:r>
          </w:p>
          <w:p w14:paraId="2E4FD64A" w14:textId="77777777" w:rsidR="007034ED" w:rsidRPr="00123906" w:rsidRDefault="007034ED" w:rsidP="00587E93">
            <w:pPr>
              <w:jc w:val="both"/>
              <w:rPr>
                <w:sz w:val="18"/>
                <w:szCs w:val="18"/>
              </w:rPr>
            </w:pPr>
            <w:r w:rsidRPr="00123906">
              <w:rPr>
                <w:b/>
                <w:sz w:val="18"/>
                <w:szCs w:val="18"/>
              </w:rPr>
              <w:t>Data source</w:t>
            </w:r>
            <w:r w:rsidRPr="00123906">
              <w:rPr>
                <w:sz w:val="18"/>
                <w:szCs w:val="18"/>
              </w:rPr>
              <w:t xml:space="preserve">: Dept. of Disaster Management Affairs </w:t>
            </w:r>
          </w:p>
          <w:p w14:paraId="2E4FD64B" w14:textId="77777777" w:rsidR="007034ED" w:rsidRPr="00123906" w:rsidRDefault="007034ED" w:rsidP="00587E93">
            <w:pPr>
              <w:rPr>
                <w:sz w:val="18"/>
                <w:szCs w:val="18"/>
              </w:rPr>
            </w:pPr>
          </w:p>
          <w:p w14:paraId="2E4FD64C" w14:textId="77777777" w:rsidR="007034ED" w:rsidRPr="00123906" w:rsidRDefault="007034ED" w:rsidP="00587E93">
            <w:pPr>
              <w:jc w:val="both"/>
              <w:rPr>
                <w:sz w:val="18"/>
                <w:szCs w:val="18"/>
              </w:rPr>
            </w:pPr>
            <w:r w:rsidRPr="00123906">
              <w:rPr>
                <w:b/>
                <w:bCs/>
                <w:sz w:val="18"/>
                <w:szCs w:val="18"/>
              </w:rPr>
              <w:t>Indicator 2.1.2:</w:t>
            </w:r>
            <w:r w:rsidRPr="00123906">
              <w:rPr>
                <w:sz w:val="18"/>
                <w:szCs w:val="18"/>
              </w:rPr>
              <w:t xml:space="preserve"> Percentage of public expenditure on climate change adaptation and mitigation.</w:t>
            </w:r>
          </w:p>
          <w:p w14:paraId="2E4FD64D" w14:textId="67D2EAB2" w:rsidR="007034ED" w:rsidRPr="00123906" w:rsidRDefault="007034ED" w:rsidP="00587E93">
            <w:pPr>
              <w:jc w:val="both"/>
              <w:rPr>
                <w:sz w:val="18"/>
                <w:szCs w:val="18"/>
              </w:rPr>
            </w:pPr>
            <w:r w:rsidRPr="00123906">
              <w:rPr>
                <w:b/>
                <w:bCs/>
                <w:sz w:val="18"/>
                <w:szCs w:val="18"/>
              </w:rPr>
              <w:t>Baseline</w:t>
            </w:r>
            <w:r w:rsidRPr="00123906">
              <w:rPr>
                <w:sz w:val="18"/>
                <w:szCs w:val="18"/>
              </w:rPr>
              <w:t xml:space="preserve">: 3.5%; </w:t>
            </w:r>
            <w:r w:rsidRPr="00123906">
              <w:rPr>
                <w:b/>
                <w:bCs/>
                <w:sz w:val="18"/>
                <w:szCs w:val="18"/>
              </w:rPr>
              <w:t>Target</w:t>
            </w:r>
            <w:r w:rsidRPr="00123906">
              <w:rPr>
                <w:sz w:val="18"/>
                <w:szCs w:val="18"/>
              </w:rPr>
              <w:t xml:space="preserve">:  7%; </w:t>
            </w:r>
            <w:r w:rsidRPr="00123906">
              <w:rPr>
                <w:b/>
                <w:sz w:val="18"/>
                <w:szCs w:val="18"/>
              </w:rPr>
              <w:t>Data source:</w:t>
            </w:r>
            <w:r w:rsidRPr="00123906">
              <w:rPr>
                <w:sz w:val="18"/>
                <w:szCs w:val="18"/>
              </w:rPr>
              <w:t xml:space="preserve"> </w:t>
            </w:r>
            <w:r w:rsidR="00547768">
              <w:rPr>
                <w:sz w:val="18"/>
                <w:szCs w:val="18"/>
              </w:rPr>
              <w:t>i</w:t>
            </w:r>
            <w:r w:rsidR="00547768" w:rsidRPr="00123906">
              <w:rPr>
                <w:sz w:val="18"/>
                <w:szCs w:val="18"/>
              </w:rPr>
              <w:t xml:space="preserve">ndependent </w:t>
            </w:r>
            <w:r w:rsidR="00547768">
              <w:rPr>
                <w:sz w:val="18"/>
                <w:szCs w:val="18"/>
              </w:rPr>
              <w:t>c</w:t>
            </w:r>
            <w:r w:rsidR="00547768" w:rsidRPr="00123906">
              <w:rPr>
                <w:sz w:val="18"/>
                <w:szCs w:val="18"/>
              </w:rPr>
              <w:t xml:space="preserve">limate </w:t>
            </w:r>
            <w:r w:rsidR="00547768">
              <w:rPr>
                <w:sz w:val="18"/>
                <w:szCs w:val="18"/>
              </w:rPr>
              <w:t>and</w:t>
            </w:r>
            <w:r w:rsidR="00547768" w:rsidRPr="00123906">
              <w:rPr>
                <w:sz w:val="18"/>
                <w:szCs w:val="18"/>
              </w:rPr>
              <w:t xml:space="preserve"> </w:t>
            </w:r>
            <w:r w:rsidRPr="00123906">
              <w:rPr>
                <w:sz w:val="18"/>
                <w:szCs w:val="18"/>
              </w:rPr>
              <w:t xml:space="preserve">DRR </w:t>
            </w:r>
            <w:r w:rsidR="00547768">
              <w:rPr>
                <w:sz w:val="18"/>
                <w:szCs w:val="18"/>
              </w:rPr>
              <w:t>p</w:t>
            </w:r>
            <w:r w:rsidR="00547768" w:rsidRPr="00123906">
              <w:rPr>
                <w:sz w:val="18"/>
                <w:szCs w:val="18"/>
              </w:rPr>
              <w:t xml:space="preserve">ublic </w:t>
            </w:r>
            <w:r w:rsidR="00547768">
              <w:rPr>
                <w:sz w:val="18"/>
                <w:szCs w:val="18"/>
              </w:rPr>
              <w:t>e</w:t>
            </w:r>
            <w:r w:rsidR="00547768" w:rsidRPr="00123906">
              <w:rPr>
                <w:sz w:val="18"/>
                <w:szCs w:val="18"/>
              </w:rPr>
              <w:t xml:space="preserve">xpenditure </w:t>
            </w:r>
            <w:r w:rsidR="00547768">
              <w:rPr>
                <w:sz w:val="18"/>
                <w:szCs w:val="18"/>
              </w:rPr>
              <w:t>r</w:t>
            </w:r>
            <w:r w:rsidR="00547768" w:rsidRPr="00123906">
              <w:rPr>
                <w:sz w:val="18"/>
                <w:szCs w:val="18"/>
              </w:rPr>
              <w:t xml:space="preserve">eview </w:t>
            </w:r>
            <w:r w:rsidR="00547768">
              <w:rPr>
                <w:sz w:val="18"/>
                <w:szCs w:val="18"/>
              </w:rPr>
              <w:t>r</w:t>
            </w:r>
            <w:r w:rsidR="00547768" w:rsidRPr="00123906">
              <w:rPr>
                <w:sz w:val="18"/>
                <w:szCs w:val="18"/>
              </w:rPr>
              <w:t xml:space="preserve">eports </w:t>
            </w:r>
            <w:r w:rsidRPr="00123906">
              <w:rPr>
                <w:sz w:val="18"/>
                <w:szCs w:val="18"/>
              </w:rPr>
              <w:t>2014, 2018, 2021</w:t>
            </w:r>
          </w:p>
          <w:p w14:paraId="2E4FD64E" w14:textId="77777777" w:rsidR="007034ED" w:rsidRPr="00123906" w:rsidRDefault="007034ED" w:rsidP="00587E93">
            <w:pPr>
              <w:jc w:val="both"/>
              <w:rPr>
                <w:sz w:val="18"/>
                <w:szCs w:val="18"/>
              </w:rPr>
            </w:pPr>
          </w:p>
          <w:p w14:paraId="2E4FD64F" w14:textId="77777777" w:rsidR="007034ED" w:rsidRPr="00123906" w:rsidRDefault="007034ED" w:rsidP="00587E93">
            <w:pPr>
              <w:jc w:val="both"/>
              <w:rPr>
                <w:sz w:val="18"/>
                <w:szCs w:val="18"/>
              </w:rPr>
            </w:pPr>
            <w:r w:rsidRPr="00123906">
              <w:rPr>
                <w:b/>
                <w:sz w:val="18"/>
                <w:szCs w:val="18"/>
              </w:rPr>
              <w:t>Indicator 2.1.3</w:t>
            </w:r>
            <w:r w:rsidRPr="00123906">
              <w:rPr>
                <w:sz w:val="18"/>
                <w:szCs w:val="18"/>
              </w:rPr>
              <w:t>:  % of sectoral plans that mainstream climate risk and adaptation</w:t>
            </w:r>
          </w:p>
          <w:p w14:paraId="2E4FD650" w14:textId="77777777" w:rsidR="007034ED" w:rsidRPr="00123906" w:rsidRDefault="007034ED" w:rsidP="00587E93">
            <w:pPr>
              <w:jc w:val="both"/>
              <w:rPr>
                <w:sz w:val="18"/>
                <w:szCs w:val="18"/>
              </w:rPr>
            </w:pPr>
            <w:r w:rsidRPr="00123906">
              <w:rPr>
                <w:b/>
                <w:sz w:val="18"/>
                <w:szCs w:val="18"/>
              </w:rPr>
              <w:t>Baseline</w:t>
            </w:r>
            <w:r w:rsidRPr="00123906">
              <w:rPr>
                <w:sz w:val="18"/>
                <w:szCs w:val="18"/>
              </w:rPr>
              <w:t xml:space="preserve">: 20%; </w:t>
            </w:r>
            <w:r w:rsidRPr="00123906">
              <w:rPr>
                <w:b/>
                <w:sz w:val="18"/>
                <w:szCs w:val="18"/>
              </w:rPr>
              <w:t>Target</w:t>
            </w:r>
            <w:r w:rsidRPr="00123906">
              <w:rPr>
                <w:sz w:val="18"/>
                <w:szCs w:val="18"/>
              </w:rPr>
              <w:t xml:space="preserve">:  70%; </w:t>
            </w:r>
          </w:p>
          <w:p w14:paraId="2E4FD652" w14:textId="5BCD4487" w:rsidR="007034ED" w:rsidRPr="00123906" w:rsidRDefault="007034ED" w:rsidP="00587E93">
            <w:pPr>
              <w:jc w:val="both"/>
              <w:rPr>
                <w:sz w:val="18"/>
                <w:szCs w:val="18"/>
              </w:rPr>
            </w:pPr>
            <w:r w:rsidRPr="00123906">
              <w:rPr>
                <w:b/>
                <w:sz w:val="18"/>
                <w:szCs w:val="18"/>
              </w:rPr>
              <w:t>Data source</w:t>
            </w:r>
            <w:r w:rsidRPr="00123906">
              <w:rPr>
                <w:sz w:val="18"/>
                <w:szCs w:val="18"/>
              </w:rPr>
              <w:t xml:space="preserve">:  </w:t>
            </w:r>
            <w:r w:rsidR="00547768">
              <w:rPr>
                <w:sz w:val="18"/>
                <w:szCs w:val="18"/>
              </w:rPr>
              <w:t>i</w:t>
            </w:r>
            <w:r w:rsidR="00547768" w:rsidRPr="00123906">
              <w:rPr>
                <w:sz w:val="18"/>
                <w:szCs w:val="18"/>
              </w:rPr>
              <w:t xml:space="preserve">ndependent </w:t>
            </w:r>
            <w:r w:rsidR="00547768">
              <w:rPr>
                <w:sz w:val="18"/>
                <w:szCs w:val="18"/>
              </w:rPr>
              <w:t>c</w:t>
            </w:r>
            <w:r w:rsidR="00547768" w:rsidRPr="00123906">
              <w:rPr>
                <w:sz w:val="18"/>
                <w:szCs w:val="18"/>
              </w:rPr>
              <w:t xml:space="preserve">limate </w:t>
            </w:r>
            <w:r w:rsidR="00547768">
              <w:rPr>
                <w:sz w:val="18"/>
                <w:szCs w:val="18"/>
              </w:rPr>
              <w:t>and</w:t>
            </w:r>
            <w:r w:rsidR="00547768" w:rsidRPr="00123906">
              <w:rPr>
                <w:sz w:val="18"/>
                <w:szCs w:val="18"/>
              </w:rPr>
              <w:t xml:space="preserve"> </w:t>
            </w:r>
            <w:r w:rsidRPr="00123906">
              <w:rPr>
                <w:sz w:val="18"/>
                <w:szCs w:val="18"/>
              </w:rPr>
              <w:t xml:space="preserve">DRR </w:t>
            </w:r>
            <w:r w:rsidR="00547768">
              <w:rPr>
                <w:sz w:val="18"/>
                <w:szCs w:val="18"/>
              </w:rPr>
              <w:t>p</w:t>
            </w:r>
            <w:r w:rsidR="00547768" w:rsidRPr="00123906">
              <w:rPr>
                <w:sz w:val="18"/>
                <w:szCs w:val="18"/>
              </w:rPr>
              <w:t xml:space="preserve">ublic </w:t>
            </w:r>
            <w:r w:rsidR="00547768">
              <w:rPr>
                <w:sz w:val="18"/>
                <w:szCs w:val="18"/>
              </w:rPr>
              <w:t>e</w:t>
            </w:r>
            <w:r w:rsidR="00547768" w:rsidRPr="00123906">
              <w:rPr>
                <w:sz w:val="18"/>
                <w:szCs w:val="18"/>
              </w:rPr>
              <w:t xml:space="preserve">xpenditure </w:t>
            </w:r>
            <w:r w:rsidR="00547768">
              <w:rPr>
                <w:sz w:val="18"/>
                <w:szCs w:val="18"/>
              </w:rPr>
              <w:t>r</w:t>
            </w:r>
            <w:r w:rsidR="00547768" w:rsidRPr="00123906">
              <w:rPr>
                <w:sz w:val="18"/>
                <w:szCs w:val="18"/>
              </w:rPr>
              <w:t xml:space="preserve">eview </w:t>
            </w:r>
            <w:r w:rsidR="00547768">
              <w:rPr>
                <w:sz w:val="18"/>
                <w:szCs w:val="18"/>
              </w:rPr>
              <w:t>r</w:t>
            </w:r>
            <w:r w:rsidR="00547768" w:rsidRPr="00123906">
              <w:rPr>
                <w:sz w:val="18"/>
                <w:szCs w:val="18"/>
              </w:rPr>
              <w:t xml:space="preserve">eports </w:t>
            </w:r>
            <w:r w:rsidRPr="00123906">
              <w:rPr>
                <w:sz w:val="18"/>
                <w:szCs w:val="18"/>
              </w:rPr>
              <w:t>2014, 2018, 2021</w:t>
            </w:r>
          </w:p>
        </w:tc>
        <w:tc>
          <w:tcPr>
            <w:tcW w:w="2341" w:type="dxa"/>
            <w:vMerge w:val="restart"/>
            <w:vAlign w:val="center"/>
          </w:tcPr>
          <w:p w14:paraId="2E4FD653" w14:textId="77777777" w:rsidR="007034ED" w:rsidRPr="00123906" w:rsidRDefault="007034ED" w:rsidP="00587E93">
            <w:pPr>
              <w:rPr>
                <w:iCs/>
                <w:color w:val="000000"/>
                <w:sz w:val="18"/>
                <w:szCs w:val="18"/>
              </w:rPr>
            </w:pPr>
            <w:r w:rsidRPr="00123906">
              <w:rPr>
                <w:iCs/>
                <w:color w:val="000000"/>
                <w:sz w:val="18"/>
                <w:szCs w:val="18"/>
              </w:rPr>
              <w:t xml:space="preserve">Ministry of Natural Resources, Energy, and Mining; Department of Disaster Management Affairs; </w:t>
            </w:r>
          </w:p>
          <w:p w14:paraId="5EDB9C42" w14:textId="1C40D264" w:rsidR="001E57D3" w:rsidRDefault="007034ED" w:rsidP="00587E93">
            <w:pPr>
              <w:rPr>
                <w:iCs/>
                <w:color w:val="000000"/>
                <w:sz w:val="18"/>
                <w:szCs w:val="18"/>
              </w:rPr>
            </w:pPr>
            <w:r w:rsidRPr="00123906">
              <w:rPr>
                <w:iCs/>
                <w:color w:val="000000"/>
                <w:sz w:val="18"/>
                <w:szCs w:val="18"/>
              </w:rPr>
              <w:t>UNICEF; WFP; World Bank</w:t>
            </w:r>
            <w:r w:rsidR="00547768">
              <w:rPr>
                <w:iCs/>
                <w:color w:val="000000"/>
                <w:sz w:val="18"/>
                <w:szCs w:val="18"/>
              </w:rPr>
              <w:t>;</w:t>
            </w:r>
            <w:r w:rsidR="00547768" w:rsidRPr="00123906">
              <w:rPr>
                <w:iCs/>
                <w:color w:val="000000"/>
                <w:sz w:val="18"/>
                <w:szCs w:val="18"/>
              </w:rPr>
              <w:t xml:space="preserve"> </w:t>
            </w:r>
            <w:r w:rsidRPr="00123906">
              <w:rPr>
                <w:iCs/>
                <w:color w:val="000000"/>
                <w:sz w:val="18"/>
                <w:szCs w:val="18"/>
              </w:rPr>
              <w:t>GEF</w:t>
            </w:r>
            <w:r w:rsidR="00547768">
              <w:rPr>
                <w:iCs/>
                <w:color w:val="000000"/>
                <w:sz w:val="18"/>
                <w:szCs w:val="18"/>
              </w:rPr>
              <w:t>;</w:t>
            </w:r>
            <w:r w:rsidR="00547768" w:rsidRPr="00123906">
              <w:rPr>
                <w:iCs/>
                <w:color w:val="000000"/>
                <w:sz w:val="18"/>
                <w:szCs w:val="18"/>
              </w:rPr>
              <w:t xml:space="preserve"> </w:t>
            </w:r>
            <w:r w:rsidR="00547768">
              <w:rPr>
                <w:iCs/>
                <w:color w:val="000000"/>
                <w:sz w:val="18"/>
                <w:szCs w:val="18"/>
              </w:rPr>
              <w:t>Green Climate Fund</w:t>
            </w:r>
            <w:r w:rsidR="001E57D3">
              <w:rPr>
                <w:iCs/>
                <w:color w:val="000000"/>
                <w:sz w:val="18"/>
                <w:szCs w:val="18"/>
              </w:rPr>
              <w:t>;</w:t>
            </w:r>
            <w:r w:rsidR="001E57D3" w:rsidRPr="00123906">
              <w:rPr>
                <w:iCs/>
                <w:color w:val="000000"/>
                <w:sz w:val="18"/>
                <w:szCs w:val="18"/>
              </w:rPr>
              <w:t xml:space="preserve"> </w:t>
            </w:r>
          </w:p>
          <w:p w14:paraId="2E4FD654" w14:textId="7A59B758" w:rsidR="007034ED" w:rsidRPr="00123906" w:rsidRDefault="009B6FBC" w:rsidP="00587E93">
            <w:pPr>
              <w:rPr>
                <w:iCs/>
                <w:color w:val="000000"/>
                <w:sz w:val="18"/>
                <w:szCs w:val="18"/>
              </w:rPr>
            </w:pPr>
            <w:r>
              <w:rPr>
                <w:iCs/>
                <w:color w:val="000000"/>
                <w:sz w:val="18"/>
                <w:szCs w:val="18"/>
              </w:rPr>
              <w:t xml:space="preserve">Government of </w:t>
            </w:r>
            <w:r w:rsidR="007034ED" w:rsidRPr="00123906">
              <w:rPr>
                <w:iCs/>
                <w:color w:val="000000"/>
                <w:sz w:val="18"/>
                <w:szCs w:val="18"/>
              </w:rPr>
              <w:t>China</w:t>
            </w:r>
          </w:p>
          <w:p w14:paraId="2E4FD655" w14:textId="77777777" w:rsidR="007034ED" w:rsidRPr="00123906" w:rsidRDefault="007034ED" w:rsidP="00587E93">
            <w:pPr>
              <w:rPr>
                <w:sz w:val="18"/>
                <w:szCs w:val="18"/>
              </w:rPr>
            </w:pPr>
          </w:p>
        </w:tc>
        <w:tc>
          <w:tcPr>
            <w:tcW w:w="1255" w:type="dxa"/>
            <w:vMerge w:val="restart"/>
            <w:vAlign w:val="center"/>
          </w:tcPr>
          <w:p w14:paraId="2E4FD656" w14:textId="77777777" w:rsidR="007034ED" w:rsidRPr="00123906" w:rsidRDefault="007034ED" w:rsidP="00587E93">
            <w:pPr>
              <w:jc w:val="both"/>
              <w:rPr>
                <w:b/>
                <w:bCs/>
                <w:color w:val="000000"/>
                <w:sz w:val="18"/>
                <w:szCs w:val="18"/>
              </w:rPr>
            </w:pPr>
            <w:r w:rsidRPr="00123906">
              <w:rPr>
                <w:b/>
                <w:bCs/>
                <w:color w:val="000000"/>
                <w:sz w:val="18"/>
                <w:szCs w:val="18"/>
              </w:rPr>
              <w:t xml:space="preserve">Regular </w:t>
            </w:r>
          </w:p>
          <w:p w14:paraId="2E4FD657" w14:textId="4D1BC2E4" w:rsidR="007034ED" w:rsidRPr="00123906" w:rsidRDefault="007034ED" w:rsidP="00587E93">
            <w:pPr>
              <w:jc w:val="both"/>
              <w:rPr>
                <w:b/>
                <w:color w:val="000000"/>
                <w:sz w:val="18"/>
                <w:szCs w:val="18"/>
              </w:rPr>
            </w:pPr>
            <w:r w:rsidRPr="00123906">
              <w:rPr>
                <w:b/>
                <w:color w:val="000000"/>
                <w:sz w:val="18"/>
                <w:szCs w:val="18"/>
              </w:rPr>
              <w:t>$26,000,000</w:t>
            </w:r>
          </w:p>
          <w:p w14:paraId="2E4FD658" w14:textId="77777777" w:rsidR="007034ED" w:rsidRPr="00123906" w:rsidRDefault="007034ED" w:rsidP="00587E93">
            <w:pPr>
              <w:jc w:val="both"/>
              <w:rPr>
                <w:b/>
                <w:color w:val="000000"/>
                <w:sz w:val="18"/>
                <w:szCs w:val="18"/>
              </w:rPr>
            </w:pPr>
          </w:p>
          <w:p w14:paraId="2E4FD659" w14:textId="77777777" w:rsidR="007034ED" w:rsidRPr="00123906" w:rsidRDefault="007034ED" w:rsidP="00587E93">
            <w:pPr>
              <w:jc w:val="both"/>
              <w:rPr>
                <w:b/>
                <w:bCs/>
                <w:color w:val="000000"/>
                <w:sz w:val="18"/>
                <w:szCs w:val="18"/>
              </w:rPr>
            </w:pPr>
            <w:r w:rsidRPr="00123906">
              <w:rPr>
                <w:b/>
                <w:bCs/>
                <w:color w:val="000000"/>
                <w:sz w:val="18"/>
                <w:szCs w:val="18"/>
              </w:rPr>
              <w:t>Other:</w:t>
            </w:r>
          </w:p>
          <w:p w14:paraId="2E4FD65A" w14:textId="3D107779" w:rsidR="007034ED" w:rsidRPr="00123906" w:rsidRDefault="007034ED" w:rsidP="00587E93">
            <w:pPr>
              <w:jc w:val="both"/>
              <w:rPr>
                <w:b/>
                <w:color w:val="000000"/>
                <w:sz w:val="18"/>
                <w:szCs w:val="18"/>
              </w:rPr>
            </w:pPr>
            <w:r w:rsidRPr="00123906">
              <w:rPr>
                <w:b/>
                <w:color w:val="000000"/>
                <w:sz w:val="18"/>
                <w:szCs w:val="18"/>
              </w:rPr>
              <w:t>$15,000,000</w:t>
            </w:r>
          </w:p>
          <w:p w14:paraId="2E4FD65B" w14:textId="77777777" w:rsidR="007034ED" w:rsidRPr="00123906" w:rsidRDefault="007034ED" w:rsidP="00587E93">
            <w:pPr>
              <w:jc w:val="both"/>
              <w:rPr>
                <w:sz w:val="18"/>
                <w:szCs w:val="18"/>
              </w:rPr>
            </w:pPr>
          </w:p>
          <w:p w14:paraId="2E4FD65D" w14:textId="5F24F428" w:rsidR="007034ED" w:rsidRPr="00123906" w:rsidRDefault="007034ED" w:rsidP="00587E93">
            <w:pPr>
              <w:rPr>
                <w:sz w:val="18"/>
                <w:szCs w:val="18"/>
              </w:rPr>
            </w:pPr>
          </w:p>
        </w:tc>
      </w:tr>
      <w:tr w:rsidR="007034ED" w:rsidRPr="00123906" w14:paraId="2E4FD669" w14:textId="77777777" w:rsidTr="00A977E3">
        <w:trPr>
          <w:trHeight w:val="2024"/>
        </w:trPr>
        <w:tc>
          <w:tcPr>
            <w:tcW w:w="2246" w:type="dxa"/>
            <w:vMerge/>
            <w:vAlign w:val="center"/>
          </w:tcPr>
          <w:p w14:paraId="2E4FD65F" w14:textId="77777777" w:rsidR="007034ED" w:rsidRPr="00123906" w:rsidRDefault="007034ED" w:rsidP="00587E93">
            <w:pPr>
              <w:rPr>
                <w:sz w:val="18"/>
                <w:szCs w:val="18"/>
              </w:rPr>
            </w:pPr>
          </w:p>
        </w:tc>
        <w:tc>
          <w:tcPr>
            <w:tcW w:w="1801" w:type="dxa"/>
            <w:vMerge/>
            <w:vAlign w:val="center"/>
          </w:tcPr>
          <w:p w14:paraId="2E4FD660" w14:textId="77777777" w:rsidR="007034ED" w:rsidRPr="00123906" w:rsidRDefault="007034ED" w:rsidP="00587E93">
            <w:pPr>
              <w:jc w:val="both"/>
              <w:rPr>
                <w:sz w:val="18"/>
                <w:szCs w:val="18"/>
              </w:rPr>
            </w:pPr>
          </w:p>
        </w:tc>
        <w:tc>
          <w:tcPr>
            <w:tcW w:w="5852" w:type="dxa"/>
          </w:tcPr>
          <w:p w14:paraId="2E4FD661" w14:textId="77777777" w:rsidR="007034ED" w:rsidRPr="00123906" w:rsidRDefault="007034ED" w:rsidP="00587E93">
            <w:pPr>
              <w:jc w:val="both"/>
              <w:rPr>
                <w:sz w:val="18"/>
                <w:szCs w:val="18"/>
              </w:rPr>
            </w:pPr>
            <w:r w:rsidRPr="00123906">
              <w:rPr>
                <w:b/>
                <w:bCs/>
                <w:sz w:val="18"/>
                <w:szCs w:val="18"/>
              </w:rPr>
              <w:t>Output 2.2:</w:t>
            </w:r>
            <w:r w:rsidRPr="00123906">
              <w:rPr>
                <w:sz w:val="18"/>
                <w:szCs w:val="18"/>
              </w:rPr>
              <w:t xml:space="preserve"> Adaptive capacity of rural households and reduced exposure to climate risks strengthened</w:t>
            </w:r>
          </w:p>
          <w:p w14:paraId="2E4FD662" w14:textId="77777777" w:rsidR="007034ED" w:rsidRPr="00123906" w:rsidRDefault="007034ED" w:rsidP="00587E93">
            <w:pPr>
              <w:rPr>
                <w:sz w:val="18"/>
                <w:szCs w:val="18"/>
              </w:rPr>
            </w:pPr>
          </w:p>
          <w:p w14:paraId="2E4FD663" w14:textId="77777777" w:rsidR="007034ED" w:rsidRPr="00123906" w:rsidRDefault="007034ED" w:rsidP="00587E93">
            <w:pPr>
              <w:jc w:val="both"/>
              <w:rPr>
                <w:sz w:val="18"/>
                <w:szCs w:val="18"/>
              </w:rPr>
            </w:pPr>
            <w:r w:rsidRPr="00123906">
              <w:rPr>
                <w:b/>
                <w:bCs/>
                <w:sz w:val="18"/>
                <w:szCs w:val="18"/>
              </w:rPr>
              <w:t>Indicator 2.2.1</w:t>
            </w:r>
            <w:r w:rsidRPr="00123906">
              <w:rPr>
                <w:sz w:val="18"/>
                <w:szCs w:val="18"/>
              </w:rPr>
              <w:t>: Percentage of population in targeted areas with access to tailored climate information and early warnings</w:t>
            </w:r>
          </w:p>
          <w:p w14:paraId="2E4FD664" w14:textId="77777777" w:rsidR="007034ED" w:rsidRPr="00123906" w:rsidRDefault="007034ED" w:rsidP="00587E93">
            <w:pPr>
              <w:jc w:val="both"/>
              <w:rPr>
                <w:sz w:val="18"/>
                <w:szCs w:val="18"/>
              </w:rPr>
            </w:pPr>
            <w:r w:rsidRPr="00123906">
              <w:rPr>
                <w:b/>
                <w:bCs/>
                <w:sz w:val="18"/>
                <w:szCs w:val="18"/>
              </w:rPr>
              <w:t>Baseline</w:t>
            </w:r>
            <w:r w:rsidRPr="00123906">
              <w:rPr>
                <w:sz w:val="18"/>
                <w:szCs w:val="18"/>
              </w:rPr>
              <w:t>: 10% of population in target areas (Male: 628,620; Female: 663,136; 60% of persons with disabilities)</w:t>
            </w:r>
          </w:p>
          <w:p w14:paraId="2E4FD665" w14:textId="319E3741" w:rsidR="007034ED" w:rsidRPr="00123906" w:rsidRDefault="007034ED" w:rsidP="00587E93">
            <w:pPr>
              <w:jc w:val="both"/>
              <w:rPr>
                <w:sz w:val="18"/>
                <w:szCs w:val="18"/>
              </w:rPr>
            </w:pPr>
            <w:r w:rsidRPr="00123906">
              <w:rPr>
                <w:b/>
                <w:bCs/>
                <w:sz w:val="18"/>
                <w:szCs w:val="18"/>
              </w:rPr>
              <w:t>Target</w:t>
            </w:r>
            <w:r w:rsidRPr="00123906">
              <w:rPr>
                <w:sz w:val="18"/>
                <w:szCs w:val="18"/>
              </w:rPr>
              <w:t xml:space="preserve">: 17% population in target areas (Male: 1,093,242; Female: 1,154,912). Target to be confirmed during </w:t>
            </w:r>
            <w:r w:rsidR="0047634F">
              <w:rPr>
                <w:sz w:val="18"/>
                <w:szCs w:val="18"/>
              </w:rPr>
              <w:t xml:space="preserve">modernized climate information </w:t>
            </w:r>
            <w:r w:rsidR="009B6FBC">
              <w:rPr>
                <w:sz w:val="18"/>
                <w:szCs w:val="18"/>
              </w:rPr>
              <w:t xml:space="preserve">and </w:t>
            </w:r>
            <w:r w:rsidR="0047634F">
              <w:rPr>
                <w:sz w:val="18"/>
                <w:szCs w:val="18"/>
              </w:rPr>
              <w:t xml:space="preserve">early warning systems project </w:t>
            </w:r>
            <w:r w:rsidRPr="00123906">
              <w:rPr>
                <w:sz w:val="18"/>
                <w:szCs w:val="18"/>
              </w:rPr>
              <w:t>inception phase</w:t>
            </w:r>
          </w:p>
          <w:p w14:paraId="2E4FD666" w14:textId="77777777" w:rsidR="007034ED" w:rsidRPr="00123906" w:rsidRDefault="007034ED" w:rsidP="00587E93">
            <w:pPr>
              <w:rPr>
                <w:sz w:val="18"/>
                <w:szCs w:val="18"/>
              </w:rPr>
            </w:pPr>
            <w:r w:rsidRPr="00123906">
              <w:rPr>
                <w:b/>
                <w:color w:val="000000"/>
                <w:sz w:val="18"/>
                <w:szCs w:val="18"/>
              </w:rPr>
              <w:t>Data source</w:t>
            </w:r>
            <w:r w:rsidRPr="00123906">
              <w:rPr>
                <w:color w:val="000000"/>
                <w:sz w:val="18"/>
                <w:szCs w:val="18"/>
              </w:rPr>
              <w:t>:</w:t>
            </w:r>
            <w:r w:rsidRPr="00123906">
              <w:rPr>
                <w:sz w:val="18"/>
                <w:szCs w:val="18"/>
              </w:rPr>
              <w:t xml:space="preserve"> Independent reviews</w:t>
            </w:r>
          </w:p>
        </w:tc>
        <w:tc>
          <w:tcPr>
            <w:tcW w:w="2341" w:type="dxa"/>
            <w:vMerge/>
            <w:vAlign w:val="center"/>
          </w:tcPr>
          <w:p w14:paraId="2E4FD667" w14:textId="77777777" w:rsidR="007034ED" w:rsidRPr="00123906" w:rsidRDefault="007034ED" w:rsidP="00587E93">
            <w:pPr>
              <w:rPr>
                <w:sz w:val="18"/>
                <w:szCs w:val="18"/>
              </w:rPr>
            </w:pPr>
          </w:p>
        </w:tc>
        <w:tc>
          <w:tcPr>
            <w:tcW w:w="1255" w:type="dxa"/>
            <w:vMerge/>
            <w:vAlign w:val="center"/>
          </w:tcPr>
          <w:p w14:paraId="2E4FD668" w14:textId="77777777" w:rsidR="007034ED" w:rsidRPr="00123906" w:rsidRDefault="007034ED" w:rsidP="00587E93">
            <w:pPr>
              <w:rPr>
                <w:sz w:val="18"/>
                <w:szCs w:val="18"/>
              </w:rPr>
            </w:pPr>
          </w:p>
        </w:tc>
      </w:tr>
    </w:tbl>
    <w:p w14:paraId="2E4FD66A" w14:textId="6593128C" w:rsidR="00760BB8" w:rsidRPr="00123906" w:rsidRDefault="00760BB8">
      <w:pPr>
        <w:rPr>
          <w:sz w:val="18"/>
          <w:szCs w:val="18"/>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3499"/>
      </w:tblGrid>
      <w:tr w:rsidR="007034ED" w:rsidRPr="00123906" w14:paraId="2E4FD66C" w14:textId="77777777" w:rsidTr="00A977E3">
        <w:trPr>
          <w:trHeight w:val="20"/>
        </w:trPr>
        <w:tc>
          <w:tcPr>
            <w:tcW w:w="5000" w:type="pct"/>
            <w:shd w:val="clear" w:color="auto" w:fill="auto"/>
            <w:tcMar>
              <w:top w:w="72" w:type="dxa"/>
              <w:left w:w="144" w:type="dxa"/>
              <w:bottom w:w="72" w:type="dxa"/>
              <w:right w:w="144" w:type="dxa"/>
            </w:tcMar>
          </w:tcPr>
          <w:p w14:paraId="2E4FD66B" w14:textId="2FCF382F" w:rsidR="007034ED" w:rsidRPr="00123906" w:rsidRDefault="007034ED" w:rsidP="00587E93">
            <w:pPr>
              <w:rPr>
                <w:color w:val="000000"/>
                <w:sz w:val="18"/>
                <w:szCs w:val="18"/>
              </w:rPr>
            </w:pPr>
            <w:r w:rsidRPr="00123906">
              <w:rPr>
                <w:b/>
                <w:bCs/>
                <w:color w:val="000000"/>
                <w:sz w:val="18"/>
                <w:szCs w:val="18"/>
              </w:rPr>
              <w:lastRenderedPageBreak/>
              <w:t xml:space="preserve">NATIONAL PRIORITY OR GOAL: </w:t>
            </w:r>
            <w:r w:rsidRPr="00123906">
              <w:rPr>
                <w:b/>
                <w:bCs/>
                <w:color w:val="000000"/>
                <w:sz w:val="18"/>
                <w:szCs w:val="18"/>
                <w:lang w:val="en-GB"/>
              </w:rPr>
              <w:t>G</w:t>
            </w:r>
            <w:r w:rsidR="002E657E" w:rsidRPr="00123906">
              <w:rPr>
                <w:b/>
                <w:bCs/>
                <w:color w:val="000000"/>
                <w:sz w:val="18"/>
                <w:szCs w:val="18"/>
                <w:lang w:val="en-GB"/>
              </w:rPr>
              <w:t>ood governance</w:t>
            </w:r>
          </w:p>
        </w:tc>
      </w:tr>
      <w:tr w:rsidR="007034ED" w:rsidRPr="00123906" w14:paraId="2E4FD66E" w14:textId="77777777" w:rsidTr="00A977E3">
        <w:trPr>
          <w:trHeight w:val="136"/>
        </w:trPr>
        <w:tc>
          <w:tcPr>
            <w:tcW w:w="5000" w:type="pct"/>
            <w:shd w:val="clear" w:color="auto" w:fill="auto"/>
            <w:tcMar>
              <w:top w:w="72" w:type="dxa"/>
              <w:left w:w="144" w:type="dxa"/>
              <w:bottom w:w="72" w:type="dxa"/>
              <w:right w:w="144" w:type="dxa"/>
            </w:tcMar>
          </w:tcPr>
          <w:p w14:paraId="2E4FD66D" w14:textId="73798AA1" w:rsidR="007034ED" w:rsidRPr="00123906" w:rsidRDefault="007034ED" w:rsidP="00587E93">
            <w:pPr>
              <w:tabs>
                <w:tab w:val="left" w:pos="3429"/>
              </w:tabs>
              <w:contextualSpacing/>
              <w:rPr>
                <w:rFonts w:eastAsiaTheme="minorEastAsia"/>
                <w:sz w:val="18"/>
                <w:szCs w:val="18"/>
              </w:rPr>
            </w:pPr>
            <w:r w:rsidRPr="00123906">
              <w:rPr>
                <w:sz w:val="18"/>
                <w:szCs w:val="18"/>
                <w:lang w:val="en-GB"/>
              </w:rPr>
              <w:t xml:space="preserve"> </w:t>
            </w:r>
            <w:r w:rsidRPr="00123906">
              <w:rPr>
                <w:b/>
                <w:bCs/>
                <w:color w:val="000000"/>
                <w:sz w:val="18"/>
                <w:szCs w:val="18"/>
              </w:rPr>
              <w:t xml:space="preserve">UNDAF (OR OUTCOME INVOLVING UNDP #3: </w:t>
            </w:r>
            <w:r w:rsidRPr="00123906">
              <w:rPr>
                <w:sz w:val="18"/>
                <w:szCs w:val="18"/>
              </w:rPr>
              <w:t>By 2023, rights holders in Malawi access more accountable and effective institutions at the central and decentralized levels that use quality disaggregated data, offer integrated service delivery and promote civic engagement, respect for human rights and rule of law.</w:t>
            </w:r>
          </w:p>
        </w:tc>
      </w:tr>
      <w:tr w:rsidR="007034ED" w:rsidRPr="00123906" w14:paraId="2E4FD670" w14:textId="77777777" w:rsidTr="00A977E3">
        <w:trPr>
          <w:trHeight w:val="136"/>
        </w:trPr>
        <w:tc>
          <w:tcPr>
            <w:tcW w:w="5000" w:type="pct"/>
            <w:shd w:val="clear" w:color="auto" w:fill="auto"/>
            <w:tcMar>
              <w:top w:w="72" w:type="dxa"/>
              <w:left w:w="144" w:type="dxa"/>
              <w:bottom w:w="72" w:type="dxa"/>
              <w:right w:w="144" w:type="dxa"/>
            </w:tcMar>
          </w:tcPr>
          <w:p w14:paraId="2E4FD66F" w14:textId="5451C1E1" w:rsidR="007034ED" w:rsidRPr="00123906" w:rsidRDefault="007034ED" w:rsidP="00587E93">
            <w:pPr>
              <w:rPr>
                <w:b/>
                <w:bCs/>
                <w:color w:val="000000"/>
                <w:sz w:val="18"/>
                <w:szCs w:val="18"/>
              </w:rPr>
            </w:pPr>
            <w:r w:rsidRPr="00123906">
              <w:rPr>
                <w:b/>
                <w:bCs/>
                <w:color w:val="000000"/>
                <w:sz w:val="18"/>
                <w:szCs w:val="18"/>
              </w:rPr>
              <w:t xml:space="preserve">RELATED STRATEGIC PLAN OUTCOME: </w:t>
            </w:r>
            <w:r w:rsidRPr="00123906">
              <w:rPr>
                <w:b/>
                <w:bCs/>
                <w:sz w:val="18"/>
                <w:szCs w:val="18"/>
              </w:rPr>
              <w:t>Outcome 2:</w:t>
            </w:r>
            <w:r w:rsidRPr="00123906">
              <w:rPr>
                <w:sz w:val="18"/>
                <w:szCs w:val="18"/>
              </w:rPr>
              <w:t xml:space="preserve"> Accelerate structural transformation for sustainable development</w:t>
            </w:r>
          </w:p>
        </w:tc>
      </w:tr>
    </w:tbl>
    <w:tbl>
      <w:tblPr>
        <w:tblStyle w:val="TableGrid"/>
        <w:tblW w:w="13510" w:type="dxa"/>
        <w:tblLayout w:type="fixed"/>
        <w:tblLook w:val="04A0" w:firstRow="1" w:lastRow="0" w:firstColumn="1" w:lastColumn="0" w:noHBand="0" w:noVBand="1"/>
      </w:tblPr>
      <w:tblGrid>
        <w:gridCol w:w="2247"/>
        <w:gridCol w:w="1802"/>
        <w:gridCol w:w="5854"/>
        <w:gridCol w:w="2342"/>
        <w:gridCol w:w="1265"/>
      </w:tblGrid>
      <w:tr w:rsidR="007034ED" w:rsidRPr="00123906" w14:paraId="2E4FD691" w14:textId="77777777" w:rsidTr="00A977E3">
        <w:tc>
          <w:tcPr>
            <w:tcW w:w="2247" w:type="dxa"/>
            <w:vMerge w:val="restart"/>
            <w:vAlign w:val="center"/>
          </w:tcPr>
          <w:p w14:paraId="2E4FD671" w14:textId="5F87B64B" w:rsidR="007034ED" w:rsidRPr="00123906" w:rsidRDefault="007034ED" w:rsidP="00587E93">
            <w:pPr>
              <w:jc w:val="both"/>
              <w:rPr>
                <w:b/>
                <w:sz w:val="18"/>
                <w:szCs w:val="18"/>
              </w:rPr>
            </w:pPr>
            <w:r w:rsidRPr="00123906">
              <w:rPr>
                <w:b/>
                <w:sz w:val="18"/>
                <w:szCs w:val="18"/>
              </w:rPr>
              <w:t xml:space="preserve">3.1 </w:t>
            </w:r>
            <w:r w:rsidRPr="00123906">
              <w:rPr>
                <w:sz w:val="18"/>
                <w:szCs w:val="18"/>
              </w:rPr>
              <w:t xml:space="preserve">Percentage of </w:t>
            </w:r>
            <w:r w:rsidR="00A92679">
              <w:rPr>
                <w:sz w:val="18"/>
                <w:szCs w:val="18"/>
              </w:rPr>
              <w:t>g</w:t>
            </w:r>
            <w:r w:rsidR="00A92679" w:rsidRPr="00123906">
              <w:rPr>
                <w:sz w:val="18"/>
                <w:szCs w:val="18"/>
              </w:rPr>
              <w:t xml:space="preserve">overnance </w:t>
            </w:r>
            <w:r w:rsidRPr="00123906">
              <w:rPr>
                <w:sz w:val="18"/>
                <w:szCs w:val="18"/>
              </w:rPr>
              <w:t>institutions perceived as of high integrity and performance.</w:t>
            </w:r>
          </w:p>
          <w:p w14:paraId="2E4FD672" w14:textId="77777777" w:rsidR="007034ED" w:rsidRPr="00123906" w:rsidRDefault="007034ED" w:rsidP="00587E93">
            <w:pPr>
              <w:jc w:val="both"/>
              <w:rPr>
                <w:sz w:val="18"/>
                <w:szCs w:val="18"/>
              </w:rPr>
            </w:pPr>
          </w:p>
          <w:p w14:paraId="2E4FD675" w14:textId="2CFAFB14" w:rsidR="007034ED" w:rsidRPr="00123906" w:rsidRDefault="007034ED" w:rsidP="00A977E3">
            <w:pPr>
              <w:rPr>
                <w:sz w:val="18"/>
                <w:szCs w:val="18"/>
              </w:rPr>
            </w:pPr>
            <w:r w:rsidRPr="00123906">
              <w:rPr>
                <w:b/>
                <w:sz w:val="18"/>
                <w:szCs w:val="18"/>
              </w:rPr>
              <w:t>Baseline:</w:t>
            </w:r>
            <w:r w:rsidRPr="00123906">
              <w:rPr>
                <w:sz w:val="18"/>
                <w:szCs w:val="18"/>
              </w:rPr>
              <w:t xml:space="preserve"> 59.5% (2017); </w:t>
            </w:r>
            <w:r w:rsidRPr="00123906">
              <w:rPr>
                <w:b/>
                <w:sz w:val="18"/>
                <w:szCs w:val="18"/>
              </w:rPr>
              <w:t>Target:</w:t>
            </w:r>
            <w:r w:rsidRPr="00123906">
              <w:rPr>
                <w:sz w:val="18"/>
                <w:szCs w:val="18"/>
              </w:rPr>
              <w:t xml:space="preserve"> 62% (2023)</w:t>
            </w:r>
          </w:p>
        </w:tc>
        <w:tc>
          <w:tcPr>
            <w:tcW w:w="1802" w:type="dxa"/>
            <w:vMerge w:val="restart"/>
            <w:vAlign w:val="center"/>
          </w:tcPr>
          <w:p w14:paraId="2E4FD67D" w14:textId="3E81C1A2" w:rsidR="007034ED" w:rsidRPr="00A977E3" w:rsidRDefault="007034ED" w:rsidP="00A977E3">
            <w:pPr>
              <w:rPr>
                <w:rFonts w:eastAsiaTheme="minorEastAsia"/>
                <w:sz w:val="18"/>
                <w:szCs w:val="18"/>
              </w:rPr>
            </w:pPr>
            <w:r w:rsidRPr="00123906">
              <w:rPr>
                <w:rFonts w:eastAsiaTheme="minorEastAsia"/>
                <w:sz w:val="18"/>
                <w:szCs w:val="18"/>
              </w:rPr>
              <w:t>Mo Ibrahim Index of Africa and Governance, Annual Report</w:t>
            </w:r>
          </w:p>
        </w:tc>
        <w:tc>
          <w:tcPr>
            <w:tcW w:w="5854" w:type="dxa"/>
          </w:tcPr>
          <w:p w14:paraId="2E4FD67E" w14:textId="6F3F8940" w:rsidR="007034ED" w:rsidRPr="00123906" w:rsidRDefault="007034ED" w:rsidP="00587E93">
            <w:pPr>
              <w:jc w:val="both"/>
              <w:rPr>
                <w:rFonts w:eastAsiaTheme="minorEastAsia"/>
                <w:iCs/>
                <w:sz w:val="18"/>
                <w:szCs w:val="18"/>
              </w:rPr>
            </w:pPr>
            <w:r w:rsidRPr="00123906">
              <w:rPr>
                <w:rFonts w:eastAsiaTheme="minorEastAsia"/>
                <w:b/>
                <w:sz w:val="18"/>
                <w:szCs w:val="18"/>
              </w:rPr>
              <w:t>Output 3.1:</w:t>
            </w:r>
            <w:r w:rsidRPr="00123906">
              <w:rPr>
                <w:rFonts w:eastAsiaTheme="minorEastAsia"/>
                <w:sz w:val="18"/>
                <w:szCs w:val="18"/>
              </w:rPr>
              <w:t xml:space="preserve"> </w:t>
            </w:r>
            <w:r w:rsidRPr="00123906">
              <w:rPr>
                <w:rFonts w:eastAsiaTheme="minorEastAsia"/>
                <w:iCs/>
                <w:sz w:val="18"/>
                <w:szCs w:val="18"/>
              </w:rPr>
              <w:t xml:space="preserve">Ministry of </w:t>
            </w:r>
            <w:r w:rsidRPr="00123906">
              <w:rPr>
                <w:iCs/>
                <w:sz w:val="18"/>
                <w:szCs w:val="18"/>
              </w:rPr>
              <w:t>Justice</w:t>
            </w:r>
            <w:r w:rsidR="0047634F">
              <w:rPr>
                <w:iCs/>
                <w:sz w:val="18"/>
                <w:szCs w:val="18"/>
              </w:rPr>
              <w:t xml:space="preserve"> and Constitutional Affairs (MoJCA</w:t>
            </w:r>
            <w:r w:rsidR="00462376">
              <w:rPr>
                <w:iCs/>
                <w:sz w:val="18"/>
                <w:szCs w:val="18"/>
              </w:rPr>
              <w:t>),</w:t>
            </w:r>
            <w:r w:rsidRPr="00123906">
              <w:rPr>
                <w:iCs/>
                <w:sz w:val="18"/>
                <w:szCs w:val="18"/>
              </w:rPr>
              <w:t xml:space="preserve"> </w:t>
            </w:r>
            <w:r w:rsidR="00641502">
              <w:rPr>
                <w:iCs/>
                <w:sz w:val="18"/>
                <w:szCs w:val="18"/>
              </w:rPr>
              <w:t xml:space="preserve">Malawi </w:t>
            </w:r>
            <w:r w:rsidRPr="00123906">
              <w:rPr>
                <w:iCs/>
                <w:sz w:val="18"/>
                <w:szCs w:val="18"/>
              </w:rPr>
              <w:t>Human Rights Commission</w:t>
            </w:r>
            <w:r w:rsidR="00641502">
              <w:rPr>
                <w:iCs/>
                <w:sz w:val="18"/>
                <w:szCs w:val="18"/>
              </w:rPr>
              <w:t xml:space="preserve"> (MHRC)</w:t>
            </w:r>
            <w:r w:rsidRPr="00123906">
              <w:rPr>
                <w:iCs/>
                <w:sz w:val="18"/>
                <w:szCs w:val="18"/>
              </w:rPr>
              <w:t xml:space="preserve">, Police Services, Prison Services, Judiciary, Legal Aid Services and Paralegal </w:t>
            </w:r>
            <w:r w:rsidR="004F1ABB">
              <w:rPr>
                <w:iCs/>
                <w:sz w:val="18"/>
                <w:szCs w:val="18"/>
              </w:rPr>
              <w:t xml:space="preserve">Advisory </w:t>
            </w:r>
            <w:r w:rsidRPr="00123906">
              <w:rPr>
                <w:iCs/>
                <w:sz w:val="18"/>
                <w:szCs w:val="18"/>
              </w:rPr>
              <w:t>Service Institute</w:t>
            </w:r>
            <w:r w:rsidR="004F1ABB">
              <w:rPr>
                <w:iCs/>
                <w:sz w:val="18"/>
                <w:szCs w:val="18"/>
              </w:rPr>
              <w:t xml:space="preserve"> (PASI)</w:t>
            </w:r>
            <w:r w:rsidRPr="00123906">
              <w:rPr>
                <w:iCs/>
                <w:sz w:val="18"/>
                <w:szCs w:val="18"/>
              </w:rPr>
              <w:t xml:space="preserve"> are enabled to implement and monitor policies, laws and strategies for equitable access to justice.</w:t>
            </w:r>
          </w:p>
          <w:p w14:paraId="2E4FD67F" w14:textId="77777777" w:rsidR="007034ED" w:rsidRPr="00123906" w:rsidRDefault="007034ED" w:rsidP="00587E93">
            <w:pPr>
              <w:jc w:val="both"/>
              <w:rPr>
                <w:b/>
                <w:sz w:val="18"/>
                <w:szCs w:val="18"/>
                <w:u w:val="single"/>
              </w:rPr>
            </w:pPr>
          </w:p>
          <w:p w14:paraId="2E4FD680" w14:textId="6628A49B" w:rsidR="007034ED" w:rsidRPr="00123906" w:rsidRDefault="007034ED" w:rsidP="00587E93">
            <w:pPr>
              <w:pStyle w:val="CommentText"/>
              <w:rPr>
                <w:rFonts w:eastAsia="Calibri"/>
                <w:sz w:val="18"/>
                <w:szCs w:val="18"/>
              </w:rPr>
            </w:pPr>
            <w:r w:rsidRPr="00123906">
              <w:rPr>
                <w:rFonts w:eastAsiaTheme="minorEastAsia"/>
                <w:b/>
                <w:sz w:val="18"/>
                <w:szCs w:val="18"/>
              </w:rPr>
              <w:t>Indicator 3.1.1</w:t>
            </w:r>
            <w:r w:rsidRPr="00123906">
              <w:rPr>
                <w:rFonts w:eastAsiaTheme="minorEastAsia"/>
                <w:sz w:val="18"/>
                <w:szCs w:val="18"/>
              </w:rPr>
              <w:t xml:space="preserve">: </w:t>
            </w:r>
            <w:r w:rsidRPr="00123906">
              <w:rPr>
                <w:rFonts w:eastAsia="Calibri"/>
                <w:sz w:val="18"/>
                <w:szCs w:val="18"/>
              </w:rPr>
              <w:t xml:space="preserve">Number of detainee releases facilitated by </w:t>
            </w:r>
            <w:r w:rsidR="00A92679">
              <w:rPr>
                <w:rFonts w:eastAsia="Calibri"/>
                <w:sz w:val="18"/>
                <w:szCs w:val="18"/>
              </w:rPr>
              <w:t>p</w:t>
            </w:r>
            <w:r w:rsidR="00A92679" w:rsidRPr="00123906">
              <w:rPr>
                <w:rFonts w:eastAsia="Calibri"/>
                <w:sz w:val="18"/>
                <w:szCs w:val="18"/>
              </w:rPr>
              <w:t xml:space="preserve">aralegal </w:t>
            </w:r>
            <w:r w:rsidRPr="00123906">
              <w:rPr>
                <w:rFonts w:eastAsia="Calibri"/>
                <w:sz w:val="18"/>
                <w:szCs w:val="18"/>
              </w:rPr>
              <w:t xml:space="preserve">officers at </w:t>
            </w:r>
            <w:r w:rsidR="00A92679">
              <w:rPr>
                <w:rFonts w:eastAsia="Calibri"/>
                <w:sz w:val="18"/>
                <w:szCs w:val="18"/>
              </w:rPr>
              <w:t>p</w:t>
            </w:r>
            <w:r w:rsidR="00A92679" w:rsidRPr="00123906">
              <w:rPr>
                <w:rFonts w:eastAsia="Calibri"/>
                <w:sz w:val="18"/>
                <w:szCs w:val="18"/>
              </w:rPr>
              <w:t>olice</w:t>
            </w:r>
            <w:r w:rsidRPr="00123906">
              <w:rPr>
                <w:rFonts w:eastAsia="Calibri"/>
                <w:sz w:val="18"/>
                <w:szCs w:val="18"/>
              </w:rPr>
              <w:t xml:space="preserve">, </w:t>
            </w:r>
            <w:r w:rsidR="00A92679">
              <w:rPr>
                <w:rFonts w:eastAsia="Calibri"/>
                <w:sz w:val="18"/>
                <w:szCs w:val="18"/>
              </w:rPr>
              <w:t>c</w:t>
            </w:r>
            <w:r w:rsidR="00A92679" w:rsidRPr="00123906">
              <w:rPr>
                <w:rFonts w:eastAsia="Calibri"/>
                <w:sz w:val="18"/>
                <w:szCs w:val="18"/>
              </w:rPr>
              <w:t>ourt</w:t>
            </w:r>
            <w:r w:rsidRPr="00123906">
              <w:rPr>
                <w:rFonts w:eastAsia="Calibri"/>
                <w:sz w:val="18"/>
                <w:szCs w:val="18"/>
              </w:rPr>
              <w:t xml:space="preserve">, </w:t>
            </w:r>
            <w:r w:rsidR="00A92679">
              <w:rPr>
                <w:rFonts w:eastAsia="Calibri"/>
                <w:sz w:val="18"/>
                <w:szCs w:val="18"/>
              </w:rPr>
              <w:t>p</w:t>
            </w:r>
            <w:r w:rsidR="00A92679" w:rsidRPr="00123906">
              <w:rPr>
                <w:rFonts w:eastAsia="Calibri"/>
                <w:sz w:val="18"/>
                <w:szCs w:val="18"/>
              </w:rPr>
              <w:t xml:space="preserve">risons </w:t>
            </w:r>
            <w:r w:rsidRPr="00123906">
              <w:rPr>
                <w:rFonts w:eastAsia="Calibri"/>
                <w:sz w:val="18"/>
                <w:szCs w:val="18"/>
              </w:rPr>
              <w:t xml:space="preserve">and </w:t>
            </w:r>
            <w:r w:rsidR="00A92679">
              <w:rPr>
                <w:rFonts w:eastAsia="Calibri"/>
                <w:sz w:val="18"/>
                <w:szCs w:val="18"/>
              </w:rPr>
              <w:t>j</w:t>
            </w:r>
            <w:r w:rsidR="00A92679" w:rsidRPr="00123906">
              <w:rPr>
                <w:rFonts w:eastAsia="Calibri"/>
                <w:sz w:val="18"/>
                <w:szCs w:val="18"/>
              </w:rPr>
              <w:t xml:space="preserve">uvenile </w:t>
            </w:r>
            <w:r w:rsidRPr="00123906">
              <w:rPr>
                <w:rFonts w:eastAsia="Calibri"/>
                <w:sz w:val="18"/>
                <w:szCs w:val="18"/>
              </w:rPr>
              <w:t>centr</w:t>
            </w:r>
            <w:r w:rsidR="00A92679">
              <w:rPr>
                <w:rFonts w:eastAsia="Calibri"/>
                <w:sz w:val="18"/>
                <w:szCs w:val="18"/>
              </w:rPr>
              <w:t>e</w:t>
            </w:r>
            <w:r w:rsidRPr="00123906">
              <w:rPr>
                <w:rFonts w:eastAsia="Calibri"/>
                <w:sz w:val="18"/>
                <w:szCs w:val="18"/>
              </w:rPr>
              <w:t xml:space="preserve">s. </w:t>
            </w:r>
          </w:p>
          <w:p w14:paraId="2E4FD681" w14:textId="77777777" w:rsidR="007034ED" w:rsidRPr="00123906" w:rsidRDefault="007034ED" w:rsidP="00587E93">
            <w:pPr>
              <w:pStyle w:val="CommentText"/>
              <w:rPr>
                <w:rFonts w:eastAsia="Calibri"/>
                <w:color w:val="000000"/>
                <w:sz w:val="18"/>
                <w:szCs w:val="18"/>
              </w:rPr>
            </w:pPr>
            <w:r w:rsidRPr="00123906">
              <w:rPr>
                <w:rFonts w:eastAsia="Calibri"/>
                <w:b/>
                <w:sz w:val="18"/>
                <w:szCs w:val="18"/>
              </w:rPr>
              <w:t>Baseline</w:t>
            </w:r>
            <w:r w:rsidRPr="00123906">
              <w:rPr>
                <w:rFonts w:eastAsia="Calibri"/>
                <w:sz w:val="18"/>
                <w:szCs w:val="18"/>
              </w:rPr>
              <w:t xml:space="preserve">: </w:t>
            </w:r>
            <w:r w:rsidRPr="00123906">
              <w:rPr>
                <w:rFonts w:eastAsia="Arial Unicode MS"/>
                <w:sz w:val="18"/>
                <w:szCs w:val="18"/>
              </w:rPr>
              <w:t xml:space="preserve">73, 389 (2017); </w:t>
            </w:r>
            <w:r w:rsidRPr="00123906">
              <w:rPr>
                <w:rFonts w:eastAsia="Arial Unicode MS"/>
                <w:b/>
                <w:sz w:val="18"/>
                <w:szCs w:val="18"/>
              </w:rPr>
              <w:t>Target:</w:t>
            </w:r>
            <w:r w:rsidRPr="00123906">
              <w:rPr>
                <w:rFonts w:eastAsia="Arial Unicode MS"/>
                <w:sz w:val="18"/>
                <w:szCs w:val="18"/>
              </w:rPr>
              <w:t xml:space="preserve"> </w:t>
            </w:r>
            <w:r w:rsidRPr="00123906">
              <w:rPr>
                <w:rFonts w:eastAsia="Calibri"/>
                <w:color w:val="000000"/>
                <w:sz w:val="18"/>
                <w:szCs w:val="18"/>
              </w:rPr>
              <w:t xml:space="preserve">81,789 (2023). </w:t>
            </w:r>
          </w:p>
          <w:p w14:paraId="2E4FD682" w14:textId="77777777" w:rsidR="007034ED" w:rsidRPr="00123906" w:rsidRDefault="007034ED" w:rsidP="00587E93">
            <w:pPr>
              <w:pStyle w:val="CommentText"/>
              <w:rPr>
                <w:sz w:val="18"/>
                <w:szCs w:val="18"/>
              </w:rPr>
            </w:pPr>
            <w:r w:rsidRPr="009202E9">
              <w:rPr>
                <w:rFonts w:eastAsia="Calibri"/>
                <w:b/>
                <w:color w:val="000000"/>
                <w:sz w:val="18"/>
                <w:szCs w:val="18"/>
              </w:rPr>
              <w:t>Data Source</w:t>
            </w:r>
            <w:r w:rsidRPr="00123906">
              <w:rPr>
                <w:rFonts w:eastAsia="Calibri"/>
                <w:color w:val="000000"/>
                <w:sz w:val="18"/>
                <w:szCs w:val="18"/>
              </w:rPr>
              <w:t>: MoJCA</w:t>
            </w:r>
          </w:p>
          <w:p w14:paraId="2E4FD683" w14:textId="77777777" w:rsidR="007034ED" w:rsidRPr="00123906" w:rsidRDefault="007034ED" w:rsidP="00587E93">
            <w:pPr>
              <w:jc w:val="both"/>
              <w:rPr>
                <w:b/>
                <w:sz w:val="18"/>
                <w:szCs w:val="18"/>
              </w:rPr>
            </w:pPr>
          </w:p>
          <w:p w14:paraId="2E4FD684" w14:textId="36C25C61" w:rsidR="007034ED" w:rsidRPr="00123906" w:rsidRDefault="007034ED" w:rsidP="00587E93">
            <w:pPr>
              <w:jc w:val="both"/>
              <w:rPr>
                <w:sz w:val="18"/>
                <w:szCs w:val="18"/>
              </w:rPr>
            </w:pPr>
            <w:r w:rsidRPr="00123906">
              <w:rPr>
                <w:b/>
                <w:sz w:val="18"/>
                <w:szCs w:val="18"/>
              </w:rPr>
              <w:t>Indicator 3.1.2:</w:t>
            </w:r>
            <w:r w:rsidRPr="00123906">
              <w:rPr>
                <w:sz w:val="18"/>
                <w:szCs w:val="18"/>
              </w:rPr>
              <w:t xml:space="preserve"> Percentage of human rights cases/complaints investigated and resolved by </w:t>
            </w:r>
            <w:r w:rsidR="001F408F">
              <w:rPr>
                <w:sz w:val="18"/>
                <w:szCs w:val="18"/>
              </w:rPr>
              <w:t>M</w:t>
            </w:r>
            <w:r w:rsidRPr="00123906">
              <w:rPr>
                <w:sz w:val="18"/>
                <w:szCs w:val="18"/>
              </w:rPr>
              <w:t>HRC within 12 months of submission</w:t>
            </w:r>
          </w:p>
          <w:p w14:paraId="2E4FD686" w14:textId="66C84849" w:rsidR="007034ED" w:rsidRPr="00123906" w:rsidRDefault="007034ED" w:rsidP="00587E93">
            <w:pPr>
              <w:jc w:val="both"/>
              <w:rPr>
                <w:sz w:val="18"/>
                <w:szCs w:val="18"/>
              </w:rPr>
            </w:pPr>
            <w:r w:rsidRPr="00123906">
              <w:rPr>
                <w:b/>
                <w:sz w:val="18"/>
                <w:szCs w:val="18"/>
              </w:rPr>
              <w:t xml:space="preserve">Baseline: </w:t>
            </w:r>
            <w:r w:rsidRPr="00123906">
              <w:rPr>
                <w:sz w:val="18"/>
                <w:szCs w:val="18"/>
              </w:rPr>
              <w:t>59% (2016, MHRC)</w:t>
            </w:r>
            <w:r w:rsidR="009202E9">
              <w:rPr>
                <w:sz w:val="18"/>
                <w:szCs w:val="18"/>
              </w:rPr>
              <w:t xml:space="preserve">; </w:t>
            </w:r>
            <w:r w:rsidRPr="00123906">
              <w:rPr>
                <w:b/>
                <w:sz w:val="18"/>
                <w:szCs w:val="18"/>
              </w:rPr>
              <w:t xml:space="preserve">Target: </w:t>
            </w:r>
            <w:r w:rsidRPr="00123906">
              <w:rPr>
                <w:sz w:val="18"/>
                <w:szCs w:val="18"/>
              </w:rPr>
              <w:t>60%</w:t>
            </w:r>
          </w:p>
          <w:p w14:paraId="2E4FD688" w14:textId="6880E4AD" w:rsidR="007034ED" w:rsidRPr="00123906" w:rsidRDefault="007034ED" w:rsidP="00587E93">
            <w:pPr>
              <w:jc w:val="both"/>
              <w:rPr>
                <w:sz w:val="18"/>
                <w:szCs w:val="18"/>
              </w:rPr>
            </w:pPr>
            <w:r w:rsidRPr="00123906">
              <w:rPr>
                <w:b/>
                <w:sz w:val="18"/>
                <w:szCs w:val="18"/>
              </w:rPr>
              <w:t>Data Source:</w:t>
            </w:r>
            <w:r w:rsidRPr="00123906">
              <w:rPr>
                <w:sz w:val="18"/>
                <w:szCs w:val="18"/>
              </w:rPr>
              <w:t xml:space="preserve"> </w:t>
            </w:r>
            <w:r w:rsidR="002E657E">
              <w:rPr>
                <w:sz w:val="18"/>
                <w:szCs w:val="18"/>
              </w:rPr>
              <w:t>MHRC</w:t>
            </w:r>
            <w:r w:rsidRPr="00123906">
              <w:rPr>
                <w:sz w:val="18"/>
                <w:szCs w:val="18"/>
              </w:rPr>
              <w:t xml:space="preserve"> </w:t>
            </w:r>
            <w:r w:rsidR="002E657E">
              <w:rPr>
                <w:sz w:val="18"/>
                <w:szCs w:val="18"/>
              </w:rPr>
              <w:t>r</w:t>
            </w:r>
            <w:r w:rsidR="002E657E" w:rsidRPr="00123906">
              <w:rPr>
                <w:sz w:val="18"/>
                <w:szCs w:val="18"/>
              </w:rPr>
              <w:t>eports</w:t>
            </w:r>
          </w:p>
          <w:p w14:paraId="2E4FD689" w14:textId="77777777" w:rsidR="007034ED" w:rsidRPr="00123906" w:rsidRDefault="007034ED" w:rsidP="00587E93">
            <w:pPr>
              <w:jc w:val="both"/>
              <w:rPr>
                <w:sz w:val="18"/>
                <w:szCs w:val="18"/>
              </w:rPr>
            </w:pPr>
          </w:p>
          <w:p w14:paraId="2E4FD68A" w14:textId="418A084A" w:rsidR="007034ED" w:rsidRPr="00123906" w:rsidRDefault="007034ED" w:rsidP="00587E93">
            <w:pPr>
              <w:pStyle w:val="CommentText"/>
              <w:rPr>
                <w:sz w:val="18"/>
                <w:szCs w:val="18"/>
              </w:rPr>
            </w:pPr>
            <w:r w:rsidRPr="00123906">
              <w:rPr>
                <w:b/>
                <w:sz w:val="18"/>
                <w:szCs w:val="18"/>
              </w:rPr>
              <w:t>Indicator 3.1.3</w:t>
            </w:r>
            <w:r w:rsidRPr="00123906">
              <w:rPr>
                <w:sz w:val="18"/>
                <w:szCs w:val="18"/>
              </w:rPr>
              <w:t xml:space="preserve">: Mechanism for promoting and protecting the rights of marginalized women, children, people with disabilities, </w:t>
            </w:r>
            <w:r w:rsidR="00641502">
              <w:rPr>
                <w:sz w:val="18"/>
                <w:szCs w:val="18"/>
              </w:rPr>
              <w:t xml:space="preserve">people with </w:t>
            </w:r>
            <w:r w:rsidRPr="00123906">
              <w:rPr>
                <w:sz w:val="18"/>
                <w:szCs w:val="18"/>
              </w:rPr>
              <w:t xml:space="preserve">albinism and LGBTI </w:t>
            </w:r>
            <w:r w:rsidR="00641502">
              <w:rPr>
                <w:sz w:val="18"/>
                <w:szCs w:val="18"/>
              </w:rPr>
              <w:t xml:space="preserve">persons </w:t>
            </w:r>
            <w:r w:rsidRPr="00123906">
              <w:rPr>
                <w:sz w:val="18"/>
                <w:szCs w:val="18"/>
              </w:rPr>
              <w:t xml:space="preserve">in place. </w:t>
            </w:r>
          </w:p>
          <w:p w14:paraId="2E4FD68B" w14:textId="77777777" w:rsidR="007034ED" w:rsidRPr="00123906" w:rsidRDefault="007034ED" w:rsidP="00587E93">
            <w:pPr>
              <w:pStyle w:val="CommentText"/>
              <w:rPr>
                <w:sz w:val="18"/>
                <w:szCs w:val="18"/>
              </w:rPr>
            </w:pPr>
            <w:r w:rsidRPr="00123906">
              <w:rPr>
                <w:b/>
                <w:sz w:val="18"/>
                <w:szCs w:val="18"/>
              </w:rPr>
              <w:t>Baseline</w:t>
            </w:r>
            <w:r w:rsidRPr="00123906">
              <w:rPr>
                <w:sz w:val="18"/>
                <w:szCs w:val="18"/>
              </w:rPr>
              <w:t>: No (2017); Yes (2023)</w:t>
            </w:r>
          </w:p>
          <w:p w14:paraId="2E4FD68C" w14:textId="33D1B7E9" w:rsidR="007034ED" w:rsidRPr="00123906" w:rsidRDefault="007034ED" w:rsidP="00587E93">
            <w:pPr>
              <w:pStyle w:val="CommentText"/>
              <w:rPr>
                <w:sz w:val="18"/>
                <w:szCs w:val="18"/>
              </w:rPr>
            </w:pPr>
            <w:r w:rsidRPr="00123906">
              <w:rPr>
                <w:b/>
                <w:sz w:val="18"/>
                <w:szCs w:val="18"/>
              </w:rPr>
              <w:t>Source of Data</w:t>
            </w:r>
            <w:r w:rsidRPr="00123906">
              <w:rPr>
                <w:sz w:val="18"/>
                <w:szCs w:val="18"/>
              </w:rPr>
              <w:t xml:space="preserve">: </w:t>
            </w:r>
            <w:r w:rsidR="00641502">
              <w:rPr>
                <w:sz w:val="18"/>
                <w:szCs w:val="18"/>
              </w:rPr>
              <w:t>MHRC</w:t>
            </w:r>
          </w:p>
        </w:tc>
        <w:tc>
          <w:tcPr>
            <w:tcW w:w="2342" w:type="dxa"/>
            <w:vAlign w:val="center"/>
          </w:tcPr>
          <w:p w14:paraId="2E4FD68D" w14:textId="490AF080" w:rsidR="007034ED" w:rsidRPr="00123906" w:rsidRDefault="007034ED" w:rsidP="007C69FB">
            <w:pPr>
              <w:rPr>
                <w:sz w:val="18"/>
                <w:szCs w:val="18"/>
              </w:rPr>
            </w:pPr>
            <w:r w:rsidRPr="00123906">
              <w:rPr>
                <w:sz w:val="18"/>
                <w:szCs w:val="18"/>
              </w:rPr>
              <w:t xml:space="preserve">MoJCA, </w:t>
            </w:r>
            <w:r w:rsidR="0047634F">
              <w:rPr>
                <w:sz w:val="18"/>
                <w:szCs w:val="18"/>
              </w:rPr>
              <w:t>PASI</w:t>
            </w:r>
            <w:r w:rsidRPr="00123906">
              <w:rPr>
                <w:sz w:val="18"/>
                <w:szCs w:val="18"/>
              </w:rPr>
              <w:t>, Judiciary, Prisons, Police Service; M</w:t>
            </w:r>
            <w:r w:rsidR="009B6FBC">
              <w:rPr>
                <w:sz w:val="18"/>
                <w:szCs w:val="18"/>
              </w:rPr>
              <w:t xml:space="preserve">inistry of </w:t>
            </w:r>
            <w:r w:rsidR="007875D5">
              <w:rPr>
                <w:sz w:val="18"/>
                <w:szCs w:val="18"/>
              </w:rPr>
              <w:t>Gender, Community Dept and Social Welfare</w:t>
            </w:r>
            <w:r w:rsidRPr="00123906">
              <w:rPr>
                <w:sz w:val="18"/>
                <w:szCs w:val="18"/>
              </w:rPr>
              <w:t xml:space="preserve">, </w:t>
            </w:r>
            <w:r w:rsidR="00A92679" w:rsidRPr="00123906">
              <w:rPr>
                <w:sz w:val="18"/>
                <w:szCs w:val="18"/>
              </w:rPr>
              <w:t>UN</w:t>
            </w:r>
            <w:r w:rsidR="00A92679">
              <w:rPr>
                <w:sz w:val="18"/>
                <w:szCs w:val="18"/>
              </w:rPr>
              <w:t>-</w:t>
            </w:r>
            <w:r w:rsidRPr="00123906">
              <w:rPr>
                <w:sz w:val="18"/>
                <w:szCs w:val="18"/>
              </w:rPr>
              <w:t>W</w:t>
            </w:r>
            <w:r w:rsidR="00A92679" w:rsidRPr="00123906">
              <w:rPr>
                <w:sz w:val="18"/>
                <w:szCs w:val="18"/>
              </w:rPr>
              <w:t>omen</w:t>
            </w:r>
            <w:r w:rsidRPr="00123906">
              <w:rPr>
                <w:sz w:val="18"/>
                <w:szCs w:val="18"/>
              </w:rPr>
              <w:t xml:space="preserve">, UNICEF, EU, USAID, GIZ, </w:t>
            </w:r>
            <w:r w:rsidR="001E57D3" w:rsidRPr="00123906">
              <w:rPr>
                <w:sz w:val="18"/>
                <w:szCs w:val="18"/>
              </w:rPr>
              <w:t>D</w:t>
            </w:r>
            <w:r w:rsidR="00462376">
              <w:rPr>
                <w:sz w:val="18"/>
                <w:szCs w:val="18"/>
              </w:rPr>
              <w:t>fI</w:t>
            </w:r>
            <w:r w:rsidR="001E57D3" w:rsidRPr="00123906">
              <w:rPr>
                <w:sz w:val="18"/>
                <w:szCs w:val="18"/>
              </w:rPr>
              <w:t>D</w:t>
            </w:r>
            <w:r w:rsidRPr="00123906">
              <w:rPr>
                <w:sz w:val="18"/>
                <w:szCs w:val="18"/>
              </w:rPr>
              <w:t>, Irish Aid, R</w:t>
            </w:r>
            <w:r w:rsidR="007875D5">
              <w:rPr>
                <w:sz w:val="18"/>
                <w:szCs w:val="18"/>
              </w:rPr>
              <w:t xml:space="preserve">oyal </w:t>
            </w:r>
            <w:r w:rsidRPr="00123906">
              <w:rPr>
                <w:sz w:val="18"/>
                <w:szCs w:val="18"/>
              </w:rPr>
              <w:t>N</w:t>
            </w:r>
            <w:r w:rsidR="007875D5">
              <w:rPr>
                <w:sz w:val="18"/>
                <w:szCs w:val="18"/>
              </w:rPr>
              <w:t xml:space="preserve">orwegian </w:t>
            </w:r>
            <w:r w:rsidRPr="00123906">
              <w:rPr>
                <w:sz w:val="18"/>
                <w:szCs w:val="18"/>
              </w:rPr>
              <w:t>E</w:t>
            </w:r>
            <w:r w:rsidR="007875D5">
              <w:rPr>
                <w:sz w:val="18"/>
                <w:szCs w:val="18"/>
              </w:rPr>
              <w:t>mbassy</w:t>
            </w:r>
            <w:r w:rsidRPr="00123906">
              <w:rPr>
                <w:sz w:val="18"/>
                <w:szCs w:val="18"/>
              </w:rPr>
              <w:t>, Law Society</w:t>
            </w:r>
            <w:r w:rsidR="00A8563F">
              <w:rPr>
                <w:sz w:val="18"/>
                <w:szCs w:val="18"/>
              </w:rPr>
              <w:t xml:space="preserve"> of Malawi</w:t>
            </w:r>
            <w:r w:rsidRPr="00123906">
              <w:rPr>
                <w:sz w:val="18"/>
                <w:szCs w:val="18"/>
              </w:rPr>
              <w:t>, O</w:t>
            </w:r>
            <w:r w:rsidR="007875D5">
              <w:rPr>
                <w:sz w:val="18"/>
                <w:szCs w:val="18"/>
              </w:rPr>
              <w:t xml:space="preserve">ffice of the </w:t>
            </w:r>
            <w:r w:rsidRPr="00123906">
              <w:rPr>
                <w:sz w:val="18"/>
                <w:szCs w:val="18"/>
              </w:rPr>
              <w:t>P</w:t>
            </w:r>
            <w:r w:rsidR="007875D5">
              <w:rPr>
                <w:sz w:val="18"/>
                <w:szCs w:val="18"/>
              </w:rPr>
              <w:t xml:space="preserve">resident and </w:t>
            </w:r>
            <w:r w:rsidRPr="00123906">
              <w:rPr>
                <w:sz w:val="18"/>
                <w:szCs w:val="18"/>
              </w:rPr>
              <w:t>C</w:t>
            </w:r>
            <w:r w:rsidR="007875D5">
              <w:rPr>
                <w:sz w:val="18"/>
                <w:szCs w:val="18"/>
              </w:rPr>
              <w:t>abinet</w:t>
            </w:r>
            <w:r w:rsidR="001E57D3">
              <w:rPr>
                <w:sz w:val="18"/>
                <w:szCs w:val="18"/>
              </w:rPr>
              <w:t xml:space="preserve"> (OPC)</w:t>
            </w:r>
            <w:r w:rsidRPr="00123906">
              <w:rPr>
                <w:sz w:val="18"/>
                <w:szCs w:val="18"/>
              </w:rPr>
              <w:t>; Parliament; M</w:t>
            </w:r>
            <w:r w:rsidR="007875D5">
              <w:rPr>
                <w:sz w:val="18"/>
                <w:szCs w:val="18"/>
              </w:rPr>
              <w:t xml:space="preserve">inistries, </w:t>
            </w:r>
            <w:r w:rsidRPr="00123906">
              <w:rPr>
                <w:sz w:val="18"/>
                <w:szCs w:val="18"/>
              </w:rPr>
              <w:t>D</w:t>
            </w:r>
            <w:r w:rsidR="007875D5">
              <w:rPr>
                <w:sz w:val="18"/>
                <w:szCs w:val="18"/>
              </w:rPr>
              <w:t xml:space="preserve">epartments and </w:t>
            </w:r>
            <w:r w:rsidRPr="00123906">
              <w:rPr>
                <w:sz w:val="18"/>
                <w:szCs w:val="18"/>
              </w:rPr>
              <w:t>A</w:t>
            </w:r>
            <w:r w:rsidR="007875D5">
              <w:rPr>
                <w:sz w:val="18"/>
                <w:szCs w:val="18"/>
              </w:rPr>
              <w:t>gencie</w:t>
            </w:r>
            <w:r w:rsidRPr="00123906">
              <w:rPr>
                <w:sz w:val="18"/>
                <w:szCs w:val="18"/>
              </w:rPr>
              <w:t xml:space="preserve">s; </w:t>
            </w:r>
            <w:r w:rsidR="0047634F">
              <w:rPr>
                <w:sz w:val="18"/>
                <w:szCs w:val="18"/>
              </w:rPr>
              <w:t>Anti-Corruption Bureau</w:t>
            </w:r>
            <w:r w:rsidRPr="00123906">
              <w:rPr>
                <w:sz w:val="18"/>
                <w:szCs w:val="18"/>
              </w:rPr>
              <w:t xml:space="preserve">; Accountant Generals Office; Auditor General’s Office; Office of Asset Declaration; </w:t>
            </w:r>
            <w:r w:rsidR="00C94743">
              <w:rPr>
                <w:sz w:val="18"/>
                <w:szCs w:val="18"/>
              </w:rPr>
              <w:t>Office of the Director of Public Procurement</w:t>
            </w:r>
            <w:r w:rsidRPr="00123906">
              <w:rPr>
                <w:sz w:val="18"/>
                <w:szCs w:val="18"/>
              </w:rPr>
              <w:t>; MHRC; Law Commissions; Office of Ombudsman; Media, Legal Aid Bureau</w:t>
            </w:r>
          </w:p>
        </w:tc>
        <w:tc>
          <w:tcPr>
            <w:tcW w:w="1265" w:type="dxa"/>
            <w:vAlign w:val="center"/>
          </w:tcPr>
          <w:p w14:paraId="2E4FD68E" w14:textId="0839CDAE" w:rsidR="007034ED" w:rsidRPr="00123906" w:rsidRDefault="007034ED" w:rsidP="00587E93">
            <w:pPr>
              <w:jc w:val="both"/>
              <w:rPr>
                <w:b/>
                <w:sz w:val="18"/>
                <w:szCs w:val="18"/>
              </w:rPr>
            </w:pPr>
            <w:r w:rsidRPr="00123906">
              <w:rPr>
                <w:b/>
                <w:sz w:val="18"/>
                <w:szCs w:val="18"/>
              </w:rPr>
              <w:t xml:space="preserve">Regular:                </w:t>
            </w:r>
            <w:r w:rsidR="005C6DA8">
              <w:rPr>
                <w:b/>
                <w:sz w:val="18"/>
                <w:szCs w:val="18"/>
              </w:rPr>
              <w:t>$</w:t>
            </w:r>
            <w:r w:rsidRPr="00123906">
              <w:rPr>
                <w:b/>
                <w:sz w:val="18"/>
                <w:szCs w:val="18"/>
              </w:rPr>
              <w:t>5,100,000</w:t>
            </w:r>
          </w:p>
          <w:p w14:paraId="2E4FD68F" w14:textId="77777777" w:rsidR="007034ED" w:rsidRPr="00123906" w:rsidRDefault="007034ED" w:rsidP="00587E93">
            <w:pPr>
              <w:jc w:val="both"/>
              <w:rPr>
                <w:b/>
                <w:sz w:val="18"/>
                <w:szCs w:val="18"/>
              </w:rPr>
            </w:pPr>
          </w:p>
          <w:p w14:paraId="2E4FD690" w14:textId="58866380" w:rsidR="007034ED" w:rsidRPr="00123906" w:rsidRDefault="007034ED" w:rsidP="00587E93">
            <w:pPr>
              <w:rPr>
                <w:sz w:val="18"/>
                <w:szCs w:val="18"/>
              </w:rPr>
            </w:pPr>
            <w:r w:rsidRPr="00123906">
              <w:rPr>
                <w:b/>
                <w:sz w:val="18"/>
                <w:szCs w:val="18"/>
              </w:rPr>
              <w:t xml:space="preserve">Other:                           </w:t>
            </w:r>
            <w:r w:rsidR="005C6DA8">
              <w:rPr>
                <w:b/>
                <w:sz w:val="18"/>
                <w:szCs w:val="18"/>
              </w:rPr>
              <w:t>$</w:t>
            </w:r>
            <w:r w:rsidRPr="00123906">
              <w:rPr>
                <w:b/>
                <w:sz w:val="18"/>
                <w:szCs w:val="18"/>
              </w:rPr>
              <w:t>5,470,588</w:t>
            </w:r>
          </w:p>
        </w:tc>
      </w:tr>
      <w:tr w:rsidR="007034ED" w:rsidRPr="00123906" w14:paraId="2E4FD69D" w14:textId="77777777" w:rsidTr="00A977E3">
        <w:tc>
          <w:tcPr>
            <w:tcW w:w="2247" w:type="dxa"/>
            <w:vMerge/>
            <w:vAlign w:val="center"/>
          </w:tcPr>
          <w:p w14:paraId="2E4FD692" w14:textId="77777777" w:rsidR="007034ED" w:rsidRPr="00123906" w:rsidRDefault="007034ED" w:rsidP="00587E93">
            <w:pPr>
              <w:rPr>
                <w:b/>
                <w:bCs/>
                <w:sz w:val="18"/>
                <w:szCs w:val="18"/>
              </w:rPr>
            </w:pPr>
          </w:p>
        </w:tc>
        <w:tc>
          <w:tcPr>
            <w:tcW w:w="1802" w:type="dxa"/>
            <w:vMerge/>
            <w:vAlign w:val="center"/>
          </w:tcPr>
          <w:p w14:paraId="2E4FD693" w14:textId="77777777" w:rsidR="007034ED" w:rsidRPr="00123906" w:rsidRDefault="007034ED" w:rsidP="00DA67AA">
            <w:pPr>
              <w:pStyle w:val="ListParagraph"/>
              <w:numPr>
                <w:ilvl w:val="0"/>
                <w:numId w:val="2"/>
              </w:numPr>
              <w:ind w:left="0"/>
              <w:jc w:val="both"/>
              <w:rPr>
                <w:color w:val="000000"/>
                <w:sz w:val="18"/>
                <w:szCs w:val="18"/>
              </w:rPr>
            </w:pPr>
          </w:p>
        </w:tc>
        <w:tc>
          <w:tcPr>
            <w:tcW w:w="5854" w:type="dxa"/>
            <w:vAlign w:val="center"/>
          </w:tcPr>
          <w:p w14:paraId="2E4FD694" w14:textId="77777777" w:rsidR="007034ED" w:rsidRPr="00123906" w:rsidRDefault="007034ED" w:rsidP="00587E93">
            <w:pPr>
              <w:jc w:val="both"/>
              <w:rPr>
                <w:sz w:val="18"/>
                <w:szCs w:val="18"/>
              </w:rPr>
            </w:pPr>
            <w:r w:rsidRPr="00123906">
              <w:rPr>
                <w:b/>
                <w:sz w:val="18"/>
                <w:szCs w:val="18"/>
              </w:rPr>
              <w:t>Output 3.2:</w:t>
            </w:r>
            <w:r w:rsidRPr="00123906">
              <w:rPr>
                <w:sz w:val="18"/>
                <w:szCs w:val="18"/>
              </w:rPr>
              <w:t xml:space="preserve"> </w:t>
            </w:r>
            <w:r w:rsidR="00587E93" w:rsidRPr="00123906">
              <w:rPr>
                <w:sz w:val="18"/>
                <w:szCs w:val="18"/>
              </w:rPr>
              <w:t>Select</w:t>
            </w:r>
            <w:r w:rsidR="007C4764" w:rsidRPr="00123906">
              <w:rPr>
                <w:sz w:val="18"/>
                <w:szCs w:val="18"/>
              </w:rPr>
              <w:t>ed</w:t>
            </w:r>
            <w:r w:rsidR="00587E93" w:rsidRPr="00123906">
              <w:rPr>
                <w:sz w:val="18"/>
                <w:szCs w:val="18"/>
              </w:rPr>
              <w:t xml:space="preserve"> g</w:t>
            </w:r>
            <w:r w:rsidRPr="00123906">
              <w:rPr>
                <w:iCs/>
                <w:sz w:val="18"/>
                <w:szCs w:val="18"/>
              </w:rPr>
              <w:t>overnance institutions</w:t>
            </w:r>
            <w:r w:rsidRPr="00123906">
              <w:rPr>
                <w:sz w:val="18"/>
                <w:szCs w:val="18"/>
              </w:rPr>
              <w:t xml:space="preserve"> </w:t>
            </w:r>
            <w:r w:rsidRPr="00123906">
              <w:rPr>
                <w:iCs/>
                <w:sz w:val="18"/>
                <w:szCs w:val="18"/>
              </w:rPr>
              <w:t>are enabled to perform core functions for improved transparency and accountability</w:t>
            </w:r>
          </w:p>
          <w:p w14:paraId="2E4FD695" w14:textId="77777777" w:rsidR="007034ED" w:rsidRPr="00123906" w:rsidRDefault="007034ED" w:rsidP="00587E93">
            <w:pPr>
              <w:jc w:val="both"/>
              <w:rPr>
                <w:iCs/>
                <w:sz w:val="18"/>
                <w:szCs w:val="18"/>
              </w:rPr>
            </w:pPr>
          </w:p>
          <w:p w14:paraId="2E4FD696" w14:textId="77777777" w:rsidR="007034ED" w:rsidRPr="00123906" w:rsidRDefault="007034ED" w:rsidP="00587E93">
            <w:pPr>
              <w:jc w:val="both"/>
              <w:rPr>
                <w:sz w:val="18"/>
                <w:szCs w:val="18"/>
              </w:rPr>
            </w:pPr>
            <w:r w:rsidRPr="00123906">
              <w:rPr>
                <w:b/>
                <w:sz w:val="18"/>
                <w:szCs w:val="18"/>
              </w:rPr>
              <w:t>Indicator 3.2.2</w:t>
            </w:r>
            <w:r w:rsidRPr="00123906">
              <w:rPr>
                <w:sz w:val="18"/>
                <w:szCs w:val="18"/>
              </w:rPr>
              <w:t>: Number of legal reforms to enforce transparency and accountability in public institutions</w:t>
            </w:r>
          </w:p>
          <w:p w14:paraId="2E4FD697" w14:textId="77777777" w:rsidR="007034ED" w:rsidRPr="00123906" w:rsidRDefault="007034ED" w:rsidP="00587E93">
            <w:pPr>
              <w:jc w:val="both"/>
              <w:rPr>
                <w:sz w:val="18"/>
                <w:szCs w:val="18"/>
              </w:rPr>
            </w:pPr>
            <w:r w:rsidRPr="00123906">
              <w:rPr>
                <w:b/>
                <w:sz w:val="18"/>
                <w:szCs w:val="18"/>
              </w:rPr>
              <w:t>Baseline</w:t>
            </w:r>
            <w:r w:rsidRPr="00123906">
              <w:rPr>
                <w:sz w:val="18"/>
                <w:szCs w:val="18"/>
              </w:rPr>
              <w:t>: T</w:t>
            </w:r>
            <w:r w:rsidR="007C4764" w:rsidRPr="00123906">
              <w:rPr>
                <w:sz w:val="18"/>
                <w:szCs w:val="18"/>
              </w:rPr>
              <w:t>B</w:t>
            </w:r>
            <w:r w:rsidRPr="00123906">
              <w:rPr>
                <w:sz w:val="18"/>
                <w:szCs w:val="18"/>
              </w:rPr>
              <w:t xml:space="preserve">D; </w:t>
            </w:r>
            <w:r w:rsidRPr="009202E9">
              <w:rPr>
                <w:b/>
                <w:sz w:val="18"/>
                <w:szCs w:val="18"/>
              </w:rPr>
              <w:t>Target</w:t>
            </w:r>
            <w:r w:rsidRPr="00123906">
              <w:rPr>
                <w:sz w:val="18"/>
                <w:szCs w:val="18"/>
              </w:rPr>
              <w:t>: TBD</w:t>
            </w:r>
          </w:p>
          <w:p w14:paraId="2E4FD698" w14:textId="67A4B613" w:rsidR="007034ED" w:rsidRPr="00123906" w:rsidRDefault="007034ED" w:rsidP="00587E93">
            <w:pPr>
              <w:jc w:val="both"/>
              <w:rPr>
                <w:iCs/>
                <w:sz w:val="18"/>
                <w:szCs w:val="18"/>
              </w:rPr>
            </w:pPr>
            <w:r w:rsidRPr="00123906">
              <w:rPr>
                <w:b/>
                <w:sz w:val="18"/>
                <w:szCs w:val="18"/>
              </w:rPr>
              <w:t>Source of Data</w:t>
            </w:r>
            <w:r w:rsidRPr="00123906">
              <w:rPr>
                <w:sz w:val="18"/>
                <w:szCs w:val="18"/>
              </w:rPr>
              <w:t>: MoJCA</w:t>
            </w:r>
          </w:p>
        </w:tc>
        <w:tc>
          <w:tcPr>
            <w:tcW w:w="2342" w:type="dxa"/>
            <w:vAlign w:val="center"/>
          </w:tcPr>
          <w:p w14:paraId="2E4FD699" w14:textId="5ADD8717" w:rsidR="007034ED" w:rsidRPr="00123906" w:rsidRDefault="001E57D3" w:rsidP="007C69FB">
            <w:pPr>
              <w:rPr>
                <w:sz w:val="18"/>
                <w:szCs w:val="18"/>
              </w:rPr>
            </w:pPr>
            <w:r>
              <w:rPr>
                <w:sz w:val="18"/>
                <w:szCs w:val="18"/>
              </w:rPr>
              <w:t>OPC</w:t>
            </w:r>
            <w:r w:rsidR="00A513C4">
              <w:rPr>
                <w:sz w:val="18"/>
                <w:szCs w:val="18"/>
              </w:rPr>
              <w:t xml:space="preserve"> </w:t>
            </w:r>
            <w:r w:rsidR="007034ED" w:rsidRPr="00123906">
              <w:rPr>
                <w:sz w:val="18"/>
                <w:szCs w:val="18"/>
              </w:rPr>
              <w:t>– P</w:t>
            </w:r>
            <w:r w:rsidR="007875D5">
              <w:rPr>
                <w:sz w:val="18"/>
                <w:szCs w:val="18"/>
              </w:rPr>
              <w:t xml:space="preserve">erformance </w:t>
            </w:r>
            <w:r w:rsidR="007034ED" w:rsidRPr="00123906">
              <w:rPr>
                <w:sz w:val="18"/>
                <w:szCs w:val="18"/>
              </w:rPr>
              <w:t>E</w:t>
            </w:r>
            <w:r w:rsidR="007875D5">
              <w:rPr>
                <w:sz w:val="18"/>
                <w:szCs w:val="18"/>
              </w:rPr>
              <w:t xml:space="preserve">nforcement </w:t>
            </w:r>
            <w:r w:rsidR="007034ED" w:rsidRPr="00123906">
              <w:rPr>
                <w:sz w:val="18"/>
                <w:szCs w:val="18"/>
              </w:rPr>
              <w:t>D</w:t>
            </w:r>
            <w:r w:rsidR="007875D5">
              <w:rPr>
                <w:sz w:val="18"/>
                <w:szCs w:val="18"/>
              </w:rPr>
              <w:t>epartment</w:t>
            </w:r>
            <w:r>
              <w:rPr>
                <w:sz w:val="18"/>
                <w:szCs w:val="18"/>
              </w:rPr>
              <w:t>;</w:t>
            </w:r>
            <w:r w:rsidRPr="00123906">
              <w:rPr>
                <w:sz w:val="18"/>
                <w:szCs w:val="18"/>
              </w:rPr>
              <w:t xml:space="preserve"> </w:t>
            </w:r>
            <w:r w:rsidR="007034ED" w:rsidRPr="00123906">
              <w:rPr>
                <w:sz w:val="18"/>
                <w:szCs w:val="18"/>
              </w:rPr>
              <w:t>M</w:t>
            </w:r>
            <w:r w:rsidR="007875D5">
              <w:rPr>
                <w:sz w:val="18"/>
                <w:szCs w:val="18"/>
              </w:rPr>
              <w:t xml:space="preserve">inistry </w:t>
            </w:r>
            <w:r w:rsidR="007034ED" w:rsidRPr="00123906">
              <w:rPr>
                <w:sz w:val="18"/>
                <w:szCs w:val="18"/>
              </w:rPr>
              <w:t>o</w:t>
            </w:r>
            <w:r w:rsidR="007875D5">
              <w:rPr>
                <w:sz w:val="18"/>
                <w:szCs w:val="18"/>
              </w:rPr>
              <w:t xml:space="preserve">f </w:t>
            </w:r>
            <w:r w:rsidR="007034ED" w:rsidRPr="00123906">
              <w:rPr>
                <w:sz w:val="18"/>
                <w:szCs w:val="18"/>
              </w:rPr>
              <w:t>F</w:t>
            </w:r>
            <w:r w:rsidR="007875D5">
              <w:rPr>
                <w:sz w:val="18"/>
                <w:szCs w:val="18"/>
              </w:rPr>
              <w:t xml:space="preserve">inance, </w:t>
            </w:r>
            <w:r w:rsidR="007034ED" w:rsidRPr="00123906">
              <w:rPr>
                <w:sz w:val="18"/>
                <w:szCs w:val="18"/>
              </w:rPr>
              <w:t>E</w:t>
            </w:r>
            <w:r w:rsidR="007875D5">
              <w:rPr>
                <w:sz w:val="18"/>
                <w:szCs w:val="18"/>
              </w:rPr>
              <w:t xml:space="preserve">conomic </w:t>
            </w:r>
            <w:r w:rsidR="007034ED" w:rsidRPr="00123906">
              <w:rPr>
                <w:sz w:val="18"/>
                <w:szCs w:val="18"/>
              </w:rPr>
              <w:t>P</w:t>
            </w:r>
            <w:r w:rsidR="007875D5">
              <w:rPr>
                <w:sz w:val="18"/>
                <w:szCs w:val="18"/>
              </w:rPr>
              <w:t xml:space="preserve">lanning and </w:t>
            </w:r>
            <w:r w:rsidR="007034ED" w:rsidRPr="00123906">
              <w:rPr>
                <w:sz w:val="18"/>
                <w:szCs w:val="18"/>
              </w:rPr>
              <w:t>D</w:t>
            </w:r>
            <w:r w:rsidR="007875D5">
              <w:rPr>
                <w:sz w:val="18"/>
                <w:szCs w:val="18"/>
              </w:rPr>
              <w:t>evelopment</w:t>
            </w:r>
            <w:r>
              <w:rPr>
                <w:sz w:val="18"/>
                <w:szCs w:val="18"/>
              </w:rPr>
              <w:t>;</w:t>
            </w:r>
            <w:r w:rsidRPr="00123906">
              <w:rPr>
                <w:sz w:val="18"/>
                <w:szCs w:val="18"/>
              </w:rPr>
              <w:t xml:space="preserve"> </w:t>
            </w:r>
            <w:r>
              <w:rPr>
                <w:sz w:val="18"/>
                <w:szCs w:val="18"/>
              </w:rPr>
              <w:t>MoJCA</w:t>
            </w:r>
            <w:r w:rsidR="007034ED" w:rsidRPr="00123906">
              <w:rPr>
                <w:sz w:val="18"/>
                <w:szCs w:val="18"/>
              </w:rPr>
              <w:t xml:space="preserve">, </w:t>
            </w:r>
            <w:r w:rsidR="007034ED" w:rsidRPr="007C69FB">
              <w:rPr>
                <w:sz w:val="18"/>
                <w:szCs w:val="18"/>
              </w:rPr>
              <w:t>O</w:t>
            </w:r>
            <w:r w:rsidR="007875D5" w:rsidRPr="007C69FB">
              <w:rPr>
                <w:sz w:val="18"/>
                <w:szCs w:val="18"/>
              </w:rPr>
              <w:t xml:space="preserve">ffice </w:t>
            </w:r>
            <w:r w:rsidR="007034ED" w:rsidRPr="007C69FB">
              <w:rPr>
                <w:sz w:val="18"/>
                <w:szCs w:val="18"/>
              </w:rPr>
              <w:t>o</w:t>
            </w:r>
            <w:r w:rsidR="007875D5" w:rsidRPr="007C69FB">
              <w:rPr>
                <w:sz w:val="18"/>
                <w:szCs w:val="18"/>
              </w:rPr>
              <w:t xml:space="preserve">f the </w:t>
            </w:r>
            <w:r w:rsidR="007034ED" w:rsidRPr="007C69FB">
              <w:rPr>
                <w:sz w:val="18"/>
                <w:szCs w:val="18"/>
              </w:rPr>
              <w:t>O</w:t>
            </w:r>
            <w:r w:rsidR="007875D5" w:rsidRPr="007C69FB">
              <w:rPr>
                <w:sz w:val="18"/>
                <w:szCs w:val="18"/>
              </w:rPr>
              <w:t>mbudsman</w:t>
            </w:r>
            <w:r w:rsidR="007034ED" w:rsidRPr="00123906">
              <w:rPr>
                <w:sz w:val="18"/>
                <w:szCs w:val="18"/>
                <w:u w:val="single"/>
              </w:rPr>
              <w:t>,</w:t>
            </w:r>
            <w:r w:rsidR="007034ED" w:rsidRPr="00123906">
              <w:rPr>
                <w:sz w:val="18"/>
                <w:szCs w:val="18"/>
              </w:rPr>
              <w:t xml:space="preserve"> Parliament, A</w:t>
            </w:r>
            <w:r w:rsidR="007875D5">
              <w:rPr>
                <w:sz w:val="18"/>
                <w:szCs w:val="18"/>
              </w:rPr>
              <w:t xml:space="preserve">nti-Corruption </w:t>
            </w:r>
            <w:r w:rsidR="007034ED" w:rsidRPr="00123906">
              <w:rPr>
                <w:sz w:val="18"/>
                <w:szCs w:val="18"/>
              </w:rPr>
              <w:t>B</w:t>
            </w:r>
            <w:r w:rsidR="007875D5">
              <w:rPr>
                <w:sz w:val="18"/>
                <w:szCs w:val="18"/>
              </w:rPr>
              <w:t>ureau</w:t>
            </w:r>
            <w:r w:rsidR="007034ED" w:rsidRPr="00123906">
              <w:rPr>
                <w:sz w:val="18"/>
                <w:szCs w:val="18"/>
              </w:rPr>
              <w:t xml:space="preserve">, </w:t>
            </w:r>
            <w:r w:rsidR="00641502" w:rsidRPr="00123906">
              <w:rPr>
                <w:sz w:val="18"/>
                <w:szCs w:val="18"/>
              </w:rPr>
              <w:t>UN</w:t>
            </w:r>
            <w:r w:rsidR="00641502">
              <w:rPr>
                <w:sz w:val="18"/>
                <w:szCs w:val="18"/>
              </w:rPr>
              <w:t>-</w:t>
            </w:r>
            <w:r w:rsidR="00641502" w:rsidRPr="00123906">
              <w:rPr>
                <w:sz w:val="18"/>
                <w:szCs w:val="18"/>
              </w:rPr>
              <w:t>Women</w:t>
            </w:r>
            <w:r w:rsidR="007034ED" w:rsidRPr="00123906">
              <w:rPr>
                <w:sz w:val="18"/>
                <w:szCs w:val="18"/>
              </w:rPr>
              <w:t>, UNICEF, EU, USAID, D</w:t>
            </w:r>
            <w:r w:rsidR="00462376">
              <w:rPr>
                <w:sz w:val="18"/>
                <w:szCs w:val="18"/>
              </w:rPr>
              <w:t>f</w:t>
            </w:r>
            <w:r w:rsidR="007034ED" w:rsidRPr="00123906">
              <w:rPr>
                <w:sz w:val="18"/>
                <w:szCs w:val="18"/>
              </w:rPr>
              <w:t>ID, Irish Aid, R</w:t>
            </w:r>
            <w:r w:rsidR="007875D5">
              <w:rPr>
                <w:sz w:val="18"/>
                <w:szCs w:val="18"/>
              </w:rPr>
              <w:t xml:space="preserve">oyal </w:t>
            </w:r>
            <w:r w:rsidR="007034ED" w:rsidRPr="00123906">
              <w:rPr>
                <w:sz w:val="18"/>
                <w:szCs w:val="18"/>
              </w:rPr>
              <w:t>N</w:t>
            </w:r>
            <w:r w:rsidR="007875D5">
              <w:rPr>
                <w:sz w:val="18"/>
                <w:szCs w:val="18"/>
              </w:rPr>
              <w:t xml:space="preserve">orwegian </w:t>
            </w:r>
            <w:r w:rsidR="007034ED" w:rsidRPr="00123906">
              <w:rPr>
                <w:sz w:val="18"/>
                <w:szCs w:val="18"/>
              </w:rPr>
              <w:t>E</w:t>
            </w:r>
            <w:r w:rsidR="007875D5">
              <w:rPr>
                <w:sz w:val="18"/>
                <w:szCs w:val="18"/>
              </w:rPr>
              <w:t>mbassy</w:t>
            </w:r>
            <w:r w:rsidR="007034ED" w:rsidRPr="00123906">
              <w:rPr>
                <w:sz w:val="18"/>
                <w:szCs w:val="18"/>
              </w:rPr>
              <w:t>.</w:t>
            </w:r>
          </w:p>
        </w:tc>
        <w:tc>
          <w:tcPr>
            <w:tcW w:w="1265" w:type="dxa"/>
            <w:vAlign w:val="center"/>
          </w:tcPr>
          <w:p w14:paraId="2E4FD69A" w14:textId="2806DFAC" w:rsidR="007034ED" w:rsidRPr="00123906" w:rsidRDefault="007034ED" w:rsidP="007C69FB">
            <w:pPr>
              <w:rPr>
                <w:b/>
                <w:sz w:val="18"/>
                <w:szCs w:val="18"/>
              </w:rPr>
            </w:pPr>
            <w:r w:rsidRPr="00123906">
              <w:rPr>
                <w:b/>
                <w:sz w:val="18"/>
                <w:szCs w:val="18"/>
              </w:rPr>
              <w:t>Regular:               $5,560,000</w:t>
            </w:r>
          </w:p>
          <w:p w14:paraId="2E4FD69B" w14:textId="77777777" w:rsidR="007034ED" w:rsidRPr="00123906" w:rsidRDefault="007034ED" w:rsidP="007C69FB">
            <w:pPr>
              <w:rPr>
                <w:b/>
                <w:sz w:val="18"/>
                <w:szCs w:val="18"/>
              </w:rPr>
            </w:pPr>
          </w:p>
          <w:p w14:paraId="2E4FD69C" w14:textId="2ABF9DDB" w:rsidR="007034ED" w:rsidRPr="00123906" w:rsidRDefault="007034ED">
            <w:pPr>
              <w:rPr>
                <w:b/>
                <w:bCs/>
                <w:color w:val="000000"/>
                <w:sz w:val="18"/>
                <w:szCs w:val="18"/>
              </w:rPr>
            </w:pPr>
            <w:r w:rsidRPr="00123906">
              <w:rPr>
                <w:b/>
                <w:sz w:val="18"/>
                <w:szCs w:val="18"/>
              </w:rPr>
              <w:t>Other:                    $5,500,000</w:t>
            </w:r>
          </w:p>
        </w:tc>
      </w:tr>
      <w:tr w:rsidR="007034ED" w:rsidRPr="00123906" w14:paraId="2E4FD6B1" w14:textId="77777777" w:rsidTr="00A977E3">
        <w:tc>
          <w:tcPr>
            <w:tcW w:w="2247" w:type="dxa"/>
            <w:vMerge/>
            <w:vAlign w:val="center"/>
          </w:tcPr>
          <w:p w14:paraId="2E4FD69E" w14:textId="77777777" w:rsidR="007034ED" w:rsidRPr="00123906" w:rsidRDefault="007034ED" w:rsidP="00587E93">
            <w:pPr>
              <w:rPr>
                <w:sz w:val="18"/>
                <w:szCs w:val="18"/>
              </w:rPr>
            </w:pPr>
          </w:p>
        </w:tc>
        <w:tc>
          <w:tcPr>
            <w:tcW w:w="1802" w:type="dxa"/>
            <w:vMerge/>
            <w:vAlign w:val="center"/>
          </w:tcPr>
          <w:p w14:paraId="2E4FD69F" w14:textId="77777777" w:rsidR="007034ED" w:rsidRPr="00123906" w:rsidRDefault="007034ED" w:rsidP="00DA67AA">
            <w:pPr>
              <w:pStyle w:val="ListParagraph"/>
              <w:numPr>
                <w:ilvl w:val="0"/>
                <w:numId w:val="2"/>
              </w:numPr>
              <w:ind w:left="0"/>
              <w:jc w:val="both"/>
              <w:rPr>
                <w:sz w:val="18"/>
                <w:szCs w:val="18"/>
              </w:rPr>
            </w:pPr>
          </w:p>
        </w:tc>
        <w:tc>
          <w:tcPr>
            <w:tcW w:w="5854" w:type="dxa"/>
            <w:vAlign w:val="center"/>
          </w:tcPr>
          <w:p w14:paraId="2E4FD6A0" w14:textId="69B8DE05" w:rsidR="007034ED" w:rsidRPr="00123906" w:rsidRDefault="007034ED" w:rsidP="00587E93">
            <w:pPr>
              <w:jc w:val="both"/>
              <w:rPr>
                <w:sz w:val="18"/>
                <w:szCs w:val="18"/>
              </w:rPr>
            </w:pPr>
            <w:r w:rsidRPr="00123906">
              <w:rPr>
                <w:b/>
                <w:sz w:val="18"/>
                <w:szCs w:val="18"/>
              </w:rPr>
              <w:t>Output 3.3:</w:t>
            </w:r>
            <w:r w:rsidRPr="00123906">
              <w:rPr>
                <w:sz w:val="18"/>
                <w:szCs w:val="18"/>
              </w:rPr>
              <w:t xml:space="preserve"> Central and </w:t>
            </w:r>
            <w:r w:rsidR="00641502">
              <w:rPr>
                <w:sz w:val="18"/>
                <w:szCs w:val="18"/>
              </w:rPr>
              <w:t>l</w:t>
            </w:r>
            <w:r w:rsidR="00641502" w:rsidRPr="00123906">
              <w:rPr>
                <w:sz w:val="18"/>
                <w:szCs w:val="18"/>
              </w:rPr>
              <w:t xml:space="preserve">ocal </w:t>
            </w:r>
            <w:r w:rsidR="00641502">
              <w:rPr>
                <w:sz w:val="18"/>
                <w:szCs w:val="18"/>
              </w:rPr>
              <w:t>g</w:t>
            </w:r>
            <w:r w:rsidR="00641502" w:rsidRPr="00123906">
              <w:rPr>
                <w:sz w:val="18"/>
                <w:szCs w:val="18"/>
              </w:rPr>
              <w:t xml:space="preserve">overnment </w:t>
            </w:r>
            <w:r w:rsidRPr="00123906">
              <w:rPr>
                <w:sz w:val="18"/>
                <w:szCs w:val="18"/>
              </w:rPr>
              <w:t xml:space="preserve">institutions are enabled to develop and manage evidence-based policy planning, monitoring and evaluation </w:t>
            </w:r>
            <w:r w:rsidRPr="00123906">
              <w:rPr>
                <w:sz w:val="18"/>
                <w:szCs w:val="18"/>
              </w:rPr>
              <w:lastRenderedPageBreak/>
              <w:t xml:space="preserve">systems for inclusive and effective delivery of services and achievement of development results.  </w:t>
            </w:r>
          </w:p>
          <w:p w14:paraId="2E4FD6A1" w14:textId="77777777" w:rsidR="007034ED" w:rsidRPr="00123906" w:rsidRDefault="007034ED" w:rsidP="00587E93">
            <w:pPr>
              <w:jc w:val="both"/>
              <w:rPr>
                <w:sz w:val="18"/>
                <w:szCs w:val="18"/>
                <w:u w:val="single"/>
              </w:rPr>
            </w:pPr>
          </w:p>
          <w:p w14:paraId="2E4FD6A2" w14:textId="1981A087" w:rsidR="007034ED" w:rsidRPr="00123906" w:rsidRDefault="007034ED" w:rsidP="00587E93">
            <w:pPr>
              <w:spacing w:line="252" w:lineRule="auto"/>
              <w:jc w:val="both"/>
              <w:rPr>
                <w:b/>
                <w:bCs/>
                <w:color w:val="000000"/>
                <w:sz w:val="18"/>
                <w:szCs w:val="18"/>
                <w:u w:val="single"/>
              </w:rPr>
            </w:pPr>
            <w:r w:rsidRPr="00123906">
              <w:rPr>
                <w:b/>
                <w:bCs/>
                <w:color w:val="000000"/>
                <w:sz w:val="18"/>
                <w:szCs w:val="18"/>
              </w:rPr>
              <w:t xml:space="preserve">Indicator 3.3.1: </w:t>
            </w:r>
            <w:r w:rsidRPr="00123906">
              <w:rPr>
                <w:color w:val="000000"/>
                <w:sz w:val="18"/>
                <w:szCs w:val="18"/>
              </w:rPr>
              <w:t xml:space="preserve">Sustainable financing mechanism for </w:t>
            </w:r>
            <w:r w:rsidR="00641502">
              <w:rPr>
                <w:color w:val="000000"/>
                <w:sz w:val="18"/>
                <w:szCs w:val="18"/>
              </w:rPr>
              <w:t>Sustainable Development Goal</w:t>
            </w:r>
            <w:r w:rsidR="00641502" w:rsidRPr="00123906">
              <w:rPr>
                <w:color w:val="000000"/>
                <w:sz w:val="18"/>
                <w:szCs w:val="18"/>
              </w:rPr>
              <w:t xml:space="preserve"> </w:t>
            </w:r>
            <w:r w:rsidRPr="00123906">
              <w:rPr>
                <w:color w:val="000000"/>
                <w:sz w:val="18"/>
                <w:szCs w:val="18"/>
              </w:rPr>
              <w:t>achievement at national and subnational levels</w:t>
            </w:r>
            <w:r w:rsidR="00587E93" w:rsidRPr="00123906">
              <w:rPr>
                <w:color w:val="000000"/>
                <w:sz w:val="18"/>
                <w:szCs w:val="18"/>
              </w:rPr>
              <w:t xml:space="preserve"> </w:t>
            </w:r>
            <w:r w:rsidRPr="00123906">
              <w:rPr>
                <w:color w:val="000000"/>
                <w:sz w:val="18"/>
                <w:szCs w:val="18"/>
              </w:rPr>
              <w:t xml:space="preserve">in place. </w:t>
            </w:r>
          </w:p>
          <w:p w14:paraId="2E4FD6A3" w14:textId="77777777" w:rsidR="007034ED" w:rsidRPr="00123906" w:rsidRDefault="007034ED" w:rsidP="00587E93">
            <w:pPr>
              <w:spacing w:line="252" w:lineRule="auto"/>
              <w:jc w:val="both"/>
              <w:rPr>
                <w:b/>
                <w:bCs/>
                <w:color w:val="000000"/>
                <w:sz w:val="18"/>
                <w:szCs w:val="18"/>
                <w:u w:val="single"/>
              </w:rPr>
            </w:pPr>
            <w:r w:rsidRPr="00123906">
              <w:rPr>
                <w:b/>
                <w:bCs/>
                <w:color w:val="000000"/>
                <w:sz w:val="18"/>
                <w:szCs w:val="18"/>
              </w:rPr>
              <w:t>Baseline</w:t>
            </w:r>
            <w:r w:rsidRPr="00123906">
              <w:rPr>
                <w:color w:val="000000"/>
                <w:sz w:val="18"/>
                <w:szCs w:val="18"/>
              </w:rPr>
              <w:t xml:space="preserve">: 0 (2017); </w:t>
            </w:r>
            <w:r w:rsidRPr="00123906">
              <w:rPr>
                <w:b/>
                <w:bCs/>
                <w:color w:val="000000"/>
                <w:sz w:val="18"/>
                <w:szCs w:val="18"/>
              </w:rPr>
              <w:t>Target</w:t>
            </w:r>
            <w:r w:rsidRPr="00123906">
              <w:rPr>
                <w:color w:val="000000"/>
                <w:sz w:val="18"/>
                <w:szCs w:val="18"/>
              </w:rPr>
              <w:t>: 1 (2023)</w:t>
            </w:r>
          </w:p>
          <w:p w14:paraId="2E4FD6A4" w14:textId="68A3B49B" w:rsidR="007034ED" w:rsidRPr="00123906" w:rsidRDefault="007034ED" w:rsidP="00587E93">
            <w:pPr>
              <w:spacing w:line="252" w:lineRule="auto"/>
              <w:jc w:val="both"/>
              <w:rPr>
                <w:color w:val="000000"/>
                <w:sz w:val="18"/>
                <w:szCs w:val="18"/>
              </w:rPr>
            </w:pPr>
            <w:r w:rsidRPr="009202E9">
              <w:rPr>
                <w:b/>
                <w:color w:val="000000"/>
                <w:sz w:val="18"/>
                <w:szCs w:val="18"/>
              </w:rPr>
              <w:t>Data Source</w:t>
            </w:r>
            <w:r w:rsidRPr="00123906">
              <w:rPr>
                <w:color w:val="000000"/>
                <w:sz w:val="18"/>
                <w:szCs w:val="18"/>
              </w:rPr>
              <w:t>: Ministry of Finance, E</w:t>
            </w:r>
            <w:r w:rsidR="007875D5">
              <w:rPr>
                <w:color w:val="000000"/>
                <w:sz w:val="18"/>
                <w:szCs w:val="18"/>
              </w:rPr>
              <w:t xml:space="preserve">conomic </w:t>
            </w:r>
            <w:r w:rsidRPr="00123906">
              <w:rPr>
                <w:color w:val="000000"/>
                <w:sz w:val="18"/>
                <w:szCs w:val="18"/>
              </w:rPr>
              <w:t>P</w:t>
            </w:r>
            <w:r w:rsidR="007875D5">
              <w:rPr>
                <w:color w:val="000000"/>
                <w:sz w:val="18"/>
                <w:szCs w:val="18"/>
              </w:rPr>
              <w:t>lanning and Development</w:t>
            </w:r>
            <w:r w:rsidRPr="00123906">
              <w:rPr>
                <w:color w:val="000000"/>
                <w:sz w:val="18"/>
                <w:szCs w:val="18"/>
              </w:rPr>
              <w:t xml:space="preserve"> </w:t>
            </w:r>
          </w:p>
          <w:p w14:paraId="2E4FD6A5" w14:textId="77777777" w:rsidR="007034ED" w:rsidRPr="00123906" w:rsidRDefault="007034ED" w:rsidP="00587E93">
            <w:pPr>
              <w:spacing w:line="252" w:lineRule="auto"/>
              <w:jc w:val="both"/>
              <w:rPr>
                <w:color w:val="000000"/>
                <w:sz w:val="18"/>
                <w:szCs w:val="18"/>
              </w:rPr>
            </w:pPr>
          </w:p>
          <w:p w14:paraId="2E4FD6A6" w14:textId="2241D508" w:rsidR="007034ED" w:rsidRPr="00123906" w:rsidRDefault="007034ED" w:rsidP="00587E93">
            <w:pPr>
              <w:spacing w:line="252" w:lineRule="auto"/>
              <w:jc w:val="both"/>
              <w:rPr>
                <w:color w:val="000000"/>
                <w:sz w:val="18"/>
                <w:szCs w:val="18"/>
              </w:rPr>
            </w:pPr>
            <w:r w:rsidRPr="00123906">
              <w:rPr>
                <w:b/>
                <w:color w:val="000000"/>
                <w:sz w:val="18"/>
                <w:szCs w:val="18"/>
              </w:rPr>
              <w:t>Indicator 3.3</w:t>
            </w:r>
            <w:r w:rsidR="00587E93" w:rsidRPr="00123906">
              <w:rPr>
                <w:b/>
                <w:color w:val="000000"/>
                <w:sz w:val="18"/>
                <w:szCs w:val="18"/>
              </w:rPr>
              <w:t>.2</w:t>
            </w:r>
            <w:r w:rsidRPr="00123906">
              <w:rPr>
                <w:color w:val="000000"/>
                <w:sz w:val="18"/>
                <w:szCs w:val="18"/>
              </w:rPr>
              <w:t xml:space="preserve">: Number of local councils with planning, monitoring and evaluation systems that incorporate development targets for marginalized groups including women, youth, children, persons with albinism and </w:t>
            </w:r>
            <w:r w:rsidR="002E657E">
              <w:rPr>
                <w:color w:val="000000"/>
                <w:sz w:val="18"/>
                <w:szCs w:val="18"/>
              </w:rPr>
              <w:t xml:space="preserve">persons with </w:t>
            </w:r>
            <w:r w:rsidRPr="00123906">
              <w:rPr>
                <w:color w:val="000000"/>
                <w:sz w:val="18"/>
                <w:szCs w:val="18"/>
              </w:rPr>
              <w:t>disabilities.</w:t>
            </w:r>
          </w:p>
          <w:p w14:paraId="2E4FD6A7" w14:textId="77777777" w:rsidR="007034ED" w:rsidRPr="00123906" w:rsidRDefault="007034ED" w:rsidP="00587E93">
            <w:pPr>
              <w:spacing w:line="252" w:lineRule="auto"/>
              <w:jc w:val="both"/>
              <w:rPr>
                <w:color w:val="000000"/>
                <w:sz w:val="18"/>
                <w:szCs w:val="18"/>
              </w:rPr>
            </w:pPr>
            <w:r w:rsidRPr="00123906">
              <w:rPr>
                <w:b/>
                <w:color w:val="000000"/>
                <w:sz w:val="18"/>
                <w:szCs w:val="18"/>
              </w:rPr>
              <w:t>Baseline</w:t>
            </w:r>
            <w:r w:rsidRPr="00123906">
              <w:rPr>
                <w:color w:val="000000"/>
                <w:sz w:val="18"/>
                <w:szCs w:val="18"/>
              </w:rPr>
              <w:t xml:space="preserve">: 0 (2017); </w:t>
            </w:r>
            <w:r w:rsidRPr="00123906">
              <w:rPr>
                <w:b/>
                <w:color w:val="000000"/>
                <w:sz w:val="18"/>
                <w:szCs w:val="18"/>
              </w:rPr>
              <w:t>Target</w:t>
            </w:r>
            <w:r w:rsidRPr="00123906">
              <w:rPr>
                <w:color w:val="000000"/>
                <w:sz w:val="18"/>
                <w:szCs w:val="18"/>
              </w:rPr>
              <w:t>: 25 (2023)</w:t>
            </w:r>
          </w:p>
          <w:p w14:paraId="2E4FD6A8" w14:textId="77777777" w:rsidR="007034ED" w:rsidRPr="00123906" w:rsidRDefault="007034ED" w:rsidP="00587E93">
            <w:pPr>
              <w:spacing w:line="252" w:lineRule="auto"/>
              <w:jc w:val="both"/>
              <w:rPr>
                <w:color w:val="000000"/>
                <w:sz w:val="18"/>
                <w:szCs w:val="18"/>
              </w:rPr>
            </w:pPr>
            <w:r w:rsidRPr="00123906">
              <w:rPr>
                <w:b/>
                <w:color w:val="000000"/>
                <w:sz w:val="18"/>
                <w:szCs w:val="18"/>
              </w:rPr>
              <w:t>Data Source</w:t>
            </w:r>
            <w:r w:rsidRPr="00123906">
              <w:rPr>
                <w:color w:val="000000"/>
                <w:sz w:val="18"/>
                <w:szCs w:val="18"/>
              </w:rPr>
              <w:t>: Ministry of Local Government and Rural Development</w:t>
            </w:r>
          </w:p>
        </w:tc>
        <w:tc>
          <w:tcPr>
            <w:tcW w:w="2342" w:type="dxa"/>
            <w:vAlign w:val="center"/>
          </w:tcPr>
          <w:p w14:paraId="2E4FD6A9" w14:textId="358D0C11" w:rsidR="007034ED" w:rsidRPr="00123906" w:rsidRDefault="00C94743" w:rsidP="007C69FB">
            <w:pPr>
              <w:rPr>
                <w:sz w:val="18"/>
                <w:szCs w:val="18"/>
              </w:rPr>
            </w:pPr>
            <w:r>
              <w:rPr>
                <w:sz w:val="18"/>
                <w:szCs w:val="18"/>
              </w:rPr>
              <w:lastRenderedPageBreak/>
              <w:t>Ministry of Gender, Children, Disability and Social Welfare</w:t>
            </w:r>
            <w:r w:rsidR="007034ED" w:rsidRPr="00123906">
              <w:rPr>
                <w:sz w:val="18"/>
                <w:szCs w:val="18"/>
              </w:rPr>
              <w:t xml:space="preserve">; Local </w:t>
            </w:r>
            <w:r w:rsidR="007034ED" w:rsidRPr="00123906">
              <w:rPr>
                <w:sz w:val="18"/>
                <w:szCs w:val="18"/>
              </w:rPr>
              <w:lastRenderedPageBreak/>
              <w:t>Councils; Local Government Finance Committee; E</w:t>
            </w:r>
            <w:r w:rsidR="007875D5">
              <w:rPr>
                <w:sz w:val="18"/>
                <w:szCs w:val="18"/>
              </w:rPr>
              <w:t xml:space="preserve">nvironmental </w:t>
            </w:r>
            <w:r w:rsidR="007034ED" w:rsidRPr="00123906">
              <w:rPr>
                <w:sz w:val="18"/>
                <w:szCs w:val="18"/>
              </w:rPr>
              <w:t>A</w:t>
            </w:r>
            <w:r w:rsidR="007875D5">
              <w:rPr>
                <w:sz w:val="18"/>
                <w:szCs w:val="18"/>
              </w:rPr>
              <w:t xml:space="preserve">ffairs </w:t>
            </w:r>
            <w:r w:rsidR="007034ED" w:rsidRPr="00123906">
              <w:rPr>
                <w:sz w:val="18"/>
                <w:szCs w:val="18"/>
              </w:rPr>
              <w:t>D</w:t>
            </w:r>
            <w:r w:rsidR="007875D5">
              <w:rPr>
                <w:sz w:val="18"/>
                <w:szCs w:val="18"/>
              </w:rPr>
              <w:t>epartment</w:t>
            </w:r>
            <w:r w:rsidR="007034ED" w:rsidRPr="00123906">
              <w:rPr>
                <w:sz w:val="18"/>
                <w:szCs w:val="18"/>
              </w:rPr>
              <w:t>, UN</w:t>
            </w:r>
            <w:r w:rsidR="00641502">
              <w:rPr>
                <w:sz w:val="18"/>
                <w:szCs w:val="18"/>
              </w:rPr>
              <w:t>-</w:t>
            </w:r>
            <w:r w:rsidR="007034ED" w:rsidRPr="00123906">
              <w:rPr>
                <w:sz w:val="18"/>
                <w:szCs w:val="18"/>
              </w:rPr>
              <w:t>W</w:t>
            </w:r>
            <w:r w:rsidR="00641502" w:rsidRPr="00123906">
              <w:rPr>
                <w:sz w:val="18"/>
                <w:szCs w:val="18"/>
              </w:rPr>
              <w:t>omen</w:t>
            </w:r>
            <w:r w:rsidR="007034ED" w:rsidRPr="00123906">
              <w:rPr>
                <w:sz w:val="18"/>
                <w:szCs w:val="18"/>
              </w:rPr>
              <w:t>, UNICEF, UNCDF, EU, USAID, GIZ, D</w:t>
            </w:r>
            <w:r w:rsidR="00462376">
              <w:rPr>
                <w:sz w:val="18"/>
                <w:szCs w:val="18"/>
              </w:rPr>
              <w:t>fI</w:t>
            </w:r>
            <w:r w:rsidR="007034ED" w:rsidRPr="00123906">
              <w:rPr>
                <w:sz w:val="18"/>
                <w:szCs w:val="18"/>
              </w:rPr>
              <w:t>D, Irish Aid.</w:t>
            </w:r>
          </w:p>
          <w:p w14:paraId="2E4FD6AA" w14:textId="77777777" w:rsidR="007034ED" w:rsidRPr="00123906" w:rsidRDefault="007034ED">
            <w:pPr>
              <w:pStyle w:val="ListParagraph"/>
              <w:tabs>
                <w:tab w:val="left" w:pos="612"/>
              </w:tabs>
              <w:ind w:left="522"/>
              <w:rPr>
                <w:iCs/>
                <w:sz w:val="18"/>
                <w:szCs w:val="18"/>
              </w:rPr>
            </w:pPr>
          </w:p>
        </w:tc>
        <w:tc>
          <w:tcPr>
            <w:tcW w:w="1265" w:type="dxa"/>
            <w:vAlign w:val="center"/>
          </w:tcPr>
          <w:p w14:paraId="2E4FD6AB" w14:textId="77777777" w:rsidR="007034ED" w:rsidRPr="00123906" w:rsidRDefault="007034ED" w:rsidP="007C69FB">
            <w:pPr>
              <w:rPr>
                <w:b/>
                <w:sz w:val="18"/>
                <w:szCs w:val="18"/>
              </w:rPr>
            </w:pPr>
            <w:r w:rsidRPr="00123906">
              <w:rPr>
                <w:b/>
                <w:sz w:val="18"/>
                <w:szCs w:val="18"/>
              </w:rPr>
              <w:lastRenderedPageBreak/>
              <w:t xml:space="preserve">Regular: </w:t>
            </w:r>
          </w:p>
          <w:p w14:paraId="2E4FD6AC" w14:textId="6B549CDC" w:rsidR="007034ED" w:rsidRPr="00123906" w:rsidRDefault="007034ED" w:rsidP="007C69FB">
            <w:pPr>
              <w:rPr>
                <w:b/>
                <w:sz w:val="18"/>
                <w:szCs w:val="18"/>
              </w:rPr>
            </w:pPr>
            <w:r w:rsidRPr="00123906">
              <w:rPr>
                <w:b/>
                <w:sz w:val="18"/>
                <w:szCs w:val="18"/>
              </w:rPr>
              <w:t>$2,500,000</w:t>
            </w:r>
          </w:p>
          <w:p w14:paraId="2E4FD6AD" w14:textId="77777777" w:rsidR="007034ED" w:rsidRPr="00123906" w:rsidRDefault="007034ED" w:rsidP="007C69FB">
            <w:pPr>
              <w:rPr>
                <w:b/>
                <w:sz w:val="18"/>
                <w:szCs w:val="18"/>
              </w:rPr>
            </w:pPr>
          </w:p>
          <w:p w14:paraId="2E4FD6AE" w14:textId="77777777" w:rsidR="007034ED" w:rsidRPr="00123906" w:rsidRDefault="007034ED" w:rsidP="007C69FB">
            <w:pPr>
              <w:rPr>
                <w:b/>
                <w:sz w:val="18"/>
                <w:szCs w:val="18"/>
              </w:rPr>
            </w:pPr>
            <w:r w:rsidRPr="00123906">
              <w:rPr>
                <w:b/>
                <w:sz w:val="18"/>
                <w:szCs w:val="18"/>
              </w:rPr>
              <w:lastRenderedPageBreak/>
              <w:t xml:space="preserve">Other: </w:t>
            </w:r>
          </w:p>
          <w:p w14:paraId="2E4FD6AF" w14:textId="28129C1C" w:rsidR="007034ED" w:rsidRPr="00123906" w:rsidRDefault="007034ED" w:rsidP="007C69FB">
            <w:pPr>
              <w:rPr>
                <w:b/>
                <w:sz w:val="18"/>
                <w:szCs w:val="18"/>
              </w:rPr>
            </w:pPr>
            <w:r w:rsidRPr="00123906">
              <w:rPr>
                <w:b/>
                <w:sz w:val="18"/>
                <w:szCs w:val="18"/>
              </w:rPr>
              <w:t>$2,500,000</w:t>
            </w:r>
          </w:p>
          <w:p w14:paraId="2E4FD6B0" w14:textId="77777777" w:rsidR="007034ED" w:rsidRPr="00123906" w:rsidRDefault="007034ED" w:rsidP="007C69FB">
            <w:pPr>
              <w:rPr>
                <w:b/>
                <w:sz w:val="18"/>
                <w:szCs w:val="18"/>
              </w:rPr>
            </w:pPr>
          </w:p>
        </w:tc>
      </w:tr>
      <w:tr w:rsidR="007034ED" w:rsidRPr="00123906" w14:paraId="2E4FD6BF" w14:textId="77777777" w:rsidTr="00A977E3">
        <w:tc>
          <w:tcPr>
            <w:tcW w:w="2247" w:type="dxa"/>
            <w:vMerge/>
            <w:vAlign w:val="center"/>
          </w:tcPr>
          <w:p w14:paraId="2E4FD6B2" w14:textId="77777777" w:rsidR="007034ED" w:rsidRPr="00123906" w:rsidRDefault="007034ED" w:rsidP="00587E93">
            <w:pPr>
              <w:rPr>
                <w:sz w:val="18"/>
                <w:szCs w:val="18"/>
              </w:rPr>
            </w:pPr>
          </w:p>
        </w:tc>
        <w:tc>
          <w:tcPr>
            <w:tcW w:w="1802" w:type="dxa"/>
            <w:vMerge/>
            <w:vAlign w:val="center"/>
          </w:tcPr>
          <w:p w14:paraId="2E4FD6B3" w14:textId="77777777" w:rsidR="007034ED" w:rsidRPr="00123906" w:rsidRDefault="007034ED" w:rsidP="00DA67AA">
            <w:pPr>
              <w:pStyle w:val="ListParagraph"/>
              <w:numPr>
                <w:ilvl w:val="0"/>
                <w:numId w:val="2"/>
              </w:numPr>
              <w:ind w:left="0"/>
              <w:jc w:val="both"/>
              <w:rPr>
                <w:sz w:val="18"/>
                <w:szCs w:val="18"/>
              </w:rPr>
            </w:pPr>
          </w:p>
        </w:tc>
        <w:tc>
          <w:tcPr>
            <w:tcW w:w="5854" w:type="dxa"/>
            <w:vAlign w:val="center"/>
          </w:tcPr>
          <w:p w14:paraId="2E4FD6B4" w14:textId="77777777" w:rsidR="007034ED" w:rsidRPr="00123906" w:rsidRDefault="007034ED" w:rsidP="00587E93">
            <w:pPr>
              <w:spacing w:line="252" w:lineRule="auto"/>
              <w:jc w:val="both"/>
              <w:rPr>
                <w:color w:val="000000" w:themeColor="text1"/>
                <w:sz w:val="18"/>
                <w:szCs w:val="18"/>
              </w:rPr>
            </w:pPr>
            <w:r w:rsidRPr="00123906">
              <w:rPr>
                <w:b/>
                <w:color w:val="000000" w:themeColor="text1"/>
                <w:sz w:val="18"/>
                <w:szCs w:val="18"/>
              </w:rPr>
              <w:t>Output 3.4</w:t>
            </w:r>
            <w:r w:rsidRPr="00123906">
              <w:rPr>
                <w:color w:val="000000" w:themeColor="text1"/>
                <w:sz w:val="18"/>
                <w:szCs w:val="18"/>
              </w:rPr>
              <w:t xml:space="preserve"> Use of digital technologies and quality disaggregated data enabled for improved public services and other government functions</w:t>
            </w:r>
          </w:p>
          <w:p w14:paraId="2E4FD6B5" w14:textId="77777777" w:rsidR="007034ED" w:rsidRPr="00123906" w:rsidRDefault="007034ED" w:rsidP="00587E93">
            <w:pPr>
              <w:spacing w:line="252" w:lineRule="auto"/>
              <w:jc w:val="both"/>
              <w:rPr>
                <w:color w:val="000000" w:themeColor="text1"/>
                <w:sz w:val="18"/>
                <w:szCs w:val="18"/>
              </w:rPr>
            </w:pPr>
          </w:p>
          <w:p w14:paraId="2E4FD6B6" w14:textId="77777777" w:rsidR="007034ED" w:rsidRPr="00123906" w:rsidRDefault="007034ED" w:rsidP="00587E93">
            <w:pPr>
              <w:spacing w:line="252" w:lineRule="auto"/>
              <w:jc w:val="both"/>
              <w:rPr>
                <w:color w:val="000000" w:themeColor="text1"/>
                <w:sz w:val="18"/>
                <w:szCs w:val="18"/>
              </w:rPr>
            </w:pPr>
            <w:r w:rsidRPr="00123906">
              <w:rPr>
                <w:b/>
                <w:color w:val="000000" w:themeColor="text1"/>
                <w:sz w:val="18"/>
                <w:szCs w:val="18"/>
              </w:rPr>
              <w:t>Indicator 3.4.1</w:t>
            </w:r>
            <w:r w:rsidRPr="00123906">
              <w:rPr>
                <w:color w:val="000000" w:themeColor="text1"/>
                <w:sz w:val="18"/>
                <w:szCs w:val="18"/>
              </w:rPr>
              <w:t>: Number of public institutions that leverage national ID card for delivery and monitoring of services.</w:t>
            </w:r>
          </w:p>
          <w:p w14:paraId="2592F404" w14:textId="77777777" w:rsidR="009202E9" w:rsidRDefault="007034ED" w:rsidP="00587E93">
            <w:pPr>
              <w:spacing w:line="252" w:lineRule="auto"/>
              <w:jc w:val="both"/>
              <w:rPr>
                <w:color w:val="000000" w:themeColor="text1"/>
                <w:sz w:val="18"/>
                <w:szCs w:val="18"/>
              </w:rPr>
            </w:pPr>
            <w:r w:rsidRPr="00123906">
              <w:rPr>
                <w:b/>
                <w:color w:val="000000" w:themeColor="text1"/>
                <w:sz w:val="18"/>
                <w:szCs w:val="18"/>
              </w:rPr>
              <w:t>Baseline</w:t>
            </w:r>
            <w:r w:rsidRPr="00123906">
              <w:rPr>
                <w:color w:val="000000" w:themeColor="text1"/>
                <w:sz w:val="18"/>
                <w:szCs w:val="18"/>
              </w:rPr>
              <w:t>: 1 (2018); Target: 12 (2023)</w:t>
            </w:r>
            <w:r w:rsidR="00760BB8" w:rsidRPr="00123906">
              <w:rPr>
                <w:color w:val="000000" w:themeColor="text1"/>
                <w:sz w:val="18"/>
                <w:szCs w:val="18"/>
              </w:rPr>
              <w:t xml:space="preserve">; </w:t>
            </w:r>
          </w:p>
          <w:p w14:paraId="2E4FD6B7" w14:textId="0A276D26" w:rsidR="007034ED" w:rsidRPr="00123906" w:rsidRDefault="007034ED" w:rsidP="00587E93">
            <w:pPr>
              <w:spacing w:line="252" w:lineRule="auto"/>
              <w:jc w:val="both"/>
              <w:rPr>
                <w:color w:val="000000" w:themeColor="text1"/>
                <w:sz w:val="18"/>
                <w:szCs w:val="18"/>
              </w:rPr>
            </w:pPr>
            <w:r w:rsidRPr="00123906">
              <w:rPr>
                <w:b/>
                <w:color w:val="000000" w:themeColor="text1"/>
                <w:sz w:val="18"/>
                <w:szCs w:val="18"/>
              </w:rPr>
              <w:t>Data Source</w:t>
            </w:r>
            <w:r w:rsidRPr="00123906">
              <w:rPr>
                <w:color w:val="000000" w:themeColor="text1"/>
                <w:sz w:val="18"/>
                <w:szCs w:val="18"/>
              </w:rPr>
              <w:t xml:space="preserve">: National Registration Bureau </w:t>
            </w:r>
          </w:p>
          <w:p w14:paraId="2E4FD6B8" w14:textId="77777777" w:rsidR="007034ED" w:rsidRPr="00123906" w:rsidRDefault="007034ED" w:rsidP="00587E93">
            <w:pPr>
              <w:spacing w:line="252" w:lineRule="auto"/>
              <w:jc w:val="both"/>
              <w:rPr>
                <w:color w:val="000000"/>
                <w:sz w:val="18"/>
                <w:szCs w:val="18"/>
              </w:rPr>
            </w:pPr>
          </w:p>
          <w:p w14:paraId="2E4FD6B9" w14:textId="2660E815" w:rsidR="007034ED" w:rsidRPr="00123906" w:rsidRDefault="007034ED" w:rsidP="00587E93">
            <w:pPr>
              <w:spacing w:line="252" w:lineRule="auto"/>
              <w:jc w:val="both"/>
              <w:rPr>
                <w:color w:val="000000"/>
                <w:sz w:val="18"/>
                <w:szCs w:val="18"/>
              </w:rPr>
            </w:pPr>
            <w:r w:rsidRPr="00123906">
              <w:rPr>
                <w:b/>
                <w:bCs/>
                <w:color w:val="000000"/>
                <w:sz w:val="18"/>
                <w:szCs w:val="18"/>
              </w:rPr>
              <w:t>Indicator 3.4.2</w:t>
            </w:r>
            <w:r w:rsidRPr="00123906">
              <w:rPr>
                <w:color w:val="000000"/>
                <w:sz w:val="18"/>
                <w:szCs w:val="18"/>
              </w:rPr>
              <w:t xml:space="preserve">: Number of sectors with data collection/analysis mechanisms providing disaggregated data to monitor progress towards the </w:t>
            </w:r>
            <w:r w:rsidR="00641502">
              <w:rPr>
                <w:color w:val="000000"/>
                <w:sz w:val="18"/>
                <w:szCs w:val="18"/>
              </w:rPr>
              <w:t>Sustainable Development Goals</w:t>
            </w:r>
            <w:r w:rsidRPr="00123906">
              <w:rPr>
                <w:color w:val="000000"/>
                <w:sz w:val="18"/>
                <w:szCs w:val="18"/>
              </w:rPr>
              <w:t xml:space="preserve">: </w:t>
            </w:r>
            <w:r w:rsidR="00641502">
              <w:rPr>
                <w:color w:val="000000"/>
                <w:sz w:val="18"/>
                <w:szCs w:val="18"/>
              </w:rPr>
              <w:t>(</w:t>
            </w:r>
            <w:r w:rsidRPr="00123906">
              <w:rPr>
                <w:color w:val="000000"/>
                <w:sz w:val="18"/>
                <w:szCs w:val="18"/>
              </w:rPr>
              <w:t xml:space="preserve">a) </w:t>
            </w:r>
            <w:r w:rsidR="00641502">
              <w:rPr>
                <w:color w:val="000000"/>
                <w:sz w:val="18"/>
                <w:szCs w:val="18"/>
              </w:rPr>
              <w:t>c</w:t>
            </w:r>
            <w:r w:rsidR="00641502" w:rsidRPr="00123906">
              <w:rPr>
                <w:color w:val="000000"/>
                <w:sz w:val="18"/>
                <w:szCs w:val="18"/>
              </w:rPr>
              <w:t xml:space="preserve">onventional </w:t>
            </w:r>
            <w:r w:rsidRPr="00123906">
              <w:rPr>
                <w:color w:val="000000"/>
                <w:sz w:val="18"/>
                <w:szCs w:val="18"/>
              </w:rPr>
              <w:t>data collection methods (e.g.</w:t>
            </w:r>
            <w:r w:rsidR="00641502">
              <w:rPr>
                <w:color w:val="000000"/>
                <w:sz w:val="18"/>
                <w:szCs w:val="18"/>
              </w:rPr>
              <w:t>,</w:t>
            </w:r>
            <w:r w:rsidRPr="00123906">
              <w:rPr>
                <w:color w:val="000000"/>
                <w:sz w:val="18"/>
                <w:szCs w:val="18"/>
              </w:rPr>
              <w:t xml:space="preserve"> surveys)</w:t>
            </w:r>
            <w:r w:rsidR="00641502">
              <w:rPr>
                <w:color w:val="000000"/>
                <w:sz w:val="18"/>
                <w:szCs w:val="18"/>
              </w:rPr>
              <w:t>;</w:t>
            </w:r>
            <w:r w:rsidRPr="00123906">
              <w:rPr>
                <w:color w:val="000000"/>
                <w:sz w:val="18"/>
                <w:szCs w:val="18"/>
              </w:rPr>
              <w:t xml:space="preserve"> b) </w:t>
            </w:r>
            <w:r w:rsidR="00641502">
              <w:rPr>
                <w:color w:val="000000"/>
                <w:sz w:val="18"/>
                <w:szCs w:val="18"/>
              </w:rPr>
              <w:t>a</w:t>
            </w:r>
            <w:r w:rsidR="00641502" w:rsidRPr="00123906">
              <w:rPr>
                <w:color w:val="000000"/>
                <w:sz w:val="18"/>
                <w:szCs w:val="18"/>
              </w:rPr>
              <w:t xml:space="preserve">dministrative </w:t>
            </w:r>
            <w:r w:rsidRPr="00123906">
              <w:rPr>
                <w:color w:val="000000"/>
                <w:sz w:val="18"/>
                <w:szCs w:val="18"/>
              </w:rPr>
              <w:t>reporting systems</w:t>
            </w:r>
            <w:r w:rsidR="00641502">
              <w:rPr>
                <w:color w:val="000000"/>
                <w:sz w:val="18"/>
                <w:szCs w:val="18"/>
              </w:rPr>
              <w:t>; and</w:t>
            </w:r>
            <w:r w:rsidRPr="00123906">
              <w:rPr>
                <w:color w:val="000000"/>
                <w:sz w:val="18"/>
                <w:szCs w:val="18"/>
              </w:rPr>
              <w:t xml:space="preserve"> </w:t>
            </w:r>
            <w:r w:rsidR="00641502">
              <w:rPr>
                <w:color w:val="000000"/>
                <w:sz w:val="18"/>
                <w:szCs w:val="18"/>
              </w:rPr>
              <w:t>(</w:t>
            </w:r>
            <w:r w:rsidRPr="00123906">
              <w:rPr>
                <w:color w:val="000000"/>
                <w:sz w:val="18"/>
                <w:szCs w:val="18"/>
              </w:rPr>
              <w:t xml:space="preserve">c) </w:t>
            </w:r>
            <w:r w:rsidR="00641502">
              <w:rPr>
                <w:color w:val="000000"/>
                <w:sz w:val="18"/>
                <w:szCs w:val="18"/>
              </w:rPr>
              <w:t>n</w:t>
            </w:r>
            <w:r w:rsidR="00641502" w:rsidRPr="00123906">
              <w:rPr>
                <w:color w:val="000000"/>
                <w:sz w:val="18"/>
                <w:szCs w:val="18"/>
              </w:rPr>
              <w:t xml:space="preserve">ew </w:t>
            </w:r>
            <w:r w:rsidRPr="00123906">
              <w:rPr>
                <w:color w:val="000000"/>
                <w:sz w:val="18"/>
                <w:szCs w:val="18"/>
              </w:rPr>
              <w:t>data sources (e.g.</w:t>
            </w:r>
            <w:r w:rsidR="00641502">
              <w:rPr>
                <w:color w:val="000000"/>
                <w:sz w:val="18"/>
                <w:szCs w:val="18"/>
              </w:rPr>
              <w:t>,</w:t>
            </w:r>
            <w:r w:rsidRPr="00123906">
              <w:rPr>
                <w:color w:val="000000"/>
                <w:sz w:val="18"/>
                <w:szCs w:val="18"/>
              </w:rPr>
              <w:t xml:space="preserve"> big data)</w:t>
            </w:r>
          </w:p>
          <w:p w14:paraId="07FDD2BF" w14:textId="77777777" w:rsidR="009202E9" w:rsidRDefault="007034ED" w:rsidP="00760BB8">
            <w:pPr>
              <w:spacing w:line="252" w:lineRule="auto"/>
              <w:jc w:val="both"/>
              <w:rPr>
                <w:color w:val="000000"/>
                <w:sz w:val="18"/>
                <w:szCs w:val="18"/>
              </w:rPr>
            </w:pPr>
            <w:r w:rsidRPr="00123906">
              <w:rPr>
                <w:b/>
                <w:bCs/>
                <w:color w:val="000000"/>
                <w:sz w:val="18"/>
                <w:szCs w:val="18"/>
              </w:rPr>
              <w:t>Baseline:</w:t>
            </w:r>
            <w:r w:rsidRPr="00123906">
              <w:rPr>
                <w:color w:val="000000"/>
                <w:sz w:val="18"/>
                <w:szCs w:val="18"/>
              </w:rPr>
              <w:t xml:space="preserve"> 0</w:t>
            </w:r>
            <w:r w:rsidRPr="00123906">
              <w:rPr>
                <w:b/>
                <w:bCs/>
                <w:color w:val="000000"/>
                <w:sz w:val="18"/>
                <w:szCs w:val="18"/>
              </w:rPr>
              <w:t>; Target</w:t>
            </w:r>
            <w:r w:rsidRPr="00123906">
              <w:rPr>
                <w:color w:val="000000"/>
                <w:sz w:val="18"/>
                <w:szCs w:val="18"/>
              </w:rPr>
              <w:t xml:space="preserve"> 16</w:t>
            </w:r>
            <w:r w:rsidR="00760BB8" w:rsidRPr="00123906">
              <w:rPr>
                <w:color w:val="000000"/>
                <w:sz w:val="18"/>
                <w:szCs w:val="18"/>
              </w:rPr>
              <w:t xml:space="preserve">; </w:t>
            </w:r>
          </w:p>
          <w:p w14:paraId="2E4FD6BA" w14:textId="43C15E6F" w:rsidR="007034ED" w:rsidRPr="00123906" w:rsidRDefault="009202E9" w:rsidP="00760BB8">
            <w:pPr>
              <w:spacing w:line="252" w:lineRule="auto"/>
              <w:jc w:val="both"/>
              <w:rPr>
                <w:color w:val="000000"/>
                <w:sz w:val="18"/>
                <w:szCs w:val="18"/>
              </w:rPr>
            </w:pPr>
            <w:r w:rsidRPr="009202E9">
              <w:rPr>
                <w:b/>
                <w:color w:val="000000"/>
                <w:sz w:val="18"/>
                <w:szCs w:val="18"/>
              </w:rPr>
              <w:t>Data</w:t>
            </w:r>
            <w:r>
              <w:rPr>
                <w:color w:val="000000"/>
                <w:sz w:val="18"/>
                <w:szCs w:val="18"/>
              </w:rPr>
              <w:t xml:space="preserve"> </w:t>
            </w:r>
            <w:r w:rsidR="007034ED" w:rsidRPr="00123906">
              <w:rPr>
                <w:b/>
                <w:bCs/>
                <w:color w:val="000000"/>
                <w:sz w:val="18"/>
                <w:szCs w:val="18"/>
              </w:rPr>
              <w:t>Source</w:t>
            </w:r>
            <w:r w:rsidR="007034ED" w:rsidRPr="00123906">
              <w:rPr>
                <w:color w:val="000000"/>
                <w:sz w:val="18"/>
                <w:szCs w:val="18"/>
              </w:rPr>
              <w:t>: Ministry of Finance, E</w:t>
            </w:r>
            <w:r w:rsidR="007875D5">
              <w:rPr>
                <w:color w:val="000000"/>
                <w:sz w:val="18"/>
                <w:szCs w:val="18"/>
              </w:rPr>
              <w:t xml:space="preserve">conomic </w:t>
            </w:r>
            <w:r w:rsidR="007034ED" w:rsidRPr="00123906">
              <w:rPr>
                <w:color w:val="000000"/>
                <w:sz w:val="18"/>
                <w:szCs w:val="18"/>
              </w:rPr>
              <w:t>P</w:t>
            </w:r>
            <w:r w:rsidR="007875D5">
              <w:rPr>
                <w:color w:val="000000"/>
                <w:sz w:val="18"/>
                <w:szCs w:val="18"/>
              </w:rPr>
              <w:t xml:space="preserve">lanning and </w:t>
            </w:r>
            <w:r w:rsidR="007034ED" w:rsidRPr="00123906">
              <w:rPr>
                <w:color w:val="000000"/>
                <w:sz w:val="18"/>
                <w:szCs w:val="18"/>
              </w:rPr>
              <w:t>D</w:t>
            </w:r>
            <w:r w:rsidR="007875D5">
              <w:rPr>
                <w:color w:val="000000"/>
                <w:sz w:val="18"/>
                <w:szCs w:val="18"/>
              </w:rPr>
              <w:t>evelopment</w:t>
            </w:r>
          </w:p>
        </w:tc>
        <w:tc>
          <w:tcPr>
            <w:tcW w:w="2342" w:type="dxa"/>
            <w:vAlign w:val="center"/>
          </w:tcPr>
          <w:p w14:paraId="2E4FD6BB" w14:textId="3D34C109" w:rsidR="007034ED" w:rsidRPr="00123906" w:rsidRDefault="007034ED" w:rsidP="007C69FB">
            <w:pPr>
              <w:rPr>
                <w:sz w:val="18"/>
                <w:szCs w:val="18"/>
              </w:rPr>
            </w:pPr>
            <w:r w:rsidRPr="00123906">
              <w:rPr>
                <w:sz w:val="18"/>
                <w:szCs w:val="18"/>
              </w:rPr>
              <w:t xml:space="preserve">National Registration Bureau; </w:t>
            </w:r>
            <w:r w:rsidR="001E57D3">
              <w:rPr>
                <w:sz w:val="18"/>
                <w:szCs w:val="18"/>
              </w:rPr>
              <w:t>OPC</w:t>
            </w:r>
          </w:p>
        </w:tc>
        <w:tc>
          <w:tcPr>
            <w:tcW w:w="1265" w:type="dxa"/>
            <w:vAlign w:val="center"/>
          </w:tcPr>
          <w:p w14:paraId="2E4FD6BC" w14:textId="77777777" w:rsidR="007034ED" w:rsidRPr="00123906" w:rsidRDefault="007034ED" w:rsidP="007C69FB">
            <w:pPr>
              <w:rPr>
                <w:b/>
                <w:sz w:val="18"/>
                <w:szCs w:val="18"/>
              </w:rPr>
            </w:pPr>
            <w:r w:rsidRPr="00123906">
              <w:rPr>
                <w:b/>
                <w:sz w:val="18"/>
                <w:szCs w:val="18"/>
              </w:rPr>
              <w:t>Regular: $1,000,000</w:t>
            </w:r>
          </w:p>
          <w:p w14:paraId="2E4FD6BD" w14:textId="77777777" w:rsidR="00385AEB" w:rsidRPr="00123906" w:rsidRDefault="00385AEB" w:rsidP="007C69FB">
            <w:pPr>
              <w:rPr>
                <w:b/>
                <w:sz w:val="18"/>
                <w:szCs w:val="18"/>
              </w:rPr>
            </w:pPr>
          </w:p>
          <w:p w14:paraId="2E4FD6BE" w14:textId="77777777" w:rsidR="007034ED" w:rsidRPr="00123906" w:rsidRDefault="007034ED" w:rsidP="007C69FB">
            <w:pPr>
              <w:rPr>
                <w:b/>
                <w:sz w:val="18"/>
                <w:szCs w:val="18"/>
              </w:rPr>
            </w:pPr>
            <w:r w:rsidRPr="00123906">
              <w:rPr>
                <w:b/>
                <w:sz w:val="18"/>
                <w:szCs w:val="18"/>
              </w:rPr>
              <w:t>Other: $1,500,000</w:t>
            </w:r>
          </w:p>
        </w:tc>
      </w:tr>
    </w:tbl>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3491"/>
      </w:tblGrid>
      <w:tr w:rsidR="007034ED" w:rsidRPr="00123906" w14:paraId="2E4FD6C1" w14:textId="77777777" w:rsidTr="005C6DA8">
        <w:trPr>
          <w:trHeight w:val="20"/>
        </w:trPr>
        <w:tc>
          <w:tcPr>
            <w:tcW w:w="5000" w:type="pct"/>
            <w:tcBorders>
              <w:bottom w:val="single" w:sz="4" w:space="0" w:color="auto"/>
            </w:tcBorders>
            <w:shd w:val="clear" w:color="auto" w:fill="auto"/>
            <w:tcMar>
              <w:top w:w="72" w:type="dxa"/>
              <w:left w:w="144" w:type="dxa"/>
              <w:bottom w:w="72" w:type="dxa"/>
              <w:right w:w="144" w:type="dxa"/>
            </w:tcMar>
          </w:tcPr>
          <w:p w14:paraId="2E4FD6C0" w14:textId="3216E30B" w:rsidR="007034ED" w:rsidRPr="00123906" w:rsidRDefault="007034ED" w:rsidP="00587E93">
            <w:pPr>
              <w:rPr>
                <w:color w:val="000000"/>
                <w:sz w:val="18"/>
                <w:szCs w:val="18"/>
              </w:rPr>
            </w:pPr>
            <w:r w:rsidRPr="00123906">
              <w:rPr>
                <w:b/>
                <w:bCs/>
                <w:color w:val="000000"/>
                <w:sz w:val="18"/>
                <w:szCs w:val="18"/>
                <w:lang w:val="en-GB"/>
              </w:rPr>
              <w:t>NATIONAL PRIORITY OR GOAL: G</w:t>
            </w:r>
            <w:r w:rsidR="002E657E" w:rsidRPr="00123906">
              <w:rPr>
                <w:b/>
                <w:bCs/>
                <w:color w:val="000000"/>
                <w:sz w:val="18"/>
                <w:szCs w:val="18"/>
                <w:lang w:val="en-GB"/>
              </w:rPr>
              <w:t>ood governance</w:t>
            </w:r>
          </w:p>
        </w:tc>
      </w:tr>
      <w:tr w:rsidR="007034ED" w:rsidRPr="00123906" w14:paraId="2E4FD6C3" w14:textId="77777777" w:rsidTr="005C6DA8">
        <w:tc>
          <w:tcPr>
            <w:tcW w:w="5000" w:type="pct"/>
            <w:shd w:val="clear" w:color="auto" w:fill="auto"/>
            <w:tcMar>
              <w:top w:w="72" w:type="dxa"/>
              <w:left w:w="144" w:type="dxa"/>
              <w:bottom w:w="72" w:type="dxa"/>
              <w:right w:w="144" w:type="dxa"/>
            </w:tcMar>
          </w:tcPr>
          <w:p w14:paraId="2E4FD6C2" w14:textId="3F017F90" w:rsidR="007034ED" w:rsidRPr="00123906" w:rsidRDefault="007034ED" w:rsidP="00587E93">
            <w:pPr>
              <w:tabs>
                <w:tab w:val="left" w:pos="3429"/>
              </w:tabs>
              <w:contextualSpacing/>
              <w:rPr>
                <w:rFonts w:eastAsiaTheme="minorEastAsia"/>
                <w:sz w:val="18"/>
                <w:szCs w:val="18"/>
              </w:rPr>
            </w:pPr>
            <w:r w:rsidRPr="00123906">
              <w:rPr>
                <w:b/>
                <w:bCs/>
                <w:color w:val="000000"/>
                <w:sz w:val="18"/>
                <w:szCs w:val="18"/>
                <w:lang w:val="en-GB"/>
              </w:rPr>
              <w:t>UNDAF OUTCOME INVOLVING UNDP</w:t>
            </w:r>
            <w:r w:rsidRPr="00123906">
              <w:rPr>
                <w:rFonts w:eastAsiaTheme="minorEastAsia"/>
                <w:sz w:val="18"/>
                <w:szCs w:val="18"/>
              </w:rPr>
              <w:t xml:space="preserve"> #4: By 2023, Malawi has strengthened institutions </w:t>
            </w:r>
            <w:r w:rsidR="00F541F2" w:rsidRPr="00123906">
              <w:rPr>
                <w:rFonts w:eastAsiaTheme="minorEastAsia"/>
                <w:sz w:val="18"/>
                <w:szCs w:val="18"/>
              </w:rPr>
              <w:t xml:space="preserve">for sustaining peace, inclusive societies and </w:t>
            </w:r>
            <w:r w:rsidRPr="00123906">
              <w:rPr>
                <w:rFonts w:eastAsiaTheme="minorEastAsia"/>
                <w:sz w:val="18"/>
                <w:szCs w:val="18"/>
              </w:rPr>
              <w:t>participatory democracy</w:t>
            </w:r>
            <w:r w:rsidR="002E657E">
              <w:rPr>
                <w:rFonts w:eastAsiaTheme="minorEastAsia"/>
                <w:sz w:val="18"/>
                <w:szCs w:val="18"/>
              </w:rPr>
              <w:t>.</w:t>
            </w:r>
          </w:p>
        </w:tc>
      </w:tr>
      <w:tr w:rsidR="007034ED" w:rsidRPr="00123906" w14:paraId="2E4FD6C5" w14:textId="77777777" w:rsidTr="005C6DA8">
        <w:tc>
          <w:tcPr>
            <w:tcW w:w="5000" w:type="pct"/>
            <w:shd w:val="clear" w:color="auto" w:fill="auto"/>
            <w:tcMar>
              <w:top w:w="72" w:type="dxa"/>
              <w:left w:w="144" w:type="dxa"/>
              <w:bottom w:w="72" w:type="dxa"/>
              <w:right w:w="144" w:type="dxa"/>
            </w:tcMar>
          </w:tcPr>
          <w:p w14:paraId="2E4FD6C4" w14:textId="0F5681BE" w:rsidR="007034ED" w:rsidRPr="00123906" w:rsidRDefault="007034ED" w:rsidP="00760BB8">
            <w:pPr>
              <w:tabs>
                <w:tab w:val="center" w:pos="6125"/>
              </w:tabs>
              <w:rPr>
                <w:sz w:val="18"/>
                <w:szCs w:val="18"/>
              </w:rPr>
            </w:pPr>
            <w:r w:rsidRPr="00123906">
              <w:rPr>
                <w:b/>
                <w:bCs/>
                <w:color w:val="000000"/>
                <w:sz w:val="18"/>
                <w:szCs w:val="18"/>
                <w:lang w:val="en-GB"/>
              </w:rPr>
              <w:t xml:space="preserve">RELATED STRATEGIC PLAN OUTCOMEs: </w:t>
            </w:r>
            <w:r w:rsidRPr="00123906">
              <w:rPr>
                <w:b/>
                <w:bCs/>
                <w:sz w:val="18"/>
                <w:szCs w:val="18"/>
              </w:rPr>
              <w:t>Outcome 2:</w:t>
            </w:r>
            <w:r w:rsidRPr="00123906">
              <w:rPr>
                <w:sz w:val="18"/>
                <w:szCs w:val="18"/>
              </w:rPr>
              <w:t xml:space="preserve"> Accelerate structural transformation for sustainable development</w:t>
            </w:r>
          </w:p>
        </w:tc>
      </w:tr>
    </w:tbl>
    <w:tbl>
      <w:tblPr>
        <w:tblStyle w:val="TableGrid"/>
        <w:tblW w:w="13515" w:type="dxa"/>
        <w:tblLayout w:type="fixed"/>
        <w:tblLook w:val="04A0" w:firstRow="1" w:lastRow="0" w:firstColumn="1" w:lastColumn="0" w:noHBand="0" w:noVBand="1"/>
      </w:tblPr>
      <w:tblGrid>
        <w:gridCol w:w="2248"/>
        <w:gridCol w:w="1803"/>
        <w:gridCol w:w="5856"/>
        <w:gridCol w:w="2343"/>
        <w:gridCol w:w="1265"/>
      </w:tblGrid>
      <w:tr w:rsidR="007034ED" w:rsidRPr="00123906" w14:paraId="2E4FD6F5" w14:textId="77777777" w:rsidTr="00C64A9B">
        <w:tc>
          <w:tcPr>
            <w:tcW w:w="2248" w:type="dxa"/>
            <w:vAlign w:val="center"/>
          </w:tcPr>
          <w:p w14:paraId="2E4FD6C6" w14:textId="56D6BCB9" w:rsidR="007034ED" w:rsidRPr="00123906" w:rsidRDefault="007034ED" w:rsidP="00587E93">
            <w:pPr>
              <w:spacing w:line="252" w:lineRule="auto"/>
              <w:rPr>
                <w:color w:val="000000"/>
                <w:sz w:val="18"/>
                <w:szCs w:val="18"/>
              </w:rPr>
            </w:pPr>
            <w:r w:rsidRPr="00123906">
              <w:rPr>
                <w:b/>
                <w:color w:val="000000"/>
                <w:sz w:val="18"/>
                <w:szCs w:val="18"/>
              </w:rPr>
              <w:t xml:space="preserve">4.1 Proportion of seats held by women in national Parliament and </w:t>
            </w:r>
            <w:r w:rsidR="002E657E">
              <w:rPr>
                <w:b/>
                <w:color w:val="000000"/>
                <w:sz w:val="18"/>
                <w:szCs w:val="18"/>
              </w:rPr>
              <w:t>l</w:t>
            </w:r>
            <w:r w:rsidR="002E657E" w:rsidRPr="00123906">
              <w:rPr>
                <w:b/>
                <w:color w:val="000000"/>
                <w:sz w:val="18"/>
                <w:szCs w:val="18"/>
              </w:rPr>
              <w:t xml:space="preserve">ocal </w:t>
            </w:r>
            <w:r w:rsidR="002E657E">
              <w:rPr>
                <w:b/>
                <w:color w:val="000000"/>
                <w:sz w:val="18"/>
                <w:szCs w:val="18"/>
              </w:rPr>
              <w:t>g</w:t>
            </w:r>
            <w:r w:rsidR="002E657E" w:rsidRPr="00123906">
              <w:rPr>
                <w:b/>
                <w:color w:val="000000"/>
                <w:sz w:val="18"/>
                <w:szCs w:val="18"/>
              </w:rPr>
              <w:t>overnment</w:t>
            </w:r>
            <w:r w:rsidR="002E657E" w:rsidRPr="00123906">
              <w:rPr>
                <w:color w:val="000000"/>
                <w:sz w:val="18"/>
                <w:szCs w:val="18"/>
              </w:rPr>
              <w:t xml:space="preserve"> </w:t>
            </w:r>
            <w:r w:rsidRPr="00123906">
              <w:rPr>
                <w:color w:val="000000"/>
                <w:sz w:val="18"/>
                <w:szCs w:val="18"/>
              </w:rPr>
              <w:t>(</w:t>
            </w:r>
            <w:r w:rsidR="002E657E">
              <w:rPr>
                <w:color w:val="000000"/>
                <w:sz w:val="18"/>
                <w:szCs w:val="18"/>
              </w:rPr>
              <w:t>Sustainable Development Goal</w:t>
            </w:r>
            <w:r w:rsidR="002E657E" w:rsidRPr="00123906">
              <w:rPr>
                <w:color w:val="000000"/>
                <w:sz w:val="18"/>
                <w:szCs w:val="18"/>
              </w:rPr>
              <w:t xml:space="preserve"> </w:t>
            </w:r>
            <w:r w:rsidRPr="00123906">
              <w:rPr>
                <w:color w:val="000000"/>
                <w:sz w:val="18"/>
                <w:szCs w:val="18"/>
              </w:rPr>
              <w:t xml:space="preserve">5.5.1; </w:t>
            </w:r>
            <w:r w:rsidR="002E657E">
              <w:rPr>
                <w:color w:val="000000"/>
                <w:sz w:val="18"/>
                <w:szCs w:val="18"/>
              </w:rPr>
              <w:t>Malawi Growth and Development Strategy</w:t>
            </w:r>
            <w:r w:rsidRPr="00123906">
              <w:rPr>
                <w:color w:val="000000"/>
                <w:sz w:val="18"/>
                <w:szCs w:val="18"/>
              </w:rPr>
              <w:t>)</w:t>
            </w:r>
          </w:p>
          <w:p w14:paraId="2E4FD6C7" w14:textId="77777777" w:rsidR="007034ED" w:rsidRPr="00123906" w:rsidRDefault="007034ED" w:rsidP="00587E93">
            <w:pPr>
              <w:spacing w:line="252" w:lineRule="auto"/>
              <w:rPr>
                <w:color w:val="000000"/>
                <w:sz w:val="18"/>
                <w:szCs w:val="18"/>
              </w:rPr>
            </w:pPr>
            <w:r w:rsidRPr="00123906">
              <w:rPr>
                <w:b/>
                <w:color w:val="000000"/>
                <w:sz w:val="18"/>
                <w:szCs w:val="18"/>
              </w:rPr>
              <w:t>Baseline</w:t>
            </w:r>
            <w:r w:rsidRPr="00123906">
              <w:rPr>
                <w:color w:val="000000"/>
                <w:sz w:val="18"/>
                <w:szCs w:val="18"/>
              </w:rPr>
              <w:t xml:space="preserve">: 17% (2014); </w:t>
            </w:r>
          </w:p>
          <w:p w14:paraId="2E4FD6C8" w14:textId="77777777" w:rsidR="007034ED" w:rsidRPr="00123906" w:rsidRDefault="007034ED" w:rsidP="00587E93">
            <w:pPr>
              <w:jc w:val="both"/>
              <w:rPr>
                <w:b/>
                <w:bCs/>
                <w:color w:val="000000"/>
                <w:sz w:val="18"/>
                <w:szCs w:val="18"/>
              </w:rPr>
            </w:pPr>
            <w:r w:rsidRPr="00123906">
              <w:rPr>
                <w:b/>
                <w:color w:val="000000"/>
                <w:sz w:val="18"/>
                <w:szCs w:val="18"/>
              </w:rPr>
              <w:t>Target</w:t>
            </w:r>
            <w:r w:rsidRPr="00123906">
              <w:rPr>
                <w:color w:val="000000"/>
                <w:sz w:val="18"/>
                <w:szCs w:val="18"/>
              </w:rPr>
              <w:t>: 40% (2023)</w:t>
            </w:r>
            <w:r w:rsidRPr="00123906">
              <w:rPr>
                <w:b/>
                <w:bCs/>
                <w:color w:val="000000"/>
                <w:sz w:val="18"/>
                <w:szCs w:val="18"/>
              </w:rPr>
              <w:t xml:space="preserve"> </w:t>
            </w:r>
          </w:p>
          <w:p w14:paraId="2E4FD6C9" w14:textId="77777777" w:rsidR="007034ED" w:rsidRPr="00123906" w:rsidRDefault="007034ED" w:rsidP="00587E93">
            <w:pPr>
              <w:jc w:val="both"/>
              <w:rPr>
                <w:b/>
                <w:bCs/>
                <w:color w:val="000000"/>
                <w:sz w:val="18"/>
                <w:szCs w:val="18"/>
              </w:rPr>
            </w:pPr>
          </w:p>
          <w:p w14:paraId="2E4FD6CA" w14:textId="77777777" w:rsidR="007034ED" w:rsidRPr="00123906" w:rsidRDefault="007034ED" w:rsidP="00587E93">
            <w:pPr>
              <w:jc w:val="both"/>
              <w:rPr>
                <w:color w:val="000000"/>
                <w:sz w:val="18"/>
                <w:szCs w:val="18"/>
              </w:rPr>
            </w:pPr>
            <w:r w:rsidRPr="00123906">
              <w:rPr>
                <w:b/>
                <w:bCs/>
                <w:color w:val="000000"/>
                <w:sz w:val="18"/>
                <w:szCs w:val="18"/>
              </w:rPr>
              <w:lastRenderedPageBreak/>
              <w:t>4.2:</w:t>
            </w:r>
            <w:r w:rsidRPr="00123906">
              <w:rPr>
                <w:iCs/>
                <w:color w:val="000000"/>
                <w:sz w:val="18"/>
                <w:szCs w:val="18"/>
              </w:rPr>
              <w:t xml:space="preserve">  </w:t>
            </w:r>
            <w:r w:rsidRPr="00123906">
              <w:rPr>
                <w:color w:val="000000"/>
                <w:sz w:val="18"/>
                <w:szCs w:val="18"/>
              </w:rPr>
              <w:t xml:space="preserve">Extent to which executive and legislative elections are free and credible, including impartiality of the electoral laws and framework. </w:t>
            </w:r>
          </w:p>
          <w:p w14:paraId="2E4FD6CB" w14:textId="77777777" w:rsidR="007034ED" w:rsidRPr="00123906" w:rsidRDefault="007034ED" w:rsidP="00587E93">
            <w:pPr>
              <w:jc w:val="both"/>
              <w:rPr>
                <w:b/>
                <w:bCs/>
                <w:color w:val="000000"/>
                <w:sz w:val="18"/>
                <w:szCs w:val="18"/>
              </w:rPr>
            </w:pPr>
          </w:p>
          <w:p w14:paraId="2E4FD6CC" w14:textId="77777777" w:rsidR="007034ED" w:rsidRPr="00123906" w:rsidRDefault="007034ED" w:rsidP="00587E93">
            <w:pPr>
              <w:jc w:val="both"/>
              <w:rPr>
                <w:color w:val="000000"/>
                <w:sz w:val="18"/>
                <w:szCs w:val="18"/>
              </w:rPr>
            </w:pPr>
            <w:r w:rsidRPr="00123906">
              <w:rPr>
                <w:b/>
                <w:bCs/>
                <w:color w:val="000000"/>
                <w:sz w:val="18"/>
                <w:szCs w:val="18"/>
              </w:rPr>
              <w:t>Baseline</w:t>
            </w:r>
            <w:r w:rsidRPr="00123906">
              <w:rPr>
                <w:color w:val="000000"/>
                <w:sz w:val="18"/>
                <w:szCs w:val="18"/>
              </w:rPr>
              <w:t xml:space="preserve">: 19% (2015); </w:t>
            </w:r>
            <w:r w:rsidRPr="00123906">
              <w:rPr>
                <w:b/>
                <w:bCs/>
                <w:color w:val="000000"/>
                <w:sz w:val="18"/>
                <w:szCs w:val="18"/>
              </w:rPr>
              <w:t>Targe</w:t>
            </w:r>
            <w:r w:rsidRPr="00123906">
              <w:rPr>
                <w:color w:val="000000"/>
                <w:sz w:val="18"/>
                <w:szCs w:val="18"/>
              </w:rPr>
              <w:t>t: 60% (2023)</w:t>
            </w:r>
          </w:p>
          <w:p w14:paraId="2E4FD6CD" w14:textId="77777777" w:rsidR="007034ED" w:rsidRPr="00123906" w:rsidRDefault="007034ED" w:rsidP="00587E93">
            <w:pPr>
              <w:jc w:val="both"/>
              <w:rPr>
                <w:b/>
                <w:bCs/>
                <w:color w:val="000000"/>
                <w:sz w:val="18"/>
                <w:szCs w:val="18"/>
              </w:rPr>
            </w:pPr>
            <w:r w:rsidRPr="00123906">
              <w:rPr>
                <w:b/>
                <w:bCs/>
                <w:color w:val="000000"/>
                <w:sz w:val="18"/>
                <w:szCs w:val="18"/>
              </w:rPr>
              <w:t>Key: 0-39% = Low; 40-59% =Medium; 60-79%=High; 80-100%=Very High</w:t>
            </w:r>
          </w:p>
        </w:tc>
        <w:tc>
          <w:tcPr>
            <w:tcW w:w="1803" w:type="dxa"/>
            <w:vMerge w:val="restart"/>
            <w:vAlign w:val="center"/>
          </w:tcPr>
          <w:p w14:paraId="2E4FD6CE" w14:textId="77777777" w:rsidR="007034ED" w:rsidRPr="00123906" w:rsidRDefault="007034ED" w:rsidP="00587E93">
            <w:pPr>
              <w:jc w:val="both"/>
              <w:rPr>
                <w:iCs/>
                <w:color w:val="000000"/>
                <w:sz w:val="18"/>
                <w:szCs w:val="18"/>
              </w:rPr>
            </w:pPr>
          </w:p>
          <w:p w14:paraId="2E4FD6CF" w14:textId="77777777" w:rsidR="007034ED" w:rsidRPr="00123906" w:rsidRDefault="007034ED" w:rsidP="00587E93">
            <w:pPr>
              <w:jc w:val="both"/>
              <w:rPr>
                <w:iCs/>
                <w:color w:val="000000"/>
                <w:sz w:val="18"/>
                <w:szCs w:val="18"/>
              </w:rPr>
            </w:pPr>
          </w:p>
          <w:p w14:paraId="2E4FD6D0" w14:textId="77777777" w:rsidR="007034ED" w:rsidRPr="00123906" w:rsidRDefault="007034ED" w:rsidP="00587E93">
            <w:pPr>
              <w:pStyle w:val="ListParagraph"/>
              <w:ind w:left="0"/>
              <w:rPr>
                <w:color w:val="000000"/>
                <w:sz w:val="18"/>
                <w:szCs w:val="18"/>
              </w:rPr>
            </w:pPr>
            <w:r w:rsidRPr="00123906">
              <w:rPr>
                <w:color w:val="000000"/>
                <w:sz w:val="18"/>
                <w:szCs w:val="18"/>
              </w:rPr>
              <w:t>Malawi Electoral Commission</w:t>
            </w:r>
          </w:p>
          <w:p w14:paraId="2E4FD6D1" w14:textId="77777777" w:rsidR="007034ED" w:rsidRPr="00123906" w:rsidRDefault="007034ED" w:rsidP="00587E93">
            <w:pPr>
              <w:pStyle w:val="ListParagraph"/>
              <w:ind w:left="0"/>
              <w:rPr>
                <w:color w:val="000000"/>
                <w:sz w:val="18"/>
                <w:szCs w:val="18"/>
              </w:rPr>
            </w:pPr>
          </w:p>
          <w:p w14:paraId="2E4FD6D2" w14:textId="77777777" w:rsidR="007034ED" w:rsidRPr="00123906" w:rsidRDefault="007034ED" w:rsidP="00587E93">
            <w:pPr>
              <w:jc w:val="both"/>
              <w:rPr>
                <w:color w:val="000000"/>
                <w:sz w:val="18"/>
                <w:szCs w:val="18"/>
              </w:rPr>
            </w:pPr>
          </w:p>
          <w:p w14:paraId="2E4FD6D3" w14:textId="77777777" w:rsidR="007034ED" w:rsidRPr="00123906" w:rsidRDefault="007034ED" w:rsidP="00587E93">
            <w:pPr>
              <w:jc w:val="both"/>
              <w:rPr>
                <w:color w:val="000000"/>
                <w:sz w:val="18"/>
                <w:szCs w:val="18"/>
              </w:rPr>
            </w:pPr>
          </w:p>
          <w:p w14:paraId="2E4FD6D4" w14:textId="77777777" w:rsidR="00BD44B2" w:rsidRPr="00123906" w:rsidRDefault="00BD44B2" w:rsidP="00587E93">
            <w:pPr>
              <w:jc w:val="both"/>
              <w:rPr>
                <w:color w:val="000000"/>
                <w:sz w:val="18"/>
                <w:szCs w:val="18"/>
              </w:rPr>
            </w:pPr>
          </w:p>
          <w:p w14:paraId="2E4FD6D5" w14:textId="77777777" w:rsidR="00BD44B2" w:rsidRPr="00123906" w:rsidRDefault="00BD44B2" w:rsidP="00587E93">
            <w:pPr>
              <w:jc w:val="both"/>
              <w:rPr>
                <w:color w:val="000000"/>
                <w:sz w:val="18"/>
                <w:szCs w:val="18"/>
              </w:rPr>
            </w:pPr>
          </w:p>
          <w:p w14:paraId="2E4FD6D6" w14:textId="77777777" w:rsidR="007034ED" w:rsidRPr="00123906" w:rsidRDefault="007034ED" w:rsidP="00587E93">
            <w:pPr>
              <w:jc w:val="both"/>
              <w:rPr>
                <w:rFonts w:eastAsiaTheme="minorEastAsia"/>
                <w:sz w:val="18"/>
                <w:szCs w:val="18"/>
              </w:rPr>
            </w:pPr>
            <w:r w:rsidRPr="00123906">
              <w:rPr>
                <w:color w:val="000000"/>
                <w:sz w:val="18"/>
                <w:szCs w:val="18"/>
              </w:rPr>
              <w:lastRenderedPageBreak/>
              <w:t xml:space="preserve">Ibrahim Index </w:t>
            </w:r>
            <w:r w:rsidRPr="00123906">
              <w:rPr>
                <w:rFonts w:eastAsiaTheme="minorEastAsia"/>
                <w:sz w:val="18"/>
                <w:szCs w:val="18"/>
              </w:rPr>
              <w:t>of Africa and Governance, Annual Report</w:t>
            </w:r>
          </w:p>
          <w:p w14:paraId="2E4FD6D7" w14:textId="77777777" w:rsidR="007034ED" w:rsidRPr="00123906" w:rsidRDefault="007034ED" w:rsidP="00587E93">
            <w:pPr>
              <w:pStyle w:val="ListParagraph"/>
              <w:ind w:left="0"/>
              <w:rPr>
                <w:color w:val="000000"/>
                <w:sz w:val="18"/>
                <w:szCs w:val="18"/>
              </w:rPr>
            </w:pPr>
          </w:p>
          <w:p w14:paraId="2E4FD6D8" w14:textId="77777777" w:rsidR="007034ED" w:rsidRPr="00123906" w:rsidRDefault="007034ED" w:rsidP="00587E93">
            <w:pPr>
              <w:pStyle w:val="ListParagraph"/>
              <w:ind w:left="0"/>
              <w:rPr>
                <w:color w:val="000000"/>
                <w:sz w:val="18"/>
                <w:szCs w:val="18"/>
              </w:rPr>
            </w:pPr>
          </w:p>
          <w:p w14:paraId="2E4FD6D9" w14:textId="77777777" w:rsidR="007034ED" w:rsidRPr="00123906" w:rsidRDefault="007034ED" w:rsidP="00587E93">
            <w:pPr>
              <w:pStyle w:val="ListParagraph"/>
              <w:ind w:left="0"/>
              <w:rPr>
                <w:color w:val="000000"/>
                <w:sz w:val="18"/>
                <w:szCs w:val="18"/>
              </w:rPr>
            </w:pPr>
          </w:p>
          <w:p w14:paraId="2E4FD6DA" w14:textId="77777777" w:rsidR="007034ED" w:rsidRPr="00123906" w:rsidRDefault="007034ED" w:rsidP="00587E93">
            <w:pPr>
              <w:pStyle w:val="ListParagraph"/>
              <w:ind w:left="0"/>
              <w:rPr>
                <w:color w:val="000000"/>
                <w:sz w:val="18"/>
                <w:szCs w:val="18"/>
              </w:rPr>
            </w:pPr>
          </w:p>
          <w:p w14:paraId="2E4FD6DB" w14:textId="77777777" w:rsidR="007034ED" w:rsidRPr="00123906" w:rsidRDefault="007034ED" w:rsidP="00587E93">
            <w:pPr>
              <w:pStyle w:val="ListParagraph"/>
              <w:ind w:left="0"/>
              <w:rPr>
                <w:color w:val="000000"/>
                <w:sz w:val="18"/>
                <w:szCs w:val="18"/>
              </w:rPr>
            </w:pPr>
          </w:p>
          <w:p w14:paraId="2E4FD6DC" w14:textId="77777777" w:rsidR="007034ED" w:rsidRPr="00123906" w:rsidRDefault="007034ED" w:rsidP="00587E93">
            <w:pPr>
              <w:pStyle w:val="ListParagraph"/>
              <w:ind w:left="0"/>
              <w:rPr>
                <w:color w:val="000000"/>
                <w:sz w:val="18"/>
                <w:szCs w:val="18"/>
              </w:rPr>
            </w:pPr>
          </w:p>
          <w:p w14:paraId="2E4FD6DD" w14:textId="77777777" w:rsidR="007034ED" w:rsidRPr="00123906" w:rsidRDefault="007034ED" w:rsidP="00587E93">
            <w:pPr>
              <w:pStyle w:val="ListParagraph"/>
              <w:ind w:left="0"/>
              <w:rPr>
                <w:color w:val="000000"/>
                <w:sz w:val="18"/>
                <w:szCs w:val="18"/>
              </w:rPr>
            </w:pPr>
          </w:p>
          <w:p w14:paraId="2E4FD6DE" w14:textId="77777777" w:rsidR="007034ED" w:rsidRPr="00123906" w:rsidRDefault="007034ED" w:rsidP="00587E93">
            <w:pPr>
              <w:pStyle w:val="ListParagraph"/>
              <w:ind w:left="0"/>
              <w:rPr>
                <w:color w:val="000000"/>
                <w:sz w:val="18"/>
                <w:szCs w:val="18"/>
              </w:rPr>
            </w:pPr>
          </w:p>
          <w:p w14:paraId="2E4FD6DF" w14:textId="77777777" w:rsidR="007034ED" w:rsidRPr="00123906" w:rsidRDefault="007034ED" w:rsidP="00587E93">
            <w:pPr>
              <w:pStyle w:val="ListParagraph"/>
              <w:ind w:left="0"/>
              <w:rPr>
                <w:color w:val="000000"/>
                <w:sz w:val="18"/>
                <w:szCs w:val="18"/>
              </w:rPr>
            </w:pPr>
          </w:p>
          <w:p w14:paraId="2E4FD6E0" w14:textId="77777777" w:rsidR="007034ED" w:rsidRPr="00123906" w:rsidRDefault="007034ED" w:rsidP="00587E93">
            <w:pPr>
              <w:pStyle w:val="ListParagraph"/>
              <w:ind w:left="0"/>
              <w:rPr>
                <w:color w:val="000000"/>
                <w:sz w:val="18"/>
                <w:szCs w:val="18"/>
              </w:rPr>
            </w:pPr>
          </w:p>
          <w:p w14:paraId="2E4FD6E1" w14:textId="77777777" w:rsidR="007034ED" w:rsidRPr="00123906" w:rsidRDefault="007034ED" w:rsidP="00587E93">
            <w:pPr>
              <w:pStyle w:val="ListParagraph"/>
              <w:ind w:left="0"/>
              <w:rPr>
                <w:color w:val="000000"/>
                <w:sz w:val="18"/>
                <w:szCs w:val="18"/>
              </w:rPr>
            </w:pPr>
          </w:p>
          <w:p w14:paraId="2E4FD6E2" w14:textId="77777777" w:rsidR="00BD44B2" w:rsidRPr="00123906" w:rsidRDefault="00BD44B2" w:rsidP="00587E93">
            <w:pPr>
              <w:pStyle w:val="ListParagraph"/>
              <w:ind w:left="0"/>
              <w:rPr>
                <w:color w:val="000000"/>
                <w:sz w:val="18"/>
                <w:szCs w:val="18"/>
              </w:rPr>
            </w:pPr>
          </w:p>
          <w:p w14:paraId="2E4FD6E8" w14:textId="34F55540" w:rsidR="007034ED" w:rsidRPr="005C6DA8" w:rsidRDefault="007034ED" w:rsidP="00587E93">
            <w:pPr>
              <w:pStyle w:val="ListParagraph"/>
              <w:ind w:left="0"/>
              <w:rPr>
                <w:color w:val="000000"/>
                <w:sz w:val="18"/>
                <w:szCs w:val="18"/>
              </w:rPr>
            </w:pPr>
            <w:r w:rsidRPr="00123906">
              <w:rPr>
                <w:color w:val="000000"/>
                <w:sz w:val="18"/>
                <w:szCs w:val="18"/>
              </w:rPr>
              <w:t>Malawi Electoral Commission</w:t>
            </w:r>
          </w:p>
        </w:tc>
        <w:tc>
          <w:tcPr>
            <w:tcW w:w="5856" w:type="dxa"/>
            <w:vAlign w:val="center"/>
          </w:tcPr>
          <w:p w14:paraId="2E4FD6E9" w14:textId="62F7CF0A" w:rsidR="007034ED" w:rsidRPr="00123906" w:rsidRDefault="007034ED" w:rsidP="00587E93">
            <w:pPr>
              <w:jc w:val="both"/>
              <w:rPr>
                <w:iCs/>
                <w:color w:val="000000"/>
                <w:sz w:val="18"/>
                <w:szCs w:val="18"/>
              </w:rPr>
            </w:pPr>
            <w:r w:rsidRPr="00123906">
              <w:rPr>
                <w:b/>
                <w:bCs/>
                <w:color w:val="000000"/>
                <w:sz w:val="18"/>
                <w:szCs w:val="18"/>
              </w:rPr>
              <w:lastRenderedPageBreak/>
              <w:t>Output 4.1</w:t>
            </w:r>
            <w:r w:rsidRPr="00123906">
              <w:rPr>
                <w:color w:val="000000"/>
                <w:sz w:val="18"/>
                <w:szCs w:val="18"/>
              </w:rPr>
              <w:t xml:space="preserve">: </w:t>
            </w:r>
            <w:r w:rsidRPr="00123906">
              <w:rPr>
                <w:iCs/>
                <w:color w:val="000000"/>
                <w:sz w:val="18"/>
                <w:szCs w:val="18"/>
              </w:rPr>
              <w:t xml:space="preserve">Parliament, </w:t>
            </w:r>
            <w:r w:rsidR="004F1ABB">
              <w:rPr>
                <w:iCs/>
                <w:color w:val="000000"/>
                <w:sz w:val="18"/>
                <w:szCs w:val="18"/>
              </w:rPr>
              <w:t xml:space="preserve">Malawi </w:t>
            </w:r>
            <w:r w:rsidRPr="00123906">
              <w:rPr>
                <w:iCs/>
                <w:color w:val="000000"/>
                <w:sz w:val="18"/>
                <w:szCs w:val="18"/>
              </w:rPr>
              <w:t>Electoral Commission, Centre for Multi-Party Democracy</w:t>
            </w:r>
            <w:r w:rsidR="004F1ABB">
              <w:rPr>
                <w:iCs/>
                <w:color w:val="000000"/>
                <w:sz w:val="18"/>
                <w:szCs w:val="18"/>
              </w:rPr>
              <w:t xml:space="preserve"> (CMD)</w:t>
            </w:r>
            <w:r w:rsidRPr="00123906">
              <w:rPr>
                <w:iCs/>
                <w:color w:val="000000"/>
                <w:sz w:val="18"/>
                <w:szCs w:val="18"/>
              </w:rPr>
              <w:t xml:space="preserve"> and selected </w:t>
            </w:r>
            <w:r w:rsidR="002E657E">
              <w:rPr>
                <w:iCs/>
                <w:color w:val="000000"/>
                <w:sz w:val="18"/>
                <w:szCs w:val="18"/>
              </w:rPr>
              <w:t>n</w:t>
            </w:r>
            <w:r w:rsidR="002E657E" w:rsidRPr="00123906">
              <w:rPr>
                <w:iCs/>
                <w:color w:val="000000"/>
                <w:sz w:val="18"/>
                <w:szCs w:val="18"/>
              </w:rPr>
              <w:t>on</w:t>
            </w:r>
            <w:r w:rsidRPr="00123906">
              <w:rPr>
                <w:iCs/>
                <w:color w:val="000000"/>
                <w:sz w:val="18"/>
                <w:szCs w:val="18"/>
              </w:rPr>
              <w:t xml:space="preserve">-State </w:t>
            </w:r>
            <w:r w:rsidR="002E657E">
              <w:rPr>
                <w:iCs/>
                <w:color w:val="000000"/>
                <w:sz w:val="18"/>
                <w:szCs w:val="18"/>
              </w:rPr>
              <w:t>a</w:t>
            </w:r>
            <w:r w:rsidR="002E657E" w:rsidRPr="00123906">
              <w:rPr>
                <w:iCs/>
                <w:color w:val="000000"/>
                <w:sz w:val="18"/>
                <w:szCs w:val="18"/>
              </w:rPr>
              <w:t xml:space="preserve">ctors </w:t>
            </w:r>
            <w:r w:rsidRPr="00123906">
              <w:rPr>
                <w:iCs/>
                <w:color w:val="000000"/>
                <w:sz w:val="18"/>
                <w:szCs w:val="18"/>
              </w:rPr>
              <w:t>are enabled to perform core functions for inclusive participation and representation</w:t>
            </w:r>
          </w:p>
          <w:p w14:paraId="2E4FD6EA" w14:textId="77777777" w:rsidR="007034ED" w:rsidRPr="00123906" w:rsidRDefault="007034ED" w:rsidP="00587E93">
            <w:pPr>
              <w:jc w:val="both"/>
              <w:rPr>
                <w:iCs/>
                <w:color w:val="000000"/>
                <w:sz w:val="18"/>
                <w:szCs w:val="18"/>
              </w:rPr>
            </w:pPr>
          </w:p>
          <w:p w14:paraId="2E4FD6EB" w14:textId="77777777" w:rsidR="007034ED" w:rsidRPr="00123906" w:rsidRDefault="007034ED" w:rsidP="00587E93">
            <w:pPr>
              <w:jc w:val="both"/>
              <w:rPr>
                <w:b/>
                <w:bCs/>
                <w:color w:val="000000"/>
                <w:sz w:val="18"/>
                <w:szCs w:val="18"/>
              </w:rPr>
            </w:pPr>
          </w:p>
          <w:p w14:paraId="2E4FD6EC" w14:textId="77777777" w:rsidR="007034ED" w:rsidRPr="00123906" w:rsidRDefault="007034ED" w:rsidP="00587E93">
            <w:pPr>
              <w:jc w:val="both"/>
              <w:rPr>
                <w:color w:val="000000"/>
                <w:sz w:val="18"/>
                <w:szCs w:val="18"/>
              </w:rPr>
            </w:pPr>
            <w:r w:rsidRPr="00123906">
              <w:rPr>
                <w:b/>
                <w:bCs/>
                <w:color w:val="000000"/>
                <w:sz w:val="18"/>
                <w:szCs w:val="18"/>
              </w:rPr>
              <w:t>Indicator 4.1.1:</w:t>
            </w:r>
            <w:r w:rsidRPr="00123906">
              <w:rPr>
                <w:color w:val="000000"/>
                <w:sz w:val="18"/>
                <w:szCs w:val="18"/>
              </w:rPr>
              <w:t xml:space="preserve">  Proportion of political parties represented in Parliament with effective gender equality policies.</w:t>
            </w:r>
          </w:p>
          <w:p w14:paraId="71A14D7A" w14:textId="77777777" w:rsidR="009202E9" w:rsidRDefault="007034ED" w:rsidP="00587E93">
            <w:pPr>
              <w:jc w:val="both"/>
              <w:rPr>
                <w:color w:val="000000"/>
                <w:sz w:val="18"/>
                <w:szCs w:val="18"/>
              </w:rPr>
            </w:pPr>
            <w:r w:rsidRPr="00123906">
              <w:rPr>
                <w:b/>
                <w:bCs/>
                <w:color w:val="000000"/>
                <w:sz w:val="18"/>
                <w:szCs w:val="18"/>
              </w:rPr>
              <w:t xml:space="preserve">Baseline: </w:t>
            </w:r>
            <w:r w:rsidRPr="00123906">
              <w:rPr>
                <w:color w:val="000000"/>
                <w:sz w:val="18"/>
                <w:szCs w:val="18"/>
              </w:rPr>
              <w:t>0 (2017)</w:t>
            </w:r>
            <w:r w:rsidRPr="00123906">
              <w:rPr>
                <w:b/>
                <w:bCs/>
                <w:color w:val="000000"/>
                <w:sz w:val="18"/>
                <w:szCs w:val="18"/>
              </w:rPr>
              <w:t xml:space="preserve">; Target: </w:t>
            </w:r>
            <w:r w:rsidRPr="00123906">
              <w:rPr>
                <w:color w:val="000000"/>
                <w:sz w:val="18"/>
                <w:szCs w:val="18"/>
              </w:rPr>
              <w:t xml:space="preserve">75%; </w:t>
            </w:r>
          </w:p>
          <w:p w14:paraId="2E4FD6ED" w14:textId="1DE6631C" w:rsidR="007034ED" w:rsidRPr="00123906" w:rsidRDefault="007034ED" w:rsidP="00587E93">
            <w:pPr>
              <w:jc w:val="both"/>
              <w:rPr>
                <w:sz w:val="18"/>
                <w:szCs w:val="18"/>
              </w:rPr>
            </w:pPr>
            <w:r w:rsidRPr="00123906">
              <w:rPr>
                <w:b/>
                <w:bCs/>
                <w:color w:val="000000"/>
                <w:sz w:val="18"/>
                <w:szCs w:val="18"/>
              </w:rPr>
              <w:t xml:space="preserve">Data Source: </w:t>
            </w:r>
            <w:r w:rsidR="005D2F7A">
              <w:rPr>
                <w:color w:val="000000"/>
                <w:sz w:val="18"/>
                <w:szCs w:val="18"/>
              </w:rPr>
              <w:t>CMD</w:t>
            </w:r>
          </w:p>
        </w:tc>
        <w:tc>
          <w:tcPr>
            <w:tcW w:w="2343" w:type="dxa"/>
            <w:vAlign w:val="center"/>
          </w:tcPr>
          <w:p w14:paraId="2E4FD6EF" w14:textId="73554ED9" w:rsidR="007034ED" w:rsidRPr="005C6DA8" w:rsidRDefault="007034ED" w:rsidP="00587E93">
            <w:pPr>
              <w:rPr>
                <w:color w:val="000000"/>
                <w:sz w:val="18"/>
                <w:szCs w:val="18"/>
              </w:rPr>
            </w:pPr>
            <w:r w:rsidRPr="00123906">
              <w:rPr>
                <w:color w:val="000000"/>
                <w:sz w:val="18"/>
                <w:szCs w:val="18"/>
              </w:rPr>
              <w:t>M</w:t>
            </w:r>
            <w:r w:rsidR="004F1ABB">
              <w:rPr>
                <w:color w:val="000000"/>
                <w:sz w:val="18"/>
                <w:szCs w:val="18"/>
              </w:rPr>
              <w:t xml:space="preserve">alawi </w:t>
            </w:r>
            <w:r w:rsidRPr="00123906">
              <w:rPr>
                <w:color w:val="000000"/>
                <w:sz w:val="18"/>
                <w:szCs w:val="18"/>
              </w:rPr>
              <w:t>E</w:t>
            </w:r>
            <w:r w:rsidR="004F1ABB">
              <w:rPr>
                <w:color w:val="000000"/>
                <w:sz w:val="18"/>
                <w:szCs w:val="18"/>
              </w:rPr>
              <w:t>lectoral Commission</w:t>
            </w:r>
            <w:r w:rsidRPr="00123906">
              <w:rPr>
                <w:color w:val="000000"/>
                <w:sz w:val="18"/>
                <w:szCs w:val="18"/>
              </w:rPr>
              <w:t xml:space="preserve">, CMD, </w:t>
            </w:r>
            <w:r w:rsidR="00C94743">
              <w:rPr>
                <w:color w:val="000000"/>
                <w:sz w:val="18"/>
                <w:szCs w:val="18"/>
              </w:rPr>
              <w:t>CSOs</w:t>
            </w:r>
            <w:r w:rsidRPr="00123906">
              <w:rPr>
                <w:color w:val="000000"/>
                <w:sz w:val="18"/>
                <w:szCs w:val="18"/>
              </w:rPr>
              <w:t>, UN</w:t>
            </w:r>
            <w:r w:rsidR="002E657E">
              <w:rPr>
                <w:color w:val="000000"/>
                <w:sz w:val="18"/>
                <w:szCs w:val="18"/>
              </w:rPr>
              <w:t>-</w:t>
            </w:r>
            <w:r w:rsidRPr="00123906">
              <w:rPr>
                <w:color w:val="000000"/>
                <w:sz w:val="18"/>
                <w:szCs w:val="18"/>
              </w:rPr>
              <w:t>W</w:t>
            </w:r>
            <w:r w:rsidR="002E657E" w:rsidRPr="00123906">
              <w:rPr>
                <w:color w:val="000000"/>
                <w:sz w:val="18"/>
                <w:szCs w:val="18"/>
              </w:rPr>
              <w:t>omen</w:t>
            </w:r>
            <w:r w:rsidRPr="00123906">
              <w:rPr>
                <w:color w:val="000000"/>
                <w:sz w:val="18"/>
                <w:szCs w:val="18"/>
              </w:rPr>
              <w:t xml:space="preserve">, </w:t>
            </w:r>
            <w:r w:rsidR="001E57D3" w:rsidRPr="00123906">
              <w:rPr>
                <w:color w:val="000000"/>
                <w:sz w:val="18"/>
                <w:szCs w:val="18"/>
              </w:rPr>
              <w:t>D</w:t>
            </w:r>
            <w:r w:rsidR="00462376">
              <w:rPr>
                <w:color w:val="000000"/>
                <w:sz w:val="18"/>
                <w:szCs w:val="18"/>
              </w:rPr>
              <w:t>fI</w:t>
            </w:r>
            <w:r w:rsidR="001E57D3" w:rsidRPr="00123906">
              <w:rPr>
                <w:color w:val="000000"/>
                <w:sz w:val="18"/>
                <w:szCs w:val="18"/>
              </w:rPr>
              <w:t>D</w:t>
            </w:r>
            <w:r w:rsidRPr="00123906">
              <w:rPr>
                <w:color w:val="000000"/>
                <w:sz w:val="18"/>
                <w:szCs w:val="18"/>
              </w:rPr>
              <w:t>,</w:t>
            </w:r>
            <w:r w:rsidR="007C69FB">
              <w:rPr>
                <w:color w:val="000000"/>
                <w:sz w:val="18"/>
                <w:szCs w:val="18"/>
              </w:rPr>
              <w:t xml:space="preserve"> </w:t>
            </w:r>
            <w:r w:rsidR="001E57D3">
              <w:rPr>
                <w:color w:val="000000"/>
                <w:sz w:val="18"/>
                <w:szCs w:val="18"/>
              </w:rPr>
              <w:t>Royal Norwegian Embassy</w:t>
            </w:r>
            <w:r w:rsidRPr="00123906">
              <w:rPr>
                <w:color w:val="000000"/>
                <w:sz w:val="18"/>
                <w:szCs w:val="18"/>
              </w:rPr>
              <w:t>, E</w:t>
            </w:r>
            <w:r w:rsidR="0027203A">
              <w:rPr>
                <w:color w:val="000000"/>
                <w:sz w:val="18"/>
                <w:szCs w:val="18"/>
              </w:rPr>
              <w:t xml:space="preserve">uropean </w:t>
            </w:r>
            <w:r w:rsidRPr="00123906">
              <w:rPr>
                <w:color w:val="000000"/>
                <w:sz w:val="18"/>
                <w:szCs w:val="18"/>
              </w:rPr>
              <w:t>U</w:t>
            </w:r>
            <w:r w:rsidR="0027203A">
              <w:rPr>
                <w:color w:val="000000"/>
                <w:sz w:val="18"/>
                <w:szCs w:val="18"/>
              </w:rPr>
              <w:t>nion</w:t>
            </w:r>
            <w:r w:rsidRPr="00123906">
              <w:rPr>
                <w:color w:val="000000"/>
                <w:sz w:val="18"/>
                <w:szCs w:val="18"/>
              </w:rPr>
              <w:t>.</w:t>
            </w:r>
          </w:p>
        </w:tc>
        <w:tc>
          <w:tcPr>
            <w:tcW w:w="1265" w:type="dxa"/>
            <w:vAlign w:val="center"/>
          </w:tcPr>
          <w:p w14:paraId="2E4FD6F0" w14:textId="77777777" w:rsidR="007034ED" w:rsidRPr="00123906" w:rsidRDefault="007034ED" w:rsidP="00587E93">
            <w:pPr>
              <w:rPr>
                <w:b/>
                <w:bCs/>
                <w:color w:val="000000"/>
                <w:sz w:val="18"/>
                <w:szCs w:val="18"/>
              </w:rPr>
            </w:pPr>
            <w:r w:rsidRPr="00123906">
              <w:rPr>
                <w:b/>
                <w:bCs/>
                <w:color w:val="000000"/>
                <w:sz w:val="18"/>
                <w:szCs w:val="18"/>
              </w:rPr>
              <w:t xml:space="preserve">Regular: </w:t>
            </w:r>
          </w:p>
          <w:p w14:paraId="2E4FD6F1" w14:textId="4FC5135B" w:rsidR="007034ED" w:rsidRPr="00123906" w:rsidRDefault="002E657E" w:rsidP="00587E93">
            <w:pPr>
              <w:rPr>
                <w:b/>
                <w:bCs/>
                <w:color w:val="000000"/>
                <w:sz w:val="18"/>
                <w:szCs w:val="18"/>
              </w:rPr>
            </w:pPr>
            <w:r>
              <w:rPr>
                <w:b/>
                <w:bCs/>
                <w:color w:val="000000"/>
                <w:sz w:val="18"/>
                <w:szCs w:val="18"/>
              </w:rPr>
              <w:t>$</w:t>
            </w:r>
            <w:r w:rsidR="007034ED" w:rsidRPr="00123906">
              <w:rPr>
                <w:b/>
                <w:bCs/>
                <w:color w:val="000000"/>
                <w:sz w:val="18"/>
                <w:szCs w:val="18"/>
              </w:rPr>
              <w:t>2,750,000</w:t>
            </w:r>
          </w:p>
          <w:p w14:paraId="2E4FD6F2" w14:textId="77777777" w:rsidR="007034ED" w:rsidRPr="00123906" w:rsidRDefault="007034ED" w:rsidP="00587E93">
            <w:pPr>
              <w:rPr>
                <w:b/>
                <w:bCs/>
                <w:color w:val="000000"/>
                <w:sz w:val="18"/>
                <w:szCs w:val="18"/>
              </w:rPr>
            </w:pPr>
          </w:p>
          <w:p w14:paraId="2E4FD6F3" w14:textId="77777777" w:rsidR="007034ED" w:rsidRPr="00123906" w:rsidRDefault="007034ED" w:rsidP="00587E93">
            <w:pPr>
              <w:rPr>
                <w:b/>
                <w:bCs/>
                <w:color w:val="000000"/>
                <w:sz w:val="18"/>
                <w:szCs w:val="18"/>
              </w:rPr>
            </w:pPr>
            <w:r w:rsidRPr="00123906">
              <w:rPr>
                <w:b/>
                <w:bCs/>
                <w:color w:val="000000"/>
                <w:sz w:val="18"/>
                <w:szCs w:val="18"/>
              </w:rPr>
              <w:t xml:space="preserve">Other: </w:t>
            </w:r>
          </w:p>
          <w:p w14:paraId="2E4FD6F4" w14:textId="5684743B" w:rsidR="007034ED" w:rsidRPr="00123906" w:rsidRDefault="002E657E" w:rsidP="00587E93">
            <w:pPr>
              <w:jc w:val="both"/>
              <w:rPr>
                <w:sz w:val="18"/>
                <w:szCs w:val="18"/>
              </w:rPr>
            </w:pPr>
            <w:r>
              <w:rPr>
                <w:b/>
                <w:bCs/>
                <w:color w:val="000000"/>
                <w:sz w:val="18"/>
                <w:szCs w:val="18"/>
              </w:rPr>
              <w:t>$</w:t>
            </w:r>
            <w:r w:rsidR="007034ED" w:rsidRPr="00123906">
              <w:rPr>
                <w:b/>
                <w:bCs/>
                <w:color w:val="000000"/>
                <w:sz w:val="18"/>
                <w:szCs w:val="18"/>
              </w:rPr>
              <w:t>5,440,000</w:t>
            </w:r>
          </w:p>
        </w:tc>
      </w:tr>
      <w:tr w:rsidR="007034ED" w:rsidRPr="00123906" w14:paraId="2E4FD70A" w14:textId="77777777" w:rsidTr="00C64A9B">
        <w:tc>
          <w:tcPr>
            <w:tcW w:w="2248" w:type="dxa"/>
            <w:vAlign w:val="center"/>
          </w:tcPr>
          <w:p w14:paraId="2E4FD6F6" w14:textId="77777777" w:rsidR="007034ED" w:rsidRPr="00123906" w:rsidRDefault="007034ED" w:rsidP="00587E93">
            <w:pPr>
              <w:rPr>
                <w:sz w:val="18"/>
                <w:szCs w:val="18"/>
              </w:rPr>
            </w:pPr>
          </w:p>
          <w:p w14:paraId="2E4FD6F7" w14:textId="77777777" w:rsidR="007034ED" w:rsidRPr="00123906" w:rsidRDefault="007034ED" w:rsidP="00587E93">
            <w:pPr>
              <w:spacing w:line="252" w:lineRule="auto"/>
              <w:rPr>
                <w:b/>
                <w:color w:val="000000"/>
                <w:sz w:val="18"/>
                <w:szCs w:val="18"/>
              </w:rPr>
            </w:pPr>
            <w:r w:rsidRPr="00123906">
              <w:rPr>
                <w:b/>
                <w:color w:val="000000"/>
                <w:sz w:val="18"/>
                <w:szCs w:val="18"/>
              </w:rPr>
              <w:t>4.3 Voter turnout disaggregated by sex and age</w:t>
            </w:r>
          </w:p>
          <w:p w14:paraId="2E4FD6F8" w14:textId="77777777" w:rsidR="007034ED" w:rsidRPr="00123906" w:rsidRDefault="007034ED" w:rsidP="00587E93">
            <w:pPr>
              <w:rPr>
                <w:sz w:val="18"/>
                <w:szCs w:val="18"/>
              </w:rPr>
            </w:pPr>
          </w:p>
          <w:p w14:paraId="2E4FD6F9" w14:textId="77777777" w:rsidR="007034ED" w:rsidRPr="00123906" w:rsidRDefault="007034ED" w:rsidP="00587E93">
            <w:pPr>
              <w:spacing w:line="252" w:lineRule="auto"/>
              <w:rPr>
                <w:color w:val="000000"/>
                <w:sz w:val="18"/>
                <w:szCs w:val="18"/>
              </w:rPr>
            </w:pPr>
            <w:r w:rsidRPr="00123906">
              <w:rPr>
                <w:b/>
                <w:color w:val="000000"/>
                <w:sz w:val="18"/>
                <w:szCs w:val="18"/>
              </w:rPr>
              <w:t>Baseline</w:t>
            </w:r>
            <w:r w:rsidRPr="00123906">
              <w:rPr>
                <w:color w:val="000000"/>
                <w:sz w:val="18"/>
                <w:szCs w:val="18"/>
              </w:rPr>
              <w:t>:  71% (2014)</w:t>
            </w:r>
          </w:p>
          <w:p w14:paraId="2E4FD6FB" w14:textId="489DB9CB" w:rsidR="007034ED" w:rsidRPr="005C6DA8" w:rsidRDefault="007034ED" w:rsidP="005C6DA8">
            <w:pPr>
              <w:spacing w:line="252" w:lineRule="auto"/>
              <w:rPr>
                <w:color w:val="000000"/>
                <w:sz w:val="18"/>
                <w:szCs w:val="18"/>
              </w:rPr>
            </w:pPr>
            <w:r w:rsidRPr="00123906">
              <w:rPr>
                <w:b/>
                <w:color w:val="000000"/>
                <w:sz w:val="18"/>
                <w:szCs w:val="18"/>
              </w:rPr>
              <w:t>Target</w:t>
            </w:r>
            <w:r w:rsidRPr="00123906">
              <w:rPr>
                <w:color w:val="000000"/>
                <w:sz w:val="18"/>
                <w:szCs w:val="18"/>
              </w:rPr>
              <w:t xml:space="preserve">:  80% (2023) </w:t>
            </w:r>
          </w:p>
        </w:tc>
        <w:tc>
          <w:tcPr>
            <w:tcW w:w="1803" w:type="dxa"/>
            <w:vMerge/>
          </w:tcPr>
          <w:p w14:paraId="2E4FD6FC" w14:textId="77777777" w:rsidR="007034ED" w:rsidRPr="00123906" w:rsidRDefault="007034ED" w:rsidP="00587E93">
            <w:pPr>
              <w:rPr>
                <w:sz w:val="18"/>
                <w:szCs w:val="18"/>
              </w:rPr>
            </w:pPr>
          </w:p>
        </w:tc>
        <w:tc>
          <w:tcPr>
            <w:tcW w:w="5856" w:type="dxa"/>
          </w:tcPr>
          <w:p w14:paraId="2E4FD6FD" w14:textId="77777777" w:rsidR="007034ED" w:rsidRPr="00123906" w:rsidRDefault="007034ED" w:rsidP="00587E93">
            <w:pPr>
              <w:jc w:val="both"/>
              <w:rPr>
                <w:b/>
                <w:bCs/>
                <w:iCs/>
                <w:color w:val="000000"/>
                <w:sz w:val="18"/>
                <w:szCs w:val="18"/>
              </w:rPr>
            </w:pPr>
            <w:r w:rsidRPr="00123906">
              <w:rPr>
                <w:b/>
                <w:bCs/>
                <w:color w:val="000000"/>
                <w:sz w:val="18"/>
                <w:szCs w:val="18"/>
              </w:rPr>
              <w:t xml:space="preserve">Output 4.2: </w:t>
            </w:r>
            <w:r w:rsidRPr="00123906">
              <w:rPr>
                <w:iCs/>
                <w:sz w:val="18"/>
                <w:szCs w:val="18"/>
              </w:rPr>
              <w:t>Gender-sensitive National Peace Architecture structures with real-time conflict early warning monitoring systems at national and district level are adopted.</w:t>
            </w:r>
          </w:p>
          <w:p w14:paraId="2E4FD6FE" w14:textId="77777777" w:rsidR="007034ED" w:rsidRPr="00123906" w:rsidRDefault="007034ED" w:rsidP="00587E93">
            <w:pPr>
              <w:jc w:val="both"/>
              <w:rPr>
                <w:sz w:val="18"/>
                <w:szCs w:val="18"/>
              </w:rPr>
            </w:pPr>
          </w:p>
          <w:p w14:paraId="2E4FD6FF" w14:textId="77777777" w:rsidR="007034ED" w:rsidRPr="00123906" w:rsidRDefault="007034ED" w:rsidP="00587E93">
            <w:pPr>
              <w:jc w:val="both"/>
              <w:rPr>
                <w:sz w:val="18"/>
                <w:szCs w:val="18"/>
              </w:rPr>
            </w:pPr>
            <w:r w:rsidRPr="00123906">
              <w:rPr>
                <w:b/>
                <w:bCs/>
                <w:sz w:val="18"/>
                <w:szCs w:val="18"/>
              </w:rPr>
              <w:t>Indicator 4.2.1:</w:t>
            </w:r>
            <w:r w:rsidRPr="00123906">
              <w:rPr>
                <w:sz w:val="18"/>
                <w:szCs w:val="18"/>
              </w:rPr>
              <w:t xml:space="preserve">  National and subnational coordination and monitoring mechanisms for conflict prevention and sustaining peace in place. </w:t>
            </w:r>
          </w:p>
          <w:p w14:paraId="2E4FD700" w14:textId="77777777" w:rsidR="007034ED" w:rsidRPr="00123906" w:rsidRDefault="007034ED" w:rsidP="00587E93">
            <w:pPr>
              <w:jc w:val="both"/>
              <w:rPr>
                <w:sz w:val="18"/>
                <w:szCs w:val="18"/>
              </w:rPr>
            </w:pPr>
            <w:r w:rsidRPr="00123906">
              <w:rPr>
                <w:b/>
                <w:bCs/>
                <w:sz w:val="18"/>
                <w:szCs w:val="18"/>
              </w:rPr>
              <w:t>Baseline</w:t>
            </w:r>
            <w:r w:rsidRPr="00123906">
              <w:rPr>
                <w:iCs/>
                <w:sz w:val="18"/>
                <w:szCs w:val="18"/>
              </w:rPr>
              <w:t xml:space="preserve">: </w:t>
            </w:r>
            <w:r w:rsidRPr="00123906">
              <w:rPr>
                <w:sz w:val="18"/>
                <w:szCs w:val="18"/>
              </w:rPr>
              <w:t xml:space="preserve">No (2017); </w:t>
            </w:r>
            <w:r w:rsidRPr="00123906">
              <w:rPr>
                <w:b/>
                <w:bCs/>
                <w:sz w:val="18"/>
                <w:szCs w:val="18"/>
              </w:rPr>
              <w:t>Target:</w:t>
            </w:r>
            <w:r w:rsidRPr="00123906">
              <w:rPr>
                <w:iCs/>
                <w:sz w:val="18"/>
                <w:szCs w:val="18"/>
              </w:rPr>
              <w:t xml:space="preserve"> </w:t>
            </w:r>
            <w:r w:rsidRPr="00123906">
              <w:rPr>
                <w:sz w:val="18"/>
                <w:szCs w:val="18"/>
              </w:rPr>
              <w:t>Yes (2023)</w:t>
            </w:r>
          </w:p>
          <w:p w14:paraId="2E4FD701" w14:textId="77777777" w:rsidR="007034ED" w:rsidRPr="00123906" w:rsidRDefault="007034ED" w:rsidP="00587E93">
            <w:pPr>
              <w:jc w:val="both"/>
              <w:rPr>
                <w:sz w:val="18"/>
                <w:szCs w:val="18"/>
              </w:rPr>
            </w:pPr>
            <w:r w:rsidRPr="00123906">
              <w:rPr>
                <w:b/>
                <w:bCs/>
                <w:sz w:val="18"/>
                <w:szCs w:val="18"/>
              </w:rPr>
              <w:t>Data Source:</w:t>
            </w:r>
            <w:r w:rsidRPr="00123906">
              <w:rPr>
                <w:sz w:val="18"/>
                <w:szCs w:val="18"/>
              </w:rPr>
              <w:t xml:space="preserve"> OPC Report</w:t>
            </w:r>
          </w:p>
          <w:p w14:paraId="2E4FD702" w14:textId="77777777" w:rsidR="007034ED" w:rsidRPr="00123906" w:rsidRDefault="007034ED" w:rsidP="00587E93">
            <w:pPr>
              <w:jc w:val="both"/>
              <w:rPr>
                <w:sz w:val="18"/>
                <w:szCs w:val="18"/>
              </w:rPr>
            </w:pPr>
          </w:p>
          <w:p w14:paraId="2E4FD703" w14:textId="1B099E50" w:rsidR="007034ED" w:rsidRPr="00123906" w:rsidRDefault="007034ED" w:rsidP="00587E93">
            <w:pPr>
              <w:jc w:val="both"/>
              <w:rPr>
                <w:b/>
                <w:bCs/>
                <w:sz w:val="18"/>
                <w:szCs w:val="18"/>
              </w:rPr>
            </w:pPr>
            <w:r w:rsidRPr="00123906">
              <w:rPr>
                <w:b/>
                <w:bCs/>
                <w:sz w:val="18"/>
                <w:szCs w:val="18"/>
              </w:rPr>
              <w:t xml:space="preserve">Indicator 4.2.2: </w:t>
            </w:r>
            <w:r w:rsidRPr="00123906">
              <w:rPr>
                <w:sz w:val="18"/>
                <w:szCs w:val="18"/>
              </w:rPr>
              <w:t xml:space="preserve">Proportion of </w:t>
            </w:r>
            <w:r w:rsidR="002E657E">
              <w:rPr>
                <w:sz w:val="18"/>
                <w:szCs w:val="18"/>
              </w:rPr>
              <w:t xml:space="preserve">district peace committees </w:t>
            </w:r>
            <w:r w:rsidRPr="00123906">
              <w:rPr>
                <w:sz w:val="18"/>
                <w:szCs w:val="18"/>
              </w:rPr>
              <w:t xml:space="preserve">with 40:60 </w:t>
            </w:r>
            <w:r w:rsidR="0010063C">
              <w:rPr>
                <w:sz w:val="18"/>
                <w:szCs w:val="18"/>
              </w:rPr>
              <w:t xml:space="preserve">female to male </w:t>
            </w:r>
            <w:r w:rsidRPr="00123906">
              <w:rPr>
                <w:sz w:val="18"/>
                <w:szCs w:val="18"/>
              </w:rPr>
              <w:t>quota.</w:t>
            </w:r>
          </w:p>
          <w:p w14:paraId="2E4FD704" w14:textId="77777777" w:rsidR="007034ED" w:rsidRPr="00123906" w:rsidRDefault="007034ED" w:rsidP="00587E93">
            <w:pPr>
              <w:jc w:val="both"/>
              <w:rPr>
                <w:iCs/>
                <w:color w:val="000000"/>
                <w:sz w:val="18"/>
                <w:szCs w:val="18"/>
              </w:rPr>
            </w:pPr>
            <w:r w:rsidRPr="00123906">
              <w:rPr>
                <w:b/>
                <w:bCs/>
                <w:color w:val="000000"/>
                <w:sz w:val="18"/>
                <w:szCs w:val="18"/>
              </w:rPr>
              <w:t>Baseline</w:t>
            </w:r>
            <w:r w:rsidRPr="00123906">
              <w:rPr>
                <w:iCs/>
                <w:color w:val="000000"/>
                <w:sz w:val="18"/>
                <w:szCs w:val="18"/>
              </w:rPr>
              <w:t xml:space="preserve">: </w:t>
            </w:r>
            <w:r w:rsidR="00587E93" w:rsidRPr="00123906">
              <w:rPr>
                <w:iCs/>
                <w:color w:val="000000"/>
                <w:sz w:val="18"/>
                <w:szCs w:val="18"/>
              </w:rPr>
              <w:t>3</w:t>
            </w:r>
            <w:r w:rsidRPr="00123906">
              <w:rPr>
                <w:iCs/>
                <w:color w:val="000000"/>
                <w:sz w:val="18"/>
                <w:szCs w:val="18"/>
              </w:rPr>
              <w:t xml:space="preserve"> </w:t>
            </w:r>
            <w:r w:rsidRPr="00123906">
              <w:rPr>
                <w:b/>
                <w:bCs/>
                <w:color w:val="000000"/>
                <w:sz w:val="18"/>
                <w:szCs w:val="18"/>
              </w:rPr>
              <w:t>Target</w:t>
            </w:r>
            <w:r w:rsidRPr="00123906">
              <w:rPr>
                <w:iCs/>
                <w:color w:val="000000"/>
                <w:sz w:val="18"/>
                <w:szCs w:val="18"/>
              </w:rPr>
              <w:t xml:space="preserve">: </w:t>
            </w:r>
            <w:r w:rsidR="00587E93" w:rsidRPr="00123906">
              <w:rPr>
                <w:iCs/>
                <w:color w:val="000000"/>
                <w:sz w:val="18"/>
                <w:szCs w:val="18"/>
              </w:rPr>
              <w:t>2</w:t>
            </w:r>
            <w:r w:rsidR="003A33D5" w:rsidRPr="00123906">
              <w:rPr>
                <w:iCs/>
                <w:color w:val="000000"/>
                <w:sz w:val="18"/>
                <w:szCs w:val="18"/>
              </w:rPr>
              <w:t>8</w:t>
            </w:r>
          </w:p>
          <w:p w14:paraId="2E4FD705" w14:textId="77777777" w:rsidR="00587E93" w:rsidRPr="00123906" w:rsidRDefault="007034ED" w:rsidP="00587E93">
            <w:pPr>
              <w:rPr>
                <w:color w:val="000000"/>
                <w:sz w:val="18"/>
                <w:szCs w:val="18"/>
              </w:rPr>
            </w:pPr>
            <w:r w:rsidRPr="00123906">
              <w:rPr>
                <w:b/>
                <w:bCs/>
                <w:color w:val="000000"/>
                <w:sz w:val="18"/>
                <w:szCs w:val="18"/>
              </w:rPr>
              <w:t>Data Source:</w:t>
            </w:r>
            <w:r w:rsidRPr="00123906">
              <w:rPr>
                <w:color w:val="000000"/>
                <w:sz w:val="18"/>
                <w:szCs w:val="18"/>
              </w:rPr>
              <w:t xml:space="preserve"> OPC</w:t>
            </w:r>
          </w:p>
        </w:tc>
        <w:tc>
          <w:tcPr>
            <w:tcW w:w="2343" w:type="dxa"/>
          </w:tcPr>
          <w:p w14:paraId="2E4FD706" w14:textId="0D229C80" w:rsidR="007034ED" w:rsidRPr="00123906" w:rsidRDefault="007034ED" w:rsidP="00587E93">
            <w:pPr>
              <w:rPr>
                <w:sz w:val="18"/>
                <w:szCs w:val="18"/>
              </w:rPr>
            </w:pPr>
            <w:r w:rsidRPr="00123906">
              <w:rPr>
                <w:color w:val="000000"/>
                <w:sz w:val="18"/>
                <w:szCs w:val="18"/>
              </w:rPr>
              <w:t xml:space="preserve">OPC, </w:t>
            </w:r>
            <w:r w:rsidR="0075272F">
              <w:rPr>
                <w:color w:val="000000"/>
                <w:sz w:val="18"/>
                <w:szCs w:val="18"/>
              </w:rPr>
              <w:t>Malawi Electoral Commission</w:t>
            </w:r>
            <w:r w:rsidRPr="00123906">
              <w:rPr>
                <w:color w:val="000000"/>
                <w:sz w:val="18"/>
                <w:szCs w:val="18"/>
              </w:rPr>
              <w:t xml:space="preserve">, Public Affairs Committee; </w:t>
            </w:r>
            <w:r w:rsidR="002E657E">
              <w:rPr>
                <w:color w:val="000000"/>
                <w:sz w:val="18"/>
                <w:szCs w:val="18"/>
              </w:rPr>
              <w:t>l</w:t>
            </w:r>
            <w:r w:rsidR="002E657E" w:rsidRPr="00123906">
              <w:rPr>
                <w:color w:val="000000"/>
                <w:sz w:val="18"/>
                <w:szCs w:val="18"/>
              </w:rPr>
              <w:t xml:space="preserve">ocal </w:t>
            </w:r>
            <w:r w:rsidR="002E657E">
              <w:rPr>
                <w:color w:val="000000"/>
                <w:sz w:val="18"/>
                <w:szCs w:val="18"/>
              </w:rPr>
              <w:t>c</w:t>
            </w:r>
            <w:r w:rsidR="002E657E" w:rsidRPr="00123906">
              <w:rPr>
                <w:color w:val="000000"/>
                <w:sz w:val="18"/>
                <w:szCs w:val="18"/>
              </w:rPr>
              <w:t>ouncils</w:t>
            </w:r>
            <w:r w:rsidRPr="00123906">
              <w:rPr>
                <w:color w:val="000000"/>
                <w:sz w:val="18"/>
                <w:szCs w:val="18"/>
              </w:rPr>
              <w:t>; M</w:t>
            </w:r>
            <w:r w:rsidR="0027203A">
              <w:rPr>
                <w:color w:val="000000"/>
                <w:sz w:val="18"/>
                <w:szCs w:val="18"/>
              </w:rPr>
              <w:t xml:space="preserve">ulti-Party </w:t>
            </w:r>
            <w:r w:rsidRPr="00123906">
              <w:rPr>
                <w:color w:val="000000"/>
                <w:sz w:val="18"/>
                <w:szCs w:val="18"/>
              </w:rPr>
              <w:t>L</w:t>
            </w:r>
            <w:r w:rsidR="0027203A">
              <w:rPr>
                <w:color w:val="000000"/>
                <w:sz w:val="18"/>
                <w:szCs w:val="18"/>
              </w:rPr>
              <w:t xml:space="preserve">iaison </w:t>
            </w:r>
            <w:r w:rsidRPr="00123906">
              <w:rPr>
                <w:color w:val="000000"/>
                <w:sz w:val="18"/>
                <w:szCs w:val="18"/>
              </w:rPr>
              <w:t>C</w:t>
            </w:r>
            <w:r w:rsidR="0027203A">
              <w:rPr>
                <w:color w:val="000000"/>
                <w:sz w:val="18"/>
                <w:szCs w:val="18"/>
              </w:rPr>
              <w:t>ommittee</w:t>
            </w:r>
            <w:r w:rsidRPr="00123906">
              <w:rPr>
                <w:color w:val="000000"/>
                <w:sz w:val="18"/>
                <w:szCs w:val="18"/>
              </w:rPr>
              <w:t xml:space="preserve">s, </w:t>
            </w:r>
            <w:r w:rsidR="002E657E" w:rsidRPr="00123906">
              <w:rPr>
                <w:color w:val="000000"/>
                <w:sz w:val="18"/>
                <w:szCs w:val="18"/>
              </w:rPr>
              <w:t>UN</w:t>
            </w:r>
            <w:r w:rsidR="002E657E">
              <w:rPr>
                <w:color w:val="000000"/>
                <w:sz w:val="18"/>
                <w:szCs w:val="18"/>
              </w:rPr>
              <w:t>-</w:t>
            </w:r>
            <w:r w:rsidRPr="00123906">
              <w:rPr>
                <w:color w:val="000000"/>
                <w:sz w:val="18"/>
                <w:szCs w:val="18"/>
              </w:rPr>
              <w:t xml:space="preserve">Women, </w:t>
            </w:r>
            <w:r w:rsidR="002E657E">
              <w:rPr>
                <w:color w:val="000000"/>
                <w:sz w:val="18"/>
                <w:szCs w:val="18"/>
              </w:rPr>
              <w:t>district peace committees</w:t>
            </w:r>
            <w:r w:rsidRPr="00123906">
              <w:rPr>
                <w:color w:val="000000"/>
                <w:sz w:val="18"/>
                <w:szCs w:val="18"/>
              </w:rPr>
              <w:t>; CSOs</w:t>
            </w:r>
            <w:r w:rsidR="00587E93" w:rsidRPr="00123906">
              <w:rPr>
                <w:color w:val="000000"/>
                <w:sz w:val="18"/>
                <w:szCs w:val="18"/>
              </w:rPr>
              <w:t>.</w:t>
            </w:r>
          </w:p>
        </w:tc>
        <w:tc>
          <w:tcPr>
            <w:tcW w:w="1265" w:type="dxa"/>
            <w:vAlign w:val="center"/>
          </w:tcPr>
          <w:p w14:paraId="2E4FD707" w14:textId="0F6E5170" w:rsidR="007034ED" w:rsidRPr="00123906" w:rsidRDefault="007034ED" w:rsidP="00587E93">
            <w:pPr>
              <w:rPr>
                <w:b/>
                <w:bCs/>
                <w:color w:val="000000"/>
                <w:sz w:val="18"/>
                <w:szCs w:val="18"/>
              </w:rPr>
            </w:pPr>
            <w:r w:rsidRPr="00123906">
              <w:rPr>
                <w:b/>
                <w:bCs/>
                <w:color w:val="000000"/>
                <w:sz w:val="18"/>
                <w:szCs w:val="18"/>
              </w:rPr>
              <w:t xml:space="preserve">Regular: </w:t>
            </w:r>
            <w:r w:rsidR="0067266B">
              <w:rPr>
                <w:b/>
                <w:bCs/>
                <w:color w:val="000000"/>
                <w:sz w:val="18"/>
                <w:szCs w:val="18"/>
              </w:rPr>
              <w:t>$</w:t>
            </w:r>
            <w:r w:rsidRPr="00123906">
              <w:rPr>
                <w:b/>
                <w:bCs/>
                <w:color w:val="000000"/>
                <w:sz w:val="18"/>
                <w:szCs w:val="18"/>
              </w:rPr>
              <w:t>1,000,000</w:t>
            </w:r>
          </w:p>
          <w:p w14:paraId="2E4FD708" w14:textId="77777777" w:rsidR="007034ED" w:rsidRPr="00123906" w:rsidRDefault="007034ED" w:rsidP="00587E93">
            <w:pPr>
              <w:rPr>
                <w:b/>
                <w:bCs/>
                <w:color w:val="000000"/>
                <w:sz w:val="18"/>
                <w:szCs w:val="18"/>
              </w:rPr>
            </w:pPr>
          </w:p>
          <w:p w14:paraId="2E4FD709" w14:textId="1636E1F9" w:rsidR="007034ED" w:rsidRPr="00123906" w:rsidRDefault="007034ED" w:rsidP="00587E93">
            <w:pPr>
              <w:rPr>
                <w:sz w:val="18"/>
                <w:szCs w:val="18"/>
              </w:rPr>
            </w:pPr>
            <w:r w:rsidRPr="00123906">
              <w:rPr>
                <w:b/>
                <w:bCs/>
                <w:color w:val="000000"/>
                <w:sz w:val="18"/>
                <w:szCs w:val="18"/>
              </w:rPr>
              <w:t xml:space="preserve">Other: </w:t>
            </w:r>
            <w:r w:rsidR="0067266B">
              <w:rPr>
                <w:b/>
                <w:color w:val="000000"/>
                <w:sz w:val="18"/>
                <w:szCs w:val="18"/>
              </w:rPr>
              <w:t>$</w:t>
            </w:r>
            <w:r w:rsidRPr="00123906">
              <w:rPr>
                <w:b/>
                <w:color w:val="000000"/>
                <w:sz w:val="18"/>
                <w:szCs w:val="18"/>
              </w:rPr>
              <w:t>2,859,412</w:t>
            </w:r>
          </w:p>
        </w:tc>
      </w:tr>
    </w:tbl>
    <w:p w14:paraId="72AA5678" w14:textId="77777777" w:rsidR="005C6DA8" w:rsidRDefault="005C6DA8" w:rsidP="005C6DA8">
      <w:pPr>
        <w:pStyle w:val="Heading1"/>
        <w:jc w:val="center"/>
        <w:rPr>
          <w:rFonts w:ascii="Times New Roman" w:eastAsia="Calibri" w:hAnsi="Times New Roman"/>
          <w:sz w:val="22"/>
        </w:rPr>
      </w:pPr>
    </w:p>
    <w:p w14:paraId="2E4FD70B" w14:textId="19A1E3BC" w:rsidR="00C0275B" w:rsidRDefault="005C6DA8" w:rsidP="005C6DA8">
      <w:pPr>
        <w:pStyle w:val="Heading1"/>
        <w:jc w:val="center"/>
        <w:rPr>
          <w:rFonts w:ascii="Times New Roman" w:eastAsia="Calibri" w:hAnsi="Times New Roman"/>
          <w:sz w:val="22"/>
        </w:rPr>
      </w:pPr>
      <w:r w:rsidRPr="00AE4C43">
        <w:rPr>
          <w:b w:val="0"/>
          <w:noProof/>
          <w:color w:val="000000"/>
          <w:sz w:val="16"/>
          <w:szCs w:val="16"/>
        </w:rPr>
        <w:drawing>
          <wp:inline distT="0" distB="0" distL="0" distR="0" wp14:anchorId="0964BB01" wp14:editId="7866C0F8">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p w14:paraId="1EED4741" w14:textId="77777777" w:rsidR="005C6DA8" w:rsidRPr="005C6DA8" w:rsidRDefault="005C6DA8" w:rsidP="005C6DA8">
      <w:pPr>
        <w:rPr>
          <w:rFonts w:eastAsia="Calibri"/>
          <w:lang w:val="x-none" w:eastAsia="x-none"/>
        </w:rPr>
      </w:pPr>
    </w:p>
    <w:sectPr w:rsidR="005C6DA8" w:rsidRPr="005C6DA8" w:rsidSect="00073B05">
      <w:headerReference w:type="even" r:id="rId21"/>
      <w:headerReference w:type="default" r:id="rId22"/>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AE84" w14:textId="77777777" w:rsidR="002245E6" w:rsidRDefault="002245E6" w:rsidP="00441061">
      <w:r>
        <w:separator/>
      </w:r>
    </w:p>
  </w:endnote>
  <w:endnote w:type="continuationSeparator" w:id="0">
    <w:p w14:paraId="201660B2" w14:textId="77777777" w:rsidR="002245E6" w:rsidRDefault="002245E6"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D716" w14:textId="77777777" w:rsidR="00C94743" w:rsidRPr="005841A3" w:rsidRDefault="00C94743">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D717" w14:textId="77777777" w:rsidR="00C94743" w:rsidRPr="005841A3" w:rsidRDefault="00C94743">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7</w:t>
    </w:r>
    <w:r w:rsidRPr="005841A3">
      <w:rPr>
        <w:b/>
        <w:sz w:val="17"/>
        <w:szCs w:val="17"/>
      </w:rPr>
      <w:fldChar w:fldCharType="end"/>
    </w:r>
  </w:p>
  <w:p w14:paraId="2E4FD718" w14:textId="77777777" w:rsidR="00C94743" w:rsidRDefault="00C94743"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836156"/>
      <w:docPartObj>
        <w:docPartGallery w:val="Page Numbers (Bottom of Page)"/>
        <w:docPartUnique/>
      </w:docPartObj>
    </w:sdtPr>
    <w:sdtEndPr>
      <w:rPr>
        <w:b/>
        <w:noProof/>
        <w:sz w:val="17"/>
        <w:szCs w:val="17"/>
      </w:rPr>
    </w:sdtEndPr>
    <w:sdtContent>
      <w:p w14:paraId="2E4FD72E" w14:textId="1F1A1557" w:rsidR="00C94743" w:rsidRPr="006359F8" w:rsidRDefault="00C94743" w:rsidP="006359F8">
        <w:pPr>
          <w:pStyle w:val="Footer"/>
          <w:rPr>
            <w:b/>
            <w:sz w:val="17"/>
            <w:szCs w:val="17"/>
          </w:rPr>
        </w:pPr>
        <w:r w:rsidRPr="006359F8">
          <w:rPr>
            <w:b/>
            <w:sz w:val="17"/>
            <w:szCs w:val="17"/>
          </w:rPr>
          <w:fldChar w:fldCharType="begin"/>
        </w:r>
        <w:r w:rsidRPr="006359F8">
          <w:rPr>
            <w:b/>
            <w:sz w:val="17"/>
            <w:szCs w:val="17"/>
          </w:rPr>
          <w:instrText xml:space="preserve"> PAGE   \* MERGEFORMAT </w:instrText>
        </w:r>
        <w:r w:rsidRPr="006359F8">
          <w:rPr>
            <w:b/>
            <w:sz w:val="17"/>
            <w:szCs w:val="17"/>
          </w:rPr>
          <w:fldChar w:fldCharType="separate"/>
        </w:r>
        <w:r w:rsidR="00E540EA">
          <w:rPr>
            <w:b/>
            <w:noProof/>
            <w:sz w:val="17"/>
            <w:szCs w:val="17"/>
          </w:rPr>
          <w:t>12</w:t>
        </w:r>
        <w:r w:rsidRPr="006359F8">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62924"/>
      <w:docPartObj>
        <w:docPartGallery w:val="Page Numbers (Bottom of Page)"/>
        <w:docPartUnique/>
      </w:docPartObj>
    </w:sdtPr>
    <w:sdtEndPr>
      <w:rPr>
        <w:b/>
        <w:noProof/>
        <w:sz w:val="17"/>
        <w:szCs w:val="17"/>
      </w:rPr>
    </w:sdtEndPr>
    <w:sdtContent>
      <w:p w14:paraId="2E4FD730" w14:textId="21475134" w:rsidR="00C94743" w:rsidRPr="002467B7" w:rsidRDefault="00C94743" w:rsidP="002467B7">
        <w:pPr>
          <w:pStyle w:val="Footer"/>
          <w:jc w:val="right"/>
          <w:rPr>
            <w:b/>
            <w:sz w:val="17"/>
            <w:szCs w:val="17"/>
          </w:rPr>
        </w:pPr>
        <w:r w:rsidRPr="002467B7">
          <w:rPr>
            <w:b/>
            <w:sz w:val="17"/>
            <w:szCs w:val="17"/>
          </w:rPr>
          <w:fldChar w:fldCharType="begin"/>
        </w:r>
        <w:r w:rsidRPr="002467B7">
          <w:rPr>
            <w:b/>
            <w:sz w:val="17"/>
            <w:szCs w:val="17"/>
          </w:rPr>
          <w:instrText xml:space="preserve"> PAGE   \* MERGEFORMAT </w:instrText>
        </w:r>
        <w:r w:rsidRPr="002467B7">
          <w:rPr>
            <w:b/>
            <w:sz w:val="17"/>
            <w:szCs w:val="17"/>
          </w:rPr>
          <w:fldChar w:fldCharType="separate"/>
        </w:r>
        <w:r w:rsidR="00E540EA">
          <w:rPr>
            <w:b/>
            <w:noProof/>
            <w:sz w:val="17"/>
            <w:szCs w:val="17"/>
          </w:rPr>
          <w:t>13</w:t>
        </w:r>
        <w:r w:rsidRPr="002467B7">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C0B1" w14:textId="77777777" w:rsidR="002245E6" w:rsidRDefault="002245E6" w:rsidP="00441061">
      <w:r>
        <w:separator/>
      </w:r>
    </w:p>
  </w:footnote>
  <w:footnote w:type="continuationSeparator" w:id="0">
    <w:p w14:paraId="4E8E5F8B" w14:textId="77777777" w:rsidR="002245E6" w:rsidRDefault="002245E6" w:rsidP="00441061">
      <w:r>
        <w:continuationSeparator/>
      </w:r>
    </w:p>
  </w:footnote>
  <w:footnote w:id="1">
    <w:p w14:paraId="2E4FD738" w14:textId="77777777"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Poverty Assessment, World Bank, 2017</w:t>
      </w:r>
    </w:p>
  </w:footnote>
  <w:footnote w:id="2">
    <w:p w14:paraId="2E4FD739" w14:textId="77777777"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Malawi Country Profile; </w:t>
      </w:r>
      <w:hyperlink r:id="rId1" w:anchor="full-report" w:history="1">
        <w:r w:rsidRPr="00887E30">
          <w:rPr>
            <w:rFonts w:ascii="Times New Roman" w:hAnsi="Times New Roman"/>
            <w:sz w:val="16"/>
            <w:szCs w:val="16"/>
          </w:rPr>
          <w:t>http://www.sdgindex.org/</w:t>
        </w:r>
      </w:hyperlink>
      <w:r w:rsidRPr="00887E30">
        <w:rPr>
          <w:rFonts w:ascii="Times New Roman" w:hAnsi="Times New Roman"/>
          <w:sz w:val="16"/>
          <w:szCs w:val="16"/>
        </w:rPr>
        <w:t>; accessed on 12/12/2017</w:t>
      </w:r>
    </w:p>
  </w:footnote>
  <w:footnote w:id="3">
    <w:p w14:paraId="2E4FD73A" w14:textId="2FAC9343" w:rsidR="00C94743" w:rsidRPr="00887E30" w:rsidRDefault="00C94743" w:rsidP="007D52E4">
      <w:pPr>
        <w:pStyle w:val="FootnoteText"/>
        <w:jc w:val="both"/>
        <w:rPr>
          <w:rFonts w:ascii="Times New Roman" w:hAnsi="Times New Roman"/>
          <w:sz w:val="16"/>
          <w:szCs w:val="16"/>
          <w:lang w:val="en-CA"/>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UNDP</w:t>
      </w:r>
      <w:r>
        <w:rPr>
          <w:rFonts w:ascii="Times New Roman" w:hAnsi="Times New Roman"/>
          <w:sz w:val="16"/>
          <w:szCs w:val="16"/>
        </w:rPr>
        <w:t>,</w:t>
      </w:r>
      <w:r w:rsidRPr="00887E30">
        <w:rPr>
          <w:rFonts w:ascii="Times New Roman" w:hAnsi="Times New Roman"/>
          <w:sz w:val="16"/>
          <w:szCs w:val="16"/>
        </w:rPr>
        <w:t xml:space="preserve"> H</w:t>
      </w:r>
      <w:r>
        <w:rPr>
          <w:rFonts w:ascii="Times New Roman" w:hAnsi="Times New Roman"/>
          <w:sz w:val="16"/>
          <w:szCs w:val="16"/>
        </w:rPr>
        <w:t xml:space="preserve">uman Development Report </w:t>
      </w:r>
      <w:r w:rsidRPr="00887E30">
        <w:rPr>
          <w:rFonts w:ascii="Times New Roman" w:hAnsi="Times New Roman"/>
          <w:sz w:val="16"/>
          <w:szCs w:val="16"/>
        </w:rPr>
        <w:t>2016</w:t>
      </w:r>
      <w:r>
        <w:rPr>
          <w:rFonts w:ascii="Times New Roman" w:hAnsi="Times New Roman"/>
          <w:sz w:val="16"/>
          <w:szCs w:val="16"/>
        </w:rPr>
        <w:t>.</w:t>
      </w:r>
    </w:p>
  </w:footnote>
  <w:footnote w:id="4">
    <w:p w14:paraId="2E4FD73B" w14:textId="0A9A2F3C"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w:t>
      </w:r>
      <w:r>
        <w:rPr>
          <w:rFonts w:ascii="Times New Roman" w:hAnsi="Times New Roman"/>
          <w:sz w:val="16"/>
          <w:szCs w:val="16"/>
        </w:rPr>
        <w:t>Ibid.</w:t>
      </w:r>
    </w:p>
  </w:footnote>
  <w:footnote w:id="5">
    <w:p w14:paraId="2E4FD73C" w14:textId="5812C59F" w:rsidR="00C94743" w:rsidRPr="00887E30" w:rsidRDefault="00C94743" w:rsidP="007D52E4">
      <w:pPr>
        <w:pStyle w:val="FootnoteText"/>
        <w:jc w:val="both"/>
        <w:rPr>
          <w:rFonts w:ascii="Times New Roman" w:hAnsi="Times New Roman"/>
          <w:sz w:val="16"/>
          <w:szCs w:val="16"/>
        </w:rPr>
      </w:pPr>
      <w:r w:rsidRPr="00887E30">
        <w:rPr>
          <w:rStyle w:val="FootnoteReference"/>
          <w:sz w:val="16"/>
          <w:szCs w:val="16"/>
        </w:rPr>
        <w:footnoteRef/>
      </w:r>
      <w:r w:rsidRPr="00887E30">
        <w:rPr>
          <w:rFonts w:ascii="Times New Roman" w:hAnsi="Times New Roman"/>
          <w:sz w:val="16"/>
          <w:szCs w:val="16"/>
        </w:rPr>
        <w:t xml:space="preserve"> </w:t>
      </w:r>
      <w:r>
        <w:rPr>
          <w:rFonts w:ascii="Times New Roman" w:hAnsi="Times New Roman"/>
          <w:sz w:val="16"/>
          <w:szCs w:val="16"/>
        </w:rPr>
        <w:t xml:space="preserve">UNDP, </w:t>
      </w:r>
      <w:r w:rsidRPr="00887E30">
        <w:rPr>
          <w:rFonts w:ascii="Times New Roman" w:hAnsi="Times New Roman"/>
          <w:sz w:val="16"/>
          <w:szCs w:val="16"/>
        </w:rPr>
        <w:t>Africa Human Development Report 2016</w:t>
      </w:r>
    </w:p>
  </w:footnote>
  <w:footnote w:id="6">
    <w:p w14:paraId="2E4FD73D" w14:textId="52659C8D"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w:t>
      </w:r>
      <w:r>
        <w:rPr>
          <w:rFonts w:ascii="Times New Roman" w:hAnsi="Times New Roman"/>
          <w:sz w:val="16"/>
          <w:szCs w:val="16"/>
        </w:rPr>
        <w:t xml:space="preserve">UNDP, </w:t>
      </w:r>
      <w:r w:rsidRPr="00887E30">
        <w:rPr>
          <w:rFonts w:ascii="Times New Roman" w:hAnsi="Times New Roman"/>
          <w:sz w:val="16"/>
          <w:szCs w:val="16"/>
        </w:rPr>
        <w:t>National Human Development Report, 2015, UNDP</w:t>
      </w:r>
    </w:p>
  </w:footnote>
  <w:footnote w:id="7">
    <w:p w14:paraId="2E4FD73E" w14:textId="633440C6"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w:t>
      </w:r>
      <w:r>
        <w:rPr>
          <w:rFonts w:ascii="Times New Roman" w:hAnsi="Times New Roman"/>
          <w:sz w:val="16"/>
          <w:szCs w:val="16"/>
        </w:rPr>
        <w:t>World Bank, ‘</w:t>
      </w:r>
      <w:r w:rsidRPr="00887E30">
        <w:rPr>
          <w:rFonts w:ascii="Times New Roman" w:hAnsi="Times New Roman"/>
          <w:sz w:val="16"/>
          <w:szCs w:val="16"/>
        </w:rPr>
        <w:t>From Falling Behind to Catching Up, Country Economic Memorandum for Malawi</w:t>
      </w:r>
      <w:r>
        <w:rPr>
          <w:rFonts w:ascii="Times New Roman" w:hAnsi="Times New Roman"/>
          <w:sz w:val="16"/>
          <w:szCs w:val="16"/>
        </w:rPr>
        <w:t>’</w:t>
      </w:r>
      <w:r w:rsidRPr="00887E30">
        <w:rPr>
          <w:rFonts w:ascii="Times New Roman" w:hAnsi="Times New Roman"/>
          <w:sz w:val="16"/>
          <w:szCs w:val="16"/>
        </w:rPr>
        <w:t>, 2017.</w:t>
      </w:r>
    </w:p>
  </w:footnote>
  <w:footnote w:id="8">
    <w:p w14:paraId="2E4FD73F" w14:textId="77777777"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The World Bank projection as reflected in the 2017 Malawi Economic Monitor. </w:t>
      </w:r>
    </w:p>
  </w:footnote>
  <w:footnote w:id="9">
    <w:p w14:paraId="2E4FD740" w14:textId="6081D4BF"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Annual Economic Review, 2016, Government of Malawi</w:t>
      </w:r>
      <w:r>
        <w:rPr>
          <w:rFonts w:ascii="Times New Roman" w:hAnsi="Times New Roman"/>
          <w:sz w:val="16"/>
          <w:szCs w:val="16"/>
        </w:rPr>
        <w:t>.</w:t>
      </w:r>
    </w:p>
  </w:footnote>
  <w:footnote w:id="10">
    <w:p w14:paraId="2E4FD741" w14:textId="77777777"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w:t>
      </w:r>
      <w:hyperlink r:id="rId2" w:history="1">
        <w:r w:rsidRPr="00887E30">
          <w:rPr>
            <w:rStyle w:val="Hyperlink"/>
            <w:rFonts w:ascii="Times New Roman" w:hAnsi="Times New Roman"/>
            <w:color w:val="auto"/>
            <w:sz w:val="16"/>
            <w:szCs w:val="16"/>
          </w:rPr>
          <w:t>http://www.theglobaleconomy.com/Malawi</w:t>
        </w:r>
      </w:hyperlink>
      <w:r w:rsidRPr="00887E30">
        <w:rPr>
          <w:rFonts w:ascii="Times New Roman" w:hAnsi="Times New Roman"/>
          <w:sz w:val="16"/>
          <w:szCs w:val="16"/>
        </w:rPr>
        <w:t>; data source World Bank. Accessed on 12/12/2017</w:t>
      </w:r>
    </w:p>
  </w:footnote>
  <w:footnote w:id="11">
    <w:p w14:paraId="2E4FD742" w14:textId="77777777"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2016. http://www.theglobaleconomy.com/Malawi/Labor_force_participation/</w:t>
      </w:r>
    </w:p>
  </w:footnote>
  <w:footnote w:id="12">
    <w:p w14:paraId="2E4FD743" w14:textId="2D596CBF"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Style w:val="FootnoteReference"/>
          <w:rFonts w:ascii="Times New Roman" w:hAnsi="Times New Roman"/>
          <w:sz w:val="16"/>
          <w:szCs w:val="16"/>
        </w:rPr>
        <w:t xml:space="preserve"> </w:t>
      </w:r>
      <w:r w:rsidRPr="00887E30">
        <w:rPr>
          <w:rFonts w:ascii="Times New Roman" w:hAnsi="Times New Roman"/>
          <w:sz w:val="16"/>
          <w:szCs w:val="16"/>
        </w:rPr>
        <w:t>Danish Trade Union Council for International Development Cooperation, Malawi – Labour Market Profile 2014</w:t>
      </w:r>
      <w:r>
        <w:rPr>
          <w:rFonts w:ascii="Times New Roman" w:hAnsi="Times New Roman"/>
          <w:sz w:val="16"/>
          <w:szCs w:val="16"/>
        </w:rPr>
        <w:t>.</w:t>
      </w:r>
      <w:r w:rsidRPr="00887E30">
        <w:rPr>
          <w:rFonts w:ascii="Times New Roman" w:hAnsi="Times New Roman"/>
          <w:sz w:val="16"/>
          <w:szCs w:val="16"/>
        </w:rPr>
        <w:t xml:space="preserve">    </w:t>
      </w:r>
    </w:p>
    <w:p w14:paraId="2E4FD744" w14:textId="77777777" w:rsidR="00C94743" w:rsidRPr="00887E30" w:rsidRDefault="00C94743" w:rsidP="007D52E4">
      <w:pPr>
        <w:pStyle w:val="FootnoteText"/>
        <w:jc w:val="both"/>
        <w:rPr>
          <w:rFonts w:ascii="Times New Roman" w:hAnsi="Times New Roman"/>
          <w:sz w:val="16"/>
          <w:szCs w:val="16"/>
        </w:rPr>
      </w:pPr>
      <w:r w:rsidRPr="00887E30">
        <w:rPr>
          <w:rFonts w:ascii="Times New Roman" w:hAnsi="Times New Roman"/>
          <w:sz w:val="16"/>
          <w:szCs w:val="16"/>
        </w:rPr>
        <w:t xml:space="preserve">    </w:t>
      </w:r>
      <w:hyperlink r:id="rId3" w:history="1">
        <w:r w:rsidRPr="00887E30">
          <w:rPr>
            <w:rStyle w:val="Hyperlink"/>
            <w:rFonts w:ascii="Times New Roman" w:hAnsi="Times New Roman"/>
            <w:color w:val="auto"/>
            <w:sz w:val="16"/>
            <w:szCs w:val="16"/>
          </w:rPr>
          <w:t>www.ulandssektretariatet.dk/site/default/files/uploads/public/PDF/LMP/Imp-malawi-2014-final-version-pdf</w:t>
        </w:r>
      </w:hyperlink>
      <w:r w:rsidRPr="00887E30">
        <w:rPr>
          <w:rFonts w:ascii="Times New Roman" w:hAnsi="Times New Roman"/>
          <w:sz w:val="16"/>
          <w:szCs w:val="16"/>
        </w:rPr>
        <w:t>.</w:t>
      </w:r>
    </w:p>
  </w:footnote>
  <w:footnote w:id="13">
    <w:p w14:paraId="2E4FD745" w14:textId="66A5C7DD" w:rsidR="00C94743" w:rsidRPr="00887E30" w:rsidRDefault="00C94743" w:rsidP="007D52E4">
      <w:pPr>
        <w:contextualSpacing/>
        <w:jc w:val="both"/>
        <w:rPr>
          <w:sz w:val="16"/>
          <w:szCs w:val="16"/>
        </w:rPr>
      </w:pPr>
      <w:r w:rsidRPr="00887E30">
        <w:rPr>
          <w:rStyle w:val="FootnoteReference"/>
          <w:sz w:val="16"/>
          <w:szCs w:val="16"/>
        </w:rPr>
        <w:footnoteRef/>
      </w:r>
      <w:r w:rsidRPr="00887E30">
        <w:rPr>
          <w:sz w:val="16"/>
          <w:szCs w:val="16"/>
        </w:rPr>
        <w:t xml:space="preserve"> Enterprise Survey, World Bank 2010 and 2014</w:t>
      </w:r>
    </w:p>
  </w:footnote>
  <w:footnote w:id="14">
    <w:p w14:paraId="2E4FD746" w14:textId="6CF4A153" w:rsidR="00C94743" w:rsidRPr="00887E30" w:rsidRDefault="00C94743" w:rsidP="007D52E4">
      <w:pPr>
        <w:pStyle w:val="FootnoteText"/>
        <w:jc w:val="both"/>
        <w:rPr>
          <w:rFonts w:ascii="Times New Roman" w:hAnsi="Times New Roman"/>
          <w:sz w:val="16"/>
          <w:szCs w:val="16"/>
          <w:lang w:val="en-CA"/>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UNDP, E</w:t>
      </w:r>
      <w:r>
        <w:rPr>
          <w:rFonts w:ascii="Times New Roman" w:hAnsi="Times New Roman"/>
          <w:sz w:val="16"/>
          <w:szCs w:val="16"/>
        </w:rPr>
        <w:t xml:space="preserve">uropean </w:t>
      </w:r>
      <w:r w:rsidRPr="00887E30">
        <w:rPr>
          <w:rFonts w:ascii="Times New Roman" w:hAnsi="Times New Roman"/>
          <w:sz w:val="16"/>
          <w:szCs w:val="16"/>
        </w:rPr>
        <w:t>U</w:t>
      </w:r>
      <w:r>
        <w:rPr>
          <w:rFonts w:ascii="Times New Roman" w:hAnsi="Times New Roman"/>
          <w:sz w:val="16"/>
          <w:szCs w:val="16"/>
        </w:rPr>
        <w:t>nion</w:t>
      </w:r>
      <w:r w:rsidRPr="00887E30">
        <w:rPr>
          <w:rFonts w:ascii="Times New Roman" w:hAnsi="Times New Roman"/>
          <w:sz w:val="16"/>
          <w:szCs w:val="16"/>
        </w:rPr>
        <w:t xml:space="preserve"> and World Bank, </w:t>
      </w:r>
      <w:r>
        <w:rPr>
          <w:rFonts w:ascii="Times New Roman" w:hAnsi="Times New Roman"/>
          <w:sz w:val="16"/>
          <w:szCs w:val="16"/>
        </w:rPr>
        <w:t>‘</w:t>
      </w:r>
      <w:r w:rsidRPr="00887E30">
        <w:rPr>
          <w:rFonts w:ascii="Times New Roman" w:hAnsi="Times New Roman"/>
          <w:sz w:val="16"/>
          <w:szCs w:val="16"/>
        </w:rPr>
        <w:t>Malawi 2015 Floods: Post-Disaster Needs Assessment</w:t>
      </w:r>
      <w:r>
        <w:rPr>
          <w:rFonts w:ascii="Times New Roman" w:hAnsi="Times New Roman"/>
          <w:sz w:val="16"/>
          <w:szCs w:val="16"/>
        </w:rPr>
        <w:t>’ and</w:t>
      </w:r>
      <w:r w:rsidRPr="00887E30">
        <w:rPr>
          <w:rFonts w:ascii="Times New Roman" w:hAnsi="Times New Roman"/>
          <w:sz w:val="16"/>
          <w:szCs w:val="16"/>
        </w:rPr>
        <w:t xml:space="preserve"> </w:t>
      </w:r>
      <w:r>
        <w:rPr>
          <w:rFonts w:ascii="Times New Roman" w:hAnsi="Times New Roman"/>
          <w:sz w:val="16"/>
          <w:szCs w:val="16"/>
        </w:rPr>
        <w:t>‘</w:t>
      </w:r>
      <w:r w:rsidRPr="00887E30">
        <w:rPr>
          <w:rFonts w:ascii="Times New Roman" w:hAnsi="Times New Roman"/>
          <w:sz w:val="16"/>
          <w:szCs w:val="16"/>
        </w:rPr>
        <w:t>Malawi Drought: Post-Disaster Needs Assessment, 2016</w:t>
      </w:r>
      <w:r>
        <w:rPr>
          <w:rFonts w:ascii="Times New Roman" w:hAnsi="Times New Roman"/>
          <w:sz w:val="16"/>
          <w:szCs w:val="16"/>
        </w:rPr>
        <w:t>’</w:t>
      </w:r>
      <w:r w:rsidRPr="00887E30">
        <w:rPr>
          <w:rFonts w:ascii="Times New Roman" w:hAnsi="Times New Roman"/>
          <w:sz w:val="16"/>
          <w:szCs w:val="16"/>
        </w:rPr>
        <w:t>.</w:t>
      </w:r>
    </w:p>
  </w:footnote>
  <w:footnote w:id="15">
    <w:p w14:paraId="2E4FD747" w14:textId="7C66B627" w:rsidR="00C94743" w:rsidRPr="00887E30" w:rsidRDefault="00C94743" w:rsidP="007D52E4">
      <w:pPr>
        <w:pStyle w:val="FootnoteText"/>
        <w:jc w:val="both"/>
        <w:rPr>
          <w:rFonts w:ascii="Times New Roman" w:hAnsi="Times New Roman"/>
          <w:sz w:val="16"/>
          <w:szCs w:val="16"/>
          <w:lang w:val="en-CA"/>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Stockholm Environment Institute, </w:t>
      </w:r>
      <w:r>
        <w:rPr>
          <w:rFonts w:ascii="Times New Roman" w:hAnsi="Times New Roman"/>
          <w:sz w:val="16"/>
          <w:szCs w:val="16"/>
        </w:rPr>
        <w:t>‘</w:t>
      </w:r>
      <w:r w:rsidRPr="00887E30">
        <w:rPr>
          <w:rFonts w:ascii="Times New Roman" w:hAnsi="Times New Roman"/>
          <w:sz w:val="16"/>
          <w:szCs w:val="16"/>
        </w:rPr>
        <w:t>Energy Biomass Access and Biomass Resource Transitions in Malawi</w:t>
      </w:r>
      <w:r>
        <w:rPr>
          <w:rFonts w:ascii="Times New Roman" w:hAnsi="Times New Roman"/>
          <w:sz w:val="16"/>
          <w:szCs w:val="16"/>
        </w:rPr>
        <w:t>’</w:t>
      </w:r>
      <w:r w:rsidRPr="00887E30">
        <w:rPr>
          <w:rFonts w:ascii="Times New Roman" w:hAnsi="Times New Roman"/>
          <w:sz w:val="16"/>
          <w:szCs w:val="16"/>
        </w:rPr>
        <w:t>, 2013.</w:t>
      </w:r>
    </w:p>
  </w:footnote>
  <w:footnote w:id="16">
    <w:p w14:paraId="2E4FD748" w14:textId="063A80F4" w:rsidR="00C94743" w:rsidRPr="00887E30" w:rsidRDefault="00C94743" w:rsidP="007D52E4">
      <w:pPr>
        <w:pStyle w:val="FootnoteText"/>
        <w:jc w:val="both"/>
        <w:rPr>
          <w:rFonts w:ascii="Times New Roman" w:hAnsi="Times New Roman"/>
          <w:sz w:val="16"/>
          <w:szCs w:val="16"/>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University of Leeds, London School of Economics, Grantham Research Institute on Climate Change and the Environment, </w:t>
      </w:r>
      <w:r>
        <w:rPr>
          <w:rFonts w:ascii="Times New Roman" w:hAnsi="Times New Roman"/>
          <w:sz w:val="16"/>
          <w:szCs w:val="16"/>
        </w:rPr>
        <w:t>‘</w:t>
      </w:r>
      <w:r w:rsidRPr="00887E30">
        <w:rPr>
          <w:rFonts w:ascii="Times New Roman" w:hAnsi="Times New Roman"/>
          <w:sz w:val="16"/>
          <w:szCs w:val="16"/>
        </w:rPr>
        <w:t>Gender, Agriculture and Climate Change in Malawi</w:t>
      </w:r>
      <w:r>
        <w:rPr>
          <w:rFonts w:ascii="Times New Roman" w:hAnsi="Times New Roman"/>
          <w:sz w:val="16"/>
          <w:szCs w:val="16"/>
        </w:rPr>
        <w:t>’</w:t>
      </w:r>
      <w:r w:rsidRPr="00887E30">
        <w:rPr>
          <w:rFonts w:ascii="Times New Roman" w:hAnsi="Times New Roman"/>
          <w:sz w:val="16"/>
          <w:szCs w:val="16"/>
        </w:rPr>
        <w:t>, 2016.</w:t>
      </w:r>
    </w:p>
  </w:footnote>
  <w:footnote w:id="17">
    <w:p w14:paraId="2E4FD749" w14:textId="77777777" w:rsidR="00C94743" w:rsidRPr="008B1EA6" w:rsidRDefault="00C94743" w:rsidP="007D52E4">
      <w:pPr>
        <w:pStyle w:val="FootnoteText"/>
        <w:jc w:val="both"/>
        <w:rPr>
          <w:rFonts w:ascii="Times New Roman" w:hAnsi="Times New Roman"/>
        </w:rPr>
      </w:pPr>
      <w:r w:rsidRPr="00887E30">
        <w:rPr>
          <w:rStyle w:val="FootnoteReference"/>
          <w:rFonts w:ascii="Times New Roman" w:hAnsi="Times New Roman"/>
          <w:sz w:val="16"/>
          <w:szCs w:val="16"/>
        </w:rPr>
        <w:footnoteRef/>
      </w:r>
      <w:r w:rsidRPr="00887E30">
        <w:rPr>
          <w:rFonts w:ascii="Times New Roman" w:hAnsi="Times New Roman"/>
          <w:sz w:val="16"/>
          <w:szCs w:val="16"/>
        </w:rPr>
        <w:t xml:space="preserve"> Sustainable Energy for All Country Report: Malawi, 2016.</w:t>
      </w:r>
    </w:p>
  </w:footnote>
  <w:footnote w:id="18">
    <w:p w14:paraId="2E4FD74A" w14:textId="41DDA9A7" w:rsidR="00C94743" w:rsidRPr="00385AEB" w:rsidRDefault="00C94743" w:rsidP="00FC7CEA">
      <w:pPr>
        <w:pStyle w:val="FootnoteText"/>
        <w:rPr>
          <w:rFonts w:ascii="Times New Roman" w:hAnsi="Times New Roman"/>
          <w:sz w:val="16"/>
          <w:szCs w:val="16"/>
        </w:rPr>
      </w:pPr>
      <w:r w:rsidRPr="00385AEB">
        <w:rPr>
          <w:rStyle w:val="FootnoteReference"/>
          <w:rFonts w:ascii="Times New Roman" w:hAnsi="Times New Roman"/>
          <w:sz w:val="16"/>
          <w:szCs w:val="16"/>
        </w:rPr>
        <w:footnoteRef/>
      </w:r>
      <w:r w:rsidRPr="00385AEB">
        <w:rPr>
          <w:rFonts w:ascii="Times New Roman" w:hAnsi="Times New Roman"/>
          <w:sz w:val="16"/>
          <w:szCs w:val="16"/>
        </w:rPr>
        <w:t xml:space="preserve"> </w:t>
      </w:r>
      <w:r>
        <w:rPr>
          <w:rFonts w:ascii="Times New Roman" w:hAnsi="Times New Roman"/>
          <w:sz w:val="16"/>
          <w:szCs w:val="16"/>
        </w:rPr>
        <w:t>Amnesty International,</w:t>
      </w:r>
      <w:r w:rsidRPr="00385AEB">
        <w:rPr>
          <w:rFonts w:ascii="Times New Roman" w:hAnsi="Times New Roman"/>
          <w:sz w:val="16"/>
          <w:szCs w:val="16"/>
        </w:rPr>
        <w:t> </w:t>
      </w:r>
      <w:r>
        <w:rPr>
          <w:rFonts w:ascii="Times New Roman" w:hAnsi="Times New Roman"/>
          <w:sz w:val="16"/>
          <w:szCs w:val="16"/>
        </w:rPr>
        <w:t>‘</w:t>
      </w:r>
      <w:r w:rsidRPr="00385AEB">
        <w:rPr>
          <w:rFonts w:ascii="Times New Roman" w:hAnsi="Times New Roman"/>
          <w:sz w:val="16"/>
          <w:szCs w:val="16"/>
        </w:rPr>
        <w:t>We are not animals to be hunted or sold</w:t>
      </w:r>
      <w:r>
        <w:rPr>
          <w:rFonts w:ascii="Times New Roman" w:hAnsi="Times New Roman"/>
          <w:sz w:val="16"/>
          <w:szCs w:val="16"/>
        </w:rPr>
        <w:t>:</w:t>
      </w:r>
      <w:r w:rsidRPr="00385AEB">
        <w:rPr>
          <w:rFonts w:ascii="Times New Roman" w:hAnsi="Times New Roman"/>
          <w:sz w:val="16"/>
          <w:szCs w:val="16"/>
        </w:rPr>
        <w:t> violence and discrimination against people with albinism in Malawi</w:t>
      </w:r>
      <w:r>
        <w:rPr>
          <w:rFonts w:ascii="Times New Roman" w:hAnsi="Times New Roman"/>
          <w:sz w:val="16"/>
          <w:szCs w:val="16"/>
        </w:rPr>
        <w:t>’</w:t>
      </w:r>
      <w:r w:rsidRPr="00385AEB">
        <w:rPr>
          <w:rFonts w:ascii="Times New Roman" w:hAnsi="Times New Roman"/>
          <w:sz w:val="16"/>
          <w:szCs w:val="16"/>
        </w:rPr>
        <w:t>(</w:t>
      </w:r>
      <w:hyperlink r:id="rId4" w:history="1">
        <w:r w:rsidRPr="00385AEB">
          <w:rPr>
            <w:rFonts w:ascii="Times New Roman" w:hAnsi="Times New Roman"/>
            <w:sz w:val="16"/>
            <w:szCs w:val="16"/>
          </w:rPr>
          <w:t>AFR 36/4126/2016</w:t>
        </w:r>
      </w:hyperlink>
      <w:r w:rsidRPr="00385AEB">
        <w:rPr>
          <w:rFonts w:ascii="Times New Roman" w:hAnsi="Times New Roman"/>
          <w:sz w:val="16"/>
          <w:szCs w:val="16"/>
        </w:rPr>
        <w:t xml:space="preserve">), </w:t>
      </w:r>
      <w:r>
        <w:rPr>
          <w:rFonts w:ascii="Times New Roman" w:hAnsi="Times New Roman"/>
          <w:sz w:val="16"/>
          <w:szCs w:val="16"/>
        </w:rPr>
        <w:t xml:space="preserve">London, 2016; Joint Malawi </w:t>
      </w:r>
      <w:r w:rsidRPr="00385AEB">
        <w:rPr>
          <w:rFonts w:ascii="Times New Roman" w:hAnsi="Times New Roman"/>
          <w:sz w:val="16"/>
          <w:szCs w:val="16"/>
        </w:rPr>
        <w:t xml:space="preserve">Civil Society Organizations Shadow Report </w:t>
      </w:r>
      <w:r>
        <w:rPr>
          <w:rFonts w:ascii="Times New Roman" w:hAnsi="Times New Roman"/>
          <w:sz w:val="16"/>
          <w:szCs w:val="16"/>
        </w:rPr>
        <w:t>to the Committee</w:t>
      </w:r>
      <w:r w:rsidRPr="00385AEB">
        <w:rPr>
          <w:rFonts w:ascii="Times New Roman" w:hAnsi="Times New Roman"/>
          <w:sz w:val="16"/>
          <w:szCs w:val="16"/>
        </w:rPr>
        <w:t xml:space="preserve"> on the Elimination of Discrimination Against Women,</w:t>
      </w:r>
      <w:r>
        <w:rPr>
          <w:rFonts w:ascii="Times New Roman" w:hAnsi="Times New Roman"/>
          <w:sz w:val="16"/>
          <w:szCs w:val="16"/>
        </w:rPr>
        <w:t xml:space="preserve"> 2015; </w:t>
      </w:r>
      <w:r w:rsidRPr="00385AEB">
        <w:rPr>
          <w:rFonts w:ascii="Times New Roman" w:hAnsi="Times New Roman"/>
          <w:sz w:val="16"/>
          <w:szCs w:val="16"/>
        </w:rPr>
        <w:t>Mujuzi, Jamil. (2011), Discrimination against homosexuals in Malawi: Lessons from the recent developments. International Journal of Discrimination and the Law. 11.</w:t>
      </w:r>
    </w:p>
  </w:footnote>
  <w:footnote w:id="19">
    <w:p w14:paraId="2E4FD74B" w14:textId="6E60C648" w:rsidR="00C94743" w:rsidRPr="00385AEB" w:rsidRDefault="00C94743" w:rsidP="00FC7CEA">
      <w:pPr>
        <w:pStyle w:val="FootnoteText"/>
        <w:rPr>
          <w:rFonts w:ascii="Times New Roman" w:hAnsi="Times New Roman"/>
          <w:sz w:val="16"/>
          <w:szCs w:val="16"/>
        </w:rPr>
      </w:pPr>
      <w:r w:rsidRPr="00385AEB">
        <w:rPr>
          <w:rStyle w:val="FootnoteReference"/>
          <w:rFonts w:ascii="Times New Roman" w:hAnsi="Times New Roman"/>
          <w:sz w:val="16"/>
          <w:szCs w:val="16"/>
        </w:rPr>
        <w:footnoteRef/>
      </w:r>
      <w:r w:rsidRPr="00385AEB">
        <w:rPr>
          <w:rFonts w:ascii="Times New Roman" w:hAnsi="Times New Roman"/>
          <w:sz w:val="16"/>
          <w:szCs w:val="16"/>
        </w:rPr>
        <w:t xml:space="preserve"> </w:t>
      </w:r>
      <w:r>
        <w:rPr>
          <w:rFonts w:ascii="Times New Roman" w:hAnsi="Times New Roman"/>
          <w:sz w:val="16"/>
          <w:szCs w:val="16"/>
        </w:rPr>
        <w:t xml:space="preserve">UNDP, </w:t>
      </w:r>
      <w:r w:rsidRPr="00385AEB">
        <w:rPr>
          <w:rFonts w:ascii="Times New Roman" w:hAnsi="Times New Roman"/>
          <w:sz w:val="16"/>
          <w:szCs w:val="16"/>
        </w:rPr>
        <w:t>National Human Development Report</w:t>
      </w:r>
      <w:r>
        <w:rPr>
          <w:rFonts w:ascii="Times New Roman" w:hAnsi="Times New Roman"/>
          <w:sz w:val="16"/>
          <w:szCs w:val="16"/>
        </w:rPr>
        <w:t>:</w:t>
      </w:r>
      <w:r w:rsidRPr="00385AEB">
        <w:rPr>
          <w:rFonts w:ascii="Times New Roman" w:hAnsi="Times New Roman"/>
          <w:sz w:val="16"/>
          <w:szCs w:val="16"/>
        </w:rPr>
        <w:t xml:space="preserve"> Inclusive Growth in Malawi 2015</w:t>
      </w:r>
      <w:r>
        <w:rPr>
          <w:rFonts w:ascii="Times New Roman" w:hAnsi="Times New Roman"/>
          <w:sz w:val="16"/>
          <w:szCs w:val="16"/>
        </w:rPr>
        <w:t>.</w:t>
      </w:r>
    </w:p>
  </w:footnote>
  <w:footnote w:id="20">
    <w:p w14:paraId="2E4FD74C" w14:textId="1C62E903" w:rsidR="00C94743" w:rsidRPr="00385AEB" w:rsidRDefault="00C94743" w:rsidP="00FC7CEA">
      <w:pPr>
        <w:pStyle w:val="FootnoteText"/>
        <w:rPr>
          <w:rFonts w:ascii="Times New Roman" w:hAnsi="Times New Roman"/>
          <w:sz w:val="16"/>
          <w:szCs w:val="16"/>
        </w:rPr>
      </w:pPr>
      <w:r w:rsidRPr="00385AEB">
        <w:rPr>
          <w:rStyle w:val="FootnoteReference"/>
          <w:rFonts w:ascii="Times New Roman" w:hAnsi="Times New Roman"/>
          <w:sz w:val="16"/>
          <w:szCs w:val="16"/>
        </w:rPr>
        <w:footnoteRef/>
      </w:r>
      <w:r w:rsidRPr="00385AEB">
        <w:rPr>
          <w:rFonts w:ascii="Times New Roman" w:hAnsi="Times New Roman"/>
          <w:sz w:val="16"/>
          <w:szCs w:val="16"/>
        </w:rPr>
        <w:t xml:space="preserve"> </w:t>
      </w:r>
      <w:hyperlink r:id="rId5" w:history="1">
        <w:r w:rsidRPr="00385AEB">
          <w:rPr>
            <w:rStyle w:val="Hyperlink"/>
            <w:rFonts w:ascii="Times New Roman" w:hAnsi="Times New Roman"/>
            <w:color w:val="auto"/>
            <w:sz w:val="16"/>
            <w:szCs w:val="16"/>
          </w:rPr>
          <w:t>https://www.transparency.org/country/MWI</w:t>
        </w:r>
      </w:hyperlink>
      <w:r w:rsidRPr="00385AEB">
        <w:rPr>
          <w:rFonts w:ascii="Times New Roman" w:hAnsi="Times New Roman"/>
          <w:sz w:val="16"/>
          <w:szCs w:val="16"/>
        </w:rPr>
        <w:t>; accessed on 3 Nov</w:t>
      </w:r>
      <w:r>
        <w:rPr>
          <w:rFonts w:ascii="Times New Roman" w:hAnsi="Times New Roman"/>
          <w:sz w:val="16"/>
          <w:szCs w:val="16"/>
        </w:rPr>
        <w:t>ember</w:t>
      </w:r>
      <w:r w:rsidRPr="00385AEB">
        <w:rPr>
          <w:rFonts w:ascii="Times New Roman" w:hAnsi="Times New Roman"/>
          <w:sz w:val="16"/>
          <w:szCs w:val="16"/>
        </w:rPr>
        <w:t xml:space="preserve"> 2017</w:t>
      </w:r>
      <w:r>
        <w:rPr>
          <w:rFonts w:ascii="Times New Roman" w:hAnsi="Times New Roman"/>
          <w:sz w:val="16"/>
          <w:szCs w:val="16"/>
        </w:rPr>
        <w:t>.</w:t>
      </w:r>
    </w:p>
  </w:footnote>
  <w:footnote w:id="21">
    <w:p w14:paraId="2E4FD74D" w14:textId="11A3BCC8" w:rsidR="00C94743" w:rsidRPr="00385AEB" w:rsidRDefault="00C94743" w:rsidP="00FC7CEA">
      <w:pPr>
        <w:rPr>
          <w:sz w:val="16"/>
          <w:szCs w:val="16"/>
        </w:rPr>
      </w:pPr>
      <w:r w:rsidRPr="00385AEB">
        <w:rPr>
          <w:rStyle w:val="FootnoteReference"/>
          <w:sz w:val="16"/>
          <w:szCs w:val="16"/>
        </w:rPr>
        <w:footnoteRef/>
      </w:r>
      <w:r w:rsidRPr="00385AEB">
        <w:rPr>
          <w:sz w:val="16"/>
          <w:szCs w:val="16"/>
        </w:rPr>
        <w:t xml:space="preserve"> Capacity Needs Assessment on Evidence</w:t>
      </w:r>
      <w:r>
        <w:rPr>
          <w:sz w:val="16"/>
          <w:szCs w:val="16"/>
        </w:rPr>
        <w:t>-</w:t>
      </w:r>
      <w:r w:rsidRPr="00385AEB">
        <w:rPr>
          <w:sz w:val="16"/>
          <w:szCs w:val="16"/>
        </w:rPr>
        <w:t>Based Policy Coordination, Formulation and Implementation – Final Draft Report; Government of Malawi</w:t>
      </w:r>
      <w:r>
        <w:rPr>
          <w:sz w:val="16"/>
          <w:szCs w:val="16"/>
        </w:rPr>
        <w:t>,</w:t>
      </w:r>
      <w:r w:rsidRPr="00385AEB">
        <w:rPr>
          <w:sz w:val="16"/>
          <w:szCs w:val="16"/>
        </w:rPr>
        <w:t xml:space="preserve"> November 2017</w:t>
      </w:r>
      <w:r>
        <w:rPr>
          <w:sz w:val="16"/>
          <w:szCs w:val="16"/>
        </w:rPr>
        <w:t>.</w:t>
      </w:r>
    </w:p>
  </w:footnote>
  <w:footnote w:id="22">
    <w:p w14:paraId="2E4FD751" w14:textId="77777777" w:rsidR="00C94743" w:rsidRPr="00385AEB" w:rsidRDefault="00C94743" w:rsidP="00136F0C">
      <w:pPr>
        <w:pStyle w:val="FootnoteText"/>
        <w:rPr>
          <w:rFonts w:ascii="Times New Roman" w:hAnsi="Times New Roman"/>
          <w:sz w:val="16"/>
          <w:szCs w:val="16"/>
        </w:rPr>
      </w:pPr>
      <w:r w:rsidRPr="00385AEB">
        <w:rPr>
          <w:rStyle w:val="FootnoteReference"/>
          <w:rFonts w:ascii="Times New Roman" w:hAnsi="Times New Roman"/>
          <w:sz w:val="16"/>
          <w:szCs w:val="16"/>
        </w:rPr>
        <w:footnoteRef/>
      </w:r>
      <w:r w:rsidRPr="00385AEB">
        <w:rPr>
          <w:rFonts w:ascii="Times New Roman" w:hAnsi="Times New Roman"/>
          <w:sz w:val="16"/>
          <w:szCs w:val="16"/>
        </w:rPr>
        <w:t xml:space="preserve"> The Government of Malawi contributed $20.9 million towards the NRIS budget of $50.9 million.</w:t>
      </w:r>
    </w:p>
  </w:footnote>
  <w:footnote w:id="23">
    <w:p w14:paraId="2E4FD752" w14:textId="51606066" w:rsidR="00C94743" w:rsidRPr="00D50E22" w:rsidRDefault="00C94743" w:rsidP="00136F0C">
      <w:pPr>
        <w:pStyle w:val="FootnoteText"/>
        <w:rPr>
          <w:rFonts w:ascii="Times New Roman" w:hAnsi="Times New Roman"/>
          <w:sz w:val="18"/>
          <w:szCs w:val="18"/>
        </w:rPr>
      </w:pPr>
      <w:r w:rsidRPr="00385AEB">
        <w:rPr>
          <w:rStyle w:val="FootnoteReference"/>
          <w:rFonts w:ascii="Times New Roman" w:hAnsi="Times New Roman"/>
          <w:sz w:val="16"/>
          <w:szCs w:val="16"/>
        </w:rPr>
        <w:footnoteRef/>
      </w:r>
      <w:r w:rsidRPr="00385AEB">
        <w:rPr>
          <w:rFonts w:ascii="Times New Roman" w:hAnsi="Times New Roman"/>
          <w:sz w:val="16"/>
          <w:szCs w:val="16"/>
        </w:rPr>
        <w:t xml:space="preserve"> </w:t>
      </w:r>
      <w:r>
        <w:rPr>
          <w:rFonts w:ascii="Times New Roman" w:hAnsi="Times New Roman"/>
          <w:sz w:val="16"/>
          <w:szCs w:val="16"/>
        </w:rPr>
        <w:t xml:space="preserve">UNDP, </w:t>
      </w:r>
      <w:r w:rsidRPr="00385AEB">
        <w:rPr>
          <w:rStyle w:val="Hyperlink"/>
          <w:rFonts w:ascii="Times New Roman" w:hAnsi="Times New Roman"/>
          <w:color w:val="auto"/>
          <w:sz w:val="16"/>
          <w:szCs w:val="16"/>
        </w:rPr>
        <w:t xml:space="preserve">Draft Integrated </w:t>
      </w:r>
      <w:r>
        <w:rPr>
          <w:rStyle w:val="Hyperlink"/>
          <w:rFonts w:ascii="Times New Roman" w:hAnsi="Times New Roman"/>
          <w:color w:val="auto"/>
          <w:sz w:val="16"/>
          <w:szCs w:val="16"/>
        </w:rPr>
        <w:t>Sustainable Development Goal</w:t>
      </w:r>
      <w:r w:rsidRPr="00385AEB">
        <w:rPr>
          <w:rStyle w:val="Hyperlink"/>
          <w:rFonts w:ascii="Times New Roman" w:hAnsi="Times New Roman"/>
          <w:color w:val="auto"/>
          <w:sz w:val="16"/>
          <w:szCs w:val="16"/>
        </w:rPr>
        <w:t xml:space="preserve"> Modelling Report for Malawi,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D710" w14:textId="77777777" w:rsidR="00C94743" w:rsidRPr="003C26C1" w:rsidRDefault="00C94743" w:rsidP="00A24133">
    <w:pPr>
      <w:pStyle w:val="Header"/>
      <w:jc w:val="center"/>
      <w:rPr>
        <w:rFonts w:ascii="Times New Roman" w:hAnsi="Times New Roman"/>
        <w:sz w:val="18"/>
        <w:lang w:val="en-US"/>
      </w:rPr>
    </w:pPr>
    <w:r>
      <w:rPr>
        <w:rFonts w:ascii="Times New Roman" w:hAnsi="Times New Roman"/>
        <w:b/>
        <w:sz w:val="18"/>
        <w:lang w:val="en-US"/>
      </w:rPr>
      <w:t>Version Date</w:t>
    </w:r>
    <w:r w:rsidRPr="003C26C1">
      <w:rPr>
        <w:rFonts w:ascii="Times New Roman" w:hAnsi="Times New Roman"/>
        <w:b/>
        <w:sz w:val="18"/>
      </w:rPr>
      <w:t>:</w:t>
    </w:r>
    <w:r w:rsidRPr="003C26C1">
      <w:rPr>
        <w:rFonts w:ascii="Times New Roman" w:hAnsi="Times New Roman"/>
        <w:sz w:val="18"/>
        <w:lang w:val="en-US"/>
      </w:rPr>
      <w:t xml:space="preserve"> </w:t>
    </w:r>
    <w:r>
      <w:rPr>
        <w:rFonts w:ascii="Times New Roman" w:hAnsi="Times New Roman"/>
        <w:sz w:val="18"/>
        <w:lang w:val="en-US"/>
      </w:rPr>
      <w:t>12 January 2018</w:t>
    </w:r>
  </w:p>
  <w:p w14:paraId="2E4FD711" w14:textId="77777777" w:rsidR="00C94743" w:rsidRDefault="00C94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52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94743" w:rsidRPr="006359F8" w14:paraId="6E7C504D" w14:textId="77777777" w:rsidTr="002467B7">
      <w:trPr>
        <w:trHeight w:hRule="exact" w:val="864"/>
      </w:trPr>
      <w:tc>
        <w:tcPr>
          <w:tcW w:w="4838" w:type="dxa"/>
          <w:tcBorders>
            <w:bottom w:val="single" w:sz="4" w:space="0" w:color="auto"/>
          </w:tcBorders>
          <w:vAlign w:val="bottom"/>
        </w:tcPr>
        <w:p w14:paraId="1F041DB6" w14:textId="77777777" w:rsidR="00C94743" w:rsidRPr="006359F8" w:rsidRDefault="00C94743" w:rsidP="006359F8">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7BF48417" w14:textId="7E08E8A7" w:rsidR="00C94743" w:rsidRPr="006359F8" w:rsidRDefault="00C94743" w:rsidP="006359F8">
          <w:pPr>
            <w:widowControl w:val="0"/>
            <w:tabs>
              <w:tab w:val="center" w:pos="4320"/>
              <w:tab w:val="right" w:pos="8640"/>
            </w:tabs>
            <w:jc w:val="right"/>
            <w:rPr>
              <w:sz w:val="17"/>
              <w:szCs w:val="17"/>
            </w:rPr>
          </w:pPr>
          <w:r w:rsidRPr="006359F8">
            <w:rPr>
              <w:b/>
              <w:sz w:val="17"/>
              <w:szCs w:val="17"/>
            </w:rPr>
            <w:t>DP/DCP/</w:t>
          </w:r>
          <w:r>
            <w:rPr>
              <w:b/>
              <w:sz w:val="17"/>
              <w:szCs w:val="17"/>
            </w:rPr>
            <w:t>MWI</w:t>
          </w:r>
          <w:r w:rsidRPr="006359F8">
            <w:rPr>
              <w:b/>
              <w:sz w:val="17"/>
              <w:szCs w:val="17"/>
            </w:rPr>
            <w:t>/</w:t>
          </w:r>
          <w:r>
            <w:rPr>
              <w:b/>
              <w:sz w:val="17"/>
              <w:szCs w:val="17"/>
            </w:rPr>
            <w:t>3</w:t>
          </w:r>
        </w:p>
      </w:tc>
    </w:tr>
  </w:tbl>
  <w:p w14:paraId="2E4FD715" w14:textId="77777777" w:rsidR="00C94743" w:rsidRPr="006359F8" w:rsidRDefault="00C94743" w:rsidP="00635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C94743" w14:paraId="2E4FD71D" w14:textId="77777777">
      <w:trPr>
        <w:trHeight w:hRule="exact" w:val="864"/>
      </w:trPr>
      <w:tc>
        <w:tcPr>
          <w:tcW w:w="1267" w:type="dxa"/>
          <w:tcBorders>
            <w:top w:val="nil"/>
            <w:left w:val="nil"/>
            <w:bottom w:val="nil"/>
            <w:right w:val="nil"/>
          </w:tcBorders>
          <w:vAlign w:val="bottom"/>
        </w:tcPr>
        <w:p w14:paraId="2E4FD719" w14:textId="77777777" w:rsidR="00C94743" w:rsidRPr="007C6F85" w:rsidRDefault="00C94743">
          <w:pPr>
            <w:pStyle w:val="Header"/>
            <w:spacing w:after="120"/>
            <w:rPr>
              <w:lang w:val="en-US" w:eastAsia="en-US"/>
            </w:rPr>
          </w:pPr>
        </w:p>
      </w:tc>
      <w:tc>
        <w:tcPr>
          <w:tcW w:w="1872" w:type="dxa"/>
          <w:tcBorders>
            <w:top w:val="nil"/>
            <w:left w:val="nil"/>
            <w:bottom w:val="nil"/>
            <w:right w:val="nil"/>
          </w:tcBorders>
          <w:vAlign w:val="bottom"/>
        </w:tcPr>
        <w:p w14:paraId="2E4FD71A" w14:textId="77777777" w:rsidR="00C94743" w:rsidRDefault="00C94743">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E4FD71B" w14:textId="77777777" w:rsidR="00C94743" w:rsidRPr="007C6F85" w:rsidRDefault="00C94743">
          <w:pPr>
            <w:pStyle w:val="Header"/>
            <w:spacing w:after="120"/>
            <w:rPr>
              <w:lang w:val="en-US" w:eastAsia="en-US"/>
            </w:rPr>
          </w:pPr>
        </w:p>
      </w:tc>
      <w:tc>
        <w:tcPr>
          <w:tcW w:w="6876" w:type="dxa"/>
          <w:gridSpan w:val="3"/>
          <w:tcBorders>
            <w:top w:val="nil"/>
            <w:left w:val="nil"/>
            <w:bottom w:val="nil"/>
            <w:right w:val="nil"/>
          </w:tcBorders>
          <w:vAlign w:val="bottom"/>
        </w:tcPr>
        <w:p w14:paraId="2E4FD71C" w14:textId="67B25A7C" w:rsidR="00C94743" w:rsidRDefault="00C94743" w:rsidP="00441061">
          <w:pPr>
            <w:spacing w:after="80"/>
            <w:jc w:val="center"/>
            <w:rPr>
              <w:position w:val="-4"/>
            </w:rPr>
          </w:pPr>
          <w:r>
            <w:rPr>
              <w:position w:val="-4"/>
              <w:sz w:val="40"/>
            </w:rPr>
            <w:t xml:space="preserve">                         DP</w:t>
          </w:r>
          <w:r>
            <w:rPr>
              <w:position w:val="-4"/>
            </w:rPr>
            <w:t>/DCP/MWI/3</w:t>
          </w:r>
        </w:p>
      </w:tc>
    </w:tr>
    <w:tr w:rsidR="00C94743" w14:paraId="2E4FD726" w14:textId="77777777" w:rsidTr="008B7186">
      <w:trPr>
        <w:trHeight w:hRule="exact" w:val="1936"/>
      </w:trPr>
      <w:tc>
        <w:tcPr>
          <w:tcW w:w="1267" w:type="dxa"/>
          <w:tcBorders>
            <w:top w:val="single" w:sz="4" w:space="0" w:color="auto"/>
            <w:left w:val="nil"/>
            <w:bottom w:val="single" w:sz="12" w:space="0" w:color="auto"/>
            <w:right w:val="nil"/>
          </w:tcBorders>
        </w:tcPr>
        <w:p w14:paraId="2E4FD71E" w14:textId="77777777" w:rsidR="00C94743" w:rsidRPr="007C6F85" w:rsidRDefault="00C94743">
          <w:pPr>
            <w:pStyle w:val="Header"/>
            <w:spacing w:before="109"/>
            <w:rPr>
              <w:lang w:val="en-US" w:eastAsia="en-US"/>
            </w:rPr>
          </w:pPr>
          <w:r w:rsidRPr="007C6F85">
            <w:rPr>
              <w:lang w:val="en-US" w:eastAsia="en-US"/>
            </w:rPr>
            <w:t xml:space="preserve"> </w:t>
          </w:r>
          <w:r>
            <w:rPr>
              <w:noProof/>
              <w:lang w:val="en-GB" w:eastAsia="en-GB"/>
            </w:rPr>
            <w:drawing>
              <wp:inline distT="0" distB="0" distL="0" distR="0" wp14:anchorId="2E4FD734" wp14:editId="2E4FD735">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E4FD71F" w14:textId="77777777" w:rsidR="00C94743" w:rsidRPr="007C6F85" w:rsidRDefault="00C94743">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E4FD720" w14:textId="77777777" w:rsidR="00C94743" w:rsidRDefault="00C94743">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E4FD721" w14:textId="77777777" w:rsidR="00C94743" w:rsidRPr="007C6F85" w:rsidRDefault="00C94743">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E4FD722" w14:textId="77777777" w:rsidR="00C94743" w:rsidRDefault="00C94743">
          <w:pPr>
            <w:spacing w:before="240"/>
          </w:pPr>
          <w:r>
            <w:t>Distr.: General</w:t>
          </w:r>
        </w:p>
        <w:p w14:paraId="2E4FD723" w14:textId="4D765936" w:rsidR="00C94743" w:rsidRDefault="000774C4" w:rsidP="00441061">
          <w:r>
            <w:t>12</w:t>
          </w:r>
          <w:r w:rsidR="00C94743">
            <w:t xml:space="preserve"> </w:t>
          </w:r>
          <w:r>
            <w:t>March</w:t>
          </w:r>
          <w:r w:rsidR="00C94743">
            <w:t xml:space="preserve"> 2018</w:t>
          </w:r>
        </w:p>
        <w:p w14:paraId="2E4FD724" w14:textId="77777777" w:rsidR="00C94743" w:rsidRDefault="00C94743"/>
        <w:p w14:paraId="2E4FD725" w14:textId="1C8A2D90" w:rsidR="00C94743" w:rsidRDefault="00C94743">
          <w:r>
            <w:t>Original: English</w:t>
          </w:r>
        </w:p>
      </w:tc>
    </w:tr>
  </w:tbl>
  <w:p w14:paraId="2E4FD727" w14:textId="77777777" w:rsidR="00C94743" w:rsidRDefault="00C94743">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39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792"/>
    </w:tblGrid>
    <w:tr w:rsidR="00C94743" w:rsidRPr="005841A3" w14:paraId="2E4FD72A" w14:textId="77777777" w:rsidTr="002467B7">
      <w:trPr>
        <w:trHeight w:hRule="exact" w:val="864"/>
      </w:trPr>
      <w:tc>
        <w:tcPr>
          <w:tcW w:w="4838" w:type="dxa"/>
          <w:tcBorders>
            <w:bottom w:val="single" w:sz="4" w:space="0" w:color="auto"/>
          </w:tcBorders>
          <w:vAlign w:val="bottom"/>
        </w:tcPr>
        <w:p w14:paraId="2E4FD728" w14:textId="14935647" w:rsidR="00C94743" w:rsidRPr="007C6F85" w:rsidRDefault="00C94743" w:rsidP="00D0512B">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MWI/3</w:t>
          </w:r>
        </w:p>
      </w:tc>
      <w:tc>
        <w:tcPr>
          <w:tcW w:w="4792" w:type="dxa"/>
          <w:tcBorders>
            <w:bottom w:val="single" w:sz="4" w:space="0" w:color="auto"/>
          </w:tcBorders>
          <w:vAlign w:val="bottom"/>
        </w:tcPr>
        <w:p w14:paraId="2E4FD729" w14:textId="77777777" w:rsidR="00C94743" w:rsidRPr="007C6F85" w:rsidRDefault="00C94743" w:rsidP="00D0512B">
          <w:pPr>
            <w:pStyle w:val="Header"/>
            <w:rPr>
              <w:rFonts w:ascii="Times New Roman" w:hAnsi="Times New Roman"/>
              <w:sz w:val="17"/>
              <w:szCs w:val="17"/>
              <w:lang w:val="en-US" w:eastAsia="en-US"/>
            </w:rPr>
          </w:pPr>
        </w:p>
      </w:tc>
    </w:tr>
  </w:tbl>
  <w:p w14:paraId="2E4FD72C" w14:textId="77777777" w:rsidR="00C94743" w:rsidRDefault="00C94743" w:rsidP="00FB7E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D731" w14:textId="77777777" w:rsidR="00C94743" w:rsidRDefault="00C94743">
    <w:pPr>
      <w:pStyle w:val="Header"/>
    </w:pPr>
    <w:r>
      <w:rPr>
        <w:noProof/>
        <w:lang w:val="en-GB" w:eastAsia="en-GB"/>
      </w:rPr>
      <mc:AlternateContent>
        <mc:Choice Requires="wps">
          <w:drawing>
            <wp:anchor distT="0" distB="0" distL="114300" distR="114300" simplePos="0" relativeHeight="251657216" behindDoc="0" locked="0" layoutInCell="0" allowOverlap="1" wp14:anchorId="2E4FD736" wp14:editId="37B148C1">
              <wp:simplePos x="0" y="0"/>
              <wp:positionH relativeFrom="column">
                <wp:posOffset>-74296</wp:posOffset>
              </wp:positionH>
              <wp:positionV relativeFrom="paragraph">
                <wp:posOffset>-304800</wp:posOffset>
              </wp:positionV>
              <wp:extent cx="8753475" cy="640080"/>
              <wp:effectExtent l="0" t="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C94743" w:rsidRPr="005841A3" w14:paraId="2E4FD759" w14:textId="77777777" w:rsidTr="002467B7">
                            <w:trPr>
                              <w:trHeight w:hRule="exact" w:val="864"/>
                            </w:trPr>
                            <w:tc>
                              <w:tcPr>
                                <w:tcW w:w="4838" w:type="dxa"/>
                                <w:tcBorders>
                                  <w:bottom w:val="single" w:sz="4" w:space="0" w:color="auto"/>
                                </w:tcBorders>
                                <w:vAlign w:val="bottom"/>
                              </w:tcPr>
                              <w:p w14:paraId="2E4FD757" w14:textId="1EE6072E" w:rsidR="00C94743" w:rsidRPr="007C6F85" w:rsidRDefault="00C9474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MWI/3</w:t>
                                </w:r>
                              </w:p>
                            </w:tc>
                            <w:tc>
                              <w:tcPr>
                                <w:tcW w:w="8752" w:type="dxa"/>
                                <w:tcBorders>
                                  <w:bottom w:val="single" w:sz="4" w:space="0" w:color="auto"/>
                                </w:tcBorders>
                                <w:vAlign w:val="bottom"/>
                              </w:tcPr>
                              <w:p w14:paraId="2E4FD758" w14:textId="77777777" w:rsidR="00C94743" w:rsidRPr="007C6F85" w:rsidRDefault="00C94743">
                                <w:pPr>
                                  <w:pStyle w:val="Header"/>
                                  <w:rPr>
                                    <w:rFonts w:ascii="Times New Roman" w:hAnsi="Times New Roman"/>
                                    <w:sz w:val="17"/>
                                    <w:szCs w:val="17"/>
                                    <w:lang w:val="en-US" w:eastAsia="en-US"/>
                                  </w:rPr>
                                </w:pPr>
                              </w:p>
                            </w:tc>
                          </w:tr>
                        </w:tbl>
                        <w:p w14:paraId="2E4FD75A" w14:textId="77777777" w:rsidR="00C94743" w:rsidRDefault="00C9474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E4FD736" id="_x0000_t202" coordsize="21600,21600" o:spt="202" path="m,l,21600r21600,l21600,xe">
              <v:stroke joinstyle="miter"/>
              <v:path gradientshapeok="t" o:connecttype="rect"/>
            </v:shapetype>
            <v:shape id="Text Box 2" o:spid="_x0000_s1026" type="#_x0000_t202" style="position:absolute;margin-left:-5.85pt;margin-top:-24pt;width:689.2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" o:allowincell="f" stroked="f">
              <v:textbox inset="0,0,0,0">
                <w:txbxContent>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C94743" w:rsidRPr="005841A3" w14:paraId="2E4FD759" w14:textId="77777777" w:rsidTr="002467B7">
                      <w:trPr>
                        <w:trHeight w:hRule="exact" w:val="864"/>
                      </w:trPr>
                      <w:tc>
                        <w:tcPr>
                          <w:tcW w:w="4838" w:type="dxa"/>
                          <w:tcBorders>
                            <w:bottom w:val="single" w:sz="4" w:space="0" w:color="auto"/>
                          </w:tcBorders>
                          <w:vAlign w:val="bottom"/>
                        </w:tcPr>
                        <w:p w14:paraId="2E4FD757" w14:textId="1EE6072E" w:rsidR="00C94743" w:rsidRPr="007C6F85" w:rsidRDefault="00C9474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MWI/3</w:t>
                          </w:r>
                        </w:p>
                      </w:tc>
                      <w:tc>
                        <w:tcPr>
                          <w:tcW w:w="8752" w:type="dxa"/>
                          <w:tcBorders>
                            <w:bottom w:val="single" w:sz="4" w:space="0" w:color="auto"/>
                          </w:tcBorders>
                          <w:vAlign w:val="bottom"/>
                        </w:tcPr>
                        <w:p w14:paraId="2E4FD758" w14:textId="77777777" w:rsidR="00C94743" w:rsidRPr="007C6F85" w:rsidRDefault="00C94743">
                          <w:pPr>
                            <w:pStyle w:val="Header"/>
                            <w:rPr>
                              <w:rFonts w:ascii="Times New Roman" w:hAnsi="Times New Roman"/>
                              <w:sz w:val="17"/>
                              <w:szCs w:val="17"/>
                              <w:lang w:val="en-US" w:eastAsia="en-US"/>
                            </w:rPr>
                          </w:pPr>
                        </w:p>
                      </w:tc>
                    </w:tr>
                  </w:tbl>
                  <w:p w14:paraId="2E4FD75A" w14:textId="77777777" w:rsidR="00C94743" w:rsidRDefault="00C94743"/>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295" w:type="dxa"/>
      <w:tblInd w:w="-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457"/>
    </w:tblGrid>
    <w:tr w:rsidR="00C94743" w:rsidRPr="006359F8" w14:paraId="2321ADDA" w14:textId="77777777" w:rsidTr="002467B7">
      <w:trPr>
        <w:trHeight w:hRule="exact" w:val="864"/>
      </w:trPr>
      <w:tc>
        <w:tcPr>
          <w:tcW w:w="4838" w:type="dxa"/>
          <w:tcBorders>
            <w:bottom w:val="single" w:sz="4" w:space="0" w:color="auto"/>
          </w:tcBorders>
          <w:vAlign w:val="bottom"/>
        </w:tcPr>
        <w:p w14:paraId="34780E9D" w14:textId="77777777" w:rsidR="00C94743" w:rsidRPr="006359F8" w:rsidRDefault="00C94743" w:rsidP="002467B7">
          <w:pPr>
            <w:widowControl w:val="0"/>
            <w:tabs>
              <w:tab w:val="center" w:pos="4320"/>
              <w:tab w:val="right" w:pos="8640"/>
            </w:tabs>
            <w:spacing w:after="80"/>
            <w:ind w:left="435"/>
            <w:rPr>
              <w:b/>
              <w:sz w:val="17"/>
              <w:szCs w:val="17"/>
            </w:rPr>
          </w:pPr>
        </w:p>
      </w:tc>
      <w:tc>
        <w:tcPr>
          <w:tcW w:w="9457" w:type="dxa"/>
          <w:tcBorders>
            <w:bottom w:val="single" w:sz="4" w:space="0" w:color="auto"/>
          </w:tcBorders>
          <w:vAlign w:val="bottom"/>
        </w:tcPr>
        <w:p w14:paraId="7CD56F74" w14:textId="77777777" w:rsidR="00C94743" w:rsidRPr="006359F8" w:rsidRDefault="00C94743" w:rsidP="006359F8">
          <w:pPr>
            <w:widowControl w:val="0"/>
            <w:tabs>
              <w:tab w:val="center" w:pos="4320"/>
              <w:tab w:val="right" w:pos="8640"/>
            </w:tabs>
            <w:jc w:val="right"/>
            <w:rPr>
              <w:sz w:val="17"/>
              <w:szCs w:val="17"/>
            </w:rPr>
          </w:pPr>
          <w:r w:rsidRPr="006359F8">
            <w:rPr>
              <w:b/>
              <w:sz w:val="17"/>
              <w:szCs w:val="17"/>
            </w:rPr>
            <w:t>DP/DCP/</w:t>
          </w:r>
          <w:r>
            <w:rPr>
              <w:b/>
              <w:sz w:val="17"/>
              <w:szCs w:val="17"/>
            </w:rPr>
            <w:t>MWI</w:t>
          </w:r>
          <w:r w:rsidRPr="006359F8">
            <w:rPr>
              <w:b/>
              <w:sz w:val="17"/>
              <w:szCs w:val="17"/>
            </w:rPr>
            <w:t>/</w:t>
          </w:r>
          <w:r>
            <w:rPr>
              <w:b/>
              <w:sz w:val="17"/>
              <w:szCs w:val="17"/>
            </w:rPr>
            <w:t>3</w:t>
          </w:r>
        </w:p>
      </w:tc>
    </w:tr>
  </w:tbl>
  <w:p w14:paraId="5E174FA6" w14:textId="77777777" w:rsidR="00C94743" w:rsidRPr="006359F8" w:rsidRDefault="00C94743" w:rsidP="00635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81380"/>
    <w:multiLevelType w:val="hybridMultilevel"/>
    <w:tmpl w:val="B1A23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400123"/>
    <w:multiLevelType w:val="hybridMultilevel"/>
    <w:tmpl w:val="CA220B4A"/>
    <w:lvl w:ilvl="0" w:tplc="9170F6D6">
      <w:start w:val="1"/>
      <w:numFmt w:val="upperRoman"/>
      <w:lvlText w:val="%1."/>
      <w:lvlJc w:val="righ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9874E9"/>
    <w:multiLevelType w:val="hybridMultilevel"/>
    <w:tmpl w:val="105842D4"/>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CD3A02"/>
    <w:multiLevelType w:val="hybridMultilevel"/>
    <w:tmpl w:val="3586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2D6F"/>
    <w:rsid w:val="00005E26"/>
    <w:rsid w:val="00010300"/>
    <w:rsid w:val="0001309E"/>
    <w:rsid w:val="000138D3"/>
    <w:rsid w:val="000150DA"/>
    <w:rsid w:val="00015FDE"/>
    <w:rsid w:val="00016217"/>
    <w:rsid w:val="00016861"/>
    <w:rsid w:val="000200CF"/>
    <w:rsid w:val="000205F1"/>
    <w:rsid w:val="00022047"/>
    <w:rsid w:val="00025961"/>
    <w:rsid w:val="000274B9"/>
    <w:rsid w:val="0002758B"/>
    <w:rsid w:val="000276A0"/>
    <w:rsid w:val="000330DB"/>
    <w:rsid w:val="0003429F"/>
    <w:rsid w:val="00034D50"/>
    <w:rsid w:val="0003562A"/>
    <w:rsid w:val="00036095"/>
    <w:rsid w:val="00036AF4"/>
    <w:rsid w:val="00041C10"/>
    <w:rsid w:val="00043804"/>
    <w:rsid w:val="000441A1"/>
    <w:rsid w:val="00047153"/>
    <w:rsid w:val="00050869"/>
    <w:rsid w:val="000561C1"/>
    <w:rsid w:val="00056204"/>
    <w:rsid w:val="0005648E"/>
    <w:rsid w:val="000570D1"/>
    <w:rsid w:val="000571A9"/>
    <w:rsid w:val="00060290"/>
    <w:rsid w:val="00060B05"/>
    <w:rsid w:val="00063E24"/>
    <w:rsid w:val="00067F36"/>
    <w:rsid w:val="00072229"/>
    <w:rsid w:val="000722D5"/>
    <w:rsid w:val="00073B05"/>
    <w:rsid w:val="00073CF1"/>
    <w:rsid w:val="00074BD0"/>
    <w:rsid w:val="00074D9A"/>
    <w:rsid w:val="00074DB9"/>
    <w:rsid w:val="000753C4"/>
    <w:rsid w:val="00075DF0"/>
    <w:rsid w:val="000762CA"/>
    <w:rsid w:val="000774C4"/>
    <w:rsid w:val="000803A4"/>
    <w:rsid w:val="000806E3"/>
    <w:rsid w:val="0008339E"/>
    <w:rsid w:val="00090AD1"/>
    <w:rsid w:val="00090F4F"/>
    <w:rsid w:val="00091476"/>
    <w:rsid w:val="00092879"/>
    <w:rsid w:val="00094DE7"/>
    <w:rsid w:val="00094E87"/>
    <w:rsid w:val="00094EB5"/>
    <w:rsid w:val="00097E65"/>
    <w:rsid w:val="00097FB2"/>
    <w:rsid w:val="000A151D"/>
    <w:rsid w:val="000A24C5"/>
    <w:rsid w:val="000A3E5A"/>
    <w:rsid w:val="000A3F7F"/>
    <w:rsid w:val="000B1684"/>
    <w:rsid w:val="000B1824"/>
    <w:rsid w:val="000B3A13"/>
    <w:rsid w:val="000B4BB2"/>
    <w:rsid w:val="000B6379"/>
    <w:rsid w:val="000B7584"/>
    <w:rsid w:val="000C1EBC"/>
    <w:rsid w:val="000C4020"/>
    <w:rsid w:val="000C76B0"/>
    <w:rsid w:val="000C7BBE"/>
    <w:rsid w:val="000D09E2"/>
    <w:rsid w:val="000D2475"/>
    <w:rsid w:val="000D43CF"/>
    <w:rsid w:val="000D442C"/>
    <w:rsid w:val="000D4DC4"/>
    <w:rsid w:val="000E612D"/>
    <w:rsid w:val="000E6AB1"/>
    <w:rsid w:val="000E745A"/>
    <w:rsid w:val="000E7ADB"/>
    <w:rsid w:val="000E7E9E"/>
    <w:rsid w:val="000F0044"/>
    <w:rsid w:val="000F0C0E"/>
    <w:rsid w:val="000F17C8"/>
    <w:rsid w:val="000F26EF"/>
    <w:rsid w:val="000F54D6"/>
    <w:rsid w:val="000F5541"/>
    <w:rsid w:val="000F703B"/>
    <w:rsid w:val="000F72ED"/>
    <w:rsid w:val="000F75B3"/>
    <w:rsid w:val="000F7A4C"/>
    <w:rsid w:val="000F7F69"/>
    <w:rsid w:val="0010063C"/>
    <w:rsid w:val="00106EF8"/>
    <w:rsid w:val="001101A2"/>
    <w:rsid w:val="00111489"/>
    <w:rsid w:val="00111792"/>
    <w:rsid w:val="00111797"/>
    <w:rsid w:val="00111B19"/>
    <w:rsid w:val="001144B5"/>
    <w:rsid w:val="00114A64"/>
    <w:rsid w:val="00115F59"/>
    <w:rsid w:val="00116C1A"/>
    <w:rsid w:val="00116F8B"/>
    <w:rsid w:val="00121F3E"/>
    <w:rsid w:val="0012229E"/>
    <w:rsid w:val="00123849"/>
    <w:rsid w:val="00123906"/>
    <w:rsid w:val="00123A5E"/>
    <w:rsid w:val="00125010"/>
    <w:rsid w:val="00125266"/>
    <w:rsid w:val="00125B82"/>
    <w:rsid w:val="00125E55"/>
    <w:rsid w:val="001305E6"/>
    <w:rsid w:val="0013239A"/>
    <w:rsid w:val="001324B4"/>
    <w:rsid w:val="00132D93"/>
    <w:rsid w:val="00136F0C"/>
    <w:rsid w:val="00137165"/>
    <w:rsid w:val="0013761A"/>
    <w:rsid w:val="0014423A"/>
    <w:rsid w:val="00144D43"/>
    <w:rsid w:val="00147042"/>
    <w:rsid w:val="001471A7"/>
    <w:rsid w:val="001506F6"/>
    <w:rsid w:val="00154032"/>
    <w:rsid w:val="001547D3"/>
    <w:rsid w:val="001552F5"/>
    <w:rsid w:val="001559BD"/>
    <w:rsid w:val="001566BD"/>
    <w:rsid w:val="00157F09"/>
    <w:rsid w:val="00157F79"/>
    <w:rsid w:val="00163E84"/>
    <w:rsid w:val="001668AA"/>
    <w:rsid w:val="001675B1"/>
    <w:rsid w:val="0016789D"/>
    <w:rsid w:val="00167C87"/>
    <w:rsid w:val="00172EE3"/>
    <w:rsid w:val="00177E7E"/>
    <w:rsid w:val="0018356F"/>
    <w:rsid w:val="0018530C"/>
    <w:rsid w:val="001876C5"/>
    <w:rsid w:val="00187D68"/>
    <w:rsid w:val="00190155"/>
    <w:rsid w:val="001906B5"/>
    <w:rsid w:val="00194163"/>
    <w:rsid w:val="00194FEB"/>
    <w:rsid w:val="00195BD6"/>
    <w:rsid w:val="001970A4"/>
    <w:rsid w:val="00197835"/>
    <w:rsid w:val="00197AD1"/>
    <w:rsid w:val="001A175A"/>
    <w:rsid w:val="001A53B5"/>
    <w:rsid w:val="001B0020"/>
    <w:rsid w:val="001B0875"/>
    <w:rsid w:val="001B3F87"/>
    <w:rsid w:val="001B4026"/>
    <w:rsid w:val="001B598C"/>
    <w:rsid w:val="001B6C8A"/>
    <w:rsid w:val="001B76A6"/>
    <w:rsid w:val="001C07F8"/>
    <w:rsid w:val="001C088C"/>
    <w:rsid w:val="001C1147"/>
    <w:rsid w:val="001C2F59"/>
    <w:rsid w:val="001C4768"/>
    <w:rsid w:val="001C6C08"/>
    <w:rsid w:val="001D2056"/>
    <w:rsid w:val="001D42D1"/>
    <w:rsid w:val="001D64E5"/>
    <w:rsid w:val="001D6EB8"/>
    <w:rsid w:val="001E05EC"/>
    <w:rsid w:val="001E1A39"/>
    <w:rsid w:val="001E4809"/>
    <w:rsid w:val="001E4F4F"/>
    <w:rsid w:val="001E57D3"/>
    <w:rsid w:val="001F27E8"/>
    <w:rsid w:val="001F27F4"/>
    <w:rsid w:val="001F3DC0"/>
    <w:rsid w:val="001F408F"/>
    <w:rsid w:val="001F4C5A"/>
    <w:rsid w:val="001F4EA9"/>
    <w:rsid w:val="001F4F73"/>
    <w:rsid w:val="001F6425"/>
    <w:rsid w:val="001F6772"/>
    <w:rsid w:val="001F71E4"/>
    <w:rsid w:val="001F7421"/>
    <w:rsid w:val="00200195"/>
    <w:rsid w:val="00200B5F"/>
    <w:rsid w:val="00201EEF"/>
    <w:rsid w:val="002047C8"/>
    <w:rsid w:val="002052B3"/>
    <w:rsid w:val="00205453"/>
    <w:rsid w:val="002058F9"/>
    <w:rsid w:val="00207F32"/>
    <w:rsid w:val="00210EF9"/>
    <w:rsid w:val="00211C53"/>
    <w:rsid w:val="00212B1F"/>
    <w:rsid w:val="00213340"/>
    <w:rsid w:val="00213D7C"/>
    <w:rsid w:val="00214513"/>
    <w:rsid w:val="002155B7"/>
    <w:rsid w:val="00216597"/>
    <w:rsid w:val="0021766A"/>
    <w:rsid w:val="002225D3"/>
    <w:rsid w:val="00222A35"/>
    <w:rsid w:val="0022301D"/>
    <w:rsid w:val="002245E6"/>
    <w:rsid w:val="00224B2C"/>
    <w:rsid w:val="00225C5E"/>
    <w:rsid w:val="0022683B"/>
    <w:rsid w:val="00227E55"/>
    <w:rsid w:val="00232941"/>
    <w:rsid w:val="00232AA0"/>
    <w:rsid w:val="00232B78"/>
    <w:rsid w:val="00234CDF"/>
    <w:rsid w:val="00236B91"/>
    <w:rsid w:val="002424C0"/>
    <w:rsid w:val="00242617"/>
    <w:rsid w:val="00242CAA"/>
    <w:rsid w:val="00243F37"/>
    <w:rsid w:val="0024503B"/>
    <w:rsid w:val="00245D74"/>
    <w:rsid w:val="002467B7"/>
    <w:rsid w:val="00246C64"/>
    <w:rsid w:val="00246D03"/>
    <w:rsid w:val="00246DDF"/>
    <w:rsid w:val="002530D8"/>
    <w:rsid w:val="002573CC"/>
    <w:rsid w:val="002577D0"/>
    <w:rsid w:val="00260CAE"/>
    <w:rsid w:val="00260FAA"/>
    <w:rsid w:val="00260FF3"/>
    <w:rsid w:val="00262338"/>
    <w:rsid w:val="00263938"/>
    <w:rsid w:val="002646D7"/>
    <w:rsid w:val="0026598D"/>
    <w:rsid w:val="002671D7"/>
    <w:rsid w:val="0027203A"/>
    <w:rsid w:val="0027259C"/>
    <w:rsid w:val="00273543"/>
    <w:rsid w:val="0027433B"/>
    <w:rsid w:val="00274C82"/>
    <w:rsid w:val="0027654D"/>
    <w:rsid w:val="002810DF"/>
    <w:rsid w:val="002812AB"/>
    <w:rsid w:val="002816D8"/>
    <w:rsid w:val="00282A8C"/>
    <w:rsid w:val="002854EE"/>
    <w:rsid w:val="0028565C"/>
    <w:rsid w:val="0028641E"/>
    <w:rsid w:val="002875DE"/>
    <w:rsid w:val="00287E07"/>
    <w:rsid w:val="00290EB3"/>
    <w:rsid w:val="00292846"/>
    <w:rsid w:val="00292A90"/>
    <w:rsid w:val="00295F54"/>
    <w:rsid w:val="002971D6"/>
    <w:rsid w:val="002973EA"/>
    <w:rsid w:val="002A2F08"/>
    <w:rsid w:val="002A3641"/>
    <w:rsid w:val="002A495F"/>
    <w:rsid w:val="002A5055"/>
    <w:rsid w:val="002A530A"/>
    <w:rsid w:val="002A706F"/>
    <w:rsid w:val="002A70B2"/>
    <w:rsid w:val="002A70EA"/>
    <w:rsid w:val="002A7363"/>
    <w:rsid w:val="002A7F43"/>
    <w:rsid w:val="002B2401"/>
    <w:rsid w:val="002B365E"/>
    <w:rsid w:val="002B3E6C"/>
    <w:rsid w:val="002B489A"/>
    <w:rsid w:val="002B6341"/>
    <w:rsid w:val="002B6C0C"/>
    <w:rsid w:val="002C031A"/>
    <w:rsid w:val="002C0526"/>
    <w:rsid w:val="002C0711"/>
    <w:rsid w:val="002C27A8"/>
    <w:rsid w:val="002C333E"/>
    <w:rsid w:val="002C36C8"/>
    <w:rsid w:val="002C51A0"/>
    <w:rsid w:val="002C57E0"/>
    <w:rsid w:val="002C7787"/>
    <w:rsid w:val="002C7971"/>
    <w:rsid w:val="002D0584"/>
    <w:rsid w:val="002D0D2A"/>
    <w:rsid w:val="002D296D"/>
    <w:rsid w:val="002D2E2A"/>
    <w:rsid w:val="002D4274"/>
    <w:rsid w:val="002D5295"/>
    <w:rsid w:val="002D52BF"/>
    <w:rsid w:val="002D63FD"/>
    <w:rsid w:val="002D68FA"/>
    <w:rsid w:val="002D7ECA"/>
    <w:rsid w:val="002E0141"/>
    <w:rsid w:val="002E0B5D"/>
    <w:rsid w:val="002E0B76"/>
    <w:rsid w:val="002E1495"/>
    <w:rsid w:val="002E2466"/>
    <w:rsid w:val="002E26B6"/>
    <w:rsid w:val="002E2900"/>
    <w:rsid w:val="002E332E"/>
    <w:rsid w:val="002E3C0D"/>
    <w:rsid w:val="002E43EC"/>
    <w:rsid w:val="002E4883"/>
    <w:rsid w:val="002E55E8"/>
    <w:rsid w:val="002E5B3C"/>
    <w:rsid w:val="002E657E"/>
    <w:rsid w:val="002E7A79"/>
    <w:rsid w:val="002F1D9E"/>
    <w:rsid w:val="002F2C6E"/>
    <w:rsid w:val="002F3C88"/>
    <w:rsid w:val="002F4067"/>
    <w:rsid w:val="002F47EB"/>
    <w:rsid w:val="002F7339"/>
    <w:rsid w:val="002F7461"/>
    <w:rsid w:val="003025E2"/>
    <w:rsid w:val="00306B87"/>
    <w:rsid w:val="00306D24"/>
    <w:rsid w:val="00307712"/>
    <w:rsid w:val="00312944"/>
    <w:rsid w:val="0031404A"/>
    <w:rsid w:val="00314B7C"/>
    <w:rsid w:val="00314E49"/>
    <w:rsid w:val="00315445"/>
    <w:rsid w:val="00317183"/>
    <w:rsid w:val="00317C85"/>
    <w:rsid w:val="003204AE"/>
    <w:rsid w:val="003208EF"/>
    <w:rsid w:val="00320D59"/>
    <w:rsid w:val="003227E1"/>
    <w:rsid w:val="00323730"/>
    <w:rsid w:val="00324846"/>
    <w:rsid w:val="00324ABD"/>
    <w:rsid w:val="00324D9B"/>
    <w:rsid w:val="0032645A"/>
    <w:rsid w:val="003272A6"/>
    <w:rsid w:val="003273CB"/>
    <w:rsid w:val="0033125E"/>
    <w:rsid w:val="0033325E"/>
    <w:rsid w:val="003335C6"/>
    <w:rsid w:val="00336913"/>
    <w:rsid w:val="0033718C"/>
    <w:rsid w:val="00337407"/>
    <w:rsid w:val="00337BB8"/>
    <w:rsid w:val="00340893"/>
    <w:rsid w:val="00340E02"/>
    <w:rsid w:val="00343E6E"/>
    <w:rsid w:val="00343E9A"/>
    <w:rsid w:val="003450C8"/>
    <w:rsid w:val="0034699C"/>
    <w:rsid w:val="0034782B"/>
    <w:rsid w:val="00351082"/>
    <w:rsid w:val="00351E5C"/>
    <w:rsid w:val="0035580F"/>
    <w:rsid w:val="0035798D"/>
    <w:rsid w:val="00357CB4"/>
    <w:rsid w:val="003604EE"/>
    <w:rsid w:val="0036286B"/>
    <w:rsid w:val="00362DCA"/>
    <w:rsid w:val="00363371"/>
    <w:rsid w:val="00364740"/>
    <w:rsid w:val="00364989"/>
    <w:rsid w:val="003664C0"/>
    <w:rsid w:val="00366769"/>
    <w:rsid w:val="00367A28"/>
    <w:rsid w:val="00367E04"/>
    <w:rsid w:val="00374655"/>
    <w:rsid w:val="003761F2"/>
    <w:rsid w:val="00376A05"/>
    <w:rsid w:val="003774FE"/>
    <w:rsid w:val="00385AEB"/>
    <w:rsid w:val="00390E30"/>
    <w:rsid w:val="00393ABE"/>
    <w:rsid w:val="0039458D"/>
    <w:rsid w:val="00394D61"/>
    <w:rsid w:val="003964D7"/>
    <w:rsid w:val="003A1F5A"/>
    <w:rsid w:val="003A20C4"/>
    <w:rsid w:val="003A2E02"/>
    <w:rsid w:val="003A2ECE"/>
    <w:rsid w:val="003A33D5"/>
    <w:rsid w:val="003A4252"/>
    <w:rsid w:val="003A539A"/>
    <w:rsid w:val="003A62A4"/>
    <w:rsid w:val="003A7025"/>
    <w:rsid w:val="003A7476"/>
    <w:rsid w:val="003A7D86"/>
    <w:rsid w:val="003B0AA1"/>
    <w:rsid w:val="003B243D"/>
    <w:rsid w:val="003B304F"/>
    <w:rsid w:val="003B5D18"/>
    <w:rsid w:val="003B795D"/>
    <w:rsid w:val="003B7EAD"/>
    <w:rsid w:val="003C0E4D"/>
    <w:rsid w:val="003C26A6"/>
    <w:rsid w:val="003C26C1"/>
    <w:rsid w:val="003C5C11"/>
    <w:rsid w:val="003C6A5A"/>
    <w:rsid w:val="003C6AAD"/>
    <w:rsid w:val="003C76E4"/>
    <w:rsid w:val="003D0619"/>
    <w:rsid w:val="003D1D4D"/>
    <w:rsid w:val="003D3682"/>
    <w:rsid w:val="003D37DD"/>
    <w:rsid w:val="003D45DF"/>
    <w:rsid w:val="003D47C6"/>
    <w:rsid w:val="003D7E38"/>
    <w:rsid w:val="003D7EAC"/>
    <w:rsid w:val="003E1AFA"/>
    <w:rsid w:val="003E379A"/>
    <w:rsid w:val="003E52B0"/>
    <w:rsid w:val="003E5487"/>
    <w:rsid w:val="003E64DC"/>
    <w:rsid w:val="003E6CA7"/>
    <w:rsid w:val="003E7A43"/>
    <w:rsid w:val="003F0B58"/>
    <w:rsid w:val="003F0D40"/>
    <w:rsid w:val="003F2236"/>
    <w:rsid w:val="003F27B7"/>
    <w:rsid w:val="003F4051"/>
    <w:rsid w:val="003F5812"/>
    <w:rsid w:val="003F625A"/>
    <w:rsid w:val="003F6AA4"/>
    <w:rsid w:val="003F6EA1"/>
    <w:rsid w:val="00400E4A"/>
    <w:rsid w:val="00402E9A"/>
    <w:rsid w:val="00403FA8"/>
    <w:rsid w:val="00404040"/>
    <w:rsid w:val="00404213"/>
    <w:rsid w:val="004048AC"/>
    <w:rsid w:val="00404B8E"/>
    <w:rsid w:val="004068C2"/>
    <w:rsid w:val="00412559"/>
    <w:rsid w:val="00413B14"/>
    <w:rsid w:val="00415E7F"/>
    <w:rsid w:val="00420288"/>
    <w:rsid w:val="00421C78"/>
    <w:rsid w:val="004224CE"/>
    <w:rsid w:val="00423515"/>
    <w:rsid w:val="00423B19"/>
    <w:rsid w:val="00424A78"/>
    <w:rsid w:val="004254DB"/>
    <w:rsid w:val="00427EEA"/>
    <w:rsid w:val="00431836"/>
    <w:rsid w:val="004321E6"/>
    <w:rsid w:val="0043278E"/>
    <w:rsid w:val="004360AC"/>
    <w:rsid w:val="00436148"/>
    <w:rsid w:val="00436B83"/>
    <w:rsid w:val="00441061"/>
    <w:rsid w:val="004415EA"/>
    <w:rsid w:val="00444C9C"/>
    <w:rsid w:val="0044560C"/>
    <w:rsid w:val="004501C9"/>
    <w:rsid w:val="00450C70"/>
    <w:rsid w:val="00453344"/>
    <w:rsid w:val="00454E76"/>
    <w:rsid w:val="00457080"/>
    <w:rsid w:val="00457CE1"/>
    <w:rsid w:val="00460891"/>
    <w:rsid w:val="00462376"/>
    <w:rsid w:val="00464FB2"/>
    <w:rsid w:val="004662A8"/>
    <w:rsid w:val="00466CDC"/>
    <w:rsid w:val="0046745E"/>
    <w:rsid w:val="004736BE"/>
    <w:rsid w:val="004753DC"/>
    <w:rsid w:val="0047556D"/>
    <w:rsid w:val="00475789"/>
    <w:rsid w:val="00476170"/>
    <w:rsid w:val="0047634F"/>
    <w:rsid w:val="004820B0"/>
    <w:rsid w:val="00482117"/>
    <w:rsid w:val="00482E2F"/>
    <w:rsid w:val="0048467F"/>
    <w:rsid w:val="004859B4"/>
    <w:rsid w:val="00486ACD"/>
    <w:rsid w:val="00490B8D"/>
    <w:rsid w:val="00492C65"/>
    <w:rsid w:val="0049403F"/>
    <w:rsid w:val="00494323"/>
    <w:rsid w:val="00494349"/>
    <w:rsid w:val="00494485"/>
    <w:rsid w:val="0049762B"/>
    <w:rsid w:val="004A0F27"/>
    <w:rsid w:val="004A0F37"/>
    <w:rsid w:val="004A0F68"/>
    <w:rsid w:val="004A3608"/>
    <w:rsid w:val="004A4FBD"/>
    <w:rsid w:val="004A7810"/>
    <w:rsid w:val="004A7E93"/>
    <w:rsid w:val="004B3CFB"/>
    <w:rsid w:val="004B5D6B"/>
    <w:rsid w:val="004B76F8"/>
    <w:rsid w:val="004C1FA6"/>
    <w:rsid w:val="004C5CFD"/>
    <w:rsid w:val="004D12C0"/>
    <w:rsid w:val="004D18EA"/>
    <w:rsid w:val="004D3713"/>
    <w:rsid w:val="004D3DB9"/>
    <w:rsid w:val="004D6254"/>
    <w:rsid w:val="004D70FD"/>
    <w:rsid w:val="004D7E99"/>
    <w:rsid w:val="004D7F14"/>
    <w:rsid w:val="004E00CE"/>
    <w:rsid w:val="004E04D0"/>
    <w:rsid w:val="004E2BDB"/>
    <w:rsid w:val="004E639E"/>
    <w:rsid w:val="004F1ABB"/>
    <w:rsid w:val="004F50AF"/>
    <w:rsid w:val="004F681D"/>
    <w:rsid w:val="004F6E14"/>
    <w:rsid w:val="0050228C"/>
    <w:rsid w:val="005027E0"/>
    <w:rsid w:val="00502857"/>
    <w:rsid w:val="005044A9"/>
    <w:rsid w:val="00505994"/>
    <w:rsid w:val="00505FD4"/>
    <w:rsid w:val="00506E25"/>
    <w:rsid w:val="0051132C"/>
    <w:rsid w:val="00513483"/>
    <w:rsid w:val="00514A55"/>
    <w:rsid w:val="00514EF5"/>
    <w:rsid w:val="0051782D"/>
    <w:rsid w:val="0052087E"/>
    <w:rsid w:val="0052203B"/>
    <w:rsid w:val="0052315E"/>
    <w:rsid w:val="00530ED3"/>
    <w:rsid w:val="0053438E"/>
    <w:rsid w:val="005346B7"/>
    <w:rsid w:val="005355EE"/>
    <w:rsid w:val="00535B16"/>
    <w:rsid w:val="005366D0"/>
    <w:rsid w:val="00537E27"/>
    <w:rsid w:val="00540B4D"/>
    <w:rsid w:val="00540FFA"/>
    <w:rsid w:val="00541078"/>
    <w:rsid w:val="00542930"/>
    <w:rsid w:val="005435B3"/>
    <w:rsid w:val="005457C0"/>
    <w:rsid w:val="00546B3B"/>
    <w:rsid w:val="00547768"/>
    <w:rsid w:val="00547975"/>
    <w:rsid w:val="00547C91"/>
    <w:rsid w:val="00550849"/>
    <w:rsid w:val="00550866"/>
    <w:rsid w:val="00554BF3"/>
    <w:rsid w:val="0055655F"/>
    <w:rsid w:val="0055657D"/>
    <w:rsid w:val="00557D62"/>
    <w:rsid w:val="00560D0D"/>
    <w:rsid w:val="00565FB1"/>
    <w:rsid w:val="005662FB"/>
    <w:rsid w:val="00566799"/>
    <w:rsid w:val="00567781"/>
    <w:rsid w:val="00567ECC"/>
    <w:rsid w:val="005713B1"/>
    <w:rsid w:val="00574460"/>
    <w:rsid w:val="00581918"/>
    <w:rsid w:val="00583090"/>
    <w:rsid w:val="005835F4"/>
    <w:rsid w:val="00583EFE"/>
    <w:rsid w:val="00584076"/>
    <w:rsid w:val="005841A3"/>
    <w:rsid w:val="005848E8"/>
    <w:rsid w:val="00586D9A"/>
    <w:rsid w:val="00587E93"/>
    <w:rsid w:val="00590835"/>
    <w:rsid w:val="00590EAE"/>
    <w:rsid w:val="0059112A"/>
    <w:rsid w:val="00591E6D"/>
    <w:rsid w:val="00593216"/>
    <w:rsid w:val="00594BC3"/>
    <w:rsid w:val="00596CA7"/>
    <w:rsid w:val="00596DC8"/>
    <w:rsid w:val="00596E16"/>
    <w:rsid w:val="00597A93"/>
    <w:rsid w:val="005A15A3"/>
    <w:rsid w:val="005A16A3"/>
    <w:rsid w:val="005A1C48"/>
    <w:rsid w:val="005A2130"/>
    <w:rsid w:val="005A253A"/>
    <w:rsid w:val="005A40AF"/>
    <w:rsid w:val="005A64BF"/>
    <w:rsid w:val="005B1A0F"/>
    <w:rsid w:val="005B1DAB"/>
    <w:rsid w:val="005B4421"/>
    <w:rsid w:val="005B7929"/>
    <w:rsid w:val="005C23AF"/>
    <w:rsid w:val="005C25D1"/>
    <w:rsid w:val="005C35A9"/>
    <w:rsid w:val="005C464B"/>
    <w:rsid w:val="005C4E5F"/>
    <w:rsid w:val="005C6DA8"/>
    <w:rsid w:val="005C74A0"/>
    <w:rsid w:val="005D052C"/>
    <w:rsid w:val="005D16FE"/>
    <w:rsid w:val="005D2F7A"/>
    <w:rsid w:val="005D4084"/>
    <w:rsid w:val="005D4777"/>
    <w:rsid w:val="005D4C2B"/>
    <w:rsid w:val="005D6C83"/>
    <w:rsid w:val="005D794B"/>
    <w:rsid w:val="005E3FC7"/>
    <w:rsid w:val="005E6B93"/>
    <w:rsid w:val="005E7953"/>
    <w:rsid w:val="005E7E82"/>
    <w:rsid w:val="005F113C"/>
    <w:rsid w:val="005F1800"/>
    <w:rsid w:val="005F1EBD"/>
    <w:rsid w:val="005F2C42"/>
    <w:rsid w:val="005F6C28"/>
    <w:rsid w:val="005F7AB6"/>
    <w:rsid w:val="005F7E3C"/>
    <w:rsid w:val="00600FA8"/>
    <w:rsid w:val="0060351E"/>
    <w:rsid w:val="006063DA"/>
    <w:rsid w:val="00606CD0"/>
    <w:rsid w:val="00606CE3"/>
    <w:rsid w:val="00611DD3"/>
    <w:rsid w:val="00611EF0"/>
    <w:rsid w:val="00612219"/>
    <w:rsid w:val="00612E04"/>
    <w:rsid w:val="00617010"/>
    <w:rsid w:val="006173A4"/>
    <w:rsid w:val="00617C44"/>
    <w:rsid w:val="00620086"/>
    <w:rsid w:val="00621357"/>
    <w:rsid w:val="00622CE4"/>
    <w:rsid w:val="006234A7"/>
    <w:rsid w:val="00623ECC"/>
    <w:rsid w:val="00623F8E"/>
    <w:rsid w:val="006243F0"/>
    <w:rsid w:val="00625917"/>
    <w:rsid w:val="0062789F"/>
    <w:rsid w:val="006301BE"/>
    <w:rsid w:val="0063096E"/>
    <w:rsid w:val="006313E8"/>
    <w:rsid w:val="0063221F"/>
    <w:rsid w:val="00632E5A"/>
    <w:rsid w:val="00633349"/>
    <w:rsid w:val="00633D61"/>
    <w:rsid w:val="0063402B"/>
    <w:rsid w:val="0063562E"/>
    <w:rsid w:val="006359F8"/>
    <w:rsid w:val="00636570"/>
    <w:rsid w:val="00637859"/>
    <w:rsid w:val="00637901"/>
    <w:rsid w:val="00637E1B"/>
    <w:rsid w:val="006402DF"/>
    <w:rsid w:val="00641502"/>
    <w:rsid w:val="0064164B"/>
    <w:rsid w:val="00642917"/>
    <w:rsid w:val="00644468"/>
    <w:rsid w:val="00645F5E"/>
    <w:rsid w:val="00647B1E"/>
    <w:rsid w:val="00647C55"/>
    <w:rsid w:val="0065008B"/>
    <w:rsid w:val="00650574"/>
    <w:rsid w:val="00652268"/>
    <w:rsid w:val="00653A3B"/>
    <w:rsid w:val="00653FD9"/>
    <w:rsid w:val="00654D42"/>
    <w:rsid w:val="00656328"/>
    <w:rsid w:val="00660279"/>
    <w:rsid w:val="00660A94"/>
    <w:rsid w:val="006622B9"/>
    <w:rsid w:val="006627F7"/>
    <w:rsid w:val="00662E1E"/>
    <w:rsid w:val="0066371E"/>
    <w:rsid w:val="0067026C"/>
    <w:rsid w:val="00671E81"/>
    <w:rsid w:val="006724AD"/>
    <w:rsid w:val="0067266B"/>
    <w:rsid w:val="00672BAB"/>
    <w:rsid w:val="0067314A"/>
    <w:rsid w:val="00673D1E"/>
    <w:rsid w:val="0067797F"/>
    <w:rsid w:val="006779CF"/>
    <w:rsid w:val="00677A8F"/>
    <w:rsid w:val="00677D63"/>
    <w:rsid w:val="00677F8A"/>
    <w:rsid w:val="006821E3"/>
    <w:rsid w:val="00683AD6"/>
    <w:rsid w:val="006842AE"/>
    <w:rsid w:val="006875BA"/>
    <w:rsid w:val="0069097D"/>
    <w:rsid w:val="00690B6A"/>
    <w:rsid w:val="00693FEA"/>
    <w:rsid w:val="00694C68"/>
    <w:rsid w:val="006A3607"/>
    <w:rsid w:val="006A5773"/>
    <w:rsid w:val="006A5804"/>
    <w:rsid w:val="006A58F0"/>
    <w:rsid w:val="006A6262"/>
    <w:rsid w:val="006A6FC2"/>
    <w:rsid w:val="006B0372"/>
    <w:rsid w:val="006B0764"/>
    <w:rsid w:val="006B081C"/>
    <w:rsid w:val="006B32E3"/>
    <w:rsid w:val="006B3FC8"/>
    <w:rsid w:val="006B4467"/>
    <w:rsid w:val="006B485A"/>
    <w:rsid w:val="006B6C46"/>
    <w:rsid w:val="006B6E78"/>
    <w:rsid w:val="006B7555"/>
    <w:rsid w:val="006C0039"/>
    <w:rsid w:val="006C15BD"/>
    <w:rsid w:val="006C1927"/>
    <w:rsid w:val="006C2585"/>
    <w:rsid w:val="006C4008"/>
    <w:rsid w:val="006C4E2C"/>
    <w:rsid w:val="006C5931"/>
    <w:rsid w:val="006C73EF"/>
    <w:rsid w:val="006D1723"/>
    <w:rsid w:val="006D43BE"/>
    <w:rsid w:val="006D5D3F"/>
    <w:rsid w:val="006D60ED"/>
    <w:rsid w:val="006D67C6"/>
    <w:rsid w:val="006E1155"/>
    <w:rsid w:val="006E1166"/>
    <w:rsid w:val="006E1228"/>
    <w:rsid w:val="006E24D9"/>
    <w:rsid w:val="006E596E"/>
    <w:rsid w:val="006E65E0"/>
    <w:rsid w:val="006F033F"/>
    <w:rsid w:val="006F042D"/>
    <w:rsid w:val="006F24D8"/>
    <w:rsid w:val="006F33B8"/>
    <w:rsid w:val="006F4C9C"/>
    <w:rsid w:val="006F54FF"/>
    <w:rsid w:val="006F58E3"/>
    <w:rsid w:val="006F640F"/>
    <w:rsid w:val="006F762A"/>
    <w:rsid w:val="00701937"/>
    <w:rsid w:val="00701B6B"/>
    <w:rsid w:val="007034ED"/>
    <w:rsid w:val="0070384F"/>
    <w:rsid w:val="00703A9E"/>
    <w:rsid w:val="00703D6D"/>
    <w:rsid w:val="00704095"/>
    <w:rsid w:val="00704152"/>
    <w:rsid w:val="00704FB5"/>
    <w:rsid w:val="00706B71"/>
    <w:rsid w:val="0071022A"/>
    <w:rsid w:val="007120BA"/>
    <w:rsid w:val="0071277A"/>
    <w:rsid w:val="00712EE5"/>
    <w:rsid w:val="00713493"/>
    <w:rsid w:val="00713494"/>
    <w:rsid w:val="00714031"/>
    <w:rsid w:val="0071466E"/>
    <w:rsid w:val="00714A6C"/>
    <w:rsid w:val="00714CD3"/>
    <w:rsid w:val="007206A8"/>
    <w:rsid w:val="0072116D"/>
    <w:rsid w:val="0072226F"/>
    <w:rsid w:val="00725B78"/>
    <w:rsid w:val="00727082"/>
    <w:rsid w:val="0073233C"/>
    <w:rsid w:val="00732C11"/>
    <w:rsid w:val="00732D0C"/>
    <w:rsid w:val="00733EAD"/>
    <w:rsid w:val="00734F54"/>
    <w:rsid w:val="00736D93"/>
    <w:rsid w:val="00737C04"/>
    <w:rsid w:val="00737F64"/>
    <w:rsid w:val="00740259"/>
    <w:rsid w:val="00744110"/>
    <w:rsid w:val="00744595"/>
    <w:rsid w:val="00746B94"/>
    <w:rsid w:val="00747A52"/>
    <w:rsid w:val="00750F1E"/>
    <w:rsid w:val="00751C12"/>
    <w:rsid w:val="00752691"/>
    <w:rsid w:val="0075272F"/>
    <w:rsid w:val="007528F2"/>
    <w:rsid w:val="00752F6C"/>
    <w:rsid w:val="007575C4"/>
    <w:rsid w:val="00757D63"/>
    <w:rsid w:val="00760BB8"/>
    <w:rsid w:val="00762A1B"/>
    <w:rsid w:val="00762D6D"/>
    <w:rsid w:val="00763700"/>
    <w:rsid w:val="0076427C"/>
    <w:rsid w:val="00765217"/>
    <w:rsid w:val="007659AA"/>
    <w:rsid w:val="00766334"/>
    <w:rsid w:val="0077266C"/>
    <w:rsid w:val="00772802"/>
    <w:rsid w:val="00775066"/>
    <w:rsid w:val="00776406"/>
    <w:rsid w:val="0078005A"/>
    <w:rsid w:val="00781B6F"/>
    <w:rsid w:val="00781F9C"/>
    <w:rsid w:val="00782DFD"/>
    <w:rsid w:val="00784424"/>
    <w:rsid w:val="00785474"/>
    <w:rsid w:val="007875D5"/>
    <w:rsid w:val="00787999"/>
    <w:rsid w:val="00787B99"/>
    <w:rsid w:val="007925B6"/>
    <w:rsid w:val="0079421C"/>
    <w:rsid w:val="0079526D"/>
    <w:rsid w:val="00795A2C"/>
    <w:rsid w:val="00797390"/>
    <w:rsid w:val="007A05B6"/>
    <w:rsid w:val="007A1C0A"/>
    <w:rsid w:val="007A1C59"/>
    <w:rsid w:val="007A4C0C"/>
    <w:rsid w:val="007A5B41"/>
    <w:rsid w:val="007B060D"/>
    <w:rsid w:val="007B3A76"/>
    <w:rsid w:val="007B5792"/>
    <w:rsid w:val="007B7FF1"/>
    <w:rsid w:val="007C31E2"/>
    <w:rsid w:val="007C4764"/>
    <w:rsid w:val="007C5CE1"/>
    <w:rsid w:val="007C69FB"/>
    <w:rsid w:val="007C6B7D"/>
    <w:rsid w:val="007C6F85"/>
    <w:rsid w:val="007D0569"/>
    <w:rsid w:val="007D16B1"/>
    <w:rsid w:val="007D19E4"/>
    <w:rsid w:val="007D484E"/>
    <w:rsid w:val="007D52E4"/>
    <w:rsid w:val="007D7400"/>
    <w:rsid w:val="007D7761"/>
    <w:rsid w:val="007D79FF"/>
    <w:rsid w:val="007E02A7"/>
    <w:rsid w:val="007E468A"/>
    <w:rsid w:val="007E51A5"/>
    <w:rsid w:val="007E7F4C"/>
    <w:rsid w:val="007F2EC6"/>
    <w:rsid w:val="007F3018"/>
    <w:rsid w:val="007F6862"/>
    <w:rsid w:val="007F7A41"/>
    <w:rsid w:val="008013FC"/>
    <w:rsid w:val="0080539B"/>
    <w:rsid w:val="008060C3"/>
    <w:rsid w:val="008063A1"/>
    <w:rsid w:val="00807F00"/>
    <w:rsid w:val="00811021"/>
    <w:rsid w:val="00812095"/>
    <w:rsid w:val="008134BD"/>
    <w:rsid w:val="00814656"/>
    <w:rsid w:val="00820E45"/>
    <w:rsid w:val="00821A11"/>
    <w:rsid w:val="00821E2C"/>
    <w:rsid w:val="00822835"/>
    <w:rsid w:val="008232EA"/>
    <w:rsid w:val="0082459B"/>
    <w:rsid w:val="00826758"/>
    <w:rsid w:val="008330EA"/>
    <w:rsid w:val="008353E0"/>
    <w:rsid w:val="008365F0"/>
    <w:rsid w:val="00840B27"/>
    <w:rsid w:val="00841534"/>
    <w:rsid w:val="008462F1"/>
    <w:rsid w:val="00846930"/>
    <w:rsid w:val="00850FDE"/>
    <w:rsid w:val="0085135E"/>
    <w:rsid w:val="00852876"/>
    <w:rsid w:val="008543F5"/>
    <w:rsid w:val="00855004"/>
    <w:rsid w:val="008572C4"/>
    <w:rsid w:val="0085733E"/>
    <w:rsid w:val="0085765A"/>
    <w:rsid w:val="008604A8"/>
    <w:rsid w:val="00860E64"/>
    <w:rsid w:val="008616F7"/>
    <w:rsid w:val="00861AFA"/>
    <w:rsid w:val="00863C61"/>
    <w:rsid w:val="00865522"/>
    <w:rsid w:val="00865ADF"/>
    <w:rsid w:val="0086644C"/>
    <w:rsid w:val="008666B5"/>
    <w:rsid w:val="008703B3"/>
    <w:rsid w:val="00876058"/>
    <w:rsid w:val="00876985"/>
    <w:rsid w:val="00876C2B"/>
    <w:rsid w:val="00883780"/>
    <w:rsid w:val="00883B99"/>
    <w:rsid w:val="00885066"/>
    <w:rsid w:val="00885F85"/>
    <w:rsid w:val="0088665E"/>
    <w:rsid w:val="00887E30"/>
    <w:rsid w:val="00887F48"/>
    <w:rsid w:val="008923C8"/>
    <w:rsid w:val="008924B5"/>
    <w:rsid w:val="00893260"/>
    <w:rsid w:val="008932A8"/>
    <w:rsid w:val="00893756"/>
    <w:rsid w:val="00894A9E"/>
    <w:rsid w:val="008950F6"/>
    <w:rsid w:val="00896815"/>
    <w:rsid w:val="008A0744"/>
    <w:rsid w:val="008A0A6E"/>
    <w:rsid w:val="008A0D0F"/>
    <w:rsid w:val="008A28C7"/>
    <w:rsid w:val="008A2FB3"/>
    <w:rsid w:val="008A398B"/>
    <w:rsid w:val="008A42E6"/>
    <w:rsid w:val="008A5601"/>
    <w:rsid w:val="008A59AD"/>
    <w:rsid w:val="008A68F9"/>
    <w:rsid w:val="008B0EEB"/>
    <w:rsid w:val="008B1DA9"/>
    <w:rsid w:val="008B1EA6"/>
    <w:rsid w:val="008B431D"/>
    <w:rsid w:val="008B51FD"/>
    <w:rsid w:val="008B6766"/>
    <w:rsid w:val="008B7186"/>
    <w:rsid w:val="008B7192"/>
    <w:rsid w:val="008C1939"/>
    <w:rsid w:val="008C3396"/>
    <w:rsid w:val="008C3E30"/>
    <w:rsid w:val="008C621C"/>
    <w:rsid w:val="008C697C"/>
    <w:rsid w:val="008C7448"/>
    <w:rsid w:val="008C75ED"/>
    <w:rsid w:val="008C7649"/>
    <w:rsid w:val="008D1500"/>
    <w:rsid w:val="008D1945"/>
    <w:rsid w:val="008D42A6"/>
    <w:rsid w:val="008D5EB4"/>
    <w:rsid w:val="008D6649"/>
    <w:rsid w:val="008D7D00"/>
    <w:rsid w:val="008E0991"/>
    <w:rsid w:val="008E338E"/>
    <w:rsid w:val="008E57FE"/>
    <w:rsid w:val="008F2665"/>
    <w:rsid w:val="008F507E"/>
    <w:rsid w:val="008F5251"/>
    <w:rsid w:val="008F6376"/>
    <w:rsid w:val="00900CC2"/>
    <w:rsid w:val="00901770"/>
    <w:rsid w:val="009019FB"/>
    <w:rsid w:val="00902AA5"/>
    <w:rsid w:val="009052B7"/>
    <w:rsid w:val="00905B05"/>
    <w:rsid w:val="0090753C"/>
    <w:rsid w:val="00911B66"/>
    <w:rsid w:val="00912A7E"/>
    <w:rsid w:val="00914CBD"/>
    <w:rsid w:val="00914E37"/>
    <w:rsid w:val="00915330"/>
    <w:rsid w:val="00916E69"/>
    <w:rsid w:val="00917525"/>
    <w:rsid w:val="0091777D"/>
    <w:rsid w:val="00917C39"/>
    <w:rsid w:val="009202E9"/>
    <w:rsid w:val="0092057D"/>
    <w:rsid w:val="009218DE"/>
    <w:rsid w:val="00922D00"/>
    <w:rsid w:val="00923F17"/>
    <w:rsid w:val="009266DA"/>
    <w:rsid w:val="00930DE8"/>
    <w:rsid w:val="009318DD"/>
    <w:rsid w:val="00935413"/>
    <w:rsid w:val="00935F5D"/>
    <w:rsid w:val="0093669F"/>
    <w:rsid w:val="009368E0"/>
    <w:rsid w:val="00937186"/>
    <w:rsid w:val="0094260B"/>
    <w:rsid w:val="00942661"/>
    <w:rsid w:val="00945307"/>
    <w:rsid w:val="0094558D"/>
    <w:rsid w:val="00946A67"/>
    <w:rsid w:val="00946FCE"/>
    <w:rsid w:val="00947A3D"/>
    <w:rsid w:val="009515BC"/>
    <w:rsid w:val="0095349A"/>
    <w:rsid w:val="00953B5B"/>
    <w:rsid w:val="00953ED0"/>
    <w:rsid w:val="0095492E"/>
    <w:rsid w:val="00955059"/>
    <w:rsid w:val="00955F7D"/>
    <w:rsid w:val="0096242F"/>
    <w:rsid w:val="00962E3B"/>
    <w:rsid w:val="00962E4A"/>
    <w:rsid w:val="00962FF5"/>
    <w:rsid w:val="00964A4E"/>
    <w:rsid w:val="00965B02"/>
    <w:rsid w:val="00965C07"/>
    <w:rsid w:val="00965D2D"/>
    <w:rsid w:val="00970A16"/>
    <w:rsid w:val="00970CF3"/>
    <w:rsid w:val="00971847"/>
    <w:rsid w:val="00972964"/>
    <w:rsid w:val="00972F9B"/>
    <w:rsid w:val="00973C07"/>
    <w:rsid w:val="0097762F"/>
    <w:rsid w:val="009816B8"/>
    <w:rsid w:val="0098342E"/>
    <w:rsid w:val="00983B45"/>
    <w:rsid w:val="00983B5C"/>
    <w:rsid w:val="0098766F"/>
    <w:rsid w:val="00993912"/>
    <w:rsid w:val="00994050"/>
    <w:rsid w:val="009962CF"/>
    <w:rsid w:val="009969D6"/>
    <w:rsid w:val="00996C35"/>
    <w:rsid w:val="009A4543"/>
    <w:rsid w:val="009A5DB1"/>
    <w:rsid w:val="009A7C5A"/>
    <w:rsid w:val="009A7E51"/>
    <w:rsid w:val="009B20FD"/>
    <w:rsid w:val="009B21B9"/>
    <w:rsid w:val="009B2FAD"/>
    <w:rsid w:val="009B4CD0"/>
    <w:rsid w:val="009B4DA7"/>
    <w:rsid w:val="009B6FBC"/>
    <w:rsid w:val="009C16C3"/>
    <w:rsid w:val="009C21C6"/>
    <w:rsid w:val="009C22DB"/>
    <w:rsid w:val="009C30D8"/>
    <w:rsid w:val="009C383B"/>
    <w:rsid w:val="009C3A80"/>
    <w:rsid w:val="009C41EC"/>
    <w:rsid w:val="009C5238"/>
    <w:rsid w:val="009D06B0"/>
    <w:rsid w:val="009D09DD"/>
    <w:rsid w:val="009D12B4"/>
    <w:rsid w:val="009D1E70"/>
    <w:rsid w:val="009D1F1D"/>
    <w:rsid w:val="009D2135"/>
    <w:rsid w:val="009D2F1A"/>
    <w:rsid w:val="009D2FA7"/>
    <w:rsid w:val="009D4CAE"/>
    <w:rsid w:val="009D55F9"/>
    <w:rsid w:val="009D5A11"/>
    <w:rsid w:val="009D765F"/>
    <w:rsid w:val="009D7760"/>
    <w:rsid w:val="009D7C43"/>
    <w:rsid w:val="009E16E6"/>
    <w:rsid w:val="009E1E62"/>
    <w:rsid w:val="009E2953"/>
    <w:rsid w:val="009E2BDD"/>
    <w:rsid w:val="009E30CE"/>
    <w:rsid w:val="009E4CDF"/>
    <w:rsid w:val="009F0142"/>
    <w:rsid w:val="009F04C3"/>
    <w:rsid w:val="009F0760"/>
    <w:rsid w:val="009F235F"/>
    <w:rsid w:val="009F3B29"/>
    <w:rsid w:val="009F4860"/>
    <w:rsid w:val="009F6E81"/>
    <w:rsid w:val="00A00057"/>
    <w:rsid w:val="00A00485"/>
    <w:rsid w:val="00A01A5F"/>
    <w:rsid w:val="00A01D00"/>
    <w:rsid w:val="00A025AC"/>
    <w:rsid w:val="00A02C96"/>
    <w:rsid w:val="00A02E65"/>
    <w:rsid w:val="00A0340A"/>
    <w:rsid w:val="00A0440C"/>
    <w:rsid w:val="00A047AE"/>
    <w:rsid w:val="00A0585F"/>
    <w:rsid w:val="00A0694A"/>
    <w:rsid w:val="00A077AC"/>
    <w:rsid w:val="00A07A33"/>
    <w:rsid w:val="00A10A30"/>
    <w:rsid w:val="00A1137C"/>
    <w:rsid w:val="00A113D7"/>
    <w:rsid w:val="00A11F0F"/>
    <w:rsid w:val="00A1450A"/>
    <w:rsid w:val="00A14FDE"/>
    <w:rsid w:val="00A16126"/>
    <w:rsid w:val="00A21C6C"/>
    <w:rsid w:val="00A2365A"/>
    <w:rsid w:val="00A24133"/>
    <w:rsid w:val="00A262BF"/>
    <w:rsid w:val="00A27809"/>
    <w:rsid w:val="00A30533"/>
    <w:rsid w:val="00A317B0"/>
    <w:rsid w:val="00A33613"/>
    <w:rsid w:val="00A34591"/>
    <w:rsid w:val="00A34747"/>
    <w:rsid w:val="00A34B86"/>
    <w:rsid w:val="00A34E44"/>
    <w:rsid w:val="00A3640F"/>
    <w:rsid w:val="00A37ECF"/>
    <w:rsid w:val="00A40CE2"/>
    <w:rsid w:val="00A42FAE"/>
    <w:rsid w:val="00A47176"/>
    <w:rsid w:val="00A475C5"/>
    <w:rsid w:val="00A4768C"/>
    <w:rsid w:val="00A478DF"/>
    <w:rsid w:val="00A50A68"/>
    <w:rsid w:val="00A50D3B"/>
    <w:rsid w:val="00A50E38"/>
    <w:rsid w:val="00A510C6"/>
    <w:rsid w:val="00A513C4"/>
    <w:rsid w:val="00A518AA"/>
    <w:rsid w:val="00A525E7"/>
    <w:rsid w:val="00A52F9E"/>
    <w:rsid w:val="00A56348"/>
    <w:rsid w:val="00A56FC9"/>
    <w:rsid w:val="00A5703F"/>
    <w:rsid w:val="00A57D39"/>
    <w:rsid w:val="00A61B57"/>
    <w:rsid w:val="00A6316B"/>
    <w:rsid w:val="00A647FD"/>
    <w:rsid w:val="00A65316"/>
    <w:rsid w:val="00A65C29"/>
    <w:rsid w:val="00A65FBD"/>
    <w:rsid w:val="00A674FF"/>
    <w:rsid w:val="00A70F69"/>
    <w:rsid w:val="00A72611"/>
    <w:rsid w:val="00A73ABB"/>
    <w:rsid w:val="00A751A1"/>
    <w:rsid w:val="00A76AE2"/>
    <w:rsid w:val="00A76D2C"/>
    <w:rsid w:val="00A77746"/>
    <w:rsid w:val="00A806AA"/>
    <w:rsid w:val="00A83505"/>
    <w:rsid w:val="00A83BF6"/>
    <w:rsid w:val="00A8563F"/>
    <w:rsid w:val="00A86B5E"/>
    <w:rsid w:val="00A87B4F"/>
    <w:rsid w:val="00A87F31"/>
    <w:rsid w:val="00A90D27"/>
    <w:rsid w:val="00A9103B"/>
    <w:rsid w:val="00A91284"/>
    <w:rsid w:val="00A918A7"/>
    <w:rsid w:val="00A92679"/>
    <w:rsid w:val="00A92871"/>
    <w:rsid w:val="00A92C81"/>
    <w:rsid w:val="00A95024"/>
    <w:rsid w:val="00A955EB"/>
    <w:rsid w:val="00A977E3"/>
    <w:rsid w:val="00AA016B"/>
    <w:rsid w:val="00AA1F49"/>
    <w:rsid w:val="00AA3A2E"/>
    <w:rsid w:val="00AA4099"/>
    <w:rsid w:val="00AA51EF"/>
    <w:rsid w:val="00AA6913"/>
    <w:rsid w:val="00AA7031"/>
    <w:rsid w:val="00AA7569"/>
    <w:rsid w:val="00AB2190"/>
    <w:rsid w:val="00AB30D3"/>
    <w:rsid w:val="00AB39EB"/>
    <w:rsid w:val="00AB3F27"/>
    <w:rsid w:val="00AB3FD9"/>
    <w:rsid w:val="00AB4313"/>
    <w:rsid w:val="00AB7523"/>
    <w:rsid w:val="00AB7DE7"/>
    <w:rsid w:val="00AC03AB"/>
    <w:rsid w:val="00AC0650"/>
    <w:rsid w:val="00AC1BE7"/>
    <w:rsid w:val="00AC275F"/>
    <w:rsid w:val="00AC3EE4"/>
    <w:rsid w:val="00AC50A4"/>
    <w:rsid w:val="00AC5A95"/>
    <w:rsid w:val="00AC6074"/>
    <w:rsid w:val="00AC6471"/>
    <w:rsid w:val="00AD1751"/>
    <w:rsid w:val="00AD2B6E"/>
    <w:rsid w:val="00AD3443"/>
    <w:rsid w:val="00AD3645"/>
    <w:rsid w:val="00AD3AC7"/>
    <w:rsid w:val="00AD4976"/>
    <w:rsid w:val="00AD4B3C"/>
    <w:rsid w:val="00AD68A5"/>
    <w:rsid w:val="00AD6A7E"/>
    <w:rsid w:val="00AE185D"/>
    <w:rsid w:val="00AE1869"/>
    <w:rsid w:val="00AE1BFE"/>
    <w:rsid w:val="00AE3842"/>
    <w:rsid w:val="00AE3D83"/>
    <w:rsid w:val="00AE4374"/>
    <w:rsid w:val="00AE466A"/>
    <w:rsid w:val="00AE485C"/>
    <w:rsid w:val="00AE70B1"/>
    <w:rsid w:val="00AE7D4F"/>
    <w:rsid w:val="00AE7E9F"/>
    <w:rsid w:val="00AE7FE4"/>
    <w:rsid w:val="00AF0117"/>
    <w:rsid w:val="00AF0D96"/>
    <w:rsid w:val="00AF17D3"/>
    <w:rsid w:val="00AF1D77"/>
    <w:rsid w:val="00AF38BA"/>
    <w:rsid w:val="00AF4F67"/>
    <w:rsid w:val="00AF5811"/>
    <w:rsid w:val="00AF6509"/>
    <w:rsid w:val="00B00BBE"/>
    <w:rsid w:val="00B0456E"/>
    <w:rsid w:val="00B0565B"/>
    <w:rsid w:val="00B06217"/>
    <w:rsid w:val="00B06A05"/>
    <w:rsid w:val="00B06BF6"/>
    <w:rsid w:val="00B06F7F"/>
    <w:rsid w:val="00B100F0"/>
    <w:rsid w:val="00B13677"/>
    <w:rsid w:val="00B1402E"/>
    <w:rsid w:val="00B14423"/>
    <w:rsid w:val="00B14865"/>
    <w:rsid w:val="00B21D50"/>
    <w:rsid w:val="00B22F9B"/>
    <w:rsid w:val="00B23747"/>
    <w:rsid w:val="00B23E0A"/>
    <w:rsid w:val="00B24090"/>
    <w:rsid w:val="00B257E3"/>
    <w:rsid w:val="00B260C7"/>
    <w:rsid w:val="00B27494"/>
    <w:rsid w:val="00B279B9"/>
    <w:rsid w:val="00B27BFD"/>
    <w:rsid w:val="00B34F48"/>
    <w:rsid w:val="00B35229"/>
    <w:rsid w:val="00B35D4F"/>
    <w:rsid w:val="00B405B0"/>
    <w:rsid w:val="00B44EA6"/>
    <w:rsid w:val="00B51BA0"/>
    <w:rsid w:val="00B535BD"/>
    <w:rsid w:val="00B53701"/>
    <w:rsid w:val="00B56A26"/>
    <w:rsid w:val="00B6021A"/>
    <w:rsid w:val="00B6110A"/>
    <w:rsid w:val="00B6176A"/>
    <w:rsid w:val="00B6301A"/>
    <w:rsid w:val="00B64CAD"/>
    <w:rsid w:val="00B651FA"/>
    <w:rsid w:val="00B66751"/>
    <w:rsid w:val="00B67AA6"/>
    <w:rsid w:val="00B67E07"/>
    <w:rsid w:val="00B70464"/>
    <w:rsid w:val="00B7066C"/>
    <w:rsid w:val="00B70FD2"/>
    <w:rsid w:val="00B717D8"/>
    <w:rsid w:val="00B72DF3"/>
    <w:rsid w:val="00B74146"/>
    <w:rsid w:val="00B7606D"/>
    <w:rsid w:val="00B76F6C"/>
    <w:rsid w:val="00B8080B"/>
    <w:rsid w:val="00B811EF"/>
    <w:rsid w:val="00B831B9"/>
    <w:rsid w:val="00B86EF1"/>
    <w:rsid w:val="00B8789A"/>
    <w:rsid w:val="00B90674"/>
    <w:rsid w:val="00B91FFF"/>
    <w:rsid w:val="00B934E3"/>
    <w:rsid w:val="00B94323"/>
    <w:rsid w:val="00B94444"/>
    <w:rsid w:val="00B955A8"/>
    <w:rsid w:val="00B9566B"/>
    <w:rsid w:val="00B95F92"/>
    <w:rsid w:val="00B961B7"/>
    <w:rsid w:val="00B963D4"/>
    <w:rsid w:val="00B9772B"/>
    <w:rsid w:val="00BA2DEF"/>
    <w:rsid w:val="00BA35F2"/>
    <w:rsid w:val="00BA42FB"/>
    <w:rsid w:val="00BA4768"/>
    <w:rsid w:val="00BA4A92"/>
    <w:rsid w:val="00BA516F"/>
    <w:rsid w:val="00BA628C"/>
    <w:rsid w:val="00BA7059"/>
    <w:rsid w:val="00BB0051"/>
    <w:rsid w:val="00BB02C6"/>
    <w:rsid w:val="00BB1082"/>
    <w:rsid w:val="00BB1AEC"/>
    <w:rsid w:val="00BB2127"/>
    <w:rsid w:val="00BB3805"/>
    <w:rsid w:val="00BB3B78"/>
    <w:rsid w:val="00BB4589"/>
    <w:rsid w:val="00BB52A5"/>
    <w:rsid w:val="00BB5893"/>
    <w:rsid w:val="00BB6740"/>
    <w:rsid w:val="00BB7EA1"/>
    <w:rsid w:val="00BB7F81"/>
    <w:rsid w:val="00BC269B"/>
    <w:rsid w:val="00BC27D2"/>
    <w:rsid w:val="00BD35E1"/>
    <w:rsid w:val="00BD44B2"/>
    <w:rsid w:val="00BD54FC"/>
    <w:rsid w:val="00BD5595"/>
    <w:rsid w:val="00BD63C3"/>
    <w:rsid w:val="00BD67CE"/>
    <w:rsid w:val="00BD76A4"/>
    <w:rsid w:val="00BE1C8A"/>
    <w:rsid w:val="00BE467D"/>
    <w:rsid w:val="00BE4857"/>
    <w:rsid w:val="00BE5847"/>
    <w:rsid w:val="00BE5BE0"/>
    <w:rsid w:val="00BE697B"/>
    <w:rsid w:val="00BE70E8"/>
    <w:rsid w:val="00BF05F9"/>
    <w:rsid w:val="00BF0E76"/>
    <w:rsid w:val="00BF19DC"/>
    <w:rsid w:val="00BF2B3E"/>
    <w:rsid w:val="00BF2DAF"/>
    <w:rsid w:val="00BF4E1B"/>
    <w:rsid w:val="00C01083"/>
    <w:rsid w:val="00C0275B"/>
    <w:rsid w:val="00C0480F"/>
    <w:rsid w:val="00C1043C"/>
    <w:rsid w:val="00C12A51"/>
    <w:rsid w:val="00C12CD1"/>
    <w:rsid w:val="00C13F2A"/>
    <w:rsid w:val="00C1591E"/>
    <w:rsid w:val="00C173EE"/>
    <w:rsid w:val="00C20D36"/>
    <w:rsid w:val="00C21038"/>
    <w:rsid w:val="00C2286B"/>
    <w:rsid w:val="00C2396B"/>
    <w:rsid w:val="00C26865"/>
    <w:rsid w:val="00C2785F"/>
    <w:rsid w:val="00C30BA6"/>
    <w:rsid w:val="00C31467"/>
    <w:rsid w:val="00C33F0C"/>
    <w:rsid w:val="00C344A1"/>
    <w:rsid w:val="00C34CCB"/>
    <w:rsid w:val="00C34D57"/>
    <w:rsid w:val="00C35515"/>
    <w:rsid w:val="00C35807"/>
    <w:rsid w:val="00C35A4B"/>
    <w:rsid w:val="00C36696"/>
    <w:rsid w:val="00C36720"/>
    <w:rsid w:val="00C36777"/>
    <w:rsid w:val="00C37518"/>
    <w:rsid w:val="00C37F00"/>
    <w:rsid w:val="00C421C9"/>
    <w:rsid w:val="00C42325"/>
    <w:rsid w:val="00C42A3A"/>
    <w:rsid w:val="00C437C6"/>
    <w:rsid w:val="00C4517F"/>
    <w:rsid w:val="00C45232"/>
    <w:rsid w:val="00C45989"/>
    <w:rsid w:val="00C46E94"/>
    <w:rsid w:val="00C4713F"/>
    <w:rsid w:val="00C52097"/>
    <w:rsid w:val="00C52B4B"/>
    <w:rsid w:val="00C52BA5"/>
    <w:rsid w:val="00C52F47"/>
    <w:rsid w:val="00C53323"/>
    <w:rsid w:val="00C54D8C"/>
    <w:rsid w:val="00C57493"/>
    <w:rsid w:val="00C605E6"/>
    <w:rsid w:val="00C60B57"/>
    <w:rsid w:val="00C63556"/>
    <w:rsid w:val="00C64A9B"/>
    <w:rsid w:val="00C64D07"/>
    <w:rsid w:val="00C66CEF"/>
    <w:rsid w:val="00C670FE"/>
    <w:rsid w:val="00C71087"/>
    <w:rsid w:val="00C71E3C"/>
    <w:rsid w:val="00C73C17"/>
    <w:rsid w:val="00C74737"/>
    <w:rsid w:val="00C75492"/>
    <w:rsid w:val="00C777A3"/>
    <w:rsid w:val="00C77C78"/>
    <w:rsid w:val="00C8146C"/>
    <w:rsid w:val="00C8231E"/>
    <w:rsid w:val="00C846DD"/>
    <w:rsid w:val="00C85CA6"/>
    <w:rsid w:val="00C85D92"/>
    <w:rsid w:val="00C873DA"/>
    <w:rsid w:val="00C90A7F"/>
    <w:rsid w:val="00C9147E"/>
    <w:rsid w:val="00C925ED"/>
    <w:rsid w:val="00C9339F"/>
    <w:rsid w:val="00C94743"/>
    <w:rsid w:val="00C96A10"/>
    <w:rsid w:val="00C9753B"/>
    <w:rsid w:val="00CA0C87"/>
    <w:rsid w:val="00CA19CD"/>
    <w:rsid w:val="00CA4A62"/>
    <w:rsid w:val="00CA561E"/>
    <w:rsid w:val="00CA5B58"/>
    <w:rsid w:val="00CA659E"/>
    <w:rsid w:val="00CB121D"/>
    <w:rsid w:val="00CB1BC5"/>
    <w:rsid w:val="00CB23DD"/>
    <w:rsid w:val="00CB2757"/>
    <w:rsid w:val="00CB2FE7"/>
    <w:rsid w:val="00CB3B57"/>
    <w:rsid w:val="00CB42AE"/>
    <w:rsid w:val="00CB6768"/>
    <w:rsid w:val="00CC17DB"/>
    <w:rsid w:val="00CC2F01"/>
    <w:rsid w:val="00CC4F98"/>
    <w:rsid w:val="00CC6453"/>
    <w:rsid w:val="00CC7F21"/>
    <w:rsid w:val="00CD1E34"/>
    <w:rsid w:val="00CD2D8A"/>
    <w:rsid w:val="00CD31EA"/>
    <w:rsid w:val="00CD692F"/>
    <w:rsid w:val="00CD7A5B"/>
    <w:rsid w:val="00CE0392"/>
    <w:rsid w:val="00CE2303"/>
    <w:rsid w:val="00CE3D47"/>
    <w:rsid w:val="00CE5481"/>
    <w:rsid w:val="00CE5866"/>
    <w:rsid w:val="00CE6AAF"/>
    <w:rsid w:val="00CF003F"/>
    <w:rsid w:val="00CF0045"/>
    <w:rsid w:val="00CF4B78"/>
    <w:rsid w:val="00CF4E6C"/>
    <w:rsid w:val="00CF7194"/>
    <w:rsid w:val="00CF7C90"/>
    <w:rsid w:val="00CF7EA0"/>
    <w:rsid w:val="00D00600"/>
    <w:rsid w:val="00D00A1F"/>
    <w:rsid w:val="00D00A29"/>
    <w:rsid w:val="00D02612"/>
    <w:rsid w:val="00D0329F"/>
    <w:rsid w:val="00D04F9C"/>
    <w:rsid w:val="00D0512B"/>
    <w:rsid w:val="00D06299"/>
    <w:rsid w:val="00D06F60"/>
    <w:rsid w:val="00D1045D"/>
    <w:rsid w:val="00D133AA"/>
    <w:rsid w:val="00D13B0B"/>
    <w:rsid w:val="00D13CCF"/>
    <w:rsid w:val="00D14CF7"/>
    <w:rsid w:val="00D1553E"/>
    <w:rsid w:val="00D1576E"/>
    <w:rsid w:val="00D15E67"/>
    <w:rsid w:val="00D20ABB"/>
    <w:rsid w:val="00D24AEE"/>
    <w:rsid w:val="00D26835"/>
    <w:rsid w:val="00D26A33"/>
    <w:rsid w:val="00D3073E"/>
    <w:rsid w:val="00D30CC7"/>
    <w:rsid w:val="00D31676"/>
    <w:rsid w:val="00D316C8"/>
    <w:rsid w:val="00D337D5"/>
    <w:rsid w:val="00D34817"/>
    <w:rsid w:val="00D355DE"/>
    <w:rsid w:val="00D365BB"/>
    <w:rsid w:val="00D3795A"/>
    <w:rsid w:val="00D37AB5"/>
    <w:rsid w:val="00D40C74"/>
    <w:rsid w:val="00D43282"/>
    <w:rsid w:val="00D43EA4"/>
    <w:rsid w:val="00D44508"/>
    <w:rsid w:val="00D47810"/>
    <w:rsid w:val="00D5128E"/>
    <w:rsid w:val="00D52C80"/>
    <w:rsid w:val="00D52FD0"/>
    <w:rsid w:val="00D53406"/>
    <w:rsid w:val="00D54385"/>
    <w:rsid w:val="00D61B82"/>
    <w:rsid w:val="00D6259C"/>
    <w:rsid w:val="00D63B91"/>
    <w:rsid w:val="00D64797"/>
    <w:rsid w:val="00D64A4A"/>
    <w:rsid w:val="00D65AB1"/>
    <w:rsid w:val="00D6679C"/>
    <w:rsid w:val="00D72C25"/>
    <w:rsid w:val="00D72F5D"/>
    <w:rsid w:val="00D73EE6"/>
    <w:rsid w:val="00D742D2"/>
    <w:rsid w:val="00D744DC"/>
    <w:rsid w:val="00D75CF7"/>
    <w:rsid w:val="00D75F59"/>
    <w:rsid w:val="00D776C3"/>
    <w:rsid w:val="00D80153"/>
    <w:rsid w:val="00D809BA"/>
    <w:rsid w:val="00D81AC7"/>
    <w:rsid w:val="00D83E45"/>
    <w:rsid w:val="00D842CD"/>
    <w:rsid w:val="00D8495C"/>
    <w:rsid w:val="00D86737"/>
    <w:rsid w:val="00D8696A"/>
    <w:rsid w:val="00D90F5A"/>
    <w:rsid w:val="00D9153B"/>
    <w:rsid w:val="00D928F1"/>
    <w:rsid w:val="00D93339"/>
    <w:rsid w:val="00D95903"/>
    <w:rsid w:val="00D95D78"/>
    <w:rsid w:val="00DA0810"/>
    <w:rsid w:val="00DA2BA9"/>
    <w:rsid w:val="00DA3FCE"/>
    <w:rsid w:val="00DA5361"/>
    <w:rsid w:val="00DA67AA"/>
    <w:rsid w:val="00DB2BE7"/>
    <w:rsid w:val="00DB4203"/>
    <w:rsid w:val="00DB4E22"/>
    <w:rsid w:val="00DB6521"/>
    <w:rsid w:val="00DB7CA1"/>
    <w:rsid w:val="00DC094F"/>
    <w:rsid w:val="00DC24B5"/>
    <w:rsid w:val="00DC25DA"/>
    <w:rsid w:val="00DC4C59"/>
    <w:rsid w:val="00DC5149"/>
    <w:rsid w:val="00DC68E1"/>
    <w:rsid w:val="00DC7FCE"/>
    <w:rsid w:val="00DC7FFB"/>
    <w:rsid w:val="00DD1B88"/>
    <w:rsid w:val="00DD334C"/>
    <w:rsid w:val="00DD3C08"/>
    <w:rsid w:val="00DD3E55"/>
    <w:rsid w:val="00DD624A"/>
    <w:rsid w:val="00DE0476"/>
    <w:rsid w:val="00DE1B2F"/>
    <w:rsid w:val="00DE1C5A"/>
    <w:rsid w:val="00DE2416"/>
    <w:rsid w:val="00DE2AAC"/>
    <w:rsid w:val="00DE561A"/>
    <w:rsid w:val="00DE5A64"/>
    <w:rsid w:val="00DE5E04"/>
    <w:rsid w:val="00DE6211"/>
    <w:rsid w:val="00DE6634"/>
    <w:rsid w:val="00DF1125"/>
    <w:rsid w:val="00DF27AC"/>
    <w:rsid w:val="00DF28E7"/>
    <w:rsid w:val="00DF2FD1"/>
    <w:rsid w:val="00DF399A"/>
    <w:rsid w:val="00DF447B"/>
    <w:rsid w:val="00DF6280"/>
    <w:rsid w:val="00DF74A0"/>
    <w:rsid w:val="00DF7B14"/>
    <w:rsid w:val="00DF7EC0"/>
    <w:rsid w:val="00E00009"/>
    <w:rsid w:val="00E001E5"/>
    <w:rsid w:val="00E01EF4"/>
    <w:rsid w:val="00E028BF"/>
    <w:rsid w:val="00E02CF2"/>
    <w:rsid w:val="00E02E45"/>
    <w:rsid w:val="00E04947"/>
    <w:rsid w:val="00E069F7"/>
    <w:rsid w:val="00E06C35"/>
    <w:rsid w:val="00E0710D"/>
    <w:rsid w:val="00E07F71"/>
    <w:rsid w:val="00E1108F"/>
    <w:rsid w:val="00E114D8"/>
    <w:rsid w:val="00E1256E"/>
    <w:rsid w:val="00E1347F"/>
    <w:rsid w:val="00E14047"/>
    <w:rsid w:val="00E14CE0"/>
    <w:rsid w:val="00E156F5"/>
    <w:rsid w:val="00E1621B"/>
    <w:rsid w:val="00E21114"/>
    <w:rsid w:val="00E22B84"/>
    <w:rsid w:val="00E24CAF"/>
    <w:rsid w:val="00E26045"/>
    <w:rsid w:val="00E26108"/>
    <w:rsid w:val="00E26BDB"/>
    <w:rsid w:val="00E27304"/>
    <w:rsid w:val="00E304D5"/>
    <w:rsid w:val="00E32C3D"/>
    <w:rsid w:val="00E33084"/>
    <w:rsid w:val="00E335A4"/>
    <w:rsid w:val="00E337F5"/>
    <w:rsid w:val="00E339E4"/>
    <w:rsid w:val="00E34593"/>
    <w:rsid w:val="00E34EBC"/>
    <w:rsid w:val="00E37211"/>
    <w:rsid w:val="00E37848"/>
    <w:rsid w:val="00E4034D"/>
    <w:rsid w:val="00E404B3"/>
    <w:rsid w:val="00E41148"/>
    <w:rsid w:val="00E41EE7"/>
    <w:rsid w:val="00E42084"/>
    <w:rsid w:val="00E44854"/>
    <w:rsid w:val="00E4616C"/>
    <w:rsid w:val="00E50109"/>
    <w:rsid w:val="00E52AF3"/>
    <w:rsid w:val="00E540EA"/>
    <w:rsid w:val="00E55808"/>
    <w:rsid w:val="00E5597C"/>
    <w:rsid w:val="00E559EA"/>
    <w:rsid w:val="00E5696D"/>
    <w:rsid w:val="00E56E45"/>
    <w:rsid w:val="00E57345"/>
    <w:rsid w:val="00E6161C"/>
    <w:rsid w:val="00E62DEC"/>
    <w:rsid w:val="00E63096"/>
    <w:rsid w:val="00E63233"/>
    <w:rsid w:val="00E63A35"/>
    <w:rsid w:val="00E63FE6"/>
    <w:rsid w:val="00E65960"/>
    <w:rsid w:val="00E65F8A"/>
    <w:rsid w:val="00E66ECB"/>
    <w:rsid w:val="00E67486"/>
    <w:rsid w:val="00E70596"/>
    <w:rsid w:val="00E727CE"/>
    <w:rsid w:val="00E73D84"/>
    <w:rsid w:val="00E749E1"/>
    <w:rsid w:val="00E8007A"/>
    <w:rsid w:val="00E80578"/>
    <w:rsid w:val="00E80B43"/>
    <w:rsid w:val="00E833CB"/>
    <w:rsid w:val="00E83995"/>
    <w:rsid w:val="00E83CBA"/>
    <w:rsid w:val="00E83D2E"/>
    <w:rsid w:val="00E83FB2"/>
    <w:rsid w:val="00E844D4"/>
    <w:rsid w:val="00E87CFC"/>
    <w:rsid w:val="00E90615"/>
    <w:rsid w:val="00E91FE0"/>
    <w:rsid w:val="00E95AC2"/>
    <w:rsid w:val="00E97167"/>
    <w:rsid w:val="00E97DBB"/>
    <w:rsid w:val="00EA0169"/>
    <w:rsid w:val="00EA093A"/>
    <w:rsid w:val="00EA3781"/>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C6DF4"/>
    <w:rsid w:val="00ED024E"/>
    <w:rsid w:val="00ED0BDC"/>
    <w:rsid w:val="00ED194C"/>
    <w:rsid w:val="00ED2C26"/>
    <w:rsid w:val="00ED3898"/>
    <w:rsid w:val="00ED5EC2"/>
    <w:rsid w:val="00EE0DF2"/>
    <w:rsid w:val="00EE1124"/>
    <w:rsid w:val="00EE21DD"/>
    <w:rsid w:val="00EE45D9"/>
    <w:rsid w:val="00EE56DF"/>
    <w:rsid w:val="00EE5ED7"/>
    <w:rsid w:val="00EE64CC"/>
    <w:rsid w:val="00EE6D6B"/>
    <w:rsid w:val="00EF1A24"/>
    <w:rsid w:val="00EF1BF1"/>
    <w:rsid w:val="00EF71E1"/>
    <w:rsid w:val="00F01BD5"/>
    <w:rsid w:val="00F024E3"/>
    <w:rsid w:val="00F0264E"/>
    <w:rsid w:val="00F02815"/>
    <w:rsid w:val="00F05EAF"/>
    <w:rsid w:val="00F06D7C"/>
    <w:rsid w:val="00F1030E"/>
    <w:rsid w:val="00F1049D"/>
    <w:rsid w:val="00F119F0"/>
    <w:rsid w:val="00F147FD"/>
    <w:rsid w:val="00F15FC1"/>
    <w:rsid w:val="00F166CE"/>
    <w:rsid w:val="00F17762"/>
    <w:rsid w:val="00F213D1"/>
    <w:rsid w:val="00F23C5A"/>
    <w:rsid w:val="00F23E91"/>
    <w:rsid w:val="00F261BC"/>
    <w:rsid w:val="00F277D4"/>
    <w:rsid w:val="00F31104"/>
    <w:rsid w:val="00F33E65"/>
    <w:rsid w:val="00F34E93"/>
    <w:rsid w:val="00F43F5A"/>
    <w:rsid w:val="00F44511"/>
    <w:rsid w:val="00F4474B"/>
    <w:rsid w:val="00F45A0A"/>
    <w:rsid w:val="00F508EF"/>
    <w:rsid w:val="00F5097D"/>
    <w:rsid w:val="00F513E5"/>
    <w:rsid w:val="00F5219B"/>
    <w:rsid w:val="00F53138"/>
    <w:rsid w:val="00F534C0"/>
    <w:rsid w:val="00F541F2"/>
    <w:rsid w:val="00F54930"/>
    <w:rsid w:val="00F5523B"/>
    <w:rsid w:val="00F623B6"/>
    <w:rsid w:val="00F6280F"/>
    <w:rsid w:val="00F62819"/>
    <w:rsid w:val="00F6394B"/>
    <w:rsid w:val="00F6653B"/>
    <w:rsid w:val="00F708D9"/>
    <w:rsid w:val="00F720FB"/>
    <w:rsid w:val="00F721C2"/>
    <w:rsid w:val="00F724AA"/>
    <w:rsid w:val="00F8009B"/>
    <w:rsid w:val="00F80602"/>
    <w:rsid w:val="00F81376"/>
    <w:rsid w:val="00F84840"/>
    <w:rsid w:val="00F84C20"/>
    <w:rsid w:val="00F85CE3"/>
    <w:rsid w:val="00F87614"/>
    <w:rsid w:val="00F92112"/>
    <w:rsid w:val="00F9230A"/>
    <w:rsid w:val="00F92366"/>
    <w:rsid w:val="00F92753"/>
    <w:rsid w:val="00F9598E"/>
    <w:rsid w:val="00F959E2"/>
    <w:rsid w:val="00F96B32"/>
    <w:rsid w:val="00F9735A"/>
    <w:rsid w:val="00FA42F4"/>
    <w:rsid w:val="00FA6502"/>
    <w:rsid w:val="00FA7C3C"/>
    <w:rsid w:val="00FB0730"/>
    <w:rsid w:val="00FB0BC1"/>
    <w:rsid w:val="00FB14A0"/>
    <w:rsid w:val="00FB4E4A"/>
    <w:rsid w:val="00FB5170"/>
    <w:rsid w:val="00FB6D3A"/>
    <w:rsid w:val="00FB7924"/>
    <w:rsid w:val="00FB7E62"/>
    <w:rsid w:val="00FB7F35"/>
    <w:rsid w:val="00FC11D6"/>
    <w:rsid w:val="00FC2149"/>
    <w:rsid w:val="00FC48DD"/>
    <w:rsid w:val="00FC569E"/>
    <w:rsid w:val="00FC67E5"/>
    <w:rsid w:val="00FC6BFF"/>
    <w:rsid w:val="00FC720C"/>
    <w:rsid w:val="00FC7B5F"/>
    <w:rsid w:val="00FC7CEA"/>
    <w:rsid w:val="00FD04EB"/>
    <w:rsid w:val="00FD1036"/>
    <w:rsid w:val="00FD131D"/>
    <w:rsid w:val="00FD144E"/>
    <w:rsid w:val="00FD303C"/>
    <w:rsid w:val="00FD33B3"/>
    <w:rsid w:val="00FD5177"/>
    <w:rsid w:val="00FD5A99"/>
    <w:rsid w:val="00FD7511"/>
    <w:rsid w:val="00FE35E1"/>
    <w:rsid w:val="00FE3AFC"/>
    <w:rsid w:val="00FE6D86"/>
    <w:rsid w:val="00FF0DA7"/>
    <w:rsid w:val="00FF3276"/>
    <w:rsid w:val="00FF3C71"/>
    <w:rsid w:val="00FF4397"/>
    <w:rsid w:val="00FF56B9"/>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4FD573"/>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n,ALTS FOOTNOTE,FOOTNOTES,Footnote Text1,Fodnotetekst Tegn,footnote text Char,Fodnotetekst Tegn Char,single space Char,footnote text Char Char Char,Fodnotetekst Tegn Char1,single space Char1,ADB,Footnote Text Char1,Char,ft"/>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NECG) Footnote Reference,Ref,de nota al pie,note bp,BVI fnr,16 Point,Superscript 6 Point,Footnote Reference Number,Footnote Reference_LVL6,Footnote Reference_LVL61,Footnote Reference_LVL62,Footnote Reference_LVL63,Знак сноски 1"/>
    <w:link w:val="BVIfnrCharCharChar"/>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Numbered Paragraph,Main numbered paragraph,References,Numbered List Paragraph,123 List Paragraph,List Paragraph1,WB Para,Lapis Bulleted List,Dot pt,F5 List Paragraph,No Spacing1,Table/Figure Heading,Bullet 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2,fn Char,ALTS FOOTNOTE Char,FOOTNOTES Char,Footnote Text1 Char,Fodnotetekst Tegn Char2,footnote text Char Char,Fodnotetekst Tegn Char Char,single space Char Char,footnote text Char Char Char Char,ADB Char,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Numbered Paragraph Char,Main numbered paragraph Char,References Char,Numbered List Paragraph Char,123 List Paragraph Char,List Paragraph1 Char,WB Para Char,Lapis Bulleted List Char,Dot pt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customStyle="1" w:styleId="BVIfnrCharCharChar">
    <w:name w:val="BVI fnr Char Char Char"/>
    <w:aliases w:val=" BVI fnr Car Car Char Char Char,BVI fnr Car Char Char Char, BVI fnr Car Car Car Car Char Char Char Char Char, BVI fnr Char Char Char,BVI fnr Car Car Char Char Char,BVI fnr Car Car Car Car Char Char Char Char Char"/>
    <w:basedOn w:val="Normal"/>
    <w:link w:val="FootnoteReference"/>
    <w:uiPriority w:val="99"/>
    <w:rsid w:val="00FC7CEA"/>
    <w:pPr>
      <w:widowControl w:val="0"/>
      <w:spacing w:after="120" w:line="240" w:lineRule="exact"/>
      <w:jc w:val="both"/>
    </w:pPr>
    <w:rPr>
      <w:vertAlign w:val="superscript"/>
      <w:lang w:val="en-GB" w:eastAsia="en-GB"/>
    </w:rPr>
  </w:style>
  <w:style w:type="paragraph" w:customStyle="1" w:styleId="Default">
    <w:name w:val="Default"/>
    <w:basedOn w:val="Normal"/>
    <w:rsid w:val="00FC7CEA"/>
    <w:pPr>
      <w:autoSpaceDE w:val="0"/>
      <w:autoSpaceDN w:val="0"/>
    </w:pPr>
    <w:rPr>
      <w:rFonts w:ascii="Segoe UI" w:eastAsiaTheme="minorHAnsi" w:hAnsi="Segoe UI" w:cs="Segoe UI"/>
      <w:color w:val="000000"/>
      <w:sz w:val="24"/>
      <w:szCs w:val="24"/>
    </w:rPr>
  </w:style>
  <w:style w:type="character" w:customStyle="1" w:styleId="st">
    <w:name w:val="st"/>
    <w:basedOn w:val="DefaultParagraphFont"/>
    <w:rsid w:val="00FC7CEA"/>
  </w:style>
  <w:style w:type="character" w:customStyle="1" w:styleId="apple-converted-space">
    <w:name w:val="apple-converted-space"/>
    <w:basedOn w:val="DefaultParagraphFont"/>
    <w:rsid w:val="00DB6521"/>
  </w:style>
  <w:style w:type="table" w:styleId="TableGrid">
    <w:name w:val="Table Grid"/>
    <w:basedOn w:val="TableNormal"/>
    <w:rsid w:val="009D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752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www.ulandssektretariatet.dk/site/default/files/uploads/public/PDF/LMP/Imp-malawi-2014-final-version-pdf" TargetMode="External"/><Relationship Id="rId2" Type="http://schemas.openxmlformats.org/officeDocument/2006/relationships/hyperlink" Target="http://www.theglobaleconomy.com/Malawi" TargetMode="External"/><Relationship Id="rId1" Type="http://schemas.openxmlformats.org/officeDocument/2006/relationships/hyperlink" Target="http://www.sdgindex.org/" TargetMode="External"/><Relationship Id="rId5" Type="http://schemas.openxmlformats.org/officeDocument/2006/relationships/hyperlink" Target="https://www.transparency.org/country/MWI" TargetMode="External"/><Relationship Id="rId4" Type="http://schemas.openxmlformats.org/officeDocument/2006/relationships/hyperlink" Target="https://www.amnesty.org.uk/sites/default/files/we_are_not_animals_-_malawi_report_-_final_formate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830C74D9-9C65-42EB-B804-F431A631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6264</Words>
  <Characters>35707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UNDP Malawi CPD (2018-2023)</vt:lpstr>
    </vt:vector>
  </TitlesOfParts>
  <Company>UNDP Malawi</Company>
  <LinksUpToDate>false</LinksUpToDate>
  <CharactersWithSpaces>41888</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Malawi CPD (2018-2023)</dc:title>
  <dc:creator>Andrew Spezowka</dc:creator>
  <cp:lastModifiedBy>Svetlana Iazykova</cp:lastModifiedBy>
  <cp:revision>3</cp:revision>
  <cp:lastPrinted>2018-02-27T07:20:00Z</cp:lastPrinted>
  <dcterms:created xsi:type="dcterms:W3CDTF">2018-03-06T15:51:00Z</dcterms:created>
  <dcterms:modified xsi:type="dcterms:W3CDTF">2018-03-06T15:53:00Z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