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29" w:rsidRPr="00A23129" w:rsidRDefault="00A23129" w:rsidP="00A23129">
      <w:pPr>
        <w:jc w:val="center"/>
        <w:rPr>
          <w:b/>
          <w:lang w:val="en-GB"/>
        </w:rPr>
      </w:pPr>
      <w:r w:rsidRPr="00A23129">
        <w:rPr>
          <w:b/>
          <w:lang w:val="en-GB"/>
        </w:rPr>
        <w:t xml:space="preserve">Tabulated Response to Comments on the Draft </w:t>
      </w:r>
      <w:r>
        <w:rPr>
          <w:b/>
          <w:lang w:val="en-GB"/>
        </w:rPr>
        <w:t xml:space="preserve">CPD </w:t>
      </w:r>
      <w:r w:rsidR="00850A48">
        <w:rPr>
          <w:b/>
          <w:lang w:val="en-GB"/>
        </w:rPr>
        <w:t>Burkina Faso</w:t>
      </w:r>
      <w:r w:rsidRPr="00A23129">
        <w:rPr>
          <w:b/>
          <w:lang w:val="en-GB"/>
        </w:rPr>
        <w:t xml:space="preserve"> (201</w:t>
      </w:r>
      <w:r w:rsidR="00850A48">
        <w:rPr>
          <w:b/>
          <w:lang w:val="en-GB"/>
        </w:rPr>
        <w:t>8</w:t>
      </w:r>
      <w:r w:rsidRPr="00A23129">
        <w:rPr>
          <w:b/>
          <w:lang w:val="en-GB"/>
        </w:rPr>
        <w:t>-202</w:t>
      </w:r>
      <w:r w:rsidR="00FD577A">
        <w:rPr>
          <w:b/>
          <w:lang w:val="en-GB"/>
        </w:rPr>
        <w:t>0</w:t>
      </w:r>
      <w:r w:rsidRPr="00A23129">
        <w:rPr>
          <w:b/>
          <w:lang w:val="en-GB"/>
        </w:rPr>
        <w:t>)</w:t>
      </w:r>
    </w:p>
    <w:p w:rsidR="00A23129" w:rsidRDefault="007B5340" w:rsidP="00A23129">
      <w:pPr>
        <w:jc w:val="center"/>
        <w:rPr>
          <w:b/>
          <w:lang w:val="en-GB"/>
        </w:rPr>
      </w:pPr>
      <w:r>
        <w:rPr>
          <w:b/>
          <w:lang w:val="en-GB"/>
        </w:rPr>
        <w:t>24 November 2017</w:t>
      </w:r>
    </w:p>
    <w:tbl>
      <w:tblPr>
        <w:tblStyle w:val="TableGrid"/>
        <w:tblW w:w="0" w:type="auto"/>
        <w:tblLook w:val="04A0" w:firstRow="1" w:lastRow="0" w:firstColumn="1" w:lastColumn="0" w:noHBand="0" w:noVBand="1"/>
      </w:tblPr>
      <w:tblGrid>
        <w:gridCol w:w="4945"/>
        <w:gridCol w:w="3330"/>
        <w:gridCol w:w="3780"/>
      </w:tblGrid>
      <w:tr w:rsidR="00A23129" w:rsidRPr="00A23129" w:rsidTr="00F45665">
        <w:trPr>
          <w:tblHeader/>
        </w:trPr>
        <w:tc>
          <w:tcPr>
            <w:tcW w:w="4945" w:type="dxa"/>
          </w:tcPr>
          <w:p w:rsidR="00A23129" w:rsidRPr="00A23129" w:rsidRDefault="00A23129" w:rsidP="00A23129">
            <w:pPr>
              <w:rPr>
                <w:b/>
              </w:rPr>
            </w:pPr>
            <w:r w:rsidRPr="00A23129">
              <w:rPr>
                <w:b/>
              </w:rPr>
              <w:t>Comments</w:t>
            </w:r>
          </w:p>
        </w:tc>
        <w:tc>
          <w:tcPr>
            <w:tcW w:w="3330" w:type="dxa"/>
          </w:tcPr>
          <w:p w:rsidR="00A23129" w:rsidRPr="00A23129" w:rsidRDefault="00A23129" w:rsidP="00A23129">
            <w:pPr>
              <w:rPr>
                <w:b/>
              </w:rPr>
            </w:pPr>
            <w:r w:rsidRPr="00A23129">
              <w:rPr>
                <w:b/>
              </w:rPr>
              <w:t>Status</w:t>
            </w:r>
          </w:p>
        </w:tc>
        <w:tc>
          <w:tcPr>
            <w:tcW w:w="3780" w:type="dxa"/>
          </w:tcPr>
          <w:p w:rsidR="00A23129" w:rsidRPr="00A23129" w:rsidRDefault="00A23129" w:rsidP="00A23129">
            <w:pPr>
              <w:rPr>
                <w:b/>
              </w:rPr>
            </w:pPr>
            <w:r w:rsidRPr="00A23129">
              <w:rPr>
                <w:b/>
              </w:rPr>
              <w:t>CO Remarks</w:t>
            </w:r>
          </w:p>
        </w:tc>
      </w:tr>
      <w:tr w:rsidR="00F45665" w:rsidRPr="00FD577A" w:rsidTr="00F42A6A">
        <w:tc>
          <w:tcPr>
            <w:tcW w:w="12055" w:type="dxa"/>
            <w:gridSpan w:val="3"/>
          </w:tcPr>
          <w:p w:rsidR="00F45665" w:rsidRPr="00FD577A" w:rsidRDefault="00F45665" w:rsidP="00F45665">
            <w:pPr>
              <w:jc w:val="center"/>
            </w:pPr>
            <w:r w:rsidRPr="002C1D33">
              <w:rPr>
                <w:b/>
                <w:bCs/>
                <w:lang w:val="en-GB"/>
              </w:rPr>
              <w:t>Relevance and Alignment</w:t>
            </w:r>
          </w:p>
        </w:tc>
      </w:tr>
      <w:tr w:rsidR="00C26835" w:rsidRPr="00FD577A" w:rsidTr="001E528A">
        <w:tc>
          <w:tcPr>
            <w:tcW w:w="4945" w:type="dxa"/>
          </w:tcPr>
          <w:p w:rsidR="00C26835" w:rsidRDefault="00C26835" w:rsidP="00D330EA">
            <w:pPr>
              <w:rPr>
                <w:rFonts w:eastAsia="Times New Roman"/>
                <w:lang w:val="en-CA"/>
              </w:rPr>
            </w:pPr>
            <w:r>
              <w:rPr>
                <w:rFonts w:eastAsia="Times New Roman"/>
              </w:rPr>
              <w:t>Ensuring we don’t set up parallel implementation structures, what in the past was called “Project Implementation Units”</w:t>
            </w:r>
          </w:p>
        </w:tc>
        <w:tc>
          <w:tcPr>
            <w:tcW w:w="3330" w:type="dxa"/>
          </w:tcPr>
          <w:p w:rsidR="00C26835" w:rsidRPr="00FD577A" w:rsidRDefault="00C26835" w:rsidP="00F45665"/>
        </w:tc>
        <w:tc>
          <w:tcPr>
            <w:tcW w:w="3780" w:type="dxa"/>
          </w:tcPr>
          <w:p w:rsidR="00C26835" w:rsidRDefault="00C26835" w:rsidP="00F45665">
            <w:r>
              <w:t>Comment noted</w:t>
            </w:r>
          </w:p>
        </w:tc>
      </w:tr>
      <w:tr w:rsidR="00EF0FD4" w:rsidRPr="00FD577A" w:rsidTr="001E528A">
        <w:tc>
          <w:tcPr>
            <w:tcW w:w="4945" w:type="dxa"/>
          </w:tcPr>
          <w:p w:rsidR="00EF0FD4" w:rsidRPr="002C1D33" w:rsidRDefault="00EF0FD4" w:rsidP="00EF0FD4">
            <w:pPr>
              <w:autoSpaceDE w:val="0"/>
              <w:autoSpaceDN w:val="0"/>
              <w:rPr>
                <w:lang w:val="en-ZW"/>
              </w:rPr>
            </w:pPr>
            <w:r>
              <w:rPr>
                <w:rFonts w:eastAsia="Times New Roman"/>
              </w:rPr>
              <w:t>Ensuring that indicators are aligned to PNDES and I should add (SDGs too)</w:t>
            </w:r>
          </w:p>
        </w:tc>
        <w:tc>
          <w:tcPr>
            <w:tcW w:w="3330" w:type="dxa"/>
          </w:tcPr>
          <w:p w:rsidR="00EF0FD4" w:rsidRPr="00FD577A" w:rsidRDefault="00EF0FD4" w:rsidP="00EF0FD4"/>
        </w:tc>
        <w:tc>
          <w:tcPr>
            <w:tcW w:w="3780" w:type="dxa"/>
          </w:tcPr>
          <w:p w:rsidR="00EF0FD4" w:rsidRDefault="00EF0FD4" w:rsidP="00EF0FD4">
            <w:r>
              <w:t>Comment noted</w:t>
            </w:r>
            <w:r w:rsidR="00C0319A">
              <w:t xml:space="preserve">. </w:t>
            </w:r>
            <w:r w:rsidR="00EB5E11">
              <w:t>80% of indicators already aligned to PNDES which is 89% SDG aligned.</w:t>
            </w:r>
          </w:p>
        </w:tc>
      </w:tr>
      <w:tr w:rsidR="00EF0FD4" w:rsidRPr="00FD577A" w:rsidTr="001E528A">
        <w:tc>
          <w:tcPr>
            <w:tcW w:w="4945" w:type="dxa"/>
          </w:tcPr>
          <w:p w:rsidR="00EF0FD4" w:rsidRDefault="00EF0FD4" w:rsidP="00EF0FD4">
            <w:pPr>
              <w:rPr>
                <w:rFonts w:eastAsia="Times New Roman"/>
                <w:lang w:val="en-CA"/>
              </w:rPr>
            </w:pPr>
            <w:r>
              <w:rPr>
                <w:rFonts w:eastAsia="Times New Roman"/>
                <w:lang w:val="en-CA"/>
              </w:rPr>
              <w:t>Programme Rationale: (Para 1) Doesn’t the reference to 27 years refer to the period 1987 to 2014?</w:t>
            </w:r>
          </w:p>
          <w:p w:rsidR="00EF0FD4" w:rsidRDefault="00EF0FD4" w:rsidP="00EF0FD4">
            <w:pPr>
              <w:pStyle w:val="ListParagraph"/>
              <w:rPr>
                <w:color w:val="000000"/>
                <w:lang w:val="en-CA"/>
              </w:rPr>
            </w:pPr>
          </w:p>
          <w:p w:rsidR="00EF0FD4" w:rsidRPr="002C1D33" w:rsidRDefault="00EF0FD4" w:rsidP="00EF0FD4">
            <w:pPr>
              <w:rPr>
                <w:lang w:val="en-GB"/>
              </w:rPr>
            </w:pPr>
          </w:p>
        </w:tc>
        <w:tc>
          <w:tcPr>
            <w:tcW w:w="3330" w:type="dxa"/>
          </w:tcPr>
          <w:p w:rsidR="00EF0FD4" w:rsidRPr="00FD577A" w:rsidRDefault="00EF0FD4" w:rsidP="00EF0FD4"/>
        </w:tc>
        <w:tc>
          <w:tcPr>
            <w:tcW w:w="3780" w:type="dxa"/>
          </w:tcPr>
          <w:p w:rsidR="00EF0FD4" w:rsidRPr="00FD577A" w:rsidRDefault="00EF0FD4" w:rsidP="00EF0FD4">
            <w:r>
              <w:t>Yes</w:t>
            </w:r>
          </w:p>
        </w:tc>
      </w:tr>
      <w:tr w:rsidR="00EF0FD4" w:rsidRPr="00FD577A" w:rsidTr="001E528A">
        <w:tc>
          <w:tcPr>
            <w:tcW w:w="4945" w:type="dxa"/>
          </w:tcPr>
          <w:p w:rsidR="00EF0FD4" w:rsidRDefault="00EF0FD4" w:rsidP="00EF0FD4">
            <w:pPr>
              <w:rPr>
                <w:rFonts w:eastAsia="Times New Roman"/>
                <w:lang w:val="en-CA"/>
              </w:rPr>
            </w:pPr>
            <w:r>
              <w:rPr>
                <w:rFonts w:eastAsia="Times New Roman"/>
              </w:rPr>
              <w:t>UNDP contribution to demographic transition and dividend  </w:t>
            </w:r>
          </w:p>
        </w:tc>
        <w:tc>
          <w:tcPr>
            <w:tcW w:w="3330" w:type="dxa"/>
          </w:tcPr>
          <w:p w:rsidR="00EF0FD4" w:rsidRPr="00FD577A" w:rsidRDefault="00EF0FD4" w:rsidP="00EF0FD4"/>
        </w:tc>
        <w:tc>
          <w:tcPr>
            <w:tcW w:w="3780" w:type="dxa"/>
          </w:tcPr>
          <w:p w:rsidR="00EF0FD4" w:rsidRDefault="00C0319A" w:rsidP="00EF0FD4">
            <w:r>
              <w:rPr>
                <w:rFonts w:eastAsia="Times New Roman"/>
                <w:bCs/>
              </w:rPr>
              <w:t xml:space="preserve">One of the core areas of support by UN development system beyond a single agency as reflected </w:t>
            </w:r>
            <w:r w:rsidR="00EF0FD4" w:rsidRPr="00801A59">
              <w:rPr>
                <w:rFonts w:eastAsia="Times New Roman"/>
                <w:bCs/>
              </w:rPr>
              <w:t>in UNDAF</w:t>
            </w:r>
            <w:r>
              <w:rPr>
                <w:rFonts w:eastAsia="Times New Roman"/>
                <w:bCs/>
              </w:rPr>
              <w:t>, vision statement and collective outcomes. Based mandate and comparative advantage, UNDP</w:t>
            </w:r>
            <w:r w:rsidR="009C0FB6">
              <w:rPr>
                <w:rFonts w:eastAsia="Times New Roman"/>
                <w:bCs/>
              </w:rPr>
              <w:t xml:space="preserve"> </w:t>
            </w:r>
            <w:r>
              <w:rPr>
                <w:rFonts w:eastAsia="Times New Roman"/>
                <w:bCs/>
              </w:rPr>
              <w:t>CPD to</w:t>
            </w:r>
            <w:r w:rsidR="00EF0FD4" w:rsidRPr="00801A59">
              <w:rPr>
                <w:rFonts w:eastAsia="Times New Roman"/>
                <w:bCs/>
              </w:rPr>
              <w:t xml:space="preserve"> contribut</w:t>
            </w:r>
            <w:r>
              <w:rPr>
                <w:rFonts w:eastAsia="Times New Roman"/>
                <w:bCs/>
              </w:rPr>
              <w:t>e</w:t>
            </w:r>
            <w:r w:rsidR="00EF0FD4" w:rsidRPr="00801A59">
              <w:rPr>
                <w:rFonts w:eastAsia="Times New Roman"/>
                <w:bCs/>
              </w:rPr>
              <w:t xml:space="preserve"> through investment in Youth</w:t>
            </w:r>
            <w:r>
              <w:rPr>
                <w:rFonts w:eastAsia="Times New Roman"/>
                <w:bCs/>
              </w:rPr>
              <w:t xml:space="preserve">, </w:t>
            </w:r>
            <w:proofErr w:type="gramStart"/>
            <w:r>
              <w:rPr>
                <w:rFonts w:eastAsia="Times New Roman"/>
                <w:bCs/>
              </w:rPr>
              <w:t>in particular women</w:t>
            </w:r>
            <w:proofErr w:type="gramEnd"/>
            <w:r>
              <w:rPr>
                <w:rFonts w:eastAsia="Times New Roman"/>
                <w:bCs/>
              </w:rPr>
              <w:t>.</w:t>
            </w:r>
          </w:p>
        </w:tc>
      </w:tr>
      <w:tr w:rsidR="00EF0FD4" w:rsidRPr="00FD577A" w:rsidTr="00F61567">
        <w:tc>
          <w:tcPr>
            <w:tcW w:w="12055" w:type="dxa"/>
            <w:gridSpan w:val="3"/>
          </w:tcPr>
          <w:p w:rsidR="00EF0FD4" w:rsidRPr="00EF0FD4" w:rsidRDefault="00EF0FD4" w:rsidP="00EF0FD4">
            <w:pPr>
              <w:jc w:val="center"/>
              <w:rPr>
                <w:b/>
              </w:rPr>
            </w:pPr>
            <w:r w:rsidRPr="00EF0FD4">
              <w:rPr>
                <w:b/>
              </w:rPr>
              <w:t>Gender</w:t>
            </w:r>
          </w:p>
        </w:tc>
      </w:tr>
      <w:tr w:rsidR="00EF0FD4" w:rsidRPr="00FD577A" w:rsidTr="001E528A">
        <w:tc>
          <w:tcPr>
            <w:tcW w:w="4945" w:type="dxa"/>
          </w:tcPr>
          <w:p w:rsidR="00EF0FD4" w:rsidRPr="002C1D33" w:rsidRDefault="00EF0FD4" w:rsidP="00EF0FD4">
            <w:pPr>
              <w:rPr>
                <w:lang w:val="en-GB"/>
              </w:rPr>
            </w:pPr>
            <w:r>
              <w:rPr>
                <w:rFonts w:eastAsia="Times New Roman"/>
                <w:color w:val="000000"/>
                <w:lang w:val="en-CA"/>
              </w:rPr>
              <w:t>(Para 6) “Because women and young girls are expected to gather fuel, and carry out tasks that require mechanical/modern energy sources, it takes them away from other productive activities and/or opportunities for education.”</w:t>
            </w:r>
            <w:r>
              <w:rPr>
                <w:rFonts w:eastAsia="Times New Roman"/>
                <w:lang w:val="en-CA"/>
              </w:rPr>
              <w:t xml:space="preserve"> Was the intention to say that mechanical/modern energy source, if made available, would free up women’s and girls’ time for education and other productive activities? </w:t>
            </w:r>
          </w:p>
        </w:tc>
        <w:tc>
          <w:tcPr>
            <w:tcW w:w="3330" w:type="dxa"/>
          </w:tcPr>
          <w:p w:rsidR="00EF0FD4" w:rsidRPr="00FD577A" w:rsidRDefault="00EF0FD4" w:rsidP="00EF0FD4"/>
        </w:tc>
        <w:tc>
          <w:tcPr>
            <w:tcW w:w="3780" w:type="dxa"/>
          </w:tcPr>
          <w:p w:rsidR="00EF0FD4" w:rsidRPr="00FD577A" w:rsidRDefault="00EF0FD4" w:rsidP="00EF0FD4">
            <w:r>
              <w:t>Yes</w:t>
            </w:r>
            <w:r w:rsidR="00A03A07">
              <w:t xml:space="preserve">. </w:t>
            </w:r>
          </w:p>
        </w:tc>
      </w:tr>
    </w:tbl>
    <w:p w:rsidR="00A35682" w:rsidRDefault="00A35682">
      <w:r>
        <w:br w:type="page"/>
      </w:r>
      <w:bookmarkStart w:id="0" w:name="_GoBack"/>
      <w:bookmarkEnd w:id="0"/>
    </w:p>
    <w:tbl>
      <w:tblPr>
        <w:tblStyle w:val="TableGrid"/>
        <w:tblW w:w="0" w:type="auto"/>
        <w:tblLook w:val="04A0" w:firstRow="1" w:lastRow="0" w:firstColumn="1" w:lastColumn="0" w:noHBand="0" w:noVBand="1"/>
      </w:tblPr>
      <w:tblGrid>
        <w:gridCol w:w="4945"/>
        <w:gridCol w:w="3330"/>
        <w:gridCol w:w="3780"/>
      </w:tblGrid>
      <w:tr w:rsidR="00EF0FD4" w:rsidRPr="00FD577A" w:rsidTr="00366D77">
        <w:tc>
          <w:tcPr>
            <w:tcW w:w="12055" w:type="dxa"/>
            <w:gridSpan w:val="3"/>
          </w:tcPr>
          <w:p w:rsidR="00EF0FD4" w:rsidRPr="00FD577A" w:rsidRDefault="00EF0FD4" w:rsidP="00EF0FD4">
            <w:pPr>
              <w:jc w:val="center"/>
            </w:pPr>
            <w:r>
              <w:rPr>
                <w:b/>
                <w:bCs/>
                <w:lang w:val="en-GB"/>
              </w:rPr>
              <w:lastRenderedPageBreak/>
              <w:t>Prioritization</w:t>
            </w:r>
          </w:p>
        </w:tc>
      </w:tr>
      <w:tr w:rsidR="00EF0FD4" w:rsidRPr="00FD577A" w:rsidTr="00B3658F">
        <w:trPr>
          <w:trHeight w:val="3392"/>
        </w:trPr>
        <w:tc>
          <w:tcPr>
            <w:tcW w:w="4945" w:type="dxa"/>
          </w:tcPr>
          <w:p w:rsidR="00EF0FD4" w:rsidRPr="002C1D33" w:rsidRDefault="00EF0FD4" w:rsidP="00EF0FD4">
            <w:pPr>
              <w:rPr>
                <w:lang w:val="en-GB"/>
              </w:rPr>
            </w:pPr>
            <w:r w:rsidRPr="001D2C31">
              <w:rPr>
                <w:rFonts w:eastAsia="Times New Roman"/>
                <w:color w:val="000000"/>
                <w:lang w:val="en-CA"/>
              </w:rPr>
              <w:t>The analysis of challenges in Burkina Faso is good. The UNDP priorities on reform (justice, security, public procurement), civic education, modern energy, youth employment, natural resource management, climate adaptation, and disaster prevention and disaster risk management are all relevant priorities, but gives the impression of a rather wide and unfocused UNDP focus in Burkina Faso. In which of these areas does UNDP have the most value added? Could UNDP become more effective if the number of priority areas was scaled down?</w:t>
            </w:r>
          </w:p>
        </w:tc>
        <w:tc>
          <w:tcPr>
            <w:tcW w:w="3330" w:type="dxa"/>
          </w:tcPr>
          <w:p w:rsidR="00EF0FD4" w:rsidRPr="00FD577A" w:rsidRDefault="00EF0FD4" w:rsidP="00EF0FD4"/>
        </w:tc>
        <w:tc>
          <w:tcPr>
            <w:tcW w:w="3780" w:type="dxa"/>
          </w:tcPr>
          <w:p w:rsidR="00EF0FD4" w:rsidRPr="00FD577A" w:rsidRDefault="00EF0FD4" w:rsidP="00A03A07">
            <w:r>
              <w:t xml:space="preserve">The priorities have been identified </w:t>
            </w:r>
            <w:r w:rsidR="00A03A07">
              <w:t>are based on extensive consultations and core areas of support agreed with government where UNDP is considered to have i) mandate, 2) proven expertise and 3) comparative advantage to support the implementation of the national social and economic development plan. They are organized around three pillars, i.e.; governance &amp; rule of law, inclusive and sustainable development and resilience building.</w:t>
            </w:r>
          </w:p>
        </w:tc>
      </w:tr>
      <w:tr w:rsidR="00EF0FD4" w:rsidRPr="00FD577A" w:rsidTr="00E00C35">
        <w:tc>
          <w:tcPr>
            <w:tcW w:w="12055" w:type="dxa"/>
            <w:gridSpan w:val="3"/>
          </w:tcPr>
          <w:p w:rsidR="00EF0FD4" w:rsidRPr="00FD577A" w:rsidRDefault="00EF0FD4" w:rsidP="00EF0FD4">
            <w:pPr>
              <w:jc w:val="center"/>
            </w:pPr>
            <w:r w:rsidRPr="002C1D33">
              <w:rPr>
                <w:b/>
                <w:bCs/>
                <w:lang w:val="en-GB"/>
              </w:rPr>
              <w:t>Partnership/Harmonization/</w:t>
            </w:r>
            <w:r w:rsidR="00B3658F">
              <w:rPr>
                <w:b/>
                <w:bCs/>
                <w:lang w:val="en-GB"/>
              </w:rPr>
              <w:t>C</w:t>
            </w:r>
            <w:r w:rsidRPr="002C1D33">
              <w:rPr>
                <w:b/>
                <w:bCs/>
                <w:lang w:val="en-GB"/>
              </w:rPr>
              <w:t>oordination</w:t>
            </w:r>
          </w:p>
        </w:tc>
      </w:tr>
      <w:tr w:rsidR="00EF0FD4" w:rsidRPr="00FD577A" w:rsidTr="001E528A">
        <w:tc>
          <w:tcPr>
            <w:tcW w:w="4945" w:type="dxa"/>
          </w:tcPr>
          <w:p w:rsidR="00EF0FD4" w:rsidRPr="00932C4C" w:rsidRDefault="00EF0FD4" w:rsidP="00EF0FD4">
            <w:pPr>
              <w:rPr>
                <w:lang w:val="en-GB"/>
              </w:rPr>
            </w:pPr>
            <w:r w:rsidRPr="001D2C31">
              <w:rPr>
                <w:rFonts w:eastAsia="Times New Roman"/>
                <w:color w:val="000000"/>
                <w:lang w:val="en-CA"/>
              </w:rPr>
              <w:t>The Harmonized Approach to Cash Transfers (HACT) mentioned on page 7 sounds like an interesting concept. Could UNDP share experiences from this approach?</w:t>
            </w:r>
          </w:p>
        </w:tc>
        <w:tc>
          <w:tcPr>
            <w:tcW w:w="3330" w:type="dxa"/>
          </w:tcPr>
          <w:p w:rsidR="00EF0FD4" w:rsidRPr="00FD577A" w:rsidRDefault="00EF0FD4" w:rsidP="00EF0FD4"/>
        </w:tc>
        <w:tc>
          <w:tcPr>
            <w:tcW w:w="3780" w:type="dxa"/>
          </w:tcPr>
          <w:p w:rsidR="00EF0FD4" w:rsidRPr="00FD577A" w:rsidRDefault="00EF0FD4" w:rsidP="00EF0FD4">
            <w:r>
              <w:t>Sure</w:t>
            </w:r>
          </w:p>
        </w:tc>
      </w:tr>
      <w:tr w:rsidR="00EF0FD4" w:rsidRPr="00FD577A" w:rsidTr="001E528A">
        <w:tc>
          <w:tcPr>
            <w:tcW w:w="4945" w:type="dxa"/>
          </w:tcPr>
          <w:p w:rsidR="00EF0FD4" w:rsidRDefault="00EF0FD4" w:rsidP="00EF0FD4">
            <w:r>
              <w:rPr>
                <w:rFonts w:eastAsia="Times New Roman"/>
              </w:rPr>
              <w:t>Ensuring that partners, especially those financing, are involved in joint evaluations</w:t>
            </w:r>
          </w:p>
        </w:tc>
        <w:tc>
          <w:tcPr>
            <w:tcW w:w="3330" w:type="dxa"/>
          </w:tcPr>
          <w:p w:rsidR="00EF0FD4" w:rsidRPr="00FD577A" w:rsidRDefault="00EF0FD4" w:rsidP="00EF0FD4"/>
        </w:tc>
        <w:tc>
          <w:tcPr>
            <w:tcW w:w="3780" w:type="dxa"/>
          </w:tcPr>
          <w:p w:rsidR="00EF0FD4" w:rsidRPr="00FD577A" w:rsidRDefault="00EF0FD4" w:rsidP="00EF0FD4">
            <w:r>
              <w:t>Noted</w:t>
            </w:r>
          </w:p>
        </w:tc>
      </w:tr>
    </w:tbl>
    <w:p w:rsidR="004A70B6" w:rsidRPr="00FD577A" w:rsidRDefault="00A35682"/>
    <w:sectPr w:rsidR="004A70B6" w:rsidRPr="00FD577A"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A51"/>
    <w:multiLevelType w:val="hybridMultilevel"/>
    <w:tmpl w:val="ABB26F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707D29CE"/>
    <w:multiLevelType w:val="hybridMultilevel"/>
    <w:tmpl w:val="1EBC7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7B8608FD"/>
    <w:multiLevelType w:val="hybridMultilevel"/>
    <w:tmpl w:val="7F1A8894"/>
    <w:lvl w:ilvl="0" w:tplc="15580E8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3"/>
  </w:num>
  <w:num w:numId="7">
    <w:abstractNumId w:val="2"/>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9776C"/>
    <w:rsid w:val="00097B14"/>
    <w:rsid w:val="001668BF"/>
    <w:rsid w:val="0019316F"/>
    <w:rsid w:val="001D2C31"/>
    <w:rsid w:val="001E528A"/>
    <w:rsid w:val="002C1D33"/>
    <w:rsid w:val="003642E4"/>
    <w:rsid w:val="00444818"/>
    <w:rsid w:val="00482B79"/>
    <w:rsid w:val="005A1F23"/>
    <w:rsid w:val="006160C7"/>
    <w:rsid w:val="00652DED"/>
    <w:rsid w:val="007B5340"/>
    <w:rsid w:val="00801A59"/>
    <w:rsid w:val="00850A48"/>
    <w:rsid w:val="008E1FF6"/>
    <w:rsid w:val="00926BF2"/>
    <w:rsid w:val="00932C4C"/>
    <w:rsid w:val="009934D3"/>
    <w:rsid w:val="009B119F"/>
    <w:rsid w:val="009C0FB6"/>
    <w:rsid w:val="00A03A07"/>
    <w:rsid w:val="00A23129"/>
    <w:rsid w:val="00A35682"/>
    <w:rsid w:val="00A360E9"/>
    <w:rsid w:val="00A87A0F"/>
    <w:rsid w:val="00B1227A"/>
    <w:rsid w:val="00B3658F"/>
    <w:rsid w:val="00BC1304"/>
    <w:rsid w:val="00C0319A"/>
    <w:rsid w:val="00C23012"/>
    <w:rsid w:val="00C26835"/>
    <w:rsid w:val="00D330EA"/>
    <w:rsid w:val="00D75A54"/>
    <w:rsid w:val="00EB5E11"/>
    <w:rsid w:val="00EF0FD4"/>
    <w:rsid w:val="00F45665"/>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EA23"/>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BalloonText">
    <w:name w:val="Balloon Text"/>
    <w:basedOn w:val="Normal"/>
    <w:link w:val="BalloonTextChar"/>
    <w:uiPriority w:val="99"/>
    <w:semiHidden/>
    <w:unhideWhenUsed/>
    <w:rsid w:val="00A03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07"/>
    <w:rPr>
      <w:rFonts w:ascii="Segoe UI" w:hAnsi="Segoe UI" w:cs="Segoe UI"/>
      <w:sz w:val="18"/>
      <w:szCs w:val="18"/>
    </w:rPr>
  </w:style>
  <w:style w:type="paragraph" w:styleId="Revision">
    <w:name w:val="Revision"/>
    <w:hidden/>
    <w:uiPriority w:val="99"/>
    <w:semiHidden/>
    <w:rsid w:val="009C0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52793895">
      <w:bodyDiv w:val="1"/>
      <w:marLeft w:val="0"/>
      <w:marRight w:val="0"/>
      <w:marTop w:val="0"/>
      <w:marBottom w:val="0"/>
      <w:divBdr>
        <w:top w:val="none" w:sz="0" w:space="0" w:color="auto"/>
        <w:left w:val="none" w:sz="0" w:space="0" w:color="auto"/>
        <w:bottom w:val="none" w:sz="0" w:space="0" w:color="auto"/>
        <w:right w:val="none" w:sz="0" w:space="0" w:color="auto"/>
      </w:divBdr>
    </w:div>
    <w:div w:id="1235580941">
      <w:bodyDiv w:val="1"/>
      <w:marLeft w:val="0"/>
      <w:marRight w:val="0"/>
      <w:marTop w:val="0"/>
      <w:marBottom w:val="0"/>
      <w:divBdr>
        <w:top w:val="none" w:sz="0" w:space="0" w:color="auto"/>
        <w:left w:val="none" w:sz="0" w:space="0" w:color="auto"/>
        <w:bottom w:val="none" w:sz="0" w:space="0" w:color="auto"/>
        <w:right w:val="none" w:sz="0" w:space="0" w:color="auto"/>
      </w:divBdr>
    </w:div>
    <w:div w:id="1752581947">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Svetlana Iazykova</cp:lastModifiedBy>
  <cp:revision>3</cp:revision>
  <dcterms:created xsi:type="dcterms:W3CDTF">2017-12-11T21:21:00Z</dcterms:created>
  <dcterms:modified xsi:type="dcterms:W3CDTF">2017-12-11T21:22:00Z</dcterms:modified>
</cp:coreProperties>
</file>