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62BD37" w14:textId="30B1357E" w:rsidR="00537B86" w:rsidRPr="00074002" w:rsidRDefault="00537B86" w:rsidP="004438BB">
      <w:pPr>
        <w:tabs>
          <w:tab w:val="left" w:pos="8789"/>
        </w:tabs>
        <w:ind w:right="288"/>
        <w:rPr>
          <w:rFonts w:eastAsia="Times New Roman"/>
          <w:b/>
          <w:color w:val="000000"/>
          <w:lang w:val="en-GB"/>
        </w:rPr>
      </w:pPr>
      <w:r w:rsidRPr="00074002">
        <w:rPr>
          <w:rFonts w:eastAsia="Times New Roman"/>
          <w:b/>
          <w:color w:val="000000"/>
          <w:lang w:val="en-GB"/>
        </w:rPr>
        <w:t>Second regular session 201</w:t>
      </w:r>
      <w:r w:rsidR="004D3B46" w:rsidRPr="00074002">
        <w:rPr>
          <w:rFonts w:eastAsia="Times New Roman"/>
          <w:b/>
          <w:color w:val="000000"/>
          <w:lang w:val="en-GB"/>
        </w:rPr>
        <w:t>8</w:t>
      </w:r>
    </w:p>
    <w:p w14:paraId="6801D400" w14:textId="74EA9D28" w:rsidR="00537B86" w:rsidRPr="00074002" w:rsidRDefault="004D3B46" w:rsidP="00537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074002">
        <w:rPr>
          <w:rFonts w:eastAsia="Times New Roman"/>
          <w:color w:val="000000"/>
          <w:lang w:val="en-GB"/>
        </w:rPr>
        <w:t>4</w:t>
      </w:r>
      <w:r w:rsidR="00537B86" w:rsidRPr="00074002">
        <w:rPr>
          <w:rFonts w:eastAsia="Times New Roman"/>
          <w:color w:val="000000"/>
          <w:lang w:val="en-GB"/>
        </w:rPr>
        <w:t>-</w:t>
      </w:r>
      <w:r w:rsidRPr="00074002">
        <w:rPr>
          <w:rFonts w:eastAsia="Times New Roman"/>
          <w:color w:val="000000"/>
          <w:lang w:val="en-GB"/>
        </w:rPr>
        <w:t>7</w:t>
      </w:r>
      <w:r w:rsidR="00537B86" w:rsidRPr="00074002">
        <w:rPr>
          <w:rFonts w:eastAsia="Times New Roman"/>
          <w:color w:val="000000"/>
          <w:lang w:val="en-GB"/>
        </w:rPr>
        <w:t xml:space="preserve"> September 201</w:t>
      </w:r>
      <w:r w:rsidRPr="00074002">
        <w:rPr>
          <w:rFonts w:eastAsia="Times New Roman"/>
          <w:color w:val="000000"/>
          <w:lang w:val="en-GB"/>
        </w:rPr>
        <w:t>8</w:t>
      </w:r>
      <w:r w:rsidR="00537B86" w:rsidRPr="00074002">
        <w:rPr>
          <w:rFonts w:eastAsia="Times New Roman"/>
          <w:color w:val="000000"/>
          <w:lang w:val="en-GB"/>
        </w:rPr>
        <w:t>, New York</w:t>
      </w:r>
    </w:p>
    <w:p w14:paraId="292EE8EE" w14:textId="66495B68" w:rsidR="00537B86" w:rsidRPr="00074002" w:rsidRDefault="00537B86" w:rsidP="00537B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074002">
        <w:rPr>
          <w:rFonts w:eastAsia="Times New Roman"/>
          <w:color w:val="000000"/>
          <w:lang w:val="en-GB"/>
        </w:rPr>
        <w:t xml:space="preserve">Item </w:t>
      </w:r>
      <w:r w:rsidR="004D3B46" w:rsidRPr="00074002">
        <w:rPr>
          <w:rFonts w:eastAsia="Times New Roman"/>
          <w:color w:val="000000"/>
          <w:lang w:val="en-GB"/>
        </w:rPr>
        <w:t>x</w:t>
      </w:r>
      <w:r w:rsidRPr="00074002">
        <w:rPr>
          <w:rFonts w:eastAsia="Times New Roman"/>
          <w:color w:val="000000"/>
          <w:lang w:val="en-GB"/>
        </w:rPr>
        <w:t xml:space="preserve"> of the provisional agenda</w:t>
      </w:r>
    </w:p>
    <w:p w14:paraId="07AABFA4" w14:textId="77777777" w:rsidR="00537B86" w:rsidRPr="00074002" w:rsidRDefault="00537B86" w:rsidP="00537B86">
      <w:pPr>
        <w:ind w:right="1260"/>
        <w:rPr>
          <w:rFonts w:eastAsia="Times New Roman"/>
          <w:b/>
          <w:color w:val="000000"/>
          <w:lang w:val="en-GB"/>
        </w:rPr>
      </w:pPr>
      <w:r w:rsidRPr="00074002">
        <w:rPr>
          <w:rFonts w:eastAsia="Times New Roman"/>
          <w:b/>
          <w:color w:val="000000"/>
          <w:lang w:val="en-GB"/>
        </w:rPr>
        <w:t>Country programmes and related matters</w:t>
      </w:r>
    </w:p>
    <w:p w14:paraId="3C86AD80" w14:textId="77777777" w:rsidR="00537B86" w:rsidRPr="00AE6DA9" w:rsidRDefault="00537B86" w:rsidP="00537B86">
      <w:pPr>
        <w:rPr>
          <w:rFonts w:eastAsia="Times New Roman"/>
          <w:color w:val="000000"/>
          <w:spacing w:val="-3"/>
          <w:lang w:val="en-GB"/>
        </w:rPr>
      </w:pPr>
    </w:p>
    <w:p w14:paraId="15BAE6D0" w14:textId="77777777" w:rsidR="00537B86" w:rsidRPr="00074002" w:rsidRDefault="00537B86" w:rsidP="00537B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3E356ED6" w14:textId="77777777" w:rsidR="00537B86" w:rsidRPr="00A01544" w:rsidRDefault="00537B86" w:rsidP="00537B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22E9E734" w14:textId="77777777" w:rsidR="00537B86" w:rsidRPr="008268A9" w:rsidRDefault="00537B86" w:rsidP="00537B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0257791B" w14:textId="77777777" w:rsidR="00537B86" w:rsidRPr="00F71E12" w:rsidRDefault="00537B86" w:rsidP="00537B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color w:val="000000"/>
          <w:spacing w:val="-2"/>
          <w:w w:val="103"/>
          <w:kern w:val="14"/>
          <w:sz w:val="28"/>
          <w:lang w:val="en-GB"/>
        </w:rPr>
      </w:pPr>
      <w:r w:rsidRPr="00F71E12">
        <w:rPr>
          <w:rFonts w:eastAsia="Times New Roman"/>
          <w:b/>
          <w:color w:val="000000"/>
          <w:spacing w:val="-2"/>
          <w:w w:val="103"/>
          <w:kern w:val="14"/>
          <w:sz w:val="28"/>
          <w:lang w:val="en-GB"/>
        </w:rPr>
        <w:tab/>
      </w:r>
    </w:p>
    <w:p w14:paraId="70CDB1A9" w14:textId="56E011F2" w:rsidR="00537B86" w:rsidRPr="00F71E12" w:rsidRDefault="00537B86" w:rsidP="00537B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jc w:val="center"/>
        <w:outlineLvl w:val="0"/>
        <w:rPr>
          <w:rFonts w:eastAsia="Times New Roman"/>
          <w:b/>
          <w:color w:val="000000"/>
          <w:spacing w:val="-2"/>
          <w:w w:val="103"/>
          <w:kern w:val="14"/>
          <w:sz w:val="28"/>
          <w:lang w:val="en-GB"/>
        </w:rPr>
      </w:pPr>
      <w:r w:rsidRPr="00F71E12">
        <w:rPr>
          <w:rFonts w:eastAsia="Times New Roman"/>
          <w:b/>
          <w:color w:val="000000"/>
          <w:spacing w:val="-2"/>
          <w:w w:val="103"/>
          <w:kern w:val="14"/>
          <w:sz w:val="28"/>
          <w:lang w:val="en-GB"/>
        </w:rPr>
        <w:t xml:space="preserve">Draft country programme document for Namibia </w:t>
      </w:r>
      <w:r w:rsidR="004D3B46" w:rsidRPr="00F71E12">
        <w:rPr>
          <w:rFonts w:eastAsia="Times New Roman"/>
          <w:b/>
          <w:color w:val="000000"/>
          <w:spacing w:val="-2"/>
          <w:w w:val="103"/>
          <w:kern w:val="14"/>
          <w:sz w:val="28"/>
          <w:lang w:val="en-GB"/>
        </w:rPr>
        <w:t>(</w:t>
      </w:r>
      <w:r w:rsidRPr="00F71E12">
        <w:rPr>
          <w:rFonts w:eastAsia="Times New Roman"/>
          <w:b/>
          <w:color w:val="000000"/>
          <w:spacing w:val="-2"/>
          <w:w w:val="103"/>
          <w:kern w:val="14"/>
          <w:sz w:val="28"/>
          <w:lang w:val="en-GB"/>
        </w:rPr>
        <w:t>201</w:t>
      </w:r>
      <w:r w:rsidR="004D3B46" w:rsidRPr="00F71E12">
        <w:rPr>
          <w:rFonts w:eastAsia="Times New Roman"/>
          <w:b/>
          <w:color w:val="000000"/>
          <w:spacing w:val="-2"/>
          <w:w w:val="103"/>
          <w:kern w:val="14"/>
          <w:sz w:val="28"/>
          <w:lang w:val="en-GB"/>
        </w:rPr>
        <w:t>9</w:t>
      </w:r>
      <w:r w:rsidRPr="00F71E12">
        <w:rPr>
          <w:rFonts w:eastAsia="Times New Roman"/>
          <w:b/>
          <w:color w:val="000000"/>
          <w:spacing w:val="-2"/>
          <w:w w:val="103"/>
          <w:kern w:val="14"/>
          <w:sz w:val="28"/>
          <w:lang w:val="en-GB"/>
        </w:rPr>
        <w:t>-20</w:t>
      </w:r>
      <w:r w:rsidR="004D3B46" w:rsidRPr="00F71E12">
        <w:rPr>
          <w:rFonts w:eastAsia="Times New Roman"/>
          <w:b/>
          <w:color w:val="000000"/>
          <w:spacing w:val="-2"/>
          <w:w w:val="103"/>
          <w:kern w:val="14"/>
          <w:sz w:val="28"/>
          <w:lang w:val="en-GB"/>
        </w:rPr>
        <w:t>23)</w:t>
      </w:r>
      <w:r w:rsidRPr="00F71E12">
        <w:rPr>
          <w:rFonts w:eastAsia="Times New Roman"/>
          <w:b/>
          <w:color w:val="000000"/>
          <w:spacing w:val="-2"/>
          <w:w w:val="103"/>
          <w:kern w:val="14"/>
          <w:sz w:val="28"/>
          <w:lang w:val="en-GB"/>
        </w:rPr>
        <w:br/>
      </w:r>
    </w:p>
    <w:p w14:paraId="4283A521" w14:textId="77777777" w:rsidR="00F926D5" w:rsidRPr="00F71E12" w:rsidRDefault="00F926D5" w:rsidP="00F926D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spacing w:val="-2"/>
          <w:w w:val="103"/>
          <w:kern w:val="14"/>
          <w:sz w:val="28"/>
          <w:lang w:val="en-GB" w:eastAsia="fr-FR"/>
        </w:rPr>
      </w:pPr>
      <w:r w:rsidRPr="00F71E12">
        <w:rPr>
          <w:rFonts w:eastAsia="Times New Roman"/>
          <w:color w:val="000000"/>
          <w:kern w:val="14"/>
          <w:sz w:val="28"/>
          <w:lang w:val="en-GB" w:eastAsia="fr-FR"/>
        </w:rPr>
        <w:t>Contents</w:t>
      </w:r>
    </w:p>
    <w:p w14:paraId="4F62C8AA" w14:textId="77777777" w:rsidR="00F926D5" w:rsidRPr="00F71E12" w:rsidRDefault="00F926D5" w:rsidP="00F926D5">
      <w:pPr>
        <w:tabs>
          <w:tab w:val="left" w:pos="1620"/>
        </w:tabs>
        <w:rPr>
          <w:rFonts w:eastAsia="Times New Roman"/>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F926D5" w:rsidRPr="00074002" w14:paraId="25AEB014" w14:textId="77777777" w:rsidTr="00296CEA">
        <w:tc>
          <w:tcPr>
            <w:tcW w:w="1060" w:type="dxa"/>
            <w:shd w:val="clear" w:color="auto" w:fill="auto"/>
          </w:tcPr>
          <w:p w14:paraId="1BB90E42" w14:textId="77777777" w:rsidR="00F926D5" w:rsidRPr="00F71E12" w:rsidRDefault="00F926D5" w:rsidP="00F926D5">
            <w:pPr>
              <w:tabs>
                <w:tab w:val="left" w:pos="1620"/>
              </w:tabs>
              <w:suppressAutoHyphens/>
              <w:spacing w:after="120"/>
              <w:jc w:val="right"/>
              <w:rPr>
                <w:rFonts w:eastAsia="Times New Roman"/>
                <w:i/>
                <w:color w:val="000000"/>
                <w:spacing w:val="4"/>
                <w:w w:val="103"/>
                <w:kern w:val="14"/>
                <w:sz w:val="14"/>
                <w:lang w:val="en-GB" w:eastAsia="fr-FR"/>
              </w:rPr>
            </w:pPr>
          </w:p>
        </w:tc>
        <w:tc>
          <w:tcPr>
            <w:tcW w:w="8480" w:type="dxa"/>
            <w:gridSpan w:val="2"/>
            <w:shd w:val="clear" w:color="auto" w:fill="auto"/>
          </w:tcPr>
          <w:p w14:paraId="2564AE0E" w14:textId="77777777" w:rsidR="00F926D5" w:rsidRPr="00F71E12" w:rsidRDefault="00F926D5" w:rsidP="00F926D5">
            <w:pPr>
              <w:tabs>
                <w:tab w:val="left" w:pos="1620"/>
              </w:tabs>
              <w:suppressAutoHyphens/>
              <w:spacing w:after="120"/>
              <w:rPr>
                <w:rFonts w:eastAsia="Times New Roman"/>
                <w:i/>
                <w:color w:val="000000"/>
                <w:spacing w:val="4"/>
                <w:w w:val="103"/>
                <w:kern w:val="14"/>
                <w:sz w:val="14"/>
                <w:lang w:val="en-GB" w:eastAsia="fr-FR"/>
              </w:rPr>
            </w:pPr>
          </w:p>
        </w:tc>
        <w:tc>
          <w:tcPr>
            <w:tcW w:w="362" w:type="dxa"/>
            <w:shd w:val="clear" w:color="auto" w:fill="auto"/>
          </w:tcPr>
          <w:p w14:paraId="22760BC8" w14:textId="77777777" w:rsidR="00F926D5" w:rsidRPr="00F71E12" w:rsidRDefault="00F926D5" w:rsidP="00F926D5">
            <w:pPr>
              <w:tabs>
                <w:tab w:val="left" w:pos="1620"/>
              </w:tabs>
              <w:suppressAutoHyphens/>
              <w:spacing w:after="120"/>
              <w:jc w:val="right"/>
              <w:rPr>
                <w:rFonts w:eastAsia="Times New Roman"/>
                <w:i/>
                <w:color w:val="000000"/>
                <w:spacing w:val="4"/>
                <w:w w:val="103"/>
                <w:kern w:val="14"/>
                <w:sz w:val="14"/>
                <w:lang w:val="en-GB" w:eastAsia="fr-FR"/>
              </w:rPr>
            </w:pPr>
            <w:r w:rsidRPr="00F71E12">
              <w:rPr>
                <w:rFonts w:eastAsia="Times New Roman"/>
                <w:i/>
                <w:iCs/>
                <w:color w:val="000000"/>
                <w:kern w:val="14"/>
                <w:sz w:val="14"/>
                <w:lang w:val="en-GB" w:eastAsia="fr-FR"/>
              </w:rPr>
              <w:t>Page</w:t>
            </w:r>
          </w:p>
        </w:tc>
      </w:tr>
      <w:tr w:rsidR="00F926D5" w:rsidRPr="00074002" w14:paraId="058039D0" w14:textId="77777777" w:rsidTr="00296CEA">
        <w:tc>
          <w:tcPr>
            <w:tcW w:w="9540" w:type="dxa"/>
            <w:gridSpan w:val="3"/>
            <w:shd w:val="clear" w:color="auto" w:fill="auto"/>
          </w:tcPr>
          <w:p w14:paraId="39A5C07D" w14:textId="77777777" w:rsidR="00F926D5" w:rsidRPr="00296CEA" w:rsidRDefault="00F926D5" w:rsidP="00F926D5">
            <w:pPr>
              <w:numPr>
                <w:ilvl w:val="0"/>
                <w:numId w:val="10"/>
              </w:numPr>
              <w:tabs>
                <w:tab w:val="right" w:pos="1080"/>
                <w:tab w:val="left" w:pos="1296"/>
                <w:tab w:val="left" w:pos="1620"/>
                <w:tab w:val="left" w:pos="2160"/>
                <w:tab w:val="left" w:pos="2592"/>
                <w:tab w:val="right" w:leader="dot" w:pos="9090"/>
              </w:tabs>
              <w:suppressAutoHyphens/>
              <w:spacing w:after="120" w:line="240" w:lineRule="exact"/>
              <w:jc w:val="both"/>
              <w:rPr>
                <w:rFonts w:eastAsia="Times New Roman"/>
                <w:color w:val="000000"/>
                <w:spacing w:val="4"/>
                <w:w w:val="103"/>
                <w:kern w:val="14"/>
                <w:lang w:val="en-GB" w:eastAsia="fr-FR"/>
              </w:rPr>
            </w:pPr>
            <w:r w:rsidRPr="00074002">
              <w:rPr>
                <w:rFonts w:eastAsia="Times New Roman"/>
                <w:color w:val="000000"/>
                <w:kern w:val="14"/>
                <w:lang w:val="en-GB" w:eastAsia="fr-FR"/>
              </w:rPr>
              <w:tab/>
              <w:t>Programme rationale</w:t>
            </w:r>
            <w:r w:rsidRPr="00074002">
              <w:rPr>
                <w:rFonts w:eastAsia="Times New Roman"/>
                <w:color w:val="000000"/>
                <w:sz w:val="24"/>
                <w:szCs w:val="24"/>
                <w:lang w:val="en-GB" w:eastAsia="fr-FR"/>
              </w:rPr>
              <w:tab/>
            </w:r>
          </w:p>
        </w:tc>
        <w:tc>
          <w:tcPr>
            <w:tcW w:w="362" w:type="dxa"/>
            <w:vMerge w:val="restart"/>
            <w:shd w:val="clear" w:color="auto" w:fill="auto"/>
            <w:vAlign w:val="bottom"/>
          </w:tcPr>
          <w:p w14:paraId="26D6515B" w14:textId="77777777" w:rsidR="00F926D5" w:rsidRPr="00A01544" w:rsidRDefault="00F926D5" w:rsidP="00F926D5">
            <w:pPr>
              <w:tabs>
                <w:tab w:val="left" w:pos="1620"/>
              </w:tabs>
              <w:suppressAutoHyphens/>
              <w:spacing w:after="120" w:line="240" w:lineRule="exact"/>
              <w:jc w:val="right"/>
              <w:rPr>
                <w:rFonts w:eastAsia="Times New Roman"/>
                <w:color w:val="000000"/>
                <w:spacing w:val="4"/>
                <w:w w:val="103"/>
                <w:kern w:val="14"/>
                <w:lang w:val="en-GB" w:eastAsia="fr-FR"/>
              </w:rPr>
            </w:pPr>
            <w:r w:rsidRPr="00A01544">
              <w:rPr>
                <w:rFonts w:eastAsia="Times New Roman"/>
                <w:color w:val="000000"/>
                <w:kern w:val="14"/>
                <w:lang w:val="en-GB" w:eastAsia="fr-FR"/>
              </w:rPr>
              <w:t>2</w:t>
            </w:r>
          </w:p>
          <w:p w14:paraId="06FBD0A7" w14:textId="77777777" w:rsidR="00F926D5" w:rsidRPr="00F71E12" w:rsidRDefault="00F926D5" w:rsidP="00F926D5">
            <w:pPr>
              <w:tabs>
                <w:tab w:val="left" w:pos="1620"/>
              </w:tabs>
              <w:suppressAutoHyphens/>
              <w:spacing w:after="120" w:line="240" w:lineRule="exact"/>
              <w:jc w:val="right"/>
              <w:rPr>
                <w:rFonts w:eastAsia="Times New Roman"/>
                <w:color w:val="000000"/>
                <w:spacing w:val="4"/>
                <w:w w:val="103"/>
                <w:kern w:val="14"/>
                <w:lang w:val="en-GB" w:eastAsia="fr-FR"/>
              </w:rPr>
            </w:pPr>
            <w:r w:rsidRPr="008268A9">
              <w:rPr>
                <w:rFonts w:eastAsia="Times New Roman"/>
                <w:color w:val="000000"/>
                <w:kern w:val="14"/>
                <w:lang w:val="en-GB" w:eastAsia="fr-FR"/>
              </w:rPr>
              <w:t>5</w:t>
            </w:r>
          </w:p>
        </w:tc>
      </w:tr>
      <w:tr w:rsidR="00F926D5" w:rsidRPr="00074002" w14:paraId="351E4A1F" w14:textId="77777777" w:rsidTr="00296CEA">
        <w:tc>
          <w:tcPr>
            <w:tcW w:w="9540" w:type="dxa"/>
            <w:gridSpan w:val="3"/>
            <w:shd w:val="clear" w:color="auto" w:fill="auto"/>
          </w:tcPr>
          <w:p w14:paraId="23369B4F" w14:textId="77777777" w:rsidR="00F926D5" w:rsidRPr="00296CEA" w:rsidRDefault="00F926D5" w:rsidP="00F926D5">
            <w:pPr>
              <w:numPr>
                <w:ilvl w:val="0"/>
                <w:numId w:val="10"/>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eastAsia="Times New Roman"/>
                <w:color w:val="000000"/>
                <w:spacing w:val="4"/>
                <w:w w:val="103"/>
                <w:kern w:val="14"/>
                <w:lang w:val="en-GB" w:eastAsia="fr-FR"/>
              </w:rPr>
            </w:pPr>
            <w:r w:rsidRPr="00074002">
              <w:rPr>
                <w:rFonts w:eastAsia="Times New Roman"/>
                <w:color w:val="000000"/>
                <w:kern w:val="14"/>
                <w:lang w:val="en-GB" w:eastAsia="fr-FR"/>
              </w:rPr>
              <w:tab/>
              <w:t>Programme priorities and partnerships………………………………………………….</w:t>
            </w:r>
            <w:r w:rsidRPr="00074002">
              <w:rPr>
                <w:rFonts w:eastAsia="Times New Roman"/>
                <w:color w:val="000000"/>
                <w:kern w:val="14"/>
                <w:sz w:val="17"/>
                <w:lang w:val="en-GB" w:eastAsia="fr-FR"/>
              </w:rPr>
              <w:tab/>
            </w:r>
            <w:r w:rsidRPr="00296CEA">
              <w:rPr>
                <w:rFonts w:eastAsia="Times New Roman"/>
                <w:color w:val="000000"/>
                <w:kern w:val="14"/>
                <w:lang w:val="en-GB" w:eastAsia="fr-FR"/>
              </w:rPr>
              <w:t>……….…</w:t>
            </w:r>
          </w:p>
        </w:tc>
        <w:tc>
          <w:tcPr>
            <w:tcW w:w="362" w:type="dxa"/>
            <w:vMerge/>
            <w:shd w:val="clear" w:color="auto" w:fill="auto"/>
            <w:vAlign w:val="bottom"/>
          </w:tcPr>
          <w:p w14:paraId="00F0E8C4" w14:textId="77777777" w:rsidR="00F926D5" w:rsidRPr="00F71E12" w:rsidRDefault="00F926D5" w:rsidP="00F926D5">
            <w:pPr>
              <w:tabs>
                <w:tab w:val="left" w:pos="1620"/>
              </w:tabs>
              <w:suppressAutoHyphens/>
              <w:spacing w:after="120" w:line="240" w:lineRule="exact"/>
              <w:jc w:val="right"/>
              <w:rPr>
                <w:rFonts w:eastAsia="Times New Roman"/>
                <w:color w:val="000000"/>
                <w:spacing w:val="4"/>
                <w:w w:val="103"/>
                <w:kern w:val="14"/>
                <w:lang w:val="en-GB" w:eastAsia="fr-FR"/>
              </w:rPr>
            </w:pPr>
          </w:p>
        </w:tc>
      </w:tr>
      <w:tr w:rsidR="00F926D5" w:rsidRPr="00074002" w14:paraId="17B57A7D" w14:textId="77777777" w:rsidTr="00296CEA">
        <w:tc>
          <w:tcPr>
            <w:tcW w:w="9540" w:type="dxa"/>
            <w:gridSpan w:val="3"/>
            <w:shd w:val="clear" w:color="auto" w:fill="auto"/>
          </w:tcPr>
          <w:p w14:paraId="660E5377" w14:textId="77777777" w:rsidR="00F926D5" w:rsidRPr="00296CEA" w:rsidRDefault="00F926D5" w:rsidP="00F926D5">
            <w:pPr>
              <w:numPr>
                <w:ilvl w:val="0"/>
                <w:numId w:val="10"/>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eastAsia="Times New Roman"/>
                <w:color w:val="000000"/>
                <w:spacing w:val="4"/>
                <w:w w:val="103"/>
                <w:kern w:val="14"/>
                <w:lang w:val="en-GB" w:eastAsia="fr-FR"/>
              </w:rPr>
            </w:pPr>
            <w:r w:rsidRPr="00074002">
              <w:rPr>
                <w:rFonts w:eastAsia="Times New Roman"/>
                <w:color w:val="000000"/>
                <w:kern w:val="14"/>
                <w:lang w:val="en-GB" w:eastAsia="fr-FR"/>
              </w:rPr>
              <w:tab/>
              <w:t>Programme and risk management</w:t>
            </w:r>
            <w:r w:rsidRPr="00074002">
              <w:rPr>
                <w:rFonts w:eastAsia="Times New Roman"/>
                <w:color w:val="000000"/>
                <w:sz w:val="24"/>
                <w:szCs w:val="24"/>
                <w:lang w:val="en-GB" w:eastAsia="fr-FR"/>
              </w:rPr>
              <w:tab/>
            </w:r>
          </w:p>
        </w:tc>
        <w:tc>
          <w:tcPr>
            <w:tcW w:w="362" w:type="dxa"/>
            <w:vMerge w:val="restart"/>
            <w:shd w:val="clear" w:color="auto" w:fill="auto"/>
            <w:vAlign w:val="bottom"/>
          </w:tcPr>
          <w:p w14:paraId="4EA4D728" w14:textId="521ABDBC" w:rsidR="00F926D5" w:rsidRPr="00A01544" w:rsidRDefault="0065629C" w:rsidP="00F926D5">
            <w:pPr>
              <w:tabs>
                <w:tab w:val="left" w:pos="1620"/>
              </w:tabs>
              <w:suppressAutoHyphens/>
              <w:spacing w:after="120" w:line="240" w:lineRule="exact"/>
              <w:jc w:val="right"/>
              <w:rPr>
                <w:rFonts w:eastAsia="Times New Roman"/>
                <w:color w:val="000000"/>
                <w:spacing w:val="4"/>
                <w:w w:val="103"/>
                <w:kern w:val="14"/>
                <w:lang w:val="en-GB" w:eastAsia="fr-FR"/>
              </w:rPr>
            </w:pPr>
            <w:r>
              <w:rPr>
                <w:rFonts w:eastAsia="Times New Roman"/>
                <w:color w:val="000000"/>
                <w:spacing w:val="4"/>
                <w:w w:val="103"/>
                <w:kern w:val="14"/>
                <w:lang w:val="en-GB" w:eastAsia="fr-FR"/>
              </w:rPr>
              <w:t>7</w:t>
            </w:r>
          </w:p>
          <w:p w14:paraId="24DEF04D" w14:textId="48D492D5" w:rsidR="00F926D5" w:rsidRPr="00F71E12" w:rsidRDefault="0065629C" w:rsidP="00F926D5">
            <w:pPr>
              <w:tabs>
                <w:tab w:val="left" w:pos="1620"/>
              </w:tabs>
              <w:suppressAutoHyphens/>
              <w:spacing w:after="120" w:line="240" w:lineRule="exact"/>
              <w:jc w:val="right"/>
              <w:rPr>
                <w:rFonts w:eastAsia="Times New Roman"/>
                <w:color w:val="000000"/>
                <w:spacing w:val="4"/>
                <w:w w:val="103"/>
                <w:kern w:val="14"/>
                <w:lang w:val="en-GB" w:eastAsia="fr-FR"/>
              </w:rPr>
            </w:pPr>
            <w:r>
              <w:rPr>
                <w:rFonts w:eastAsia="Times New Roman"/>
                <w:color w:val="000000"/>
                <w:spacing w:val="4"/>
                <w:w w:val="103"/>
                <w:kern w:val="14"/>
                <w:lang w:val="en-GB" w:eastAsia="fr-FR"/>
              </w:rPr>
              <w:t>8</w:t>
            </w:r>
          </w:p>
        </w:tc>
      </w:tr>
      <w:tr w:rsidR="00F926D5" w:rsidRPr="00074002" w14:paraId="61E1BA20" w14:textId="77777777" w:rsidTr="00296CEA">
        <w:tc>
          <w:tcPr>
            <w:tcW w:w="9540" w:type="dxa"/>
            <w:gridSpan w:val="3"/>
            <w:shd w:val="clear" w:color="auto" w:fill="auto"/>
          </w:tcPr>
          <w:p w14:paraId="2828CFF3" w14:textId="77777777" w:rsidR="00F926D5" w:rsidRPr="00296CEA" w:rsidRDefault="00F926D5" w:rsidP="00F926D5">
            <w:pPr>
              <w:numPr>
                <w:ilvl w:val="0"/>
                <w:numId w:val="10"/>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eastAsia="Times New Roman"/>
                <w:color w:val="000000"/>
                <w:spacing w:val="4"/>
                <w:w w:val="103"/>
                <w:kern w:val="14"/>
                <w:lang w:val="en-GB" w:eastAsia="fr-FR"/>
              </w:rPr>
            </w:pPr>
            <w:r w:rsidRPr="00074002">
              <w:rPr>
                <w:rFonts w:eastAsia="Times New Roman"/>
                <w:color w:val="000000"/>
                <w:kern w:val="14"/>
                <w:lang w:val="en-GB" w:eastAsia="fr-FR"/>
              </w:rPr>
              <w:tab/>
              <w:t>Monitoring and evaluation</w:t>
            </w:r>
            <w:r w:rsidRPr="00074002">
              <w:rPr>
                <w:rFonts w:eastAsia="Times New Roman"/>
                <w:color w:val="000000"/>
                <w:sz w:val="24"/>
                <w:szCs w:val="24"/>
                <w:lang w:val="en-GB" w:eastAsia="fr-FR"/>
              </w:rPr>
              <w:tab/>
            </w:r>
            <w:r w:rsidRPr="00296CEA">
              <w:rPr>
                <w:rFonts w:eastAsia="Times New Roman"/>
                <w:color w:val="000000"/>
                <w:lang w:val="en-GB" w:eastAsia="fr-FR"/>
              </w:rPr>
              <w:t>…………………………………………………….……………………</w:t>
            </w:r>
          </w:p>
        </w:tc>
        <w:tc>
          <w:tcPr>
            <w:tcW w:w="362" w:type="dxa"/>
            <w:vMerge/>
            <w:shd w:val="clear" w:color="auto" w:fill="auto"/>
            <w:vAlign w:val="bottom"/>
          </w:tcPr>
          <w:p w14:paraId="40BE5C24" w14:textId="77777777" w:rsidR="00F926D5" w:rsidRPr="00F71E12" w:rsidRDefault="00F926D5" w:rsidP="00F926D5">
            <w:pPr>
              <w:tabs>
                <w:tab w:val="left" w:pos="1620"/>
              </w:tabs>
              <w:suppressAutoHyphens/>
              <w:spacing w:after="120" w:line="240" w:lineRule="exact"/>
              <w:jc w:val="right"/>
              <w:rPr>
                <w:rFonts w:eastAsia="Times New Roman"/>
                <w:color w:val="000000"/>
                <w:spacing w:val="4"/>
                <w:w w:val="103"/>
                <w:kern w:val="14"/>
                <w:lang w:val="en-GB" w:eastAsia="fr-FR"/>
              </w:rPr>
            </w:pPr>
          </w:p>
        </w:tc>
      </w:tr>
      <w:tr w:rsidR="00F926D5" w:rsidRPr="00074002" w14:paraId="0E51C35B" w14:textId="77777777" w:rsidTr="00296CEA">
        <w:tc>
          <w:tcPr>
            <w:tcW w:w="9369" w:type="dxa"/>
            <w:gridSpan w:val="2"/>
            <w:shd w:val="clear" w:color="auto" w:fill="auto"/>
          </w:tcPr>
          <w:p w14:paraId="2BAE50CB" w14:textId="77777777" w:rsidR="00F926D5" w:rsidRPr="00074002" w:rsidRDefault="00F926D5" w:rsidP="00F926D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color w:val="000000"/>
                <w:spacing w:val="4"/>
                <w:w w:val="103"/>
                <w:kern w:val="14"/>
                <w:lang w:val="en-GB" w:eastAsia="fr-FR"/>
              </w:rPr>
            </w:pPr>
            <w:r w:rsidRPr="00074002">
              <w:rPr>
                <w:rFonts w:eastAsia="Times New Roman"/>
                <w:color w:val="000000"/>
                <w:kern w:val="14"/>
                <w:lang w:val="en-GB" w:eastAsia="fr-FR"/>
              </w:rPr>
              <w:t xml:space="preserve">     Annex</w:t>
            </w:r>
          </w:p>
        </w:tc>
        <w:tc>
          <w:tcPr>
            <w:tcW w:w="533" w:type="dxa"/>
            <w:gridSpan w:val="2"/>
            <w:shd w:val="clear" w:color="auto" w:fill="auto"/>
            <w:vAlign w:val="bottom"/>
          </w:tcPr>
          <w:p w14:paraId="595E3630" w14:textId="77777777" w:rsidR="00F926D5" w:rsidRPr="00A01544" w:rsidRDefault="00F926D5" w:rsidP="00F926D5">
            <w:pPr>
              <w:tabs>
                <w:tab w:val="left" w:pos="1620"/>
              </w:tabs>
              <w:suppressAutoHyphens/>
              <w:spacing w:after="120" w:line="240" w:lineRule="exact"/>
              <w:jc w:val="right"/>
              <w:rPr>
                <w:rFonts w:eastAsia="Times New Roman"/>
                <w:color w:val="000000"/>
                <w:spacing w:val="4"/>
                <w:w w:val="103"/>
                <w:kern w:val="14"/>
                <w:lang w:val="en-GB" w:eastAsia="fr-FR"/>
              </w:rPr>
            </w:pPr>
          </w:p>
        </w:tc>
      </w:tr>
      <w:tr w:rsidR="00F926D5" w:rsidRPr="00074002" w14:paraId="3F4708A0" w14:textId="77777777" w:rsidTr="00296CEA">
        <w:tc>
          <w:tcPr>
            <w:tcW w:w="9369" w:type="dxa"/>
            <w:gridSpan w:val="2"/>
            <w:shd w:val="clear" w:color="auto" w:fill="auto"/>
          </w:tcPr>
          <w:p w14:paraId="71C02D75" w14:textId="1FBC4E89" w:rsidR="00F926D5" w:rsidRPr="00A01544" w:rsidRDefault="00F926D5" w:rsidP="00F926D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Times New Roman"/>
                <w:color w:val="000000"/>
                <w:spacing w:val="60"/>
                <w:w w:val="103"/>
                <w:kern w:val="14"/>
                <w:sz w:val="17"/>
                <w:lang w:val="en-GB" w:eastAsia="fr-FR"/>
              </w:rPr>
            </w:pPr>
            <w:r w:rsidRPr="00074002">
              <w:rPr>
                <w:rFonts w:eastAsia="Times New Roman"/>
                <w:color w:val="000000"/>
                <w:kern w:val="14"/>
                <w:lang w:val="en-GB" w:eastAsia="fr-FR"/>
              </w:rPr>
              <w:t xml:space="preserve">Results and resources framework for </w:t>
            </w:r>
            <w:r w:rsidR="005E288B" w:rsidRPr="00074002">
              <w:rPr>
                <w:rFonts w:eastAsia="Times New Roman"/>
                <w:color w:val="000000"/>
                <w:kern w:val="14"/>
                <w:lang w:val="en-GB" w:eastAsia="fr-FR"/>
              </w:rPr>
              <w:t>Namibi</w:t>
            </w:r>
            <w:r w:rsidRPr="00296CEA">
              <w:rPr>
                <w:rFonts w:eastAsia="Times New Roman"/>
                <w:color w:val="000000"/>
                <w:kern w:val="14"/>
                <w:lang w:val="en-GB" w:eastAsia="fr-FR"/>
              </w:rPr>
              <w:t>a (201</w:t>
            </w:r>
            <w:r w:rsidR="005E288B" w:rsidRPr="00296CEA">
              <w:rPr>
                <w:rFonts w:eastAsia="Times New Roman"/>
                <w:color w:val="000000"/>
                <w:kern w:val="14"/>
                <w:lang w:val="en-GB" w:eastAsia="fr-FR"/>
              </w:rPr>
              <w:t>9</w:t>
            </w:r>
            <w:r w:rsidRPr="00A01544">
              <w:rPr>
                <w:rFonts w:eastAsia="Times New Roman"/>
                <w:color w:val="000000"/>
                <w:kern w:val="14"/>
                <w:lang w:val="en-GB" w:eastAsia="fr-FR"/>
              </w:rPr>
              <w:t>-202</w:t>
            </w:r>
            <w:r w:rsidR="005E288B" w:rsidRPr="00A01544">
              <w:rPr>
                <w:rFonts w:eastAsia="Times New Roman"/>
                <w:color w:val="000000"/>
                <w:kern w:val="14"/>
                <w:lang w:val="en-GB" w:eastAsia="fr-FR"/>
              </w:rPr>
              <w:t>3</w:t>
            </w:r>
            <w:r w:rsidRPr="00A01544">
              <w:rPr>
                <w:rFonts w:eastAsia="Times New Roman"/>
                <w:color w:val="000000"/>
                <w:kern w:val="14"/>
                <w:lang w:val="en-GB" w:eastAsia="fr-FR"/>
              </w:rPr>
              <w:t>)</w:t>
            </w:r>
          </w:p>
        </w:tc>
        <w:tc>
          <w:tcPr>
            <w:tcW w:w="533" w:type="dxa"/>
            <w:gridSpan w:val="2"/>
            <w:shd w:val="clear" w:color="auto" w:fill="auto"/>
            <w:vAlign w:val="bottom"/>
          </w:tcPr>
          <w:p w14:paraId="749CD291" w14:textId="77777777" w:rsidR="00F926D5" w:rsidRPr="00F71E12" w:rsidRDefault="00F926D5" w:rsidP="00F926D5">
            <w:pPr>
              <w:tabs>
                <w:tab w:val="left" w:pos="1620"/>
              </w:tabs>
              <w:suppressAutoHyphens/>
              <w:spacing w:after="120" w:line="240" w:lineRule="exact"/>
              <w:jc w:val="right"/>
              <w:rPr>
                <w:rFonts w:eastAsia="Times New Roman"/>
                <w:color w:val="000000"/>
                <w:spacing w:val="4"/>
                <w:w w:val="103"/>
                <w:kern w:val="14"/>
                <w:lang w:val="en-GB" w:eastAsia="fr-FR"/>
              </w:rPr>
            </w:pPr>
            <w:r w:rsidRPr="008268A9">
              <w:rPr>
                <w:rFonts w:eastAsia="Times New Roman"/>
                <w:color w:val="000000"/>
                <w:kern w:val="14"/>
                <w:lang w:val="en-GB" w:eastAsia="fr-FR"/>
              </w:rPr>
              <w:t>10</w:t>
            </w:r>
          </w:p>
        </w:tc>
      </w:tr>
    </w:tbl>
    <w:tbl>
      <w:tblPr>
        <w:tblW w:w="10260" w:type="dxa"/>
        <w:tblLayout w:type="fixed"/>
        <w:tblLook w:val="01E0" w:firstRow="1" w:lastRow="1" w:firstColumn="1" w:lastColumn="1" w:noHBand="0" w:noVBand="0"/>
      </w:tblPr>
      <w:tblGrid>
        <w:gridCol w:w="1728"/>
        <w:gridCol w:w="8172"/>
        <w:gridCol w:w="360"/>
      </w:tblGrid>
      <w:tr w:rsidR="00AD344C" w:rsidRPr="00074002" w14:paraId="6A58FF4D" w14:textId="77777777" w:rsidTr="00094E06">
        <w:trPr>
          <w:trHeight w:val="418"/>
        </w:trPr>
        <w:tc>
          <w:tcPr>
            <w:tcW w:w="1728" w:type="dxa"/>
            <w:vAlign w:val="center"/>
          </w:tcPr>
          <w:p w14:paraId="1F89EB20" w14:textId="451D9546" w:rsidR="00AD344C" w:rsidRPr="00AE6DA9" w:rsidRDefault="00AD344C" w:rsidP="005E288B">
            <w:pPr>
              <w:rPr>
                <w:color w:val="000000"/>
                <w:lang w:val="en-GB"/>
              </w:rPr>
            </w:pPr>
          </w:p>
        </w:tc>
        <w:tc>
          <w:tcPr>
            <w:tcW w:w="8172" w:type="dxa"/>
            <w:vAlign w:val="center"/>
          </w:tcPr>
          <w:p w14:paraId="4898DC73" w14:textId="40473A13" w:rsidR="00AD344C" w:rsidRPr="00AE6DA9" w:rsidRDefault="00AD344C" w:rsidP="002208B7">
            <w:pPr>
              <w:tabs>
                <w:tab w:val="left" w:pos="8789"/>
              </w:tabs>
              <w:ind w:right="288"/>
              <w:jc w:val="both"/>
              <w:rPr>
                <w:color w:val="000000"/>
                <w:lang w:val="en-GB"/>
              </w:rPr>
            </w:pPr>
          </w:p>
        </w:tc>
        <w:tc>
          <w:tcPr>
            <w:tcW w:w="360" w:type="dxa"/>
            <w:vAlign w:val="center"/>
          </w:tcPr>
          <w:p w14:paraId="2B4DFFBF" w14:textId="77777777" w:rsidR="00AD344C" w:rsidRPr="00AE6DA9" w:rsidRDefault="00AD344C" w:rsidP="003D2F84">
            <w:pPr>
              <w:tabs>
                <w:tab w:val="left" w:pos="8789"/>
              </w:tabs>
              <w:ind w:right="288"/>
              <w:rPr>
                <w:color w:val="000000"/>
                <w:lang w:val="en-GB"/>
              </w:rPr>
            </w:pPr>
          </w:p>
        </w:tc>
      </w:tr>
    </w:tbl>
    <w:p w14:paraId="734720A9" w14:textId="77777777" w:rsidR="00785474" w:rsidRPr="00AE6DA9" w:rsidRDefault="00785474" w:rsidP="003D2F84">
      <w:pPr>
        <w:tabs>
          <w:tab w:val="left" w:pos="8789"/>
        </w:tabs>
        <w:ind w:right="288"/>
        <w:rPr>
          <w:lang w:val="en-GB"/>
        </w:rPr>
      </w:pPr>
    </w:p>
    <w:p w14:paraId="0ABCDE9F" w14:textId="6076653B" w:rsidR="00A918A7" w:rsidRPr="00AE6DA9" w:rsidRDefault="00785474" w:rsidP="00816471">
      <w:pPr>
        <w:pStyle w:val="Heading2"/>
        <w:tabs>
          <w:tab w:val="left" w:pos="1800"/>
        </w:tabs>
        <w:spacing w:after="200"/>
        <w:ind w:left="1440" w:right="1210" w:hanging="360"/>
        <w:jc w:val="both"/>
        <w:rPr>
          <w:rFonts w:ascii="Times New Roman" w:hAnsi="Times New Roman"/>
          <w:bCs/>
          <w:color w:val="000000"/>
          <w:szCs w:val="28"/>
          <w:lang w:val="en-GB"/>
        </w:rPr>
      </w:pPr>
      <w:r w:rsidRPr="00AE6DA9">
        <w:rPr>
          <w:lang w:val="en-GB"/>
        </w:rPr>
        <w:br w:type="page"/>
      </w:r>
      <w:r w:rsidR="0059112A" w:rsidRPr="00AE6DA9">
        <w:rPr>
          <w:rFonts w:ascii="Times New Roman" w:hAnsi="Times New Roman"/>
          <w:bCs/>
          <w:color w:val="000000"/>
          <w:szCs w:val="28"/>
          <w:lang w:val="en-GB"/>
        </w:rPr>
        <w:lastRenderedPageBreak/>
        <w:t xml:space="preserve">I. </w:t>
      </w:r>
      <w:r w:rsidR="00816471" w:rsidRPr="00AE6DA9">
        <w:rPr>
          <w:rFonts w:ascii="Times New Roman" w:hAnsi="Times New Roman"/>
          <w:bCs/>
          <w:color w:val="000000"/>
          <w:szCs w:val="28"/>
          <w:lang w:val="en-GB"/>
        </w:rPr>
        <w:tab/>
      </w:r>
      <w:r w:rsidR="0059112A" w:rsidRPr="00AE6DA9">
        <w:rPr>
          <w:rFonts w:ascii="Times New Roman" w:hAnsi="Times New Roman"/>
          <w:bCs/>
          <w:color w:val="000000"/>
          <w:szCs w:val="28"/>
          <w:lang w:val="en-GB"/>
        </w:rPr>
        <w:t xml:space="preserve">Programme </w:t>
      </w:r>
      <w:r w:rsidR="00F926D5" w:rsidRPr="00AE6DA9">
        <w:rPr>
          <w:rFonts w:ascii="Times New Roman" w:hAnsi="Times New Roman"/>
          <w:bCs/>
          <w:color w:val="000000"/>
          <w:szCs w:val="28"/>
          <w:lang w:val="en-GB"/>
        </w:rPr>
        <w:t>r</w:t>
      </w:r>
      <w:r w:rsidR="0059112A" w:rsidRPr="00AE6DA9">
        <w:rPr>
          <w:rFonts w:ascii="Times New Roman" w:hAnsi="Times New Roman"/>
          <w:bCs/>
          <w:color w:val="000000"/>
          <w:szCs w:val="28"/>
          <w:lang w:val="en-GB"/>
        </w:rPr>
        <w:t>ationale</w:t>
      </w:r>
      <w:r w:rsidR="00A113D7" w:rsidRPr="00AE6DA9">
        <w:rPr>
          <w:rFonts w:ascii="Times New Roman" w:hAnsi="Times New Roman"/>
          <w:bCs/>
          <w:color w:val="000000"/>
          <w:szCs w:val="28"/>
          <w:lang w:val="en-GB"/>
        </w:rPr>
        <w:t xml:space="preserve"> </w:t>
      </w:r>
    </w:p>
    <w:p w14:paraId="632DD37C" w14:textId="1A123EA1" w:rsidR="00B420EB" w:rsidRPr="00AE6DA9" w:rsidRDefault="008F67F7" w:rsidP="005920CB">
      <w:pPr>
        <w:pStyle w:val="ListParagraph"/>
        <w:numPr>
          <w:ilvl w:val="0"/>
          <w:numId w:val="3"/>
        </w:numPr>
        <w:tabs>
          <w:tab w:val="left" w:pos="1710"/>
        </w:tabs>
        <w:spacing w:after="120"/>
        <w:ind w:left="1440" w:right="1210" w:firstLine="0"/>
        <w:contextualSpacing/>
        <w:jc w:val="both"/>
        <w:rPr>
          <w:lang w:val="en-GB"/>
        </w:rPr>
      </w:pPr>
      <w:r w:rsidRPr="00AE6DA9">
        <w:rPr>
          <w:lang w:val="en-GB"/>
        </w:rPr>
        <w:t xml:space="preserve">An </w:t>
      </w:r>
      <w:r w:rsidR="00401E0F" w:rsidRPr="00AE6DA9">
        <w:rPr>
          <w:lang w:val="en-GB"/>
        </w:rPr>
        <w:t>u</w:t>
      </w:r>
      <w:r w:rsidRPr="00AE6DA9">
        <w:rPr>
          <w:lang w:val="en-GB"/>
        </w:rPr>
        <w:t>pper</w:t>
      </w:r>
      <w:r w:rsidR="00A01544">
        <w:rPr>
          <w:lang w:val="en-GB"/>
        </w:rPr>
        <w:t>-</w:t>
      </w:r>
      <w:r w:rsidR="00401E0F" w:rsidRPr="00AE6DA9">
        <w:rPr>
          <w:lang w:val="en-GB"/>
        </w:rPr>
        <w:t>m</w:t>
      </w:r>
      <w:r w:rsidRPr="00AE6DA9">
        <w:rPr>
          <w:lang w:val="en-GB"/>
        </w:rPr>
        <w:t>iddle-</w:t>
      </w:r>
      <w:r w:rsidR="00401E0F" w:rsidRPr="00AE6DA9">
        <w:rPr>
          <w:lang w:val="en-GB"/>
        </w:rPr>
        <w:t>i</w:t>
      </w:r>
      <w:r w:rsidRPr="00AE6DA9">
        <w:rPr>
          <w:lang w:val="en-GB"/>
        </w:rPr>
        <w:t xml:space="preserve">ncome </w:t>
      </w:r>
      <w:r w:rsidR="00401E0F" w:rsidRPr="00AE6DA9">
        <w:rPr>
          <w:lang w:val="en-GB"/>
        </w:rPr>
        <w:t>c</w:t>
      </w:r>
      <w:r w:rsidRPr="00AE6DA9">
        <w:rPr>
          <w:lang w:val="en-GB"/>
        </w:rPr>
        <w:t xml:space="preserve">ountry, Namibia has </w:t>
      </w:r>
      <w:r w:rsidR="0074712E" w:rsidRPr="00AE6DA9">
        <w:rPr>
          <w:lang w:val="en-GB"/>
        </w:rPr>
        <w:t>effected</w:t>
      </w:r>
      <w:r w:rsidRPr="00AE6DA9">
        <w:rPr>
          <w:lang w:val="en-GB"/>
        </w:rPr>
        <w:t xml:space="preserve"> one of the fastest reductions in poverty on the continent</w:t>
      </w:r>
      <w:r w:rsidR="00401E0F" w:rsidRPr="00AE6DA9">
        <w:rPr>
          <w:lang w:val="en-GB"/>
        </w:rPr>
        <w:t>,</w:t>
      </w:r>
      <w:r w:rsidRPr="00AE6DA9">
        <w:rPr>
          <w:lang w:val="en-GB"/>
        </w:rPr>
        <w:t xml:space="preserve"> from 28.7</w:t>
      </w:r>
      <w:r w:rsidR="00401E0F" w:rsidRPr="00AE6DA9">
        <w:rPr>
          <w:lang w:val="en-GB"/>
        </w:rPr>
        <w:t xml:space="preserve"> per cent</w:t>
      </w:r>
      <w:r w:rsidRPr="00AE6DA9">
        <w:rPr>
          <w:lang w:val="en-GB"/>
        </w:rPr>
        <w:t xml:space="preserve"> (2009</w:t>
      </w:r>
      <w:r w:rsidR="00D17141">
        <w:rPr>
          <w:lang w:val="en-GB"/>
        </w:rPr>
        <w:t>-</w:t>
      </w:r>
      <w:r w:rsidRPr="00AE6DA9">
        <w:rPr>
          <w:lang w:val="en-GB"/>
        </w:rPr>
        <w:t>2010) to 1</w:t>
      </w:r>
      <w:r w:rsidR="001C48D1" w:rsidRPr="00AE6DA9">
        <w:rPr>
          <w:lang w:val="en-GB"/>
        </w:rPr>
        <w:t>7.4</w:t>
      </w:r>
      <w:r w:rsidR="00401E0F" w:rsidRPr="00AE6DA9">
        <w:rPr>
          <w:lang w:val="en-GB"/>
        </w:rPr>
        <w:t xml:space="preserve"> per cent</w:t>
      </w:r>
      <w:r w:rsidRPr="00AE6DA9">
        <w:rPr>
          <w:lang w:val="en-GB"/>
        </w:rPr>
        <w:t xml:space="preserve"> (2015</w:t>
      </w:r>
      <w:r w:rsidR="00D17141">
        <w:rPr>
          <w:lang w:val="en-GB"/>
        </w:rPr>
        <w:t>-</w:t>
      </w:r>
      <w:r w:rsidRPr="00AE6DA9">
        <w:rPr>
          <w:lang w:val="en-GB"/>
        </w:rPr>
        <w:t>2016)</w:t>
      </w:r>
      <w:r w:rsidR="00D17141">
        <w:rPr>
          <w:lang w:val="en-GB"/>
        </w:rPr>
        <w:t>,</w:t>
      </w:r>
      <w:r w:rsidR="00710F78" w:rsidRPr="00AE6DA9">
        <w:rPr>
          <w:rStyle w:val="FootnoteReference"/>
          <w:lang w:val="en-GB"/>
        </w:rPr>
        <w:footnoteReference w:id="2"/>
      </w:r>
      <w:r w:rsidR="00710F78" w:rsidRPr="00AE6DA9">
        <w:rPr>
          <w:rStyle w:val="FootnoteReference"/>
          <w:vertAlign w:val="subscript"/>
          <w:lang w:val="en-GB"/>
        </w:rPr>
        <w:t xml:space="preserve"> </w:t>
      </w:r>
      <w:r w:rsidRPr="00AE6DA9">
        <w:rPr>
          <w:lang w:val="en-GB"/>
        </w:rPr>
        <w:t xml:space="preserve"> </w:t>
      </w:r>
      <w:r w:rsidR="00074002" w:rsidRPr="00AE6DA9">
        <w:rPr>
          <w:lang w:val="en-GB"/>
        </w:rPr>
        <w:t xml:space="preserve">due </w:t>
      </w:r>
      <w:r w:rsidRPr="00AE6DA9">
        <w:rPr>
          <w:lang w:val="en-GB"/>
        </w:rPr>
        <w:t>mainly to sustained political stability, sound macroeconomic management</w:t>
      </w:r>
      <w:r w:rsidR="00074002" w:rsidRPr="00AE6DA9">
        <w:rPr>
          <w:lang w:val="en-GB"/>
        </w:rPr>
        <w:t>,</w:t>
      </w:r>
      <w:r w:rsidRPr="00AE6DA9">
        <w:rPr>
          <w:lang w:val="en-GB"/>
        </w:rPr>
        <w:t xml:space="preserve"> and public commitment to social protection program</w:t>
      </w:r>
      <w:r w:rsidR="00074002" w:rsidRPr="00AE6DA9">
        <w:rPr>
          <w:lang w:val="en-GB"/>
        </w:rPr>
        <w:t>me</w:t>
      </w:r>
      <w:r w:rsidRPr="00AE6DA9">
        <w:rPr>
          <w:lang w:val="en-GB"/>
        </w:rPr>
        <w:t>s. Namibia is a constitutional multi-party democracy</w:t>
      </w:r>
      <w:r w:rsidR="00074002">
        <w:rPr>
          <w:lang w:val="en-GB"/>
        </w:rPr>
        <w:t>,</w:t>
      </w:r>
      <w:r w:rsidR="0061570C" w:rsidRPr="00AE6DA9">
        <w:rPr>
          <w:lang w:val="en-GB"/>
        </w:rPr>
        <w:t xml:space="preserve"> </w:t>
      </w:r>
      <w:r w:rsidR="00074002">
        <w:rPr>
          <w:lang w:val="en-GB"/>
        </w:rPr>
        <w:t>numb</w:t>
      </w:r>
      <w:r w:rsidR="00074002" w:rsidRPr="00074002">
        <w:rPr>
          <w:lang w:val="en-GB"/>
        </w:rPr>
        <w:t>ered</w:t>
      </w:r>
      <w:r w:rsidR="00074002" w:rsidRPr="00AE6DA9">
        <w:rPr>
          <w:lang w:val="en-GB"/>
        </w:rPr>
        <w:t xml:space="preserve"> </w:t>
      </w:r>
      <w:r w:rsidRPr="00AE6DA9">
        <w:rPr>
          <w:lang w:val="en-GB"/>
        </w:rPr>
        <w:t xml:space="preserve">among the top 10 most peaceful countries in </w:t>
      </w:r>
      <w:r w:rsidR="00296CEA">
        <w:rPr>
          <w:lang w:val="en-GB"/>
        </w:rPr>
        <w:t>s</w:t>
      </w:r>
      <w:r w:rsidRPr="00AE6DA9">
        <w:rPr>
          <w:lang w:val="en-GB"/>
        </w:rPr>
        <w:t>ub-Saharan Africa</w:t>
      </w:r>
      <w:r w:rsidR="00D17141">
        <w:rPr>
          <w:lang w:val="en-GB"/>
        </w:rPr>
        <w:t>.</w:t>
      </w:r>
      <w:r w:rsidRPr="00AE6DA9">
        <w:rPr>
          <w:rStyle w:val="FootnoteReference"/>
          <w:lang w:val="en-GB"/>
        </w:rPr>
        <w:footnoteReference w:id="3"/>
      </w:r>
      <w:r w:rsidRPr="00AE6DA9">
        <w:rPr>
          <w:lang w:val="en-GB"/>
        </w:rPr>
        <w:t xml:space="preserve"> </w:t>
      </w:r>
      <w:r w:rsidR="00B420EB" w:rsidRPr="00AE6DA9">
        <w:rPr>
          <w:lang w:val="en-GB"/>
        </w:rPr>
        <w:t xml:space="preserve">Between </w:t>
      </w:r>
      <w:r w:rsidRPr="00AE6DA9">
        <w:rPr>
          <w:lang w:val="en-GB"/>
        </w:rPr>
        <w:t>201</w:t>
      </w:r>
      <w:r w:rsidR="00B420EB" w:rsidRPr="00AE6DA9">
        <w:rPr>
          <w:lang w:val="en-GB"/>
        </w:rPr>
        <w:t>2 and 2015</w:t>
      </w:r>
      <w:r w:rsidRPr="00AE6DA9">
        <w:rPr>
          <w:lang w:val="en-GB"/>
        </w:rPr>
        <w:t xml:space="preserve">, economic growth averaged </w:t>
      </w:r>
      <w:r w:rsidR="00B420EB" w:rsidRPr="00AE6DA9">
        <w:rPr>
          <w:lang w:val="en-GB"/>
        </w:rPr>
        <w:t>5.78</w:t>
      </w:r>
      <w:r w:rsidR="00401E0F" w:rsidRPr="00AE6DA9">
        <w:rPr>
          <w:lang w:val="en-GB"/>
        </w:rPr>
        <w:t xml:space="preserve"> per cent</w:t>
      </w:r>
      <w:r w:rsidR="009B5114" w:rsidRPr="00AE6DA9">
        <w:rPr>
          <w:rStyle w:val="FootnoteReference"/>
          <w:lang w:val="en-GB"/>
        </w:rPr>
        <w:footnoteReference w:id="4"/>
      </w:r>
      <w:r w:rsidRPr="00AE6DA9">
        <w:rPr>
          <w:lang w:val="en-GB"/>
        </w:rPr>
        <w:t xml:space="preserve"> </w:t>
      </w:r>
      <w:r w:rsidR="00457AF5">
        <w:rPr>
          <w:lang w:val="en-GB"/>
        </w:rPr>
        <w:t>thanks to</w:t>
      </w:r>
      <w:r w:rsidRPr="00AE6DA9">
        <w:rPr>
          <w:lang w:val="en-GB"/>
        </w:rPr>
        <w:t xml:space="preserve"> a booming extractives industry and growth in tourism. </w:t>
      </w:r>
      <w:r w:rsidR="00457AF5">
        <w:rPr>
          <w:lang w:val="en-GB"/>
        </w:rPr>
        <w:t>I</w:t>
      </w:r>
      <w:r w:rsidR="0049026E" w:rsidRPr="00AE6DA9">
        <w:rPr>
          <w:lang w:val="en-GB"/>
        </w:rPr>
        <w:t>n 2016</w:t>
      </w:r>
      <w:r w:rsidR="00296CEA">
        <w:rPr>
          <w:lang w:val="en-GB"/>
        </w:rPr>
        <w:t>-20</w:t>
      </w:r>
      <w:r w:rsidR="0049026E" w:rsidRPr="00AE6DA9">
        <w:rPr>
          <w:lang w:val="en-GB"/>
        </w:rPr>
        <w:t>17,</w:t>
      </w:r>
      <w:r w:rsidR="00296CEA">
        <w:rPr>
          <w:lang w:val="en-GB"/>
        </w:rPr>
        <w:t xml:space="preserve"> however,</w:t>
      </w:r>
      <w:r w:rsidR="0049026E" w:rsidRPr="00AE6DA9">
        <w:rPr>
          <w:lang w:val="en-GB"/>
        </w:rPr>
        <w:t xml:space="preserve"> th</w:t>
      </w:r>
      <w:r w:rsidR="00296CEA">
        <w:rPr>
          <w:lang w:val="en-GB"/>
        </w:rPr>
        <w:t xml:space="preserve">at </w:t>
      </w:r>
      <w:r w:rsidR="0049026E" w:rsidRPr="00AE6DA9">
        <w:rPr>
          <w:lang w:val="en-GB"/>
        </w:rPr>
        <w:t>rate dropped to 1.1</w:t>
      </w:r>
      <w:r w:rsidR="00401E0F" w:rsidRPr="00AE6DA9">
        <w:rPr>
          <w:lang w:val="en-GB"/>
        </w:rPr>
        <w:t xml:space="preserve"> per cent</w:t>
      </w:r>
      <w:r w:rsidR="0049026E" w:rsidRPr="00AE6DA9">
        <w:rPr>
          <w:lang w:val="en-GB"/>
        </w:rPr>
        <w:t>.</w:t>
      </w:r>
      <w:r w:rsidRPr="00AE6DA9">
        <w:rPr>
          <w:lang w:val="en-GB"/>
        </w:rPr>
        <w:t xml:space="preserve"> </w:t>
      </w:r>
      <w:r w:rsidR="00457AF5">
        <w:rPr>
          <w:lang w:val="en-GB"/>
        </w:rPr>
        <w:t>The</w:t>
      </w:r>
      <w:r w:rsidR="00457AF5" w:rsidRPr="00AE6DA9">
        <w:rPr>
          <w:lang w:val="en-GB"/>
        </w:rPr>
        <w:t xml:space="preserve"> </w:t>
      </w:r>
      <w:r w:rsidRPr="00AE6DA9">
        <w:rPr>
          <w:lang w:val="en-GB"/>
        </w:rPr>
        <w:t xml:space="preserve">0.640 Human Development Index </w:t>
      </w:r>
      <w:r w:rsidR="00296CEA">
        <w:rPr>
          <w:lang w:val="en-GB"/>
        </w:rPr>
        <w:t xml:space="preserve">rating </w:t>
      </w:r>
      <w:r w:rsidRPr="00AE6DA9">
        <w:rPr>
          <w:lang w:val="en-GB"/>
        </w:rPr>
        <w:t>is above average for countries in the medium human development group (0.631)</w:t>
      </w:r>
      <w:r w:rsidR="00296CEA">
        <w:rPr>
          <w:lang w:val="en-GB"/>
        </w:rPr>
        <w:t>,</w:t>
      </w:r>
      <w:r w:rsidRPr="00AE6DA9">
        <w:rPr>
          <w:lang w:val="en-GB"/>
        </w:rPr>
        <w:t xml:space="preserve"> and above the </w:t>
      </w:r>
      <w:r w:rsidR="00296CEA" w:rsidRPr="000378B4">
        <w:rPr>
          <w:lang w:val="en-GB"/>
        </w:rPr>
        <w:t xml:space="preserve">0.523 </w:t>
      </w:r>
      <w:r w:rsidRPr="00AE6DA9">
        <w:rPr>
          <w:lang w:val="en-GB"/>
        </w:rPr>
        <w:t xml:space="preserve">average for </w:t>
      </w:r>
      <w:r w:rsidR="00296CEA">
        <w:rPr>
          <w:lang w:val="en-GB"/>
        </w:rPr>
        <w:t>s</w:t>
      </w:r>
      <w:r w:rsidRPr="00AE6DA9">
        <w:rPr>
          <w:lang w:val="en-GB"/>
        </w:rPr>
        <w:t>ub-Saharan Africa</w:t>
      </w:r>
      <w:r w:rsidR="00D17141">
        <w:rPr>
          <w:lang w:val="en-GB"/>
        </w:rPr>
        <w:t>.</w:t>
      </w:r>
      <w:r w:rsidRPr="00AE6DA9">
        <w:rPr>
          <w:rStyle w:val="FootnoteReference"/>
          <w:lang w:val="en-GB"/>
        </w:rPr>
        <w:footnoteReference w:id="5"/>
      </w:r>
      <w:r w:rsidRPr="00AE6DA9">
        <w:rPr>
          <w:lang w:val="en-GB"/>
        </w:rPr>
        <w:t xml:space="preserve"> </w:t>
      </w:r>
    </w:p>
    <w:p w14:paraId="701736B4" w14:textId="77777777" w:rsidR="00A95919" w:rsidRPr="00AE6DA9" w:rsidRDefault="00A95919" w:rsidP="005920CB">
      <w:pPr>
        <w:pStyle w:val="ListParagraph"/>
        <w:tabs>
          <w:tab w:val="left" w:pos="1710"/>
        </w:tabs>
        <w:ind w:left="1440" w:right="1210"/>
        <w:rPr>
          <w:sz w:val="12"/>
          <w:szCs w:val="12"/>
          <w:lang w:val="en-GB"/>
        </w:rPr>
      </w:pPr>
    </w:p>
    <w:p w14:paraId="459A7E7E" w14:textId="57A02BD8" w:rsidR="00A420A6" w:rsidRPr="00AE6DA9" w:rsidRDefault="008F67F7" w:rsidP="005920CB">
      <w:pPr>
        <w:pStyle w:val="ListParagraph"/>
        <w:numPr>
          <w:ilvl w:val="0"/>
          <w:numId w:val="3"/>
        </w:numPr>
        <w:tabs>
          <w:tab w:val="left" w:pos="1710"/>
        </w:tabs>
        <w:autoSpaceDE w:val="0"/>
        <w:autoSpaceDN w:val="0"/>
        <w:adjustRightInd w:val="0"/>
        <w:spacing w:after="120"/>
        <w:ind w:left="1440" w:right="1210" w:firstLine="0"/>
        <w:contextualSpacing/>
        <w:jc w:val="both"/>
        <w:rPr>
          <w:lang w:val="en-GB"/>
        </w:rPr>
      </w:pPr>
      <w:r w:rsidRPr="00AE6DA9">
        <w:rPr>
          <w:lang w:val="en-GB"/>
        </w:rPr>
        <w:t>Namibia ranks 5</w:t>
      </w:r>
      <w:r w:rsidRPr="00AE6DA9">
        <w:rPr>
          <w:vertAlign w:val="superscript"/>
          <w:lang w:val="en-GB"/>
        </w:rPr>
        <w:t>th</w:t>
      </w:r>
      <w:r w:rsidRPr="00AE6DA9">
        <w:rPr>
          <w:lang w:val="en-GB"/>
        </w:rPr>
        <w:t xml:space="preserve"> out of 54 African </w:t>
      </w:r>
      <w:r w:rsidR="00296CEA">
        <w:rPr>
          <w:lang w:val="en-GB"/>
        </w:rPr>
        <w:t>c</w:t>
      </w:r>
      <w:r w:rsidRPr="00AE6DA9">
        <w:rPr>
          <w:lang w:val="en-GB"/>
        </w:rPr>
        <w:t xml:space="preserve">ountries on the Ibrahim Index of African </w:t>
      </w:r>
      <w:r w:rsidR="00296CEA">
        <w:rPr>
          <w:lang w:val="en-GB"/>
        </w:rPr>
        <w:t>G</w:t>
      </w:r>
      <w:r w:rsidRPr="00AE6DA9">
        <w:rPr>
          <w:lang w:val="en-GB"/>
        </w:rPr>
        <w:t>overnance</w:t>
      </w:r>
      <w:r w:rsidR="00296CEA">
        <w:rPr>
          <w:lang w:val="en-GB"/>
        </w:rPr>
        <w:t xml:space="preserve">, </w:t>
      </w:r>
      <w:r w:rsidR="00296CEA" w:rsidRPr="000378B4">
        <w:rPr>
          <w:lang w:val="en-GB"/>
        </w:rPr>
        <w:t>2016</w:t>
      </w:r>
      <w:r w:rsidRPr="00AE6DA9">
        <w:rPr>
          <w:lang w:val="en-GB"/>
        </w:rPr>
        <w:t xml:space="preserve">. </w:t>
      </w:r>
      <w:r w:rsidR="00296CEA">
        <w:rPr>
          <w:lang w:val="en-GB"/>
        </w:rPr>
        <w:t xml:space="preserve">The </w:t>
      </w:r>
      <w:r w:rsidR="00A420A6" w:rsidRPr="00AE6DA9">
        <w:rPr>
          <w:lang w:val="en-GB"/>
        </w:rPr>
        <w:t>Transparency International Perception Corruption Index</w:t>
      </w:r>
      <w:r w:rsidR="00296CEA">
        <w:rPr>
          <w:lang w:val="en-GB"/>
        </w:rPr>
        <w:t>,</w:t>
      </w:r>
      <w:r w:rsidR="00A420A6" w:rsidRPr="00AE6DA9">
        <w:rPr>
          <w:lang w:val="en-GB"/>
        </w:rPr>
        <w:t xml:space="preserve"> 2017</w:t>
      </w:r>
      <w:r w:rsidR="00296CEA">
        <w:rPr>
          <w:lang w:val="en-GB"/>
        </w:rPr>
        <w:t>,</w:t>
      </w:r>
      <w:r w:rsidR="00A420A6" w:rsidRPr="00AE6DA9">
        <w:rPr>
          <w:lang w:val="en-GB"/>
        </w:rPr>
        <w:t xml:space="preserve"> </w:t>
      </w:r>
      <w:r w:rsidRPr="00AE6DA9">
        <w:rPr>
          <w:lang w:val="en-GB"/>
        </w:rPr>
        <w:t>rank</w:t>
      </w:r>
      <w:r w:rsidR="00A420A6" w:rsidRPr="00AE6DA9">
        <w:rPr>
          <w:lang w:val="en-GB"/>
        </w:rPr>
        <w:t>s it</w:t>
      </w:r>
      <w:r w:rsidRPr="00AE6DA9">
        <w:rPr>
          <w:lang w:val="en-GB"/>
        </w:rPr>
        <w:t xml:space="preserve"> </w:t>
      </w:r>
      <w:r w:rsidR="00296CEA">
        <w:rPr>
          <w:lang w:val="en-GB"/>
        </w:rPr>
        <w:t>the</w:t>
      </w:r>
      <w:r w:rsidR="00296CEA" w:rsidRPr="00AE6DA9">
        <w:rPr>
          <w:lang w:val="en-GB"/>
        </w:rPr>
        <w:t xml:space="preserve"> </w:t>
      </w:r>
      <w:r w:rsidR="008740DB" w:rsidRPr="00AE6DA9">
        <w:rPr>
          <w:lang w:val="en-GB"/>
        </w:rPr>
        <w:t xml:space="preserve">fifth </w:t>
      </w:r>
      <w:r w:rsidRPr="00AE6DA9">
        <w:rPr>
          <w:lang w:val="en-GB"/>
        </w:rPr>
        <w:t>least corrupt country in sub-Saharan Africa</w:t>
      </w:r>
      <w:r w:rsidR="003E7F5D" w:rsidRPr="00AE6DA9">
        <w:rPr>
          <w:lang w:val="en-GB"/>
        </w:rPr>
        <w:t>. Namibia</w:t>
      </w:r>
      <w:r w:rsidR="008216B0" w:rsidRPr="00AE6DA9">
        <w:rPr>
          <w:lang w:val="en-GB"/>
        </w:rPr>
        <w:t xml:space="preserve"> ranks </w:t>
      </w:r>
      <w:r w:rsidR="00296CEA">
        <w:rPr>
          <w:lang w:val="en-GB"/>
        </w:rPr>
        <w:t>first</w:t>
      </w:r>
      <w:r w:rsidR="00296CEA" w:rsidRPr="00AE6DA9">
        <w:rPr>
          <w:lang w:val="en-GB"/>
        </w:rPr>
        <w:t xml:space="preserve"> </w:t>
      </w:r>
      <w:r w:rsidR="008216B0" w:rsidRPr="00AE6DA9">
        <w:rPr>
          <w:lang w:val="en-GB"/>
        </w:rPr>
        <w:t xml:space="preserve">on the World </w:t>
      </w:r>
      <w:r w:rsidR="00A01544">
        <w:rPr>
          <w:lang w:val="en-GB"/>
        </w:rPr>
        <w:t>Press F</w:t>
      </w:r>
      <w:r w:rsidR="00A01544" w:rsidRPr="000378B4">
        <w:rPr>
          <w:lang w:val="en-GB"/>
        </w:rPr>
        <w:t xml:space="preserve">reedom </w:t>
      </w:r>
      <w:r w:rsidR="008216B0" w:rsidRPr="00AE6DA9">
        <w:rPr>
          <w:lang w:val="en-GB"/>
        </w:rPr>
        <w:t>Index</w:t>
      </w:r>
      <w:r w:rsidR="00A01544">
        <w:rPr>
          <w:lang w:val="en-GB"/>
        </w:rPr>
        <w:t xml:space="preserve">, </w:t>
      </w:r>
      <w:r w:rsidR="00A01544" w:rsidRPr="000378B4">
        <w:rPr>
          <w:lang w:val="en-GB"/>
        </w:rPr>
        <w:t>2016</w:t>
      </w:r>
      <w:r w:rsidR="008216B0" w:rsidRPr="00AE6DA9">
        <w:rPr>
          <w:lang w:val="en-GB"/>
        </w:rPr>
        <w:t xml:space="preserve">. </w:t>
      </w:r>
      <w:r w:rsidRPr="00AE6DA9">
        <w:rPr>
          <w:lang w:val="en-GB"/>
        </w:rPr>
        <w:t xml:space="preserve">Despite </w:t>
      </w:r>
      <w:r w:rsidR="00A01544">
        <w:rPr>
          <w:lang w:val="en-GB"/>
        </w:rPr>
        <w:t>this</w:t>
      </w:r>
      <w:r w:rsidRPr="00AE6DA9">
        <w:rPr>
          <w:lang w:val="en-GB"/>
        </w:rPr>
        <w:t xml:space="preserve"> strong foundation, Namibia faces several persistent development challenges. </w:t>
      </w:r>
      <w:r w:rsidR="009B5114" w:rsidRPr="00AE6DA9">
        <w:rPr>
          <w:lang w:val="en-GB"/>
        </w:rPr>
        <w:t>It</w:t>
      </w:r>
      <w:r w:rsidRPr="00AE6DA9">
        <w:rPr>
          <w:lang w:val="en-GB"/>
        </w:rPr>
        <w:t xml:space="preserve"> remains one of the most unequal nations in the world, with a Gini coefficient of 0.5</w:t>
      </w:r>
      <w:r w:rsidR="0053032B" w:rsidRPr="00AE6DA9">
        <w:rPr>
          <w:lang w:val="en-GB"/>
        </w:rPr>
        <w:t>60</w:t>
      </w:r>
      <w:r w:rsidR="00D17141">
        <w:rPr>
          <w:lang w:val="en-GB"/>
        </w:rPr>
        <w:t>.</w:t>
      </w:r>
      <w:r w:rsidRPr="00AE6DA9">
        <w:rPr>
          <w:rStyle w:val="FootnoteReference"/>
          <w:lang w:val="en-GB"/>
        </w:rPr>
        <w:footnoteReference w:id="6"/>
      </w:r>
      <w:r w:rsidRPr="00AE6DA9">
        <w:rPr>
          <w:lang w:val="en-GB"/>
        </w:rPr>
        <w:t xml:space="preserve"> </w:t>
      </w:r>
      <w:r w:rsidR="006F1264" w:rsidRPr="00AE6DA9">
        <w:rPr>
          <w:lang w:val="en-GB"/>
        </w:rPr>
        <w:t>Gender inequality is high</w:t>
      </w:r>
      <w:r w:rsidR="00A01544">
        <w:rPr>
          <w:lang w:val="en-GB"/>
        </w:rPr>
        <w:t>:</w:t>
      </w:r>
      <w:r w:rsidR="006F1264" w:rsidRPr="00AE6DA9">
        <w:rPr>
          <w:lang w:val="en-GB"/>
        </w:rPr>
        <w:t xml:space="preserve"> Namibia ranks 108</w:t>
      </w:r>
      <w:r w:rsidR="0005757B" w:rsidRPr="00AE6DA9">
        <w:rPr>
          <w:vertAlign w:val="superscript"/>
          <w:lang w:val="en-GB"/>
        </w:rPr>
        <w:t>th</w:t>
      </w:r>
      <w:r w:rsidR="006F1264" w:rsidRPr="00AE6DA9">
        <w:rPr>
          <w:lang w:val="en-GB"/>
        </w:rPr>
        <w:t xml:space="preserve"> out of 159</w:t>
      </w:r>
      <w:r w:rsidR="00457AF5">
        <w:rPr>
          <w:lang w:val="en-GB"/>
        </w:rPr>
        <w:t> </w:t>
      </w:r>
      <w:r w:rsidR="006F1264" w:rsidRPr="00AE6DA9">
        <w:rPr>
          <w:lang w:val="en-GB"/>
        </w:rPr>
        <w:t>countries</w:t>
      </w:r>
      <w:r w:rsidR="00A01544">
        <w:rPr>
          <w:lang w:val="en-GB"/>
        </w:rPr>
        <w:t>,</w:t>
      </w:r>
      <w:r w:rsidR="006F1264" w:rsidRPr="00AE6DA9">
        <w:rPr>
          <w:lang w:val="en-GB"/>
        </w:rPr>
        <w:t xml:space="preserve"> with a Gender Inequality Index value of 0.474</w:t>
      </w:r>
      <w:r w:rsidR="00D17141">
        <w:rPr>
          <w:lang w:val="en-GB"/>
        </w:rPr>
        <w:t>.</w:t>
      </w:r>
      <w:r w:rsidR="006F1264" w:rsidRPr="00AE6DA9">
        <w:rPr>
          <w:rStyle w:val="FootnoteReference"/>
          <w:lang w:val="en-GB"/>
        </w:rPr>
        <w:footnoteReference w:id="7"/>
      </w:r>
      <w:r w:rsidR="006F1264" w:rsidRPr="00AE6DA9">
        <w:rPr>
          <w:lang w:val="en-GB"/>
        </w:rPr>
        <w:t xml:space="preserve"> </w:t>
      </w:r>
      <w:r w:rsidR="00A01544">
        <w:rPr>
          <w:lang w:val="en-GB"/>
        </w:rPr>
        <w:t>C</w:t>
      </w:r>
      <w:r w:rsidRPr="00AE6DA9">
        <w:rPr>
          <w:lang w:val="en-GB"/>
        </w:rPr>
        <w:t xml:space="preserve">ompared to other </w:t>
      </w:r>
      <w:r w:rsidR="00A01544">
        <w:rPr>
          <w:lang w:val="en-GB"/>
        </w:rPr>
        <w:t>upper-middle-income countrie</w:t>
      </w:r>
      <w:r w:rsidR="00A01544" w:rsidRPr="006300CC">
        <w:rPr>
          <w:lang w:val="en-GB"/>
        </w:rPr>
        <w:t xml:space="preserve">s, the lowest percentage </w:t>
      </w:r>
      <w:r w:rsidR="00A01544">
        <w:rPr>
          <w:lang w:val="en-GB"/>
        </w:rPr>
        <w:t xml:space="preserve">of </w:t>
      </w:r>
      <w:r w:rsidR="00A01544" w:rsidRPr="000378B4">
        <w:rPr>
          <w:lang w:val="en-GB"/>
        </w:rPr>
        <w:t xml:space="preserve">its population </w:t>
      </w:r>
      <w:r w:rsidR="00A01544" w:rsidRPr="006300CC">
        <w:rPr>
          <w:lang w:val="en-GB"/>
        </w:rPr>
        <w:t xml:space="preserve">(55 per cent) </w:t>
      </w:r>
      <w:r w:rsidR="00A01544">
        <w:rPr>
          <w:lang w:val="en-GB"/>
        </w:rPr>
        <w:t xml:space="preserve">has </w:t>
      </w:r>
      <w:r w:rsidRPr="00AE6DA9">
        <w:rPr>
          <w:lang w:val="en-GB"/>
        </w:rPr>
        <w:t>access to improved sanitation facilities</w:t>
      </w:r>
      <w:r w:rsidR="007226E6">
        <w:rPr>
          <w:lang w:val="en-GB"/>
        </w:rPr>
        <w:t xml:space="preserve">; </w:t>
      </w:r>
      <w:r w:rsidR="00A95919" w:rsidRPr="00AE6DA9">
        <w:rPr>
          <w:lang w:val="en-GB"/>
        </w:rPr>
        <w:t xml:space="preserve">only </w:t>
      </w:r>
      <w:r w:rsidR="00F87D2E" w:rsidRPr="00AE6DA9">
        <w:rPr>
          <w:lang w:val="en-GB"/>
        </w:rPr>
        <w:t>48</w:t>
      </w:r>
      <w:r w:rsidR="00401E0F" w:rsidRPr="00AE6DA9">
        <w:rPr>
          <w:lang w:val="en-GB"/>
        </w:rPr>
        <w:t xml:space="preserve"> per cent</w:t>
      </w:r>
      <w:r w:rsidR="00A95919" w:rsidRPr="00AE6DA9">
        <w:rPr>
          <w:lang w:val="en-GB"/>
        </w:rPr>
        <w:t xml:space="preserve"> (mainly urban) </w:t>
      </w:r>
      <w:r w:rsidR="00A01544">
        <w:rPr>
          <w:lang w:val="en-GB"/>
        </w:rPr>
        <w:t>has</w:t>
      </w:r>
      <w:r w:rsidR="00A01544" w:rsidRPr="00AE6DA9">
        <w:rPr>
          <w:lang w:val="en-GB"/>
        </w:rPr>
        <w:t xml:space="preserve"> </w:t>
      </w:r>
      <w:r w:rsidRPr="00AE6DA9">
        <w:rPr>
          <w:lang w:val="en-GB"/>
        </w:rPr>
        <w:t>access to electricity</w:t>
      </w:r>
      <w:r w:rsidR="00D17141">
        <w:rPr>
          <w:lang w:val="en-GB"/>
        </w:rPr>
        <w:t>.</w:t>
      </w:r>
      <w:r w:rsidR="00A420A6" w:rsidRPr="00AE6DA9">
        <w:rPr>
          <w:rStyle w:val="FootnoteReference"/>
          <w:lang w:val="en-GB"/>
        </w:rPr>
        <w:footnoteReference w:id="8"/>
      </w:r>
      <w:r w:rsidRPr="00AE6DA9">
        <w:rPr>
          <w:lang w:val="en-GB"/>
        </w:rPr>
        <w:t xml:space="preserve"> </w:t>
      </w:r>
    </w:p>
    <w:p w14:paraId="52F37F37" w14:textId="77777777" w:rsidR="00A420A6" w:rsidRPr="00AE6DA9" w:rsidRDefault="00A420A6" w:rsidP="005920CB">
      <w:pPr>
        <w:pStyle w:val="ListParagraph"/>
        <w:tabs>
          <w:tab w:val="left" w:pos="1710"/>
        </w:tabs>
        <w:ind w:left="1440" w:right="1210"/>
        <w:rPr>
          <w:sz w:val="12"/>
          <w:szCs w:val="12"/>
          <w:lang w:val="en-GB"/>
        </w:rPr>
      </w:pPr>
    </w:p>
    <w:p w14:paraId="626439D8" w14:textId="749236D5" w:rsidR="00A420A6" w:rsidRPr="00AE6DA9" w:rsidRDefault="007226E6" w:rsidP="005920CB">
      <w:pPr>
        <w:pStyle w:val="ListParagraph"/>
        <w:numPr>
          <w:ilvl w:val="0"/>
          <w:numId w:val="3"/>
        </w:numPr>
        <w:tabs>
          <w:tab w:val="left" w:pos="1710"/>
        </w:tabs>
        <w:autoSpaceDE w:val="0"/>
        <w:autoSpaceDN w:val="0"/>
        <w:adjustRightInd w:val="0"/>
        <w:spacing w:after="120"/>
        <w:ind w:left="1440" w:right="1210" w:firstLine="0"/>
        <w:contextualSpacing/>
        <w:jc w:val="both"/>
        <w:rPr>
          <w:lang w:val="en-GB"/>
        </w:rPr>
      </w:pPr>
      <w:r>
        <w:rPr>
          <w:lang w:val="en-GB"/>
        </w:rPr>
        <w:t>R</w:t>
      </w:r>
      <w:r w:rsidR="008F67F7" w:rsidRPr="00AE6DA9">
        <w:rPr>
          <w:lang w:val="en-GB"/>
        </w:rPr>
        <w:t>obust economic growth since independence has neither led to adequate job creation</w:t>
      </w:r>
      <w:r>
        <w:rPr>
          <w:lang w:val="en-GB"/>
        </w:rPr>
        <w:t>,</w:t>
      </w:r>
      <w:r w:rsidR="008F67F7" w:rsidRPr="00AE6DA9">
        <w:rPr>
          <w:lang w:val="en-GB"/>
        </w:rPr>
        <w:t xml:space="preserve"> nor has it been inclusive. Unemployment rates increased from 27.9</w:t>
      </w:r>
      <w:r w:rsidR="00A01544" w:rsidRPr="00A01544">
        <w:rPr>
          <w:lang w:val="en-GB"/>
        </w:rPr>
        <w:t> </w:t>
      </w:r>
      <w:r w:rsidR="00401E0F" w:rsidRPr="00AE6DA9">
        <w:rPr>
          <w:lang w:val="en-GB"/>
        </w:rPr>
        <w:t>per cent</w:t>
      </w:r>
      <w:r w:rsidR="008F67F7" w:rsidRPr="00AE6DA9">
        <w:rPr>
          <w:lang w:val="en-GB"/>
        </w:rPr>
        <w:t xml:space="preserve"> in 2014 to 34</w:t>
      </w:r>
      <w:r>
        <w:rPr>
          <w:lang w:val="en-GB"/>
        </w:rPr>
        <w:t> </w:t>
      </w:r>
      <w:r w:rsidR="00A01544" w:rsidRPr="000378B4">
        <w:rPr>
          <w:lang w:val="en-GB"/>
        </w:rPr>
        <w:t>per</w:t>
      </w:r>
      <w:r w:rsidR="00A01544">
        <w:rPr>
          <w:lang w:val="en-GB"/>
        </w:rPr>
        <w:t xml:space="preserve"> cent</w:t>
      </w:r>
      <w:r w:rsidR="008F67F7" w:rsidRPr="00AE6DA9">
        <w:rPr>
          <w:lang w:val="en-GB"/>
        </w:rPr>
        <w:t xml:space="preserve"> in 2016</w:t>
      </w:r>
      <w:r w:rsidR="00E472F8" w:rsidRPr="00AE6DA9">
        <w:rPr>
          <w:lang w:val="en-GB"/>
        </w:rPr>
        <w:t>,</w:t>
      </w:r>
      <w:r w:rsidR="008F67F7" w:rsidRPr="00AE6DA9">
        <w:rPr>
          <w:lang w:val="en-GB"/>
        </w:rPr>
        <w:t xml:space="preserve"> with youth unemployment at 43.4</w:t>
      </w:r>
      <w:r w:rsidR="00A01544">
        <w:rPr>
          <w:lang w:val="en-GB"/>
        </w:rPr>
        <w:t xml:space="preserve"> per cent</w:t>
      </w:r>
      <w:r w:rsidR="00D17141">
        <w:rPr>
          <w:lang w:val="en-GB"/>
        </w:rPr>
        <w:t>;</w:t>
      </w:r>
      <w:r w:rsidR="00C25645" w:rsidRPr="00AE6DA9">
        <w:rPr>
          <w:rStyle w:val="FootnoteReference"/>
          <w:lang w:val="en-GB"/>
        </w:rPr>
        <w:footnoteReference w:id="9"/>
      </w:r>
      <w:r w:rsidR="00F16051" w:rsidRPr="00AE6DA9">
        <w:rPr>
          <w:lang w:val="en-GB"/>
        </w:rPr>
        <w:t xml:space="preserve"> disabled persons</w:t>
      </w:r>
      <w:r w:rsidR="00A01544">
        <w:rPr>
          <w:lang w:val="en-GB"/>
        </w:rPr>
        <w:t>’</w:t>
      </w:r>
      <w:r w:rsidR="00F16051" w:rsidRPr="00AE6DA9">
        <w:rPr>
          <w:lang w:val="en-GB"/>
        </w:rPr>
        <w:t xml:space="preserve"> unemployment at 39</w:t>
      </w:r>
      <w:r w:rsidR="00A01544">
        <w:rPr>
          <w:lang w:val="en-GB"/>
        </w:rPr>
        <w:t xml:space="preserve"> per cent</w:t>
      </w:r>
      <w:r w:rsidR="00457AF5">
        <w:rPr>
          <w:lang w:val="en-GB"/>
        </w:rPr>
        <w:t>;</w:t>
      </w:r>
      <w:r w:rsidR="00C25645" w:rsidRPr="00AE6DA9">
        <w:rPr>
          <w:rStyle w:val="FootnoteReference"/>
          <w:lang w:val="en-GB"/>
        </w:rPr>
        <w:footnoteReference w:id="10"/>
      </w:r>
      <w:r w:rsidR="008F67F7" w:rsidRPr="00AE6DA9">
        <w:rPr>
          <w:lang w:val="en-GB"/>
        </w:rPr>
        <w:t xml:space="preserve"> and women</w:t>
      </w:r>
      <w:r w:rsidR="00A01544">
        <w:rPr>
          <w:lang w:val="en-GB"/>
        </w:rPr>
        <w:t>’s</w:t>
      </w:r>
      <w:r w:rsidR="008F67F7" w:rsidRPr="00AE6DA9">
        <w:rPr>
          <w:lang w:val="en-GB"/>
        </w:rPr>
        <w:t xml:space="preserve"> unemployment at 38.3</w:t>
      </w:r>
      <w:r w:rsidR="000B0C7A">
        <w:rPr>
          <w:lang w:val="en-GB"/>
        </w:rPr>
        <w:t> per </w:t>
      </w:r>
      <w:r>
        <w:rPr>
          <w:lang w:val="en-GB"/>
        </w:rPr>
        <w:t>cent</w:t>
      </w:r>
      <w:r w:rsidR="00A01544" w:rsidRPr="00AE6DA9">
        <w:rPr>
          <w:lang w:val="en-GB"/>
        </w:rPr>
        <w:t xml:space="preserve"> </w:t>
      </w:r>
      <w:r>
        <w:rPr>
          <w:lang w:val="en-GB"/>
        </w:rPr>
        <w:t>(</w:t>
      </w:r>
      <w:r w:rsidR="008F67F7" w:rsidRPr="00AE6DA9">
        <w:rPr>
          <w:lang w:val="en-GB"/>
        </w:rPr>
        <w:t>29.8</w:t>
      </w:r>
      <w:r w:rsidR="00A01544">
        <w:rPr>
          <w:lang w:val="en-GB"/>
        </w:rPr>
        <w:t xml:space="preserve"> per cent</w:t>
      </w:r>
      <w:r w:rsidR="00A01544" w:rsidRPr="00AE6DA9">
        <w:rPr>
          <w:lang w:val="en-GB"/>
        </w:rPr>
        <w:t xml:space="preserve"> </w:t>
      </w:r>
      <w:r w:rsidR="008F67F7" w:rsidRPr="00AE6DA9">
        <w:rPr>
          <w:lang w:val="en-GB"/>
        </w:rPr>
        <w:t>for men</w:t>
      </w:r>
      <w:r>
        <w:rPr>
          <w:lang w:val="en-GB"/>
        </w:rPr>
        <w:t>)</w:t>
      </w:r>
      <w:r w:rsidR="00D17141">
        <w:rPr>
          <w:lang w:val="en-GB"/>
        </w:rPr>
        <w:t>.</w:t>
      </w:r>
      <w:r w:rsidR="00E472F8" w:rsidRPr="00AE6DA9">
        <w:rPr>
          <w:rStyle w:val="FootnoteReference"/>
          <w:lang w:val="en-GB"/>
        </w:rPr>
        <w:footnoteReference w:id="11"/>
      </w:r>
      <w:r w:rsidR="008F67F7" w:rsidRPr="00AE6DA9">
        <w:rPr>
          <w:lang w:val="en-GB"/>
        </w:rPr>
        <w:t xml:space="preserve"> Unemployment is </w:t>
      </w:r>
      <w:r w:rsidR="002A1B31" w:rsidRPr="00AE6DA9">
        <w:rPr>
          <w:lang w:val="en-GB"/>
        </w:rPr>
        <w:t>highest in rural areas</w:t>
      </w:r>
      <w:r w:rsidR="00A01544">
        <w:rPr>
          <w:lang w:val="en-GB"/>
        </w:rPr>
        <w:t>,</w:t>
      </w:r>
      <w:r w:rsidR="002A1B31" w:rsidRPr="00AE6DA9">
        <w:rPr>
          <w:lang w:val="en-GB"/>
        </w:rPr>
        <w:t xml:space="preserve"> at 39.</w:t>
      </w:r>
      <w:r w:rsidR="008F67F7" w:rsidRPr="00AE6DA9">
        <w:rPr>
          <w:lang w:val="en-GB"/>
        </w:rPr>
        <w:t>2</w:t>
      </w:r>
      <w:r w:rsidR="00A01544">
        <w:rPr>
          <w:lang w:val="en-GB"/>
        </w:rPr>
        <w:t xml:space="preserve"> per cent,</w:t>
      </w:r>
      <w:r w:rsidR="00A01544" w:rsidRPr="00AE6DA9">
        <w:rPr>
          <w:lang w:val="en-GB"/>
        </w:rPr>
        <w:t xml:space="preserve"> </w:t>
      </w:r>
      <w:r w:rsidR="008F67F7" w:rsidRPr="00AE6DA9">
        <w:rPr>
          <w:lang w:val="en-GB"/>
        </w:rPr>
        <w:t>compared to 30.3</w:t>
      </w:r>
      <w:r>
        <w:rPr>
          <w:lang w:val="en-GB"/>
        </w:rPr>
        <w:t> per </w:t>
      </w:r>
      <w:r w:rsidR="00A01544">
        <w:rPr>
          <w:lang w:val="en-GB"/>
        </w:rPr>
        <w:t>cent</w:t>
      </w:r>
      <w:r w:rsidR="00A01544" w:rsidRPr="00AE6DA9">
        <w:rPr>
          <w:lang w:val="en-GB"/>
        </w:rPr>
        <w:t xml:space="preserve"> </w:t>
      </w:r>
      <w:r w:rsidR="008F67F7" w:rsidRPr="00AE6DA9">
        <w:rPr>
          <w:lang w:val="en-GB"/>
        </w:rPr>
        <w:t>in urban areas</w:t>
      </w:r>
      <w:r w:rsidR="00D17141">
        <w:rPr>
          <w:lang w:val="en-GB"/>
        </w:rPr>
        <w:t>.</w:t>
      </w:r>
      <w:r w:rsidR="008376FA" w:rsidRPr="00AE6DA9">
        <w:rPr>
          <w:rStyle w:val="FootnoteReference"/>
          <w:lang w:val="en-GB"/>
        </w:rPr>
        <w:footnoteReference w:id="12"/>
      </w:r>
      <w:r w:rsidR="008F67F7" w:rsidRPr="00AE6DA9">
        <w:rPr>
          <w:lang w:val="en-GB"/>
        </w:rPr>
        <w:t xml:space="preserve"> </w:t>
      </w:r>
      <w:r w:rsidR="00E74083" w:rsidRPr="00AE6DA9">
        <w:rPr>
          <w:lang w:val="en-GB"/>
        </w:rPr>
        <w:t>Poverty is concentrated in rural areas</w:t>
      </w:r>
      <w:r w:rsidR="00D17141">
        <w:rPr>
          <w:lang w:val="en-GB"/>
        </w:rPr>
        <w:t>.</w:t>
      </w:r>
      <w:r w:rsidR="0063612E" w:rsidRPr="00AE6DA9">
        <w:rPr>
          <w:rStyle w:val="FootnoteReference"/>
          <w:lang w:val="en-GB"/>
        </w:rPr>
        <w:footnoteReference w:id="13"/>
      </w:r>
      <w:r w:rsidR="00EB129B" w:rsidRPr="00AE6DA9">
        <w:rPr>
          <w:lang w:val="en-GB"/>
        </w:rPr>
        <w:t xml:space="preserve"> </w:t>
      </w:r>
      <w:r w:rsidR="008F67F7" w:rsidRPr="00AE6DA9">
        <w:rPr>
          <w:lang w:val="en-GB"/>
        </w:rPr>
        <w:t>Namibia is one</w:t>
      </w:r>
      <w:r w:rsidR="00541BCC" w:rsidRPr="00AE6DA9">
        <w:rPr>
          <w:lang w:val="en-GB"/>
        </w:rPr>
        <w:t xml:space="preserve"> of the driest countries</w:t>
      </w:r>
      <w:r w:rsidR="00267AF7" w:rsidRPr="00AE6DA9">
        <w:rPr>
          <w:rStyle w:val="FootnoteReference"/>
          <w:lang w:val="en-GB"/>
        </w:rPr>
        <w:footnoteReference w:id="14"/>
      </w:r>
      <w:r w:rsidR="00541BCC" w:rsidRPr="00AE6DA9">
        <w:rPr>
          <w:lang w:val="en-GB"/>
        </w:rPr>
        <w:t xml:space="preserve"> in sub-</w:t>
      </w:r>
      <w:r w:rsidR="008F67F7" w:rsidRPr="00AE6DA9">
        <w:rPr>
          <w:lang w:val="en-GB"/>
        </w:rPr>
        <w:t xml:space="preserve">Saharan Africa, with high climatic variability due to unpredictable rainfall, </w:t>
      </w:r>
      <w:r w:rsidR="00A420A6" w:rsidRPr="00AE6DA9">
        <w:rPr>
          <w:lang w:val="en-GB"/>
        </w:rPr>
        <w:t>translat</w:t>
      </w:r>
      <w:r w:rsidR="00457AF5">
        <w:rPr>
          <w:lang w:val="en-GB"/>
        </w:rPr>
        <w:t>ing</w:t>
      </w:r>
      <w:r w:rsidR="00A420A6" w:rsidRPr="00AE6DA9">
        <w:rPr>
          <w:lang w:val="en-GB"/>
        </w:rPr>
        <w:t xml:space="preserve"> into</w:t>
      </w:r>
      <w:r w:rsidR="008F67F7" w:rsidRPr="00AE6DA9">
        <w:rPr>
          <w:lang w:val="en-GB"/>
        </w:rPr>
        <w:t xml:space="preserve"> a fragile ecosystem that is vulnerable to shocks. The country faces persistent droughts and recurr</w:t>
      </w:r>
      <w:r w:rsidR="00EA56AB" w:rsidRPr="00AE6DA9">
        <w:rPr>
          <w:lang w:val="en-GB"/>
        </w:rPr>
        <w:t>ing floods in the north</w:t>
      </w:r>
      <w:r w:rsidR="00426D31">
        <w:rPr>
          <w:lang w:val="en-GB"/>
        </w:rPr>
        <w:t>;</w:t>
      </w:r>
      <w:r w:rsidR="008F67F7" w:rsidRPr="00AE6DA9">
        <w:rPr>
          <w:rFonts w:ascii="Tw Cen MT" w:hAnsi="Tw Cen MT"/>
          <w:color w:val="404040"/>
          <w:lang w:val="en-GB"/>
        </w:rPr>
        <w:t xml:space="preserve"> </w:t>
      </w:r>
      <w:r w:rsidR="008F67F7" w:rsidRPr="00AE6DA9">
        <w:rPr>
          <w:lang w:val="en-GB"/>
        </w:rPr>
        <w:t>desertification</w:t>
      </w:r>
      <w:r w:rsidR="003B5895" w:rsidRPr="00AE6DA9">
        <w:rPr>
          <w:lang w:val="en-GB"/>
        </w:rPr>
        <w:t xml:space="preserve"> in the </w:t>
      </w:r>
      <w:r w:rsidR="002726FF" w:rsidRPr="00AE6DA9">
        <w:rPr>
          <w:lang w:val="en-GB"/>
        </w:rPr>
        <w:t xml:space="preserve">central, </w:t>
      </w:r>
      <w:r w:rsidR="003B5895" w:rsidRPr="00AE6DA9">
        <w:rPr>
          <w:lang w:val="en-GB"/>
        </w:rPr>
        <w:t xml:space="preserve">southwest </w:t>
      </w:r>
      <w:r w:rsidR="000828B8" w:rsidRPr="00AE6DA9">
        <w:rPr>
          <w:lang w:val="en-GB"/>
        </w:rPr>
        <w:t xml:space="preserve">and eastern </w:t>
      </w:r>
      <w:r w:rsidR="003B5895" w:rsidRPr="00AE6DA9">
        <w:rPr>
          <w:lang w:val="en-GB"/>
        </w:rPr>
        <w:t>regions</w:t>
      </w:r>
      <w:r w:rsidR="00EA56AB" w:rsidRPr="00AE6DA9">
        <w:rPr>
          <w:lang w:val="en-GB"/>
        </w:rPr>
        <w:t>;</w:t>
      </w:r>
      <w:r w:rsidR="008F67F7" w:rsidRPr="00AE6DA9">
        <w:rPr>
          <w:lang w:val="en-GB"/>
        </w:rPr>
        <w:t xml:space="preserve"> forest fires</w:t>
      </w:r>
      <w:r w:rsidR="000828B8" w:rsidRPr="00AE6DA9">
        <w:rPr>
          <w:lang w:val="en-GB"/>
        </w:rPr>
        <w:t xml:space="preserve"> throughout the country</w:t>
      </w:r>
      <w:r w:rsidR="00426D31">
        <w:rPr>
          <w:lang w:val="en-GB"/>
        </w:rPr>
        <w:t>;</w:t>
      </w:r>
      <w:r w:rsidR="008F67F7" w:rsidRPr="00AE6DA9">
        <w:rPr>
          <w:lang w:val="en-GB"/>
        </w:rPr>
        <w:t xml:space="preserve"> and </w:t>
      </w:r>
      <w:r w:rsidR="000828B8" w:rsidRPr="00AE6DA9">
        <w:rPr>
          <w:lang w:val="en-GB"/>
        </w:rPr>
        <w:t xml:space="preserve">sporadic </w:t>
      </w:r>
      <w:r w:rsidR="008F67F7" w:rsidRPr="00AE6DA9">
        <w:rPr>
          <w:lang w:val="en-GB"/>
        </w:rPr>
        <w:t>disease outbreaks</w:t>
      </w:r>
      <w:r w:rsidR="0049026E" w:rsidRPr="00AE6DA9">
        <w:rPr>
          <w:lang w:val="en-GB"/>
        </w:rPr>
        <w:t xml:space="preserve"> (</w:t>
      </w:r>
      <w:r w:rsidR="00426D31">
        <w:rPr>
          <w:lang w:val="en-GB"/>
        </w:rPr>
        <w:t>such as</w:t>
      </w:r>
      <w:r w:rsidR="0049026E" w:rsidRPr="00AE6DA9">
        <w:rPr>
          <w:lang w:val="en-GB"/>
        </w:rPr>
        <w:t xml:space="preserve"> </w:t>
      </w:r>
      <w:r w:rsidR="00AA2150">
        <w:rPr>
          <w:lang w:val="en-GB"/>
        </w:rPr>
        <w:t>c</w:t>
      </w:r>
      <w:r w:rsidR="0049026E" w:rsidRPr="00AE6DA9">
        <w:rPr>
          <w:lang w:val="en-GB"/>
        </w:rPr>
        <w:t>holera</w:t>
      </w:r>
      <w:r w:rsidR="00426D31">
        <w:rPr>
          <w:lang w:val="en-GB"/>
        </w:rPr>
        <w:t xml:space="preserve"> and</w:t>
      </w:r>
      <w:r w:rsidR="0049026E" w:rsidRPr="00AE6DA9">
        <w:rPr>
          <w:lang w:val="en-GB"/>
        </w:rPr>
        <w:t xml:space="preserve"> </w:t>
      </w:r>
      <w:r w:rsidR="00AA2150">
        <w:rPr>
          <w:lang w:val="en-GB"/>
        </w:rPr>
        <w:t>h</w:t>
      </w:r>
      <w:r w:rsidR="0049026E" w:rsidRPr="00AE6DA9">
        <w:rPr>
          <w:lang w:val="en-GB"/>
        </w:rPr>
        <w:t>epatitis</w:t>
      </w:r>
      <w:r w:rsidR="00AA2150">
        <w:rPr>
          <w:lang w:val="en-GB"/>
        </w:rPr>
        <w:t> </w:t>
      </w:r>
      <w:r w:rsidR="0049026E" w:rsidRPr="00AE6DA9">
        <w:rPr>
          <w:lang w:val="en-GB"/>
        </w:rPr>
        <w:t>E</w:t>
      </w:r>
      <w:r w:rsidR="000828B8" w:rsidRPr="00AE6DA9">
        <w:rPr>
          <w:lang w:val="en-GB"/>
        </w:rPr>
        <w:t>)</w:t>
      </w:r>
      <w:r w:rsidR="008F67F7" w:rsidRPr="00AE6DA9">
        <w:rPr>
          <w:lang w:val="en-GB"/>
        </w:rPr>
        <w:t xml:space="preserve">. </w:t>
      </w:r>
    </w:p>
    <w:p w14:paraId="3A0BFDA5" w14:textId="77777777" w:rsidR="00A420A6" w:rsidRPr="00AE6DA9" w:rsidRDefault="00A420A6" w:rsidP="005920CB">
      <w:pPr>
        <w:pStyle w:val="ListParagraph"/>
        <w:tabs>
          <w:tab w:val="left" w:pos="1710"/>
        </w:tabs>
        <w:ind w:left="1440" w:right="1210"/>
        <w:rPr>
          <w:sz w:val="12"/>
          <w:szCs w:val="12"/>
          <w:lang w:val="en-GB"/>
        </w:rPr>
      </w:pPr>
    </w:p>
    <w:p w14:paraId="790E652D" w14:textId="3305A512" w:rsidR="00C72C5F" w:rsidRPr="00254B40" w:rsidRDefault="008F67F7" w:rsidP="005920CB">
      <w:pPr>
        <w:pStyle w:val="ListParagraph"/>
        <w:numPr>
          <w:ilvl w:val="0"/>
          <w:numId w:val="3"/>
        </w:numPr>
        <w:tabs>
          <w:tab w:val="left" w:pos="1710"/>
        </w:tabs>
        <w:autoSpaceDE w:val="0"/>
        <w:autoSpaceDN w:val="0"/>
        <w:adjustRightInd w:val="0"/>
        <w:spacing w:after="120"/>
        <w:ind w:left="1440" w:right="1210" w:firstLine="0"/>
        <w:contextualSpacing/>
        <w:jc w:val="both"/>
        <w:rPr>
          <w:lang w:val="en-GB"/>
        </w:rPr>
      </w:pPr>
      <w:r w:rsidRPr="00AE6DA9">
        <w:rPr>
          <w:lang w:val="en-GB"/>
        </w:rPr>
        <w:t>Inadequate capacities of communities to adapt to natural and economic shocks</w:t>
      </w:r>
      <w:r w:rsidR="0033000E" w:rsidRPr="00AE6DA9">
        <w:rPr>
          <w:lang w:val="en-GB"/>
        </w:rPr>
        <w:t xml:space="preserve">, such </w:t>
      </w:r>
      <w:r w:rsidR="00D5096E" w:rsidRPr="00AE6DA9">
        <w:rPr>
          <w:lang w:val="en-GB"/>
        </w:rPr>
        <w:t>as fluctuating commodity prices and</w:t>
      </w:r>
      <w:r w:rsidR="0033000E" w:rsidRPr="00AE6DA9">
        <w:rPr>
          <w:lang w:val="en-GB"/>
        </w:rPr>
        <w:t xml:space="preserve"> un</w:t>
      </w:r>
      <w:r w:rsidR="00A95919" w:rsidRPr="00AE6DA9">
        <w:rPr>
          <w:lang w:val="en-GB"/>
        </w:rPr>
        <w:t>employment</w:t>
      </w:r>
      <w:r w:rsidR="00AA2150">
        <w:rPr>
          <w:lang w:val="en-GB"/>
        </w:rPr>
        <w:t>,</w:t>
      </w:r>
      <w:r w:rsidRPr="00254B40">
        <w:rPr>
          <w:lang w:val="en-GB"/>
        </w:rPr>
        <w:t xml:space="preserve"> </w:t>
      </w:r>
      <w:r w:rsidR="007226E6">
        <w:rPr>
          <w:lang w:val="en-GB"/>
        </w:rPr>
        <w:t xml:space="preserve">reduce </w:t>
      </w:r>
      <w:r w:rsidRPr="00254B40">
        <w:rPr>
          <w:lang w:val="en-GB"/>
        </w:rPr>
        <w:t>access to basic needs and services</w:t>
      </w:r>
      <w:r w:rsidR="00D17141">
        <w:rPr>
          <w:lang w:val="en-GB"/>
        </w:rPr>
        <w:t>.</w:t>
      </w:r>
      <w:r w:rsidR="0033000E" w:rsidRPr="00254B40">
        <w:rPr>
          <w:lang w:val="en-GB"/>
        </w:rPr>
        <w:t xml:space="preserve"> </w:t>
      </w:r>
      <w:r w:rsidRPr="00254B40">
        <w:rPr>
          <w:lang w:val="en-GB"/>
        </w:rPr>
        <w:t>Often, this results in resources for human development priorities being diverted to disaster response.</w:t>
      </w:r>
      <w:r w:rsidR="00DB7D4C" w:rsidRPr="00254B40">
        <w:rPr>
          <w:lang w:val="en-GB"/>
        </w:rPr>
        <w:t xml:space="preserve"> In</w:t>
      </w:r>
      <w:r w:rsidRPr="00254B40">
        <w:rPr>
          <w:lang w:val="en-GB"/>
        </w:rPr>
        <w:t xml:space="preserve"> </w:t>
      </w:r>
      <w:r w:rsidR="00DB7D4C" w:rsidRPr="00254B40">
        <w:rPr>
          <w:lang w:val="en-GB"/>
        </w:rPr>
        <w:t>2016</w:t>
      </w:r>
      <w:r w:rsidR="00D17141">
        <w:rPr>
          <w:lang w:val="en-GB"/>
        </w:rPr>
        <w:t>-</w:t>
      </w:r>
      <w:r w:rsidR="00DB7D4C" w:rsidRPr="00254B40">
        <w:rPr>
          <w:lang w:val="en-GB"/>
        </w:rPr>
        <w:t xml:space="preserve">2017, </w:t>
      </w:r>
      <w:r w:rsidRPr="00254B40">
        <w:rPr>
          <w:lang w:val="en-GB"/>
        </w:rPr>
        <w:t>27.8</w:t>
      </w:r>
      <w:r w:rsidR="00401E0F" w:rsidRPr="00254B40">
        <w:rPr>
          <w:lang w:val="en-GB"/>
        </w:rPr>
        <w:t xml:space="preserve"> per cent</w:t>
      </w:r>
      <w:r w:rsidR="00DB7D4C" w:rsidRPr="00254B40">
        <w:rPr>
          <w:lang w:val="en-GB"/>
        </w:rPr>
        <w:t xml:space="preserve"> </w:t>
      </w:r>
      <w:r w:rsidRPr="00254B40">
        <w:rPr>
          <w:lang w:val="en-GB"/>
        </w:rPr>
        <w:t xml:space="preserve">of </w:t>
      </w:r>
      <w:r w:rsidR="00AA2150">
        <w:rPr>
          <w:lang w:val="en-GB"/>
        </w:rPr>
        <w:t xml:space="preserve">the </w:t>
      </w:r>
      <w:r w:rsidRPr="00254B40">
        <w:rPr>
          <w:lang w:val="en-GB"/>
        </w:rPr>
        <w:t xml:space="preserve">population </w:t>
      </w:r>
      <w:r w:rsidR="00DB7D4C" w:rsidRPr="00254B40">
        <w:rPr>
          <w:lang w:val="en-GB"/>
        </w:rPr>
        <w:t>w</w:t>
      </w:r>
      <w:r w:rsidR="00AA2150">
        <w:rPr>
          <w:lang w:val="en-GB"/>
        </w:rPr>
        <w:t>ere</w:t>
      </w:r>
      <w:r w:rsidRPr="00254B40">
        <w:rPr>
          <w:lang w:val="en-GB"/>
        </w:rPr>
        <w:t xml:space="preserve"> food insecure, with rural communities, women and small</w:t>
      </w:r>
      <w:r w:rsidR="007A24D0">
        <w:rPr>
          <w:lang w:val="en-GB"/>
        </w:rPr>
        <w:t>-</w:t>
      </w:r>
      <w:r w:rsidRPr="00254B40">
        <w:rPr>
          <w:lang w:val="en-GB"/>
        </w:rPr>
        <w:t>holder farmers the most affected</w:t>
      </w:r>
      <w:r w:rsidR="00457AF5">
        <w:rPr>
          <w:lang w:val="en-GB"/>
        </w:rPr>
        <w:t>.</w:t>
      </w:r>
      <w:r w:rsidR="000828B8" w:rsidRPr="00254B40">
        <w:rPr>
          <w:rStyle w:val="FootnoteReference"/>
          <w:lang w:val="en-GB"/>
        </w:rPr>
        <w:footnoteReference w:id="15"/>
      </w:r>
      <w:r w:rsidR="00A420A6" w:rsidRPr="00254B40">
        <w:rPr>
          <w:lang w:val="en-GB"/>
        </w:rPr>
        <w:t xml:space="preserve"> </w:t>
      </w:r>
      <w:r w:rsidRPr="00254B40">
        <w:rPr>
          <w:lang w:val="en-GB"/>
        </w:rPr>
        <w:t xml:space="preserve">As a small but open economy, reliant on its extractives sector and dependent on its trading partners, </w:t>
      </w:r>
      <w:r w:rsidRPr="00254B40">
        <w:rPr>
          <w:lang w:val="en-GB"/>
        </w:rPr>
        <w:lastRenderedPageBreak/>
        <w:t>Namibia witnessed low growth (1.1</w:t>
      </w:r>
      <w:r w:rsidR="00401E0F" w:rsidRPr="00254B40">
        <w:rPr>
          <w:lang w:val="en-GB"/>
        </w:rPr>
        <w:t xml:space="preserve"> per cent</w:t>
      </w:r>
      <w:r w:rsidRPr="00254B40">
        <w:rPr>
          <w:lang w:val="en-GB"/>
        </w:rPr>
        <w:t xml:space="preserve">) </w:t>
      </w:r>
      <w:r w:rsidR="00457AF5">
        <w:rPr>
          <w:lang w:val="en-GB"/>
        </w:rPr>
        <w:t>during the global slow-down of</w:t>
      </w:r>
      <w:r w:rsidR="00457AF5" w:rsidRPr="00254B40">
        <w:rPr>
          <w:lang w:val="en-GB"/>
        </w:rPr>
        <w:t xml:space="preserve"> </w:t>
      </w:r>
      <w:r w:rsidRPr="00254B40">
        <w:rPr>
          <w:lang w:val="en-GB"/>
        </w:rPr>
        <w:t>2016</w:t>
      </w:r>
      <w:r w:rsidR="007A24D0">
        <w:rPr>
          <w:lang w:val="en-GB"/>
        </w:rPr>
        <w:t>-</w:t>
      </w:r>
      <w:r w:rsidRPr="00254B40">
        <w:rPr>
          <w:lang w:val="en-GB"/>
        </w:rPr>
        <w:t>2017</w:t>
      </w:r>
      <w:r w:rsidRPr="00254B40">
        <w:rPr>
          <w:rStyle w:val="FootnoteReference"/>
          <w:lang w:val="en-GB"/>
        </w:rPr>
        <w:footnoteReference w:id="16"/>
      </w:r>
      <w:r w:rsidRPr="00254B40">
        <w:rPr>
          <w:lang w:val="en-GB"/>
        </w:rPr>
        <w:t xml:space="preserve">. </w:t>
      </w:r>
      <w:r w:rsidR="007A24D0">
        <w:rPr>
          <w:lang w:val="en-GB"/>
        </w:rPr>
        <w:t xml:space="preserve">The </w:t>
      </w:r>
      <w:r w:rsidRPr="00254B40">
        <w:rPr>
          <w:lang w:val="en-GB"/>
        </w:rPr>
        <w:t xml:space="preserve">Government initiated austerity measures </w:t>
      </w:r>
      <w:r w:rsidR="007226E6">
        <w:rPr>
          <w:lang w:val="en-GB"/>
        </w:rPr>
        <w:t>to contain</w:t>
      </w:r>
      <w:r w:rsidRPr="00254B40">
        <w:rPr>
          <w:lang w:val="en-GB"/>
        </w:rPr>
        <w:t xml:space="preserve"> the public debt level, which stood at 46.9</w:t>
      </w:r>
      <w:r w:rsidR="00401E0F" w:rsidRPr="00254B40">
        <w:rPr>
          <w:lang w:val="en-GB"/>
        </w:rPr>
        <w:t xml:space="preserve"> per cent</w:t>
      </w:r>
      <w:r w:rsidRPr="00254B40">
        <w:rPr>
          <w:lang w:val="en-GB"/>
        </w:rPr>
        <w:t xml:space="preserve"> of </w:t>
      </w:r>
      <w:r w:rsidR="007A24D0">
        <w:rPr>
          <w:lang w:val="en-GB"/>
        </w:rPr>
        <w:t xml:space="preserve">gross domestic product </w:t>
      </w:r>
      <w:r w:rsidR="00D17141" w:rsidRPr="000378B4">
        <w:rPr>
          <w:lang w:val="en-GB"/>
        </w:rPr>
        <w:t>in 2017</w:t>
      </w:r>
      <w:r w:rsidR="007226E6">
        <w:rPr>
          <w:lang w:val="en-GB"/>
        </w:rPr>
        <w:t xml:space="preserve"> – </w:t>
      </w:r>
      <w:r w:rsidR="007A24D0">
        <w:rPr>
          <w:lang w:val="en-GB"/>
        </w:rPr>
        <w:t>well</w:t>
      </w:r>
      <w:r w:rsidR="007A24D0" w:rsidRPr="00254B40">
        <w:rPr>
          <w:lang w:val="en-GB"/>
        </w:rPr>
        <w:t xml:space="preserve"> </w:t>
      </w:r>
      <w:r w:rsidRPr="00254B40">
        <w:rPr>
          <w:lang w:val="en-GB"/>
        </w:rPr>
        <w:t xml:space="preserve">above </w:t>
      </w:r>
      <w:r w:rsidR="00045B26" w:rsidRPr="00254B40">
        <w:rPr>
          <w:lang w:val="en-GB"/>
        </w:rPr>
        <w:t>the</w:t>
      </w:r>
      <w:r w:rsidRPr="00254B40">
        <w:rPr>
          <w:lang w:val="en-GB"/>
        </w:rPr>
        <w:t xml:space="preserve"> 35</w:t>
      </w:r>
      <w:r w:rsidR="00401E0F" w:rsidRPr="00254B40">
        <w:rPr>
          <w:lang w:val="en-GB"/>
        </w:rPr>
        <w:t xml:space="preserve"> per cent</w:t>
      </w:r>
      <w:r w:rsidRPr="00254B40">
        <w:rPr>
          <w:lang w:val="en-GB"/>
        </w:rPr>
        <w:t xml:space="preserve"> limit</w:t>
      </w:r>
      <w:r w:rsidR="00D17141">
        <w:rPr>
          <w:lang w:val="en-GB"/>
        </w:rPr>
        <w:t>.</w:t>
      </w:r>
      <w:r w:rsidR="00045B26" w:rsidRPr="00254B40">
        <w:rPr>
          <w:rStyle w:val="FootnoteReference"/>
          <w:lang w:val="en-GB"/>
        </w:rPr>
        <w:footnoteReference w:id="17"/>
      </w:r>
      <w:r w:rsidRPr="00254B40">
        <w:rPr>
          <w:lang w:val="en-GB"/>
        </w:rPr>
        <w:t xml:space="preserve"> In 2017, Namibia launched </w:t>
      </w:r>
      <w:r w:rsidR="007A24D0">
        <w:rPr>
          <w:lang w:val="en-GB"/>
        </w:rPr>
        <w:t xml:space="preserve">its </w:t>
      </w:r>
      <w:r w:rsidR="00DC1619">
        <w:rPr>
          <w:lang w:val="en-GB"/>
        </w:rPr>
        <w:t>Fifth</w:t>
      </w:r>
      <w:r w:rsidR="00DC1619" w:rsidRPr="00254B40">
        <w:rPr>
          <w:lang w:val="en-GB"/>
        </w:rPr>
        <w:t xml:space="preserve"> </w:t>
      </w:r>
      <w:r w:rsidRPr="00254B40">
        <w:rPr>
          <w:lang w:val="en-GB"/>
        </w:rPr>
        <w:t>National Deve</w:t>
      </w:r>
      <w:r w:rsidR="00D5096E" w:rsidRPr="00254B40">
        <w:rPr>
          <w:lang w:val="en-GB"/>
        </w:rPr>
        <w:t>lopment Plan</w:t>
      </w:r>
      <w:r w:rsidR="00A95919" w:rsidRPr="00254B40">
        <w:rPr>
          <w:lang w:val="en-GB"/>
        </w:rPr>
        <w:t>,</w:t>
      </w:r>
      <w:r w:rsidRPr="00254B40">
        <w:rPr>
          <w:lang w:val="en-GB"/>
        </w:rPr>
        <w:t xml:space="preserve"> integrat</w:t>
      </w:r>
      <w:r w:rsidR="007D348C">
        <w:rPr>
          <w:lang w:val="en-GB"/>
        </w:rPr>
        <w:t>ing</w:t>
      </w:r>
      <w:r w:rsidRPr="00254B40">
        <w:rPr>
          <w:lang w:val="en-GB"/>
        </w:rPr>
        <w:t xml:space="preserve"> the </w:t>
      </w:r>
      <w:r w:rsidRPr="00254B40">
        <w:t xml:space="preserve">Sustainable Development </w:t>
      </w:r>
      <w:r w:rsidRPr="00254B40">
        <w:rPr>
          <w:lang w:val="en-GB"/>
        </w:rPr>
        <w:t xml:space="preserve">Goals under the theme “Working together towards prosperity”. The </w:t>
      </w:r>
      <w:r w:rsidR="00AD4B51" w:rsidRPr="00254B40">
        <w:rPr>
          <w:lang w:val="en-GB"/>
        </w:rPr>
        <w:t>plan is built on four pillars: e</w:t>
      </w:r>
      <w:r w:rsidRPr="00254B40">
        <w:rPr>
          <w:lang w:val="en-GB"/>
        </w:rPr>
        <w:t>conomic progression, social transformation, environmental sustainability, and good governance</w:t>
      </w:r>
      <w:r w:rsidR="00D17141">
        <w:rPr>
          <w:lang w:val="en-GB"/>
        </w:rPr>
        <w:t>.</w:t>
      </w:r>
      <w:r w:rsidRPr="00254B40">
        <w:rPr>
          <w:lang w:val="en-GB"/>
        </w:rPr>
        <w:t xml:space="preserve"> </w:t>
      </w:r>
      <w:r w:rsidR="00D17141">
        <w:rPr>
          <w:lang w:val="en-GB"/>
        </w:rPr>
        <w:t>I</w:t>
      </w:r>
      <w:r w:rsidR="00DC1619">
        <w:rPr>
          <w:lang w:val="en-GB"/>
        </w:rPr>
        <w:t>t</w:t>
      </w:r>
      <w:r w:rsidR="00DC1619" w:rsidRPr="00254B40">
        <w:rPr>
          <w:lang w:val="en-GB"/>
        </w:rPr>
        <w:t xml:space="preserve"> </w:t>
      </w:r>
      <w:r w:rsidR="00D17141">
        <w:rPr>
          <w:lang w:val="en-GB"/>
        </w:rPr>
        <w:t>seek</w:t>
      </w:r>
      <w:r w:rsidR="00D17141" w:rsidRPr="00254B40">
        <w:rPr>
          <w:lang w:val="en-GB"/>
        </w:rPr>
        <w:t xml:space="preserve">s </w:t>
      </w:r>
      <w:r w:rsidRPr="00254B40">
        <w:rPr>
          <w:lang w:val="en-GB"/>
        </w:rPr>
        <w:t>to accelerate poverty</w:t>
      </w:r>
      <w:r w:rsidR="00261820" w:rsidRPr="00254B40">
        <w:rPr>
          <w:lang w:val="en-GB"/>
        </w:rPr>
        <w:t xml:space="preserve"> eradication</w:t>
      </w:r>
      <w:r w:rsidRPr="00254B40">
        <w:rPr>
          <w:lang w:val="en-GB"/>
        </w:rPr>
        <w:t xml:space="preserve"> and inequality </w:t>
      </w:r>
      <w:r w:rsidR="00C72C5F" w:rsidRPr="00254B40">
        <w:rPr>
          <w:lang w:val="en-GB"/>
        </w:rPr>
        <w:t xml:space="preserve">reduction </w:t>
      </w:r>
      <w:r w:rsidR="00DC1619" w:rsidRPr="00254B40">
        <w:rPr>
          <w:lang w:val="en-GB"/>
        </w:rPr>
        <w:t>to</w:t>
      </w:r>
      <w:r w:rsidR="00DC1619">
        <w:rPr>
          <w:lang w:val="en-GB"/>
        </w:rPr>
        <w:t xml:space="preserve"> achieve</w:t>
      </w:r>
      <w:r w:rsidR="00DC1619" w:rsidRPr="00254B40">
        <w:rPr>
          <w:lang w:val="en-GB"/>
        </w:rPr>
        <w:t xml:space="preserve"> </w:t>
      </w:r>
      <w:r w:rsidRPr="00254B40">
        <w:rPr>
          <w:lang w:val="en-GB"/>
        </w:rPr>
        <w:t xml:space="preserve">inclusive, sustainable </w:t>
      </w:r>
      <w:r w:rsidR="00261820" w:rsidRPr="00254B40">
        <w:rPr>
          <w:lang w:val="en-GB"/>
        </w:rPr>
        <w:t xml:space="preserve">and </w:t>
      </w:r>
      <w:r w:rsidRPr="00254B40">
        <w:rPr>
          <w:lang w:val="en-GB"/>
        </w:rPr>
        <w:t xml:space="preserve">equitable growth. </w:t>
      </w:r>
    </w:p>
    <w:p w14:paraId="384C5F11" w14:textId="77777777" w:rsidR="00C72C5F" w:rsidRPr="00254B40" w:rsidRDefault="00C72C5F" w:rsidP="005920CB">
      <w:pPr>
        <w:pStyle w:val="ListParagraph"/>
        <w:tabs>
          <w:tab w:val="left" w:pos="1710"/>
        </w:tabs>
        <w:autoSpaceDE w:val="0"/>
        <w:autoSpaceDN w:val="0"/>
        <w:adjustRightInd w:val="0"/>
        <w:spacing w:after="120"/>
        <w:ind w:left="1440" w:right="1210"/>
        <w:contextualSpacing/>
        <w:jc w:val="both"/>
        <w:rPr>
          <w:sz w:val="12"/>
          <w:szCs w:val="12"/>
          <w:lang w:val="en-GB"/>
        </w:rPr>
      </w:pPr>
    </w:p>
    <w:p w14:paraId="64E7E26B" w14:textId="641BF07C" w:rsidR="002C02CE" w:rsidRPr="00254B40" w:rsidRDefault="00BB2764" w:rsidP="005920CB">
      <w:pPr>
        <w:pStyle w:val="ListParagraph"/>
        <w:numPr>
          <w:ilvl w:val="0"/>
          <w:numId w:val="3"/>
        </w:numPr>
        <w:tabs>
          <w:tab w:val="left" w:pos="1710"/>
        </w:tabs>
        <w:autoSpaceDE w:val="0"/>
        <w:autoSpaceDN w:val="0"/>
        <w:adjustRightInd w:val="0"/>
        <w:spacing w:after="120"/>
        <w:ind w:left="1440" w:right="1210" w:firstLine="0"/>
        <w:contextualSpacing/>
        <w:jc w:val="both"/>
        <w:rPr>
          <w:lang w:val="en-GB"/>
        </w:rPr>
      </w:pPr>
      <w:r w:rsidRPr="00254B40">
        <w:rPr>
          <w:lang w:val="en-GB"/>
        </w:rPr>
        <w:t xml:space="preserve">Namibia ranks </w:t>
      </w:r>
      <w:r w:rsidR="00482889" w:rsidRPr="00254B40">
        <w:rPr>
          <w:lang w:val="en-GB"/>
        </w:rPr>
        <w:t>111</w:t>
      </w:r>
      <w:r w:rsidR="00DC1619" w:rsidRPr="00254B40">
        <w:rPr>
          <w:vertAlign w:val="superscript"/>
          <w:lang w:val="en-GB"/>
        </w:rPr>
        <w:t>th</w:t>
      </w:r>
      <w:r w:rsidR="00DC1619">
        <w:rPr>
          <w:lang w:val="en-GB"/>
        </w:rPr>
        <w:t xml:space="preserve"> out of </w:t>
      </w:r>
      <w:r w:rsidR="00482889" w:rsidRPr="00254B40">
        <w:rPr>
          <w:lang w:val="en-GB"/>
        </w:rPr>
        <w:t>157</w:t>
      </w:r>
      <w:r w:rsidR="00DC1619">
        <w:rPr>
          <w:lang w:val="en-GB"/>
        </w:rPr>
        <w:t xml:space="preserve"> countries</w:t>
      </w:r>
      <w:r w:rsidR="00482889" w:rsidRPr="00254B40">
        <w:rPr>
          <w:lang w:val="en-GB"/>
        </w:rPr>
        <w:t xml:space="preserve"> on overall performance</w:t>
      </w:r>
      <w:r w:rsidR="00DC1619">
        <w:rPr>
          <w:lang w:val="en-GB"/>
        </w:rPr>
        <w:t xml:space="preserve"> towards the </w:t>
      </w:r>
      <w:r w:rsidR="00254B40">
        <w:rPr>
          <w:lang w:val="en-GB"/>
        </w:rPr>
        <w:t>S</w:t>
      </w:r>
      <w:r w:rsidR="00DC1619" w:rsidRPr="007D348C">
        <w:rPr>
          <w:lang w:val="en-GB"/>
        </w:rPr>
        <w:t xml:space="preserve">ustainable </w:t>
      </w:r>
      <w:r w:rsidR="00254B40">
        <w:rPr>
          <w:lang w:val="en-GB"/>
        </w:rPr>
        <w:t>D</w:t>
      </w:r>
      <w:r w:rsidR="00DC1619" w:rsidRPr="007D348C">
        <w:rPr>
          <w:lang w:val="en-GB"/>
        </w:rPr>
        <w:t xml:space="preserve">evelopment </w:t>
      </w:r>
      <w:r w:rsidR="00254B40">
        <w:rPr>
          <w:lang w:val="en-GB"/>
        </w:rPr>
        <w:t>G</w:t>
      </w:r>
      <w:r w:rsidR="00DC1619" w:rsidRPr="007D348C">
        <w:rPr>
          <w:lang w:val="en-GB"/>
        </w:rPr>
        <w:t>oals,</w:t>
      </w:r>
      <w:r w:rsidR="00DC1619" w:rsidRPr="007D348C">
        <w:rPr>
          <w:rStyle w:val="FootnoteReference"/>
          <w:lang w:val="en-GB"/>
        </w:rPr>
        <w:t xml:space="preserve"> </w:t>
      </w:r>
      <w:r w:rsidR="00482889" w:rsidRPr="00254B40">
        <w:rPr>
          <w:rStyle w:val="FootnoteReference"/>
          <w:lang w:val="en-GB"/>
        </w:rPr>
        <w:footnoteReference w:id="18"/>
      </w:r>
      <w:r w:rsidR="00482889" w:rsidRPr="00254B40">
        <w:rPr>
          <w:lang w:val="en-GB"/>
        </w:rPr>
        <w:t xml:space="preserve"> indicating </w:t>
      </w:r>
      <w:r w:rsidR="00DC1619" w:rsidRPr="007D348C">
        <w:rPr>
          <w:lang w:val="en-GB"/>
        </w:rPr>
        <w:t>a</w:t>
      </w:r>
      <w:r w:rsidR="00DC1619" w:rsidRPr="00254B40">
        <w:rPr>
          <w:lang w:val="en-GB"/>
        </w:rPr>
        <w:t xml:space="preserve"> </w:t>
      </w:r>
      <w:r w:rsidR="00482889" w:rsidRPr="00254B40">
        <w:rPr>
          <w:lang w:val="en-GB"/>
        </w:rPr>
        <w:t xml:space="preserve">need to accelerate progress on all 17 </w:t>
      </w:r>
      <w:r w:rsidR="00DC1619" w:rsidRPr="007D348C">
        <w:rPr>
          <w:lang w:val="en-GB"/>
        </w:rPr>
        <w:t>goal</w:t>
      </w:r>
      <w:r w:rsidR="00DC1619" w:rsidRPr="00254B40">
        <w:rPr>
          <w:lang w:val="en-GB"/>
        </w:rPr>
        <w:t>s</w:t>
      </w:r>
      <w:r w:rsidR="00482889" w:rsidRPr="00254B40">
        <w:rPr>
          <w:lang w:val="en-GB"/>
        </w:rPr>
        <w:t xml:space="preserve"> </w:t>
      </w:r>
      <w:r w:rsidR="007D348C" w:rsidRPr="00254B40">
        <w:rPr>
          <w:lang w:val="en-GB"/>
        </w:rPr>
        <w:t>t</w:t>
      </w:r>
      <w:r w:rsidR="008F67F7" w:rsidRPr="00254B40">
        <w:rPr>
          <w:lang w:val="en-GB"/>
        </w:rPr>
        <w:t xml:space="preserve">o address high levels of inequality and eradicate patterns of exclusion </w:t>
      </w:r>
      <w:r w:rsidR="007D348C" w:rsidRPr="00254B40">
        <w:rPr>
          <w:lang w:val="en-GB"/>
        </w:rPr>
        <w:t>that</w:t>
      </w:r>
      <w:r w:rsidR="00903F72" w:rsidRPr="00254B40">
        <w:rPr>
          <w:lang w:val="en-GB"/>
        </w:rPr>
        <w:t xml:space="preserve"> perpetuate this divide</w:t>
      </w:r>
      <w:r w:rsidR="008268A9" w:rsidRPr="00254B40">
        <w:rPr>
          <w:lang w:val="en-GB"/>
        </w:rPr>
        <w:t>.</w:t>
      </w:r>
      <w:r w:rsidR="00792C23" w:rsidRPr="00254B40">
        <w:rPr>
          <w:rStyle w:val="FootnoteReference"/>
          <w:lang w:val="en-GB"/>
        </w:rPr>
        <w:footnoteReference w:id="19"/>
      </w:r>
      <w:r w:rsidR="008F67F7" w:rsidRPr="00254B40">
        <w:rPr>
          <w:lang w:val="en-GB"/>
        </w:rPr>
        <w:t xml:space="preserve"> Centraliz</w:t>
      </w:r>
      <w:r w:rsidR="00DC1619" w:rsidRPr="007D348C">
        <w:rPr>
          <w:lang w:val="en-GB"/>
        </w:rPr>
        <w:t>ed</w:t>
      </w:r>
      <w:r w:rsidR="008F67F7" w:rsidRPr="00254B40">
        <w:rPr>
          <w:lang w:val="en-GB"/>
        </w:rPr>
        <w:t xml:space="preserve"> decision</w:t>
      </w:r>
      <w:r w:rsidR="00D17141" w:rsidRPr="00254B40">
        <w:rPr>
          <w:lang w:val="en-GB"/>
        </w:rPr>
        <w:t>-</w:t>
      </w:r>
      <w:r w:rsidR="008F67F7" w:rsidRPr="00254B40">
        <w:rPr>
          <w:lang w:val="en-GB"/>
        </w:rPr>
        <w:t>making</w:t>
      </w:r>
      <w:r w:rsidR="00A95919" w:rsidRPr="00254B40">
        <w:rPr>
          <w:lang w:val="en-GB"/>
        </w:rPr>
        <w:t>, inadequate availability of relevant data</w:t>
      </w:r>
      <w:r w:rsidR="00DC1619">
        <w:rPr>
          <w:lang w:val="en-GB"/>
        </w:rPr>
        <w:t>,</w:t>
      </w:r>
      <w:r w:rsidR="008F67F7" w:rsidRPr="00254B40">
        <w:rPr>
          <w:lang w:val="en-GB"/>
        </w:rPr>
        <w:t xml:space="preserve"> and limited citizen engagement have hampered service delivery</w:t>
      </w:r>
      <w:r w:rsidR="00DC1619">
        <w:rPr>
          <w:lang w:val="en-GB"/>
        </w:rPr>
        <w:t>.</w:t>
      </w:r>
      <w:r w:rsidR="00F00E20" w:rsidRPr="00254B40">
        <w:rPr>
          <w:rStyle w:val="FootnoteReference"/>
          <w:lang w:val="en-GB"/>
        </w:rPr>
        <w:footnoteReference w:id="20"/>
      </w:r>
      <w:r w:rsidR="008F67F7" w:rsidRPr="00254B40">
        <w:rPr>
          <w:lang w:val="en-GB"/>
        </w:rPr>
        <w:t xml:space="preserve"> </w:t>
      </w:r>
      <w:r w:rsidR="00DC1619">
        <w:rPr>
          <w:lang w:val="en-GB"/>
        </w:rPr>
        <w:t>L</w:t>
      </w:r>
      <w:r w:rsidR="008F67F7" w:rsidRPr="00254B40">
        <w:rPr>
          <w:lang w:val="en-GB"/>
        </w:rPr>
        <w:t>imited capacity of oversight institutions</w:t>
      </w:r>
      <w:r w:rsidR="00DC1619">
        <w:rPr>
          <w:lang w:val="en-GB"/>
        </w:rPr>
        <w:t>,</w:t>
      </w:r>
      <w:r w:rsidR="008F67F7" w:rsidRPr="00254B40">
        <w:rPr>
          <w:lang w:val="en-GB"/>
        </w:rPr>
        <w:t xml:space="preserve"> accountability systems and policies have contributed to </w:t>
      </w:r>
      <w:r w:rsidR="00DC1619">
        <w:rPr>
          <w:lang w:val="en-GB"/>
        </w:rPr>
        <w:t xml:space="preserve">a </w:t>
      </w:r>
      <w:r w:rsidR="008F67F7" w:rsidRPr="00254B40">
        <w:rPr>
          <w:lang w:val="en-GB"/>
        </w:rPr>
        <w:t>perception of increasing corruption</w:t>
      </w:r>
      <w:r w:rsidR="00D17141">
        <w:rPr>
          <w:lang w:val="en-GB"/>
        </w:rPr>
        <w:t>.</w:t>
      </w:r>
      <w:r w:rsidR="007653E1" w:rsidRPr="00254B40">
        <w:rPr>
          <w:rStyle w:val="FootnoteReference"/>
          <w:lang w:val="en-GB"/>
        </w:rPr>
        <w:footnoteReference w:id="21"/>
      </w:r>
      <w:r w:rsidR="008F67F7" w:rsidRPr="00254B40">
        <w:rPr>
          <w:lang w:val="en-GB"/>
        </w:rPr>
        <w:t xml:space="preserve"> While Namibia ratified most of the international human </w:t>
      </w:r>
      <w:r w:rsidR="00CE019F">
        <w:rPr>
          <w:lang w:val="en-GB"/>
        </w:rPr>
        <w:t>rights conventions and treaties</w:t>
      </w:r>
      <w:r w:rsidR="008F67F7" w:rsidRPr="00254B40">
        <w:rPr>
          <w:lang w:val="en-GB"/>
        </w:rPr>
        <w:t xml:space="preserve"> and has a robust legal framework for human rights, implementation and reporting remain </w:t>
      </w:r>
      <w:r w:rsidR="00AE6A3F" w:rsidRPr="00254B40">
        <w:rPr>
          <w:lang w:val="en-GB"/>
        </w:rPr>
        <w:t>inadequate</w:t>
      </w:r>
      <w:r w:rsidR="008F67F7" w:rsidRPr="00254B40">
        <w:rPr>
          <w:lang w:val="en-GB"/>
        </w:rPr>
        <w:t>.</w:t>
      </w:r>
      <w:r w:rsidR="00D46AE5" w:rsidRPr="00254B40">
        <w:rPr>
          <w:lang w:val="en-GB"/>
        </w:rPr>
        <w:t xml:space="preserve"> </w:t>
      </w:r>
      <w:r w:rsidR="00551CEA" w:rsidRPr="00254B40">
        <w:rPr>
          <w:lang w:val="en-GB"/>
        </w:rPr>
        <w:t xml:space="preserve">The </w:t>
      </w:r>
      <w:r w:rsidR="00DC0BD8">
        <w:rPr>
          <w:lang w:val="en-GB"/>
        </w:rPr>
        <w:t>u</w:t>
      </w:r>
      <w:r w:rsidR="009E01B5" w:rsidRPr="00254B40">
        <w:rPr>
          <w:lang w:val="en-GB"/>
        </w:rPr>
        <w:t xml:space="preserve">niversal </w:t>
      </w:r>
      <w:r w:rsidR="00DC0BD8">
        <w:rPr>
          <w:lang w:val="en-GB"/>
        </w:rPr>
        <w:t>p</w:t>
      </w:r>
      <w:r w:rsidR="009E01B5" w:rsidRPr="00254B40">
        <w:rPr>
          <w:lang w:val="en-GB"/>
        </w:rPr>
        <w:t xml:space="preserve">eriodic </w:t>
      </w:r>
      <w:r w:rsidR="00DC0BD8">
        <w:rPr>
          <w:lang w:val="en-GB"/>
        </w:rPr>
        <w:t>r</w:t>
      </w:r>
      <w:r w:rsidR="009E01B5" w:rsidRPr="00254B40">
        <w:rPr>
          <w:lang w:val="en-GB"/>
        </w:rPr>
        <w:t xml:space="preserve">eview </w:t>
      </w:r>
      <w:r w:rsidR="00A95919" w:rsidRPr="00254B40">
        <w:rPr>
          <w:lang w:val="en-GB"/>
        </w:rPr>
        <w:t>recommended</w:t>
      </w:r>
      <w:r w:rsidR="00AE6A3F" w:rsidRPr="00254B40">
        <w:rPr>
          <w:lang w:val="en-GB"/>
        </w:rPr>
        <w:t xml:space="preserve"> </w:t>
      </w:r>
      <w:r w:rsidR="00551CEA" w:rsidRPr="00254B40">
        <w:rPr>
          <w:lang w:val="en-GB"/>
        </w:rPr>
        <w:t>improve</w:t>
      </w:r>
      <w:r w:rsidR="00AE6A3F" w:rsidRPr="00254B40">
        <w:rPr>
          <w:lang w:val="en-GB"/>
        </w:rPr>
        <w:t>d</w:t>
      </w:r>
      <w:r w:rsidR="00551CEA" w:rsidRPr="00254B40">
        <w:rPr>
          <w:lang w:val="en-GB"/>
        </w:rPr>
        <w:t xml:space="preserve"> </w:t>
      </w:r>
      <w:r w:rsidR="00AE6A3F" w:rsidRPr="00254B40">
        <w:rPr>
          <w:lang w:val="en-GB"/>
        </w:rPr>
        <w:t xml:space="preserve">legislation </w:t>
      </w:r>
      <w:r w:rsidR="00623FB9" w:rsidRPr="00254B40">
        <w:rPr>
          <w:lang w:val="en-GB"/>
        </w:rPr>
        <w:t xml:space="preserve">and mechanisms to monitor </w:t>
      </w:r>
      <w:r w:rsidR="008268A9">
        <w:rPr>
          <w:lang w:val="en-GB"/>
        </w:rPr>
        <w:t xml:space="preserve">the </w:t>
      </w:r>
      <w:r w:rsidR="00623FB9" w:rsidRPr="00254B40">
        <w:rPr>
          <w:lang w:val="en-GB"/>
        </w:rPr>
        <w:t xml:space="preserve">implementation and verification </w:t>
      </w:r>
      <w:r w:rsidR="0071640D" w:rsidRPr="00254B40">
        <w:rPr>
          <w:lang w:val="en-GB"/>
        </w:rPr>
        <w:t xml:space="preserve">of </w:t>
      </w:r>
      <w:r w:rsidR="00623FB9" w:rsidRPr="00254B40">
        <w:rPr>
          <w:lang w:val="en-GB"/>
        </w:rPr>
        <w:t>reviews</w:t>
      </w:r>
      <w:r w:rsidR="008268A9">
        <w:rPr>
          <w:lang w:val="en-GB"/>
        </w:rPr>
        <w:t xml:space="preserve"> – </w:t>
      </w:r>
      <w:r w:rsidR="00942C44" w:rsidRPr="00254B40">
        <w:rPr>
          <w:lang w:val="en-GB"/>
        </w:rPr>
        <w:t>with</w:t>
      </w:r>
      <w:r w:rsidR="00623FB9" w:rsidRPr="00254B40">
        <w:rPr>
          <w:lang w:val="en-GB"/>
        </w:rPr>
        <w:t xml:space="preserve"> attention to the ratification of </w:t>
      </w:r>
      <w:r w:rsidR="007D348C">
        <w:rPr>
          <w:lang w:val="en-GB"/>
        </w:rPr>
        <w:t xml:space="preserve">pending </w:t>
      </w:r>
      <w:r w:rsidR="00623FB9" w:rsidRPr="00254B40">
        <w:rPr>
          <w:lang w:val="en-GB"/>
        </w:rPr>
        <w:t>international human rights instruments</w:t>
      </w:r>
      <w:r w:rsidR="007D348C">
        <w:rPr>
          <w:lang w:val="en-GB"/>
        </w:rPr>
        <w:t>.</w:t>
      </w:r>
      <w:r w:rsidR="00623FB9" w:rsidRPr="00254B40">
        <w:rPr>
          <w:lang w:val="en-GB"/>
        </w:rPr>
        <w:t xml:space="preserve"> </w:t>
      </w:r>
    </w:p>
    <w:p w14:paraId="2EE61B82" w14:textId="77777777" w:rsidR="002C02CE" w:rsidRPr="00254B40" w:rsidRDefault="002C02CE" w:rsidP="005920CB">
      <w:pPr>
        <w:pStyle w:val="ListParagraph"/>
        <w:tabs>
          <w:tab w:val="left" w:pos="1710"/>
        </w:tabs>
        <w:ind w:left="1440" w:right="1210"/>
        <w:rPr>
          <w:sz w:val="12"/>
          <w:szCs w:val="12"/>
          <w:lang w:val="en-GB"/>
        </w:rPr>
      </w:pPr>
    </w:p>
    <w:p w14:paraId="4CBA0EA3" w14:textId="5277FC0B" w:rsidR="008A687C" w:rsidRPr="00254B40" w:rsidRDefault="002726FF" w:rsidP="005920CB">
      <w:pPr>
        <w:pStyle w:val="ListParagraph"/>
        <w:numPr>
          <w:ilvl w:val="0"/>
          <w:numId w:val="3"/>
        </w:numPr>
        <w:tabs>
          <w:tab w:val="left" w:pos="1710"/>
        </w:tabs>
        <w:autoSpaceDE w:val="0"/>
        <w:autoSpaceDN w:val="0"/>
        <w:adjustRightInd w:val="0"/>
        <w:spacing w:after="120"/>
        <w:ind w:left="1440" w:right="1210" w:firstLine="0"/>
        <w:contextualSpacing/>
        <w:jc w:val="both"/>
        <w:rPr>
          <w:lang w:val="en-GB"/>
        </w:rPr>
      </w:pPr>
      <w:r w:rsidRPr="00254B40">
        <w:rPr>
          <w:lang w:val="en-GB"/>
        </w:rPr>
        <w:t xml:space="preserve">Namibia is among the best </w:t>
      </w:r>
      <w:r w:rsidR="00F90E0B" w:rsidRPr="00254B40">
        <w:rPr>
          <w:lang w:val="en-GB"/>
        </w:rPr>
        <w:t xml:space="preserve">African </w:t>
      </w:r>
      <w:r w:rsidRPr="00254B40">
        <w:rPr>
          <w:lang w:val="en-GB"/>
        </w:rPr>
        <w:t>conservation successes</w:t>
      </w:r>
      <w:r w:rsidR="008268A9">
        <w:rPr>
          <w:lang w:val="en-GB"/>
        </w:rPr>
        <w:t>:</w:t>
      </w:r>
      <w:r w:rsidRPr="00254B40">
        <w:rPr>
          <w:lang w:val="en-GB"/>
        </w:rPr>
        <w:t xml:space="preserve"> </w:t>
      </w:r>
      <w:r w:rsidR="00B10E5B" w:rsidRPr="00254B40">
        <w:rPr>
          <w:lang w:val="en-GB"/>
        </w:rPr>
        <w:t>44</w:t>
      </w:r>
      <w:r w:rsidR="00401E0F" w:rsidRPr="00254B40">
        <w:rPr>
          <w:lang w:val="en-GB"/>
        </w:rPr>
        <w:t xml:space="preserve"> per cent</w:t>
      </w:r>
      <w:r w:rsidRPr="00254B40">
        <w:rPr>
          <w:lang w:val="en-GB"/>
        </w:rPr>
        <w:t xml:space="preserve"> of the land mass is under conservation management, and community participation in </w:t>
      </w:r>
      <w:r w:rsidR="00CE019F">
        <w:rPr>
          <w:lang w:val="en-GB"/>
        </w:rPr>
        <w:t>natural resource</w:t>
      </w:r>
      <w:r w:rsidR="007D348C" w:rsidRPr="00074002" w:rsidDel="007D348C">
        <w:rPr>
          <w:lang w:val="en-GB"/>
        </w:rPr>
        <w:t xml:space="preserve"> </w:t>
      </w:r>
      <w:r w:rsidRPr="00254B40">
        <w:rPr>
          <w:lang w:val="en-GB"/>
        </w:rPr>
        <w:t xml:space="preserve">management </w:t>
      </w:r>
      <w:r w:rsidR="00CE019F">
        <w:rPr>
          <w:lang w:val="en-GB"/>
        </w:rPr>
        <w:t>brought about</w:t>
      </w:r>
      <w:r w:rsidRPr="00254B40">
        <w:rPr>
          <w:lang w:val="en-GB"/>
        </w:rPr>
        <w:t xml:space="preserve"> an increase of communal conservancies from 66 in 2012 to 92 in 2016</w:t>
      </w:r>
      <w:r w:rsidR="007D348C">
        <w:rPr>
          <w:lang w:val="en-GB"/>
        </w:rPr>
        <w:t>,</w:t>
      </w:r>
      <w:r w:rsidR="00DB7D4C" w:rsidRPr="00254B40">
        <w:rPr>
          <w:rStyle w:val="FootnoteReference"/>
          <w:lang w:val="en-GB"/>
        </w:rPr>
        <w:footnoteReference w:id="22"/>
      </w:r>
      <w:r w:rsidR="00B10E5B" w:rsidRPr="00254B40">
        <w:rPr>
          <w:lang w:val="en-GB"/>
        </w:rPr>
        <w:t xml:space="preserve"> creating</w:t>
      </w:r>
      <w:r w:rsidRPr="00254B40">
        <w:rPr>
          <w:lang w:val="en-GB"/>
        </w:rPr>
        <w:t xml:space="preserve"> 5,808 jobs in 2014 and generat</w:t>
      </w:r>
      <w:r w:rsidR="00F90E0B" w:rsidRPr="00254B40">
        <w:rPr>
          <w:lang w:val="en-GB"/>
        </w:rPr>
        <w:t>ing</w:t>
      </w:r>
      <w:r w:rsidRPr="00254B40">
        <w:rPr>
          <w:lang w:val="en-GB"/>
        </w:rPr>
        <w:t xml:space="preserve"> approximately </w:t>
      </w:r>
      <w:r w:rsidR="008268A9">
        <w:rPr>
          <w:lang w:val="en-GB"/>
        </w:rPr>
        <w:t>$</w:t>
      </w:r>
      <w:r w:rsidR="00B10E5B" w:rsidRPr="00254B40">
        <w:rPr>
          <w:lang w:val="en-GB"/>
        </w:rPr>
        <w:t xml:space="preserve">7.7 </w:t>
      </w:r>
      <w:r w:rsidRPr="00254B40">
        <w:rPr>
          <w:lang w:val="en-GB"/>
        </w:rPr>
        <w:t>million to</w:t>
      </w:r>
      <w:r w:rsidR="008268A9">
        <w:rPr>
          <w:lang w:val="en-GB"/>
        </w:rPr>
        <w:t xml:space="preserve"> benefit </w:t>
      </w:r>
      <w:r w:rsidRPr="00254B40">
        <w:rPr>
          <w:lang w:val="en-GB"/>
        </w:rPr>
        <w:t>local communities</w:t>
      </w:r>
      <w:r w:rsidR="008268A9">
        <w:rPr>
          <w:lang w:val="en-GB"/>
        </w:rPr>
        <w:t>.</w:t>
      </w:r>
      <w:r w:rsidR="00652D6B" w:rsidRPr="00254B40">
        <w:rPr>
          <w:rStyle w:val="FootnoteReference"/>
          <w:lang w:val="en-GB"/>
        </w:rPr>
        <w:footnoteReference w:id="23"/>
      </w:r>
      <w:r w:rsidRPr="00254B40">
        <w:rPr>
          <w:lang w:val="en-GB"/>
        </w:rPr>
        <w:t xml:space="preserve"> Yet utilization of other </w:t>
      </w:r>
      <w:r w:rsidR="004748B3" w:rsidRPr="00254B40">
        <w:rPr>
          <w:lang w:val="en-GB"/>
        </w:rPr>
        <w:t xml:space="preserve">natural resources </w:t>
      </w:r>
      <w:r w:rsidR="008268A9">
        <w:rPr>
          <w:lang w:val="en-GB"/>
        </w:rPr>
        <w:t>remain</w:t>
      </w:r>
      <w:r w:rsidR="008268A9" w:rsidRPr="00254B40">
        <w:rPr>
          <w:lang w:val="en-GB"/>
        </w:rPr>
        <w:t xml:space="preserve">s </w:t>
      </w:r>
      <w:r w:rsidR="00CE019F">
        <w:rPr>
          <w:lang w:val="en-GB"/>
        </w:rPr>
        <w:t>unsustainable owing to high demand</w:t>
      </w:r>
      <w:r w:rsidRPr="00254B40">
        <w:rPr>
          <w:lang w:val="en-GB"/>
        </w:rPr>
        <w:t xml:space="preserve">; expansion of mining; </w:t>
      </w:r>
      <w:r w:rsidR="008268A9">
        <w:rPr>
          <w:lang w:val="en-GB"/>
        </w:rPr>
        <w:t xml:space="preserve">and </w:t>
      </w:r>
      <w:r w:rsidRPr="00254B40">
        <w:rPr>
          <w:lang w:val="en-GB"/>
        </w:rPr>
        <w:t xml:space="preserve">increased volumes of waste and pollution in ecologically sensitive areas. </w:t>
      </w:r>
      <w:r w:rsidR="008268A9">
        <w:rPr>
          <w:lang w:val="en-GB"/>
        </w:rPr>
        <w:t>I</w:t>
      </w:r>
      <w:r w:rsidR="00CE019F">
        <w:rPr>
          <w:lang w:val="en-GB"/>
        </w:rPr>
        <w:t>llegal wildlife trade and human/</w:t>
      </w:r>
      <w:r w:rsidRPr="00254B40">
        <w:rPr>
          <w:lang w:val="en-GB"/>
        </w:rPr>
        <w:t xml:space="preserve">wildlife conflict are growing challenges. </w:t>
      </w:r>
      <w:r w:rsidR="00F90E0B" w:rsidRPr="00254B40">
        <w:rPr>
          <w:lang w:val="en-GB"/>
        </w:rPr>
        <w:t>W</w:t>
      </w:r>
      <w:r w:rsidRPr="00254B40">
        <w:rPr>
          <w:lang w:val="en-GB"/>
        </w:rPr>
        <w:t>eak institutional capacity and inadequate coordination among institutions</w:t>
      </w:r>
      <w:r w:rsidR="00F71E12">
        <w:rPr>
          <w:lang w:val="en-GB"/>
        </w:rPr>
        <w:t xml:space="preserve"> –</w:t>
      </w:r>
      <w:r w:rsidRPr="00254B40">
        <w:rPr>
          <w:lang w:val="en-GB"/>
        </w:rPr>
        <w:t xml:space="preserve"> evidence</w:t>
      </w:r>
      <w:r w:rsidR="000F0518" w:rsidRPr="00254B40">
        <w:rPr>
          <w:lang w:val="en-GB"/>
        </w:rPr>
        <w:t>d</w:t>
      </w:r>
      <w:r w:rsidRPr="00254B40">
        <w:rPr>
          <w:lang w:val="en-GB"/>
        </w:rPr>
        <w:t xml:space="preserve"> </w:t>
      </w:r>
      <w:r w:rsidR="00CE019F">
        <w:rPr>
          <w:lang w:val="en-GB"/>
        </w:rPr>
        <w:t>by</w:t>
      </w:r>
      <w:r w:rsidR="00942C44" w:rsidRPr="00254B40">
        <w:rPr>
          <w:lang w:val="en-GB"/>
        </w:rPr>
        <w:t xml:space="preserve"> </w:t>
      </w:r>
      <w:r w:rsidRPr="00254B40">
        <w:rPr>
          <w:lang w:val="en-GB"/>
        </w:rPr>
        <w:t>limited implementation and enforcement of legislation and compliance with environmental regulations</w:t>
      </w:r>
      <w:r w:rsidR="00F71E12">
        <w:rPr>
          <w:lang w:val="en-GB"/>
        </w:rPr>
        <w:t xml:space="preserve"> –</w:t>
      </w:r>
      <w:r w:rsidRPr="00254B40">
        <w:rPr>
          <w:lang w:val="en-GB"/>
        </w:rPr>
        <w:t xml:space="preserve"> remain critical challenges. </w:t>
      </w:r>
      <w:r w:rsidR="00B9796B" w:rsidRPr="00254B40">
        <w:rPr>
          <w:lang w:val="en-GB"/>
        </w:rPr>
        <w:t>About 20</w:t>
      </w:r>
      <w:r w:rsidR="00401E0F" w:rsidRPr="00254B40">
        <w:rPr>
          <w:lang w:val="en-GB"/>
        </w:rPr>
        <w:t xml:space="preserve"> per cent</w:t>
      </w:r>
      <w:r w:rsidR="00B9796B" w:rsidRPr="00254B40">
        <w:rPr>
          <w:lang w:val="en-GB"/>
        </w:rPr>
        <w:t xml:space="preserve"> of urban households cook o</w:t>
      </w:r>
      <w:r w:rsidR="00F71E12">
        <w:rPr>
          <w:lang w:val="en-GB"/>
        </w:rPr>
        <w:t>ver</w:t>
      </w:r>
      <w:r w:rsidR="00B9796B" w:rsidRPr="00254B40">
        <w:rPr>
          <w:lang w:val="en-GB"/>
        </w:rPr>
        <w:t xml:space="preserve"> fire, and 50</w:t>
      </w:r>
      <w:r w:rsidR="00401E0F" w:rsidRPr="00254B40">
        <w:rPr>
          <w:lang w:val="en-GB"/>
        </w:rPr>
        <w:t xml:space="preserve"> per cent</w:t>
      </w:r>
      <w:r w:rsidR="00B9796B" w:rsidRPr="00254B40">
        <w:rPr>
          <w:lang w:val="en-GB"/>
        </w:rPr>
        <w:t xml:space="preserve"> rel</w:t>
      </w:r>
      <w:r w:rsidR="00F71E12">
        <w:rPr>
          <w:lang w:val="en-GB"/>
        </w:rPr>
        <w:t>y</w:t>
      </w:r>
      <w:r w:rsidR="00B9796B" w:rsidRPr="00254B40">
        <w:rPr>
          <w:lang w:val="en-GB"/>
        </w:rPr>
        <w:t xml:space="preserve"> on </w:t>
      </w:r>
      <w:r w:rsidR="00F71E12">
        <w:rPr>
          <w:lang w:val="en-GB"/>
        </w:rPr>
        <w:t xml:space="preserve">the </w:t>
      </w:r>
      <w:r w:rsidR="00B9796B" w:rsidRPr="00254B40">
        <w:rPr>
          <w:lang w:val="en-GB"/>
        </w:rPr>
        <w:t>daily use of woody biomass for thermal power</w:t>
      </w:r>
      <w:r w:rsidR="00F71E12">
        <w:rPr>
          <w:lang w:val="en-GB"/>
        </w:rPr>
        <w:t>,</w:t>
      </w:r>
      <w:r w:rsidR="00B9796B" w:rsidRPr="00254B40">
        <w:rPr>
          <w:lang w:val="en-GB"/>
        </w:rPr>
        <w:t xml:space="preserve"> leading to air pollution and deforestation. </w:t>
      </w:r>
      <w:r w:rsidR="00D9366A">
        <w:rPr>
          <w:lang w:val="en-GB"/>
        </w:rPr>
        <w:t>D</w:t>
      </w:r>
      <w:r w:rsidR="00B9796B" w:rsidRPr="00254B40">
        <w:rPr>
          <w:lang w:val="en-GB"/>
        </w:rPr>
        <w:t xml:space="preserve">iversified renewable energy sources (biomass, solar, wind and hydro) </w:t>
      </w:r>
      <w:r w:rsidR="00D9366A">
        <w:rPr>
          <w:lang w:val="en-GB"/>
        </w:rPr>
        <w:t xml:space="preserve">are </w:t>
      </w:r>
      <w:r w:rsidR="00B9796B" w:rsidRPr="00254B40">
        <w:rPr>
          <w:lang w:val="en-GB"/>
        </w:rPr>
        <w:t>need</w:t>
      </w:r>
      <w:r w:rsidR="00D9366A">
        <w:rPr>
          <w:lang w:val="en-GB"/>
        </w:rPr>
        <w:t>ed</w:t>
      </w:r>
      <w:r w:rsidR="00B9796B" w:rsidRPr="00254B40">
        <w:rPr>
          <w:lang w:val="en-GB"/>
        </w:rPr>
        <w:t xml:space="preserve"> to improve </w:t>
      </w:r>
      <w:r w:rsidR="00F71E12">
        <w:rPr>
          <w:lang w:val="en-GB"/>
        </w:rPr>
        <w:t xml:space="preserve">the </w:t>
      </w:r>
      <w:r w:rsidR="00B9796B" w:rsidRPr="00254B40">
        <w:rPr>
          <w:lang w:val="en-GB"/>
        </w:rPr>
        <w:t>domestic and economic use of energy.</w:t>
      </w:r>
    </w:p>
    <w:p w14:paraId="18D056D6" w14:textId="77777777" w:rsidR="008A687C" w:rsidRPr="00254B40" w:rsidRDefault="008A687C" w:rsidP="005920CB">
      <w:pPr>
        <w:pStyle w:val="ListParagraph"/>
        <w:tabs>
          <w:tab w:val="left" w:pos="1710"/>
        </w:tabs>
        <w:ind w:left="1440" w:right="1210"/>
        <w:rPr>
          <w:sz w:val="12"/>
          <w:szCs w:val="12"/>
          <w:lang w:val="en-GB"/>
        </w:rPr>
      </w:pPr>
    </w:p>
    <w:p w14:paraId="0BA01E7F" w14:textId="600D9532" w:rsidR="008A687C" w:rsidRPr="00254B40" w:rsidRDefault="00174B90" w:rsidP="005920CB">
      <w:pPr>
        <w:pStyle w:val="ListParagraph"/>
        <w:numPr>
          <w:ilvl w:val="0"/>
          <w:numId w:val="3"/>
        </w:numPr>
        <w:tabs>
          <w:tab w:val="left" w:pos="1710"/>
        </w:tabs>
        <w:autoSpaceDE w:val="0"/>
        <w:autoSpaceDN w:val="0"/>
        <w:adjustRightInd w:val="0"/>
        <w:spacing w:after="120"/>
        <w:ind w:left="1440" w:right="1210" w:firstLine="0"/>
        <w:contextualSpacing/>
        <w:jc w:val="both"/>
        <w:rPr>
          <w:lang w:val="en-GB"/>
        </w:rPr>
      </w:pPr>
      <w:r w:rsidRPr="00254B40">
        <w:rPr>
          <w:lang w:val="en-GB"/>
        </w:rPr>
        <w:t>I</w:t>
      </w:r>
      <w:r w:rsidR="002726FF" w:rsidRPr="00254B40">
        <w:rPr>
          <w:lang w:val="en-GB"/>
        </w:rPr>
        <w:t>mproved</w:t>
      </w:r>
      <w:r w:rsidR="008F67F7" w:rsidRPr="00254B40">
        <w:rPr>
          <w:lang w:val="en-GB"/>
        </w:rPr>
        <w:t xml:space="preserve"> harmoniz</w:t>
      </w:r>
      <w:r w:rsidR="0014747A" w:rsidRPr="00254B40">
        <w:rPr>
          <w:lang w:val="en-GB"/>
        </w:rPr>
        <w:t>ation of environmental policies</w:t>
      </w:r>
      <w:r w:rsidRPr="00254B40">
        <w:rPr>
          <w:lang w:val="en-GB"/>
        </w:rPr>
        <w:t>,</w:t>
      </w:r>
      <w:r w:rsidR="000F0518" w:rsidRPr="00254B40">
        <w:rPr>
          <w:lang w:val="en-GB"/>
        </w:rPr>
        <w:t xml:space="preserve"> </w:t>
      </w:r>
      <w:r w:rsidR="0014747A" w:rsidRPr="00254B40">
        <w:rPr>
          <w:lang w:val="en-GB"/>
        </w:rPr>
        <w:t xml:space="preserve">including </w:t>
      </w:r>
      <w:r w:rsidR="000F0518" w:rsidRPr="00254B40">
        <w:rPr>
          <w:lang w:val="en-GB"/>
        </w:rPr>
        <w:t>credible data</w:t>
      </w:r>
      <w:r w:rsidRPr="00254B40">
        <w:rPr>
          <w:lang w:val="en-GB"/>
        </w:rPr>
        <w:t>,</w:t>
      </w:r>
      <w:r w:rsidR="000F0518" w:rsidRPr="00254B40">
        <w:rPr>
          <w:lang w:val="en-GB"/>
        </w:rPr>
        <w:t xml:space="preserve"> </w:t>
      </w:r>
      <w:r w:rsidR="008F67F7" w:rsidRPr="00254B40">
        <w:rPr>
          <w:lang w:val="en-GB"/>
        </w:rPr>
        <w:t xml:space="preserve">will ensure </w:t>
      </w:r>
      <w:r w:rsidR="00F71E12">
        <w:rPr>
          <w:lang w:val="en-GB"/>
        </w:rPr>
        <w:t xml:space="preserve">the </w:t>
      </w:r>
      <w:r w:rsidR="008F67F7" w:rsidRPr="00254B40">
        <w:rPr>
          <w:lang w:val="en-GB"/>
        </w:rPr>
        <w:t xml:space="preserve">sustainable management of natural resources. </w:t>
      </w:r>
      <w:r w:rsidR="00F71E12">
        <w:rPr>
          <w:lang w:val="en-GB"/>
        </w:rPr>
        <w:t>T</w:t>
      </w:r>
      <w:r w:rsidR="00F90E0B" w:rsidRPr="00254B40">
        <w:rPr>
          <w:lang w:val="en-GB"/>
        </w:rPr>
        <w:t>he</w:t>
      </w:r>
      <w:r w:rsidR="008F67F7" w:rsidRPr="00254B40">
        <w:rPr>
          <w:lang w:val="en-GB"/>
        </w:rPr>
        <w:t xml:space="preserve"> majority of the population is rural and vulnerable to economic and weather-related shocks, highlighting the need for increased </w:t>
      </w:r>
      <w:r w:rsidR="004D313B" w:rsidRPr="00254B40">
        <w:rPr>
          <w:lang w:val="en-GB"/>
        </w:rPr>
        <w:t xml:space="preserve">resilience and </w:t>
      </w:r>
      <w:r w:rsidR="009D3540" w:rsidRPr="00254B40">
        <w:rPr>
          <w:lang w:val="en-GB"/>
        </w:rPr>
        <w:t>enhanced</w:t>
      </w:r>
      <w:r w:rsidR="004D313B" w:rsidRPr="00254B40">
        <w:rPr>
          <w:lang w:val="en-GB"/>
        </w:rPr>
        <w:t xml:space="preserve"> eco</w:t>
      </w:r>
      <w:r w:rsidR="00195EA8" w:rsidRPr="00254B40">
        <w:rPr>
          <w:lang w:val="en-GB"/>
        </w:rPr>
        <w:t xml:space="preserve">system services. </w:t>
      </w:r>
      <w:r w:rsidR="00CE019F">
        <w:rPr>
          <w:lang w:val="en-GB"/>
        </w:rPr>
        <w:t>The</w:t>
      </w:r>
      <w:r w:rsidR="008F67F7" w:rsidRPr="00254B40">
        <w:rPr>
          <w:lang w:val="en-GB"/>
        </w:rPr>
        <w:t xml:space="preserve"> economy is </w:t>
      </w:r>
      <w:r w:rsidR="00CE019F">
        <w:rPr>
          <w:lang w:val="en-GB"/>
        </w:rPr>
        <w:t>excessive</w:t>
      </w:r>
      <w:r w:rsidR="008F67F7" w:rsidRPr="00254B40">
        <w:rPr>
          <w:lang w:val="en-GB"/>
        </w:rPr>
        <w:t xml:space="preserve">ly dependent on </w:t>
      </w:r>
      <w:r w:rsidR="000F0518" w:rsidRPr="00254B40">
        <w:rPr>
          <w:lang w:val="en-GB"/>
        </w:rPr>
        <w:t xml:space="preserve">the </w:t>
      </w:r>
      <w:r w:rsidR="008F67F7" w:rsidRPr="00254B40">
        <w:rPr>
          <w:lang w:val="en-GB"/>
        </w:rPr>
        <w:t>extractive industry</w:t>
      </w:r>
      <w:r w:rsidR="00CE019F">
        <w:rPr>
          <w:lang w:val="en-GB"/>
        </w:rPr>
        <w:t>,</w:t>
      </w:r>
      <w:r w:rsidR="008F67F7" w:rsidRPr="00254B40">
        <w:rPr>
          <w:lang w:val="en-GB"/>
        </w:rPr>
        <w:t xml:space="preserve"> with </w:t>
      </w:r>
      <w:r w:rsidR="000F0518" w:rsidRPr="00254B40">
        <w:rPr>
          <w:lang w:val="en-GB"/>
        </w:rPr>
        <w:t xml:space="preserve">inadequate </w:t>
      </w:r>
      <w:r w:rsidR="008F67F7" w:rsidRPr="00254B40">
        <w:rPr>
          <w:lang w:val="en-GB"/>
        </w:rPr>
        <w:t>investments in economic diversification activities. Jobs and skills mismatch</w:t>
      </w:r>
      <w:r w:rsidR="00CE019F">
        <w:rPr>
          <w:lang w:val="en-GB"/>
        </w:rPr>
        <w:t>es</w:t>
      </w:r>
      <w:r w:rsidR="008F67F7" w:rsidRPr="00254B40">
        <w:rPr>
          <w:lang w:val="en-GB"/>
        </w:rPr>
        <w:t xml:space="preserve"> have resulted from limited investment in technical and vocational training</w:t>
      </w:r>
      <w:r w:rsidR="00CE019F">
        <w:rPr>
          <w:lang w:val="en-GB"/>
        </w:rPr>
        <w:t>,</w:t>
      </w:r>
      <w:r w:rsidR="008F67F7" w:rsidRPr="00254B40">
        <w:rPr>
          <w:lang w:val="en-GB"/>
        </w:rPr>
        <w:t xml:space="preserve"> perpetuat</w:t>
      </w:r>
      <w:r w:rsidRPr="00254B40">
        <w:rPr>
          <w:lang w:val="en-GB"/>
        </w:rPr>
        <w:t>ing</w:t>
      </w:r>
      <w:r w:rsidR="008F67F7" w:rsidRPr="00254B40">
        <w:rPr>
          <w:lang w:val="en-GB"/>
        </w:rPr>
        <w:t xml:space="preserve"> high unemployment impacting particular</w:t>
      </w:r>
      <w:r w:rsidR="00544648" w:rsidRPr="00254B40">
        <w:rPr>
          <w:lang w:val="en-GB"/>
        </w:rPr>
        <w:t>ly</w:t>
      </w:r>
      <w:r w:rsidR="008F67F7" w:rsidRPr="00254B40">
        <w:rPr>
          <w:lang w:val="en-GB"/>
        </w:rPr>
        <w:t xml:space="preserve"> women, youth</w:t>
      </w:r>
      <w:r w:rsidR="004B3A4D" w:rsidRPr="00254B40">
        <w:rPr>
          <w:lang w:val="en-GB"/>
        </w:rPr>
        <w:t>,</w:t>
      </w:r>
      <w:r w:rsidR="008F67F7" w:rsidRPr="00254B40">
        <w:rPr>
          <w:lang w:val="en-GB"/>
        </w:rPr>
        <w:t xml:space="preserve"> </w:t>
      </w:r>
      <w:r w:rsidR="00FA15CC" w:rsidRPr="00254B40">
        <w:rPr>
          <w:lang w:val="en-GB"/>
        </w:rPr>
        <w:t>persons with disabilities and the margi</w:t>
      </w:r>
      <w:r w:rsidR="00CE019F">
        <w:rPr>
          <w:lang w:val="en-GB"/>
        </w:rPr>
        <w:t>naliz</w:t>
      </w:r>
      <w:r w:rsidR="00FA15CC" w:rsidRPr="00254B40">
        <w:rPr>
          <w:lang w:val="en-GB"/>
        </w:rPr>
        <w:t xml:space="preserve">ed. </w:t>
      </w:r>
      <w:r w:rsidR="008F67F7" w:rsidRPr="00254B40">
        <w:rPr>
          <w:lang w:val="en-GB"/>
        </w:rPr>
        <w:t xml:space="preserve">Weak implementation capacity for inclusive growth strategies </w:t>
      </w:r>
      <w:r w:rsidR="00CE019F">
        <w:rPr>
          <w:lang w:val="en-GB"/>
        </w:rPr>
        <w:t>impedes</w:t>
      </w:r>
      <w:r w:rsidR="008F67F7" w:rsidRPr="00254B40">
        <w:rPr>
          <w:lang w:val="en-GB"/>
        </w:rPr>
        <w:t xml:space="preserve"> pro-poor income and livelihood activities.</w:t>
      </w:r>
    </w:p>
    <w:p w14:paraId="18BE9DF2" w14:textId="77777777" w:rsidR="008A687C" w:rsidRPr="00254B40" w:rsidRDefault="008A687C" w:rsidP="005920CB">
      <w:pPr>
        <w:pStyle w:val="ListParagraph"/>
        <w:tabs>
          <w:tab w:val="left" w:pos="1710"/>
        </w:tabs>
        <w:ind w:left="1440" w:right="1210"/>
        <w:rPr>
          <w:sz w:val="12"/>
          <w:szCs w:val="12"/>
          <w:lang w:val="en-GB"/>
        </w:rPr>
      </w:pPr>
    </w:p>
    <w:p w14:paraId="63BDFC0B" w14:textId="1E436C08" w:rsidR="008E0836" w:rsidRPr="00254B40" w:rsidRDefault="000F0518" w:rsidP="005920CB">
      <w:pPr>
        <w:pStyle w:val="ListParagraph"/>
        <w:numPr>
          <w:ilvl w:val="0"/>
          <w:numId w:val="3"/>
        </w:numPr>
        <w:tabs>
          <w:tab w:val="left" w:pos="1710"/>
        </w:tabs>
        <w:autoSpaceDE w:val="0"/>
        <w:autoSpaceDN w:val="0"/>
        <w:adjustRightInd w:val="0"/>
        <w:spacing w:after="120"/>
        <w:ind w:left="1440" w:right="1210" w:firstLine="0"/>
        <w:contextualSpacing/>
        <w:jc w:val="both"/>
        <w:rPr>
          <w:rStyle w:val="CommentReference"/>
          <w:sz w:val="20"/>
          <w:szCs w:val="20"/>
          <w:lang w:val="en-GB"/>
        </w:rPr>
      </w:pPr>
      <w:r w:rsidRPr="00254B40">
        <w:rPr>
          <w:lang w:val="en-GB"/>
        </w:rPr>
        <w:t xml:space="preserve">The </w:t>
      </w:r>
      <w:r w:rsidR="00CE019F">
        <w:t>independent country programme e</w:t>
      </w:r>
      <w:r w:rsidR="008F67F7" w:rsidRPr="00254B40">
        <w:t>valuation</w:t>
      </w:r>
      <w:r w:rsidR="00CE019F">
        <w:t>, 2017</w:t>
      </w:r>
      <w:r w:rsidR="008F67F7" w:rsidRPr="00254B40">
        <w:t xml:space="preserve"> noted that UNDP has been effective in contributing to national development, policy support, strategic planning and community response</w:t>
      </w:r>
      <w:r w:rsidR="00B258E7" w:rsidRPr="00254B40">
        <w:t xml:space="preserve">, especially </w:t>
      </w:r>
      <w:r w:rsidR="008D2516" w:rsidRPr="00254B40">
        <w:t>in</w:t>
      </w:r>
      <w:r w:rsidR="00B258E7" w:rsidRPr="00254B40">
        <w:t xml:space="preserve"> sustainable environment</w:t>
      </w:r>
      <w:r w:rsidR="00B258E7" w:rsidRPr="00254B40">
        <w:rPr>
          <w:rStyle w:val="FootnoteReference"/>
        </w:rPr>
        <w:footnoteReference w:id="24"/>
      </w:r>
      <w:r w:rsidR="00A52767" w:rsidRPr="00254B40">
        <w:t xml:space="preserve">. </w:t>
      </w:r>
      <w:r w:rsidR="003A0AE4" w:rsidRPr="00254B40">
        <w:t>I</w:t>
      </w:r>
      <w:r w:rsidR="00CE019F">
        <w:t>t</w:t>
      </w:r>
      <w:r w:rsidR="003A0AE4" w:rsidRPr="00254B40">
        <w:t xml:space="preserve"> </w:t>
      </w:r>
      <w:r w:rsidR="009C0346" w:rsidRPr="00254B40">
        <w:rPr>
          <w:lang w:val="en-GB"/>
        </w:rPr>
        <w:t xml:space="preserve">also </w:t>
      </w:r>
      <w:r w:rsidR="003A0AE4" w:rsidRPr="00254B40">
        <w:rPr>
          <w:lang w:val="en-GB"/>
        </w:rPr>
        <w:t xml:space="preserve">noted </w:t>
      </w:r>
      <w:r w:rsidR="005618A9" w:rsidRPr="00254B40">
        <w:rPr>
          <w:lang w:val="en-GB"/>
        </w:rPr>
        <w:t xml:space="preserve">that </w:t>
      </w:r>
      <w:r w:rsidR="003A0AE4" w:rsidRPr="00254B40">
        <w:rPr>
          <w:lang w:val="en-GB"/>
        </w:rPr>
        <w:t>t</w:t>
      </w:r>
      <w:r w:rsidR="00CC48AE" w:rsidRPr="00254B40">
        <w:rPr>
          <w:lang w:val="en-GB"/>
        </w:rPr>
        <w:t>he country programme ha</w:t>
      </w:r>
      <w:r w:rsidR="00D81CE6" w:rsidRPr="00254B40">
        <w:rPr>
          <w:lang w:val="en-GB"/>
        </w:rPr>
        <w:t>d</w:t>
      </w:r>
      <w:r w:rsidR="00CC48AE" w:rsidRPr="00254B40">
        <w:rPr>
          <w:lang w:val="en-GB"/>
        </w:rPr>
        <w:t xml:space="preserve"> laid a good foundation in mainstreaming gender through supporting </w:t>
      </w:r>
      <w:r w:rsidR="00F90E0B" w:rsidRPr="00254B40">
        <w:rPr>
          <w:lang w:val="en-GB"/>
        </w:rPr>
        <w:t xml:space="preserve">the </w:t>
      </w:r>
      <w:r w:rsidR="00CC48AE" w:rsidRPr="00254B40">
        <w:rPr>
          <w:lang w:val="en-GB"/>
        </w:rPr>
        <w:t xml:space="preserve">national agenda on gender advocacy at </w:t>
      </w:r>
      <w:r w:rsidR="00CE019F">
        <w:rPr>
          <w:lang w:val="en-GB"/>
        </w:rPr>
        <w:t>the ‘</w:t>
      </w:r>
      <w:r w:rsidR="00CC48AE" w:rsidRPr="00254B40">
        <w:rPr>
          <w:lang w:val="en-GB"/>
        </w:rPr>
        <w:t>enabling environment</w:t>
      </w:r>
      <w:r w:rsidR="008A1C91">
        <w:rPr>
          <w:lang w:val="en-GB"/>
        </w:rPr>
        <w:t>’</w:t>
      </w:r>
      <w:r w:rsidR="00CC48AE" w:rsidRPr="00254B40">
        <w:rPr>
          <w:lang w:val="en-GB"/>
        </w:rPr>
        <w:t xml:space="preserve"> level</w:t>
      </w:r>
      <w:r w:rsidR="005F2631">
        <w:rPr>
          <w:lang w:val="en-GB"/>
        </w:rPr>
        <w:t>,</w:t>
      </w:r>
      <w:r w:rsidR="00CC48AE" w:rsidRPr="00254B40">
        <w:rPr>
          <w:lang w:val="en-GB"/>
        </w:rPr>
        <w:t xml:space="preserve"> and gender-targeted project interventions at </w:t>
      </w:r>
      <w:r w:rsidR="008A1C91">
        <w:rPr>
          <w:lang w:val="en-GB"/>
        </w:rPr>
        <w:t xml:space="preserve">the </w:t>
      </w:r>
      <w:r w:rsidR="00CC48AE" w:rsidRPr="00254B40">
        <w:rPr>
          <w:lang w:val="en-GB"/>
        </w:rPr>
        <w:t>community level</w:t>
      </w:r>
      <w:r w:rsidR="003C5FA8">
        <w:rPr>
          <w:lang w:val="en-GB"/>
        </w:rPr>
        <w:t>.</w:t>
      </w:r>
      <w:r w:rsidR="00CC48AE" w:rsidRPr="00254B40">
        <w:rPr>
          <w:rStyle w:val="FootnoteReference"/>
          <w:lang w:val="en-GB"/>
        </w:rPr>
        <w:footnoteReference w:id="25"/>
      </w:r>
      <w:r w:rsidR="00CC48AE" w:rsidRPr="00254B40">
        <w:rPr>
          <w:lang w:val="en-GB"/>
        </w:rPr>
        <w:t xml:space="preserve"> Namibia </w:t>
      </w:r>
      <w:r w:rsidR="005618A9" w:rsidRPr="00254B40">
        <w:rPr>
          <w:lang w:val="en-GB"/>
        </w:rPr>
        <w:t>developed a road</w:t>
      </w:r>
      <w:r w:rsidR="008A1C91">
        <w:rPr>
          <w:lang w:val="en-GB"/>
        </w:rPr>
        <w:t xml:space="preserve"> </w:t>
      </w:r>
      <w:r w:rsidR="005618A9" w:rsidRPr="00254B40">
        <w:rPr>
          <w:lang w:val="en-GB"/>
        </w:rPr>
        <w:t>map and check</w:t>
      </w:r>
      <w:r w:rsidR="00CC48AE" w:rsidRPr="00254B40">
        <w:rPr>
          <w:lang w:val="en-GB"/>
        </w:rPr>
        <w:t xml:space="preserve">list to </w:t>
      </w:r>
      <w:r w:rsidR="005F2631">
        <w:rPr>
          <w:lang w:val="en-GB"/>
        </w:rPr>
        <w:t>help</w:t>
      </w:r>
      <w:r w:rsidR="00CC48AE" w:rsidRPr="00254B40">
        <w:rPr>
          <w:lang w:val="en-GB"/>
        </w:rPr>
        <w:t xml:space="preserve"> </w:t>
      </w:r>
      <w:r w:rsidR="005618A9" w:rsidRPr="00254B40">
        <w:rPr>
          <w:lang w:val="en-GB"/>
        </w:rPr>
        <w:t>implementing partners</w:t>
      </w:r>
      <w:r w:rsidR="00CC48AE" w:rsidRPr="00254B40">
        <w:rPr>
          <w:lang w:val="en-GB"/>
        </w:rPr>
        <w:t xml:space="preserve"> comply with </w:t>
      </w:r>
      <w:r w:rsidR="008A1C91">
        <w:rPr>
          <w:lang w:val="en-GB"/>
        </w:rPr>
        <w:t>g</w:t>
      </w:r>
      <w:r w:rsidR="00CC48AE" w:rsidRPr="00254B40">
        <w:rPr>
          <w:lang w:val="en-GB"/>
        </w:rPr>
        <w:t>ender</w:t>
      </w:r>
      <w:r w:rsidR="008A1C91">
        <w:rPr>
          <w:lang w:val="en-GB"/>
        </w:rPr>
        <w:t>-r</w:t>
      </w:r>
      <w:r w:rsidR="008416E8" w:rsidRPr="00254B40">
        <w:rPr>
          <w:lang w:val="en-GB"/>
        </w:rPr>
        <w:t>esponsive</w:t>
      </w:r>
      <w:r w:rsidR="00CC48AE" w:rsidRPr="00254B40">
        <w:rPr>
          <w:lang w:val="en-GB"/>
        </w:rPr>
        <w:t xml:space="preserve"> </w:t>
      </w:r>
      <w:r w:rsidR="008A1C91">
        <w:rPr>
          <w:lang w:val="en-GB"/>
        </w:rPr>
        <w:t>b</w:t>
      </w:r>
      <w:r w:rsidR="00CC48AE" w:rsidRPr="00254B40">
        <w:rPr>
          <w:lang w:val="en-GB"/>
        </w:rPr>
        <w:t xml:space="preserve">udgeting. </w:t>
      </w:r>
      <w:r w:rsidR="0014747A" w:rsidRPr="00254B40">
        <w:rPr>
          <w:lang w:val="en-GB"/>
        </w:rPr>
        <w:t>H</w:t>
      </w:r>
      <w:r w:rsidR="00942C44" w:rsidRPr="00254B40">
        <w:rPr>
          <w:lang w:val="en-GB"/>
        </w:rPr>
        <w:t xml:space="preserve">owever, </w:t>
      </w:r>
      <w:r w:rsidR="008A1C91">
        <w:rPr>
          <w:lang w:val="en-GB"/>
        </w:rPr>
        <w:t>the evaluation</w:t>
      </w:r>
      <w:r w:rsidR="008A1C91" w:rsidRPr="00254B40">
        <w:rPr>
          <w:lang w:val="en-GB"/>
        </w:rPr>
        <w:t xml:space="preserve"> </w:t>
      </w:r>
      <w:r w:rsidR="00CC48AE" w:rsidRPr="00254B40">
        <w:rPr>
          <w:lang w:val="en-GB"/>
        </w:rPr>
        <w:t xml:space="preserve">noted that </w:t>
      </w:r>
      <w:r w:rsidR="00174B90" w:rsidRPr="00254B40">
        <w:rPr>
          <w:lang w:val="en-GB"/>
        </w:rPr>
        <w:t>a</w:t>
      </w:r>
      <w:r w:rsidR="00CC48AE" w:rsidRPr="00254B40">
        <w:rPr>
          <w:lang w:val="en-GB"/>
        </w:rPr>
        <w:t xml:space="preserve"> more</w:t>
      </w:r>
      <w:r w:rsidR="008A1C91">
        <w:rPr>
          <w:lang w:val="en-GB"/>
        </w:rPr>
        <w:t xml:space="preserve"> </w:t>
      </w:r>
      <w:r w:rsidR="00CC48AE" w:rsidRPr="00254B40">
        <w:rPr>
          <w:lang w:val="en-GB"/>
        </w:rPr>
        <w:t xml:space="preserve">focused programme design </w:t>
      </w:r>
      <w:r w:rsidR="00174B90" w:rsidRPr="00254B40">
        <w:rPr>
          <w:lang w:val="en-GB"/>
        </w:rPr>
        <w:t>w</w:t>
      </w:r>
      <w:r w:rsidR="008A1C91">
        <w:rPr>
          <w:lang w:val="en-GB"/>
        </w:rPr>
        <w:t>ould</w:t>
      </w:r>
      <w:r w:rsidR="00174B90" w:rsidRPr="00254B40">
        <w:rPr>
          <w:lang w:val="en-GB"/>
        </w:rPr>
        <w:t xml:space="preserve"> </w:t>
      </w:r>
      <w:r w:rsidR="008A1C91">
        <w:rPr>
          <w:lang w:val="en-GB"/>
        </w:rPr>
        <w:t>increase</w:t>
      </w:r>
      <w:r w:rsidR="008A1C91" w:rsidRPr="00254B40">
        <w:rPr>
          <w:lang w:val="en-GB"/>
        </w:rPr>
        <w:t xml:space="preserve"> </w:t>
      </w:r>
      <w:r w:rsidR="00CC48AE" w:rsidRPr="00254B40">
        <w:rPr>
          <w:lang w:val="en-GB"/>
        </w:rPr>
        <w:t>effectiveness and sustain</w:t>
      </w:r>
      <w:r w:rsidR="00E423F8" w:rsidRPr="00254B40">
        <w:rPr>
          <w:lang w:val="en-GB"/>
        </w:rPr>
        <w:t>ability</w:t>
      </w:r>
      <w:r w:rsidR="008A1C91">
        <w:rPr>
          <w:lang w:val="en-GB"/>
        </w:rPr>
        <w:t xml:space="preserve"> and achieve a </w:t>
      </w:r>
      <w:r w:rsidR="00CC48AE" w:rsidRPr="00254B40">
        <w:rPr>
          <w:lang w:val="en-GB"/>
        </w:rPr>
        <w:t xml:space="preserve">better balance between planning and implementation support. Strategic partnerships </w:t>
      </w:r>
      <w:r w:rsidR="00174B90" w:rsidRPr="00254B40">
        <w:rPr>
          <w:lang w:val="en-GB"/>
        </w:rPr>
        <w:t>will</w:t>
      </w:r>
      <w:r w:rsidR="00CC48AE" w:rsidRPr="00254B40">
        <w:rPr>
          <w:lang w:val="en-GB"/>
        </w:rPr>
        <w:t xml:space="preserve"> optimize resources and maximize results, including through partnership</w:t>
      </w:r>
      <w:r w:rsidR="008A1C91">
        <w:rPr>
          <w:lang w:val="en-GB"/>
        </w:rPr>
        <w:t>s</w:t>
      </w:r>
      <w:r w:rsidR="00CC48AE" w:rsidRPr="00254B40">
        <w:rPr>
          <w:lang w:val="en-GB"/>
        </w:rPr>
        <w:t xml:space="preserve"> with civil society</w:t>
      </w:r>
      <w:r w:rsidR="00E423F8" w:rsidRPr="00254B40">
        <w:rPr>
          <w:lang w:val="en-GB"/>
        </w:rPr>
        <w:t xml:space="preserve"> and</w:t>
      </w:r>
      <w:r w:rsidR="00CC48AE" w:rsidRPr="00254B40">
        <w:rPr>
          <w:lang w:val="en-GB"/>
        </w:rPr>
        <w:t xml:space="preserve"> academia.</w:t>
      </w:r>
      <w:r w:rsidR="00BC6390" w:rsidRPr="00254B40">
        <w:rPr>
          <w:lang w:val="en-GB"/>
        </w:rPr>
        <w:t xml:space="preserve"> </w:t>
      </w:r>
    </w:p>
    <w:p w14:paraId="0A7B1581" w14:textId="77777777" w:rsidR="008E0836" w:rsidRPr="00254B40" w:rsidRDefault="008E0836" w:rsidP="005920CB">
      <w:pPr>
        <w:pStyle w:val="ListParagraph"/>
        <w:tabs>
          <w:tab w:val="left" w:pos="1710"/>
        </w:tabs>
        <w:ind w:left="1440" w:right="1210"/>
        <w:rPr>
          <w:rStyle w:val="CommentReference"/>
          <w:sz w:val="12"/>
          <w:szCs w:val="12"/>
          <w:lang w:val="en-GB"/>
        </w:rPr>
      </w:pPr>
    </w:p>
    <w:p w14:paraId="2EF4B1BB" w14:textId="14BE5F53" w:rsidR="008E3428" w:rsidRPr="001C7084" w:rsidRDefault="00C80C5D" w:rsidP="005920CB">
      <w:pPr>
        <w:pStyle w:val="ListParagraph"/>
        <w:numPr>
          <w:ilvl w:val="0"/>
          <w:numId w:val="3"/>
        </w:numPr>
        <w:tabs>
          <w:tab w:val="left" w:pos="1710"/>
        </w:tabs>
        <w:autoSpaceDE w:val="0"/>
        <w:autoSpaceDN w:val="0"/>
        <w:adjustRightInd w:val="0"/>
        <w:ind w:left="1440" w:right="1210" w:firstLine="0"/>
        <w:contextualSpacing/>
        <w:jc w:val="both"/>
        <w:rPr>
          <w:lang w:val="en-GB"/>
        </w:rPr>
      </w:pPr>
      <w:r w:rsidRPr="00254B40">
        <w:rPr>
          <w:lang w:val="en-GB"/>
        </w:rPr>
        <w:t xml:space="preserve">The </w:t>
      </w:r>
      <w:r w:rsidR="001C7084">
        <w:rPr>
          <w:lang w:val="en-GB"/>
        </w:rPr>
        <w:t xml:space="preserve">2017 </w:t>
      </w:r>
      <w:r w:rsidR="003C5FA8">
        <w:rPr>
          <w:lang w:val="en-GB"/>
        </w:rPr>
        <w:t>p</w:t>
      </w:r>
      <w:r w:rsidRPr="001C7084">
        <w:rPr>
          <w:lang w:val="en-GB"/>
        </w:rPr>
        <w:t>artnership</w:t>
      </w:r>
      <w:r w:rsidR="00992E35" w:rsidRPr="001C7084">
        <w:rPr>
          <w:lang w:val="en-GB"/>
        </w:rPr>
        <w:t xml:space="preserve"> </w:t>
      </w:r>
      <w:r w:rsidR="005F2631">
        <w:rPr>
          <w:lang w:val="en-GB"/>
        </w:rPr>
        <w:t>survey</w:t>
      </w:r>
      <w:r w:rsidR="003C5FA8">
        <w:rPr>
          <w:lang w:val="en-GB"/>
        </w:rPr>
        <w:t xml:space="preserve"> </w:t>
      </w:r>
      <w:r w:rsidRPr="001C7084">
        <w:rPr>
          <w:lang w:val="en-GB"/>
        </w:rPr>
        <w:t xml:space="preserve">noted that, in the next </w:t>
      </w:r>
      <w:r w:rsidR="003C5FA8">
        <w:rPr>
          <w:lang w:val="en-GB"/>
        </w:rPr>
        <w:t>five</w:t>
      </w:r>
      <w:r w:rsidR="003C5FA8" w:rsidRPr="001C7084">
        <w:rPr>
          <w:lang w:val="en-GB"/>
        </w:rPr>
        <w:t xml:space="preserve"> </w:t>
      </w:r>
      <w:r w:rsidRPr="001C7084">
        <w:rPr>
          <w:lang w:val="en-GB"/>
        </w:rPr>
        <w:t xml:space="preserve">years, UNDP should </w:t>
      </w:r>
      <w:r w:rsidR="00482889" w:rsidRPr="001C7084">
        <w:rPr>
          <w:lang w:val="en-GB"/>
        </w:rPr>
        <w:t xml:space="preserve">leverage its comparative advantage and </w:t>
      </w:r>
      <w:r w:rsidRPr="001C7084">
        <w:rPr>
          <w:lang w:val="en-GB"/>
        </w:rPr>
        <w:t xml:space="preserve">focus on </w:t>
      </w:r>
      <w:r w:rsidR="00482889" w:rsidRPr="001C7084">
        <w:rPr>
          <w:lang w:val="en-GB"/>
        </w:rPr>
        <w:t xml:space="preserve">policy advice </w:t>
      </w:r>
      <w:r w:rsidR="003C5FA8">
        <w:rPr>
          <w:lang w:val="en-GB"/>
        </w:rPr>
        <w:t>to</w:t>
      </w:r>
      <w:r w:rsidR="003C5FA8" w:rsidRPr="001C7084">
        <w:rPr>
          <w:lang w:val="en-GB"/>
        </w:rPr>
        <w:t xml:space="preserve"> </w:t>
      </w:r>
      <w:r w:rsidR="00482889" w:rsidRPr="001C7084">
        <w:rPr>
          <w:lang w:val="en-GB"/>
        </w:rPr>
        <w:t>enhanc</w:t>
      </w:r>
      <w:r w:rsidR="003C5FA8">
        <w:rPr>
          <w:lang w:val="en-GB"/>
        </w:rPr>
        <w:t>e</w:t>
      </w:r>
      <w:r w:rsidR="00482889" w:rsidRPr="001C7084">
        <w:rPr>
          <w:lang w:val="en-GB"/>
        </w:rPr>
        <w:t xml:space="preserve"> sustainable development</w:t>
      </w:r>
      <w:r w:rsidR="003C5FA8">
        <w:rPr>
          <w:lang w:val="en-GB"/>
        </w:rPr>
        <w:t>;</w:t>
      </w:r>
      <w:r w:rsidR="00482889" w:rsidRPr="001C7084">
        <w:rPr>
          <w:lang w:val="en-GB"/>
        </w:rPr>
        <w:t xml:space="preserve"> </w:t>
      </w:r>
      <w:r w:rsidRPr="001C7084">
        <w:rPr>
          <w:lang w:val="en-GB"/>
        </w:rPr>
        <w:t>natural resource</w:t>
      </w:r>
      <w:r w:rsidR="003C5FA8">
        <w:rPr>
          <w:lang w:val="en-GB"/>
        </w:rPr>
        <w:t>s</w:t>
      </w:r>
      <w:r w:rsidRPr="001C7084">
        <w:rPr>
          <w:lang w:val="en-GB"/>
        </w:rPr>
        <w:t xml:space="preserve"> management</w:t>
      </w:r>
      <w:r w:rsidR="003C5FA8">
        <w:rPr>
          <w:lang w:val="en-GB"/>
        </w:rPr>
        <w:t xml:space="preserve"> with</w:t>
      </w:r>
      <w:r w:rsidR="00482889" w:rsidRPr="001C7084">
        <w:rPr>
          <w:lang w:val="en-GB"/>
        </w:rPr>
        <w:t xml:space="preserve"> improv</w:t>
      </w:r>
      <w:r w:rsidR="003C5FA8">
        <w:rPr>
          <w:lang w:val="en-GB"/>
        </w:rPr>
        <w:t>ed</w:t>
      </w:r>
      <w:r w:rsidR="00482889" w:rsidRPr="001C7084">
        <w:rPr>
          <w:lang w:val="en-GB"/>
        </w:rPr>
        <w:t xml:space="preserve"> </w:t>
      </w:r>
      <w:r w:rsidRPr="001C7084">
        <w:rPr>
          <w:lang w:val="en-GB"/>
        </w:rPr>
        <w:t>public participation</w:t>
      </w:r>
      <w:r w:rsidR="00CE019F">
        <w:rPr>
          <w:lang w:val="en-GB"/>
        </w:rPr>
        <w:t>,</w:t>
      </w:r>
      <w:r w:rsidRPr="001C7084">
        <w:rPr>
          <w:lang w:val="en-GB"/>
        </w:rPr>
        <w:t xml:space="preserve"> ensuring compliance with human rights</w:t>
      </w:r>
      <w:r w:rsidR="00D81CE6" w:rsidRPr="001C7084">
        <w:rPr>
          <w:rStyle w:val="FootnoteReference"/>
          <w:lang w:val="en-GB"/>
        </w:rPr>
        <w:footnoteReference w:id="26"/>
      </w:r>
      <w:r w:rsidR="003C5FA8">
        <w:rPr>
          <w:lang w:val="en-GB"/>
        </w:rPr>
        <w:t xml:space="preserve"> </w:t>
      </w:r>
      <w:r w:rsidR="00F708FE" w:rsidRPr="001C7084">
        <w:rPr>
          <w:lang w:val="en-GB"/>
        </w:rPr>
        <w:t xml:space="preserve">and </w:t>
      </w:r>
      <w:r w:rsidRPr="001C7084">
        <w:rPr>
          <w:lang w:val="en-GB"/>
        </w:rPr>
        <w:t>gender equality</w:t>
      </w:r>
      <w:r w:rsidR="003C5FA8">
        <w:rPr>
          <w:lang w:val="en-GB"/>
        </w:rPr>
        <w:t>.</w:t>
      </w:r>
      <w:r w:rsidRPr="001C7084">
        <w:rPr>
          <w:rStyle w:val="FootnoteReference"/>
          <w:lang w:val="en-GB"/>
        </w:rPr>
        <w:footnoteReference w:id="27"/>
      </w:r>
      <w:r w:rsidRPr="001C7084">
        <w:rPr>
          <w:lang w:val="en-GB"/>
        </w:rPr>
        <w:t xml:space="preserve"> </w:t>
      </w:r>
      <w:r w:rsidR="003C5FA8">
        <w:rPr>
          <w:lang w:val="en-GB"/>
        </w:rPr>
        <w:t>Leveraging</w:t>
      </w:r>
      <w:r w:rsidR="003C5FA8" w:rsidRPr="001C7084">
        <w:rPr>
          <w:lang w:val="en-GB"/>
        </w:rPr>
        <w:t xml:space="preserve"> </w:t>
      </w:r>
      <w:r w:rsidR="001A3972" w:rsidRPr="001C7084">
        <w:rPr>
          <w:lang w:val="en-GB"/>
        </w:rPr>
        <w:t xml:space="preserve">its comparative advantage </w:t>
      </w:r>
      <w:r w:rsidR="00E51B6D" w:rsidRPr="001C7084">
        <w:rPr>
          <w:lang w:val="en-GB"/>
        </w:rPr>
        <w:t xml:space="preserve">in the area of climate change, </w:t>
      </w:r>
      <w:r w:rsidR="002A4CD3" w:rsidRPr="001C7084">
        <w:rPr>
          <w:lang w:val="en-GB"/>
        </w:rPr>
        <w:t>UNDP mobili</w:t>
      </w:r>
      <w:r w:rsidR="003C5FA8">
        <w:rPr>
          <w:lang w:val="en-GB"/>
        </w:rPr>
        <w:t>z</w:t>
      </w:r>
      <w:r w:rsidR="001A3972" w:rsidRPr="001C7084">
        <w:rPr>
          <w:lang w:val="en-GB"/>
        </w:rPr>
        <w:t>ed resources</w:t>
      </w:r>
      <w:r w:rsidR="001A3972" w:rsidRPr="001C7084">
        <w:rPr>
          <w:rStyle w:val="FootnoteReference"/>
          <w:lang w:val="en-GB"/>
        </w:rPr>
        <w:footnoteReference w:id="28"/>
      </w:r>
      <w:r w:rsidR="001A3972" w:rsidRPr="001C7084">
        <w:rPr>
          <w:lang w:val="en-GB"/>
        </w:rPr>
        <w:t xml:space="preserve"> </w:t>
      </w:r>
      <w:r w:rsidR="00E51B6D" w:rsidRPr="001C7084">
        <w:rPr>
          <w:lang w:val="en-GB"/>
        </w:rPr>
        <w:t>through</w:t>
      </w:r>
      <w:r w:rsidR="001A3972" w:rsidRPr="001C7084">
        <w:rPr>
          <w:lang w:val="en-GB"/>
        </w:rPr>
        <w:t xml:space="preserve"> </w:t>
      </w:r>
      <w:r w:rsidR="003C5FA8">
        <w:rPr>
          <w:lang w:val="en-GB"/>
        </w:rPr>
        <w:t>‘</w:t>
      </w:r>
      <w:r w:rsidRPr="001C7084">
        <w:rPr>
          <w:lang w:val="en-GB"/>
        </w:rPr>
        <w:t>smart</w:t>
      </w:r>
      <w:r w:rsidR="003C5FA8">
        <w:rPr>
          <w:lang w:val="en-GB"/>
        </w:rPr>
        <w:t>’</w:t>
      </w:r>
      <w:r w:rsidRPr="001C7084">
        <w:rPr>
          <w:lang w:val="en-GB"/>
        </w:rPr>
        <w:t xml:space="preserve"> partnerships</w:t>
      </w:r>
      <w:r w:rsidR="001A3972" w:rsidRPr="001C7084">
        <w:rPr>
          <w:lang w:val="en-GB"/>
        </w:rPr>
        <w:t xml:space="preserve"> with </w:t>
      </w:r>
      <w:r w:rsidRPr="001C7084">
        <w:rPr>
          <w:lang w:val="en-GB"/>
        </w:rPr>
        <w:t>the Global Environment Facility</w:t>
      </w:r>
      <w:r w:rsidR="008216B0" w:rsidRPr="001C7084">
        <w:rPr>
          <w:lang w:val="en-GB"/>
        </w:rPr>
        <w:t xml:space="preserve"> (GEF)</w:t>
      </w:r>
      <w:r w:rsidRPr="001C7084">
        <w:rPr>
          <w:lang w:val="en-GB"/>
        </w:rPr>
        <w:t xml:space="preserve">, </w:t>
      </w:r>
      <w:r w:rsidR="003C5FA8">
        <w:rPr>
          <w:lang w:val="en-GB"/>
        </w:rPr>
        <w:t xml:space="preserve">the </w:t>
      </w:r>
      <w:r w:rsidRPr="001C7084">
        <w:rPr>
          <w:lang w:val="en-GB"/>
        </w:rPr>
        <w:t>MDG Fund</w:t>
      </w:r>
      <w:r w:rsidR="005F2631">
        <w:rPr>
          <w:lang w:val="en-GB"/>
        </w:rPr>
        <w:t>,</w:t>
      </w:r>
      <w:r w:rsidR="00E51B6D" w:rsidRPr="001C7084">
        <w:rPr>
          <w:lang w:val="en-GB"/>
        </w:rPr>
        <w:t xml:space="preserve"> and</w:t>
      </w:r>
      <w:r w:rsidRPr="001C7084">
        <w:rPr>
          <w:lang w:val="en-GB"/>
        </w:rPr>
        <w:t xml:space="preserve"> </w:t>
      </w:r>
      <w:r w:rsidR="003C5FA8">
        <w:rPr>
          <w:lang w:val="en-GB"/>
        </w:rPr>
        <w:t xml:space="preserve">the </w:t>
      </w:r>
      <w:r w:rsidRPr="001C7084">
        <w:rPr>
          <w:lang w:val="en-GB"/>
        </w:rPr>
        <w:t>Yahoo Japan Corporation</w:t>
      </w:r>
      <w:r w:rsidR="00E51B6D" w:rsidRPr="001C7084">
        <w:rPr>
          <w:lang w:val="en-GB"/>
        </w:rPr>
        <w:t xml:space="preserve">. </w:t>
      </w:r>
      <w:r w:rsidR="003C5FA8">
        <w:rPr>
          <w:lang w:val="en-GB"/>
        </w:rPr>
        <w:t xml:space="preserve">The </w:t>
      </w:r>
      <w:r w:rsidR="00B548D7" w:rsidRPr="001C7084">
        <w:rPr>
          <w:lang w:val="en-GB"/>
        </w:rPr>
        <w:t>UNDP</w:t>
      </w:r>
      <w:r w:rsidR="00E51B6D" w:rsidRPr="001C7084">
        <w:rPr>
          <w:lang w:val="en-GB"/>
        </w:rPr>
        <w:t xml:space="preserve"> capacity to support procurement and administrative oversight </w:t>
      </w:r>
      <w:r w:rsidR="003C5FA8">
        <w:rPr>
          <w:lang w:val="en-GB"/>
        </w:rPr>
        <w:t>made it</w:t>
      </w:r>
      <w:r w:rsidR="00E51B6D" w:rsidRPr="001C7084">
        <w:rPr>
          <w:lang w:val="en-GB"/>
        </w:rPr>
        <w:t xml:space="preserve"> a</w:t>
      </w:r>
      <w:r w:rsidR="006E6F53" w:rsidRPr="001C7084">
        <w:rPr>
          <w:lang w:val="en-GB"/>
        </w:rPr>
        <w:t xml:space="preserve"> preferred partner for the </w:t>
      </w:r>
      <w:r w:rsidR="003C5FA8">
        <w:rPr>
          <w:lang w:val="en-GB"/>
        </w:rPr>
        <w:t>G</w:t>
      </w:r>
      <w:r w:rsidR="006E6F53" w:rsidRPr="001C7084">
        <w:rPr>
          <w:lang w:val="en-GB"/>
        </w:rPr>
        <w:t>overnment in implement</w:t>
      </w:r>
      <w:r w:rsidR="003C5FA8">
        <w:rPr>
          <w:lang w:val="en-GB"/>
        </w:rPr>
        <w:t>ing</w:t>
      </w:r>
      <w:r w:rsidR="00E51B6D" w:rsidRPr="001C7084">
        <w:rPr>
          <w:lang w:val="en-GB"/>
        </w:rPr>
        <w:t xml:space="preserve"> the </w:t>
      </w:r>
      <w:r w:rsidRPr="001C7084">
        <w:rPr>
          <w:lang w:val="en-GB"/>
        </w:rPr>
        <w:t>Global Fund to Fight AIDS, Tuberculosis and Malaria</w:t>
      </w:r>
      <w:r w:rsidRPr="001C7084">
        <w:rPr>
          <w:rStyle w:val="FootnoteReference"/>
          <w:lang w:val="en-GB"/>
        </w:rPr>
        <w:footnoteReference w:id="29"/>
      </w:r>
      <w:r w:rsidR="00147639" w:rsidRPr="001C7084">
        <w:rPr>
          <w:lang w:val="en-GB"/>
        </w:rPr>
        <w:t xml:space="preserve"> </w:t>
      </w:r>
      <w:r w:rsidRPr="001C7084">
        <w:rPr>
          <w:lang w:val="en-GB"/>
        </w:rPr>
        <w:t xml:space="preserve">and </w:t>
      </w:r>
      <w:r w:rsidR="00E51B6D" w:rsidRPr="001C7084">
        <w:rPr>
          <w:lang w:val="en-GB"/>
        </w:rPr>
        <w:t>work</w:t>
      </w:r>
      <w:r w:rsidR="00D37810">
        <w:rPr>
          <w:lang w:val="en-GB"/>
        </w:rPr>
        <w:t>ing towards</w:t>
      </w:r>
      <w:r w:rsidR="00E51B6D" w:rsidRPr="001C7084">
        <w:rPr>
          <w:lang w:val="en-GB"/>
        </w:rPr>
        <w:t xml:space="preserve"> gender equality</w:t>
      </w:r>
      <w:r w:rsidR="00D37810">
        <w:rPr>
          <w:lang w:val="en-GB"/>
        </w:rPr>
        <w:t>;</w:t>
      </w:r>
      <w:r w:rsidR="00E51B6D" w:rsidRPr="001C7084">
        <w:rPr>
          <w:lang w:val="en-GB"/>
        </w:rPr>
        <w:t xml:space="preserve"> and its convening power has led to a strong partnership with </w:t>
      </w:r>
      <w:r w:rsidRPr="001C7084">
        <w:rPr>
          <w:lang w:val="en-GB"/>
        </w:rPr>
        <w:t>UN</w:t>
      </w:r>
      <w:r w:rsidR="00D37810">
        <w:rPr>
          <w:lang w:val="en-GB"/>
        </w:rPr>
        <w:t>-</w:t>
      </w:r>
      <w:r w:rsidRPr="001C7084">
        <w:rPr>
          <w:lang w:val="en-GB"/>
        </w:rPr>
        <w:t xml:space="preserve">Women. UNDP </w:t>
      </w:r>
      <w:r w:rsidR="00E423F8" w:rsidRPr="001C7084">
        <w:rPr>
          <w:lang w:val="en-GB"/>
        </w:rPr>
        <w:t>forged</w:t>
      </w:r>
      <w:r w:rsidRPr="001C7084">
        <w:rPr>
          <w:lang w:val="en-GB"/>
        </w:rPr>
        <w:t xml:space="preserve"> partnership</w:t>
      </w:r>
      <w:r w:rsidR="00D37810">
        <w:rPr>
          <w:lang w:val="en-GB"/>
        </w:rPr>
        <w:t>s</w:t>
      </w:r>
      <w:r w:rsidRPr="001C7084">
        <w:rPr>
          <w:lang w:val="en-GB"/>
        </w:rPr>
        <w:t xml:space="preserve"> with academia to enhance its thought leadership, and is exploring partnerships with </w:t>
      </w:r>
      <w:r w:rsidR="00D37810">
        <w:rPr>
          <w:lang w:val="en-GB"/>
        </w:rPr>
        <w:t>the</w:t>
      </w:r>
      <w:r w:rsidRPr="001C7084">
        <w:rPr>
          <w:lang w:val="en-GB"/>
        </w:rPr>
        <w:t xml:space="preserve"> Development Bank of Southern Africa, </w:t>
      </w:r>
      <w:r w:rsidR="00D37810">
        <w:rPr>
          <w:lang w:val="en-GB"/>
        </w:rPr>
        <w:t xml:space="preserve">the </w:t>
      </w:r>
      <w:r w:rsidRPr="001C7084">
        <w:rPr>
          <w:lang w:val="en-GB"/>
        </w:rPr>
        <w:t>African Development Bank</w:t>
      </w:r>
      <w:r w:rsidR="00F5277D" w:rsidRPr="001C7084">
        <w:rPr>
          <w:lang w:val="en-GB"/>
        </w:rPr>
        <w:t xml:space="preserve"> (AfDB)</w:t>
      </w:r>
      <w:r w:rsidRPr="001C7084">
        <w:rPr>
          <w:lang w:val="en-GB"/>
        </w:rPr>
        <w:t>,</w:t>
      </w:r>
      <w:r w:rsidR="00EA3AE5" w:rsidRPr="001C7084">
        <w:rPr>
          <w:lang w:val="en-GB"/>
        </w:rPr>
        <w:t xml:space="preserve"> </w:t>
      </w:r>
      <w:r w:rsidR="00D37810">
        <w:rPr>
          <w:lang w:val="en-GB"/>
        </w:rPr>
        <w:t xml:space="preserve">and </w:t>
      </w:r>
      <w:r w:rsidR="00AC4E57" w:rsidRPr="001C7084">
        <w:rPr>
          <w:lang w:val="en-GB"/>
        </w:rPr>
        <w:t>German Development Cooperation</w:t>
      </w:r>
      <w:r w:rsidR="00EA3AE5" w:rsidRPr="001C7084">
        <w:rPr>
          <w:lang w:val="en-GB"/>
        </w:rPr>
        <w:t xml:space="preserve"> </w:t>
      </w:r>
      <w:r w:rsidRPr="001C7084">
        <w:rPr>
          <w:lang w:val="en-GB"/>
        </w:rPr>
        <w:t xml:space="preserve">to accelerate achievement of </w:t>
      </w:r>
      <w:r w:rsidR="00D37810">
        <w:rPr>
          <w:lang w:val="en-GB"/>
        </w:rPr>
        <w:t>the sustainable development goals.</w:t>
      </w:r>
      <w:r w:rsidR="00773FF8" w:rsidRPr="001C7084">
        <w:rPr>
          <w:rStyle w:val="FootnoteReference"/>
          <w:lang w:val="en-GB"/>
        </w:rPr>
        <w:footnoteReference w:id="30"/>
      </w:r>
      <w:r w:rsidRPr="001C7084">
        <w:rPr>
          <w:lang w:val="en-GB"/>
        </w:rPr>
        <w:t xml:space="preserve"> </w:t>
      </w:r>
    </w:p>
    <w:p w14:paraId="7C5331CA" w14:textId="77777777" w:rsidR="008E3428" w:rsidRPr="001C7084" w:rsidRDefault="008E3428" w:rsidP="00816471">
      <w:pPr>
        <w:pStyle w:val="ListParagraph"/>
        <w:tabs>
          <w:tab w:val="left" w:pos="1800"/>
        </w:tabs>
        <w:ind w:left="1440" w:right="1210"/>
        <w:rPr>
          <w:sz w:val="12"/>
          <w:szCs w:val="12"/>
          <w:lang w:val="en-GB"/>
        </w:rPr>
      </w:pPr>
    </w:p>
    <w:p w14:paraId="1EAA10F0" w14:textId="665BA401" w:rsidR="0078363A" w:rsidRPr="001C7084" w:rsidRDefault="00C9268D" w:rsidP="00816471">
      <w:pPr>
        <w:pStyle w:val="ListParagraph"/>
        <w:numPr>
          <w:ilvl w:val="0"/>
          <w:numId w:val="3"/>
        </w:numPr>
        <w:tabs>
          <w:tab w:val="left" w:pos="1800"/>
        </w:tabs>
        <w:autoSpaceDE w:val="0"/>
        <w:autoSpaceDN w:val="0"/>
        <w:adjustRightInd w:val="0"/>
        <w:ind w:left="1440" w:right="1210" w:firstLine="0"/>
        <w:contextualSpacing/>
        <w:jc w:val="both"/>
        <w:rPr>
          <w:lang w:val="en-GB"/>
        </w:rPr>
      </w:pPr>
      <w:r w:rsidRPr="001C7084">
        <w:rPr>
          <w:lang w:val="en-GB"/>
        </w:rPr>
        <w:t xml:space="preserve">Leveraging </w:t>
      </w:r>
      <w:r w:rsidR="00860216">
        <w:rPr>
          <w:lang w:val="en-GB"/>
        </w:rPr>
        <w:t xml:space="preserve">past </w:t>
      </w:r>
      <w:r w:rsidRPr="001C7084">
        <w:rPr>
          <w:lang w:val="en-GB"/>
        </w:rPr>
        <w:t>UNDP investments, this country programme is guided by the Strategic Plan</w:t>
      </w:r>
      <w:r w:rsidR="00860216">
        <w:rPr>
          <w:lang w:val="en-GB"/>
        </w:rPr>
        <w:t>,</w:t>
      </w:r>
      <w:r w:rsidRPr="001C7084">
        <w:rPr>
          <w:lang w:val="en-GB"/>
        </w:rPr>
        <w:t xml:space="preserve"> 2018-2</w:t>
      </w:r>
      <w:r w:rsidR="00076434" w:rsidRPr="001C7084">
        <w:rPr>
          <w:lang w:val="en-GB"/>
        </w:rPr>
        <w:t>1</w:t>
      </w:r>
      <w:r w:rsidRPr="001C7084">
        <w:rPr>
          <w:lang w:val="en-GB"/>
        </w:rPr>
        <w:t xml:space="preserve">. </w:t>
      </w:r>
      <w:r w:rsidR="008B5524" w:rsidRPr="001C7084">
        <w:rPr>
          <w:lang w:val="en-GB"/>
        </w:rPr>
        <w:t xml:space="preserve">In line with </w:t>
      </w:r>
      <w:r w:rsidR="00860216">
        <w:rPr>
          <w:lang w:val="en-GB"/>
        </w:rPr>
        <w:t xml:space="preserve">the </w:t>
      </w:r>
      <w:r w:rsidR="008B5524" w:rsidRPr="001C7084">
        <w:rPr>
          <w:lang w:val="en-GB"/>
        </w:rPr>
        <w:t xml:space="preserve">UNDP comparative advantage in providing policy </w:t>
      </w:r>
      <w:r w:rsidR="00E55312" w:rsidRPr="001C7084">
        <w:rPr>
          <w:lang w:val="en-GB"/>
        </w:rPr>
        <w:t>advice</w:t>
      </w:r>
      <w:r w:rsidR="008B5524" w:rsidRPr="001C7084">
        <w:rPr>
          <w:lang w:val="en-GB"/>
        </w:rPr>
        <w:t xml:space="preserve"> and capacity</w:t>
      </w:r>
      <w:r w:rsidR="00860216">
        <w:rPr>
          <w:lang w:val="en-GB"/>
        </w:rPr>
        <w:t>-</w:t>
      </w:r>
      <w:r w:rsidR="008B5524" w:rsidRPr="001C7084">
        <w:rPr>
          <w:lang w:val="en-GB"/>
        </w:rPr>
        <w:t xml:space="preserve">building, </w:t>
      </w:r>
      <w:r w:rsidR="009D2D44" w:rsidRPr="001C7084">
        <w:rPr>
          <w:lang w:val="en-GB"/>
        </w:rPr>
        <w:t>t</w:t>
      </w:r>
      <w:r w:rsidR="00E55312" w:rsidRPr="001C7084">
        <w:rPr>
          <w:lang w:val="en-GB"/>
        </w:rPr>
        <w:t>he c</w:t>
      </w:r>
      <w:r w:rsidR="008B5524" w:rsidRPr="001C7084">
        <w:rPr>
          <w:lang w:val="en-GB"/>
        </w:rPr>
        <w:t xml:space="preserve">ountry </w:t>
      </w:r>
      <w:r w:rsidR="00E55312" w:rsidRPr="001C7084">
        <w:rPr>
          <w:lang w:val="en-GB"/>
        </w:rPr>
        <w:t>p</w:t>
      </w:r>
      <w:r w:rsidR="008B5524" w:rsidRPr="001C7084">
        <w:rPr>
          <w:lang w:val="en-GB"/>
        </w:rPr>
        <w:t xml:space="preserve">rogramme </w:t>
      </w:r>
      <w:r w:rsidR="0088629F" w:rsidRPr="001C7084">
        <w:rPr>
          <w:lang w:val="en-GB"/>
        </w:rPr>
        <w:t>posits three pathways</w:t>
      </w:r>
      <w:r w:rsidR="00C168A2" w:rsidRPr="001C7084">
        <w:rPr>
          <w:lang w:val="en-GB"/>
        </w:rPr>
        <w:t>:</w:t>
      </w:r>
      <w:r w:rsidR="0088629F" w:rsidRPr="001C7084">
        <w:rPr>
          <w:lang w:val="en-GB"/>
        </w:rPr>
        <w:t xml:space="preserve"> diversified pro-poor employment</w:t>
      </w:r>
      <w:r w:rsidR="00C168A2" w:rsidRPr="001C7084">
        <w:rPr>
          <w:lang w:val="en-GB"/>
        </w:rPr>
        <w:t>;</w:t>
      </w:r>
      <w:r w:rsidR="0088629F" w:rsidRPr="001C7084">
        <w:rPr>
          <w:lang w:val="en-GB"/>
        </w:rPr>
        <w:t xml:space="preserve"> sustainable environment and resilience</w:t>
      </w:r>
      <w:r w:rsidR="00C168A2" w:rsidRPr="001C7084">
        <w:rPr>
          <w:lang w:val="en-GB"/>
        </w:rPr>
        <w:t>;</w:t>
      </w:r>
      <w:r w:rsidR="0088629F" w:rsidRPr="001C7084">
        <w:rPr>
          <w:lang w:val="en-GB"/>
        </w:rPr>
        <w:t xml:space="preserve"> </w:t>
      </w:r>
      <w:r w:rsidR="00C168A2" w:rsidRPr="001C7084">
        <w:rPr>
          <w:lang w:val="en-GB"/>
        </w:rPr>
        <w:t>and inclusive governance to</w:t>
      </w:r>
      <w:r w:rsidR="009D2D44" w:rsidRPr="001C7084">
        <w:rPr>
          <w:lang w:val="en-GB"/>
        </w:rPr>
        <w:t xml:space="preserve"> accelerate achievement of </w:t>
      </w:r>
      <w:r w:rsidR="001C7084">
        <w:rPr>
          <w:lang w:val="en-GB"/>
        </w:rPr>
        <w:t>S</w:t>
      </w:r>
      <w:r w:rsidR="00860216">
        <w:rPr>
          <w:lang w:val="en-GB"/>
        </w:rPr>
        <w:t xml:space="preserve">ustainable </w:t>
      </w:r>
      <w:r w:rsidR="001C7084">
        <w:rPr>
          <w:lang w:val="en-GB"/>
        </w:rPr>
        <w:t>D</w:t>
      </w:r>
      <w:r w:rsidR="00860216">
        <w:rPr>
          <w:lang w:val="en-GB"/>
        </w:rPr>
        <w:t xml:space="preserve">evelopment </w:t>
      </w:r>
      <w:r w:rsidR="001C7084">
        <w:rPr>
          <w:lang w:val="en-GB"/>
        </w:rPr>
        <w:t>G</w:t>
      </w:r>
      <w:r w:rsidR="00860216">
        <w:rPr>
          <w:lang w:val="en-GB"/>
        </w:rPr>
        <w:t>oals</w:t>
      </w:r>
      <w:r w:rsidR="00C168A2" w:rsidRPr="001C7084">
        <w:rPr>
          <w:lang w:val="en-GB"/>
        </w:rPr>
        <w:t xml:space="preserve"> </w:t>
      </w:r>
      <w:r w:rsidR="009D2D44" w:rsidRPr="001C7084">
        <w:rPr>
          <w:lang w:val="en-GB"/>
        </w:rPr>
        <w:t xml:space="preserve">and </w:t>
      </w:r>
      <w:r w:rsidR="00C168A2" w:rsidRPr="001C7084">
        <w:rPr>
          <w:lang w:val="en-GB"/>
        </w:rPr>
        <w:t xml:space="preserve">achieve </w:t>
      </w:r>
      <w:r w:rsidR="00B4182D" w:rsidRPr="001C7084">
        <w:rPr>
          <w:lang w:val="en-GB" w:eastAsia="en-ZA"/>
        </w:rPr>
        <w:t>i</w:t>
      </w:r>
      <w:r w:rsidR="005B3406" w:rsidRPr="001C7084">
        <w:rPr>
          <w:lang w:val="en-GB" w:eastAsia="en-ZA"/>
        </w:rPr>
        <w:t xml:space="preserve">nclusive and </w:t>
      </w:r>
      <w:r w:rsidR="00B4182D" w:rsidRPr="001C7084">
        <w:rPr>
          <w:lang w:val="en-GB" w:eastAsia="en-ZA"/>
        </w:rPr>
        <w:t>g</w:t>
      </w:r>
      <w:r w:rsidR="005B3406" w:rsidRPr="001C7084">
        <w:rPr>
          <w:lang w:val="en-GB" w:eastAsia="en-ZA"/>
        </w:rPr>
        <w:t xml:space="preserve">reen </w:t>
      </w:r>
      <w:r w:rsidR="00B4182D" w:rsidRPr="001C7084">
        <w:rPr>
          <w:lang w:val="en-GB" w:eastAsia="en-ZA"/>
        </w:rPr>
        <w:t>g</w:t>
      </w:r>
      <w:r w:rsidR="005B3406" w:rsidRPr="001C7084">
        <w:rPr>
          <w:lang w:val="en-GB" w:eastAsia="en-ZA"/>
        </w:rPr>
        <w:t>rowth</w:t>
      </w:r>
      <w:r w:rsidR="00C168A2" w:rsidRPr="001C7084">
        <w:rPr>
          <w:lang w:val="en-GB" w:eastAsia="en-ZA"/>
        </w:rPr>
        <w:t xml:space="preserve"> and accountable institutions </w:t>
      </w:r>
      <w:r w:rsidR="009D2D44" w:rsidRPr="001C7084">
        <w:rPr>
          <w:lang w:val="en-GB" w:eastAsia="en-ZA"/>
        </w:rPr>
        <w:t>for</w:t>
      </w:r>
      <w:r w:rsidR="005B3406" w:rsidRPr="001C7084">
        <w:rPr>
          <w:lang w:val="en-GB" w:eastAsia="en-ZA"/>
        </w:rPr>
        <w:t xml:space="preserve"> </w:t>
      </w:r>
      <w:r w:rsidR="005B3406" w:rsidRPr="001C7084">
        <w:rPr>
          <w:lang w:val="en-GB"/>
        </w:rPr>
        <w:t>poverty eradication and inequality reduction</w:t>
      </w:r>
      <w:r w:rsidR="00C168A2" w:rsidRPr="001C7084">
        <w:rPr>
          <w:lang w:val="en-GB" w:eastAsia="en-ZA"/>
        </w:rPr>
        <w:t xml:space="preserve">. </w:t>
      </w:r>
      <w:r w:rsidR="00161DB8" w:rsidRPr="001C7084">
        <w:rPr>
          <w:lang w:val="en-GB"/>
        </w:rPr>
        <w:t xml:space="preserve">Building on lessons learned, UNDP </w:t>
      </w:r>
      <w:r w:rsidR="00C3135A">
        <w:rPr>
          <w:lang w:val="en-GB"/>
        </w:rPr>
        <w:t xml:space="preserve">will </w:t>
      </w:r>
      <w:r w:rsidR="0080079E" w:rsidRPr="001C7084">
        <w:rPr>
          <w:lang w:val="en-GB"/>
        </w:rPr>
        <w:t>focus</w:t>
      </w:r>
      <w:r w:rsidR="005F2631">
        <w:rPr>
          <w:lang w:val="en-GB"/>
        </w:rPr>
        <w:t xml:space="preserve"> its</w:t>
      </w:r>
      <w:r w:rsidR="0080079E" w:rsidRPr="001C7084">
        <w:rPr>
          <w:lang w:val="en-GB"/>
        </w:rPr>
        <w:t xml:space="preserve"> programme design </w:t>
      </w:r>
      <w:r w:rsidR="005F2631">
        <w:rPr>
          <w:lang w:val="en-GB"/>
        </w:rPr>
        <w:t>on</w:t>
      </w:r>
      <w:r w:rsidR="005F2631" w:rsidRPr="001C7084">
        <w:rPr>
          <w:lang w:val="en-GB"/>
        </w:rPr>
        <w:t xml:space="preserve"> </w:t>
      </w:r>
      <w:r w:rsidR="004E5EE6">
        <w:rPr>
          <w:lang w:val="en-GB"/>
        </w:rPr>
        <w:t>increas</w:t>
      </w:r>
      <w:r w:rsidR="004E5EE6" w:rsidRPr="001C7084">
        <w:rPr>
          <w:lang w:val="en-GB"/>
        </w:rPr>
        <w:t xml:space="preserve">ed </w:t>
      </w:r>
      <w:r w:rsidR="0080079E" w:rsidRPr="001C7084">
        <w:rPr>
          <w:lang w:val="en-GB"/>
        </w:rPr>
        <w:t xml:space="preserve">effectiveness and sustainability. </w:t>
      </w:r>
      <w:r w:rsidR="00372B5C" w:rsidRPr="001C7084">
        <w:rPr>
          <w:lang w:val="en-GB"/>
        </w:rPr>
        <w:t>It</w:t>
      </w:r>
      <w:r w:rsidR="0080079E" w:rsidRPr="001C7084">
        <w:rPr>
          <w:lang w:val="en-GB"/>
        </w:rPr>
        <w:t xml:space="preserve"> will pursue</w:t>
      </w:r>
      <w:r w:rsidR="00161DB8" w:rsidRPr="001C7084">
        <w:rPr>
          <w:lang w:val="en-GB"/>
        </w:rPr>
        <w:t xml:space="preserve"> an integrated approach to strengthen</w:t>
      </w:r>
      <w:r w:rsidR="005F2631">
        <w:rPr>
          <w:lang w:val="en-GB"/>
        </w:rPr>
        <w:t>ing</w:t>
      </w:r>
      <w:r w:rsidR="00161DB8" w:rsidRPr="001C7084">
        <w:rPr>
          <w:lang w:val="en-GB"/>
        </w:rPr>
        <w:t xml:space="preserve"> decentralized structures for participative citizen engagement to improve decision</w:t>
      </w:r>
      <w:r w:rsidR="004E5EE6">
        <w:rPr>
          <w:lang w:val="en-GB"/>
        </w:rPr>
        <w:t>-</w:t>
      </w:r>
      <w:r w:rsidR="00161DB8" w:rsidRPr="001C7084">
        <w:rPr>
          <w:lang w:val="en-GB"/>
        </w:rPr>
        <w:t>making</w:t>
      </w:r>
      <w:r w:rsidR="004E5EE6">
        <w:rPr>
          <w:lang w:val="en-GB"/>
        </w:rPr>
        <w:t xml:space="preserve"> and</w:t>
      </w:r>
      <w:r w:rsidR="00161DB8" w:rsidRPr="001C7084">
        <w:rPr>
          <w:lang w:val="en-GB"/>
        </w:rPr>
        <w:t xml:space="preserve"> service delivery</w:t>
      </w:r>
      <w:r w:rsidR="004E5EE6">
        <w:rPr>
          <w:lang w:val="en-GB"/>
        </w:rPr>
        <w:t>,</w:t>
      </w:r>
      <w:r w:rsidR="00705657" w:rsidRPr="001C7084">
        <w:rPr>
          <w:lang w:val="en-GB"/>
        </w:rPr>
        <w:t xml:space="preserve"> </w:t>
      </w:r>
      <w:r w:rsidR="0078363A" w:rsidRPr="001C7084">
        <w:rPr>
          <w:lang w:val="en-GB"/>
        </w:rPr>
        <w:t>and</w:t>
      </w:r>
      <w:r w:rsidR="004E5EE6">
        <w:rPr>
          <w:lang w:val="en-GB"/>
        </w:rPr>
        <w:t xml:space="preserve"> to</w:t>
      </w:r>
      <w:r w:rsidR="00161DB8" w:rsidRPr="001C7084">
        <w:rPr>
          <w:lang w:val="en-GB"/>
        </w:rPr>
        <w:t xml:space="preserve"> increase resilience through skills development</w:t>
      </w:r>
      <w:r w:rsidR="00705657" w:rsidRPr="001C7084">
        <w:rPr>
          <w:lang w:val="en-GB"/>
        </w:rPr>
        <w:t xml:space="preserve"> and inclusive growth strategies</w:t>
      </w:r>
      <w:r w:rsidR="00161DB8" w:rsidRPr="001C7084">
        <w:rPr>
          <w:lang w:val="en-GB"/>
        </w:rPr>
        <w:t>.</w:t>
      </w:r>
      <w:r w:rsidR="00705657" w:rsidRPr="001C7084">
        <w:rPr>
          <w:lang w:val="en-GB"/>
        </w:rPr>
        <w:t xml:space="preserve"> </w:t>
      </w:r>
    </w:p>
    <w:p w14:paraId="7D589915" w14:textId="77777777" w:rsidR="0078363A" w:rsidRPr="001C7084" w:rsidRDefault="0078363A" w:rsidP="00816471">
      <w:pPr>
        <w:pStyle w:val="ListParagraph"/>
        <w:tabs>
          <w:tab w:val="left" w:pos="1800"/>
        </w:tabs>
        <w:ind w:left="1440" w:right="1210"/>
        <w:rPr>
          <w:sz w:val="12"/>
          <w:szCs w:val="12"/>
          <w:lang w:val="en-GB"/>
        </w:rPr>
      </w:pPr>
    </w:p>
    <w:p w14:paraId="4AF5A8EC" w14:textId="65D4AD39" w:rsidR="008E3428" w:rsidRPr="001C7084" w:rsidRDefault="00705657" w:rsidP="00816471">
      <w:pPr>
        <w:pStyle w:val="ListParagraph"/>
        <w:numPr>
          <w:ilvl w:val="0"/>
          <w:numId w:val="3"/>
        </w:numPr>
        <w:tabs>
          <w:tab w:val="left" w:pos="1800"/>
        </w:tabs>
        <w:autoSpaceDE w:val="0"/>
        <w:autoSpaceDN w:val="0"/>
        <w:adjustRightInd w:val="0"/>
        <w:ind w:left="1440" w:right="1210" w:firstLine="0"/>
        <w:contextualSpacing/>
        <w:jc w:val="both"/>
        <w:rPr>
          <w:lang w:val="en-GB"/>
        </w:rPr>
      </w:pPr>
      <w:r w:rsidRPr="001C7084">
        <w:rPr>
          <w:lang w:val="en-GB"/>
        </w:rPr>
        <w:t>The country programme</w:t>
      </w:r>
      <w:r w:rsidR="00CB454F">
        <w:rPr>
          <w:lang w:val="en-GB"/>
        </w:rPr>
        <w:t>,</w:t>
      </w:r>
      <w:r w:rsidRPr="001C7084">
        <w:rPr>
          <w:lang w:val="en-GB"/>
        </w:rPr>
        <w:t xml:space="preserve"> premised on </w:t>
      </w:r>
      <w:r w:rsidR="00CB454F">
        <w:rPr>
          <w:lang w:val="en-GB"/>
        </w:rPr>
        <w:t>‘</w:t>
      </w:r>
      <w:r w:rsidR="00E839F2" w:rsidRPr="001C7084">
        <w:rPr>
          <w:lang w:val="en-GB"/>
        </w:rPr>
        <w:t>leaving no one behind</w:t>
      </w:r>
      <w:r w:rsidR="00CB454F">
        <w:rPr>
          <w:lang w:val="en-GB"/>
        </w:rPr>
        <w:t>’</w:t>
      </w:r>
      <w:r w:rsidR="00E839F2" w:rsidRPr="001C7084">
        <w:rPr>
          <w:lang w:val="en-GB"/>
        </w:rPr>
        <w:t>,</w:t>
      </w:r>
      <w:r w:rsidRPr="001C7084">
        <w:rPr>
          <w:lang w:val="en-GB"/>
        </w:rPr>
        <w:t xml:space="preserve"> will </w:t>
      </w:r>
      <w:r w:rsidR="00E51B6D" w:rsidRPr="001C7084">
        <w:rPr>
          <w:lang w:val="en-GB"/>
        </w:rPr>
        <w:t>target the most vulnerable and marginali</w:t>
      </w:r>
      <w:r w:rsidR="00E839F2" w:rsidRPr="001C7084">
        <w:rPr>
          <w:lang w:val="en-GB"/>
        </w:rPr>
        <w:t>z</w:t>
      </w:r>
      <w:r w:rsidR="00E51B6D" w:rsidRPr="001C7084">
        <w:rPr>
          <w:lang w:val="en-GB"/>
        </w:rPr>
        <w:t>ed group</w:t>
      </w:r>
      <w:r w:rsidR="00076434" w:rsidRPr="001C7084">
        <w:rPr>
          <w:lang w:val="en-GB"/>
        </w:rPr>
        <w:t>s</w:t>
      </w:r>
      <w:r w:rsidR="00E51B6D" w:rsidRPr="001C7084">
        <w:rPr>
          <w:lang w:val="en-GB"/>
        </w:rPr>
        <w:t xml:space="preserve">. </w:t>
      </w:r>
      <w:r w:rsidR="005F2631">
        <w:rPr>
          <w:lang w:val="en-GB"/>
        </w:rPr>
        <w:t>T</w:t>
      </w:r>
      <w:r w:rsidR="00E839F2" w:rsidRPr="001C7084">
        <w:rPr>
          <w:lang w:val="en-GB"/>
        </w:rPr>
        <w:t>he</w:t>
      </w:r>
      <w:r w:rsidRPr="001C7084">
        <w:rPr>
          <w:lang w:val="en-GB"/>
        </w:rPr>
        <w:t xml:space="preserve"> focus </w:t>
      </w:r>
      <w:r w:rsidR="00E839F2" w:rsidRPr="001C7084">
        <w:rPr>
          <w:lang w:val="en-GB"/>
        </w:rPr>
        <w:t xml:space="preserve">will be </w:t>
      </w:r>
      <w:r w:rsidRPr="001C7084">
        <w:rPr>
          <w:lang w:val="en-GB"/>
        </w:rPr>
        <w:t xml:space="preserve">on </w:t>
      </w:r>
      <w:r w:rsidR="005F2631">
        <w:rPr>
          <w:lang w:val="en-GB"/>
        </w:rPr>
        <w:t>increas</w:t>
      </w:r>
      <w:r w:rsidR="005F2631" w:rsidRPr="001C7084">
        <w:rPr>
          <w:lang w:val="en-GB"/>
        </w:rPr>
        <w:t xml:space="preserve">ing </w:t>
      </w:r>
      <w:r w:rsidR="00E51B6D" w:rsidRPr="001C7084">
        <w:rPr>
          <w:lang w:val="en-GB"/>
        </w:rPr>
        <w:t xml:space="preserve">national capacities for disaggregated </w:t>
      </w:r>
      <w:r w:rsidRPr="001C7084">
        <w:rPr>
          <w:lang w:val="en-GB"/>
        </w:rPr>
        <w:t xml:space="preserve">data </w:t>
      </w:r>
      <w:r w:rsidR="00E51B6D" w:rsidRPr="001C7084">
        <w:rPr>
          <w:lang w:val="en-GB"/>
        </w:rPr>
        <w:t>collection</w:t>
      </w:r>
      <w:r w:rsidRPr="001C7084">
        <w:rPr>
          <w:lang w:val="en-GB"/>
        </w:rPr>
        <w:t>, research and innovation</w:t>
      </w:r>
      <w:r w:rsidR="00C9268D" w:rsidRPr="001C7084">
        <w:rPr>
          <w:lang w:val="en-GB"/>
        </w:rPr>
        <w:t xml:space="preserve"> delivered through partnerships with </w:t>
      </w:r>
      <w:r w:rsidR="00C3135A">
        <w:rPr>
          <w:lang w:val="en-GB"/>
        </w:rPr>
        <w:t xml:space="preserve">the </w:t>
      </w:r>
      <w:r w:rsidR="00C9268D" w:rsidRPr="001C7084">
        <w:rPr>
          <w:lang w:val="en-GB"/>
        </w:rPr>
        <w:t xml:space="preserve">National Statistics Agency, </w:t>
      </w:r>
      <w:r w:rsidR="00076434" w:rsidRPr="001C7084">
        <w:rPr>
          <w:lang w:val="en-GB"/>
        </w:rPr>
        <w:t>civil society</w:t>
      </w:r>
      <w:r w:rsidR="00C9268D" w:rsidRPr="001C7084">
        <w:rPr>
          <w:lang w:val="en-GB"/>
        </w:rPr>
        <w:t xml:space="preserve">, academia and </w:t>
      </w:r>
      <w:r w:rsidR="00E839F2" w:rsidRPr="001C7084">
        <w:rPr>
          <w:lang w:val="en-GB"/>
        </w:rPr>
        <w:t xml:space="preserve">the </w:t>
      </w:r>
      <w:r w:rsidR="00C9268D" w:rsidRPr="001C7084">
        <w:rPr>
          <w:lang w:val="en-GB"/>
        </w:rPr>
        <w:t xml:space="preserve">private sector. UNDP will facilitate an integrated platform to support achievement of </w:t>
      </w:r>
      <w:r w:rsidR="00860216" w:rsidRPr="00E839F2">
        <w:rPr>
          <w:lang w:val="en-GB"/>
        </w:rPr>
        <w:t>the sustainable development goals</w:t>
      </w:r>
      <w:r w:rsidR="00860216" w:rsidRPr="001C7084">
        <w:rPr>
          <w:lang w:val="en-GB"/>
        </w:rPr>
        <w:t xml:space="preserve"> </w:t>
      </w:r>
      <w:r w:rsidR="00C9268D" w:rsidRPr="001C7084">
        <w:rPr>
          <w:lang w:val="en-GB"/>
        </w:rPr>
        <w:t xml:space="preserve">by aligning policy </w:t>
      </w:r>
      <w:r w:rsidR="00921434" w:rsidRPr="001C7084">
        <w:rPr>
          <w:lang w:val="en-GB"/>
        </w:rPr>
        <w:t>advice</w:t>
      </w:r>
      <w:r w:rsidR="00C9268D" w:rsidRPr="001C7084">
        <w:rPr>
          <w:lang w:val="en-GB"/>
        </w:rPr>
        <w:t xml:space="preserve"> with implementation and capacity</w:t>
      </w:r>
      <w:r w:rsidR="00E839F2" w:rsidRPr="00680AA3">
        <w:rPr>
          <w:lang w:val="en-GB"/>
        </w:rPr>
        <w:t xml:space="preserve">-building among </w:t>
      </w:r>
      <w:r w:rsidR="00C9268D" w:rsidRPr="001C7084">
        <w:rPr>
          <w:lang w:val="en-GB"/>
        </w:rPr>
        <w:t xml:space="preserve">national partners. </w:t>
      </w:r>
      <w:r w:rsidRPr="001C7084">
        <w:rPr>
          <w:lang w:val="en-GB"/>
        </w:rPr>
        <w:t xml:space="preserve">Recognizing </w:t>
      </w:r>
      <w:r w:rsidR="00E839F2" w:rsidRPr="001C7084">
        <w:rPr>
          <w:lang w:val="en-GB"/>
        </w:rPr>
        <w:t>th</w:t>
      </w:r>
      <w:r w:rsidR="003C658B">
        <w:rPr>
          <w:lang w:val="en-GB"/>
        </w:rPr>
        <w:t xml:space="preserve">at </w:t>
      </w:r>
      <w:r w:rsidR="00E839F2" w:rsidRPr="001C7084">
        <w:rPr>
          <w:lang w:val="en-GB"/>
        </w:rPr>
        <w:t xml:space="preserve">Namibia </w:t>
      </w:r>
      <w:r w:rsidR="003C658B">
        <w:rPr>
          <w:lang w:val="en-GB"/>
        </w:rPr>
        <w:t>i</w:t>
      </w:r>
      <w:r w:rsidR="00E839F2" w:rsidRPr="001C7084">
        <w:rPr>
          <w:lang w:val="en-GB"/>
        </w:rPr>
        <w:t>s an upper-middle-income country</w:t>
      </w:r>
      <w:r w:rsidRPr="001C7084">
        <w:rPr>
          <w:lang w:val="en-GB"/>
        </w:rPr>
        <w:t xml:space="preserve">, UNDP will </w:t>
      </w:r>
      <w:r w:rsidRPr="001C7084">
        <w:rPr>
          <w:lang w:val="en-GB"/>
        </w:rPr>
        <w:lastRenderedPageBreak/>
        <w:t xml:space="preserve">facilitate the transition from funding to financing through strengthened partnerships and </w:t>
      </w:r>
      <w:r w:rsidR="00E839F2">
        <w:rPr>
          <w:lang w:val="en-GB"/>
        </w:rPr>
        <w:t>S</w:t>
      </w:r>
      <w:r w:rsidRPr="001C7084">
        <w:rPr>
          <w:lang w:val="en-GB"/>
        </w:rPr>
        <w:t>outh-</w:t>
      </w:r>
      <w:r w:rsidR="00E839F2">
        <w:rPr>
          <w:lang w:val="en-GB"/>
        </w:rPr>
        <w:t>S</w:t>
      </w:r>
      <w:r w:rsidRPr="001C7084">
        <w:rPr>
          <w:lang w:val="en-GB"/>
        </w:rPr>
        <w:t>outh cooperation</w:t>
      </w:r>
      <w:r w:rsidR="00CD7CB7" w:rsidRPr="001C7084">
        <w:rPr>
          <w:lang w:val="en-GB"/>
        </w:rPr>
        <w:t>, establish</w:t>
      </w:r>
      <w:r w:rsidR="00E839F2">
        <w:rPr>
          <w:lang w:val="en-GB"/>
        </w:rPr>
        <w:t>ing</w:t>
      </w:r>
      <w:r w:rsidR="00CD7CB7" w:rsidRPr="001C7084">
        <w:rPr>
          <w:lang w:val="en-GB"/>
        </w:rPr>
        <w:t xml:space="preserve"> an integrated national financing framework.</w:t>
      </w:r>
      <w:r w:rsidR="00F85726" w:rsidRPr="001C7084">
        <w:rPr>
          <w:lang w:val="en-GB"/>
        </w:rPr>
        <w:t xml:space="preserve"> </w:t>
      </w:r>
      <w:r w:rsidR="003C658B">
        <w:rPr>
          <w:lang w:val="en-GB"/>
        </w:rPr>
        <w:t>P</w:t>
      </w:r>
      <w:r w:rsidR="00F85726" w:rsidRPr="001C7084">
        <w:rPr>
          <w:lang w:val="en-GB"/>
        </w:rPr>
        <w:t xml:space="preserve">artnerships </w:t>
      </w:r>
      <w:r w:rsidR="0053503C" w:rsidRPr="001C7084">
        <w:rPr>
          <w:lang w:val="en-GB"/>
        </w:rPr>
        <w:t xml:space="preserve">will </w:t>
      </w:r>
      <w:r w:rsidR="00F85726" w:rsidRPr="001C7084">
        <w:rPr>
          <w:lang w:val="en-GB"/>
        </w:rPr>
        <w:t xml:space="preserve">target </w:t>
      </w:r>
      <w:r w:rsidR="00E839F2">
        <w:rPr>
          <w:lang w:val="en-GB"/>
        </w:rPr>
        <w:t>international financial institutions</w:t>
      </w:r>
      <w:r w:rsidR="00F85726" w:rsidRPr="001C7084">
        <w:rPr>
          <w:lang w:val="en-GB"/>
        </w:rPr>
        <w:t>,</w:t>
      </w:r>
      <w:r w:rsidR="0053503C" w:rsidRPr="001C7084">
        <w:rPr>
          <w:lang w:val="en-GB"/>
        </w:rPr>
        <w:t xml:space="preserve"> national </w:t>
      </w:r>
      <w:r w:rsidR="00E839F2">
        <w:rPr>
          <w:lang w:val="en-GB"/>
        </w:rPr>
        <w:t xml:space="preserve">entities </w:t>
      </w:r>
      <w:r w:rsidR="0053503C" w:rsidRPr="001C7084">
        <w:rPr>
          <w:lang w:val="en-GB"/>
        </w:rPr>
        <w:t>accredited to</w:t>
      </w:r>
      <w:r w:rsidR="00F85726" w:rsidRPr="001C7084">
        <w:rPr>
          <w:lang w:val="en-GB"/>
        </w:rPr>
        <w:t xml:space="preserve"> </w:t>
      </w:r>
      <w:r w:rsidR="00E839F2">
        <w:rPr>
          <w:lang w:val="en-GB"/>
        </w:rPr>
        <w:t xml:space="preserve">the </w:t>
      </w:r>
      <w:r w:rsidR="00F85726" w:rsidRPr="001C7084">
        <w:rPr>
          <w:lang w:val="en-GB"/>
        </w:rPr>
        <w:t>Green Climate Fund</w:t>
      </w:r>
      <w:r w:rsidR="003C658B">
        <w:rPr>
          <w:lang w:val="en-GB"/>
        </w:rPr>
        <w:t>,</w:t>
      </w:r>
      <w:r w:rsidR="00F85726" w:rsidRPr="001C7084">
        <w:rPr>
          <w:lang w:val="en-GB"/>
        </w:rPr>
        <w:t xml:space="preserve"> and </w:t>
      </w:r>
      <w:r w:rsidR="00E839F2">
        <w:rPr>
          <w:lang w:val="en-GB"/>
        </w:rPr>
        <w:t xml:space="preserve">the </w:t>
      </w:r>
      <w:r w:rsidR="00F85726" w:rsidRPr="001C7084">
        <w:rPr>
          <w:lang w:val="en-GB"/>
        </w:rPr>
        <w:t>Adaptation Fund</w:t>
      </w:r>
      <w:r w:rsidR="0053503C" w:rsidRPr="001C7084">
        <w:rPr>
          <w:lang w:val="en-GB"/>
        </w:rPr>
        <w:t xml:space="preserve">. </w:t>
      </w:r>
      <w:r w:rsidR="00C3135A">
        <w:rPr>
          <w:lang w:val="en-GB"/>
        </w:rPr>
        <w:t>O</w:t>
      </w:r>
      <w:r w:rsidR="00F85726" w:rsidRPr="001C7084">
        <w:rPr>
          <w:lang w:val="en-GB"/>
        </w:rPr>
        <w:t xml:space="preserve">pportunities </w:t>
      </w:r>
      <w:r w:rsidR="0053503C" w:rsidRPr="001C7084">
        <w:rPr>
          <w:lang w:val="en-GB"/>
        </w:rPr>
        <w:t>will be explored with the private sector and academia</w:t>
      </w:r>
      <w:r w:rsidR="003C658B">
        <w:rPr>
          <w:lang w:val="en-GB"/>
        </w:rPr>
        <w:t>.</w:t>
      </w:r>
      <w:r w:rsidR="0053503C" w:rsidRPr="001C7084">
        <w:rPr>
          <w:rStyle w:val="FootnoteReference"/>
          <w:lang w:val="en-GB"/>
        </w:rPr>
        <w:footnoteReference w:id="31"/>
      </w:r>
      <w:r w:rsidR="0053503C" w:rsidRPr="001C7084">
        <w:rPr>
          <w:lang w:val="en-GB"/>
        </w:rPr>
        <w:t xml:space="preserve"> </w:t>
      </w:r>
    </w:p>
    <w:p w14:paraId="4D5E4DF6" w14:textId="77777777" w:rsidR="008E3428" w:rsidRPr="001C7084" w:rsidRDefault="008E3428" w:rsidP="00816471">
      <w:pPr>
        <w:pStyle w:val="ListParagraph"/>
        <w:tabs>
          <w:tab w:val="left" w:pos="1800"/>
        </w:tabs>
        <w:autoSpaceDE w:val="0"/>
        <w:autoSpaceDN w:val="0"/>
        <w:adjustRightInd w:val="0"/>
        <w:ind w:left="1440" w:right="1210"/>
        <w:contextualSpacing/>
        <w:jc w:val="both"/>
        <w:rPr>
          <w:lang w:val="en-GB"/>
        </w:rPr>
      </w:pPr>
    </w:p>
    <w:p w14:paraId="3E147867" w14:textId="691D74AA" w:rsidR="00CF2773" w:rsidRPr="001C7084" w:rsidRDefault="004820B0" w:rsidP="001A059D">
      <w:pPr>
        <w:pStyle w:val="Heading2"/>
        <w:tabs>
          <w:tab w:val="left" w:pos="1800"/>
        </w:tabs>
        <w:ind w:left="1440" w:right="1210" w:hanging="450"/>
        <w:jc w:val="both"/>
        <w:rPr>
          <w:rFonts w:ascii="Times New Roman" w:hAnsi="Times New Roman"/>
          <w:bCs/>
          <w:color w:val="000000"/>
          <w:szCs w:val="28"/>
          <w:lang w:val="en-GB"/>
        </w:rPr>
      </w:pPr>
      <w:r w:rsidRPr="001C7084">
        <w:rPr>
          <w:rFonts w:ascii="Times New Roman" w:hAnsi="Times New Roman"/>
          <w:bCs/>
          <w:color w:val="000000"/>
          <w:szCs w:val="28"/>
          <w:lang w:val="en-GB"/>
        </w:rPr>
        <w:t xml:space="preserve">II. </w:t>
      </w:r>
      <w:r w:rsidR="001A059D" w:rsidRPr="001C7084">
        <w:rPr>
          <w:rFonts w:ascii="Times New Roman" w:hAnsi="Times New Roman"/>
          <w:bCs/>
          <w:color w:val="000000"/>
          <w:szCs w:val="28"/>
          <w:lang w:val="en-GB"/>
        </w:rPr>
        <w:tab/>
      </w:r>
      <w:r w:rsidR="00677F8A" w:rsidRPr="001C7084">
        <w:rPr>
          <w:rFonts w:ascii="Times New Roman" w:hAnsi="Times New Roman"/>
          <w:bCs/>
          <w:color w:val="000000"/>
          <w:szCs w:val="28"/>
          <w:lang w:val="en-GB"/>
        </w:rPr>
        <w:t xml:space="preserve">Programme </w:t>
      </w:r>
      <w:r w:rsidR="001A059D" w:rsidRPr="001C7084">
        <w:rPr>
          <w:rFonts w:ascii="Times New Roman" w:hAnsi="Times New Roman"/>
          <w:bCs/>
          <w:color w:val="000000"/>
          <w:szCs w:val="28"/>
          <w:lang w:val="en-GB"/>
        </w:rPr>
        <w:t>p</w:t>
      </w:r>
      <w:r w:rsidR="00677F8A" w:rsidRPr="001C7084">
        <w:rPr>
          <w:rFonts w:ascii="Times New Roman" w:hAnsi="Times New Roman"/>
          <w:bCs/>
          <w:color w:val="000000"/>
          <w:szCs w:val="28"/>
          <w:lang w:val="en-GB"/>
        </w:rPr>
        <w:t>riorities</w:t>
      </w:r>
      <w:r w:rsidR="002B6341" w:rsidRPr="001C7084">
        <w:rPr>
          <w:rFonts w:ascii="Times New Roman" w:hAnsi="Times New Roman"/>
          <w:bCs/>
          <w:color w:val="000000"/>
          <w:szCs w:val="28"/>
          <w:lang w:val="en-GB"/>
        </w:rPr>
        <w:t xml:space="preserve"> </w:t>
      </w:r>
      <w:r w:rsidR="004736BE" w:rsidRPr="001C7084">
        <w:rPr>
          <w:rFonts w:ascii="Times New Roman" w:hAnsi="Times New Roman"/>
          <w:bCs/>
          <w:color w:val="000000"/>
          <w:szCs w:val="28"/>
          <w:lang w:val="en-GB"/>
        </w:rPr>
        <w:t xml:space="preserve">and </w:t>
      </w:r>
      <w:r w:rsidR="001A059D" w:rsidRPr="001C7084">
        <w:rPr>
          <w:rFonts w:ascii="Times New Roman" w:hAnsi="Times New Roman"/>
          <w:bCs/>
          <w:color w:val="000000"/>
          <w:szCs w:val="28"/>
          <w:lang w:val="en-GB"/>
        </w:rPr>
        <w:t>p</w:t>
      </w:r>
      <w:r w:rsidR="002B6341" w:rsidRPr="001C7084">
        <w:rPr>
          <w:rFonts w:ascii="Times New Roman" w:hAnsi="Times New Roman"/>
          <w:bCs/>
          <w:color w:val="000000"/>
          <w:szCs w:val="28"/>
          <w:lang w:val="en-GB"/>
        </w:rPr>
        <w:t>artnerships</w:t>
      </w:r>
      <w:r w:rsidR="00074DB9" w:rsidRPr="001C7084">
        <w:rPr>
          <w:rFonts w:ascii="Times New Roman" w:hAnsi="Times New Roman"/>
          <w:bCs/>
          <w:color w:val="000000"/>
          <w:szCs w:val="28"/>
          <w:lang w:val="en-GB"/>
        </w:rPr>
        <w:t xml:space="preserve"> </w:t>
      </w:r>
    </w:p>
    <w:p w14:paraId="325BE18F" w14:textId="77777777" w:rsidR="004820B0" w:rsidRPr="00D531CE" w:rsidRDefault="00074DB9" w:rsidP="00816471">
      <w:pPr>
        <w:pStyle w:val="Heading2"/>
        <w:tabs>
          <w:tab w:val="left" w:pos="1800"/>
        </w:tabs>
        <w:ind w:left="1440" w:right="1210"/>
        <w:jc w:val="both"/>
        <w:rPr>
          <w:rFonts w:ascii="Times New Roman" w:hAnsi="Times New Roman"/>
          <w:color w:val="000000"/>
          <w:spacing w:val="-3"/>
          <w:sz w:val="20"/>
          <w:lang w:val="en-GB"/>
        </w:rPr>
      </w:pPr>
      <w:r w:rsidRPr="001C7084">
        <w:rPr>
          <w:rFonts w:ascii="Times New Roman" w:hAnsi="Times New Roman"/>
          <w:bCs/>
          <w:color w:val="000000"/>
          <w:szCs w:val="28"/>
          <w:lang w:val="en-GB"/>
        </w:rPr>
        <w:t xml:space="preserve"> </w:t>
      </w:r>
    </w:p>
    <w:p w14:paraId="09E8F222" w14:textId="01F84AA9" w:rsidR="003C5737" w:rsidRPr="001C7084" w:rsidRDefault="00077F18" w:rsidP="00816471">
      <w:pPr>
        <w:pStyle w:val="ListParagraph"/>
        <w:numPr>
          <w:ilvl w:val="0"/>
          <w:numId w:val="3"/>
        </w:numPr>
        <w:tabs>
          <w:tab w:val="left" w:pos="1800"/>
        </w:tabs>
        <w:ind w:left="1440" w:right="1210" w:firstLine="0"/>
        <w:jc w:val="both"/>
        <w:rPr>
          <w:lang w:val="en-GB" w:eastAsia="en-ZA"/>
        </w:rPr>
      </w:pPr>
      <w:r w:rsidRPr="001C7084">
        <w:rPr>
          <w:lang w:val="en-GB" w:eastAsia="en-ZA"/>
        </w:rPr>
        <w:t xml:space="preserve">The country programme is informed by </w:t>
      </w:r>
      <w:r w:rsidR="000807C1">
        <w:rPr>
          <w:lang w:val="en-GB" w:eastAsia="en-ZA"/>
        </w:rPr>
        <w:t xml:space="preserve">the 2030 </w:t>
      </w:r>
      <w:r w:rsidRPr="001C7084">
        <w:rPr>
          <w:lang w:val="en-GB" w:eastAsia="en-ZA"/>
        </w:rPr>
        <w:t xml:space="preserve">Agenda </w:t>
      </w:r>
      <w:r w:rsidR="000807C1">
        <w:rPr>
          <w:lang w:val="en-GB" w:eastAsia="en-ZA"/>
        </w:rPr>
        <w:t>for Sustainable Development</w:t>
      </w:r>
      <w:r w:rsidR="005A07F5" w:rsidRPr="001C7084">
        <w:rPr>
          <w:lang w:val="en-GB" w:eastAsia="en-ZA"/>
        </w:rPr>
        <w:t xml:space="preserve">, </w:t>
      </w:r>
      <w:r w:rsidRPr="001C7084">
        <w:rPr>
          <w:lang w:val="en-GB" w:eastAsia="en-ZA"/>
        </w:rPr>
        <w:t>other international and regional treaties</w:t>
      </w:r>
      <w:r w:rsidR="005A07F5" w:rsidRPr="001C7084">
        <w:rPr>
          <w:lang w:val="en-GB" w:eastAsia="en-ZA"/>
        </w:rPr>
        <w:t>,</w:t>
      </w:r>
      <w:r w:rsidRPr="001C7084">
        <w:rPr>
          <w:lang w:val="en-GB" w:eastAsia="en-ZA"/>
        </w:rPr>
        <w:t xml:space="preserve"> and commitments such as Agenda 2063</w:t>
      </w:r>
      <w:r w:rsidR="000807C1">
        <w:rPr>
          <w:lang w:val="en-GB" w:eastAsia="en-ZA"/>
        </w:rPr>
        <w:t xml:space="preserve"> of the African Union</w:t>
      </w:r>
      <w:r w:rsidRPr="001C7084">
        <w:rPr>
          <w:lang w:val="en-GB" w:eastAsia="en-ZA"/>
        </w:rPr>
        <w:t xml:space="preserve">, </w:t>
      </w:r>
      <w:r w:rsidR="000807C1">
        <w:rPr>
          <w:lang w:val="en-GB" w:eastAsia="en-ZA"/>
        </w:rPr>
        <w:t xml:space="preserve">the </w:t>
      </w:r>
      <w:r w:rsidRPr="001C7084">
        <w:rPr>
          <w:lang w:val="en-GB" w:eastAsia="en-ZA"/>
        </w:rPr>
        <w:t xml:space="preserve">Sendai Framework for Disaster Risk Reduction, the Addis Ababa Action Agenda, </w:t>
      </w:r>
      <w:r w:rsidR="000807C1">
        <w:rPr>
          <w:lang w:val="en-GB" w:eastAsia="en-ZA"/>
        </w:rPr>
        <w:t xml:space="preserve">the </w:t>
      </w:r>
      <w:r w:rsidRPr="001C7084">
        <w:rPr>
          <w:lang w:val="en-GB" w:eastAsia="en-ZA"/>
        </w:rPr>
        <w:t xml:space="preserve">Paris Agreement on </w:t>
      </w:r>
      <w:r w:rsidR="000807C1">
        <w:rPr>
          <w:lang w:val="en-GB" w:eastAsia="en-ZA"/>
        </w:rPr>
        <w:t>c</w:t>
      </w:r>
      <w:r w:rsidRPr="001C7084">
        <w:rPr>
          <w:lang w:val="en-GB" w:eastAsia="en-ZA"/>
        </w:rPr>
        <w:t xml:space="preserve">limate </w:t>
      </w:r>
      <w:r w:rsidR="000807C1">
        <w:rPr>
          <w:lang w:val="en-GB" w:eastAsia="en-ZA"/>
        </w:rPr>
        <w:t>c</w:t>
      </w:r>
      <w:r w:rsidRPr="001C7084">
        <w:rPr>
          <w:lang w:val="en-GB" w:eastAsia="en-ZA"/>
        </w:rPr>
        <w:t xml:space="preserve">hange, </w:t>
      </w:r>
      <w:r w:rsidR="000807C1">
        <w:rPr>
          <w:lang w:val="en-GB" w:eastAsia="en-ZA"/>
        </w:rPr>
        <w:t xml:space="preserve">and </w:t>
      </w:r>
      <w:r w:rsidRPr="001C7084">
        <w:rPr>
          <w:lang w:val="en-GB" w:eastAsia="en-ZA"/>
        </w:rPr>
        <w:t>other multilateral environmental agreements and human rights treaties. It will</w:t>
      </w:r>
      <w:r w:rsidR="000807C1">
        <w:rPr>
          <w:lang w:val="en-GB" w:eastAsia="en-ZA"/>
        </w:rPr>
        <w:t xml:space="preserve"> </w:t>
      </w:r>
      <w:r w:rsidRPr="001C7084">
        <w:rPr>
          <w:lang w:val="en-GB" w:eastAsia="en-ZA"/>
        </w:rPr>
        <w:t>integrat</w:t>
      </w:r>
      <w:r w:rsidR="003C658B">
        <w:rPr>
          <w:lang w:val="en-GB" w:eastAsia="en-ZA"/>
        </w:rPr>
        <w:t>e</w:t>
      </w:r>
      <w:r w:rsidRPr="001C7084">
        <w:rPr>
          <w:lang w:val="en-GB" w:eastAsia="en-ZA"/>
        </w:rPr>
        <w:t xml:space="preserve"> these treaties and obligations into domestic policies and </w:t>
      </w:r>
      <w:r w:rsidR="000807C1">
        <w:rPr>
          <w:lang w:val="en-GB" w:eastAsia="en-ZA"/>
        </w:rPr>
        <w:t xml:space="preserve">will </w:t>
      </w:r>
      <w:r w:rsidRPr="001C7084">
        <w:rPr>
          <w:lang w:val="en-GB" w:eastAsia="en-ZA"/>
        </w:rPr>
        <w:t xml:space="preserve">support </w:t>
      </w:r>
      <w:r w:rsidR="000807C1">
        <w:rPr>
          <w:lang w:val="en-GB" w:eastAsia="en-ZA"/>
        </w:rPr>
        <w:t>the</w:t>
      </w:r>
      <w:r w:rsidR="000807C1" w:rsidRPr="001C7084">
        <w:rPr>
          <w:lang w:val="en-GB" w:eastAsia="en-ZA"/>
        </w:rPr>
        <w:t xml:space="preserve"> </w:t>
      </w:r>
      <w:r w:rsidRPr="001C7084">
        <w:rPr>
          <w:lang w:val="en-GB" w:eastAsia="en-ZA"/>
        </w:rPr>
        <w:t xml:space="preserve">national priorities articulated in </w:t>
      </w:r>
      <w:r w:rsidR="00793403">
        <w:rPr>
          <w:lang w:val="en-GB" w:eastAsia="en-ZA"/>
        </w:rPr>
        <w:t xml:space="preserve">the </w:t>
      </w:r>
      <w:r w:rsidR="00793403">
        <w:rPr>
          <w:lang w:val="en-GB"/>
        </w:rPr>
        <w:t>Fifth</w:t>
      </w:r>
      <w:r w:rsidR="00793403" w:rsidRPr="005E4C5B">
        <w:rPr>
          <w:lang w:val="en-GB"/>
        </w:rPr>
        <w:t xml:space="preserve"> National Development </w:t>
      </w:r>
      <w:r w:rsidR="004361A3" w:rsidRPr="005E4C5B">
        <w:rPr>
          <w:lang w:val="en-GB"/>
        </w:rPr>
        <w:t>Plan</w:t>
      </w:r>
      <w:r w:rsidR="004361A3" w:rsidRPr="005D0F13" w:rsidDel="000807C1">
        <w:rPr>
          <w:lang w:val="en-GB" w:eastAsia="en-ZA"/>
        </w:rPr>
        <w:t xml:space="preserve"> </w:t>
      </w:r>
      <w:r w:rsidR="004361A3" w:rsidRPr="001C7084">
        <w:rPr>
          <w:lang w:val="en-GB" w:eastAsia="en-ZA"/>
        </w:rPr>
        <w:t>and</w:t>
      </w:r>
      <w:r w:rsidRPr="001C7084">
        <w:rPr>
          <w:lang w:val="en-GB" w:eastAsia="en-ZA"/>
        </w:rPr>
        <w:t xml:space="preserve"> the Blue</w:t>
      </w:r>
      <w:r w:rsidR="000807C1">
        <w:rPr>
          <w:lang w:val="en-GB" w:eastAsia="en-ZA"/>
        </w:rPr>
        <w:t>p</w:t>
      </w:r>
      <w:r w:rsidRPr="001C7084">
        <w:rPr>
          <w:lang w:val="en-GB" w:eastAsia="en-ZA"/>
        </w:rPr>
        <w:t>rint on Wealth Redistribution and Poverty Eradication</w:t>
      </w:r>
      <w:r w:rsidR="000807C1">
        <w:rPr>
          <w:lang w:val="en-GB" w:eastAsia="en-ZA"/>
        </w:rPr>
        <w:t>.</w:t>
      </w:r>
      <w:r w:rsidRPr="001C7084">
        <w:rPr>
          <w:rStyle w:val="FootnoteReference"/>
          <w:lang w:val="en-GB" w:eastAsia="en-ZA"/>
        </w:rPr>
        <w:footnoteReference w:id="32"/>
      </w:r>
      <w:r w:rsidRPr="001C7084">
        <w:rPr>
          <w:lang w:val="en-GB" w:eastAsia="en-ZA"/>
        </w:rPr>
        <w:t xml:space="preserve"> </w:t>
      </w:r>
      <w:r w:rsidR="008F67F7" w:rsidRPr="001C7084">
        <w:rPr>
          <w:lang w:val="en-GB" w:eastAsia="en-ZA"/>
        </w:rPr>
        <w:t xml:space="preserve">To </w:t>
      </w:r>
      <w:r w:rsidR="003C5737" w:rsidRPr="001C7084">
        <w:rPr>
          <w:lang w:val="en-GB" w:eastAsia="en-ZA"/>
        </w:rPr>
        <w:t>address</w:t>
      </w:r>
      <w:r w:rsidR="008F67F7" w:rsidRPr="001C7084">
        <w:rPr>
          <w:lang w:val="en-GB" w:eastAsia="en-ZA"/>
        </w:rPr>
        <w:t xml:space="preserve"> persistent poverty, inequality and vulnerability, especially in rural areas, the programme will use three complementary and integrated pathways</w:t>
      </w:r>
      <w:r w:rsidR="007608E5" w:rsidRPr="001C7084">
        <w:rPr>
          <w:lang w:val="en-GB" w:eastAsia="en-ZA"/>
        </w:rPr>
        <w:t xml:space="preserve">: </w:t>
      </w:r>
      <w:r w:rsidR="000807C1">
        <w:rPr>
          <w:lang w:val="en-GB" w:eastAsia="en-ZA"/>
        </w:rPr>
        <w:t>(</w:t>
      </w:r>
      <w:r w:rsidR="008F67F7" w:rsidRPr="001C7084">
        <w:rPr>
          <w:lang w:val="en-GB" w:eastAsia="en-ZA"/>
        </w:rPr>
        <w:t>a)</w:t>
      </w:r>
      <w:r w:rsidR="00C3135A">
        <w:rPr>
          <w:lang w:val="en-GB" w:eastAsia="en-ZA"/>
        </w:rPr>
        <w:t> </w:t>
      </w:r>
      <w:r w:rsidR="00F16790" w:rsidRPr="001C7084">
        <w:rPr>
          <w:lang w:val="en-GB" w:eastAsia="en-ZA"/>
        </w:rPr>
        <w:t xml:space="preserve">diversified employment, pro-poor income and </w:t>
      </w:r>
      <w:r w:rsidR="00605B31" w:rsidRPr="001C7084">
        <w:rPr>
          <w:lang w:val="en-GB" w:eastAsia="en-ZA"/>
        </w:rPr>
        <w:t xml:space="preserve">sustainable </w:t>
      </w:r>
      <w:r w:rsidR="00F16790" w:rsidRPr="001C7084">
        <w:rPr>
          <w:lang w:val="en-GB" w:eastAsia="en-ZA"/>
        </w:rPr>
        <w:t>livelihood</w:t>
      </w:r>
      <w:r w:rsidR="00605B31" w:rsidRPr="001C7084">
        <w:rPr>
          <w:lang w:val="en-GB" w:eastAsia="en-ZA"/>
        </w:rPr>
        <w:t>s</w:t>
      </w:r>
      <w:r w:rsidR="00F16790" w:rsidRPr="001C7084">
        <w:rPr>
          <w:lang w:val="en-GB" w:eastAsia="en-ZA"/>
        </w:rPr>
        <w:t xml:space="preserve"> for women, youth, persons with disabilities and marginali</w:t>
      </w:r>
      <w:r w:rsidR="000807C1">
        <w:rPr>
          <w:lang w:val="en-GB" w:eastAsia="en-ZA"/>
        </w:rPr>
        <w:t>z</w:t>
      </w:r>
      <w:r w:rsidR="00F16790" w:rsidRPr="001C7084">
        <w:rPr>
          <w:lang w:val="en-GB" w:eastAsia="en-ZA"/>
        </w:rPr>
        <w:t>ed population</w:t>
      </w:r>
      <w:r w:rsidR="000807C1">
        <w:rPr>
          <w:lang w:val="en-GB" w:eastAsia="en-ZA"/>
        </w:rPr>
        <w:t>s</w:t>
      </w:r>
      <w:r w:rsidR="00B36AB9" w:rsidRPr="001C7084">
        <w:rPr>
          <w:lang w:val="en-GB" w:eastAsia="en-ZA"/>
        </w:rPr>
        <w:t xml:space="preserve"> </w:t>
      </w:r>
      <w:r w:rsidR="00442421" w:rsidRPr="001C7084">
        <w:rPr>
          <w:lang w:val="en-GB" w:eastAsia="en-ZA"/>
        </w:rPr>
        <w:t>(S</w:t>
      </w:r>
      <w:r w:rsidR="000807C1">
        <w:rPr>
          <w:lang w:val="en-GB" w:eastAsia="en-ZA"/>
        </w:rPr>
        <w:t>trategic Plan</w:t>
      </w:r>
      <w:r w:rsidR="003C658B">
        <w:rPr>
          <w:lang w:val="en-GB" w:eastAsia="en-ZA"/>
        </w:rPr>
        <w:t>,</w:t>
      </w:r>
      <w:r w:rsidR="00442421" w:rsidRPr="001C7084">
        <w:rPr>
          <w:lang w:val="en-GB" w:eastAsia="en-ZA"/>
        </w:rPr>
        <w:t xml:space="preserve"> solution</w:t>
      </w:r>
      <w:r w:rsidR="00F27E1D" w:rsidRPr="001C7084">
        <w:rPr>
          <w:lang w:val="en-GB" w:eastAsia="en-ZA"/>
        </w:rPr>
        <w:t>s</w:t>
      </w:r>
      <w:r w:rsidR="00442421" w:rsidRPr="001C7084">
        <w:rPr>
          <w:lang w:val="en-GB" w:eastAsia="en-ZA"/>
        </w:rPr>
        <w:t xml:space="preserve"> 1</w:t>
      </w:r>
      <w:r w:rsidR="000807C1">
        <w:rPr>
          <w:lang w:val="en-GB" w:eastAsia="en-ZA"/>
        </w:rPr>
        <w:t xml:space="preserve"> and </w:t>
      </w:r>
      <w:r w:rsidR="00A133EF" w:rsidRPr="001C7084">
        <w:rPr>
          <w:lang w:val="en-GB" w:eastAsia="en-ZA"/>
        </w:rPr>
        <w:t>6</w:t>
      </w:r>
      <w:r w:rsidR="00DF5395" w:rsidRPr="001C7084">
        <w:rPr>
          <w:lang w:val="en-GB" w:eastAsia="en-ZA"/>
        </w:rPr>
        <w:t>)</w:t>
      </w:r>
      <w:r w:rsidR="00F16790" w:rsidRPr="001C7084">
        <w:rPr>
          <w:lang w:val="en-GB" w:eastAsia="en-ZA"/>
        </w:rPr>
        <w:t xml:space="preserve">; </w:t>
      </w:r>
      <w:r w:rsidR="000807C1">
        <w:rPr>
          <w:lang w:val="en-GB" w:eastAsia="en-ZA"/>
        </w:rPr>
        <w:t>(</w:t>
      </w:r>
      <w:r w:rsidR="007608E5" w:rsidRPr="001C7084">
        <w:rPr>
          <w:lang w:val="en-GB" w:eastAsia="en-ZA"/>
        </w:rPr>
        <w:t>b</w:t>
      </w:r>
      <w:r w:rsidR="008F67F7" w:rsidRPr="001C7084">
        <w:rPr>
          <w:lang w:val="en-GB" w:eastAsia="en-ZA"/>
        </w:rPr>
        <w:t>)</w:t>
      </w:r>
      <w:r w:rsidR="00C3135A">
        <w:rPr>
          <w:lang w:val="en-GB" w:eastAsia="en-ZA"/>
        </w:rPr>
        <w:t xml:space="preserve"> </w:t>
      </w:r>
      <w:r w:rsidR="00A133EF" w:rsidRPr="001C7084">
        <w:rPr>
          <w:lang w:val="en-GB" w:eastAsia="en-ZA"/>
        </w:rPr>
        <w:t xml:space="preserve">sustainable environmental management and </w:t>
      </w:r>
      <w:r w:rsidR="000807C1">
        <w:rPr>
          <w:lang w:val="en-GB" w:eastAsia="en-ZA"/>
        </w:rPr>
        <w:t>increas</w:t>
      </w:r>
      <w:r w:rsidR="000807C1" w:rsidRPr="001C7084">
        <w:rPr>
          <w:lang w:val="en-GB" w:eastAsia="en-ZA"/>
        </w:rPr>
        <w:t xml:space="preserve">ed </w:t>
      </w:r>
      <w:r w:rsidR="00A133EF" w:rsidRPr="001C7084">
        <w:rPr>
          <w:lang w:val="en-GB" w:eastAsia="en-ZA"/>
        </w:rPr>
        <w:t xml:space="preserve">resilience to shocks and crises </w:t>
      </w:r>
      <w:r w:rsidR="00442421" w:rsidRPr="001C7084">
        <w:rPr>
          <w:lang w:val="en-GB" w:eastAsia="en-ZA"/>
        </w:rPr>
        <w:t>(</w:t>
      </w:r>
      <w:r w:rsidR="000807C1" w:rsidRPr="009D1DD2">
        <w:rPr>
          <w:lang w:val="en-GB" w:eastAsia="en-ZA"/>
        </w:rPr>
        <w:t>S</w:t>
      </w:r>
      <w:r w:rsidR="000807C1">
        <w:rPr>
          <w:lang w:val="en-GB" w:eastAsia="en-ZA"/>
        </w:rPr>
        <w:t>trategic Plan</w:t>
      </w:r>
      <w:r w:rsidR="003C658B">
        <w:rPr>
          <w:lang w:val="en-GB" w:eastAsia="en-ZA"/>
        </w:rPr>
        <w:t>,</w:t>
      </w:r>
      <w:r w:rsidR="00442421" w:rsidRPr="001C7084">
        <w:rPr>
          <w:lang w:val="en-GB" w:eastAsia="en-ZA"/>
        </w:rPr>
        <w:t xml:space="preserve"> solutions 3,</w:t>
      </w:r>
      <w:r w:rsidR="00F27E1D" w:rsidRPr="001C7084">
        <w:rPr>
          <w:lang w:val="en-GB" w:eastAsia="en-ZA"/>
        </w:rPr>
        <w:t xml:space="preserve"> </w:t>
      </w:r>
      <w:r w:rsidR="00442421" w:rsidRPr="001C7084">
        <w:rPr>
          <w:lang w:val="en-GB" w:eastAsia="en-ZA"/>
        </w:rPr>
        <w:t>4</w:t>
      </w:r>
      <w:r w:rsidR="00A133EF" w:rsidRPr="001C7084">
        <w:rPr>
          <w:lang w:val="en-GB" w:eastAsia="en-ZA"/>
        </w:rPr>
        <w:t xml:space="preserve">, </w:t>
      </w:r>
      <w:r w:rsidR="00442421" w:rsidRPr="001C7084">
        <w:rPr>
          <w:lang w:val="en-GB" w:eastAsia="en-ZA"/>
        </w:rPr>
        <w:t>5</w:t>
      </w:r>
      <w:r w:rsidR="000807C1">
        <w:rPr>
          <w:lang w:val="en-GB" w:eastAsia="en-ZA"/>
        </w:rPr>
        <w:t xml:space="preserve"> and </w:t>
      </w:r>
      <w:r w:rsidR="00A133EF" w:rsidRPr="001C7084">
        <w:rPr>
          <w:lang w:val="en-GB" w:eastAsia="en-ZA"/>
        </w:rPr>
        <w:t>6</w:t>
      </w:r>
      <w:r w:rsidR="00442421" w:rsidRPr="001C7084">
        <w:rPr>
          <w:lang w:val="en-GB" w:eastAsia="en-ZA"/>
        </w:rPr>
        <w:t>)</w:t>
      </w:r>
      <w:r w:rsidR="00F16790" w:rsidRPr="001C7084">
        <w:rPr>
          <w:lang w:val="en-GB" w:eastAsia="en-ZA"/>
        </w:rPr>
        <w:t xml:space="preserve">; </w:t>
      </w:r>
      <w:r w:rsidR="007608E5" w:rsidRPr="001C7084">
        <w:rPr>
          <w:lang w:val="en-GB" w:eastAsia="en-ZA"/>
        </w:rPr>
        <w:t xml:space="preserve">and </w:t>
      </w:r>
      <w:r w:rsidR="000807C1">
        <w:rPr>
          <w:lang w:val="en-GB" w:eastAsia="en-ZA"/>
        </w:rPr>
        <w:t>(</w:t>
      </w:r>
      <w:r w:rsidR="007608E5" w:rsidRPr="001C7084">
        <w:rPr>
          <w:lang w:val="en-GB" w:eastAsia="en-ZA"/>
        </w:rPr>
        <w:t xml:space="preserve">c) effective, accountable and inclusive governance, promoting civic engagement and ensuring respect for human rights and </w:t>
      </w:r>
      <w:r w:rsidR="000807C1">
        <w:rPr>
          <w:lang w:val="en-GB" w:eastAsia="en-ZA"/>
        </w:rPr>
        <w:t xml:space="preserve">the </w:t>
      </w:r>
      <w:r w:rsidR="007608E5" w:rsidRPr="001C7084">
        <w:rPr>
          <w:lang w:val="en-GB" w:eastAsia="en-ZA"/>
        </w:rPr>
        <w:t>rule of law</w:t>
      </w:r>
      <w:r w:rsidR="00E31654" w:rsidRPr="001C7084">
        <w:rPr>
          <w:rStyle w:val="FootnoteReference"/>
          <w:lang w:val="en-GB" w:eastAsia="en-ZA"/>
        </w:rPr>
        <w:footnoteReference w:id="33"/>
      </w:r>
      <w:r w:rsidR="00442421" w:rsidRPr="001C7084">
        <w:rPr>
          <w:lang w:val="en-GB" w:eastAsia="en-ZA"/>
        </w:rPr>
        <w:t xml:space="preserve"> (</w:t>
      </w:r>
      <w:r w:rsidR="000807C1" w:rsidRPr="009D1DD2">
        <w:rPr>
          <w:lang w:val="en-GB" w:eastAsia="en-ZA"/>
        </w:rPr>
        <w:t>S</w:t>
      </w:r>
      <w:r w:rsidR="000807C1">
        <w:rPr>
          <w:lang w:val="en-GB" w:eastAsia="en-ZA"/>
        </w:rPr>
        <w:t>trategic Plan</w:t>
      </w:r>
      <w:r w:rsidR="003C658B">
        <w:rPr>
          <w:lang w:val="en-GB" w:eastAsia="en-ZA"/>
        </w:rPr>
        <w:t>,</w:t>
      </w:r>
      <w:r w:rsidR="00442421" w:rsidRPr="001C7084">
        <w:rPr>
          <w:lang w:val="en-GB" w:eastAsia="en-ZA"/>
        </w:rPr>
        <w:t xml:space="preserve"> solutions</w:t>
      </w:r>
      <w:r w:rsidR="00B36AB9" w:rsidRPr="001C7084">
        <w:rPr>
          <w:lang w:val="en-GB" w:eastAsia="en-ZA"/>
        </w:rPr>
        <w:t xml:space="preserve"> </w:t>
      </w:r>
      <w:r w:rsidR="00442421" w:rsidRPr="001C7084">
        <w:rPr>
          <w:lang w:val="en-GB" w:eastAsia="en-ZA"/>
        </w:rPr>
        <w:t>2</w:t>
      </w:r>
      <w:r w:rsidR="000807C1">
        <w:rPr>
          <w:lang w:val="en-GB" w:eastAsia="en-ZA"/>
        </w:rPr>
        <w:t xml:space="preserve"> and</w:t>
      </w:r>
      <w:r w:rsidR="00C538CE">
        <w:rPr>
          <w:lang w:val="en-GB" w:eastAsia="en-ZA"/>
        </w:rPr>
        <w:t xml:space="preserve"> </w:t>
      </w:r>
      <w:r w:rsidR="00442421" w:rsidRPr="001C7084">
        <w:rPr>
          <w:lang w:val="en-GB" w:eastAsia="en-ZA"/>
        </w:rPr>
        <w:t>6)</w:t>
      </w:r>
      <w:r w:rsidR="00D46AE5" w:rsidRPr="001C7084">
        <w:rPr>
          <w:lang w:val="en-GB" w:eastAsia="en-ZA"/>
        </w:rPr>
        <w:t>.</w:t>
      </w:r>
      <w:r w:rsidR="008F67F7" w:rsidRPr="001C7084">
        <w:rPr>
          <w:lang w:val="en-GB" w:eastAsia="en-ZA"/>
        </w:rPr>
        <w:t xml:space="preserve"> </w:t>
      </w:r>
    </w:p>
    <w:p w14:paraId="489DCB42" w14:textId="77777777" w:rsidR="003C5737" w:rsidRPr="001C7084" w:rsidRDefault="003C5737" w:rsidP="00816471">
      <w:pPr>
        <w:pStyle w:val="ListParagraph"/>
        <w:tabs>
          <w:tab w:val="left" w:pos="1800"/>
        </w:tabs>
        <w:ind w:left="1440" w:right="1210"/>
        <w:jc w:val="both"/>
        <w:rPr>
          <w:sz w:val="12"/>
          <w:szCs w:val="12"/>
          <w:lang w:val="en-GB" w:eastAsia="en-ZA"/>
        </w:rPr>
      </w:pPr>
    </w:p>
    <w:p w14:paraId="688B72B3" w14:textId="765D2FC5" w:rsidR="008F67F7" w:rsidRPr="001C7084" w:rsidRDefault="00077F18" w:rsidP="00816471">
      <w:pPr>
        <w:pStyle w:val="ListParagraph"/>
        <w:numPr>
          <w:ilvl w:val="0"/>
          <w:numId w:val="3"/>
        </w:numPr>
        <w:tabs>
          <w:tab w:val="left" w:pos="1800"/>
        </w:tabs>
        <w:ind w:left="1440" w:right="1210" w:firstLine="0"/>
        <w:jc w:val="both"/>
        <w:rPr>
          <w:lang w:val="en-GB" w:eastAsia="en-ZA"/>
        </w:rPr>
      </w:pPr>
      <w:r w:rsidRPr="001C7084">
        <w:rPr>
          <w:lang w:val="en-GB" w:eastAsia="en-ZA"/>
        </w:rPr>
        <w:t>Good governance</w:t>
      </w:r>
      <w:r w:rsidR="00C538CE">
        <w:rPr>
          <w:lang w:val="en-GB" w:eastAsia="en-ZA"/>
        </w:rPr>
        <w:t>,</w:t>
      </w:r>
      <w:r w:rsidRPr="001C7084">
        <w:rPr>
          <w:lang w:val="en-GB" w:eastAsia="en-ZA"/>
        </w:rPr>
        <w:t xml:space="preserve"> including data, gender equality and sustainability</w:t>
      </w:r>
      <w:r w:rsidR="00C538CE">
        <w:rPr>
          <w:lang w:val="en-GB" w:eastAsia="en-ZA"/>
        </w:rPr>
        <w:t>,</w:t>
      </w:r>
      <w:r w:rsidRPr="001C7084">
        <w:rPr>
          <w:lang w:val="en-GB" w:eastAsia="en-ZA"/>
        </w:rPr>
        <w:t xml:space="preserve"> will be addressed across the </w:t>
      </w:r>
      <w:r w:rsidR="002B2914" w:rsidRPr="001C7084">
        <w:rPr>
          <w:lang w:val="en-GB" w:eastAsia="en-ZA"/>
        </w:rPr>
        <w:t>three</w:t>
      </w:r>
      <w:r w:rsidRPr="001C7084">
        <w:rPr>
          <w:lang w:val="en-GB" w:eastAsia="en-ZA"/>
        </w:rPr>
        <w:t xml:space="preserve"> pathways, which</w:t>
      </w:r>
      <w:r w:rsidR="008F67F7" w:rsidRPr="001C7084">
        <w:rPr>
          <w:lang w:val="en-GB" w:eastAsia="en-ZA"/>
        </w:rPr>
        <w:t xml:space="preserve"> define an integrated approach to strengthen</w:t>
      </w:r>
      <w:r w:rsidR="00C538CE">
        <w:rPr>
          <w:lang w:val="en-GB" w:eastAsia="en-ZA"/>
        </w:rPr>
        <w:t>ing</w:t>
      </w:r>
      <w:r w:rsidR="008F67F7" w:rsidRPr="001C7084">
        <w:rPr>
          <w:lang w:val="en-GB" w:eastAsia="en-ZA"/>
        </w:rPr>
        <w:t xml:space="preserve"> decentralized structures and local governance systems, and enhanc</w:t>
      </w:r>
      <w:r w:rsidR="00C538CE">
        <w:rPr>
          <w:lang w:val="en-GB" w:eastAsia="en-ZA"/>
        </w:rPr>
        <w:t>ing</w:t>
      </w:r>
      <w:r w:rsidR="008F67F7" w:rsidRPr="001C7084">
        <w:rPr>
          <w:lang w:val="en-GB" w:eastAsia="en-ZA"/>
        </w:rPr>
        <w:t xml:space="preserve"> citizen engagement in decision</w:t>
      </w:r>
      <w:r w:rsidR="00C538CE">
        <w:rPr>
          <w:lang w:val="en-GB" w:eastAsia="en-ZA"/>
        </w:rPr>
        <w:t>-</w:t>
      </w:r>
      <w:r w:rsidR="008F67F7" w:rsidRPr="001C7084">
        <w:rPr>
          <w:lang w:val="en-GB" w:eastAsia="en-ZA"/>
        </w:rPr>
        <w:t xml:space="preserve">making to </w:t>
      </w:r>
      <w:r w:rsidR="00C538CE">
        <w:rPr>
          <w:lang w:val="en-GB" w:eastAsia="en-ZA"/>
        </w:rPr>
        <w:t>ensure</w:t>
      </w:r>
      <w:r w:rsidR="00C538CE" w:rsidRPr="001C7084">
        <w:rPr>
          <w:lang w:val="en-GB" w:eastAsia="en-ZA"/>
        </w:rPr>
        <w:t xml:space="preserve"> </w:t>
      </w:r>
      <w:r w:rsidR="008F67F7" w:rsidRPr="001C7084">
        <w:rPr>
          <w:lang w:val="en-GB" w:eastAsia="en-ZA"/>
        </w:rPr>
        <w:t>inclusive growth strategies.</w:t>
      </w:r>
      <w:r w:rsidRPr="001C7084">
        <w:rPr>
          <w:lang w:val="en-GB" w:eastAsia="en-ZA"/>
        </w:rPr>
        <w:t xml:space="preserve"> To </w:t>
      </w:r>
      <w:r w:rsidR="003C658B">
        <w:rPr>
          <w:lang w:val="en-GB" w:eastAsia="en-ZA"/>
        </w:rPr>
        <w:t>bridge</w:t>
      </w:r>
      <w:r w:rsidR="00C538CE" w:rsidRPr="001C7084">
        <w:rPr>
          <w:lang w:val="en-GB" w:eastAsia="en-ZA"/>
        </w:rPr>
        <w:t xml:space="preserve"> </w:t>
      </w:r>
      <w:r w:rsidRPr="001C7084">
        <w:rPr>
          <w:lang w:val="en-GB" w:eastAsia="en-ZA"/>
        </w:rPr>
        <w:t>information and data gaps and strengthen accountability, innovative solutions will be explored for disaggregated data generation and analysis</w:t>
      </w:r>
      <w:r w:rsidR="00C538CE">
        <w:rPr>
          <w:lang w:val="en-GB" w:eastAsia="en-ZA"/>
        </w:rPr>
        <w:t>,</w:t>
      </w:r>
      <w:r w:rsidRPr="001C7084">
        <w:rPr>
          <w:lang w:val="en-GB" w:eastAsia="en-ZA"/>
        </w:rPr>
        <w:t xml:space="preserve"> </w:t>
      </w:r>
      <w:r w:rsidRPr="001C7084">
        <w:rPr>
          <w:lang w:val="en-GB"/>
        </w:rPr>
        <w:t xml:space="preserve">including on disability, through </w:t>
      </w:r>
      <w:r w:rsidR="00C538CE">
        <w:rPr>
          <w:lang w:val="en-GB"/>
        </w:rPr>
        <w:t xml:space="preserve">a </w:t>
      </w:r>
      <w:r w:rsidRPr="001C7084">
        <w:rPr>
          <w:lang w:val="en-GB"/>
        </w:rPr>
        <w:t>rights</w:t>
      </w:r>
      <w:r w:rsidR="00C538CE">
        <w:rPr>
          <w:lang w:val="en-GB"/>
        </w:rPr>
        <w:t>-</w:t>
      </w:r>
      <w:r w:rsidRPr="001C7084">
        <w:rPr>
          <w:lang w:val="en-GB"/>
        </w:rPr>
        <w:t xml:space="preserve">based approach, in partnership with the </w:t>
      </w:r>
      <w:r w:rsidR="00CD049D" w:rsidRPr="001C7084">
        <w:rPr>
          <w:lang w:val="en-GB"/>
        </w:rPr>
        <w:t>Office of the Ombuds</w:t>
      </w:r>
      <w:r w:rsidR="00305560">
        <w:rPr>
          <w:lang w:val="en-GB"/>
        </w:rPr>
        <w:t>perso</w:t>
      </w:r>
      <w:r w:rsidR="00CD049D" w:rsidRPr="001C7084">
        <w:rPr>
          <w:lang w:val="en-GB"/>
        </w:rPr>
        <w:t>n</w:t>
      </w:r>
      <w:r w:rsidR="00C9268D" w:rsidRPr="001C7084">
        <w:rPr>
          <w:lang w:val="en-GB"/>
        </w:rPr>
        <w:t xml:space="preserve"> and </w:t>
      </w:r>
      <w:r w:rsidR="00C538CE">
        <w:rPr>
          <w:lang w:val="en-GB"/>
        </w:rPr>
        <w:t>the Namibia Statics Agency</w:t>
      </w:r>
      <w:r w:rsidRPr="001C7084">
        <w:rPr>
          <w:lang w:val="en-GB"/>
        </w:rPr>
        <w:t>.</w:t>
      </w:r>
      <w:r w:rsidR="002B2914" w:rsidRPr="001C7084">
        <w:rPr>
          <w:lang w:val="en-GB"/>
        </w:rPr>
        <w:t xml:space="preserve"> </w:t>
      </w:r>
      <w:r w:rsidR="008F67F7" w:rsidRPr="001C7084">
        <w:rPr>
          <w:lang w:val="en-GB" w:eastAsia="en-ZA"/>
        </w:rPr>
        <w:t xml:space="preserve">The programme will </w:t>
      </w:r>
      <w:r w:rsidR="003C658B">
        <w:rPr>
          <w:lang w:val="en-GB" w:eastAsia="en-ZA"/>
        </w:rPr>
        <w:t>focus on</w:t>
      </w:r>
      <w:r w:rsidR="008F67F7" w:rsidRPr="001C7084">
        <w:rPr>
          <w:lang w:val="en-GB" w:eastAsia="en-ZA"/>
        </w:rPr>
        <w:t xml:space="preserve"> poor </w:t>
      </w:r>
      <w:r w:rsidR="009410B7" w:rsidRPr="001C7084">
        <w:rPr>
          <w:lang w:val="en-GB"/>
        </w:rPr>
        <w:t xml:space="preserve">women and youth, the </w:t>
      </w:r>
      <w:r w:rsidR="00C80C5D" w:rsidRPr="001C7084">
        <w:rPr>
          <w:lang w:val="en-GB"/>
        </w:rPr>
        <w:t>marginali</w:t>
      </w:r>
      <w:r w:rsidR="00CB44F6">
        <w:rPr>
          <w:lang w:val="en-GB"/>
        </w:rPr>
        <w:t>z</w:t>
      </w:r>
      <w:r w:rsidR="00C80C5D" w:rsidRPr="001C7084">
        <w:rPr>
          <w:lang w:val="en-GB"/>
        </w:rPr>
        <w:t>ed</w:t>
      </w:r>
      <w:r w:rsidR="009410B7" w:rsidRPr="001C7084">
        <w:rPr>
          <w:lang w:val="en-GB"/>
        </w:rPr>
        <w:t>, and people living with disabilit</w:t>
      </w:r>
      <w:r w:rsidR="00CB44F6">
        <w:rPr>
          <w:lang w:val="en-GB"/>
        </w:rPr>
        <w:t>ies</w:t>
      </w:r>
      <w:r w:rsidR="00366EFD" w:rsidRPr="001C7084">
        <w:rPr>
          <w:lang w:val="en-GB" w:eastAsia="en-ZA"/>
        </w:rPr>
        <w:t>, e</w:t>
      </w:r>
      <w:r w:rsidR="008F67F7" w:rsidRPr="001C7084">
        <w:rPr>
          <w:lang w:val="en-GB" w:eastAsia="en-ZA"/>
        </w:rPr>
        <w:t>specially in biodiversity</w:t>
      </w:r>
      <w:r w:rsidR="004534C2">
        <w:rPr>
          <w:lang w:val="en-GB" w:eastAsia="en-ZA"/>
        </w:rPr>
        <w:t>-</w:t>
      </w:r>
      <w:r w:rsidR="008F67F7" w:rsidRPr="001C7084">
        <w:rPr>
          <w:lang w:val="en-GB" w:eastAsia="en-ZA"/>
        </w:rPr>
        <w:t>rich</w:t>
      </w:r>
      <w:r w:rsidR="00CB44F6">
        <w:rPr>
          <w:lang w:val="en-GB" w:eastAsia="en-ZA"/>
        </w:rPr>
        <w:t xml:space="preserve">, </w:t>
      </w:r>
      <w:r w:rsidR="008F67F7" w:rsidRPr="001C7084">
        <w:rPr>
          <w:lang w:val="en-GB" w:eastAsia="en-ZA"/>
        </w:rPr>
        <w:t>sensitive</w:t>
      </w:r>
      <w:r w:rsidR="00CB44F6">
        <w:rPr>
          <w:lang w:val="en-GB" w:eastAsia="en-ZA"/>
        </w:rPr>
        <w:t xml:space="preserve"> and</w:t>
      </w:r>
      <w:r w:rsidR="008F67F7" w:rsidRPr="001C7084">
        <w:rPr>
          <w:lang w:val="en-GB" w:eastAsia="en-ZA"/>
        </w:rPr>
        <w:t xml:space="preserve"> disaster-prone areas</w:t>
      </w:r>
      <w:r w:rsidR="00300E22" w:rsidRPr="001C7084">
        <w:rPr>
          <w:lang w:val="en-GB" w:eastAsia="en-ZA"/>
        </w:rPr>
        <w:t xml:space="preserve"> (</w:t>
      </w:r>
      <w:r w:rsidR="00CB44F6" w:rsidRPr="009D1DD2">
        <w:rPr>
          <w:lang w:val="en-GB" w:eastAsia="en-ZA"/>
        </w:rPr>
        <w:t>Kavango East, Kavango West</w:t>
      </w:r>
      <w:r w:rsidR="00CB44F6">
        <w:rPr>
          <w:lang w:val="en-GB" w:eastAsia="en-ZA"/>
        </w:rPr>
        <w:t xml:space="preserve">, </w:t>
      </w:r>
      <w:r w:rsidR="00300E22" w:rsidRPr="001C7084">
        <w:rPr>
          <w:lang w:val="en-GB" w:eastAsia="en-ZA"/>
        </w:rPr>
        <w:t xml:space="preserve">Ohangwena, </w:t>
      </w:r>
      <w:r w:rsidR="00CB44F6" w:rsidRPr="009D1DD2">
        <w:rPr>
          <w:lang w:val="en-GB" w:eastAsia="en-ZA"/>
        </w:rPr>
        <w:t xml:space="preserve">Omusati, Oshana, </w:t>
      </w:r>
      <w:r w:rsidR="00300E22" w:rsidRPr="001C7084">
        <w:rPr>
          <w:lang w:val="en-GB" w:eastAsia="en-ZA"/>
        </w:rPr>
        <w:t xml:space="preserve">Oshikoto, </w:t>
      </w:r>
      <w:r w:rsidR="00CB44F6">
        <w:rPr>
          <w:lang w:val="en-GB" w:eastAsia="en-ZA"/>
        </w:rPr>
        <w:t>and Zambezi</w:t>
      </w:r>
      <w:r w:rsidR="00F07317" w:rsidRPr="001C7084">
        <w:rPr>
          <w:lang w:val="en-GB" w:eastAsia="en-ZA"/>
        </w:rPr>
        <w:t>)</w:t>
      </w:r>
      <w:r w:rsidR="00CB44F6">
        <w:rPr>
          <w:lang w:val="en-GB" w:eastAsia="en-ZA"/>
        </w:rPr>
        <w:t xml:space="preserve"> and</w:t>
      </w:r>
      <w:r w:rsidR="008F67F7" w:rsidRPr="001C7084">
        <w:rPr>
          <w:lang w:val="en-GB" w:eastAsia="en-ZA"/>
        </w:rPr>
        <w:t xml:space="preserve"> wildlife corridors</w:t>
      </w:r>
      <w:r w:rsidR="00F07317" w:rsidRPr="001C7084">
        <w:rPr>
          <w:lang w:val="en-GB" w:eastAsia="en-ZA"/>
        </w:rPr>
        <w:t xml:space="preserve"> (K</w:t>
      </w:r>
      <w:r w:rsidR="00F33AAE" w:rsidRPr="001C7084">
        <w:rPr>
          <w:lang w:val="en-GB" w:eastAsia="en-ZA"/>
        </w:rPr>
        <w:t>avango</w:t>
      </w:r>
      <w:r w:rsidR="00CB44F6">
        <w:rPr>
          <w:lang w:val="en-GB" w:eastAsia="en-ZA"/>
        </w:rPr>
        <w:t>-</w:t>
      </w:r>
      <w:r w:rsidR="00F33AAE" w:rsidRPr="001C7084">
        <w:rPr>
          <w:lang w:val="en-GB" w:eastAsia="en-ZA"/>
        </w:rPr>
        <w:t>Zambezi Transfrontier Conservation Area</w:t>
      </w:r>
      <w:r w:rsidR="00F07317" w:rsidRPr="001C7084">
        <w:rPr>
          <w:lang w:val="en-GB" w:eastAsia="en-ZA"/>
        </w:rPr>
        <w:t xml:space="preserve">, </w:t>
      </w:r>
      <w:r w:rsidR="00F33AAE" w:rsidRPr="001C7084">
        <w:rPr>
          <w:lang w:val="en-GB" w:eastAsia="en-ZA"/>
        </w:rPr>
        <w:t>Ai-Ais-Richtersveld Transfrontier Parks,</w:t>
      </w:r>
      <w:r w:rsidR="00CB44F6">
        <w:rPr>
          <w:lang w:val="en-GB" w:eastAsia="en-ZA"/>
        </w:rPr>
        <w:t xml:space="preserve"> and the </w:t>
      </w:r>
      <w:r w:rsidR="00F33AAE" w:rsidRPr="001C7084">
        <w:rPr>
          <w:lang w:val="en-GB" w:eastAsia="en-ZA"/>
        </w:rPr>
        <w:t>Skel</w:t>
      </w:r>
      <w:r w:rsidR="00CB44F6">
        <w:rPr>
          <w:lang w:val="en-GB" w:eastAsia="en-ZA"/>
        </w:rPr>
        <w:t>e</w:t>
      </w:r>
      <w:r w:rsidR="00F33AAE" w:rsidRPr="001C7084">
        <w:rPr>
          <w:lang w:val="en-GB" w:eastAsia="en-ZA"/>
        </w:rPr>
        <w:t>ton Coast Park)</w:t>
      </w:r>
      <w:r w:rsidR="009410B7" w:rsidRPr="001C7084">
        <w:rPr>
          <w:lang w:val="en-GB" w:eastAsia="en-ZA"/>
        </w:rPr>
        <w:t xml:space="preserve">, </w:t>
      </w:r>
      <w:r w:rsidR="008F67F7" w:rsidRPr="001C7084">
        <w:rPr>
          <w:lang w:val="en-GB" w:eastAsia="en-ZA"/>
        </w:rPr>
        <w:t>where improve</w:t>
      </w:r>
      <w:r w:rsidR="003C658B">
        <w:rPr>
          <w:lang w:val="en-GB" w:eastAsia="en-ZA"/>
        </w:rPr>
        <w:t xml:space="preserve">d </w:t>
      </w:r>
      <w:r w:rsidR="008F67F7" w:rsidRPr="001C7084">
        <w:rPr>
          <w:lang w:val="en-GB" w:eastAsia="en-ZA"/>
        </w:rPr>
        <w:t xml:space="preserve">resilience </w:t>
      </w:r>
      <w:r w:rsidR="00C3135A">
        <w:rPr>
          <w:lang w:val="en-GB" w:eastAsia="en-ZA"/>
        </w:rPr>
        <w:t>to shocks and access to employment,</w:t>
      </w:r>
      <w:r w:rsidR="008F67F7" w:rsidRPr="001C7084">
        <w:rPr>
          <w:lang w:val="en-GB" w:eastAsia="en-ZA"/>
        </w:rPr>
        <w:t xml:space="preserve"> water and clean energy are </w:t>
      </w:r>
      <w:r w:rsidR="003C658B">
        <w:rPr>
          <w:lang w:val="en-GB" w:eastAsia="en-ZA"/>
        </w:rPr>
        <w:t>needed</w:t>
      </w:r>
      <w:r w:rsidR="008F67F7" w:rsidRPr="001C7084">
        <w:rPr>
          <w:lang w:val="en-GB" w:eastAsia="en-ZA"/>
        </w:rPr>
        <w:t>.</w:t>
      </w:r>
    </w:p>
    <w:p w14:paraId="747AB985" w14:textId="77777777" w:rsidR="00D6489D" w:rsidRPr="00680AA3" w:rsidRDefault="00D6489D" w:rsidP="00816471">
      <w:pPr>
        <w:pStyle w:val="ListParagraph"/>
        <w:widowControl w:val="0"/>
        <w:shd w:val="clear" w:color="auto" w:fill="FFFFFF"/>
        <w:tabs>
          <w:tab w:val="left" w:pos="1080"/>
          <w:tab w:val="left" w:pos="1800"/>
        </w:tabs>
        <w:adjustRightInd w:val="0"/>
        <w:ind w:left="1440" w:right="1210"/>
        <w:jc w:val="both"/>
        <w:textAlignment w:val="baseline"/>
        <w:rPr>
          <w:sz w:val="12"/>
          <w:szCs w:val="12"/>
          <w:lang w:val="en-GB" w:eastAsia="en-ZA"/>
        </w:rPr>
      </w:pPr>
    </w:p>
    <w:p w14:paraId="40614487" w14:textId="114173E3" w:rsidR="00154B06" w:rsidRPr="00680AA3" w:rsidRDefault="00154B06" w:rsidP="00A8633A">
      <w:pPr>
        <w:widowControl w:val="0"/>
        <w:shd w:val="clear" w:color="auto" w:fill="FFFFFF"/>
        <w:tabs>
          <w:tab w:val="left" w:pos="1080"/>
          <w:tab w:val="left" w:pos="1800"/>
        </w:tabs>
        <w:adjustRightInd w:val="0"/>
        <w:spacing w:after="120"/>
        <w:ind w:left="1440" w:right="1210"/>
        <w:jc w:val="both"/>
        <w:textAlignment w:val="baseline"/>
        <w:rPr>
          <w:b/>
          <w:lang w:val="en-GB" w:eastAsia="en-ZA"/>
        </w:rPr>
      </w:pPr>
      <w:r w:rsidRPr="00680AA3">
        <w:rPr>
          <w:b/>
          <w:lang w:val="en-GB" w:eastAsia="en-ZA"/>
        </w:rPr>
        <w:t>Sustainable</w:t>
      </w:r>
      <w:r w:rsidR="007863CB" w:rsidRPr="00680AA3">
        <w:rPr>
          <w:b/>
          <w:lang w:val="en-GB" w:eastAsia="en-ZA"/>
        </w:rPr>
        <w:t>,</w:t>
      </w:r>
      <w:r w:rsidRPr="00680AA3">
        <w:rPr>
          <w:b/>
          <w:lang w:val="en-GB" w:eastAsia="en-ZA"/>
        </w:rPr>
        <w:t xml:space="preserve"> </w:t>
      </w:r>
      <w:r w:rsidR="001A059D" w:rsidRPr="00680AA3">
        <w:rPr>
          <w:b/>
          <w:lang w:val="en-GB" w:eastAsia="en-ZA"/>
        </w:rPr>
        <w:t>i</w:t>
      </w:r>
      <w:r w:rsidRPr="00680AA3">
        <w:rPr>
          <w:b/>
          <w:lang w:val="en-GB" w:eastAsia="en-ZA"/>
        </w:rPr>
        <w:t xml:space="preserve">nclusive and </w:t>
      </w:r>
      <w:r w:rsidR="001A059D" w:rsidRPr="00680AA3">
        <w:rPr>
          <w:b/>
          <w:lang w:val="en-GB" w:eastAsia="en-ZA"/>
        </w:rPr>
        <w:t>g</w:t>
      </w:r>
      <w:r w:rsidRPr="00680AA3">
        <w:rPr>
          <w:b/>
          <w:lang w:val="en-GB" w:eastAsia="en-ZA"/>
        </w:rPr>
        <w:t xml:space="preserve">reen </w:t>
      </w:r>
      <w:r w:rsidR="001A059D" w:rsidRPr="00680AA3">
        <w:rPr>
          <w:b/>
          <w:lang w:val="en-GB" w:eastAsia="en-ZA"/>
        </w:rPr>
        <w:t>g</w:t>
      </w:r>
      <w:r w:rsidRPr="00680AA3">
        <w:rPr>
          <w:b/>
          <w:lang w:val="en-GB" w:eastAsia="en-ZA"/>
        </w:rPr>
        <w:t>rowth</w:t>
      </w:r>
    </w:p>
    <w:p w14:paraId="4E4AF70D" w14:textId="088A71B5" w:rsidR="008F67F7" w:rsidRPr="00680AA3" w:rsidRDefault="008F67F7" w:rsidP="00680AA3">
      <w:pPr>
        <w:pStyle w:val="ListParagraph"/>
        <w:tabs>
          <w:tab w:val="left" w:pos="1800"/>
        </w:tabs>
        <w:spacing w:after="120"/>
        <w:ind w:left="1440" w:right="1210"/>
        <w:jc w:val="both"/>
        <w:rPr>
          <w:b/>
          <w:i/>
          <w:lang w:val="en-GB"/>
        </w:rPr>
      </w:pPr>
      <w:r w:rsidRPr="00680AA3">
        <w:rPr>
          <w:b/>
          <w:i/>
          <w:lang w:val="en-GB"/>
        </w:rPr>
        <w:t xml:space="preserve">Diversified employment, pro-poor income and </w:t>
      </w:r>
      <w:r w:rsidR="005A6632" w:rsidRPr="00680AA3">
        <w:rPr>
          <w:b/>
          <w:i/>
          <w:lang w:val="en-GB"/>
        </w:rPr>
        <w:t xml:space="preserve">sustainable </w:t>
      </w:r>
      <w:r w:rsidRPr="00680AA3">
        <w:rPr>
          <w:b/>
          <w:i/>
          <w:lang w:val="en-GB"/>
        </w:rPr>
        <w:t>livelihood</w:t>
      </w:r>
      <w:r w:rsidR="005A6632" w:rsidRPr="00680AA3">
        <w:rPr>
          <w:b/>
          <w:i/>
          <w:lang w:val="en-GB"/>
        </w:rPr>
        <w:t>s</w:t>
      </w:r>
      <w:r w:rsidRPr="00680AA3">
        <w:rPr>
          <w:b/>
          <w:i/>
          <w:lang w:val="en-GB"/>
        </w:rPr>
        <w:t xml:space="preserve"> for women, youth</w:t>
      </w:r>
      <w:r w:rsidR="00A928E0" w:rsidRPr="00680AA3">
        <w:rPr>
          <w:b/>
          <w:i/>
          <w:lang w:val="en-GB"/>
        </w:rPr>
        <w:t>, persons with disabilities</w:t>
      </w:r>
      <w:r w:rsidRPr="00680AA3">
        <w:rPr>
          <w:b/>
          <w:i/>
          <w:lang w:val="en-GB"/>
        </w:rPr>
        <w:t xml:space="preserve"> and marginalized population</w:t>
      </w:r>
      <w:r w:rsidR="008214B8">
        <w:rPr>
          <w:b/>
          <w:i/>
          <w:lang w:val="en-GB"/>
        </w:rPr>
        <w:t>s</w:t>
      </w:r>
    </w:p>
    <w:p w14:paraId="3C1E2FB1" w14:textId="0EB7376D" w:rsidR="008F67F7" w:rsidRPr="001C7084" w:rsidRDefault="00763CD6" w:rsidP="00816471">
      <w:pPr>
        <w:numPr>
          <w:ilvl w:val="0"/>
          <w:numId w:val="3"/>
        </w:numPr>
        <w:tabs>
          <w:tab w:val="left" w:pos="1800"/>
        </w:tabs>
        <w:spacing w:after="120"/>
        <w:ind w:left="1440" w:right="1210" w:firstLine="0"/>
        <w:jc w:val="both"/>
        <w:rPr>
          <w:lang w:val="en-GB"/>
        </w:rPr>
      </w:pPr>
      <w:r w:rsidRPr="001C7084">
        <w:rPr>
          <w:lang w:val="en-GB"/>
        </w:rPr>
        <w:t>Building on its su</w:t>
      </w:r>
      <w:r w:rsidR="00A8285A" w:rsidRPr="001C7084">
        <w:rPr>
          <w:lang w:val="en-GB"/>
        </w:rPr>
        <w:t xml:space="preserve">pport to developing the </w:t>
      </w:r>
      <w:r w:rsidR="00D6489D">
        <w:rPr>
          <w:lang w:val="en-GB"/>
        </w:rPr>
        <w:t>Blueprint</w:t>
      </w:r>
      <w:r w:rsidR="00D6489D" w:rsidRPr="00D6489D">
        <w:rPr>
          <w:lang w:val="en-GB" w:eastAsia="en-ZA"/>
        </w:rPr>
        <w:t xml:space="preserve"> </w:t>
      </w:r>
      <w:r w:rsidR="00D6489D" w:rsidRPr="009D1DD2">
        <w:rPr>
          <w:lang w:val="en-GB" w:eastAsia="en-ZA"/>
        </w:rPr>
        <w:t>on Wealth Redistribution and Poverty Eradication</w:t>
      </w:r>
      <w:r w:rsidR="00747893" w:rsidRPr="001C7084">
        <w:rPr>
          <w:lang w:val="en-GB"/>
        </w:rPr>
        <w:t xml:space="preserve">, </w:t>
      </w:r>
      <w:r w:rsidR="003B6696" w:rsidRPr="001C7084">
        <w:rPr>
          <w:lang w:val="en-GB"/>
        </w:rPr>
        <w:t>UNDP</w:t>
      </w:r>
      <w:r w:rsidR="008F67F7" w:rsidRPr="001C7084">
        <w:rPr>
          <w:lang w:val="en-GB"/>
        </w:rPr>
        <w:t xml:space="preserve"> will strengthen </w:t>
      </w:r>
      <w:r w:rsidR="00F00403" w:rsidRPr="001C7084">
        <w:rPr>
          <w:lang w:val="en-GB"/>
        </w:rPr>
        <w:t xml:space="preserve">the </w:t>
      </w:r>
      <w:r w:rsidR="008F67F7" w:rsidRPr="001C7084">
        <w:rPr>
          <w:lang w:val="en-GB"/>
        </w:rPr>
        <w:t>institutional framework</w:t>
      </w:r>
      <w:r w:rsidR="003B6696" w:rsidRPr="001C7084">
        <w:rPr>
          <w:lang w:val="en-GB"/>
        </w:rPr>
        <w:t>s</w:t>
      </w:r>
      <w:r w:rsidR="008F67F7" w:rsidRPr="001C7084">
        <w:rPr>
          <w:lang w:val="en-GB"/>
        </w:rPr>
        <w:t xml:space="preserve"> </w:t>
      </w:r>
      <w:r w:rsidR="00747893" w:rsidRPr="001C7084">
        <w:rPr>
          <w:lang w:val="en-GB"/>
        </w:rPr>
        <w:t>for</w:t>
      </w:r>
      <w:r w:rsidR="007E7FA8" w:rsidRPr="001C7084">
        <w:rPr>
          <w:lang w:val="en-GB"/>
        </w:rPr>
        <w:t xml:space="preserve"> </w:t>
      </w:r>
      <w:r w:rsidR="008F67F7" w:rsidRPr="001C7084">
        <w:rPr>
          <w:lang w:val="en-GB"/>
        </w:rPr>
        <w:t>inclusive growth strategies</w:t>
      </w:r>
      <w:r w:rsidR="00D6489D">
        <w:rPr>
          <w:lang w:val="en-GB"/>
        </w:rPr>
        <w:t>.</w:t>
      </w:r>
      <w:r w:rsidR="008F67F7" w:rsidRPr="001C7084">
        <w:rPr>
          <w:lang w:val="en-GB"/>
        </w:rPr>
        <w:t xml:space="preserve"> </w:t>
      </w:r>
      <w:r w:rsidR="00C3135A">
        <w:rPr>
          <w:lang w:val="en-GB"/>
        </w:rPr>
        <w:t>It will</w:t>
      </w:r>
      <w:r w:rsidR="008F67F7" w:rsidRPr="001C7084">
        <w:rPr>
          <w:lang w:val="en-GB"/>
        </w:rPr>
        <w:t xml:space="preserve"> </w:t>
      </w:r>
      <w:r w:rsidR="00C3135A">
        <w:rPr>
          <w:lang w:val="en-GB"/>
        </w:rPr>
        <w:t>introduce</w:t>
      </w:r>
      <w:r w:rsidR="008F67F7" w:rsidRPr="001C7084">
        <w:rPr>
          <w:lang w:val="en-GB"/>
        </w:rPr>
        <w:t xml:space="preserve"> entrepreneurial and sustainable business models </w:t>
      </w:r>
      <w:r w:rsidR="007809C6" w:rsidRPr="001C7084">
        <w:rPr>
          <w:lang w:val="en-GB"/>
        </w:rPr>
        <w:t>consist</w:t>
      </w:r>
      <w:r w:rsidR="008214B8">
        <w:rPr>
          <w:lang w:val="en-GB"/>
        </w:rPr>
        <w:t>ing</w:t>
      </w:r>
      <w:r w:rsidR="007809C6" w:rsidRPr="001C7084">
        <w:rPr>
          <w:lang w:val="en-GB"/>
        </w:rPr>
        <w:t xml:space="preserve"> of a comprehensive package of services and interventions to improve efficiency</w:t>
      </w:r>
      <w:r w:rsidR="00D6489D">
        <w:rPr>
          <w:lang w:val="en-GB"/>
        </w:rPr>
        <w:t xml:space="preserve"> </w:t>
      </w:r>
      <w:r w:rsidR="00291826">
        <w:rPr>
          <w:lang w:val="en-GB"/>
        </w:rPr>
        <w:t xml:space="preserve">and </w:t>
      </w:r>
      <w:r w:rsidR="00291826" w:rsidRPr="001C7084">
        <w:rPr>
          <w:lang w:val="en-GB"/>
        </w:rPr>
        <w:t>enhance</w:t>
      </w:r>
      <w:r w:rsidR="00D6489D">
        <w:rPr>
          <w:lang w:val="en-GB"/>
        </w:rPr>
        <w:t xml:space="preserve"> the</w:t>
      </w:r>
      <w:r w:rsidR="007809C6" w:rsidRPr="001C7084">
        <w:rPr>
          <w:lang w:val="en-GB"/>
        </w:rPr>
        <w:t xml:space="preserve"> competitiveness </w:t>
      </w:r>
      <w:r w:rsidR="00F31F1E" w:rsidRPr="001C7084">
        <w:rPr>
          <w:lang w:val="en-GB"/>
        </w:rPr>
        <w:t>and</w:t>
      </w:r>
      <w:r w:rsidR="007809C6" w:rsidRPr="001C7084">
        <w:rPr>
          <w:lang w:val="en-GB"/>
        </w:rPr>
        <w:t xml:space="preserve"> profitability of </w:t>
      </w:r>
      <w:r w:rsidR="00D6489D">
        <w:rPr>
          <w:lang w:val="en-GB"/>
        </w:rPr>
        <w:t>m</w:t>
      </w:r>
      <w:r w:rsidR="00C32802" w:rsidRPr="001C7084">
        <w:rPr>
          <w:lang w:val="en-GB"/>
        </w:rPr>
        <w:t>icro</w:t>
      </w:r>
      <w:r w:rsidR="00D6489D">
        <w:rPr>
          <w:lang w:val="en-GB"/>
        </w:rPr>
        <w:t>-</w:t>
      </w:r>
      <w:r w:rsidR="00C32802" w:rsidRPr="001C7084">
        <w:rPr>
          <w:lang w:val="en-GB"/>
        </w:rPr>
        <w:t xml:space="preserve">, </w:t>
      </w:r>
      <w:r w:rsidR="00D6489D">
        <w:rPr>
          <w:lang w:val="en-GB"/>
        </w:rPr>
        <w:t>s</w:t>
      </w:r>
      <w:r w:rsidR="00C32802" w:rsidRPr="001C7084">
        <w:rPr>
          <w:lang w:val="en-GB"/>
        </w:rPr>
        <w:t xml:space="preserve">mall and </w:t>
      </w:r>
      <w:r w:rsidR="00D6489D">
        <w:rPr>
          <w:lang w:val="en-GB"/>
        </w:rPr>
        <w:t>m</w:t>
      </w:r>
      <w:r w:rsidR="00C32802" w:rsidRPr="001C7084">
        <w:rPr>
          <w:lang w:val="en-GB"/>
        </w:rPr>
        <w:t xml:space="preserve">edium </w:t>
      </w:r>
      <w:r w:rsidR="00D6489D">
        <w:rPr>
          <w:lang w:val="en-GB"/>
        </w:rPr>
        <w:t>e</w:t>
      </w:r>
      <w:r w:rsidR="00C32802" w:rsidRPr="001C7084">
        <w:rPr>
          <w:lang w:val="en-GB"/>
        </w:rPr>
        <w:t>nterprise</w:t>
      </w:r>
      <w:r w:rsidR="00F31F1E" w:rsidRPr="001C7084">
        <w:rPr>
          <w:lang w:val="en-GB"/>
        </w:rPr>
        <w:t>s</w:t>
      </w:r>
      <w:r w:rsidR="008F67F7" w:rsidRPr="001C7084">
        <w:rPr>
          <w:lang w:val="en-GB"/>
        </w:rPr>
        <w:t xml:space="preserve">. </w:t>
      </w:r>
      <w:r w:rsidR="009D0B21">
        <w:rPr>
          <w:lang w:val="en-GB"/>
        </w:rPr>
        <w:t>T</w:t>
      </w:r>
      <w:r w:rsidR="008F67F7" w:rsidRPr="001C7084">
        <w:rPr>
          <w:lang w:val="en-GB"/>
        </w:rPr>
        <w:t xml:space="preserve">he programme will </w:t>
      </w:r>
      <w:r w:rsidR="007E7FA8" w:rsidRPr="001C7084">
        <w:rPr>
          <w:lang w:val="en-GB"/>
        </w:rPr>
        <w:t>leverage</w:t>
      </w:r>
      <w:r w:rsidR="008F67F7" w:rsidRPr="001C7084">
        <w:rPr>
          <w:lang w:val="en-GB"/>
        </w:rPr>
        <w:t xml:space="preserve"> South-South </w:t>
      </w:r>
      <w:r w:rsidR="009D0B21">
        <w:rPr>
          <w:lang w:val="en-GB"/>
        </w:rPr>
        <w:t>c</w:t>
      </w:r>
      <w:r w:rsidR="008F67F7" w:rsidRPr="001C7084">
        <w:rPr>
          <w:lang w:val="en-GB"/>
        </w:rPr>
        <w:t xml:space="preserve">ooperation </w:t>
      </w:r>
      <w:r w:rsidR="00281788" w:rsidRPr="001C7084">
        <w:rPr>
          <w:lang w:val="en-GB"/>
        </w:rPr>
        <w:t xml:space="preserve">through partners such as the </w:t>
      </w:r>
      <w:r w:rsidR="009D0B21" w:rsidRPr="001C7084">
        <w:rPr>
          <w:lang w:val="en-GB"/>
        </w:rPr>
        <w:t>E</w:t>
      </w:r>
      <w:r w:rsidR="009D0B21">
        <w:rPr>
          <w:lang w:val="en-GB"/>
        </w:rPr>
        <w:t>mpretec</w:t>
      </w:r>
      <w:r w:rsidR="009D0B21" w:rsidRPr="001C7084">
        <w:rPr>
          <w:lang w:val="en-GB"/>
        </w:rPr>
        <w:t xml:space="preserve"> </w:t>
      </w:r>
      <w:r w:rsidR="00281788" w:rsidRPr="001C7084">
        <w:rPr>
          <w:lang w:val="en-GB"/>
        </w:rPr>
        <w:t>Foundation</w:t>
      </w:r>
      <w:r w:rsidR="009D0B21">
        <w:rPr>
          <w:lang w:val="en-GB"/>
        </w:rPr>
        <w:t>,</w:t>
      </w:r>
      <w:r w:rsidR="00281788" w:rsidRPr="001C7084">
        <w:rPr>
          <w:lang w:val="en-GB"/>
        </w:rPr>
        <w:t xml:space="preserve"> and </w:t>
      </w:r>
      <w:r w:rsidR="008214B8">
        <w:rPr>
          <w:lang w:val="en-GB"/>
        </w:rPr>
        <w:t xml:space="preserve">will </w:t>
      </w:r>
      <w:r w:rsidR="00281788" w:rsidRPr="001C7084">
        <w:rPr>
          <w:lang w:val="en-GB"/>
        </w:rPr>
        <w:t xml:space="preserve">use </w:t>
      </w:r>
      <w:r w:rsidR="009D0B21">
        <w:rPr>
          <w:lang w:val="en-GB"/>
        </w:rPr>
        <w:t xml:space="preserve">the </w:t>
      </w:r>
      <w:r w:rsidR="004E2E3A" w:rsidRPr="001C7084">
        <w:rPr>
          <w:lang w:val="en-GB"/>
        </w:rPr>
        <w:t>UNDP s</w:t>
      </w:r>
      <w:r w:rsidR="00A8285A" w:rsidRPr="001C7084">
        <w:rPr>
          <w:lang w:val="en-GB"/>
        </w:rPr>
        <w:t>olutions exchange platform</w:t>
      </w:r>
      <w:r w:rsidR="009D0B21">
        <w:rPr>
          <w:lang w:val="en-GB"/>
        </w:rPr>
        <w:t xml:space="preserve"> ‘</w:t>
      </w:r>
      <w:r w:rsidR="009D0B21" w:rsidRPr="009D1DD2">
        <w:rPr>
          <w:lang w:val="en-GB"/>
        </w:rPr>
        <w:t>SSMart</w:t>
      </w:r>
      <w:r w:rsidR="009D0B21">
        <w:rPr>
          <w:lang w:val="en-GB"/>
        </w:rPr>
        <w:t>’</w:t>
      </w:r>
      <w:r w:rsidR="00A8285A" w:rsidRPr="001C7084">
        <w:rPr>
          <w:lang w:val="en-GB"/>
        </w:rPr>
        <w:t xml:space="preserve"> </w:t>
      </w:r>
      <w:r w:rsidR="007E7FA8" w:rsidRPr="001C7084">
        <w:rPr>
          <w:lang w:val="en-GB"/>
        </w:rPr>
        <w:t>to</w:t>
      </w:r>
      <w:r w:rsidR="008F67F7" w:rsidRPr="001C7084">
        <w:rPr>
          <w:lang w:val="en-GB"/>
        </w:rPr>
        <w:t xml:space="preserve"> creat</w:t>
      </w:r>
      <w:r w:rsidR="007E7FA8" w:rsidRPr="001C7084">
        <w:rPr>
          <w:lang w:val="en-GB"/>
        </w:rPr>
        <w:t>e</w:t>
      </w:r>
      <w:r w:rsidR="008F67F7" w:rsidRPr="001C7084">
        <w:rPr>
          <w:lang w:val="en-GB"/>
        </w:rPr>
        <w:t xml:space="preserve"> a pool of internationally accredited </w:t>
      </w:r>
      <w:r w:rsidR="007E7FA8" w:rsidRPr="001C7084">
        <w:rPr>
          <w:lang w:val="en-GB"/>
        </w:rPr>
        <w:t>Namibian experts</w:t>
      </w:r>
      <w:r w:rsidR="008F67F7" w:rsidRPr="001C7084">
        <w:rPr>
          <w:lang w:val="en-GB"/>
        </w:rPr>
        <w:t xml:space="preserve">. </w:t>
      </w:r>
    </w:p>
    <w:p w14:paraId="30988F31" w14:textId="62880C78" w:rsidR="007A33A2" w:rsidRPr="001C7084" w:rsidRDefault="005C14DC" w:rsidP="00816471">
      <w:pPr>
        <w:numPr>
          <w:ilvl w:val="0"/>
          <w:numId w:val="3"/>
        </w:numPr>
        <w:tabs>
          <w:tab w:val="left" w:pos="1800"/>
        </w:tabs>
        <w:ind w:left="1440" w:right="1210" w:firstLine="0"/>
        <w:contextualSpacing/>
        <w:jc w:val="both"/>
        <w:rPr>
          <w:lang w:val="en-GB"/>
        </w:rPr>
      </w:pPr>
      <w:r w:rsidRPr="001C7084">
        <w:rPr>
          <w:lang w:val="en-GB"/>
        </w:rPr>
        <w:lastRenderedPageBreak/>
        <w:t xml:space="preserve">UNDP will facilitate enterprise formation to </w:t>
      </w:r>
      <w:r w:rsidR="00C3135A">
        <w:rPr>
          <w:lang w:val="en-GB"/>
        </w:rPr>
        <w:t>ensure</w:t>
      </w:r>
      <w:r w:rsidRPr="001C7084">
        <w:rPr>
          <w:lang w:val="en-GB"/>
        </w:rPr>
        <w:t xml:space="preserve"> equitable </w:t>
      </w:r>
      <w:r w:rsidR="009D0B21" w:rsidRPr="009D1DD2">
        <w:rPr>
          <w:lang w:val="en-GB"/>
        </w:rPr>
        <w:t xml:space="preserve">income </w:t>
      </w:r>
      <w:r w:rsidRPr="001C7084">
        <w:rPr>
          <w:lang w:val="en-GB"/>
        </w:rPr>
        <w:t>distribution among women, youth, persons with disabilities and marginalized population</w:t>
      </w:r>
      <w:r w:rsidR="009D0B21">
        <w:rPr>
          <w:lang w:val="en-GB"/>
        </w:rPr>
        <w:t>s</w:t>
      </w:r>
      <w:r w:rsidR="00C3135A">
        <w:rPr>
          <w:lang w:val="en-GB"/>
        </w:rPr>
        <w:t>,</w:t>
      </w:r>
      <w:r w:rsidR="00B636E2">
        <w:rPr>
          <w:lang w:val="en-GB"/>
        </w:rPr>
        <w:t xml:space="preserve"> in collaboration with national partners</w:t>
      </w:r>
      <w:r w:rsidR="00C3135A">
        <w:rPr>
          <w:lang w:val="en-GB"/>
        </w:rPr>
        <w:t>,</w:t>
      </w:r>
      <w:r w:rsidR="00B636E2">
        <w:rPr>
          <w:lang w:val="en-GB"/>
        </w:rPr>
        <w:t xml:space="preserve"> including private sectors and academia</w:t>
      </w:r>
      <w:r w:rsidR="009D0B21">
        <w:rPr>
          <w:lang w:val="en-GB"/>
        </w:rPr>
        <w:t>.</w:t>
      </w:r>
      <w:r w:rsidR="00C11969" w:rsidRPr="001C7084">
        <w:rPr>
          <w:lang w:val="en-GB"/>
        </w:rPr>
        <w:t xml:space="preserve"> This will be achieved</w:t>
      </w:r>
      <w:r w:rsidR="00747893" w:rsidRPr="001C7084">
        <w:rPr>
          <w:lang w:val="en-GB"/>
        </w:rPr>
        <w:t xml:space="preserve"> in partnership with other </w:t>
      </w:r>
      <w:r w:rsidR="008214B8">
        <w:rPr>
          <w:lang w:val="en-GB"/>
        </w:rPr>
        <w:t>United Nations o</w:t>
      </w:r>
      <w:r w:rsidR="009D0B21">
        <w:rPr>
          <w:lang w:val="en-GB"/>
        </w:rPr>
        <w:t>rganization</w:t>
      </w:r>
      <w:r w:rsidR="00747893" w:rsidRPr="001C7084">
        <w:rPr>
          <w:lang w:val="en-GB"/>
        </w:rPr>
        <w:t>s</w:t>
      </w:r>
      <w:r w:rsidR="009D0B21">
        <w:rPr>
          <w:lang w:val="en-GB"/>
        </w:rPr>
        <w:t>,</w:t>
      </w:r>
      <w:r w:rsidR="00747893" w:rsidRPr="001C7084">
        <w:rPr>
          <w:lang w:val="en-GB"/>
        </w:rPr>
        <w:t xml:space="preserve"> such as </w:t>
      </w:r>
      <w:r w:rsidR="009D0B21">
        <w:rPr>
          <w:lang w:val="en-GB"/>
        </w:rPr>
        <w:t xml:space="preserve">the International Labour </w:t>
      </w:r>
      <w:r w:rsidR="00353063">
        <w:rPr>
          <w:lang w:val="en-GB"/>
        </w:rPr>
        <w:t>Organization</w:t>
      </w:r>
      <w:r w:rsidR="00747893" w:rsidRPr="001C7084">
        <w:rPr>
          <w:lang w:val="en-GB"/>
        </w:rPr>
        <w:t>,</w:t>
      </w:r>
      <w:r w:rsidR="00C11969" w:rsidRPr="001C7084">
        <w:rPr>
          <w:lang w:val="en-GB"/>
        </w:rPr>
        <w:t xml:space="preserve"> by supporting </w:t>
      </w:r>
      <w:r w:rsidR="008F67F7" w:rsidRPr="001C7084">
        <w:rPr>
          <w:lang w:val="en-GB"/>
        </w:rPr>
        <w:t>diversification of the economy</w:t>
      </w:r>
      <w:r w:rsidR="00F70D4D" w:rsidRPr="001C7084">
        <w:rPr>
          <w:lang w:val="en-GB"/>
        </w:rPr>
        <w:t xml:space="preserve"> </w:t>
      </w:r>
      <w:r w:rsidR="00281788" w:rsidRPr="001C7084">
        <w:rPr>
          <w:lang w:val="en-GB"/>
        </w:rPr>
        <w:t>through coordinated localized entrepreneurship skills</w:t>
      </w:r>
      <w:r w:rsidR="00F00403" w:rsidRPr="001C7084">
        <w:rPr>
          <w:lang w:val="en-GB"/>
        </w:rPr>
        <w:t>,</w:t>
      </w:r>
      <w:r w:rsidR="00281788" w:rsidRPr="001C7084">
        <w:rPr>
          <w:lang w:val="en-GB"/>
        </w:rPr>
        <w:t xml:space="preserve"> </w:t>
      </w:r>
      <w:r w:rsidR="00C11969" w:rsidRPr="001C7084">
        <w:rPr>
          <w:lang w:val="en-GB"/>
        </w:rPr>
        <w:t xml:space="preserve">local </w:t>
      </w:r>
      <w:r w:rsidR="00281788" w:rsidRPr="001C7084">
        <w:rPr>
          <w:lang w:val="en-GB"/>
        </w:rPr>
        <w:t>content</w:t>
      </w:r>
      <w:r w:rsidR="00C11969" w:rsidRPr="001C7084">
        <w:rPr>
          <w:lang w:val="en-GB"/>
        </w:rPr>
        <w:t xml:space="preserve"> development,</w:t>
      </w:r>
      <w:r w:rsidR="00281788" w:rsidRPr="001C7084">
        <w:rPr>
          <w:lang w:val="en-GB"/>
        </w:rPr>
        <w:t xml:space="preserve"> and busines</w:t>
      </w:r>
      <w:r w:rsidR="00C11969" w:rsidRPr="001C7084">
        <w:rPr>
          <w:lang w:val="en-GB"/>
        </w:rPr>
        <w:t xml:space="preserve">s development support services. </w:t>
      </w:r>
      <w:r w:rsidR="008F67F7" w:rsidRPr="001C7084">
        <w:rPr>
          <w:lang w:val="en-GB"/>
        </w:rPr>
        <w:t xml:space="preserve">UNDP will ensure </w:t>
      </w:r>
      <w:r w:rsidR="00353063">
        <w:rPr>
          <w:lang w:val="en-GB"/>
        </w:rPr>
        <w:t xml:space="preserve">the </w:t>
      </w:r>
      <w:r w:rsidR="008F67F7" w:rsidRPr="001C7084">
        <w:rPr>
          <w:lang w:val="en-GB"/>
        </w:rPr>
        <w:t xml:space="preserve">sustainability of private sector growth and employment creation </w:t>
      </w:r>
      <w:r w:rsidR="00353063">
        <w:rPr>
          <w:lang w:val="en-GB"/>
        </w:rPr>
        <w:t>through micro-, small and medium-</w:t>
      </w:r>
      <w:r w:rsidR="00C3135A">
        <w:rPr>
          <w:lang w:val="en-GB"/>
        </w:rPr>
        <w:t>sized</w:t>
      </w:r>
      <w:r w:rsidR="00353063">
        <w:rPr>
          <w:lang w:val="en-GB"/>
        </w:rPr>
        <w:t xml:space="preserve"> enterprises</w:t>
      </w:r>
      <w:r w:rsidR="008F67F7" w:rsidRPr="001C7084">
        <w:rPr>
          <w:lang w:val="en-GB"/>
        </w:rPr>
        <w:t xml:space="preserve"> </w:t>
      </w:r>
      <w:r w:rsidR="0063055F" w:rsidRPr="001C7084">
        <w:rPr>
          <w:lang w:val="en-GB"/>
        </w:rPr>
        <w:t xml:space="preserve">by </w:t>
      </w:r>
      <w:r w:rsidR="00747893" w:rsidRPr="001C7084">
        <w:rPr>
          <w:lang w:val="en-GB"/>
        </w:rPr>
        <w:t xml:space="preserve">supporting </w:t>
      </w:r>
      <w:r w:rsidR="008F67F7" w:rsidRPr="001C7084">
        <w:rPr>
          <w:lang w:val="en-GB"/>
        </w:rPr>
        <w:t>coordination</w:t>
      </w:r>
      <w:r w:rsidR="00747893" w:rsidRPr="001C7084">
        <w:rPr>
          <w:lang w:val="en-GB"/>
        </w:rPr>
        <w:t xml:space="preserve"> between the Ministr</w:t>
      </w:r>
      <w:r w:rsidR="00C32802" w:rsidRPr="001C7084">
        <w:rPr>
          <w:lang w:val="en-GB"/>
        </w:rPr>
        <w:t>y</w:t>
      </w:r>
      <w:r w:rsidR="00747893" w:rsidRPr="001C7084">
        <w:rPr>
          <w:lang w:val="en-GB"/>
        </w:rPr>
        <w:t xml:space="preserve"> of Industr</w:t>
      </w:r>
      <w:r w:rsidR="00C32802" w:rsidRPr="001C7084">
        <w:rPr>
          <w:lang w:val="en-GB"/>
        </w:rPr>
        <w:t xml:space="preserve">ialization, </w:t>
      </w:r>
      <w:r w:rsidR="00EA3EEA" w:rsidRPr="001C7084">
        <w:rPr>
          <w:lang w:val="en-GB"/>
        </w:rPr>
        <w:t>Trade</w:t>
      </w:r>
      <w:r w:rsidR="00C32802" w:rsidRPr="001C7084">
        <w:rPr>
          <w:lang w:val="en-GB"/>
        </w:rPr>
        <w:t xml:space="preserve"> </w:t>
      </w:r>
      <w:r w:rsidR="00353063">
        <w:rPr>
          <w:lang w:val="en-GB"/>
        </w:rPr>
        <w:t>and</w:t>
      </w:r>
      <w:r w:rsidR="00353063" w:rsidRPr="001C7084">
        <w:rPr>
          <w:lang w:val="en-GB"/>
        </w:rPr>
        <w:t xml:space="preserve"> </w:t>
      </w:r>
      <w:r w:rsidR="00C32802" w:rsidRPr="001C7084">
        <w:rPr>
          <w:lang w:val="en-GB"/>
        </w:rPr>
        <w:t>SME Development</w:t>
      </w:r>
      <w:r w:rsidR="008A0C44" w:rsidRPr="001C7084">
        <w:rPr>
          <w:lang w:val="en-GB"/>
        </w:rPr>
        <w:t xml:space="preserve"> </w:t>
      </w:r>
      <w:r w:rsidR="00C32802" w:rsidRPr="001C7084">
        <w:rPr>
          <w:lang w:val="en-GB"/>
        </w:rPr>
        <w:t xml:space="preserve">and </w:t>
      </w:r>
      <w:r w:rsidR="00353063">
        <w:rPr>
          <w:lang w:val="en-GB"/>
        </w:rPr>
        <w:t xml:space="preserve">the </w:t>
      </w:r>
      <w:r w:rsidR="00C32802" w:rsidRPr="001C7084">
        <w:rPr>
          <w:lang w:val="en-GB"/>
        </w:rPr>
        <w:t xml:space="preserve">Ministry of </w:t>
      </w:r>
      <w:r w:rsidR="00747893" w:rsidRPr="001C7084">
        <w:rPr>
          <w:lang w:val="en-GB"/>
        </w:rPr>
        <w:t>Poverty</w:t>
      </w:r>
      <w:r w:rsidR="00C32802" w:rsidRPr="001C7084">
        <w:rPr>
          <w:lang w:val="en-GB"/>
        </w:rPr>
        <w:t xml:space="preserve"> Eradication and Social Welfare</w:t>
      </w:r>
      <w:r w:rsidR="00353063">
        <w:rPr>
          <w:lang w:val="en-GB"/>
        </w:rPr>
        <w:t>.</w:t>
      </w:r>
      <w:r w:rsidR="008F67F7" w:rsidRPr="001C7084">
        <w:rPr>
          <w:lang w:val="en-GB"/>
        </w:rPr>
        <w:t xml:space="preserve"> </w:t>
      </w:r>
      <w:r w:rsidR="001706E3" w:rsidRPr="001C7084">
        <w:rPr>
          <w:lang w:val="en-GB"/>
        </w:rPr>
        <w:t>UNDP will</w:t>
      </w:r>
      <w:r w:rsidR="00E37228" w:rsidRPr="001C7084">
        <w:rPr>
          <w:lang w:val="en-GB"/>
        </w:rPr>
        <w:t xml:space="preserve"> </w:t>
      </w:r>
      <w:r w:rsidR="001706E3" w:rsidRPr="001C7084">
        <w:rPr>
          <w:lang w:val="en-GB"/>
        </w:rPr>
        <w:t>provide policy advice</w:t>
      </w:r>
      <w:r w:rsidR="00747893" w:rsidRPr="001C7084">
        <w:rPr>
          <w:lang w:val="en-GB"/>
        </w:rPr>
        <w:t xml:space="preserve"> and conduct research</w:t>
      </w:r>
      <w:r w:rsidR="004534C2">
        <w:rPr>
          <w:lang w:val="en-GB"/>
        </w:rPr>
        <w:t>,</w:t>
      </w:r>
      <w:r w:rsidR="001706E3" w:rsidRPr="001C7084">
        <w:rPr>
          <w:lang w:val="en-GB"/>
        </w:rPr>
        <w:t xml:space="preserve"> explor</w:t>
      </w:r>
      <w:r w:rsidR="004534C2">
        <w:rPr>
          <w:lang w:val="en-GB"/>
        </w:rPr>
        <w:t>ing</w:t>
      </w:r>
      <w:r w:rsidR="001706E3" w:rsidRPr="001C7084">
        <w:rPr>
          <w:lang w:val="en-GB"/>
        </w:rPr>
        <w:t xml:space="preserve"> new strategies </w:t>
      </w:r>
      <w:r w:rsidR="0046090E" w:rsidRPr="001C7084">
        <w:rPr>
          <w:lang w:val="en-GB"/>
        </w:rPr>
        <w:t>such as basic income grant</w:t>
      </w:r>
      <w:r w:rsidR="006279EE">
        <w:rPr>
          <w:lang w:val="en-GB"/>
        </w:rPr>
        <w:t>s</w:t>
      </w:r>
      <w:r w:rsidR="0046090E" w:rsidRPr="001C7084">
        <w:rPr>
          <w:lang w:val="en-GB"/>
        </w:rPr>
        <w:t xml:space="preserve"> </w:t>
      </w:r>
      <w:r w:rsidR="001706E3" w:rsidRPr="001C7084">
        <w:rPr>
          <w:lang w:val="en-GB"/>
        </w:rPr>
        <w:t xml:space="preserve">for </w:t>
      </w:r>
      <w:r w:rsidR="005A5009" w:rsidRPr="001C7084">
        <w:rPr>
          <w:lang w:val="en-GB"/>
        </w:rPr>
        <w:t xml:space="preserve">pro-poor interventions </w:t>
      </w:r>
      <w:r w:rsidR="007D3781" w:rsidRPr="001C7084">
        <w:rPr>
          <w:lang w:val="en-GB"/>
        </w:rPr>
        <w:t xml:space="preserve">to </w:t>
      </w:r>
      <w:r w:rsidR="00747893" w:rsidRPr="001C7084">
        <w:rPr>
          <w:lang w:val="en-GB"/>
        </w:rPr>
        <w:t>reduc</w:t>
      </w:r>
      <w:r w:rsidR="007D3781" w:rsidRPr="001C7084">
        <w:rPr>
          <w:lang w:val="en-GB"/>
        </w:rPr>
        <w:t>e</w:t>
      </w:r>
      <w:r w:rsidR="00747893" w:rsidRPr="001C7084">
        <w:rPr>
          <w:lang w:val="en-GB"/>
        </w:rPr>
        <w:t xml:space="preserve"> inequality</w:t>
      </w:r>
      <w:r w:rsidR="001706E3" w:rsidRPr="001C7084">
        <w:rPr>
          <w:lang w:val="en-GB"/>
        </w:rPr>
        <w:t xml:space="preserve">. </w:t>
      </w:r>
    </w:p>
    <w:p w14:paraId="697E8BDF" w14:textId="77777777" w:rsidR="007A33A2" w:rsidRPr="001C7084" w:rsidRDefault="007A33A2" w:rsidP="00816471">
      <w:pPr>
        <w:tabs>
          <w:tab w:val="left" w:pos="1800"/>
        </w:tabs>
        <w:ind w:left="1440" w:right="1210"/>
        <w:contextualSpacing/>
        <w:jc w:val="both"/>
        <w:rPr>
          <w:sz w:val="12"/>
          <w:szCs w:val="12"/>
          <w:lang w:val="en-GB"/>
        </w:rPr>
      </w:pPr>
    </w:p>
    <w:p w14:paraId="73887896" w14:textId="3AE8B035" w:rsidR="007A33A2" w:rsidRPr="001C7084" w:rsidRDefault="00A133EF" w:rsidP="00816471">
      <w:pPr>
        <w:tabs>
          <w:tab w:val="left" w:pos="1800"/>
        </w:tabs>
        <w:ind w:left="1440" w:right="1210"/>
        <w:contextualSpacing/>
        <w:jc w:val="both"/>
        <w:rPr>
          <w:b/>
          <w:i/>
          <w:lang w:val="en-GB"/>
        </w:rPr>
      </w:pPr>
      <w:r w:rsidRPr="001C7084">
        <w:rPr>
          <w:b/>
          <w:i/>
          <w:lang w:val="en-GB"/>
        </w:rPr>
        <w:t xml:space="preserve">Sustainable environmental management and </w:t>
      </w:r>
      <w:r w:rsidR="004534C2">
        <w:rPr>
          <w:b/>
          <w:i/>
          <w:lang w:val="en-GB"/>
        </w:rPr>
        <w:t>increased</w:t>
      </w:r>
      <w:r w:rsidR="004534C2" w:rsidRPr="001C7084">
        <w:rPr>
          <w:b/>
          <w:i/>
          <w:lang w:val="en-GB"/>
        </w:rPr>
        <w:t xml:space="preserve"> </w:t>
      </w:r>
      <w:r w:rsidR="00840669" w:rsidRPr="001C7084">
        <w:rPr>
          <w:b/>
          <w:i/>
          <w:lang w:val="en-GB"/>
        </w:rPr>
        <w:t>resilience to shocks and crises</w:t>
      </w:r>
    </w:p>
    <w:p w14:paraId="5E824825" w14:textId="77777777" w:rsidR="007A33A2" w:rsidRPr="001C7084" w:rsidRDefault="007A33A2" w:rsidP="00816471">
      <w:pPr>
        <w:tabs>
          <w:tab w:val="left" w:pos="1800"/>
        </w:tabs>
        <w:ind w:left="1440" w:right="1210"/>
        <w:contextualSpacing/>
        <w:jc w:val="both"/>
        <w:rPr>
          <w:sz w:val="12"/>
          <w:szCs w:val="12"/>
          <w:lang w:val="en-GB"/>
        </w:rPr>
      </w:pPr>
    </w:p>
    <w:p w14:paraId="363632D5" w14:textId="0B8CDD59" w:rsidR="007A33A2" w:rsidRPr="001C7084" w:rsidRDefault="007A33A2" w:rsidP="00816471">
      <w:pPr>
        <w:numPr>
          <w:ilvl w:val="0"/>
          <w:numId w:val="3"/>
        </w:numPr>
        <w:tabs>
          <w:tab w:val="left" w:pos="1800"/>
        </w:tabs>
        <w:spacing w:after="240"/>
        <w:ind w:left="1440" w:right="1210" w:firstLine="0"/>
        <w:contextualSpacing/>
        <w:jc w:val="both"/>
        <w:rPr>
          <w:lang w:val="en-GB"/>
        </w:rPr>
      </w:pPr>
      <w:r w:rsidRPr="001C7084">
        <w:rPr>
          <w:lang w:val="en-GB"/>
        </w:rPr>
        <w:t>This path</w:t>
      </w:r>
      <w:r w:rsidR="00C3135A" w:rsidRPr="001C7084">
        <w:rPr>
          <w:lang w:val="en-GB"/>
        </w:rPr>
        <w:t xml:space="preserve"> to economic, social and environmental resilience</w:t>
      </w:r>
      <w:r w:rsidRPr="001C7084">
        <w:rPr>
          <w:lang w:val="en-GB"/>
        </w:rPr>
        <w:t xml:space="preserve"> is underpinned by investments in environment, sustainable natural resource management, climate change adaptation, </w:t>
      </w:r>
      <w:r w:rsidR="006279EE">
        <w:rPr>
          <w:lang w:val="en-GB"/>
        </w:rPr>
        <w:t xml:space="preserve">and </w:t>
      </w:r>
      <w:r w:rsidRPr="001C7084">
        <w:rPr>
          <w:lang w:val="en-GB"/>
        </w:rPr>
        <w:t xml:space="preserve">disaster risk reduction and management. The focus will be on building resilience through adaptation, and </w:t>
      </w:r>
      <w:r w:rsidR="004534C2">
        <w:rPr>
          <w:lang w:val="en-GB"/>
        </w:rPr>
        <w:t xml:space="preserve">reducing </w:t>
      </w:r>
      <w:r w:rsidRPr="001C7084">
        <w:rPr>
          <w:lang w:val="en-GB"/>
        </w:rPr>
        <w:t>disaster risk by strengthening the technical and functional capacities of inter</w:t>
      </w:r>
      <w:r w:rsidR="006279EE">
        <w:rPr>
          <w:lang w:val="en-GB"/>
        </w:rPr>
        <w:t>-</w:t>
      </w:r>
      <w:r w:rsidRPr="001C7084">
        <w:rPr>
          <w:lang w:val="en-GB"/>
        </w:rPr>
        <w:t xml:space="preserve">sectoral environmental coordination </w:t>
      </w:r>
      <w:r w:rsidR="00840669" w:rsidRPr="001C7084">
        <w:rPr>
          <w:lang w:val="en-GB"/>
        </w:rPr>
        <w:t>bodies</w:t>
      </w:r>
      <w:r w:rsidRPr="001C7084">
        <w:rPr>
          <w:lang w:val="en-GB"/>
        </w:rPr>
        <w:t xml:space="preserve">. </w:t>
      </w:r>
      <w:r w:rsidR="006279EE">
        <w:rPr>
          <w:lang w:val="en-GB"/>
        </w:rPr>
        <w:t>In</w:t>
      </w:r>
      <w:r w:rsidRPr="001C7084">
        <w:rPr>
          <w:lang w:val="en-GB"/>
        </w:rPr>
        <w:t xml:space="preserve"> scal</w:t>
      </w:r>
      <w:r w:rsidR="006279EE">
        <w:rPr>
          <w:lang w:val="en-GB"/>
        </w:rPr>
        <w:t>ing</w:t>
      </w:r>
      <w:r w:rsidRPr="001C7084">
        <w:rPr>
          <w:lang w:val="en-GB"/>
        </w:rPr>
        <w:t xml:space="preserve"> up policy implementation and systems </w:t>
      </w:r>
      <w:r w:rsidR="006279EE">
        <w:rPr>
          <w:lang w:val="en-GB"/>
        </w:rPr>
        <w:t>UNDP will</w:t>
      </w:r>
      <w:r w:rsidR="006279EE" w:rsidRPr="001C7084">
        <w:rPr>
          <w:lang w:val="en-GB"/>
        </w:rPr>
        <w:t xml:space="preserve"> </w:t>
      </w:r>
      <w:r w:rsidR="00A8285A" w:rsidRPr="001C7084">
        <w:rPr>
          <w:lang w:val="en-GB"/>
        </w:rPr>
        <w:t>support</w:t>
      </w:r>
      <w:r w:rsidRPr="001C7084">
        <w:rPr>
          <w:lang w:val="en-GB"/>
        </w:rPr>
        <w:t xml:space="preserve"> </w:t>
      </w:r>
      <w:r w:rsidR="004534C2">
        <w:rPr>
          <w:lang w:val="en-GB"/>
        </w:rPr>
        <w:t xml:space="preserve">the </w:t>
      </w:r>
      <w:r w:rsidRPr="001C7084">
        <w:rPr>
          <w:lang w:val="en-GB"/>
        </w:rPr>
        <w:t>improvement</w:t>
      </w:r>
      <w:r w:rsidR="00A8285A" w:rsidRPr="001C7084">
        <w:rPr>
          <w:lang w:val="en-GB"/>
        </w:rPr>
        <w:t xml:space="preserve"> </w:t>
      </w:r>
      <w:r w:rsidRPr="001C7084">
        <w:rPr>
          <w:lang w:val="en-GB"/>
        </w:rPr>
        <w:t xml:space="preserve">of national coordination mechanisms such as the sustainable development advisory council and </w:t>
      </w:r>
      <w:r w:rsidR="004534C2">
        <w:rPr>
          <w:lang w:val="en-GB"/>
        </w:rPr>
        <w:t>the p</w:t>
      </w:r>
      <w:r w:rsidRPr="001C7084">
        <w:rPr>
          <w:lang w:val="en-GB"/>
        </w:rPr>
        <w:t xml:space="preserve">arliamentary standing committee on natural resources. Ecosystem management and sustainable use of natural resources will be prioritized by strengthening </w:t>
      </w:r>
      <w:r w:rsidR="004534C2">
        <w:rPr>
          <w:lang w:val="en-GB"/>
        </w:rPr>
        <w:t>the</w:t>
      </w:r>
      <w:r w:rsidR="004534C2" w:rsidRPr="001C7084">
        <w:rPr>
          <w:lang w:val="en-GB"/>
        </w:rPr>
        <w:t xml:space="preserve"> </w:t>
      </w:r>
      <w:r w:rsidRPr="001C7084">
        <w:rPr>
          <w:lang w:val="en-GB"/>
        </w:rPr>
        <w:t>technical and institutional capacit</w:t>
      </w:r>
      <w:r w:rsidR="004534C2">
        <w:rPr>
          <w:lang w:val="en-GB"/>
        </w:rPr>
        <w:t>ies</w:t>
      </w:r>
      <w:r w:rsidRPr="001C7084">
        <w:rPr>
          <w:lang w:val="en-GB"/>
        </w:rPr>
        <w:t xml:space="preserve"> of national and community-based entities. </w:t>
      </w:r>
      <w:r w:rsidR="006279EE">
        <w:rPr>
          <w:lang w:val="en-GB"/>
        </w:rPr>
        <w:t>P</w:t>
      </w:r>
      <w:r w:rsidRPr="001C7084">
        <w:rPr>
          <w:lang w:val="en-GB"/>
        </w:rPr>
        <w:t xml:space="preserve">rogramme actions </w:t>
      </w:r>
      <w:r w:rsidR="006279EE">
        <w:rPr>
          <w:lang w:val="en-GB"/>
        </w:rPr>
        <w:t>will</w:t>
      </w:r>
      <w:r w:rsidR="006279EE" w:rsidRPr="001C7084">
        <w:rPr>
          <w:lang w:val="en-GB"/>
        </w:rPr>
        <w:t xml:space="preserve"> </w:t>
      </w:r>
      <w:r w:rsidRPr="001C7084">
        <w:rPr>
          <w:lang w:val="en-GB"/>
        </w:rPr>
        <w:t>integrate environmental, disaster risk reduction and climate change issues into national, subnational and sectoral development policies, strategies and programmes</w:t>
      </w:r>
      <w:r w:rsidR="00C3135A">
        <w:rPr>
          <w:lang w:val="en-GB"/>
        </w:rPr>
        <w:t xml:space="preserve"> </w:t>
      </w:r>
      <w:r w:rsidRPr="001C7084">
        <w:rPr>
          <w:lang w:val="en-GB"/>
        </w:rPr>
        <w:t xml:space="preserve">in </w:t>
      </w:r>
      <w:r w:rsidR="004534C2">
        <w:rPr>
          <w:lang w:val="en-GB"/>
        </w:rPr>
        <w:t xml:space="preserve">the </w:t>
      </w:r>
      <w:r w:rsidR="004E3C47" w:rsidRPr="001C7084">
        <w:rPr>
          <w:lang w:val="en-GB"/>
        </w:rPr>
        <w:t>areas</w:t>
      </w:r>
      <w:r w:rsidR="00E37228" w:rsidRPr="001C7084">
        <w:rPr>
          <w:lang w:val="en-GB"/>
        </w:rPr>
        <w:t xml:space="preserve"> of</w:t>
      </w:r>
      <w:r w:rsidRPr="001C7084">
        <w:rPr>
          <w:lang w:val="en-GB"/>
        </w:rPr>
        <w:t xml:space="preserve"> agriculture, biodiversity, energy, land, tourism, water, entrepreneurship, trade</w:t>
      </w:r>
      <w:r w:rsidR="004534C2">
        <w:rPr>
          <w:lang w:val="en-GB"/>
        </w:rPr>
        <w:t>,</w:t>
      </w:r>
      <w:r w:rsidRPr="001C7084">
        <w:rPr>
          <w:lang w:val="en-GB"/>
        </w:rPr>
        <w:t xml:space="preserve"> and industrialization. Transformative interventions such as </w:t>
      </w:r>
      <w:r w:rsidR="004534C2">
        <w:rPr>
          <w:lang w:val="en-GB"/>
        </w:rPr>
        <w:t xml:space="preserve">the </w:t>
      </w:r>
      <w:r w:rsidR="008F37F7" w:rsidRPr="001C7084">
        <w:rPr>
          <w:lang w:val="en-GB"/>
        </w:rPr>
        <w:t xml:space="preserve">Windhoek Managed Aquifer Recharge System and </w:t>
      </w:r>
      <w:r w:rsidR="004534C2">
        <w:rPr>
          <w:lang w:val="en-GB"/>
        </w:rPr>
        <w:t xml:space="preserve">the </w:t>
      </w:r>
      <w:r w:rsidR="008F37F7" w:rsidRPr="001C7084">
        <w:rPr>
          <w:lang w:val="en-GB"/>
        </w:rPr>
        <w:t xml:space="preserve">Namibia Integrated Landscape Approach for Enhancing Livelihoods and Environmental Governance to Eradicate Poverty </w:t>
      </w:r>
      <w:r w:rsidR="00840669" w:rsidRPr="001C7084">
        <w:rPr>
          <w:lang w:val="en-GB"/>
        </w:rPr>
        <w:t>will</w:t>
      </w:r>
      <w:r w:rsidRPr="001C7084">
        <w:rPr>
          <w:lang w:val="en-GB"/>
        </w:rPr>
        <w:t xml:space="preserve"> be pursued </w:t>
      </w:r>
      <w:r w:rsidR="006279EE">
        <w:rPr>
          <w:lang w:val="en-GB"/>
        </w:rPr>
        <w:t>so that</w:t>
      </w:r>
      <w:r w:rsidRPr="001C7084">
        <w:rPr>
          <w:lang w:val="en-GB"/>
        </w:rPr>
        <w:t xml:space="preserve"> poor communities and marginali</w:t>
      </w:r>
      <w:r w:rsidR="004534C2">
        <w:rPr>
          <w:lang w:val="en-GB"/>
        </w:rPr>
        <w:t>z</w:t>
      </w:r>
      <w:r w:rsidRPr="001C7084">
        <w:rPr>
          <w:lang w:val="en-GB"/>
        </w:rPr>
        <w:t>ed groups living in and around biodiversity</w:t>
      </w:r>
      <w:r w:rsidR="004534C2">
        <w:rPr>
          <w:lang w:val="en-GB"/>
        </w:rPr>
        <w:t>-</w:t>
      </w:r>
      <w:r w:rsidRPr="001C7084">
        <w:rPr>
          <w:lang w:val="en-GB"/>
        </w:rPr>
        <w:t>rich</w:t>
      </w:r>
      <w:r w:rsidR="004534C2">
        <w:rPr>
          <w:lang w:val="en-GB"/>
        </w:rPr>
        <w:t xml:space="preserve"> and </w:t>
      </w:r>
      <w:r w:rsidRPr="001C7084">
        <w:rPr>
          <w:lang w:val="en-GB"/>
        </w:rPr>
        <w:t xml:space="preserve">sensitive areas </w:t>
      </w:r>
      <w:r w:rsidR="006279EE">
        <w:rPr>
          <w:lang w:val="en-GB"/>
        </w:rPr>
        <w:t>can</w:t>
      </w:r>
      <w:r w:rsidR="006279EE" w:rsidRPr="001C7084">
        <w:rPr>
          <w:lang w:val="en-GB"/>
        </w:rPr>
        <w:t xml:space="preserve"> </w:t>
      </w:r>
      <w:r w:rsidRPr="001C7084">
        <w:rPr>
          <w:lang w:val="en-GB"/>
        </w:rPr>
        <w:t xml:space="preserve">benefit from ecosystem services. </w:t>
      </w:r>
    </w:p>
    <w:p w14:paraId="28FF18C6" w14:textId="77777777" w:rsidR="008A0C44" w:rsidRPr="001C7084" w:rsidRDefault="008A0C44" w:rsidP="00816471">
      <w:pPr>
        <w:tabs>
          <w:tab w:val="left" w:pos="1800"/>
        </w:tabs>
        <w:spacing w:after="240"/>
        <w:ind w:left="1440" w:right="1210"/>
        <w:contextualSpacing/>
        <w:jc w:val="both"/>
        <w:rPr>
          <w:sz w:val="12"/>
          <w:szCs w:val="12"/>
          <w:lang w:val="en-GB"/>
        </w:rPr>
      </w:pPr>
    </w:p>
    <w:p w14:paraId="5848D85D" w14:textId="3B51C6EA" w:rsidR="007A33A2" w:rsidRPr="001C7084" w:rsidRDefault="007A33A2" w:rsidP="00816471">
      <w:pPr>
        <w:numPr>
          <w:ilvl w:val="0"/>
          <w:numId w:val="3"/>
        </w:numPr>
        <w:tabs>
          <w:tab w:val="left" w:pos="1800"/>
        </w:tabs>
        <w:spacing w:after="240"/>
        <w:ind w:left="1440" w:right="1210" w:firstLine="0"/>
        <w:contextualSpacing/>
        <w:jc w:val="both"/>
        <w:rPr>
          <w:lang w:val="en-GB"/>
        </w:rPr>
      </w:pPr>
      <w:r w:rsidRPr="001C7084">
        <w:rPr>
          <w:lang w:val="en-GB"/>
        </w:rPr>
        <w:t xml:space="preserve">Development partners and donors, including </w:t>
      </w:r>
      <w:r w:rsidR="00E839F2">
        <w:rPr>
          <w:lang w:val="en-GB"/>
        </w:rPr>
        <w:t xml:space="preserve">the </w:t>
      </w:r>
      <w:r w:rsidR="00E839F2" w:rsidRPr="000378B4">
        <w:rPr>
          <w:lang w:val="en-GB"/>
        </w:rPr>
        <w:t>Green Climate Fund</w:t>
      </w:r>
      <w:r w:rsidRPr="001C7084">
        <w:rPr>
          <w:lang w:val="en-GB"/>
        </w:rPr>
        <w:t xml:space="preserve"> and </w:t>
      </w:r>
      <w:r w:rsidR="008F37F7" w:rsidRPr="001C7084">
        <w:rPr>
          <w:lang w:val="en-GB"/>
        </w:rPr>
        <w:t xml:space="preserve">the </w:t>
      </w:r>
      <w:r w:rsidRPr="001C7084">
        <w:rPr>
          <w:lang w:val="en-GB"/>
        </w:rPr>
        <w:t>GEF</w:t>
      </w:r>
      <w:r w:rsidR="004534C2">
        <w:rPr>
          <w:lang w:val="en-GB"/>
        </w:rPr>
        <w:t>,</w:t>
      </w:r>
      <w:r w:rsidRPr="001C7084">
        <w:rPr>
          <w:lang w:val="en-GB"/>
        </w:rPr>
        <w:t xml:space="preserve"> will support </w:t>
      </w:r>
      <w:r w:rsidR="00AE7358" w:rsidRPr="001C7084">
        <w:rPr>
          <w:lang w:val="en-GB"/>
        </w:rPr>
        <w:t xml:space="preserve">these </w:t>
      </w:r>
      <w:r w:rsidRPr="001C7084">
        <w:rPr>
          <w:lang w:val="en-GB"/>
        </w:rPr>
        <w:t xml:space="preserve">two initiatives. UNDP will promote effective design and uptake of financial resources for Climate Change Adaptation and Mitigation. To advance climate change actions and accelerate national access towards climate finance, </w:t>
      </w:r>
      <w:r w:rsidR="00AE7358" w:rsidRPr="001C7084">
        <w:rPr>
          <w:lang w:val="en-GB"/>
        </w:rPr>
        <w:t>it</w:t>
      </w:r>
      <w:r w:rsidRPr="001C7084">
        <w:rPr>
          <w:lang w:val="en-GB"/>
        </w:rPr>
        <w:t xml:space="preserve"> will </w:t>
      </w:r>
      <w:r w:rsidR="00AE7358" w:rsidRPr="001C7084">
        <w:rPr>
          <w:lang w:val="en-GB"/>
        </w:rPr>
        <w:t>support</w:t>
      </w:r>
      <w:r w:rsidRPr="001C7084">
        <w:rPr>
          <w:lang w:val="en-GB"/>
        </w:rPr>
        <w:t xml:space="preserve"> the implementation of national policy instruments and frameworks through partnerships with other </w:t>
      </w:r>
      <w:r w:rsidR="00CB454F">
        <w:rPr>
          <w:lang w:val="en-GB"/>
        </w:rPr>
        <w:t>United Nations organizations</w:t>
      </w:r>
      <w:r w:rsidRPr="001C7084">
        <w:rPr>
          <w:lang w:val="en-GB"/>
        </w:rPr>
        <w:t xml:space="preserve">, national partners, </w:t>
      </w:r>
      <w:r w:rsidR="00CB454F">
        <w:rPr>
          <w:lang w:val="en-GB"/>
        </w:rPr>
        <w:t xml:space="preserve">and </w:t>
      </w:r>
      <w:r w:rsidRPr="001C7084">
        <w:rPr>
          <w:lang w:val="en-GB"/>
        </w:rPr>
        <w:t xml:space="preserve">regional and international funds. UNDP will </w:t>
      </w:r>
      <w:r w:rsidR="00CB454F" w:rsidRPr="001C7084">
        <w:rPr>
          <w:lang w:val="en-GB"/>
        </w:rPr>
        <w:t>e</w:t>
      </w:r>
      <w:r w:rsidR="00CB454F">
        <w:rPr>
          <w:lang w:val="en-GB"/>
        </w:rPr>
        <w:t>xpand the</w:t>
      </w:r>
      <w:r w:rsidR="00CB454F" w:rsidRPr="001C7084">
        <w:rPr>
          <w:lang w:val="en-GB"/>
        </w:rPr>
        <w:t xml:space="preserve"> </w:t>
      </w:r>
      <w:r w:rsidRPr="001C7084">
        <w:rPr>
          <w:lang w:val="en-GB"/>
        </w:rPr>
        <w:t xml:space="preserve">implementation and management capacities of non-governmental institutions and national climate financing recipients to meet international environmental and social </w:t>
      </w:r>
      <w:r w:rsidR="00840669" w:rsidRPr="001C7084">
        <w:rPr>
          <w:lang w:val="en-GB"/>
        </w:rPr>
        <w:t xml:space="preserve">standards. </w:t>
      </w:r>
      <w:r w:rsidRPr="001C7084">
        <w:rPr>
          <w:lang w:val="en-GB"/>
        </w:rPr>
        <w:t>UNDP will work with the National Designated Authority</w:t>
      </w:r>
      <w:r w:rsidR="00BE42AA">
        <w:rPr>
          <w:lang w:val="en-GB"/>
        </w:rPr>
        <w:t>,</w:t>
      </w:r>
      <w:r w:rsidRPr="001C7084">
        <w:rPr>
          <w:lang w:val="en-GB"/>
        </w:rPr>
        <w:t xml:space="preserve"> assist</w:t>
      </w:r>
      <w:r w:rsidR="00BE42AA">
        <w:rPr>
          <w:lang w:val="en-GB"/>
        </w:rPr>
        <w:t>ing</w:t>
      </w:r>
      <w:r w:rsidRPr="001C7084">
        <w:rPr>
          <w:lang w:val="en-GB"/>
        </w:rPr>
        <w:t xml:space="preserve"> government and local authorities to access </w:t>
      </w:r>
      <w:r w:rsidR="00BE42AA" w:rsidRPr="009D1DD2">
        <w:rPr>
          <w:lang w:val="en-GB"/>
        </w:rPr>
        <w:t xml:space="preserve">‘sustainable energy for all’ </w:t>
      </w:r>
      <w:r w:rsidRPr="001C7084">
        <w:rPr>
          <w:lang w:val="en-GB"/>
        </w:rPr>
        <w:t xml:space="preserve">financing from </w:t>
      </w:r>
      <w:r w:rsidR="00E839F2">
        <w:rPr>
          <w:lang w:val="en-GB"/>
        </w:rPr>
        <w:t xml:space="preserve">the </w:t>
      </w:r>
      <w:r w:rsidR="00E839F2" w:rsidRPr="000378B4">
        <w:rPr>
          <w:lang w:val="en-GB"/>
        </w:rPr>
        <w:t>Green Climate Fund</w:t>
      </w:r>
      <w:r w:rsidR="00E839F2" w:rsidRPr="00E839F2" w:rsidDel="00E839F2">
        <w:rPr>
          <w:lang w:val="en-GB"/>
        </w:rPr>
        <w:t xml:space="preserve"> </w:t>
      </w:r>
      <w:r w:rsidRPr="001C7084">
        <w:rPr>
          <w:lang w:val="en-GB"/>
        </w:rPr>
        <w:t xml:space="preserve">to ensure universal access to modern energy services, double the rate of improvement in energy efficiency, and double </w:t>
      </w:r>
      <w:r w:rsidR="00BE42AA">
        <w:rPr>
          <w:lang w:val="en-GB"/>
        </w:rPr>
        <w:t xml:space="preserve">the </w:t>
      </w:r>
      <w:r w:rsidRPr="001C7084">
        <w:rPr>
          <w:lang w:val="en-GB"/>
        </w:rPr>
        <w:t xml:space="preserve">share of renewable energy in the national energy mix. To create synergies and integrated development, biodiversity offsets, corporate social investments and use of international and national environmental standards will be </w:t>
      </w:r>
      <w:r w:rsidR="006279EE">
        <w:rPr>
          <w:lang w:val="en-GB"/>
        </w:rPr>
        <w:t>increas</w:t>
      </w:r>
      <w:r w:rsidR="006279EE" w:rsidRPr="001C7084">
        <w:rPr>
          <w:lang w:val="en-GB"/>
        </w:rPr>
        <w:t>ed</w:t>
      </w:r>
      <w:r w:rsidRPr="001C7084">
        <w:rPr>
          <w:lang w:val="en-GB"/>
        </w:rPr>
        <w:t xml:space="preserve">. </w:t>
      </w:r>
    </w:p>
    <w:p w14:paraId="59BDBE6F" w14:textId="77777777" w:rsidR="008A0C44" w:rsidRPr="001C7084" w:rsidRDefault="008A0C44" w:rsidP="00816471">
      <w:pPr>
        <w:tabs>
          <w:tab w:val="left" w:pos="1800"/>
        </w:tabs>
        <w:spacing w:after="240"/>
        <w:ind w:left="1440" w:right="1210"/>
        <w:contextualSpacing/>
        <w:jc w:val="both"/>
        <w:rPr>
          <w:sz w:val="12"/>
          <w:szCs w:val="12"/>
          <w:lang w:val="en-GB"/>
        </w:rPr>
      </w:pPr>
    </w:p>
    <w:p w14:paraId="7DA15075" w14:textId="13E4112E" w:rsidR="007A33A2" w:rsidRPr="001C7084" w:rsidRDefault="007A33A2" w:rsidP="00816471">
      <w:pPr>
        <w:numPr>
          <w:ilvl w:val="0"/>
          <w:numId w:val="3"/>
        </w:numPr>
        <w:tabs>
          <w:tab w:val="left" w:pos="1800"/>
        </w:tabs>
        <w:spacing w:after="240"/>
        <w:ind w:left="1440" w:right="1210" w:firstLine="0"/>
        <w:contextualSpacing/>
        <w:jc w:val="both"/>
        <w:rPr>
          <w:lang w:val="en-GB"/>
        </w:rPr>
      </w:pPr>
      <w:r w:rsidRPr="001C7084">
        <w:rPr>
          <w:lang w:val="en-GB"/>
        </w:rPr>
        <w:t>UNDP will facilitate and work with national, regional and local institutions to build capacities for environmental justice and accountability mechanisms</w:t>
      </w:r>
      <w:r w:rsidR="0002708B">
        <w:rPr>
          <w:lang w:val="en-GB"/>
        </w:rPr>
        <w:t xml:space="preserve"> to expand</w:t>
      </w:r>
      <w:r w:rsidR="0002708B" w:rsidRPr="001C7084">
        <w:rPr>
          <w:lang w:val="en-GB"/>
        </w:rPr>
        <w:t xml:space="preserve"> South-South and </w:t>
      </w:r>
      <w:r w:rsidR="0002708B">
        <w:rPr>
          <w:lang w:val="en-GB"/>
        </w:rPr>
        <w:t>t</w:t>
      </w:r>
      <w:r w:rsidR="0002708B" w:rsidRPr="001C7084">
        <w:rPr>
          <w:lang w:val="en-GB"/>
        </w:rPr>
        <w:t xml:space="preserve">riangular </w:t>
      </w:r>
      <w:r w:rsidR="0002708B">
        <w:rPr>
          <w:lang w:val="en-GB"/>
        </w:rPr>
        <w:t>c</w:t>
      </w:r>
      <w:r w:rsidR="0002708B" w:rsidRPr="001C7084">
        <w:rPr>
          <w:lang w:val="en-GB"/>
        </w:rPr>
        <w:t>ooperation</w:t>
      </w:r>
      <w:r w:rsidR="00176480" w:rsidRPr="001C7084">
        <w:rPr>
          <w:lang w:val="en-GB"/>
        </w:rPr>
        <w:t>.</w:t>
      </w:r>
      <w:r w:rsidRPr="001C7084">
        <w:rPr>
          <w:lang w:val="en-GB"/>
        </w:rPr>
        <w:t xml:space="preserve"> UNDP </w:t>
      </w:r>
      <w:r w:rsidR="000468DF" w:rsidRPr="001C7084">
        <w:rPr>
          <w:lang w:val="en-GB"/>
        </w:rPr>
        <w:t>will</w:t>
      </w:r>
      <w:r w:rsidRPr="001C7084">
        <w:rPr>
          <w:lang w:val="en-GB"/>
        </w:rPr>
        <w:t xml:space="preserve"> partner wit</w:t>
      </w:r>
      <w:r w:rsidR="00BE42AA">
        <w:rPr>
          <w:lang w:val="en-GB"/>
        </w:rPr>
        <w:t>h</w:t>
      </w:r>
      <w:r w:rsidRPr="001C7084">
        <w:rPr>
          <w:lang w:val="en-GB"/>
        </w:rPr>
        <w:t xml:space="preserve"> academia</w:t>
      </w:r>
      <w:r w:rsidR="00BE42AA">
        <w:rPr>
          <w:lang w:val="en-GB"/>
        </w:rPr>
        <w:t>,</w:t>
      </w:r>
      <w:r w:rsidRPr="001C7084">
        <w:rPr>
          <w:lang w:val="en-GB"/>
        </w:rPr>
        <w:t xml:space="preserve"> such as </w:t>
      </w:r>
      <w:r w:rsidR="00BE42AA">
        <w:rPr>
          <w:lang w:val="en-GB"/>
        </w:rPr>
        <w:t xml:space="preserve">the University of Namibia Faculty of </w:t>
      </w:r>
      <w:r w:rsidRPr="001C7084">
        <w:rPr>
          <w:lang w:val="en-GB"/>
        </w:rPr>
        <w:t xml:space="preserve">Law and </w:t>
      </w:r>
      <w:r w:rsidR="00BE42AA">
        <w:rPr>
          <w:lang w:val="en-GB"/>
        </w:rPr>
        <w:t xml:space="preserve">the </w:t>
      </w:r>
      <w:r w:rsidRPr="001C7084">
        <w:rPr>
          <w:lang w:val="en-GB"/>
        </w:rPr>
        <w:t>University</w:t>
      </w:r>
      <w:r w:rsidR="00BE42AA">
        <w:rPr>
          <w:lang w:val="en-GB"/>
        </w:rPr>
        <w:t xml:space="preserve"> of </w:t>
      </w:r>
      <w:r w:rsidR="00BE42AA" w:rsidRPr="009D1DD2">
        <w:rPr>
          <w:lang w:val="en-GB"/>
        </w:rPr>
        <w:t>Oxford</w:t>
      </w:r>
      <w:r w:rsidR="006279EE">
        <w:rPr>
          <w:lang w:val="en-GB"/>
        </w:rPr>
        <w:t>,</w:t>
      </w:r>
      <w:r w:rsidRPr="001C7084">
        <w:rPr>
          <w:lang w:val="en-GB"/>
        </w:rPr>
        <w:t xml:space="preserve"> through academic and professional exchanges. Regarding </w:t>
      </w:r>
      <w:r w:rsidR="00BE42AA" w:rsidRPr="001C7084">
        <w:rPr>
          <w:lang w:val="en-GB"/>
        </w:rPr>
        <w:t>N</w:t>
      </w:r>
      <w:r w:rsidRPr="001C7084">
        <w:rPr>
          <w:lang w:val="en-GB"/>
        </w:rPr>
        <w:t>orth-</w:t>
      </w:r>
      <w:r w:rsidR="00BE42AA" w:rsidRPr="001C7084">
        <w:rPr>
          <w:lang w:val="en-GB"/>
        </w:rPr>
        <w:t>S</w:t>
      </w:r>
      <w:r w:rsidRPr="001C7084">
        <w:rPr>
          <w:lang w:val="en-GB"/>
        </w:rPr>
        <w:t>outh cooperation in renewabl</w:t>
      </w:r>
      <w:r w:rsidR="0002708B">
        <w:rPr>
          <w:lang w:val="en-GB"/>
        </w:rPr>
        <w:t xml:space="preserve">e energy technologies, research, </w:t>
      </w:r>
      <w:r w:rsidRPr="001C7084">
        <w:rPr>
          <w:lang w:val="en-GB"/>
        </w:rPr>
        <w:t>innovation and intelligent surveillance for</w:t>
      </w:r>
      <w:r w:rsidR="00CF2952" w:rsidRPr="001C7084">
        <w:rPr>
          <w:lang w:val="en-GB"/>
        </w:rPr>
        <w:t xml:space="preserve"> curbing </w:t>
      </w:r>
      <w:r w:rsidR="0002708B">
        <w:rPr>
          <w:lang w:val="en-GB"/>
        </w:rPr>
        <w:t xml:space="preserve">the </w:t>
      </w:r>
      <w:r w:rsidR="00CF2952" w:rsidRPr="001C7084">
        <w:rPr>
          <w:lang w:val="en-GB"/>
        </w:rPr>
        <w:t>illegal wildlife trade</w:t>
      </w:r>
      <w:r w:rsidRPr="001C7084">
        <w:rPr>
          <w:lang w:val="en-GB"/>
        </w:rPr>
        <w:t xml:space="preserve">, UNDP will build on </w:t>
      </w:r>
      <w:r w:rsidR="00CF2952" w:rsidRPr="001C7084">
        <w:rPr>
          <w:lang w:val="en-GB"/>
        </w:rPr>
        <w:t>innovation</w:t>
      </w:r>
      <w:r w:rsidR="00D30339">
        <w:rPr>
          <w:lang w:val="en-GB"/>
        </w:rPr>
        <w:t>s</w:t>
      </w:r>
      <w:r w:rsidR="00CF2952" w:rsidRPr="001C7084">
        <w:rPr>
          <w:lang w:val="en-GB"/>
        </w:rPr>
        <w:t xml:space="preserve"> such as the partnership with </w:t>
      </w:r>
      <w:r w:rsidR="00BE42AA">
        <w:rPr>
          <w:lang w:val="en-GB"/>
        </w:rPr>
        <w:t xml:space="preserve">the </w:t>
      </w:r>
      <w:r w:rsidRPr="001C7084">
        <w:rPr>
          <w:lang w:val="en-GB"/>
        </w:rPr>
        <w:t>Yah</w:t>
      </w:r>
      <w:r w:rsidR="00CF2952" w:rsidRPr="001C7084">
        <w:rPr>
          <w:lang w:val="en-GB"/>
        </w:rPr>
        <w:t xml:space="preserve">oo Japan Corporation. </w:t>
      </w:r>
      <w:r w:rsidR="00CF2952" w:rsidRPr="001C7084">
        <w:rPr>
          <w:lang w:val="en-GB"/>
        </w:rPr>
        <w:lastRenderedPageBreak/>
        <w:t>N</w:t>
      </w:r>
      <w:r w:rsidRPr="001C7084">
        <w:rPr>
          <w:lang w:val="en-GB"/>
        </w:rPr>
        <w:t xml:space="preserve">ew </w:t>
      </w:r>
      <w:r w:rsidR="001C7084">
        <w:rPr>
          <w:lang w:val="en-GB"/>
        </w:rPr>
        <w:t>North-South</w:t>
      </w:r>
      <w:r w:rsidRPr="001C7084">
        <w:rPr>
          <w:lang w:val="en-GB"/>
        </w:rPr>
        <w:t xml:space="preserve"> partnerships, </w:t>
      </w:r>
      <w:r w:rsidR="00BE42AA">
        <w:rPr>
          <w:lang w:val="en-GB"/>
        </w:rPr>
        <w:t xml:space="preserve">with </w:t>
      </w:r>
      <w:r w:rsidRPr="001C7084">
        <w:rPr>
          <w:lang w:val="en-GB"/>
        </w:rPr>
        <w:t>the Potsdam Institute for Climate Impact Research</w:t>
      </w:r>
      <w:r w:rsidR="00CF2952" w:rsidRPr="001C7084">
        <w:rPr>
          <w:lang w:val="en-GB"/>
        </w:rPr>
        <w:t>,</w:t>
      </w:r>
      <w:r w:rsidRPr="001C7084">
        <w:rPr>
          <w:lang w:val="en-GB"/>
        </w:rPr>
        <w:t xml:space="preserve"> </w:t>
      </w:r>
      <w:r w:rsidR="00D30339">
        <w:rPr>
          <w:lang w:val="en-GB"/>
        </w:rPr>
        <w:t xml:space="preserve">for example, </w:t>
      </w:r>
      <w:r w:rsidRPr="001C7084">
        <w:rPr>
          <w:lang w:val="en-GB"/>
        </w:rPr>
        <w:t xml:space="preserve">will research crucial scientific questions in the fields of global climate change and sustainable development. </w:t>
      </w:r>
    </w:p>
    <w:p w14:paraId="77147C54" w14:textId="77777777" w:rsidR="007A33A2" w:rsidRPr="00074002" w:rsidRDefault="007A33A2" w:rsidP="00816471">
      <w:pPr>
        <w:tabs>
          <w:tab w:val="left" w:pos="1800"/>
        </w:tabs>
        <w:ind w:left="1440" w:right="1210"/>
        <w:contextualSpacing/>
        <w:jc w:val="both"/>
        <w:rPr>
          <w:sz w:val="12"/>
          <w:szCs w:val="12"/>
          <w:lang w:val="en-GB" w:eastAsia="fr-FR"/>
        </w:rPr>
      </w:pPr>
    </w:p>
    <w:p w14:paraId="2F3A8430" w14:textId="77777777" w:rsidR="007A33A2" w:rsidRPr="001C7084" w:rsidRDefault="007A33A2" w:rsidP="00816471">
      <w:pPr>
        <w:pStyle w:val="ListParagraph"/>
        <w:widowControl w:val="0"/>
        <w:shd w:val="clear" w:color="auto" w:fill="FFFFFF"/>
        <w:tabs>
          <w:tab w:val="left" w:pos="1080"/>
          <w:tab w:val="left" w:pos="1800"/>
        </w:tabs>
        <w:adjustRightInd w:val="0"/>
        <w:spacing w:after="120"/>
        <w:ind w:left="1440" w:right="1210"/>
        <w:jc w:val="both"/>
        <w:textAlignment w:val="baseline"/>
        <w:rPr>
          <w:b/>
          <w:i/>
          <w:lang w:val="en-GB" w:eastAsia="en-ZA"/>
        </w:rPr>
      </w:pPr>
      <w:r w:rsidRPr="001C7084">
        <w:rPr>
          <w:b/>
          <w:i/>
          <w:lang w:val="en-GB" w:eastAsia="en-ZA"/>
        </w:rPr>
        <w:t>Improved governance for accountable, responsive institutions and civic engagement</w:t>
      </w:r>
    </w:p>
    <w:p w14:paraId="2CCC3678" w14:textId="26A5F5A5" w:rsidR="007A33A2" w:rsidRPr="001C7084" w:rsidRDefault="007A33A2" w:rsidP="00816471">
      <w:pPr>
        <w:pStyle w:val="ListParagraph"/>
        <w:widowControl w:val="0"/>
        <w:numPr>
          <w:ilvl w:val="0"/>
          <w:numId w:val="3"/>
        </w:numPr>
        <w:shd w:val="clear" w:color="auto" w:fill="FFFFFF"/>
        <w:tabs>
          <w:tab w:val="left" w:pos="1800"/>
        </w:tabs>
        <w:adjustRightInd w:val="0"/>
        <w:spacing w:after="120"/>
        <w:ind w:left="1440" w:right="1210" w:firstLine="0"/>
        <w:jc w:val="both"/>
        <w:textAlignment w:val="baseline"/>
        <w:rPr>
          <w:lang w:val="en-GB" w:eastAsia="en-ZA"/>
        </w:rPr>
      </w:pPr>
      <w:r w:rsidRPr="001C7084">
        <w:rPr>
          <w:lang w:val="en-GB" w:eastAsia="en-ZA"/>
        </w:rPr>
        <w:t xml:space="preserve">The next </w:t>
      </w:r>
      <w:r w:rsidR="00DC0BD8">
        <w:rPr>
          <w:lang w:val="en-GB" w:eastAsia="en-ZA"/>
        </w:rPr>
        <w:t>universal periodic review,</w:t>
      </w:r>
      <w:r w:rsidR="00DC0BD8" w:rsidRPr="001C7084">
        <w:rPr>
          <w:lang w:val="en-GB" w:eastAsia="en-ZA"/>
        </w:rPr>
        <w:t xml:space="preserve"> </w:t>
      </w:r>
      <w:r w:rsidRPr="001C7084">
        <w:rPr>
          <w:lang w:val="en-GB" w:eastAsia="en-ZA"/>
        </w:rPr>
        <w:t>in January 2021</w:t>
      </w:r>
      <w:r w:rsidR="00DC0BD8">
        <w:rPr>
          <w:lang w:val="en-GB" w:eastAsia="en-ZA"/>
        </w:rPr>
        <w:t>,</w:t>
      </w:r>
      <w:r w:rsidRPr="001C7084">
        <w:rPr>
          <w:lang w:val="en-GB" w:eastAsia="en-ZA"/>
        </w:rPr>
        <w:t xml:space="preserve"> </w:t>
      </w:r>
      <w:r w:rsidR="00DC0BD8">
        <w:rPr>
          <w:lang w:val="en-GB" w:eastAsia="en-ZA"/>
        </w:rPr>
        <w:t xml:space="preserve">will </w:t>
      </w:r>
      <w:r w:rsidRPr="001C7084">
        <w:rPr>
          <w:lang w:val="en-GB" w:eastAsia="en-ZA"/>
        </w:rPr>
        <w:t xml:space="preserve">provide ample opportunity for UNDP to strengthen capacity of the Office of the Ombudsperson for general compliance </w:t>
      </w:r>
      <w:r w:rsidR="00DC0BD8">
        <w:rPr>
          <w:lang w:val="en-GB" w:eastAsia="en-ZA"/>
        </w:rPr>
        <w:t>with the review</w:t>
      </w:r>
      <w:r w:rsidRPr="001C7084">
        <w:rPr>
          <w:lang w:val="en-GB" w:eastAsia="en-ZA"/>
        </w:rPr>
        <w:t xml:space="preserve">, </w:t>
      </w:r>
      <w:r w:rsidR="00CF2952" w:rsidRPr="001C7084">
        <w:rPr>
          <w:lang w:val="en-GB" w:eastAsia="en-ZA"/>
        </w:rPr>
        <w:t xml:space="preserve">and to </w:t>
      </w:r>
      <w:r w:rsidRPr="001C7084">
        <w:rPr>
          <w:lang w:val="en-GB" w:eastAsia="en-ZA"/>
        </w:rPr>
        <w:t>monitor the National Human Rights Action Plan</w:t>
      </w:r>
      <w:r w:rsidR="00DC0BD8">
        <w:rPr>
          <w:lang w:val="en-GB" w:eastAsia="en-ZA"/>
        </w:rPr>
        <w:t>,</w:t>
      </w:r>
      <w:r w:rsidRPr="001C7084">
        <w:rPr>
          <w:lang w:val="en-GB" w:eastAsia="en-ZA"/>
        </w:rPr>
        <w:t xml:space="preserve"> 2015-2019. The use of data and evidence for policy and decision</w:t>
      </w:r>
      <w:r w:rsidR="000C50D0">
        <w:rPr>
          <w:lang w:val="en-GB" w:eastAsia="en-ZA"/>
        </w:rPr>
        <w:t>-</w:t>
      </w:r>
      <w:r w:rsidRPr="001C7084">
        <w:rPr>
          <w:lang w:val="en-GB" w:eastAsia="en-ZA"/>
        </w:rPr>
        <w:t>making is not internalized as a practi</w:t>
      </w:r>
      <w:r w:rsidR="000C50D0">
        <w:rPr>
          <w:lang w:val="en-GB" w:eastAsia="en-ZA"/>
        </w:rPr>
        <w:t>c</w:t>
      </w:r>
      <w:r w:rsidRPr="001C7084">
        <w:rPr>
          <w:lang w:val="en-GB" w:eastAsia="en-ZA"/>
        </w:rPr>
        <w:t xml:space="preserve">e, and lack of availability of appropriate data compounds the challenge. </w:t>
      </w:r>
      <w:r w:rsidR="000C50D0">
        <w:rPr>
          <w:lang w:val="en-GB" w:eastAsia="en-ZA"/>
        </w:rPr>
        <w:t>I</w:t>
      </w:r>
      <w:r w:rsidRPr="001C7084">
        <w:rPr>
          <w:lang w:val="en-GB" w:eastAsia="en-ZA"/>
        </w:rPr>
        <w:t>n partnership with other U</w:t>
      </w:r>
      <w:r w:rsidR="00DC0BD8">
        <w:rPr>
          <w:lang w:val="en-GB" w:eastAsia="en-ZA"/>
        </w:rPr>
        <w:t xml:space="preserve">nited Nations organizations, </w:t>
      </w:r>
      <w:r w:rsidR="000C50D0">
        <w:rPr>
          <w:lang w:val="en-GB" w:eastAsia="en-ZA"/>
        </w:rPr>
        <w:t>the Namibia Statistics Agency</w:t>
      </w:r>
      <w:r w:rsidR="00AE7358" w:rsidRPr="001C7084">
        <w:rPr>
          <w:lang w:val="en-GB" w:eastAsia="en-ZA"/>
        </w:rPr>
        <w:t xml:space="preserve">, </w:t>
      </w:r>
      <w:r w:rsidR="000C50D0">
        <w:rPr>
          <w:lang w:val="en-GB" w:eastAsia="en-ZA"/>
        </w:rPr>
        <w:t xml:space="preserve">civil society organizations </w:t>
      </w:r>
      <w:r w:rsidRPr="001C7084">
        <w:rPr>
          <w:lang w:val="en-GB" w:eastAsia="en-ZA"/>
        </w:rPr>
        <w:t>and academia</w:t>
      </w:r>
      <w:r w:rsidR="000C50D0">
        <w:rPr>
          <w:lang w:val="en-GB" w:eastAsia="en-ZA"/>
        </w:rPr>
        <w:t>, UNDP</w:t>
      </w:r>
      <w:r w:rsidRPr="001C7084">
        <w:rPr>
          <w:lang w:val="en-GB" w:eastAsia="en-ZA"/>
        </w:rPr>
        <w:t xml:space="preserve"> will prioritize enhancement of capacity and support better coordination of the national statistical system for a well-managed and robust data ecosystem. UNDP will support the oversight institutions </w:t>
      </w:r>
      <w:r w:rsidR="00D30339">
        <w:rPr>
          <w:lang w:val="en-GB" w:eastAsia="en-ZA"/>
        </w:rPr>
        <w:t>in</w:t>
      </w:r>
      <w:r w:rsidR="00D30339" w:rsidRPr="001C7084">
        <w:rPr>
          <w:lang w:val="en-GB" w:eastAsia="en-ZA"/>
        </w:rPr>
        <w:t xml:space="preserve"> </w:t>
      </w:r>
      <w:r w:rsidRPr="001C7084">
        <w:rPr>
          <w:lang w:val="en-GB" w:eastAsia="en-ZA"/>
        </w:rPr>
        <w:t>re-engine</w:t>
      </w:r>
      <w:r w:rsidR="00D30339">
        <w:rPr>
          <w:lang w:val="en-GB" w:eastAsia="en-ZA"/>
        </w:rPr>
        <w:t>ering</w:t>
      </w:r>
      <w:r w:rsidRPr="001C7084">
        <w:rPr>
          <w:lang w:val="en-GB" w:eastAsia="en-ZA"/>
        </w:rPr>
        <w:t xml:space="preserve"> data systems to harvest essential information from national a</w:t>
      </w:r>
      <w:r w:rsidR="00D650B1" w:rsidRPr="001C7084">
        <w:rPr>
          <w:lang w:val="en-GB" w:eastAsia="en-ZA"/>
        </w:rPr>
        <w:t>nd synchroni</w:t>
      </w:r>
      <w:r w:rsidR="000C50D0">
        <w:rPr>
          <w:lang w:val="en-GB" w:eastAsia="en-ZA"/>
        </w:rPr>
        <w:t>z</w:t>
      </w:r>
      <w:r w:rsidR="00D650B1" w:rsidRPr="001C7084">
        <w:rPr>
          <w:lang w:val="en-GB" w:eastAsia="en-ZA"/>
        </w:rPr>
        <w:t xml:space="preserve">ed data platforms. </w:t>
      </w:r>
      <w:r w:rsidRPr="001C7084">
        <w:rPr>
          <w:lang w:val="en-GB" w:eastAsia="en-ZA"/>
        </w:rPr>
        <w:t xml:space="preserve">UNDP will partner with </w:t>
      </w:r>
      <w:r w:rsidR="00CF2952" w:rsidRPr="001C7084">
        <w:rPr>
          <w:lang w:val="en-GB" w:eastAsia="en-ZA"/>
        </w:rPr>
        <w:t xml:space="preserve">the </w:t>
      </w:r>
      <w:r w:rsidRPr="001C7084">
        <w:rPr>
          <w:lang w:val="en-GB" w:eastAsia="en-ZA"/>
        </w:rPr>
        <w:t>Office of the Prime Minister, under the Directorate</w:t>
      </w:r>
      <w:r w:rsidR="0015666C">
        <w:rPr>
          <w:lang w:val="en-GB" w:eastAsia="en-ZA"/>
        </w:rPr>
        <w:t>:</w:t>
      </w:r>
      <w:r w:rsidRPr="001C7084">
        <w:rPr>
          <w:lang w:val="en-GB" w:eastAsia="en-ZA"/>
        </w:rPr>
        <w:t xml:space="preserve"> Public Service Innovation and Reform, the National Commission on Research Science and Technology</w:t>
      </w:r>
      <w:r w:rsidR="002B5082">
        <w:rPr>
          <w:lang w:val="en-GB" w:eastAsia="en-ZA"/>
        </w:rPr>
        <w:t>,</w:t>
      </w:r>
      <w:r w:rsidRPr="001C7084">
        <w:rPr>
          <w:lang w:val="en-GB" w:eastAsia="en-ZA"/>
        </w:rPr>
        <w:t xml:space="preserve"> and academia</w:t>
      </w:r>
      <w:r w:rsidR="002B5082">
        <w:rPr>
          <w:lang w:val="en-GB" w:eastAsia="en-ZA"/>
        </w:rPr>
        <w:t>,</w:t>
      </w:r>
      <w:r w:rsidRPr="001C7084">
        <w:rPr>
          <w:lang w:val="en-GB" w:eastAsia="en-ZA"/>
        </w:rPr>
        <w:t xml:space="preserve"> to address civic engagement through innovative processes that enhance inclusive policymaking. </w:t>
      </w:r>
    </w:p>
    <w:p w14:paraId="31527023" w14:textId="37B9C927" w:rsidR="007A33A2" w:rsidRPr="00CD2BDF" w:rsidRDefault="00147639" w:rsidP="00816471">
      <w:pPr>
        <w:pStyle w:val="ListParagraph"/>
        <w:widowControl w:val="0"/>
        <w:numPr>
          <w:ilvl w:val="0"/>
          <w:numId w:val="3"/>
        </w:numPr>
        <w:shd w:val="clear" w:color="auto" w:fill="FFFFFF"/>
        <w:tabs>
          <w:tab w:val="left" w:pos="1800"/>
        </w:tabs>
        <w:adjustRightInd w:val="0"/>
        <w:spacing w:after="120"/>
        <w:ind w:left="1440" w:right="1210" w:firstLine="0"/>
        <w:jc w:val="both"/>
        <w:textAlignment w:val="baseline"/>
        <w:rPr>
          <w:lang w:val="en-GB" w:eastAsia="en-ZA"/>
        </w:rPr>
      </w:pPr>
      <w:r w:rsidRPr="00CD2BDF">
        <w:rPr>
          <w:lang w:val="en-GB" w:eastAsia="en-ZA"/>
        </w:rPr>
        <w:t>UNDP</w:t>
      </w:r>
      <w:r w:rsidR="00D650B1" w:rsidRPr="00CD2BDF">
        <w:rPr>
          <w:lang w:val="en-GB" w:eastAsia="en-ZA"/>
        </w:rPr>
        <w:t xml:space="preserve"> will</w:t>
      </w:r>
      <w:r w:rsidRPr="00CD2BDF">
        <w:rPr>
          <w:lang w:val="en-GB" w:eastAsia="en-ZA"/>
        </w:rPr>
        <w:t xml:space="preserve"> provide support for </w:t>
      </w:r>
      <w:r w:rsidR="007A33A2" w:rsidRPr="00CD2BDF">
        <w:rPr>
          <w:lang w:val="en-GB" w:eastAsia="en-ZA"/>
        </w:rPr>
        <w:t>establish</w:t>
      </w:r>
      <w:r w:rsidRPr="00CD2BDF">
        <w:rPr>
          <w:lang w:val="en-GB" w:eastAsia="en-ZA"/>
        </w:rPr>
        <w:t>ing</w:t>
      </w:r>
      <w:r w:rsidR="007A33A2" w:rsidRPr="00CD2BDF">
        <w:rPr>
          <w:lang w:val="en-GB" w:eastAsia="en-ZA"/>
        </w:rPr>
        <w:t xml:space="preserve"> </w:t>
      </w:r>
      <w:r w:rsidR="00D30339">
        <w:rPr>
          <w:lang w:val="en-GB" w:eastAsia="en-ZA"/>
        </w:rPr>
        <w:t xml:space="preserve">strong, </w:t>
      </w:r>
      <w:r w:rsidR="007A33A2" w:rsidRPr="00CD2BDF">
        <w:rPr>
          <w:lang w:val="en-GB" w:eastAsia="en-ZA"/>
        </w:rPr>
        <w:t xml:space="preserve">well-managed data infrastructure and systems to promote transparency and accountability </w:t>
      </w:r>
      <w:r w:rsidR="00D30339" w:rsidRPr="00CD2BDF">
        <w:rPr>
          <w:lang w:val="en-GB" w:eastAsia="en-ZA"/>
        </w:rPr>
        <w:t>a</w:t>
      </w:r>
      <w:r w:rsidR="00D30339">
        <w:rPr>
          <w:lang w:val="en-GB" w:eastAsia="en-ZA"/>
        </w:rPr>
        <w:t>mong</w:t>
      </w:r>
      <w:r w:rsidR="00D30339" w:rsidRPr="00CD2BDF">
        <w:rPr>
          <w:lang w:val="en-GB" w:eastAsia="en-ZA"/>
        </w:rPr>
        <w:t xml:space="preserve"> </w:t>
      </w:r>
      <w:r w:rsidR="007A33A2" w:rsidRPr="00CD2BDF">
        <w:rPr>
          <w:lang w:val="en-GB" w:eastAsia="en-ZA"/>
        </w:rPr>
        <w:t xml:space="preserve">all stakeholders. </w:t>
      </w:r>
      <w:r w:rsidR="00D30339">
        <w:rPr>
          <w:lang w:val="en-GB" w:eastAsia="en-ZA"/>
        </w:rPr>
        <w:t>I</w:t>
      </w:r>
      <w:r w:rsidR="00D30339" w:rsidRPr="00216CAB">
        <w:rPr>
          <w:lang w:val="en-GB" w:eastAsia="en-ZA"/>
        </w:rPr>
        <w:t xml:space="preserve">n partnership with the Millennium Institute Washington, the National Planning Commission and </w:t>
      </w:r>
      <w:r w:rsidR="00D30339">
        <w:rPr>
          <w:lang w:val="en-GB" w:eastAsia="en-ZA"/>
        </w:rPr>
        <w:t>the Namibia Statistics Agency,</w:t>
      </w:r>
      <w:r w:rsidR="00D30339" w:rsidRPr="00074002" w:rsidDel="00D30339">
        <w:rPr>
          <w:lang w:val="en-GB" w:eastAsia="en-ZA"/>
        </w:rPr>
        <w:t xml:space="preserve"> </w:t>
      </w:r>
      <w:r w:rsidR="00D30339">
        <w:rPr>
          <w:lang w:val="en-GB" w:eastAsia="en-ZA"/>
        </w:rPr>
        <w:t>it</w:t>
      </w:r>
      <w:r w:rsidR="00D30339" w:rsidRPr="00CD2BDF">
        <w:rPr>
          <w:lang w:val="en-GB" w:eastAsia="en-ZA"/>
        </w:rPr>
        <w:t xml:space="preserve"> </w:t>
      </w:r>
      <w:r w:rsidR="007A33A2" w:rsidRPr="00CD2BDF">
        <w:rPr>
          <w:lang w:val="en-GB" w:eastAsia="en-ZA"/>
        </w:rPr>
        <w:t xml:space="preserve">will facilitate evidence-informed </w:t>
      </w:r>
      <w:r w:rsidR="00CF2952" w:rsidRPr="00CD2BDF">
        <w:rPr>
          <w:lang w:val="en-GB" w:eastAsia="en-ZA"/>
        </w:rPr>
        <w:t>sequencing</w:t>
      </w:r>
      <w:r w:rsidR="007A33A2" w:rsidRPr="00CD2BDF">
        <w:rPr>
          <w:lang w:val="en-GB" w:eastAsia="en-ZA"/>
        </w:rPr>
        <w:t xml:space="preserve"> of </w:t>
      </w:r>
      <w:r w:rsidR="00860216">
        <w:rPr>
          <w:lang w:val="en-GB" w:eastAsia="en-ZA"/>
        </w:rPr>
        <w:t xml:space="preserve">the </w:t>
      </w:r>
      <w:r w:rsidR="00860216">
        <w:rPr>
          <w:lang w:val="en-GB"/>
        </w:rPr>
        <w:t>sustainable development goals</w:t>
      </w:r>
      <w:r w:rsidR="00860216" w:rsidRPr="00CD2BDF">
        <w:rPr>
          <w:lang w:val="en-GB" w:eastAsia="en-ZA"/>
        </w:rPr>
        <w:t xml:space="preserve"> </w:t>
      </w:r>
      <w:r w:rsidR="007A33A2" w:rsidRPr="00CD2BDF">
        <w:rPr>
          <w:lang w:val="en-GB" w:eastAsia="en-ZA"/>
        </w:rPr>
        <w:t>through integrated modelling</w:t>
      </w:r>
      <w:r w:rsidR="000C50D0">
        <w:rPr>
          <w:lang w:val="en-GB" w:eastAsia="en-ZA"/>
        </w:rPr>
        <w:t>.</w:t>
      </w:r>
      <w:r w:rsidR="00D701DC" w:rsidRPr="00CD2BDF">
        <w:rPr>
          <w:rStyle w:val="FootnoteReference"/>
          <w:lang w:val="en-GB" w:eastAsia="en-ZA"/>
        </w:rPr>
        <w:footnoteReference w:id="34"/>
      </w:r>
      <w:r w:rsidR="007A33A2" w:rsidRPr="00CD2BDF">
        <w:rPr>
          <w:lang w:val="en-GB" w:eastAsia="en-ZA"/>
        </w:rPr>
        <w:t xml:space="preserve"> This will support </w:t>
      </w:r>
      <w:r w:rsidR="00CB454F">
        <w:rPr>
          <w:lang w:val="en-GB" w:eastAsia="en-ZA"/>
        </w:rPr>
        <w:t>the G</w:t>
      </w:r>
      <w:r w:rsidR="007A33A2" w:rsidRPr="00CD2BDF">
        <w:rPr>
          <w:lang w:val="en-GB" w:eastAsia="en-ZA"/>
        </w:rPr>
        <w:t xml:space="preserve">overnment and academia </w:t>
      </w:r>
      <w:r w:rsidR="00D30339">
        <w:rPr>
          <w:lang w:val="en-GB" w:eastAsia="en-ZA"/>
        </w:rPr>
        <w:t>in</w:t>
      </w:r>
      <w:r w:rsidR="00D30339" w:rsidRPr="00CD2BDF">
        <w:rPr>
          <w:lang w:val="en-GB" w:eastAsia="en-ZA"/>
        </w:rPr>
        <w:t xml:space="preserve"> </w:t>
      </w:r>
      <w:r w:rsidR="007A33A2" w:rsidRPr="00CD2BDF">
        <w:rPr>
          <w:lang w:val="en-GB" w:eastAsia="en-ZA"/>
        </w:rPr>
        <w:t>undertak</w:t>
      </w:r>
      <w:r w:rsidR="00D30339">
        <w:rPr>
          <w:lang w:val="en-GB" w:eastAsia="en-ZA"/>
        </w:rPr>
        <w:t>ing</w:t>
      </w:r>
      <w:r w:rsidR="007A33A2" w:rsidRPr="00CD2BDF">
        <w:rPr>
          <w:lang w:val="en-GB" w:eastAsia="en-ZA"/>
        </w:rPr>
        <w:t xml:space="preserve"> such modelling in the future. The conditions for </w:t>
      </w:r>
      <w:r w:rsidR="00CB454F">
        <w:rPr>
          <w:lang w:val="en-GB" w:eastAsia="en-ZA"/>
        </w:rPr>
        <w:t>increasi</w:t>
      </w:r>
      <w:r w:rsidR="00CB454F" w:rsidRPr="00CD2BDF">
        <w:rPr>
          <w:lang w:val="en-GB" w:eastAsia="en-ZA"/>
        </w:rPr>
        <w:t xml:space="preserve">ng </w:t>
      </w:r>
      <w:r w:rsidR="007A33A2" w:rsidRPr="00CD2BDF">
        <w:rPr>
          <w:lang w:val="en-GB" w:eastAsia="en-ZA"/>
        </w:rPr>
        <w:t xml:space="preserve">institutional accountability, transparency and citizen engagement will be created through four interconnected outputs. </w:t>
      </w:r>
    </w:p>
    <w:p w14:paraId="69D5195A" w14:textId="488C01D3" w:rsidR="007A33A2" w:rsidRPr="00CD2BDF" w:rsidRDefault="007A33A2" w:rsidP="00816471">
      <w:pPr>
        <w:pStyle w:val="ListParagraph"/>
        <w:widowControl w:val="0"/>
        <w:numPr>
          <w:ilvl w:val="0"/>
          <w:numId w:val="3"/>
        </w:numPr>
        <w:shd w:val="clear" w:color="auto" w:fill="FFFFFF"/>
        <w:tabs>
          <w:tab w:val="left" w:pos="1800"/>
        </w:tabs>
        <w:adjustRightInd w:val="0"/>
        <w:spacing w:after="120"/>
        <w:ind w:left="1440" w:right="1210" w:firstLine="0"/>
        <w:contextualSpacing/>
        <w:jc w:val="both"/>
        <w:textAlignment w:val="baseline"/>
        <w:rPr>
          <w:lang w:val="en-GB" w:eastAsia="fr-FR"/>
        </w:rPr>
      </w:pPr>
      <w:r w:rsidRPr="00CD2BDF">
        <w:rPr>
          <w:lang w:val="en-GB" w:eastAsia="en-ZA"/>
        </w:rPr>
        <w:t>UNDP interventions will</w:t>
      </w:r>
      <w:r w:rsidR="00921434" w:rsidRPr="00CD2BDF">
        <w:rPr>
          <w:lang w:val="en-GB" w:eastAsia="en-ZA"/>
        </w:rPr>
        <w:t>:</w:t>
      </w:r>
      <w:r w:rsidRPr="00CD2BDF">
        <w:rPr>
          <w:lang w:val="en-GB" w:eastAsia="en-ZA"/>
        </w:rPr>
        <w:t xml:space="preserve"> </w:t>
      </w:r>
      <w:r w:rsidR="00CB454F">
        <w:rPr>
          <w:lang w:val="en-GB" w:eastAsia="en-ZA"/>
        </w:rPr>
        <w:t>(a</w:t>
      </w:r>
      <w:r w:rsidRPr="00CD2BDF">
        <w:rPr>
          <w:lang w:val="en-GB" w:eastAsia="en-ZA"/>
        </w:rPr>
        <w:t>) leverage innovative solutions to strengthen citizen engagement in generating real-time data to improve participation</w:t>
      </w:r>
      <w:r w:rsidR="00D30339">
        <w:rPr>
          <w:lang w:val="en-GB" w:eastAsia="en-ZA"/>
        </w:rPr>
        <w:t>,</w:t>
      </w:r>
      <w:r w:rsidR="00811F82">
        <w:rPr>
          <w:lang w:val="en-GB" w:eastAsia="en-ZA"/>
        </w:rPr>
        <w:t xml:space="preserve"> </w:t>
      </w:r>
      <w:r w:rsidRPr="00CD2BDF">
        <w:rPr>
          <w:lang w:val="en-GB" w:eastAsia="en-ZA"/>
        </w:rPr>
        <w:t>decision</w:t>
      </w:r>
      <w:r w:rsidR="00811F82">
        <w:rPr>
          <w:lang w:val="en-GB" w:eastAsia="en-ZA"/>
        </w:rPr>
        <w:t>-</w:t>
      </w:r>
      <w:r w:rsidRPr="00CD2BDF">
        <w:rPr>
          <w:lang w:val="en-GB" w:eastAsia="en-ZA"/>
        </w:rPr>
        <w:t>making</w:t>
      </w:r>
      <w:r w:rsidR="00D30339">
        <w:rPr>
          <w:lang w:val="en-GB" w:eastAsia="en-ZA"/>
        </w:rPr>
        <w:t>,</w:t>
      </w:r>
      <w:r w:rsidRPr="00CD2BDF">
        <w:rPr>
          <w:lang w:val="en-GB" w:eastAsia="en-ZA"/>
        </w:rPr>
        <w:t xml:space="preserve"> and public service delivery; </w:t>
      </w:r>
      <w:r w:rsidR="00CB454F">
        <w:rPr>
          <w:lang w:val="en-GB" w:eastAsia="en-ZA"/>
        </w:rPr>
        <w:t>(b</w:t>
      </w:r>
      <w:r w:rsidRPr="00CD2BDF">
        <w:rPr>
          <w:lang w:val="en-GB" w:eastAsia="en-ZA"/>
        </w:rPr>
        <w:t>) scale up efforts to enable government institutions</w:t>
      </w:r>
      <w:r w:rsidRPr="00CD2BDF">
        <w:rPr>
          <w:rStyle w:val="FootnoteReference"/>
          <w:lang w:val="en-GB" w:eastAsia="en-ZA"/>
        </w:rPr>
        <w:footnoteReference w:id="35"/>
      </w:r>
      <w:r w:rsidRPr="00CD2BDF">
        <w:rPr>
          <w:lang w:val="en-GB" w:eastAsia="en-ZA"/>
        </w:rPr>
        <w:t xml:space="preserve"> at national and regional levels to perform core functions for improved accountability, participation and representation; </w:t>
      </w:r>
      <w:r w:rsidR="00CB454F">
        <w:rPr>
          <w:lang w:val="en-GB" w:eastAsia="en-ZA"/>
        </w:rPr>
        <w:t>(c</w:t>
      </w:r>
      <w:r w:rsidRPr="00CD2BDF">
        <w:rPr>
          <w:lang w:val="en-GB" w:eastAsia="en-ZA"/>
        </w:rPr>
        <w:t xml:space="preserve">) streamline frameworks and dialogue processes </w:t>
      </w:r>
      <w:r w:rsidR="00811F82">
        <w:rPr>
          <w:lang w:val="en-GB" w:eastAsia="en-ZA"/>
        </w:rPr>
        <w:t>towards the</w:t>
      </w:r>
      <w:r w:rsidR="00811F82" w:rsidRPr="00CD2BDF">
        <w:rPr>
          <w:lang w:val="en-GB" w:eastAsia="en-ZA"/>
        </w:rPr>
        <w:t xml:space="preserve"> </w:t>
      </w:r>
      <w:r w:rsidRPr="00CD2BDF">
        <w:rPr>
          <w:lang w:val="en-GB" w:eastAsia="en-ZA"/>
        </w:rPr>
        <w:t>effective</w:t>
      </w:r>
      <w:r w:rsidR="00811F82">
        <w:rPr>
          <w:lang w:val="en-GB" w:eastAsia="en-ZA"/>
        </w:rPr>
        <w:t>,</w:t>
      </w:r>
      <w:r w:rsidRPr="00CD2BDF">
        <w:rPr>
          <w:lang w:val="en-GB" w:eastAsia="en-ZA"/>
        </w:rPr>
        <w:t xml:space="preserve"> transparent engagement of civil society </w:t>
      </w:r>
      <w:r w:rsidR="00811F82">
        <w:rPr>
          <w:lang w:val="en-GB" w:eastAsia="en-ZA"/>
        </w:rPr>
        <w:t>in</w:t>
      </w:r>
      <w:r w:rsidR="00811F82" w:rsidRPr="00CD2BDF">
        <w:rPr>
          <w:lang w:val="en-GB" w:eastAsia="en-ZA"/>
        </w:rPr>
        <w:t xml:space="preserve"> </w:t>
      </w:r>
      <w:r w:rsidR="00DF380E" w:rsidRPr="00CD2BDF">
        <w:rPr>
          <w:lang w:val="en-GB" w:eastAsia="en-ZA"/>
        </w:rPr>
        <w:t xml:space="preserve">engendered </w:t>
      </w:r>
      <w:r w:rsidRPr="00CD2BDF">
        <w:rPr>
          <w:lang w:val="en-GB" w:eastAsia="en-ZA"/>
        </w:rPr>
        <w:t xml:space="preserve">national development; </w:t>
      </w:r>
      <w:r w:rsidR="00CB454F">
        <w:rPr>
          <w:lang w:val="en-GB" w:eastAsia="en-ZA"/>
        </w:rPr>
        <w:t>and (d</w:t>
      </w:r>
      <w:r w:rsidRPr="00CD2BDF">
        <w:rPr>
          <w:lang w:val="en-GB" w:eastAsia="en-ZA"/>
        </w:rPr>
        <w:t xml:space="preserve">) support innovation at all levels for equitable access to public services. </w:t>
      </w:r>
    </w:p>
    <w:p w14:paraId="5D878370" w14:textId="77777777" w:rsidR="00C247F3" w:rsidRPr="00074002" w:rsidRDefault="00C247F3" w:rsidP="00816471">
      <w:pPr>
        <w:pStyle w:val="ListParagraph"/>
        <w:tabs>
          <w:tab w:val="left" w:pos="1800"/>
        </w:tabs>
        <w:ind w:left="1440" w:right="1210"/>
        <w:rPr>
          <w:lang w:val="en-GB" w:eastAsia="fr-FR"/>
        </w:rPr>
      </w:pPr>
    </w:p>
    <w:p w14:paraId="32CA551A" w14:textId="4038FB3C" w:rsidR="0063402B" w:rsidRPr="00CD2BDF" w:rsidRDefault="0063402B" w:rsidP="00D30339">
      <w:pPr>
        <w:pStyle w:val="Heading1"/>
        <w:tabs>
          <w:tab w:val="left" w:pos="1440"/>
        </w:tabs>
        <w:ind w:left="1440" w:right="1210" w:hanging="630"/>
        <w:jc w:val="both"/>
        <w:rPr>
          <w:rFonts w:ascii="Times New Roman" w:hAnsi="Times New Roman"/>
          <w:color w:val="000000"/>
          <w:szCs w:val="28"/>
          <w:lang w:val="en-GB"/>
        </w:rPr>
      </w:pPr>
      <w:r w:rsidRPr="00CD2BDF">
        <w:rPr>
          <w:rFonts w:ascii="Times New Roman" w:hAnsi="Times New Roman"/>
          <w:color w:val="000000"/>
          <w:szCs w:val="28"/>
          <w:lang w:val="en-GB"/>
        </w:rPr>
        <w:t xml:space="preserve">III. </w:t>
      </w:r>
      <w:r w:rsidR="00D30339">
        <w:rPr>
          <w:rFonts w:ascii="Times New Roman" w:hAnsi="Times New Roman"/>
          <w:color w:val="000000"/>
          <w:szCs w:val="28"/>
          <w:lang w:val="en-GB"/>
        </w:rPr>
        <w:tab/>
      </w:r>
      <w:r w:rsidRPr="00CD2BDF">
        <w:rPr>
          <w:rFonts w:ascii="Times New Roman" w:hAnsi="Times New Roman"/>
          <w:color w:val="000000"/>
          <w:szCs w:val="28"/>
          <w:lang w:val="en-GB"/>
        </w:rPr>
        <w:t xml:space="preserve">Programme and </w:t>
      </w:r>
      <w:r w:rsidR="00684DB0" w:rsidRPr="00CD2BDF">
        <w:rPr>
          <w:rFonts w:ascii="Times New Roman" w:hAnsi="Times New Roman"/>
          <w:color w:val="000000"/>
          <w:szCs w:val="28"/>
          <w:lang w:val="en-GB"/>
        </w:rPr>
        <w:t>r</w:t>
      </w:r>
      <w:r w:rsidRPr="00CD2BDF">
        <w:rPr>
          <w:rFonts w:ascii="Times New Roman" w:hAnsi="Times New Roman"/>
          <w:color w:val="000000"/>
          <w:szCs w:val="28"/>
          <w:lang w:val="en-GB"/>
        </w:rPr>
        <w:t>isk</w:t>
      </w:r>
      <w:r w:rsidR="00AC1BE7" w:rsidRPr="00CD2BDF">
        <w:rPr>
          <w:rFonts w:ascii="Times New Roman" w:hAnsi="Times New Roman"/>
          <w:color w:val="000000"/>
          <w:szCs w:val="28"/>
          <w:lang w:val="en-GB"/>
        </w:rPr>
        <w:t xml:space="preserve"> </w:t>
      </w:r>
      <w:r w:rsidR="00684DB0" w:rsidRPr="00CD2BDF">
        <w:rPr>
          <w:rFonts w:ascii="Times New Roman" w:hAnsi="Times New Roman"/>
          <w:color w:val="000000"/>
          <w:szCs w:val="28"/>
          <w:lang w:val="en-GB"/>
        </w:rPr>
        <w:t>m</w:t>
      </w:r>
      <w:r w:rsidR="001C6C08" w:rsidRPr="00CD2BDF">
        <w:rPr>
          <w:rFonts w:ascii="Times New Roman" w:hAnsi="Times New Roman"/>
          <w:color w:val="000000"/>
          <w:szCs w:val="28"/>
          <w:lang w:val="en-GB"/>
        </w:rPr>
        <w:t>anagement</w:t>
      </w:r>
      <w:r w:rsidRPr="00CD2BDF">
        <w:rPr>
          <w:rFonts w:ascii="Times New Roman" w:hAnsi="Times New Roman"/>
          <w:color w:val="000000"/>
          <w:szCs w:val="28"/>
          <w:lang w:val="en-GB"/>
        </w:rPr>
        <w:t xml:space="preserve"> </w:t>
      </w:r>
    </w:p>
    <w:p w14:paraId="172F9220" w14:textId="77777777" w:rsidR="00446D92" w:rsidRPr="00CD2BDF" w:rsidRDefault="00446D92" w:rsidP="00816471">
      <w:pPr>
        <w:tabs>
          <w:tab w:val="left" w:pos="1800"/>
        </w:tabs>
        <w:ind w:left="1440" w:right="1210"/>
        <w:jc w:val="both"/>
        <w:rPr>
          <w:color w:val="000000"/>
          <w:lang w:val="en-GB"/>
        </w:rPr>
      </w:pPr>
    </w:p>
    <w:p w14:paraId="17059AA3" w14:textId="5DC8CACB" w:rsidR="00BF1036" w:rsidRPr="00CD2BDF" w:rsidRDefault="00741458" w:rsidP="00816471">
      <w:pPr>
        <w:numPr>
          <w:ilvl w:val="0"/>
          <w:numId w:val="3"/>
        </w:numPr>
        <w:tabs>
          <w:tab w:val="left" w:pos="1800"/>
        </w:tabs>
        <w:spacing w:after="120"/>
        <w:ind w:left="1440" w:right="1210" w:firstLine="0"/>
        <w:jc w:val="both"/>
        <w:rPr>
          <w:color w:val="000000"/>
          <w:lang w:val="en-GB"/>
        </w:rPr>
      </w:pPr>
      <w:r w:rsidRPr="00CD2BDF">
        <w:rPr>
          <w:color w:val="000000"/>
          <w:lang w:val="en-GB"/>
        </w:rPr>
        <w:t xml:space="preserve">This country programme document outlines </w:t>
      </w:r>
      <w:r w:rsidR="0042357B">
        <w:rPr>
          <w:color w:val="000000"/>
          <w:lang w:val="en-GB"/>
        </w:rPr>
        <w:t xml:space="preserve">the </w:t>
      </w:r>
      <w:r w:rsidRPr="00CD2BDF">
        <w:rPr>
          <w:color w:val="000000"/>
          <w:lang w:val="en-GB"/>
        </w:rPr>
        <w:t xml:space="preserve">UNDP contribution to national results and serves as the primary unit of accountability to the Executive Board for results alignment and resources assigned to the programme at </w:t>
      </w:r>
      <w:r w:rsidR="0042357B">
        <w:rPr>
          <w:color w:val="000000"/>
          <w:lang w:val="en-GB"/>
        </w:rPr>
        <w:t xml:space="preserve">the </w:t>
      </w:r>
      <w:r w:rsidRPr="00CD2BDF">
        <w:rPr>
          <w:color w:val="000000"/>
          <w:lang w:val="en-GB"/>
        </w:rPr>
        <w:t>country level. Accountabilities of managers at country, regional and headquarter</w:t>
      </w:r>
      <w:r w:rsidR="0042357B">
        <w:rPr>
          <w:color w:val="000000"/>
          <w:lang w:val="en-GB"/>
        </w:rPr>
        <w:t>s</w:t>
      </w:r>
      <w:r w:rsidRPr="00CD2BDF">
        <w:rPr>
          <w:color w:val="000000"/>
          <w:lang w:val="en-GB"/>
        </w:rPr>
        <w:t xml:space="preserve"> levels </w:t>
      </w:r>
      <w:r w:rsidR="00BD71B7" w:rsidRPr="00CD2BDF">
        <w:rPr>
          <w:color w:val="000000"/>
          <w:lang w:val="en-GB"/>
        </w:rPr>
        <w:t>are</w:t>
      </w:r>
      <w:r w:rsidRPr="00CD2BDF">
        <w:rPr>
          <w:color w:val="000000"/>
          <w:lang w:val="en-GB"/>
        </w:rPr>
        <w:t xml:space="preserve"> prescribed in the Programme and Operations Policies and Procedures and the Internal Control Framework. The programme will be nationally </w:t>
      </w:r>
      <w:r w:rsidR="00F82353" w:rsidRPr="00CD2BDF">
        <w:rPr>
          <w:color w:val="000000"/>
          <w:lang w:val="en-GB"/>
        </w:rPr>
        <w:t>executed</w:t>
      </w:r>
      <w:r w:rsidR="00CA5B38" w:rsidRPr="00CD2BDF">
        <w:rPr>
          <w:color w:val="000000"/>
          <w:lang w:val="en-GB"/>
        </w:rPr>
        <w:t>. Associated</w:t>
      </w:r>
      <w:r w:rsidRPr="00CD2BDF">
        <w:rPr>
          <w:color w:val="000000"/>
          <w:lang w:val="en-GB"/>
        </w:rPr>
        <w:t xml:space="preserve"> projects will use the most appropriate implementation modality to ensure effective and efficient delivery of nationally owned, sustainable results. </w:t>
      </w:r>
      <w:r w:rsidR="0042357B">
        <w:rPr>
          <w:color w:val="000000"/>
          <w:lang w:val="en-GB"/>
        </w:rPr>
        <w:t>W</w:t>
      </w:r>
      <w:r w:rsidR="0042357B" w:rsidRPr="009D1DD2">
        <w:rPr>
          <w:color w:val="000000"/>
          <w:lang w:val="en-GB"/>
        </w:rPr>
        <w:t>ith both macro and micro assessments</w:t>
      </w:r>
      <w:r w:rsidR="0042357B">
        <w:rPr>
          <w:color w:val="000000"/>
          <w:lang w:val="en-GB"/>
        </w:rPr>
        <w:t>,</w:t>
      </w:r>
      <w:r w:rsidR="0042357B" w:rsidRPr="009D1DD2">
        <w:rPr>
          <w:color w:val="000000"/>
          <w:lang w:val="en-GB"/>
        </w:rPr>
        <w:t xml:space="preserve"> </w:t>
      </w:r>
      <w:r w:rsidR="0042357B">
        <w:rPr>
          <w:color w:val="000000"/>
          <w:lang w:val="en-GB"/>
        </w:rPr>
        <w:t>t</w:t>
      </w:r>
      <w:r w:rsidRPr="00CD2BDF">
        <w:rPr>
          <w:color w:val="000000"/>
          <w:lang w:val="en-GB"/>
        </w:rPr>
        <w:t xml:space="preserve">he </w:t>
      </w:r>
      <w:r w:rsidR="003E7F5D" w:rsidRPr="00CD2BDF">
        <w:rPr>
          <w:color w:val="000000"/>
          <w:lang w:val="en-GB"/>
        </w:rPr>
        <w:t>Harmonized</w:t>
      </w:r>
      <w:r w:rsidRPr="00CD2BDF">
        <w:rPr>
          <w:color w:val="000000"/>
          <w:lang w:val="en-GB"/>
        </w:rPr>
        <w:t xml:space="preserve"> Approach to Cash </w:t>
      </w:r>
      <w:r w:rsidR="00147639" w:rsidRPr="00CD2BDF">
        <w:rPr>
          <w:color w:val="000000"/>
          <w:lang w:val="en-GB"/>
        </w:rPr>
        <w:t>T</w:t>
      </w:r>
      <w:r w:rsidRPr="00CD2BDF">
        <w:rPr>
          <w:color w:val="000000"/>
          <w:lang w:val="en-GB"/>
        </w:rPr>
        <w:t>ransfer</w:t>
      </w:r>
      <w:r w:rsidR="0042357B">
        <w:rPr>
          <w:color w:val="000000"/>
          <w:lang w:val="en-GB"/>
        </w:rPr>
        <w:t>s</w:t>
      </w:r>
      <w:r w:rsidRPr="00CD2BDF">
        <w:rPr>
          <w:color w:val="000000"/>
          <w:lang w:val="en-GB"/>
        </w:rPr>
        <w:t xml:space="preserve"> will be used jointly with the </w:t>
      </w:r>
      <w:r w:rsidR="0042357B">
        <w:rPr>
          <w:color w:val="000000"/>
          <w:lang w:val="en-GB"/>
        </w:rPr>
        <w:t>United Nations</w:t>
      </w:r>
      <w:r w:rsidR="0042357B" w:rsidRPr="00CD2BDF">
        <w:rPr>
          <w:color w:val="000000"/>
          <w:lang w:val="en-GB"/>
        </w:rPr>
        <w:t xml:space="preserve"> </w:t>
      </w:r>
      <w:r w:rsidR="0042357B">
        <w:rPr>
          <w:color w:val="000000"/>
          <w:lang w:val="en-GB"/>
        </w:rPr>
        <w:t>s</w:t>
      </w:r>
      <w:r w:rsidRPr="00CD2BDF">
        <w:rPr>
          <w:color w:val="000000"/>
          <w:lang w:val="en-GB"/>
        </w:rPr>
        <w:t xml:space="preserve">ystem and </w:t>
      </w:r>
      <w:r w:rsidR="001B6FF2">
        <w:rPr>
          <w:color w:val="000000"/>
          <w:lang w:val="en-GB"/>
        </w:rPr>
        <w:t xml:space="preserve">national </w:t>
      </w:r>
      <w:r w:rsidR="0042357B">
        <w:rPr>
          <w:color w:val="000000"/>
          <w:lang w:val="en-GB"/>
        </w:rPr>
        <w:t>a</w:t>
      </w:r>
      <w:r w:rsidRPr="00CD2BDF">
        <w:rPr>
          <w:color w:val="000000"/>
          <w:lang w:val="en-GB"/>
        </w:rPr>
        <w:t>gencies</w:t>
      </w:r>
      <w:r w:rsidR="00F54D76" w:rsidRPr="00CD2BDF">
        <w:rPr>
          <w:color w:val="000000"/>
          <w:lang w:val="en-GB"/>
        </w:rPr>
        <w:t>,</w:t>
      </w:r>
      <w:r w:rsidRPr="00CD2BDF">
        <w:rPr>
          <w:color w:val="000000"/>
          <w:lang w:val="en-GB"/>
        </w:rPr>
        <w:t xml:space="preserve"> </w:t>
      </w:r>
      <w:r w:rsidR="00F54D76" w:rsidRPr="00CD2BDF">
        <w:rPr>
          <w:color w:val="000000"/>
          <w:lang w:val="en-GB"/>
        </w:rPr>
        <w:t xml:space="preserve">both as a risk mitigation strategy and </w:t>
      </w:r>
      <w:r w:rsidR="0042357B">
        <w:rPr>
          <w:color w:val="000000"/>
          <w:lang w:val="en-GB"/>
        </w:rPr>
        <w:t xml:space="preserve">a </w:t>
      </w:r>
      <w:r w:rsidR="00F54D76" w:rsidRPr="00CD2BDF">
        <w:rPr>
          <w:color w:val="000000"/>
          <w:lang w:val="en-GB"/>
        </w:rPr>
        <w:t>capacity</w:t>
      </w:r>
      <w:r w:rsidR="0042357B">
        <w:rPr>
          <w:color w:val="000000"/>
          <w:lang w:val="en-GB"/>
        </w:rPr>
        <w:t>-</w:t>
      </w:r>
      <w:r w:rsidR="00F54D76" w:rsidRPr="00CD2BDF">
        <w:rPr>
          <w:color w:val="000000"/>
          <w:lang w:val="en-GB"/>
        </w:rPr>
        <w:t xml:space="preserve">building measure to strength national ownership and sustainability of the results. </w:t>
      </w:r>
      <w:r w:rsidRPr="00CD2BDF">
        <w:rPr>
          <w:color w:val="000000"/>
          <w:lang w:val="en-GB"/>
        </w:rPr>
        <w:t>Direct implementation will be employed</w:t>
      </w:r>
      <w:r w:rsidR="0042357B">
        <w:rPr>
          <w:color w:val="000000"/>
          <w:lang w:val="en-GB"/>
        </w:rPr>
        <w:t>,</w:t>
      </w:r>
      <w:r w:rsidR="00CA5B38" w:rsidRPr="00CD2BDF">
        <w:rPr>
          <w:color w:val="000000"/>
          <w:lang w:val="en-GB"/>
        </w:rPr>
        <w:t xml:space="preserve"> where need</w:t>
      </w:r>
      <w:r w:rsidR="00147639" w:rsidRPr="00CD2BDF">
        <w:rPr>
          <w:color w:val="000000"/>
          <w:lang w:val="en-GB"/>
        </w:rPr>
        <w:t>ed</w:t>
      </w:r>
      <w:r w:rsidR="0042357B">
        <w:rPr>
          <w:color w:val="000000"/>
          <w:lang w:val="en-GB"/>
        </w:rPr>
        <w:t>,</w:t>
      </w:r>
      <w:r w:rsidRPr="00CD2BDF">
        <w:rPr>
          <w:color w:val="000000"/>
          <w:lang w:val="en-GB"/>
        </w:rPr>
        <w:t xml:space="preserve"> to </w:t>
      </w:r>
      <w:r w:rsidR="001B6FF2">
        <w:rPr>
          <w:color w:val="000000"/>
          <w:lang w:val="en-GB"/>
        </w:rPr>
        <w:t>ensure</w:t>
      </w:r>
      <w:r w:rsidR="001B6FF2" w:rsidRPr="00CD2BDF">
        <w:rPr>
          <w:color w:val="000000"/>
          <w:lang w:val="en-GB"/>
        </w:rPr>
        <w:t xml:space="preserve"> </w:t>
      </w:r>
      <w:r w:rsidRPr="00CD2BDF">
        <w:rPr>
          <w:color w:val="000000"/>
          <w:lang w:val="en-GB"/>
        </w:rPr>
        <w:t xml:space="preserve">timely and pertinent turnaround and UNDP accountability in complex programming situations and in </w:t>
      </w:r>
      <w:r w:rsidR="001B6FF2">
        <w:rPr>
          <w:color w:val="000000"/>
          <w:lang w:val="en-GB"/>
        </w:rPr>
        <w:t>response to</w:t>
      </w:r>
      <w:r w:rsidRPr="00CD2BDF">
        <w:rPr>
          <w:color w:val="000000"/>
          <w:lang w:val="en-GB"/>
        </w:rPr>
        <w:t xml:space="preserve"> partner requests. Based on demand-driven </w:t>
      </w:r>
      <w:r w:rsidRPr="00CD2BDF">
        <w:rPr>
          <w:color w:val="000000"/>
          <w:lang w:val="en-GB"/>
        </w:rPr>
        <w:lastRenderedPageBreak/>
        <w:t>service provision and delivery, UNDP will provide support to national implementing partners</w:t>
      </w:r>
      <w:r w:rsidR="00F70D4D" w:rsidRPr="00CD2BDF">
        <w:rPr>
          <w:color w:val="000000"/>
          <w:lang w:val="en-GB"/>
        </w:rPr>
        <w:t xml:space="preserve">, civil society and academia, </w:t>
      </w:r>
      <w:r w:rsidR="001B6FF2">
        <w:rPr>
          <w:color w:val="000000"/>
          <w:lang w:val="en-GB"/>
        </w:rPr>
        <w:t>in</w:t>
      </w:r>
      <w:r w:rsidR="001B6FF2" w:rsidRPr="00CD2BDF">
        <w:rPr>
          <w:color w:val="000000"/>
          <w:lang w:val="en-GB"/>
        </w:rPr>
        <w:t xml:space="preserve"> </w:t>
      </w:r>
      <w:r w:rsidR="001B6FF2">
        <w:rPr>
          <w:color w:val="000000"/>
          <w:lang w:val="en-GB"/>
        </w:rPr>
        <w:t>bridging</w:t>
      </w:r>
      <w:r w:rsidRPr="00CD2BDF">
        <w:rPr>
          <w:color w:val="000000"/>
          <w:lang w:val="en-GB"/>
        </w:rPr>
        <w:t xml:space="preserve"> immediate capacity gaps while ensuring that long-term capacity</w:t>
      </w:r>
      <w:r w:rsidR="0042357B">
        <w:rPr>
          <w:color w:val="000000"/>
          <w:lang w:val="en-GB"/>
        </w:rPr>
        <w:t>-</w:t>
      </w:r>
      <w:r w:rsidRPr="00CD2BDF">
        <w:rPr>
          <w:color w:val="000000"/>
          <w:lang w:val="en-GB"/>
        </w:rPr>
        <w:t xml:space="preserve">building </w:t>
      </w:r>
      <w:r w:rsidR="001B6FF2">
        <w:rPr>
          <w:color w:val="000000"/>
          <w:lang w:val="en-GB"/>
        </w:rPr>
        <w:t>takes</w:t>
      </w:r>
      <w:r w:rsidRPr="00CD2BDF">
        <w:rPr>
          <w:color w:val="000000"/>
          <w:lang w:val="en-GB"/>
        </w:rPr>
        <w:t xml:space="preserve"> place for sustainability beyond this programme.  </w:t>
      </w:r>
    </w:p>
    <w:p w14:paraId="4D0A1DDB" w14:textId="423E91F7" w:rsidR="00BF1036" w:rsidRPr="00CD2BDF" w:rsidRDefault="00BF1036" w:rsidP="00816471">
      <w:pPr>
        <w:numPr>
          <w:ilvl w:val="0"/>
          <w:numId w:val="3"/>
        </w:numPr>
        <w:tabs>
          <w:tab w:val="left" w:pos="1800"/>
        </w:tabs>
        <w:spacing w:after="120"/>
        <w:ind w:left="1440" w:right="1210" w:firstLine="0"/>
        <w:jc w:val="both"/>
        <w:rPr>
          <w:color w:val="000000"/>
          <w:lang w:val="en-GB"/>
        </w:rPr>
      </w:pPr>
      <w:r w:rsidRPr="00CD2BDF">
        <w:rPr>
          <w:color w:val="000000"/>
          <w:lang w:val="en-GB"/>
        </w:rPr>
        <w:t>Given recurrent</w:t>
      </w:r>
      <w:r w:rsidR="00741458" w:rsidRPr="00CD2BDF">
        <w:rPr>
          <w:color w:val="000000"/>
          <w:lang w:val="en-GB"/>
        </w:rPr>
        <w:t xml:space="preserve"> emergency situations</w:t>
      </w:r>
      <w:r w:rsidR="007476D8" w:rsidRPr="00CD2BDF">
        <w:rPr>
          <w:rStyle w:val="FootnoteReference"/>
          <w:color w:val="000000"/>
          <w:lang w:val="en-GB"/>
        </w:rPr>
        <w:footnoteReference w:id="36"/>
      </w:r>
      <w:r w:rsidR="00741458" w:rsidRPr="00CD2BDF">
        <w:rPr>
          <w:color w:val="000000"/>
          <w:lang w:val="en-GB"/>
        </w:rPr>
        <w:t xml:space="preserve"> in </w:t>
      </w:r>
      <w:r w:rsidR="00123D70" w:rsidRPr="00CD2BDF">
        <w:rPr>
          <w:color w:val="000000"/>
          <w:lang w:val="en-GB"/>
        </w:rPr>
        <w:t>the country</w:t>
      </w:r>
      <w:r w:rsidR="00741458" w:rsidRPr="00CD2BDF">
        <w:rPr>
          <w:color w:val="000000"/>
          <w:lang w:val="en-GB"/>
        </w:rPr>
        <w:t xml:space="preserve">, accelerated procedures </w:t>
      </w:r>
      <w:r w:rsidRPr="00CD2BDF">
        <w:rPr>
          <w:color w:val="000000"/>
          <w:lang w:val="en-GB"/>
        </w:rPr>
        <w:t>will</w:t>
      </w:r>
      <w:r w:rsidR="00741458" w:rsidRPr="00CD2BDF">
        <w:rPr>
          <w:color w:val="000000"/>
          <w:lang w:val="en-GB"/>
        </w:rPr>
        <w:t xml:space="preserve"> be adopted to provide rapid response to crisis situations</w:t>
      </w:r>
      <w:r w:rsidR="0042357B">
        <w:rPr>
          <w:color w:val="000000"/>
          <w:lang w:val="en-GB"/>
        </w:rPr>
        <w:t>,</w:t>
      </w:r>
      <w:r w:rsidR="00741458" w:rsidRPr="00CD2BDF">
        <w:rPr>
          <w:color w:val="000000"/>
          <w:lang w:val="en-GB"/>
        </w:rPr>
        <w:t xml:space="preserve"> </w:t>
      </w:r>
      <w:r w:rsidR="005E7F0F" w:rsidRPr="00CD2BDF">
        <w:rPr>
          <w:color w:val="000000"/>
          <w:lang w:val="en-GB"/>
        </w:rPr>
        <w:t>including</w:t>
      </w:r>
      <w:r w:rsidR="00741458" w:rsidRPr="00CD2BDF">
        <w:rPr>
          <w:color w:val="000000"/>
          <w:lang w:val="en-GB"/>
        </w:rPr>
        <w:t xml:space="preserve"> new requests for UNDP support. In accordance with Executive Board decision </w:t>
      </w:r>
      <w:r w:rsidR="00291826" w:rsidRPr="00291826">
        <w:rPr>
          <w:color w:val="000000"/>
        </w:rPr>
        <w:t>2</w:t>
      </w:r>
      <w:r w:rsidR="00741458" w:rsidRPr="00291826">
        <w:rPr>
          <w:color w:val="000000"/>
        </w:rPr>
        <w:t>013/</w:t>
      </w:r>
      <w:r w:rsidR="006D6DB5">
        <w:rPr>
          <w:color w:val="000000"/>
        </w:rPr>
        <w:t>9</w:t>
      </w:r>
      <w:r w:rsidR="00741458" w:rsidRPr="00CD2BDF">
        <w:rPr>
          <w:color w:val="000000"/>
          <w:lang w:val="en-GB"/>
        </w:rPr>
        <w:t xml:space="preserve">, all direct costs associated with project implementation should be charged to the concerned projects. </w:t>
      </w:r>
      <w:r w:rsidR="00AC4E57" w:rsidRPr="00CD2BDF">
        <w:rPr>
          <w:lang w:val="en-GB"/>
        </w:rPr>
        <w:t xml:space="preserve">Interventions will be scaled up or down depending on the availability of resources. </w:t>
      </w:r>
      <w:r w:rsidR="00741458" w:rsidRPr="00CD2BDF">
        <w:rPr>
          <w:color w:val="000000"/>
          <w:lang w:val="en-GB"/>
        </w:rPr>
        <w:t xml:space="preserve">UNDP will review structures and procedures to ensure they are </w:t>
      </w:r>
      <w:r w:rsidR="0042357B">
        <w:rPr>
          <w:color w:val="000000"/>
          <w:lang w:val="en-GB"/>
        </w:rPr>
        <w:t>‘</w:t>
      </w:r>
      <w:r w:rsidR="00741458" w:rsidRPr="00CD2BDF">
        <w:rPr>
          <w:color w:val="000000"/>
          <w:lang w:val="en-GB"/>
        </w:rPr>
        <w:t>fit for purpose</w:t>
      </w:r>
      <w:r w:rsidR="0042357B">
        <w:rPr>
          <w:color w:val="000000"/>
          <w:lang w:val="en-GB"/>
        </w:rPr>
        <w:t>’</w:t>
      </w:r>
      <w:r w:rsidR="00741458" w:rsidRPr="00CD2BDF">
        <w:rPr>
          <w:color w:val="000000"/>
          <w:lang w:val="en-GB"/>
        </w:rPr>
        <w:t xml:space="preserve"> when implementing the programme, and agile enough to adapt to evolving contexts, United Nations reforms and the Strategic Plan</w:t>
      </w:r>
      <w:r w:rsidR="00350787">
        <w:rPr>
          <w:color w:val="000000"/>
          <w:lang w:val="en-GB"/>
        </w:rPr>
        <w:t>, 2018-2021</w:t>
      </w:r>
      <w:r w:rsidR="00741458" w:rsidRPr="00CD2BDF">
        <w:rPr>
          <w:color w:val="000000"/>
          <w:lang w:val="en-GB"/>
        </w:rPr>
        <w:t>.</w:t>
      </w:r>
      <w:r w:rsidR="00565DAD" w:rsidRPr="00CD2BDF">
        <w:rPr>
          <w:color w:val="000000"/>
          <w:lang w:val="en-GB"/>
        </w:rPr>
        <w:t xml:space="preserve"> </w:t>
      </w:r>
      <w:r w:rsidR="00741458" w:rsidRPr="00CD2BDF">
        <w:rPr>
          <w:color w:val="000000"/>
          <w:lang w:val="en-GB"/>
        </w:rPr>
        <w:t xml:space="preserve">UNDP will </w:t>
      </w:r>
      <w:r w:rsidR="009C60F1" w:rsidRPr="00CD2BDF">
        <w:rPr>
          <w:color w:val="000000"/>
          <w:lang w:val="en-GB"/>
        </w:rPr>
        <w:t xml:space="preserve">ensure </w:t>
      </w:r>
      <w:r w:rsidR="00350787">
        <w:rPr>
          <w:color w:val="000000"/>
          <w:lang w:val="en-GB"/>
        </w:rPr>
        <w:t xml:space="preserve">that </w:t>
      </w:r>
      <w:r w:rsidR="00741458" w:rsidRPr="00CD2BDF">
        <w:rPr>
          <w:color w:val="000000"/>
          <w:lang w:val="en-GB"/>
        </w:rPr>
        <w:t xml:space="preserve">adequate human capacities, structures and management systems </w:t>
      </w:r>
      <w:r w:rsidR="006E1978" w:rsidRPr="00CD2BDF">
        <w:rPr>
          <w:color w:val="000000"/>
          <w:lang w:val="en-GB"/>
        </w:rPr>
        <w:t xml:space="preserve">are </w:t>
      </w:r>
      <w:r w:rsidR="00741458" w:rsidRPr="00CD2BDF">
        <w:rPr>
          <w:color w:val="000000"/>
          <w:lang w:val="en-GB"/>
        </w:rPr>
        <w:t xml:space="preserve">in place to implement the programme successfully. Technical and functional staff capacity and requisite competencies will be developed through training, detail and exchange programmes. </w:t>
      </w:r>
    </w:p>
    <w:p w14:paraId="6EFADA4E" w14:textId="37242669" w:rsidR="00147639" w:rsidRPr="00CD2BDF" w:rsidRDefault="00741458" w:rsidP="00816471">
      <w:pPr>
        <w:numPr>
          <w:ilvl w:val="0"/>
          <w:numId w:val="3"/>
        </w:numPr>
        <w:tabs>
          <w:tab w:val="left" w:pos="1800"/>
        </w:tabs>
        <w:spacing w:after="120"/>
        <w:ind w:left="1440" w:right="1210" w:firstLine="0"/>
        <w:jc w:val="both"/>
        <w:rPr>
          <w:color w:val="000000"/>
          <w:lang w:val="en-GB"/>
        </w:rPr>
      </w:pPr>
      <w:r w:rsidRPr="00CD2BDF">
        <w:rPr>
          <w:color w:val="000000"/>
          <w:lang w:val="en-GB"/>
        </w:rPr>
        <w:t>The country office</w:t>
      </w:r>
      <w:r w:rsidR="006542B7" w:rsidRPr="00CD2BDF">
        <w:rPr>
          <w:color w:val="000000"/>
          <w:lang w:val="en-GB"/>
        </w:rPr>
        <w:t xml:space="preserve"> will tap </w:t>
      </w:r>
      <w:r w:rsidR="00350787">
        <w:rPr>
          <w:color w:val="000000"/>
          <w:lang w:val="en-GB"/>
        </w:rPr>
        <w:t>into</w:t>
      </w:r>
      <w:r w:rsidR="00350787" w:rsidRPr="00CD2BDF">
        <w:rPr>
          <w:color w:val="000000"/>
          <w:lang w:val="en-GB"/>
        </w:rPr>
        <w:t xml:space="preserve"> </w:t>
      </w:r>
      <w:r w:rsidR="00350787">
        <w:rPr>
          <w:color w:val="000000"/>
          <w:lang w:val="en-GB"/>
        </w:rPr>
        <w:t>UNDP</w:t>
      </w:r>
      <w:r w:rsidR="00350787" w:rsidRPr="00CD2BDF">
        <w:rPr>
          <w:color w:val="000000"/>
          <w:lang w:val="en-GB"/>
        </w:rPr>
        <w:t xml:space="preserve"> </w:t>
      </w:r>
      <w:r w:rsidR="00CA5B38" w:rsidRPr="00CD2BDF">
        <w:rPr>
          <w:color w:val="000000"/>
          <w:lang w:val="en-GB"/>
        </w:rPr>
        <w:t xml:space="preserve">global and regional </w:t>
      </w:r>
      <w:r w:rsidRPr="00CD2BDF">
        <w:rPr>
          <w:color w:val="000000"/>
          <w:lang w:val="en-GB"/>
        </w:rPr>
        <w:t xml:space="preserve">business service </w:t>
      </w:r>
      <w:r w:rsidR="00C57325" w:rsidRPr="00CD2BDF">
        <w:rPr>
          <w:color w:val="000000"/>
          <w:lang w:val="en-GB"/>
        </w:rPr>
        <w:t>cent</w:t>
      </w:r>
      <w:r w:rsidR="00350787">
        <w:rPr>
          <w:color w:val="000000"/>
          <w:lang w:val="en-GB"/>
        </w:rPr>
        <w:t>r</w:t>
      </w:r>
      <w:r w:rsidR="00C57325" w:rsidRPr="00CD2BDF">
        <w:rPr>
          <w:color w:val="000000"/>
          <w:lang w:val="en-GB"/>
        </w:rPr>
        <w:t>es</w:t>
      </w:r>
      <w:r w:rsidR="00CA5B38" w:rsidRPr="00CD2BDF">
        <w:rPr>
          <w:color w:val="000000"/>
          <w:lang w:val="en-GB"/>
        </w:rPr>
        <w:t xml:space="preserve"> </w:t>
      </w:r>
      <w:r w:rsidRPr="00CD2BDF">
        <w:rPr>
          <w:color w:val="000000"/>
          <w:lang w:val="en-GB"/>
        </w:rPr>
        <w:t xml:space="preserve">to address </w:t>
      </w:r>
      <w:r w:rsidR="006542B7" w:rsidRPr="00CD2BDF">
        <w:rPr>
          <w:color w:val="000000"/>
          <w:lang w:val="en-GB"/>
        </w:rPr>
        <w:t>strategic cap</w:t>
      </w:r>
      <w:r w:rsidR="00BF1036" w:rsidRPr="00CD2BDF">
        <w:rPr>
          <w:color w:val="000000"/>
          <w:lang w:val="en-GB"/>
        </w:rPr>
        <w:t xml:space="preserve">acity </w:t>
      </w:r>
      <w:r w:rsidRPr="00CD2BDF">
        <w:rPr>
          <w:color w:val="000000"/>
          <w:lang w:val="en-GB"/>
        </w:rPr>
        <w:t xml:space="preserve">needs </w:t>
      </w:r>
      <w:r w:rsidR="006542B7" w:rsidRPr="00CD2BDF">
        <w:rPr>
          <w:color w:val="000000"/>
          <w:lang w:val="en-GB"/>
        </w:rPr>
        <w:t>while</w:t>
      </w:r>
      <w:r w:rsidRPr="00CD2BDF">
        <w:rPr>
          <w:color w:val="000000"/>
          <w:lang w:val="en-GB"/>
        </w:rPr>
        <w:t xml:space="preserve"> strengthen</w:t>
      </w:r>
      <w:r w:rsidR="006542B7" w:rsidRPr="00CD2BDF">
        <w:rPr>
          <w:color w:val="000000"/>
          <w:lang w:val="en-GB"/>
        </w:rPr>
        <w:t>ing</w:t>
      </w:r>
      <w:r w:rsidRPr="00CD2BDF">
        <w:rPr>
          <w:color w:val="000000"/>
          <w:lang w:val="en-GB"/>
        </w:rPr>
        <w:t xml:space="preserve"> the capacities of </w:t>
      </w:r>
      <w:r w:rsidR="00350787">
        <w:rPr>
          <w:color w:val="000000"/>
          <w:lang w:val="en-GB"/>
        </w:rPr>
        <w:t>n</w:t>
      </w:r>
      <w:r w:rsidRPr="00CD2BDF">
        <w:rPr>
          <w:color w:val="000000"/>
          <w:lang w:val="en-GB"/>
        </w:rPr>
        <w:t xml:space="preserve">ational </w:t>
      </w:r>
      <w:r w:rsidR="00350787">
        <w:rPr>
          <w:color w:val="000000"/>
          <w:lang w:val="en-GB"/>
        </w:rPr>
        <w:t>i</w:t>
      </w:r>
      <w:r w:rsidRPr="00CD2BDF">
        <w:rPr>
          <w:color w:val="000000"/>
          <w:lang w:val="en-GB"/>
        </w:rPr>
        <w:t>mplementation entities to enhance</w:t>
      </w:r>
      <w:r w:rsidR="006542B7" w:rsidRPr="00CD2BDF">
        <w:rPr>
          <w:color w:val="000000"/>
          <w:lang w:val="en-GB"/>
        </w:rPr>
        <w:t xml:space="preserve"> </w:t>
      </w:r>
      <w:r w:rsidRPr="00CD2BDF">
        <w:rPr>
          <w:color w:val="000000"/>
          <w:lang w:val="en-GB"/>
        </w:rPr>
        <w:t xml:space="preserve">delivery </w:t>
      </w:r>
      <w:r w:rsidR="006542B7" w:rsidRPr="00CD2BDF">
        <w:rPr>
          <w:color w:val="000000"/>
          <w:lang w:val="en-GB"/>
        </w:rPr>
        <w:t>of the programme</w:t>
      </w:r>
      <w:r w:rsidR="0043139F" w:rsidRPr="00CD2BDF">
        <w:rPr>
          <w:color w:val="000000"/>
          <w:lang w:val="en-GB"/>
        </w:rPr>
        <w:t>.</w:t>
      </w:r>
      <w:r w:rsidR="00BF1036" w:rsidRPr="00CD2BDF">
        <w:rPr>
          <w:color w:val="000000"/>
          <w:lang w:val="en-GB"/>
        </w:rPr>
        <w:t xml:space="preserve"> </w:t>
      </w:r>
      <w:r w:rsidR="0043139F" w:rsidRPr="00CD2BDF">
        <w:rPr>
          <w:color w:val="000000"/>
          <w:lang w:val="en-GB"/>
        </w:rPr>
        <w:t xml:space="preserve">UNDP has identified </w:t>
      </w:r>
      <w:r w:rsidR="00B853DF" w:rsidRPr="00CD2BDF">
        <w:rPr>
          <w:color w:val="000000"/>
          <w:lang w:val="en-GB"/>
        </w:rPr>
        <w:t xml:space="preserve">four </w:t>
      </w:r>
      <w:r w:rsidR="0043139F" w:rsidRPr="00CD2BDF">
        <w:rPr>
          <w:color w:val="000000"/>
          <w:lang w:val="en-GB"/>
        </w:rPr>
        <w:t>risks to the proposed programme</w:t>
      </w:r>
      <w:r w:rsidR="00D46AE5" w:rsidRPr="00CD2BDF">
        <w:rPr>
          <w:color w:val="000000"/>
          <w:lang w:val="en-GB"/>
        </w:rPr>
        <w:t>:</w:t>
      </w:r>
      <w:r w:rsidR="0043139F" w:rsidRPr="00CD2BDF">
        <w:rPr>
          <w:color w:val="000000"/>
          <w:lang w:val="en-GB"/>
        </w:rPr>
        <w:t xml:space="preserve"> (</w:t>
      </w:r>
      <w:r w:rsidR="00350787">
        <w:rPr>
          <w:color w:val="000000"/>
          <w:lang w:val="en-GB"/>
        </w:rPr>
        <w:t>a</w:t>
      </w:r>
      <w:r w:rsidR="0043139F" w:rsidRPr="00CD2BDF">
        <w:rPr>
          <w:color w:val="000000"/>
          <w:lang w:val="en-GB"/>
        </w:rPr>
        <w:t xml:space="preserve">) </w:t>
      </w:r>
      <w:r w:rsidR="001B6FF2" w:rsidRPr="00CD2BDF">
        <w:rPr>
          <w:color w:val="000000"/>
          <w:lang w:val="en-GB"/>
        </w:rPr>
        <w:t>inadequa</w:t>
      </w:r>
      <w:r w:rsidR="001B6FF2">
        <w:rPr>
          <w:color w:val="000000"/>
          <w:lang w:val="en-GB"/>
        </w:rPr>
        <w:t>te</w:t>
      </w:r>
      <w:r w:rsidR="001B6FF2" w:rsidRPr="00CD2BDF">
        <w:rPr>
          <w:color w:val="000000"/>
          <w:lang w:val="en-GB"/>
        </w:rPr>
        <w:t xml:space="preserve"> </w:t>
      </w:r>
      <w:r w:rsidR="0043139F" w:rsidRPr="00CD2BDF">
        <w:rPr>
          <w:color w:val="000000"/>
          <w:lang w:val="en-GB"/>
        </w:rPr>
        <w:t xml:space="preserve">human and financial resources; </w:t>
      </w:r>
      <w:r w:rsidR="00AD72CC" w:rsidRPr="00CD2BDF">
        <w:rPr>
          <w:color w:val="000000"/>
          <w:lang w:val="en-GB"/>
        </w:rPr>
        <w:t>(</w:t>
      </w:r>
      <w:r w:rsidR="00350787">
        <w:rPr>
          <w:color w:val="000000"/>
          <w:lang w:val="en-GB"/>
        </w:rPr>
        <w:t>b</w:t>
      </w:r>
      <w:r w:rsidR="00AD72CC" w:rsidRPr="00CD2BDF">
        <w:rPr>
          <w:color w:val="000000"/>
          <w:lang w:val="en-GB"/>
        </w:rPr>
        <w:t>)</w:t>
      </w:r>
      <w:r w:rsidR="00350787">
        <w:rPr>
          <w:color w:val="000000"/>
          <w:lang w:val="en-GB"/>
        </w:rPr>
        <w:t> </w:t>
      </w:r>
      <w:r w:rsidR="00AD72CC" w:rsidRPr="00CD2BDF">
        <w:rPr>
          <w:color w:val="000000"/>
          <w:lang w:val="en-GB"/>
        </w:rPr>
        <w:t>entrenched intersecting inequalities</w:t>
      </w:r>
      <w:r w:rsidR="00350787">
        <w:rPr>
          <w:color w:val="000000"/>
          <w:lang w:val="en-GB"/>
        </w:rPr>
        <w:t>;</w:t>
      </w:r>
      <w:r w:rsidR="00AD72CC" w:rsidRPr="00CD2BDF">
        <w:rPr>
          <w:color w:val="000000"/>
          <w:lang w:val="en-GB"/>
        </w:rPr>
        <w:t xml:space="preserve"> </w:t>
      </w:r>
      <w:r w:rsidR="0043139F" w:rsidRPr="00CD2BDF">
        <w:rPr>
          <w:color w:val="000000"/>
          <w:lang w:val="en-GB"/>
        </w:rPr>
        <w:t>(</w:t>
      </w:r>
      <w:r w:rsidR="00350787">
        <w:rPr>
          <w:color w:val="000000"/>
          <w:lang w:val="en-GB"/>
        </w:rPr>
        <w:t>c</w:t>
      </w:r>
      <w:r w:rsidR="0043139F" w:rsidRPr="00CD2BDF">
        <w:rPr>
          <w:color w:val="000000"/>
          <w:lang w:val="en-GB"/>
        </w:rPr>
        <w:t>) limited absorptive capacity; and (</w:t>
      </w:r>
      <w:r w:rsidR="00350787">
        <w:rPr>
          <w:color w:val="000000"/>
          <w:lang w:val="en-GB"/>
        </w:rPr>
        <w:t>d</w:t>
      </w:r>
      <w:r w:rsidR="0043139F" w:rsidRPr="00CD2BDF">
        <w:rPr>
          <w:color w:val="000000"/>
          <w:lang w:val="en-GB"/>
        </w:rPr>
        <w:t>)</w:t>
      </w:r>
      <w:r w:rsidR="001B6FF2">
        <w:rPr>
          <w:color w:val="000000"/>
          <w:lang w:val="en-GB"/>
        </w:rPr>
        <w:t xml:space="preserve"> </w:t>
      </w:r>
      <w:r w:rsidR="0043139F" w:rsidRPr="00CD2BDF">
        <w:rPr>
          <w:color w:val="000000"/>
          <w:lang w:val="en-GB"/>
        </w:rPr>
        <w:t xml:space="preserve">natural disasters </w:t>
      </w:r>
      <w:r w:rsidR="00BE5145" w:rsidRPr="00CD2BDF">
        <w:rPr>
          <w:color w:val="000000"/>
          <w:lang w:val="en-GB"/>
        </w:rPr>
        <w:t>(mainly droughts)</w:t>
      </w:r>
      <w:r w:rsidR="00350787">
        <w:rPr>
          <w:color w:val="000000"/>
          <w:lang w:val="en-GB"/>
        </w:rPr>
        <w:t>.</w:t>
      </w:r>
      <w:r w:rsidR="004E2D7F" w:rsidRPr="00CD2BDF">
        <w:rPr>
          <w:rStyle w:val="FootnoteReference"/>
          <w:color w:val="000000"/>
          <w:lang w:val="en-GB"/>
        </w:rPr>
        <w:footnoteReference w:id="37"/>
      </w:r>
      <w:r w:rsidRPr="00CD2BDF">
        <w:rPr>
          <w:color w:val="000000"/>
          <w:lang w:val="en-GB"/>
        </w:rPr>
        <w:t xml:space="preserve"> </w:t>
      </w:r>
      <w:r w:rsidR="00147639" w:rsidRPr="00CD2BDF">
        <w:rPr>
          <w:color w:val="000000"/>
          <w:lang w:val="en-GB"/>
        </w:rPr>
        <w:t xml:space="preserve">To address these, </w:t>
      </w:r>
      <w:r w:rsidR="00350787" w:rsidRPr="009D1DD2">
        <w:rPr>
          <w:color w:val="000000"/>
          <w:lang w:val="en-GB"/>
        </w:rPr>
        <w:t xml:space="preserve">in collaboration with national stakeholders, </w:t>
      </w:r>
      <w:r w:rsidR="00147639" w:rsidRPr="00CD2BDF">
        <w:rPr>
          <w:color w:val="000000"/>
          <w:lang w:val="en-GB"/>
        </w:rPr>
        <w:t xml:space="preserve">a detailed risk mitigation plan will be developed during </w:t>
      </w:r>
      <w:r w:rsidR="00350787">
        <w:rPr>
          <w:color w:val="000000"/>
          <w:lang w:val="en-GB"/>
        </w:rPr>
        <w:t xml:space="preserve">the </w:t>
      </w:r>
      <w:r w:rsidR="00147639" w:rsidRPr="00CD2BDF">
        <w:rPr>
          <w:color w:val="000000"/>
          <w:lang w:val="en-GB"/>
        </w:rPr>
        <w:t>preparation of programmes</w:t>
      </w:r>
      <w:r w:rsidR="00350787">
        <w:rPr>
          <w:color w:val="000000"/>
          <w:lang w:val="en-GB"/>
        </w:rPr>
        <w:t xml:space="preserve"> and </w:t>
      </w:r>
      <w:r w:rsidR="00147639" w:rsidRPr="00CD2BDF">
        <w:rPr>
          <w:color w:val="000000"/>
          <w:lang w:val="en-GB"/>
        </w:rPr>
        <w:t>projects</w:t>
      </w:r>
      <w:r w:rsidR="00350787">
        <w:rPr>
          <w:color w:val="000000"/>
          <w:lang w:val="en-GB"/>
        </w:rPr>
        <w:t xml:space="preserve"> </w:t>
      </w:r>
      <w:r w:rsidR="00147639" w:rsidRPr="00CD2BDF">
        <w:rPr>
          <w:color w:val="000000"/>
          <w:lang w:val="en-GB"/>
        </w:rPr>
        <w:t xml:space="preserve">to </w:t>
      </w:r>
      <w:r w:rsidR="00350787">
        <w:rPr>
          <w:color w:val="000000"/>
          <w:lang w:val="en-GB"/>
        </w:rPr>
        <w:t>amplify</w:t>
      </w:r>
      <w:r w:rsidR="00147639" w:rsidRPr="00CD2BDF">
        <w:rPr>
          <w:color w:val="000000"/>
          <w:lang w:val="en-GB"/>
        </w:rPr>
        <w:t xml:space="preserve"> national ownership. </w:t>
      </w:r>
      <w:r w:rsidR="000E12B3" w:rsidRPr="00CD2BDF">
        <w:rPr>
          <w:color w:val="000000"/>
          <w:lang w:val="en-GB"/>
        </w:rPr>
        <w:t>Elements of the risk mitigation plan will include: (</w:t>
      </w:r>
      <w:r w:rsidR="00AD72CC" w:rsidRPr="00CD2BDF">
        <w:rPr>
          <w:color w:val="000000"/>
          <w:lang w:val="en-GB"/>
        </w:rPr>
        <w:t>a</w:t>
      </w:r>
      <w:r w:rsidR="000E12B3" w:rsidRPr="00CD2BDF">
        <w:rPr>
          <w:color w:val="000000"/>
          <w:lang w:val="en-GB"/>
        </w:rPr>
        <w:t>) strategic partnerships for resource mobili</w:t>
      </w:r>
      <w:r w:rsidR="00350787">
        <w:rPr>
          <w:color w:val="000000"/>
          <w:lang w:val="en-GB"/>
        </w:rPr>
        <w:t>z</w:t>
      </w:r>
      <w:r w:rsidR="000E12B3" w:rsidRPr="00CD2BDF">
        <w:rPr>
          <w:color w:val="000000"/>
          <w:lang w:val="en-GB"/>
        </w:rPr>
        <w:t>ation</w:t>
      </w:r>
      <w:r w:rsidR="00350787">
        <w:rPr>
          <w:color w:val="000000"/>
          <w:lang w:val="en-GB"/>
        </w:rPr>
        <w:t>,</w:t>
      </w:r>
      <w:r w:rsidR="000E12B3" w:rsidRPr="00CD2BDF">
        <w:rPr>
          <w:color w:val="000000"/>
          <w:lang w:val="en-GB"/>
        </w:rPr>
        <w:t xml:space="preserve"> including government cost sharing, </w:t>
      </w:r>
      <w:r w:rsidR="00E839F2" w:rsidRPr="000378B4">
        <w:rPr>
          <w:color w:val="000000"/>
          <w:lang w:val="en-GB"/>
        </w:rPr>
        <w:t xml:space="preserve">the </w:t>
      </w:r>
      <w:r w:rsidR="00E839F2">
        <w:rPr>
          <w:color w:val="000000"/>
          <w:lang w:val="en-GB"/>
        </w:rPr>
        <w:t>Green Climate Fund</w:t>
      </w:r>
      <w:r w:rsidR="000E12B3" w:rsidRPr="00CD2BDF">
        <w:rPr>
          <w:color w:val="000000"/>
          <w:lang w:val="en-GB"/>
        </w:rPr>
        <w:t>, foundations</w:t>
      </w:r>
      <w:r w:rsidR="006A5074">
        <w:rPr>
          <w:color w:val="000000"/>
          <w:lang w:val="en-GB"/>
        </w:rPr>
        <w:t>,</w:t>
      </w:r>
      <w:r w:rsidR="000E12B3" w:rsidRPr="00CD2BDF">
        <w:rPr>
          <w:color w:val="000000"/>
          <w:lang w:val="en-GB"/>
        </w:rPr>
        <w:t xml:space="preserve"> </w:t>
      </w:r>
      <w:r w:rsidR="006A5074">
        <w:rPr>
          <w:color w:val="000000"/>
          <w:lang w:val="en-GB"/>
        </w:rPr>
        <w:t>the</w:t>
      </w:r>
      <w:r w:rsidR="006A5074" w:rsidRPr="00CD2BDF">
        <w:rPr>
          <w:color w:val="000000"/>
          <w:lang w:val="en-GB"/>
        </w:rPr>
        <w:t xml:space="preserve"> </w:t>
      </w:r>
      <w:r w:rsidR="000E12B3" w:rsidRPr="00CD2BDF">
        <w:rPr>
          <w:color w:val="000000"/>
          <w:lang w:val="en-GB"/>
        </w:rPr>
        <w:t>private sector</w:t>
      </w:r>
      <w:r w:rsidR="006A5074">
        <w:rPr>
          <w:color w:val="000000"/>
          <w:lang w:val="en-GB"/>
        </w:rPr>
        <w:t>,</w:t>
      </w:r>
      <w:r w:rsidR="000E12B3" w:rsidRPr="00CD2BDF">
        <w:rPr>
          <w:color w:val="000000"/>
          <w:lang w:val="en-GB"/>
        </w:rPr>
        <w:t xml:space="preserve"> and</w:t>
      </w:r>
      <w:r w:rsidR="000E12B3" w:rsidRPr="00CD2BDF">
        <w:rPr>
          <w:lang w:val="en-GB"/>
        </w:rPr>
        <w:t xml:space="preserve"> </w:t>
      </w:r>
      <w:r w:rsidR="000E12B3" w:rsidRPr="00CD2BDF">
        <w:rPr>
          <w:color w:val="000000"/>
          <w:lang w:val="en-GB"/>
        </w:rPr>
        <w:t>non-traditional donors;</w:t>
      </w:r>
      <w:r w:rsidR="00264A34">
        <w:rPr>
          <w:color w:val="000000"/>
          <w:lang w:val="en-GB"/>
        </w:rPr>
        <w:t xml:space="preserve"> </w:t>
      </w:r>
      <w:r w:rsidR="00AD72CC" w:rsidRPr="00CD2BDF">
        <w:rPr>
          <w:color w:val="000000"/>
          <w:lang w:val="en-GB"/>
        </w:rPr>
        <w:t>(b)</w:t>
      </w:r>
      <w:r w:rsidR="001B6FF2">
        <w:rPr>
          <w:color w:val="000000"/>
          <w:lang w:val="en-GB"/>
        </w:rPr>
        <w:t> </w:t>
      </w:r>
      <w:r w:rsidR="00AD72CC" w:rsidRPr="00CD2BDF">
        <w:rPr>
          <w:color w:val="000000"/>
          <w:lang w:val="en-GB"/>
        </w:rPr>
        <w:t>targeting of marginali</w:t>
      </w:r>
      <w:r w:rsidR="00264A34">
        <w:rPr>
          <w:color w:val="000000"/>
          <w:lang w:val="en-GB"/>
        </w:rPr>
        <w:t>z</w:t>
      </w:r>
      <w:r w:rsidR="00AD72CC" w:rsidRPr="00CD2BDF">
        <w:rPr>
          <w:color w:val="000000"/>
          <w:lang w:val="en-GB"/>
        </w:rPr>
        <w:t>ed groups</w:t>
      </w:r>
      <w:r w:rsidR="000E12B3" w:rsidRPr="00CD2BDF">
        <w:rPr>
          <w:lang w:val="en-GB"/>
        </w:rPr>
        <w:t xml:space="preserve"> </w:t>
      </w:r>
      <w:r w:rsidR="000E12B3" w:rsidRPr="00CD2BDF">
        <w:rPr>
          <w:color w:val="000000"/>
          <w:lang w:val="en-GB"/>
        </w:rPr>
        <w:t>(</w:t>
      </w:r>
      <w:r w:rsidR="00AD72CC" w:rsidRPr="00CD2BDF">
        <w:rPr>
          <w:color w:val="000000"/>
          <w:lang w:val="en-GB"/>
        </w:rPr>
        <w:t>c</w:t>
      </w:r>
      <w:r w:rsidR="000E12B3" w:rsidRPr="00CD2BDF">
        <w:rPr>
          <w:color w:val="000000"/>
          <w:lang w:val="en-GB"/>
        </w:rPr>
        <w:t>) institutional capacity</w:t>
      </w:r>
      <w:r w:rsidR="00264A34">
        <w:rPr>
          <w:color w:val="000000"/>
          <w:lang w:val="en-GB"/>
        </w:rPr>
        <w:t>-</w:t>
      </w:r>
      <w:r w:rsidR="000E12B3" w:rsidRPr="00CD2BDF">
        <w:rPr>
          <w:color w:val="000000"/>
          <w:lang w:val="en-GB"/>
        </w:rPr>
        <w:t xml:space="preserve">building for oversight institutions and through civic engagement to hold public institutions accountable </w:t>
      </w:r>
      <w:r w:rsidR="001B6FF2">
        <w:rPr>
          <w:color w:val="000000"/>
          <w:lang w:val="en-GB"/>
        </w:rPr>
        <w:t>for</w:t>
      </w:r>
      <w:r w:rsidR="001B6FF2" w:rsidRPr="00CD2BDF">
        <w:rPr>
          <w:color w:val="000000"/>
          <w:lang w:val="en-GB"/>
        </w:rPr>
        <w:t xml:space="preserve"> </w:t>
      </w:r>
      <w:r w:rsidR="000E12B3" w:rsidRPr="00CD2BDF">
        <w:rPr>
          <w:color w:val="000000"/>
          <w:lang w:val="en-GB"/>
        </w:rPr>
        <w:t xml:space="preserve">service delivery; </w:t>
      </w:r>
      <w:r w:rsidR="00264A34">
        <w:rPr>
          <w:color w:val="000000"/>
          <w:lang w:val="en-GB"/>
        </w:rPr>
        <w:t xml:space="preserve">and </w:t>
      </w:r>
      <w:r w:rsidR="000E12B3" w:rsidRPr="00CD2BDF">
        <w:rPr>
          <w:color w:val="000000"/>
          <w:lang w:val="en-GB"/>
        </w:rPr>
        <w:t>(</w:t>
      </w:r>
      <w:r w:rsidR="00AD72CC" w:rsidRPr="00CD2BDF">
        <w:rPr>
          <w:color w:val="000000"/>
          <w:lang w:val="en-GB"/>
        </w:rPr>
        <w:t>d</w:t>
      </w:r>
      <w:r w:rsidR="000E12B3" w:rsidRPr="00CD2BDF">
        <w:rPr>
          <w:color w:val="000000"/>
          <w:lang w:val="en-GB"/>
        </w:rPr>
        <w:t>)</w:t>
      </w:r>
      <w:r w:rsidR="001B6FF2">
        <w:rPr>
          <w:color w:val="000000"/>
          <w:lang w:val="en-GB"/>
        </w:rPr>
        <w:t xml:space="preserve"> </w:t>
      </w:r>
      <w:r w:rsidR="000E12B3" w:rsidRPr="00CD2BDF">
        <w:rPr>
          <w:color w:val="000000"/>
          <w:lang w:val="en-GB"/>
        </w:rPr>
        <w:t>reducing vulnerabilities and building resilience under the environment programme and U</w:t>
      </w:r>
      <w:r w:rsidR="00264A34">
        <w:rPr>
          <w:color w:val="000000"/>
          <w:lang w:val="en-GB"/>
        </w:rPr>
        <w:t xml:space="preserve">nited Nations </w:t>
      </w:r>
      <w:r w:rsidR="000E12B3" w:rsidRPr="00CD2BDF">
        <w:rPr>
          <w:color w:val="000000"/>
          <w:lang w:val="en-GB"/>
        </w:rPr>
        <w:t xml:space="preserve">support to </w:t>
      </w:r>
      <w:r w:rsidR="001B6FF2">
        <w:rPr>
          <w:color w:val="000000"/>
          <w:lang w:val="en-GB"/>
        </w:rPr>
        <w:t xml:space="preserve">the </w:t>
      </w:r>
      <w:r w:rsidR="000E12B3" w:rsidRPr="00CD2BDF">
        <w:rPr>
          <w:color w:val="000000"/>
          <w:lang w:val="en-GB"/>
        </w:rPr>
        <w:t xml:space="preserve">Directorate of Disaster Risk Management in the </w:t>
      </w:r>
      <w:r w:rsidR="000C50D0" w:rsidRPr="009D1DD2">
        <w:rPr>
          <w:lang w:val="en-GB" w:eastAsia="en-ZA"/>
        </w:rPr>
        <w:t>Office of the Prime Minister</w:t>
      </w:r>
      <w:r w:rsidR="000E12B3" w:rsidRPr="00CD2BDF">
        <w:rPr>
          <w:color w:val="000000"/>
          <w:lang w:val="en-GB"/>
        </w:rPr>
        <w:t>.</w:t>
      </w:r>
    </w:p>
    <w:p w14:paraId="5894888E" w14:textId="1A85642E" w:rsidR="00395961" w:rsidRPr="00CD2BDF" w:rsidRDefault="00147639" w:rsidP="00684DB0">
      <w:pPr>
        <w:numPr>
          <w:ilvl w:val="0"/>
          <w:numId w:val="3"/>
        </w:numPr>
        <w:tabs>
          <w:tab w:val="left" w:pos="1800"/>
        </w:tabs>
        <w:spacing w:after="200"/>
        <w:ind w:left="1440" w:right="1210" w:firstLine="0"/>
        <w:jc w:val="both"/>
        <w:rPr>
          <w:color w:val="000000"/>
          <w:lang w:val="en-GB"/>
        </w:rPr>
      </w:pPr>
      <w:r w:rsidRPr="00CD2BDF">
        <w:rPr>
          <w:color w:val="000000"/>
          <w:lang w:val="en-GB"/>
        </w:rPr>
        <w:t xml:space="preserve">The office will adopt and comply with the new UNDP </w:t>
      </w:r>
      <w:r w:rsidR="006A5074" w:rsidRPr="00216CAB">
        <w:rPr>
          <w:color w:val="000000"/>
          <w:lang w:val="en-GB"/>
        </w:rPr>
        <w:t xml:space="preserve">social and environmental </w:t>
      </w:r>
      <w:r w:rsidRPr="00CD2BDF">
        <w:rPr>
          <w:color w:val="000000"/>
          <w:lang w:val="en-GB"/>
        </w:rPr>
        <w:t xml:space="preserve">quality assurance standards. Fast-track procedures will be utilized for timely responses to crisis situations and </w:t>
      </w:r>
      <w:r w:rsidR="004A2520" w:rsidRPr="00CD2BDF">
        <w:rPr>
          <w:color w:val="000000"/>
          <w:lang w:val="en-GB"/>
        </w:rPr>
        <w:t>emergency demands by enhancing</w:t>
      </w:r>
      <w:r w:rsidRPr="00CD2BDF">
        <w:rPr>
          <w:color w:val="000000"/>
          <w:lang w:val="en-GB"/>
        </w:rPr>
        <w:t xml:space="preserve"> a</w:t>
      </w:r>
      <w:r w:rsidR="00232255">
        <w:rPr>
          <w:color w:val="000000"/>
          <w:lang w:val="en-GB"/>
        </w:rPr>
        <w:t xml:space="preserve"> government</w:t>
      </w:r>
      <w:r w:rsidRPr="00CD2BDF">
        <w:rPr>
          <w:color w:val="000000"/>
          <w:lang w:val="en-GB"/>
        </w:rPr>
        <w:t xml:space="preserve"> early</w:t>
      </w:r>
      <w:r w:rsidR="00232255">
        <w:rPr>
          <w:color w:val="000000"/>
          <w:lang w:val="en-GB"/>
        </w:rPr>
        <w:t>-</w:t>
      </w:r>
      <w:r w:rsidRPr="00CD2BDF">
        <w:rPr>
          <w:color w:val="000000"/>
          <w:lang w:val="en-GB"/>
        </w:rPr>
        <w:t>warning system</w:t>
      </w:r>
      <w:r w:rsidR="004A2520" w:rsidRPr="00CD2BDF">
        <w:rPr>
          <w:color w:val="000000"/>
          <w:lang w:val="en-GB"/>
        </w:rPr>
        <w:t xml:space="preserve"> in collaboration with the </w:t>
      </w:r>
      <w:r w:rsidR="00232255">
        <w:rPr>
          <w:color w:val="000000"/>
          <w:lang w:val="en-GB"/>
        </w:rPr>
        <w:t>United Nations</w:t>
      </w:r>
      <w:r w:rsidR="00232255" w:rsidRPr="00CD2BDF">
        <w:rPr>
          <w:color w:val="000000"/>
          <w:lang w:val="en-GB"/>
        </w:rPr>
        <w:t xml:space="preserve"> </w:t>
      </w:r>
      <w:r w:rsidR="004A2520" w:rsidRPr="00CD2BDF">
        <w:rPr>
          <w:color w:val="000000"/>
          <w:lang w:val="en-GB"/>
        </w:rPr>
        <w:t>Emergency Humanitarian Focal Points Group</w:t>
      </w:r>
      <w:r w:rsidRPr="00CD2BDF">
        <w:rPr>
          <w:color w:val="000000"/>
          <w:lang w:val="en-GB"/>
        </w:rPr>
        <w:t xml:space="preserve">. </w:t>
      </w:r>
      <w:r w:rsidR="00395961" w:rsidRPr="00CD2BDF">
        <w:rPr>
          <w:color w:val="000000"/>
          <w:lang w:val="en-GB"/>
        </w:rPr>
        <w:t>Programme risks will be monitored every six</w:t>
      </w:r>
      <w:r w:rsidR="00232255">
        <w:rPr>
          <w:color w:val="000000"/>
          <w:lang w:val="en-GB"/>
        </w:rPr>
        <w:t xml:space="preserve"> </w:t>
      </w:r>
      <w:r w:rsidR="00395961" w:rsidRPr="00CD2BDF">
        <w:rPr>
          <w:color w:val="000000"/>
          <w:lang w:val="en-GB"/>
        </w:rPr>
        <w:t xml:space="preserve">months as part of the </w:t>
      </w:r>
      <w:r w:rsidR="002B226D" w:rsidRPr="00CD2BDF">
        <w:rPr>
          <w:color w:val="000000"/>
          <w:lang w:val="en-GB"/>
        </w:rPr>
        <w:t xml:space="preserve">programme </w:t>
      </w:r>
      <w:r w:rsidR="00395961" w:rsidRPr="00CD2BDF">
        <w:rPr>
          <w:color w:val="000000"/>
          <w:lang w:val="en-GB"/>
        </w:rPr>
        <w:t>review. Project risks will be captured and monitored quarterly.</w:t>
      </w:r>
      <w:r w:rsidR="00BF1036" w:rsidRPr="00CD2BDF">
        <w:rPr>
          <w:color w:val="000000"/>
          <w:lang w:val="en-GB"/>
        </w:rPr>
        <w:t xml:space="preserve"> </w:t>
      </w:r>
      <w:r w:rsidR="00232255">
        <w:rPr>
          <w:color w:val="000000"/>
          <w:lang w:val="en-GB"/>
        </w:rPr>
        <w:t xml:space="preserve">By </w:t>
      </w:r>
      <w:r w:rsidR="00232255" w:rsidRPr="009D1DD2">
        <w:rPr>
          <w:color w:val="000000"/>
          <w:lang w:val="en-GB"/>
        </w:rPr>
        <w:t xml:space="preserve">leveraging the capacities of </w:t>
      </w:r>
      <w:r w:rsidR="00232255">
        <w:rPr>
          <w:color w:val="000000"/>
          <w:lang w:val="en-GB"/>
        </w:rPr>
        <w:t>its</w:t>
      </w:r>
      <w:r w:rsidR="00232255" w:rsidRPr="009D1DD2">
        <w:rPr>
          <w:color w:val="000000"/>
          <w:lang w:val="en-GB"/>
        </w:rPr>
        <w:t xml:space="preserve"> Regional Service Centre, </w:t>
      </w:r>
      <w:r w:rsidR="00A2042D" w:rsidRPr="00CD2BDF">
        <w:rPr>
          <w:color w:val="000000"/>
          <w:lang w:val="en-GB"/>
        </w:rPr>
        <w:t>UNDP</w:t>
      </w:r>
      <w:r w:rsidR="00741458" w:rsidRPr="00CD2BDF">
        <w:rPr>
          <w:color w:val="000000"/>
          <w:lang w:val="en-GB"/>
        </w:rPr>
        <w:t xml:space="preserve"> will </w:t>
      </w:r>
      <w:r w:rsidR="00232255">
        <w:rPr>
          <w:color w:val="000000"/>
          <w:lang w:val="en-GB"/>
        </w:rPr>
        <w:t>improv</w:t>
      </w:r>
      <w:r w:rsidR="00847D15" w:rsidRPr="00CD2BDF">
        <w:rPr>
          <w:color w:val="000000"/>
          <w:lang w:val="en-GB"/>
        </w:rPr>
        <w:t>e</w:t>
      </w:r>
      <w:r w:rsidR="00A2042D" w:rsidRPr="00CD2BDF">
        <w:rPr>
          <w:color w:val="000000"/>
          <w:lang w:val="en-GB"/>
        </w:rPr>
        <w:t xml:space="preserve"> </w:t>
      </w:r>
      <w:r w:rsidR="00741458" w:rsidRPr="00CD2BDF">
        <w:rPr>
          <w:color w:val="000000"/>
          <w:lang w:val="en-GB"/>
        </w:rPr>
        <w:t xml:space="preserve">communication and </w:t>
      </w:r>
      <w:r w:rsidR="00232255">
        <w:rPr>
          <w:color w:val="000000"/>
          <w:lang w:val="en-GB"/>
        </w:rPr>
        <w:t xml:space="preserve">the </w:t>
      </w:r>
      <w:r w:rsidR="00741458" w:rsidRPr="00CD2BDF">
        <w:rPr>
          <w:color w:val="000000"/>
          <w:lang w:val="en-GB"/>
        </w:rPr>
        <w:t>visibility of interventions</w:t>
      </w:r>
      <w:r w:rsidR="00232255">
        <w:rPr>
          <w:color w:val="000000"/>
          <w:lang w:val="en-GB"/>
        </w:rPr>
        <w:t>;</w:t>
      </w:r>
      <w:r w:rsidR="005C66CA" w:rsidRPr="00CD2BDF">
        <w:rPr>
          <w:color w:val="000000"/>
          <w:lang w:val="en-GB"/>
        </w:rPr>
        <w:t xml:space="preserve"> </w:t>
      </w:r>
      <w:r w:rsidR="00741458" w:rsidRPr="00CD2BDF">
        <w:rPr>
          <w:color w:val="000000"/>
          <w:lang w:val="en-GB"/>
        </w:rPr>
        <w:t>explor</w:t>
      </w:r>
      <w:r w:rsidR="001A1906" w:rsidRPr="00CD2BDF">
        <w:rPr>
          <w:color w:val="000000"/>
          <w:lang w:val="en-GB"/>
        </w:rPr>
        <w:t xml:space="preserve">e </w:t>
      </w:r>
      <w:r w:rsidR="00741458" w:rsidRPr="00CD2BDF">
        <w:rPr>
          <w:color w:val="000000"/>
          <w:lang w:val="en-GB"/>
        </w:rPr>
        <w:t>innovative funding mechanisms</w:t>
      </w:r>
      <w:r w:rsidR="00232255">
        <w:rPr>
          <w:color w:val="000000"/>
          <w:lang w:val="en-GB"/>
        </w:rPr>
        <w:t>,</w:t>
      </w:r>
      <w:r w:rsidR="00741458" w:rsidRPr="00CD2BDF">
        <w:rPr>
          <w:color w:val="000000"/>
          <w:lang w:val="en-GB"/>
        </w:rPr>
        <w:t xml:space="preserve"> including the </w:t>
      </w:r>
      <w:r w:rsidR="00E839F2">
        <w:rPr>
          <w:color w:val="000000"/>
          <w:lang w:val="en-GB"/>
        </w:rPr>
        <w:t>Green Climate Fund</w:t>
      </w:r>
      <w:r w:rsidR="00E839F2" w:rsidRPr="00CD2BDF">
        <w:rPr>
          <w:color w:val="000000"/>
          <w:lang w:val="en-GB"/>
        </w:rPr>
        <w:t xml:space="preserve"> </w:t>
      </w:r>
      <w:r w:rsidRPr="00CD2BDF">
        <w:rPr>
          <w:color w:val="000000"/>
          <w:lang w:val="en-GB"/>
        </w:rPr>
        <w:t>and</w:t>
      </w:r>
      <w:r w:rsidR="00741458" w:rsidRPr="00CD2BDF">
        <w:rPr>
          <w:color w:val="000000"/>
          <w:lang w:val="en-GB"/>
        </w:rPr>
        <w:t xml:space="preserve"> </w:t>
      </w:r>
      <w:r w:rsidRPr="00CD2BDF">
        <w:rPr>
          <w:color w:val="000000"/>
          <w:lang w:val="en-GB"/>
        </w:rPr>
        <w:t>the GEF</w:t>
      </w:r>
      <w:r w:rsidR="00232255">
        <w:rPr>
          <w:color w:val="000000"/>
          <w:lang w:val="en-GB"/>
        </w:rPr>
        <w:t>;</w:t>
      </w:r>
      <w:r w:rsidR="00741458" w:rsidRPr="00CD2BDF">
        <w:rPr>
          <w:color w:val="000000"/>
          <w:lang w:val="en-GB"/>
        </w:rPr>
        <w:t xml:space="preserve"> and </w:t>
      </w:r>
      <w:r w:rsidR="00232255">
        <w:rPr>
          <w:color w:val="000000"/>
          <w:lang w:val="en-GB"/>
        </w:rPr>
        <w:t xml:space="preserve">adopt a </w:t>
      </w:r>
      <w:r w:rsidR="00741458" w:rsidRPr="00CD2BDF">
        <w:rPr>
          <w:color w:val="000000"/>
          <w:lang w:val="en-GB"/>
        </w:rPr>
        <w:t>more collaborative approach with the regional eco</w:t>
      </w:r>
      <w:r w:rsidR="00847D15" w:rsidRPr="00CD2BDF">
        <w:rPr>
          <w:color w:val="000000"/>
          <w:lang w:val="en-GB"/>
        </w:rPr>
        <w:t>nomic communities</w:t>
      </w:r>
      <w:r w:rsidR="00232255">
        <w:rPr>
          <w:color w:val="000000"/>
          <w:lang w:val="en-GB"/>
        </w:rPr>
        <w:t>.</w:t>
      </w:r>
      <w:r w:rsidR="003C082B" w:rsidRPr="00CD2BDF">
        <w:rPr>
          <w:rStyle w:val="FootnoteReference"/>
          <w:color w:val="000000"/>
          <w:lang w:val="en-GB"/>
        </w:rPr>
        <w:footnoteReference w:id="38"/>
      </w:r>
      <w:r w:rsidR="00741458" w:rsidRPr="00CD2BDF">
        <w:rPr>
          <w:color w:val="000000"/>
          <w:lang w:val="en-GB"/>
        </w:rPr>
        <w:t xml:space="preserve"> </w:t>
      </w:r>
      <w:r w:rsidR="00C95743" w:rsidRPr="00CD2BDF">
        <w:rPr>
          <w:color w:val="000000"/>
          <w:lang w:val="en-GB"/>
        </w:rPr>
        <w:t xml:space="preserve">UNDP will </w:t>
      </w:r>
      <w:r w:rsidR="00232255">
        <w:rPr>
          <w:color w:val="000000"/>
          <w:lang w:val="en-GB"/>
        </w:rPr>
        <w:t xml:space="preserve">reinforce </w:t>
      </w:r>
      <w:r w:rsidR="00C95743" w:rsidRPr="00CD2BDF">
        <w:rPr>
          <w:color w:val="000000"/>
          <w:lang w:val="en-GB"/>
        </w:rPr>
        <w:t>in-kind contribution</w:t>
      </w:r>
      <w:r w:rsidR="00227501">
        <w:rPr>
          <w:color w:val="000000"/>
          <w:lang w:val="en-GB"/>
        </w:rPr>
        <w:t>s</w:t>
      </w:r>
      <w:r w:rsidR="00C95743" w:rsidRPr="00CD2BDF">
        <w:rPr>
          <w:color w:val="000000"/>
          <w:lang w:val="en-GB"/>
        </w:rPr>
        <w:t xml:space="preserve"> and technical exchange</w:t>
      </w:r>
      <w:r w:rsidR="00227501">
        <w:rPr>
          <w:color w:val="000000"/>
          <w:lang w:val="en-GB"/>
        </w:rPr>
        <w:t>s</w:t>
      </w:r>
      <w:r w:rsidR="00C95743" w:rsidRPr="00CD2BDF">
        <w:rPr>
          <w:color w:val="000000"/>
          <w:lang w:val="en-GB"/>
        </w:rPr>
        <w:t xml:space="preserve"> through strengthened South-South </w:t>
      </w:r>
      <w:r w:rsidR="00232255">
        <w:rPr>
          <w:color w:val="000000"/>
          <w:lang w:val="en-GB"/>
        </w:rPr>
        <w:t>c</w:t>
      </w:r>
      <w:r w:rsidR="00C95743" w:rsidRPr="00CD2BDF">
        <w:rPr>
          <w:color w:val="000000"/>
          <w:lang w:val="en-GB"/>
        </w:rPr>
        <w:t>ooperation</w:t>
      </w:r>
      <w:r w:rsidR="00232255">
        <w:rPr>
          <w:color w:val="000000"/>
          <w:lang w:val="en-GB"/>
        </w:rPr>
        <w:t>,</w:t>
      </w:r>
      <w:r w:rsidR="00C95743" w:rsidRPr="00CD2BDF">
        <w:rPr>
          <w:color w:val="000000"/>
          <w:lang w:val="en-GB"/>
        </w:rPr>
        <w:t xml:space="preserve"> </w:t>
      </w:r>
      <w:r w:rsidR="001A1906" w:rsidRPr="00CD2BDF">
        <w:rPr>
          <w:color w:val="000000"/>
          <w:lang w:val="en-GB"/>
        </w:rPr>
        <w:t>and</w:t>
      </w:r>
      <w:r w:rsidR="00741458" w:rsidRPr="00CD2BDF">
        <w:rPr>
          <w:color w:val="000000"/>
          <w:lang w:val="en-GB"/>
        </w:rPr>
        <w:t xml:space="preserve"> </w:t>
      </w:r>
      <w:r w:rsidR="00232255">
        <w:rPr>
          <w:color w:val="000000"/>
          <w:lang w:val="en-GB"/>
        </w:rPr>
        <w:t xml:space="preserve">will </w:t>
      </w:r>
      <w:r w:rsidR="00741458" w:rsidRPr="00CD2BDF">
        <w:rPr>
          <w:color w:val="000000"/>
          <w:lang w:val="en-GB"/>
        </w:rPr>
        <w:t xml:space="preserve">advocate for </w:t>
      </w:r>
      <w:r w:rsidR="00847D15" w:rsidRPr="00CD2BDF">
        <w:rPr>
          <w:color w:val="000000"/>
          <w:lang w:val="en-GB"/>
        </w:rPr>
        <w:t>g</w:t>
      </w:r>
      <w:r w:rsidR="00741458" w:rsidRPr="00CD2BDF">
        <w:rPr>
          <w:color w:val="000000"/>
          <w:lang w:val="en-GB"/>
        </w:rPr>
        <w:t xml:space="preserve">overnment </w:t>
      </w:r>
      <w:r w:rsidR="00847D15" w:rsidRPr="00CD2BDF">
        <w:rPr>
          <w:color w:val="000000"/>
          <w:lang w:val="en-GB"/>
        </w:rPr>
        <w:t>contribution</w:t>
      </w:r>
      <w:r w:rsidR="00232255">
        <w:rPr>
          <w:color w:val="000000"/>
          <w:lang w:val="en-GB"/>
        </w:rPr>
        <w:t>s</w:t>
      </w:r>
      <w:r w:rsidR="00847D15" w:rsidRPr="00CD2BDF">
        <w:rPr>
          <w:color w:val="000000"/>
          <w:lang w:val="en-GB"/>
        </w:rPr>
        <w:t xml:space="preserve"> </w:t>
      </w:r>
      <w:r w:rsidR="00741458" w:rsidRPr="00CD2BDF">
        <w:rPr>
          <w:color w:val="000000"/>
          <w:lang w:val="en-GB"/>
        </w:rPr>
        <w:t xml:space="preserve">to the </w:t>
      </w:r>
      <w:r w:rsidR="00847D15" w:rsidRPr="00CD2BDF">
        <w:rPr>
          <w:color w:val="000000"/>
          <w:lang w:val="en-GB"/>
        </w:rPr>
        <w:t>p</w:t>
      </w:r>
      <w:r w:rsidR="00741458" w:rsidRPr="00CD2BDF">
        <w:rPr>
          <w:color w:val="000000"/>
          <w:lang w:val="en-GB"/>
        </w:rPr>
        <w:t xml:space="preserve">rogramme. </w:t>
      </w:r>
    </w:p>
    <w:p w14:paraId="55478F45" w14:textId="2C549888" w:rsidR="00701B6B" w:rsidRPr="00680AA3" w:rsidRDefault="001B3F87" w:rsidP="00227501">
      <w:pPr>
        <w:pStyle w:val="Heading1"/>
        <w:tabs>
          <w:tab w:val="left" w:pos="1800"/>
        </w:tabs>
        <w:ind w:left="1440" w:right="1210" w:hanging="630"/>
        <w:jc w:val="both"/>
        <w:rPr>
          <w:rFonts w:ascii="Times New Roman" w:hAnsi="Times New Roman"/>
          <w:color w:val="000000"/>
          <w:szCs w:val="28"/>
          <w:lang w:val="en-GB"/>
        </w:rPr>
      </w:pPr>
      <w:r w:rsidRPr="00680AA3">
        <w:rPr>
          <w:rFonts w:ascii="Times New Roman" w:hAnsi="Times New Roman"/>
          <w:color w:val="000000"/>
          <w:szCs w:val="28"/>
          <w:lang w:val="en-GB"/>
        </w:rPr>
        <w:t>IV</w:t>
      </w:r>
      <w:r w:rsidR="001D42D1" w:rsidRPr="00680AA3">
        <w:rPr>
          <w:rFonts w:ascii="Times New Roman" w:hAnsi="Times New Roman"/>
          <w:color w:val="000000"/>
          <w:szCs w:val="28"/>
          <w:lang w:val="en-GB"/>
        </w:rPr>
        <w:t xml:space="preserve">. </w:t>
      </w:r>
      <w:r w:rsidR="00684DB0" w:rsidRPr="00680AA3">
        <w:rPr>
          <w:rFonts w:ascii="Times New Roman" w:hAnsi="Times New Roman"/>
          <w:color w:val="000000"/>
          <w:szCs w:val="28"/>
          <w:lang w:val="en-GB"/>
        </w:rPr>
        <w:tab/>
        <w:t>M</w:t>
      </w:r>
      <w:r w:rsidR="001D42D1" w:rsidRPr="00680AA3">
        <w:rPr>
          <w:rFonts w:ascii="Times New Roman" w:hAnsi="Times New Roman"/>
          <w:color w:val="000000"/>
          <w:szCs w:val="28"/>
          <w:lang w:val="en-GB"/>
        </w:rPr>
        <w:t xml:space="preserve">onitoring and </w:t>
      </w:r>
      <w:r w:rsidR="00684DB0" w:rsidRPr="00680AA3">
        <w:rPr>
          <w:rFonts w:ascii="Times New Roman" w:hAnsi="Times New Roman"/>
          <w:color w:val="000000"/>
          <w:szCs w:val="28"/>
          <w:lang w:val="en-GB"/>
        </w:rPr>
        <w:t>e</w:t>
      </w:r>
      <w:r w:rsidRPr="00680AA3">
        <w:rPr>
          <w:rFonts w:ascii="Times New Roman" w:hAnsi="Times New Roman"/>
          <w:color w:val="000000"/>
          <w:szCs w:val="28"/>
          <w:lang w:val="en-GB"/>
        </w:rPr>
        <w:t>valuation</w:t>
      </w:r>
    </w:p>
    <w:p w14:paraId="3550222F" w14:textId="77777777" w:rsidR="00F46051" w:rsidRPr="00680AA3" w:rsidRDefault="00F46051" w:rsidP="00816471">
      <w:pPr>
        <w:tabs>
          <w:tab w:val="left" w:pos="1800"/>
        </w:tabs>
        <w:ind w:left="1440" w:right="1210"/>
        <w:rPr>
          <w:lang w:val="en-GB" w:eastAsia="x-none"/>
        </w:rPr>
      </w:pPr>
      <w:bookmarkStart w:id="1" w:name="_GoBack"/>
      <w:bookmarkEnd w:id="1"/>
    </w:p>
    <w:p w14:paraId="5E3C2FED" w14:textId="6959B82C" w:rsidR="008F67F7" w:rsidRPr="00426D31" w:rsidRDefault="008F67F7" w:rsidP="00816471">
      <w:pPr>
        <w:pStyle w:val="ListParagraph"/>
        <w:numPr>
          <w:ilvl w:val="0"/>
          <w:numId w:val="3"/>
        </w:numPr>
        <w:tabs>
          <w:tab w:val="left" w:pos="1800"/>
        </w:tabs>
        <w:spacing w:after="120"/>
        <w:ind w:left="1440" w:right="1210" w:firstLine="0"/>
        <w:jc w:val="both"/>
        <w:rPr>
          <w:lang w:val="en-GB" w:eastAsia="fr-FR"/>
        </w:rPr>
      </w:pPr>
      <w:r w:rsidRPr="00074002">
        <w:rPr>
          <w:lang w:val="en-GB" w:eastAsia="fr-FR"/>
        </w:rPr>
        <w:t>Results</w:t>
      </w:r>
      <w:r w:rsidR="002E252F" w:rsidRPr="00074002">
        <w:rPr>
          <w:lang w:val="en-GB" w:eastAsia="fr-FR"/>
        </w:rPr>
        <w:t>-based management</w:t>
      </w:r>
      <w:r w:rsidRPr="00074002">
        <w:rPr>
          <w:lang w:val="en-GB" w:eastAsia="fr-FR"/>
        </w:rPr>
        <w:t xml:space="preserve"> will be key </w:t>
      </w:r>
      <w:r w:rsidR="002E252F" w:rsidRPr="00074002">
        <w:rPr>
          <w:lang w:val="en-GB" w:eastAsia="fr-FR"/>
        </w:rPr>
        <w:t>to</w:t>
      </w:r>
      <w:r w:rsidRPr="00296CEA">
        <w:rPr>
          <w:lang w:val="en-GB" w:eastAsia="fr-FR"/>
        </w:rPr>
        <w:t xml:space="preserve"> UNDP support. UNDP will invest in </w:t>
      </w:r>
      <w:r w:rsidR="00606E66" w:rsidRPr="00296CEA">
        <w:rPr>
          <w:lang w:val="en-GB" w:eastAsia="fr-FR"/>
        </w:rPr>
        <w:t xml:space="preserve">a </w:t>
      </w:r>
      <w:r w:rsidRPr="00296CEA">
        <w:rPr>
          <w:lang w:val="en-GB" w:eastAsia="fr-FR"/>
        </w:rPr>
        <w:t xml:space="preserve">strong monitoring and evaluation system </w:t>
      </w:r>
      <w:r w:rsidR="00227501">
        <w:rPr>
          <w:lang w:val="en-GB" w:eastAsia="fr-FR"/>
        </w:rPr>
        <w:t>for</w:t>
      </w:r>
      <w:r w:rsidR="00227501" w:rsidRPr="00296CEA">
        <w:rPr>
          <w:lang w:val="en-GB" w:eastAsia="fr-FR"/>
        </w:rPr>
        <w:t xml:space="preserve"> </w:t>
      </w:r>
      <w:r w:rsidRPr="00296CEA">
        <w:rPr>
          <w:lang w:val="en-GB" w:eastAsia="fr-FR"/>
        </w:rPr>
        <w:t xml:space="preserve">this </w:t>
      </w:r>
      <w:r w:rsidR="00232255">
        <w:rPr>
          <w:lang w:val="en-GB" w:eastAsia="fr-FR"/>
        </w:rPr>
        <w:t xml:space="preserve">country </w:t>
      </w:r>
      <w:r w:rsidRPr="00296CEA">
        <w:rPr>
          <w:lang w:val="en-GB" w:eastAsia="fr-FR"/>
        </w:rPr>
        <w:t xml:space="preserve">programme. </w:t>
      </w:r>
      <w:r w:rsidR="00232255">
        <w:rPr>
          <w:lang w:val="en-GB" w:eastAsia="fr-FR"/>
        </w:rPr>
        <w:t>Its</w:t>
      </w:r>
      <w:r w:rsidR="00F62FAB" w:rsidRPr="00296CEA">
        <w:rPr>
          <w:lang w:val="en-GB" w:eastAsia="fr-FR"/>
        </w:rPr>
        <w:t xml:space="preserve"> interventions and</w:t>
      </w:r>
      <w:r w:rsidRPr="00296CEA">
        <w:rPr>
          <w:lang w:val="en-GB" w:eastAsia="fr-FR"/>
        </w:rPr>
        <w:t xml:space="preserve"> indicators are aligned with </w:t>
      </w:r>
      <w:r w:rsidR="00232255">
        <w:rPr>
          <w:lang w:val="en-GB" w:eastAsia="fr-FR"/>
        </w:rPr>
        <w:t xml:space="preserve">the </w:t>
      </w:r>
      <w:r w:rsidRPr="00296CEA">
        <w:rPr>
          <w:lang w:val="en-GB" w:eastAsia="fr-FR"/>
        </w:rPr>
        <w:t xml:space="preserve">national </w:t>
      </w:r>
      <w:r w:rsidR="00123D70" w:rsidRPr="00296CEA">
        <w:rPr>
          <w:lang w:val="en-GB" w:eastAsia="fr-FR"/>
        </w:rPr>
        <w:t>priorities</w:t>
      </w:r>
      <w:r w:rsidR="00746F2E" w:rsidRPr="00A01544">
        <w:rPr>
          <w:lang w:val="en-GB" w:eastAsia="fr-FR"/>
        </w:rPr>
        <w:t xml:space="preserve"> outlined in</w:t>
      </w:r>
      <w:r w:rsidR="00E37228" w:rsidRPr="00A01544">
        <w:rPr>
          <w:lang w:val="en-GB" w:eastAsia="fr-FR"/>
        </w:rPr>
        <w:t xml:space="preserve"> </w:t>
      </w:r>
      <w:r w:rsidR="00793403">
        <w:rPr>
          <w:lang w:val="en-GB" w:eastAsia="fr-FR"/>
        </w:rPr>
        <w:t xml:space="preserve">the </w:t>
      </w:r>
      <w:r w:rsidR="00793403">
        <w:rPr>
          <w:lang w:val="en-GB"/>
        </w:rPr>
        <w:t>Fifth</w:t>
      </w:r>
      <w:r w:rsidR="00793403" w:rsidRPr="005E4C5B">
        <w:rPr>
          <w:lang w:val="en-GB"/>
        </w:rPr>
        <w:t xml:space="preserve"> National </w:t>
      </w:r>
      <w:r w:rsidR="00793403" w:rsidRPr="005E4C5B">
        <w:rPr>
          <w:lang w:val="en-GB"/>
        </w:rPr>
        <w:lastRenderedPageBreak/>
        <w:t>Development Plan</w:t>
      </w:r>
      <w:r w:rsidR="00227501">
        <w:rPr>
          <w:lang w:val="en-GB" w:eastAsia="fr-FR"/>
        </w:rPr>
        <w:t>;</w:t>
      </w:r>
      <w:r w:rsidRPr="00A01544">
        <w:rPr>
          <w:lang w:val="en-GB" w:eastAsia="fr-FR"/>
        </w:rPr>
        <w:t xml:space="preserve"> the </w:t>
      </w:r>
      <w:r w:rsidR="00232255" w:rsidRPr="00680AA3">
        <w:rPr>
          <w:lang w:val="en-GB" w:eastAsia="fr-FR"/>
        </w:rPr>
        <w:t>United Nations Partnership Framework</w:t>
      </w:r>
      <w:r w:rsidR="00232255">
        <w:rPr>
          <w:lang w:val="en-GB" w:eastAsia="fr-FR"/>
        </w:rPr>
        <w:t>,</w:t>
      </w:r>
      <w:r w:rsidRPr="00A01544">
        <w:rPr>
          <w:lang w:val="en-GB" w:eastAsia="fr-FR"/>
        </w:rPr>
        <w:t xml:space="preserve"> 2019-2023</w:t>
      </w:r>
      <w:r w:rsidR="00227501">
        <w:rPr>
          <w:lang w:val="en-GB" w:eastAsia="fr-FR"/>
        </w:rPr>
        <w:t>;</w:t>
      </w:r>
      <w:r w:rsidRPr="00A01544">
        <w:rPr>
          <w:lang w:val="en-GB" w:eastAsia="fr-FR"/>
        </w:rPr>
        <w:t xml:space="preserve"> </w:t>
      </w:r>
      <w:r w:rsidR="00232255">
        <w:rPr>
          <w:lang w:val="en-GB" w:eastAsia="fr-FR"/>
        </w:rPr>
        <w:t xml:space="preserve">the </w:t>
      </w:r>
      <w:r w:rsidRPr="00A01544">
        <w:rPr>
          <w:lang w:val="en-GB" w:eastAsia="fr-FR"/>
        </w:rPr>
        <w:t>Strategic Plan</w:t>
      </w:r>
      <w:r w:rsidR="00227501">
        <w:rPr>
          <w:lang w:val="en-GB" w:eastAsia="fr-FR"/>
        </w:rPr>
        <w:t>,</w:t>
      </w:r>
      <w:r w:rsidRPr="00A01544">
        <w:rPr>
          <w:lang w:val="en-GB" w:eastAsia="fr-FR"/>
        </w:rPr>
        <w:t xml:space="preserve"> 2018-2021</w:t>
      </w:r>
      <w:r w:rsidR="00227501">
        <w:rPr>
          <w:lang w:val="en-GB" w:eastAsia="fr-FR"/>
        </w:rPr>
        <w:t>;</w:t>
      </w:r>
      <w:r w:rsidRPr="00A01544">
        <w:rPr>
          <w:lang w:val="en-GB" w:eastAsia="fr-FR"/>
        </w:rPr>
        <w:t xml:space="preserve"> </w:t>
      </w:r>
      <w:r w:rsidR="00232255">
        <w:rPr>
          <w:lang w:val="en-GB" w:eastAsia="fr-FR"/>
        </w:rPr>
        <w:t>‘</w:t>
      </w:r>
      <w:r w:rsidRPr="00A01544">
        <w:rPr>
          <w:lang w:val="en-GB" w:eastAsia="fr-FR"/>
        </w:rPr>
        <w:t>Vision 2030</w:t>
      </w:r>
      <w:r w:rsidR="00232255">
        <w:rPr>
          <w:lang w:val="en-GB" w:eastAsia="fr-FR"/>
        </w:rPr>
        <w:t>’</w:t>
      </w:r>
      <w:r w:rsidR="00227501">
        <w:rPr>
          <w:lang w:val="en-GB" w:eastAsia="fr-FR"/>
        </w:rPr>
        <w:t>;</w:t>
      </w:r>
      <w:r w:rsidRPr="00A01544">
        <w:rPr>
          <w:lang w:val="en-GB" w:eastAsia="fr-FR"/>
        </w:rPr>
        <w:t xml:space="preserve"> and </w:t>
      </w:r>
      <w:r w:rsidR="00860216">
        <w:rPr>
          <w:lang w:val="en-GB" w:eastAsia="fr-FR"/>
        </w:rPr>
        <w:t xml:space="preserve">the </w:t>
      </w:r>
      <w:r w:rsidR="00860216">
        <w:rPr>
          <w:lang w:val="en-GB"/>
        </w:rPr>
        <w:t>sustainable development goals</w:t>
      </w:r>
      <w:r w:rsidR="00F62FAB" w:rsidRPr="00A01544">
        <w:rPr>
          <w:lang w:val="en-GB" w:eastAsia="fr-FR"/>
        </w:rPr>
        <w:t>.</w:t>
      </w:r>
      <w:r w:rsidRPr="00A01544">
        <w:rPr>
          <w:lang w:val="en-GB" w:eastAsia="fr-FR"/>
        </w:rPr>
        <w:t xml:space="preserve"> </w:t>
      </w:r>
      <w:r w:rsidR="00227501">
        <w:rPr>
          <w:lang w:val="en-GB" w:eastAsia="fr-FR"/>
        </w:rPr>
        <w:t>T</w:t>
      </w:r>
      <w:r w:rsidRPr="00A01544">
        <w:rPr>
          <w:lang w:val="en-GB" w:eastAsia="fr-FR"/>
        </w:rPr>
        <w:t xml:space="preserve">o the extent possible, </w:t>
      </w:r>
      <w:r w:rsidR="00227501">
        <w:rPr>
          <w:lang w:val="en-GB" w:eastAsia="fr-FR"/>
        </w:rPr>
        <w:t xml:space="preserve">UNDP will use </w:t>
      </w:r>
      <w:r w:rsidRPr="00A01544">
        <w:rPr>
          <w:lang w:val="en-GB" w:eastAsia="fr-FR"/>
        </w:rPr>
        <w:t xml:space="preserve">national monitoring systems, including </w:t>
      </w:r>
      <w:r w:rsidR="00F62FAB" w:rsidRPr="00A01544">
        <w:rPr>
          <w:lang w:val="en-GB" w:eastAsia="fr-FR"/>
        </w:rPr>
        <w:t>surveys and census</w:t>
      </w:r>
      <w:r w:rsidR="00232255">
        <w:rPr>
          <w:lang w:val="en-GB" w:eastAsia="fr-FR"/>
        </w:rPr>
        <w:t>es</w:t>
      </w:r>
      <w:r w:rsidR="00F62FAB" w:rsidRPr="00A01544">
        <w:rPr>
          <w:lang w:val="en-GB" w:eastAsia="fr-FR"/>
        </w:rPr>
        <w:t xml:space="preserve"> conducted by </w:t>
      </w:r>
      <w:r w:rsidRPr="00A01544">
        <w:rPr>
          <w:lang w:val="en-GB" w:eastAsia="fr-FR"/>
        </w:rPr>
        <w:t xml:space="preserve">the </w:t>
      </w:r>
      <w:r w:rsidR="00232255">
        <w:rPr>
          <w:lang w:val="en-GB" w:eastAsia="fr-FR"/>
        </w:rPr>
        <w:t>National Statistics Agency</w:t>
      </w:r>
      <w:r w:rsidR="00227501">
        <w:rPr>
          <w:lang w:val="en-GB" w:eastAsia="fr-FR"/>
        </w:rPr>
        <w:t>, to monitor its contribution to national results</w:t>
      </w:r>
      <w:r w:rsidRPr="00A01544">
        <w:rPr>
          <w:lang w:val="en-GB" w:eastAsia="fr-FR"/>
        </w:rPr>
        <w:t xml:space="preserve">. </w:t>
      </w:r>
      <w:r w:rsidR="00232255">
        <w:rPr>
          <w:lang w:val="en-GB" w:eastAsia="fr-FR"/>
        </w:rPr>
        <w:t>I</w:t>
      </w:r>
      <w:r w:rsidRPr="00A01544">
        <w:rPr>
          <w:lang w:val="en-GB" w:eastAsia="fr-FR"/>
        </w:rPr>
        <w:t>nternational good governance</w:t>
      </w:r>
      <w:r w:rsidR="00746F2E" w:rsidRPr="00A01544">
        <w:rPr>
          <w:lang w:val="en-GB" w:eastAsia="fr-FR"/>
        </w:rPr>
        <w:t xml:space="preserve"> and regional commitment</w:t>
      </w:r>
      <w:r w:rsidRPr="00A01544">
        <w:rPr>
          <w:lang w:val="en-GB" w:eastAsia="fr-FR"/>
        </w:rPr>
        <w:t xml:space="preserve"> indicators will be used</w:t>
      </w:r>
      <w:r w:rsidR="00232255">
        <w:rPr>
          <w:lang w:val="en-GB" w:eastAsia="fr-FR"/>
        </w:rPr>
        <w:t xml:space="preserve"> at the global level</w:t>
      </w:r>
      <w:r w:rsidRPr="00A01544">
        <w:rPr>
          <w:lang w:val="en-GB" w:eastAsia="fr-FR"/>
        </w:rPr>
        <w:t xml:space="preserve">. </w:t>
      </w:r>
      <w:r w:rsidR="00232255">
        <w:rPr>
          <w:lang w:val="en-GB" w:eastAsia="fr-FR"/>
        </w:rPr>
        <w:t>I</w:t>
      </w:r>
      <w:r w:rsidR="00AF45EA" w:rsidRPr="00A01544">
        <w:rPr>
          <w:lang w:val="en-GB" w:eastAsia="fr-FR"/>
        </w:rPr>
        <w:t>n partnership with</w:t>
      </w:r>
      <w:r w:rsidR="00347EA2" w:rsidRPr="00A01544">
        <w:rPr>
          <w:lang w:val="en-GB" w:eastAsia="fr-FR"/>
        </w:rPr>
        <w:t xml:space="preserve"> </w:t>
      </w:r>
      <w:r w:rsidR="00232255">
        <w:rPr>
          <w:lang w:val="en-GB" w:eastAsia="fr-FR"/>
        </w:rPr>
        <w:t>United Nations organizations</w:t>
      </w:r>
      <w:r w:rsidR="00347EA2" w:rsidRPr="00A01544">
        <w:rPr>
          <w:lang w:val="en-GB" w:eastAsia="fr-FR"/>
        </w:rPr>
        <w:t xml:space="preserve"> and</w:t>
      </w:r>
      <w:r w:rsidR="00AF45EA" w:rsidRPr="00A01544">
        <w:rPr>
          <w:lang w:val="en-GB" w:eastAsia="fr-FR"/>
        </w:rPr>
        <w:t xml:space="preserve"> development partners</w:t>
      </w:r>
      <w:r w:rsidR="00232255">
        <w:rPr>
          <w:lang w:val="en-GB" w:eastAsia="fr-FR"/>
        </w:rPr>
        <w:t>,</w:t>
      </w:r>
      <w:r w:rsidR="00E6481A" w:rsidRPr="00A01544">
        <w:rPr>
          <w:rStyle w:val="FootnoteReference"/>
          <w:lang w:val="en-GB" w:eastAsia="fr-FR"/>
        </w:rPr>
        <w:footnoteReference w:id="39"/>
      </w:r>
      <w:r w:rsidR="00AF45EA" w:rsidRPr="00A01544">
        <w:rPr>
          <w:lang w:val="en-GB" w:eastAsia="fr-FR"/>
        </w:rPr>
        <w:t xml:space="preserve"> </w:t>
      </w:r>
      <w:r w:rsidR="00232255">
        <w:rPr>
          <w:lang w:val="en-GB" w:eastAsia="fr-FR"/>
        </w:rPr>
        <w:t xml:space="preserve">UNDP </w:t>
      </w:r>
      <w:r w:rsidR="00AF45EA" w:rsidRPr="00A01544">
        <w:rPr>
          <w:lang w:val="en-GB" w:eastAsia="fr-FR"/>
        </w:rPr>
        <w:t xml:space="preserve">will </w:t>
      </w:r>
      <w:r w:rsidR="00227501">
        <w:rPr>
          <w:lang w:val="en-GB" w:eastAsia="fr-FR"/>
        </w:rPr>
        <w:t>update</w:t>
      </w:r>
      <w:r w:rsidR="00227501" w:rsidRPr="00A01544">
        <w:rPr>
          <w:lang w:val="en-GB" w:eastAsia="fr-FR"/>
        </w:rPr>
        <w:t xml:space="preserve"> the electronic </w:t>
      </w:r>
      <w:r w:rsidR="00227501">
        <w:rPr>
          <w:lang w:val="en-GB" w:eastAsia="fr-FR"/>
        </w:rPr>
        <w:t>monitoring and evaluation</w:t>
      </w:r>
      <w:r w:rsidR="00227501" w:rsidRPr="00A01544">
        <w:rPr>
          <w:lang w:val="en-GB" w:eastAsia="fr-FR"/>
        </w:rPr>
        <w:t xml:space="preserve"> system of the </w:t>
      </w:r>
      <w:r w:rsidR="00227501">
        <w:rPr>
          <w:lang w:val="en-GB" w:eastAsia="fr-FR"/>
        </w:rPr>
        <w:t>National Statistics Agency</w:t>
      </w:r>
      <w:r w:rsidR="00227501" w:rsidRPr="00A01544">
        <w:rPr>
          <w:lang w:val="en-GB" w:eastAsia="fr-FR"/>
        </w:rPr>
        <w:t xml:space="preserve"> </w:t>
      </w:r>
      <w:r w:rsidR="00AF45EA" w:rsidRPr="00A01544">
        <w:rPr>
          <w:lang w:val="en-GB" w:eastAsia="fr-FR"/>
        </w:rPr>
        <w:t xml:space="preserve">to monitor </w:t>
      </w:r>
      <w:r w:rsidR="00860216">
        <w:rPr>
          <w:lang w:val="en-GB" w:eastAsia="fr-FR"/>
        </w:rPr>
        <w:t xml:space="preserve">the </w:t>
      </w:r>
      <w:r w:rsidR="00860216">
        <w:rPr>
          <w:lang w:val="en-GB"/>
        </w:rPr>
        <w:t>sustainable development goals</w:t>
      </w:r>
      <w:r w:rsidR="002237C2">
        <w:rPr>
          <w:lang w:val="en-GB" w:eastAsia="fr-FR"/>
        </w:rPr>
        <w:t>. T</w:t>
      </w:r>
      <w:r w:rsidR="00864576" w:rsidRPr="00A01544">
        <w:rPr>
          <w:lang w:val="en-GB" w:eastAsia="fr-FR"/>
        </w:rPr>
        <w:t>hrough</w:t>
      </w:r>
      <w:r w:rsidR="00347EA2" w:rsidRPr="00A01544">
        <w:rPr>
          <w:lang w:val="en-GB" w:eastAsia="fr-FR"/>
        </w:rPr>
        <w:t xml:space="preserve"> a joint </w:t>
      </w:r>
      <w:r w:rsidR="002237C2">
        <w:rPr>
          <w:lang w:val="en-GB" w:eastAsia="fr-FR"/>
        </w:rPr>
        <w:t>United Nations p</w:t>
      </w:r>
      <w:r w:rsidR="00347EA2" w:rsidRPr="00A01544">
        <w:rPr>
          <w:lang w:val="en-GB" w:eastAsia="fr-FR"/>
        </w:rPr>
        <w:t>rogramme</w:t>
      </w:r>
      <w:r w:rsidR="002237C2">
        <w:rPr>
          <w:lang w:val="en-GB" w:eastAsia="fr-FR"/>
        </w:rPr>
        <w:t>, UNDP</w:t>
      </w:r>
      <w:r w:rsidR="00347EA2" w:rsidRPr="00A01544">
        <w:rPr>
          <w:lang w:val="en-GB" w:eastAsia="fr-FR"/>
        </w:rPr>
        <w:t xml:space="preserve"> </w:t>
      </w:r>
      <w:r w:rsidR="00AF45EA" w:rsidRPr="00A01544">
        <w:rPr>
          <w:lang w:val="en-GB" w:eastAsia="fr-FR"/>
        </w:rPr>
        <w:t>will support implementation</w:t>
      </w:r>
      <w:r w:rsidR="002E252F" w:rsidRPr="00A01544">
        <w:rPr>
          <w:lang w:val="en-GB" w:eastAsia="fr-FR"/>
        </w:rPr>
        <w:t xml:space="preserve"> of </w:t>
      </w:r>
      <w:r w:rsidR="002237C2">
        <w:rPr>
          <w:lang w:val="en-GB" w:eastAsia="fr-FR"/>
        </w:rPr>
        <w:t>the s</w:t>
      </w:r>
      <w:r w:rsidR="002E252F" w:rsidRPr="00A01544">
        <w:rPr>
          <w:lang w:val="en-GB" w:eastAsia="fr-FR"/>
        </w:rPr>
        <w:t xml:space="preserve">trategic </w:t>
      </w:r>
      <w:r w:rsidR="002237C2">
        <w:rPr>
          <w:lang w:val="en-GB" w:eastAsia="fr-FR"/>
        </w:rPr>
        <w:t>p</w:t>
      </w:r>
      <w:r w:rsidR="002E252F" w:rsidRPr="00A01544">
        <w:rPr>
          <w:lang w:val="en-GB" w:eastAsia="fr-FR"/>
        </w:rPr>
        <w:t>lan</w:t>
      </w:r>
      <w:r w:rsidR="002237C2">
        <w:rPr>
          <w:lang w:val="en-GB" w:eastAsia="fr-FR"/>
        </w:rPr>
        <w:t>,</w:t>
      </w:r>
      <w:r w:rsidR="002E252F" w:rsidRPr="00A01544">
        <w:rPr>
          <w:lang w:val="en-GB" w:eastAsia="fr-FR"/>
        </w:rPr>
        <w:t xml:space="preserve"> 2017/18-</w:t>
      </w:r>
      <w:r w:rsidR="00AF45EA" w:rsidRPr="00A01544">
        <w:rPr>
          <w:lang w:val="en-GB" w:eastAsia="fr-FR"/>
        </w:rPr>
        <w:t>2021/22</w:t>
      </w:r>
      <w:r w:rsidR="002237C2">
        <w:rPr>
          <w:lang w:val="en-GB" w:eastAsia="fr-FR"/>
        </w:rPr>
        <w:t>,</w:t>
      </w:r>
      <w:r w:rsidR="00AF45EA" w:rsidRPr="00A01544">
        <w:rPr>
          <w:lang w:val="en-GB" w:eastAsia="fr-FR"/>
        </w:rPr>
        <w:t xml:space="preserve"> of the</w:t>
      </w:r>
      <w:r w:rsidR="002237C2">
        <w:rPr>
          <w:lang w:val="en-GB" w:eastAsia="fr-FR"/>
        </w:rPr>
        <w:t xml:space="preserve"> Agency.</w:t>
      </w:r>
      <w:r w:rsidR="00AF45EA" w:rsidRPr="00426D31">
        <w:rPr>
          <w:lang w:val="en-GB" w:eastAsia="fr-FR"/>
        </w:rPr>
        <w:t xml:space="preserve"> </w:t>
      </w:r>
    </w:p>
    <w:p w14:paraId="4607828B" w14:textId="47CD9455" w:rsidR="008F67F7" w:rsidRPr="00F71E12" w:rsidRDefault="001C70B6" w:rsidP="00816471">
      <w:pPr>
        <w:pStyle w:val="ListParagraph"/>
        <w:numPr>
          <w:ilvl w:val="0"/>
          <w:numId w:val="3"/>
        </w:numPr>
        <w:tabs>
          <w:tab w:val="left" w:pos="1800"/>
        </w:tabs>
        <w:spacing w:after="120"/>
        <w:ind w:left="1440" w:right="1210" w:firstLine="0"/>
        <w:jc w:val="both"/>
        <w:rPr>
          <w:lang w:val="en-GB" w:eastAsia="fr-FR"/>
        </w:rPr>
      </w:pPr>
      <w:r w:rsidRPr="00426D31">
        <w:rPr>
          <w:lang w:val="en-GB" w:eastAsia="fr-FR"/>
        </w:rPr>
        <w:t xml:space="preserve">Collection and analysis of disaggregated data by sex, location, age, disability and socio-economic status </w:t>
      </w:r>
      <w:r w:rsidR="00227501">
        <w:rPr>
          <w:lang w:val="en-GB" w:eastAsia="fr-FR"/>
        </w:rPr>
        <w:t>are</w:t>
      </w:r>
      <w:r w:rsidR="00227501" w:rsidRPr="00426D31">
        <w:rPr>
          <w:lang w:val="en-GB" w:eastAsia="fr-FR"/>
        </w:rPr>
        <w:t xml:space="preserve"> </w:t>
      </w:r>
      <w:r w:rsidRPr="00426D31">
        <w:rPr>
          <w:lang w:val="en-GB" w:eastAsia="fr-FR"/>
        </w:rPr>
        <w:t xml:space="preserve">essential to </w:t>
      </w:r>
      <w:r w:rsidR="002237C2">
        <w:rPr>
          <w:lang w:val="en-GB" w:eastAsia="fr-FR"/>
        </w:rPr>
        <w:t>‘</w:t>
      </w:r>
      <w:r w:rsidR="002237C2" w:rsidRPr="002237C2">
        <w:rPr>
          <w:lang w:val="en-GB" w:eastAsia="fr-FR"/>
        </w:rPr>
        <w:t>leaving no one behind</w:t>
      </w:r>
      <w:r w:rsidR="002237C2">
        <w:rPr>
          <w:lang w:val="en-GB" w:eastAsia="fr-FR"/>
        </w:rPr>
        <w:t>’</w:t>
      </w:r>
      <w:r w:rsidRPr="007A24D0">
        <w:rPr>
          <w:lang w:val="en-GB" w:eastAsia="fr-FR"/>
        </w:rPr>
        <w:t xml:space="preserve">. </w:t>
      </w:r>
      <w:r w:rsidR="00E04604" w:rsidRPr="007A24D0">
        <w:rPr>
          <w:lang w:val="en-GB" w:eastAsia="fr-FR"/>
        </w:rPr>
        <w:t>UNDP will collaborate with academia, research institutions, civil society</w:t>
      </w:r>
      <w:r w:rsidR="002237C2">
        <w:rPr>
          <w:lang w:val="en-GB" w:eastAsia="fr-FR"/>
        </w:rPr>
        <w:t>,</w:t>
      </w:r>
      <w:r w:rsidR="00E04604" w:rsidRPr="007A24D0">
        <w:rPr>
          <w:lang w:val="en-GB" w:eastAsia="fr-FR"/>
        </w:rPr>
        <w:t xml:space="preserve"> and local and global think tanks, to collect and analyse socio-economic data to provide evidence for policymaking. </w:t>
      </w:r>
      <w:r w:rsidR="000557C3">
        <w:rPr>
          <w:lang w:val="en-GB" w:eastAsia="fr-FR"/>
        </w:rPr>
        <w:t>It</w:t>
      </w:r>
      <w:r w:rsidR="000557C3" w:rsidRPr="007A24D0">
        <w:rPr>
          <w:lang w:val="en-GB" w:eastAsia="fr-FR"/>
        </w:rPr>
        <w:t xml:space="preserve"> </w:t>
      </w:r>
      <w:r w:rsidR="00AF45EA" w:rsidRPr="007A24D0">
        <w:rPr>
          <w:lang w:val="en-GB" w:eastAsia="fr-FR"/>
        </w:rPr>
        <w:t>will contribute to strengthening data and information systems, including improving data quality, analysis</w:t>
      </w:r>
      <w:r w:rsidR="002237C2">
        <w:rPr>
          <w:lang w:val="en-GB" w:eastAsia="fr-FR"/>
        </w:rPr>
        <w:t>,</w:t>
      </w:r>
      <w:r w:rsidR="00AF45EA" w:rsidRPr="007A24D0">
        <w:rPr>
          <w:lang w:val="en-GB" w:eastAsia="fr-FR"/>
        </w:rPr>
        <w:t xml:space="preserve"> and use</w:t>
      </w:r>
      <w:r w:rsidR="002237C2">
        <w:rPr>
          <w:lang w:val="en-GB" w:eastAsia="fr-FR"/>
        </w:rPr>
        <w:t>,</w:t>
      </w:r>
      <w:r w:rsidR="00AF45EA" w:rsidRPr="007A24D0">
        <w:rPr>
          <w:lang w:val="en-GB" w:eastAsia="fr-FR"/>
        </w:rPr>
        <w:t xml:space="preserve"> to monitor </w:t>
      </w:r>
      <w:r w:rsidR="002237C2">
        <w:rPr>
          <w:lang w:val="en-GB" w:eastAsia="fr-FR"/>
        </w:rPr>
        <w:t xml:space="preserve">the </w:t>
      </w:r>
      <w:r w:rsidR="00AF45EA" w:rsidRPr="007A24D0">
        <w:rPr>
          <w:lang w:val="en-GB" w:eastAsia="fr-FR"/>
        </w:rPr>
        <w:t>progress o</w:t>
      </w:r>
      <w:r w:rsidR="002237C2">
        <w:rPr>
          <w:lang w:val="en-GB" w:eastAsia="fr-FR"/>
        </w:rPr>
        <w:t>f</w:t>
      </w:r>
      <w:r w:rsidR="00AF45EA" w:rsidRPr="008268A9">
        <w:rPr>
          <w:lang w:val="en-GB" w:eastAsia="fr-FR"/>
        </w:rPr>
        <w:t xml:space="preserve"> </w:t>
      </w:r>
      <w:r w:rsidR="00793403">
        <w:rPr>
          <w:lang w:val="en-GB" w:eastAsia="en-ZA"/>
        </w:rPr>
        <w:t xml:space="preserve">the </w:t>
      </w:r>
      <w:r w:rsidR="00793403">
        <w:rPr>
          <w:lang w:val="en-GB"/>
        </w:rPr>
        <w:t>Fifth</w:t>
      </w:r>
      <w:r w:rsidR="00793403" w:rsidRPr="005E4C5B">
        <w:rPr>
          <w:lang w:val="en-GB"/>
        </w:rPr>
        <w:t xml:space="preserve"> National Development Plan</w:t>
      </w:r>
      <w:r w:rsidR="00AF45EA" w:rsidRPr="008268A9">
        <w:rPr>
          <w:lang w:val="en-GB" w:eastAsia="fr-FR"/>
        </w:rPr>
        <w:t xml:space="preserve">, </w:t>
      </w:r>
      <w:r w:rsidR="00860216">
        <w:rPr>
          <w:lang w:val="en-GB" w:eastAsia="fr-FR"/>
        </w:rPr>
        <w:t xml:space="preserve">the </w:t>
      </w:r>
      <w:r w:rsidR="00860216">
        <w:rPr>
          <w:lang w:val="en-GB"/>
        </w:rPr>
        <w:t>sustainable development goals</w:t>
      </w:r>
      <w:r w:rsidR="00AF45EA" w:rsidRPr="008268A9">
        <w:rPr>
          <w:lang w:val="en-GB" w:eastAsia="fr-FR"/>
        </w:rPr>
        <w:t xml:space="preserve">, </w:t>
      </w:r>
      <w:r w:rsidR="002237C2">
        <w:rPr>
          <w:lang w:val="en-GB" w:eastAsia="fr-FR"/>
        </w:rPr>
        <w:t xml:space="preserve">the </w:t>
      </w:r>
      <w:r w:rsidR="000557C3">
        <w:rPr>
          <w:lang w:val="en-GB" w:eastAsia="fr-FR"/>
        </w:rPr>
        <w:t>United </w:t>
      </w:r>
      <w:r w:rsidR="002237C2" w:rsidRPr="00680AA3">
        <w:rPr>
          <w:lang w:val="en-GB" w:eastAsia="fr-FR"/>
        </w:rPr>
        <w:t>Nations Partnership Framework</w:t>
      </w:r>
      <w:r w:rsidR="00431645" w:rsidRPr="008268A9">
        <w:rPr>
          <w:lang w:val="en-GB" w:eastAsia="fr-FR"/>
        </w:rPr>
        <w:t>,</w:t>
      </w:r>
      <w:r w:rsidR="00AF45EA" w:rsidRPr="008268A9">
        <w:rPr>
          <w:lang w:val="en-GB" w:eastAsia="fr-FR"/>
        </w:rPr>
        <w:t xml:space="preserve"> the country programme</w:t>
      </w:r>
      <w:r w:rsidR="002237C2">
        <w:rPr>
          <w:lang w:val="en-GB" w:eastAsia="fr-FR"/>
        </w:rPr>
        <w:t>,</w:t>
      </w:r>
      <w:r w:rsidR="00431645" w:rsidRPr="00F71E12">
        <w:rPr>
          <w:lang w:val="en-GB" w:eastAsia="fr-FR"/>
        </w:rPr>
        <w:t xml:space="preserve"> and</w:t>
      </w:r>
      <w:r w:rsidR="00BC09F0" w:rsidRPr="00F71E12">
        <w:rPr>
          <w:lang w:val="en-GB" w:eastAsia="fr-FR"/>
        </w:rPr>
        <w:t xml:space="preserve"> </w:t>
      </w:r>
      <w:r w:rsidR="002237C2">
        <w:rPr>
          <w:lang w:val="en-GB" w:eastAsia="fr-FR"/>
        </w:rPr>
        <w:t xml:space="preserve">United Nations </w:t>
      </w:r>
      <w:r w:rsidR="00BC09F0" w:rsidRPr="00F71E12">
        <w:rPr>
          <w:lang w:val="en-GB" w:eastAsia="fr-FR"/>
        </w:rPr>
        <w:t>human rights treaties</w:t>
      </w:r>
      <w:r w:rsidR="000557C3">
        <w:rPr>
          <w:lang w:val="en-GB" w:eastAsia="fr-FR"/>
        </w:rPr>
        <w:t>,</w:t>
      </w:r>
      <w:r w:rsidR="00BC09F0" w:rsidRPr="00F71E12">
        <w:rPr>
          <w:lang w:val="en-GB" w:eastAsia="fr-FR"/>
        </w:rPr>
        <w:t xml:space="preserve"> in collaboration with </w:t>
      </w:r>
      <w:r w:rsidR="00606E66" w:rsidRPr="00F71E12">
        <w:rPr>
          <w:lang w:val="en-GB" w:eastAsia="fr-FR"/>
        </w:rPr>
        <w:t xml:space="preserve">the </w:t>
      </w:r>
      <w:r w:rsidR="00BC09F0" w:rsidRPr="00F71E12">
        <w:rPr>
          <w:lang w:val="en-GB" w:eastAsia="fr-FR"/>
        </w:rPr>
        <w:t>Office of the Ombuds</w:t>
      </w:r>
      <w:r w:rsidR="00305560">
        <w:rPr>
          <w:lang w:val="en-GB" w:eastAsia="fr-FR"/>
        </w:rPr>
        <w:t>perso</w:t>
      </w:r>
      <w:r w:rsidR="00BC09F0" w:rsidRPr="00F71E12">
        <w:rPr>
          <w:lang w:val="en-GB" w:eastAsia="fr-FR"/>
        </w:rPr>
        <w:t>n</w:t>
      </w:r>
      <w:r w:rsidR="00AF45EA" w:rsidRPr="00F71E12">
        <w:rPr>
          <w:lang w:val="en-GB" w:eastAsia="fr-FR"/>
        </w:rPr>
        <w:t xml:space="preserve">. </w:t>
      </w:r>
    </w:p>
    <w:p w14:paraId="2927FA78" w14:textId="15820635" w:rsidR="00E83104" w:rsidRPr="00F71E12" w:rsidRDefault="002237C2" w:rsidP="00816471">
      <w:pPr>
        <w:pStyle w:val="ListParagraph"/>
        <w:numPr>
          <w:ilvl w:val="0"/>
          <w:numId w:val="3"/>
        </w:numPr>
        <w:tabs>
          <w:tab w:val="left" w:pos="1800"/>
        </w:tabs>
        <w:spacing w:after="120"/>
        <w:ind w:left="1440" w:right="1210" w:firstLine="0"/>
        <w:jc w:val="both"/>
        <w:rPr>
          <w:lang w:val="en-GB" w:eastAsia="fr-FR"/>
        </w:rPr>
      </w:pPr>
      <w:r>
        <w:rPr>
          <w:lang w:val="en-GB" w:eastAsia="fr-FR"/>
        </w:rPr>
        <w:t xml:space="preserve">The results and resources framework of the </w:t>
      </w:r>
      <w:r w:rsidR="008F67F7" w:rsidRPr="00F71E12">
        <w:rPr>
          <w:lang w:val="en-GB" w:eastAsia="fr-FR"/>
        </w:rPr>
        <w:t xml:space="preserve">Strategic Plan will be the reference </w:t>
      </w:r>
      <w:r w:rsidR="000557C3">
        <w:rPr>
          <w:lang w:val="en-GB" w:eastAsia="fr-FR"/>
        </w:rPr>
        <w:t>for</w:t>
      </w:r>
      <w:r w:rsidR="000557C3" w:rsidRPr="00F71E12">
        <w:rPr>
          <w:lang w:val="en-GB" w:eastAsia="fr-FR"/>
        </w:rPr>
        <w:t xml:space="preserve"> </w:t>
      </w:r>
      <w:r w:rsidR="008F67F7" w:rsidRPr="00F71E12">
        <w:rPr>
          <w:lang w:val="en-GB" w:eastAsia="fr-FR"/>
        </w:rPr>
        <w:t>setting programme output indicators</w:t>
      </w:r>
      <w:r w:rsidR="000557C3">
        <w:rPr>
          <w:lang w:val="en-GB" w:eastAsia="fr-FR"/>
        </w:rPr>
        <w:t>,</w:t>
      </w:r>
      <w:r w:rsidR="00E6481A" w:rsidRPr="00F71E12">
        <w:rPr>
          <w:lang w:val="en-GB" w:eastAsia="fr-FR"/>
        </w:rPr>
        <w:t xml:space="preserve"> </w:t>
      </w:r>
      <w:r w:rsidR="00B910BE" w:rsidRPr="00F71E12">
        <w:rPr>
          <w:lang w:val="en-GB" w:eastAsia="fr-FR"/>
        </w:rPr>
        <w:t>compl</w:t>
      </w:r>
      <w:r>
        <w:rPr>
          <w:lang w:val="en-GB" w:eastAsia="fr-FR"/>
        </w:rPr>
        <w:t>e</w:t>
      </w:r>
      <w:r w:rsidR="00B910BE" w:rsidRPr="00F71E12">
        <w:rPr>
          <w:lang w:val="en-GB" w:eastAsia="fr-FR"/>
        </w:rPr>
        <w:t xml:space="preserve">mented </w:t>
      </w:r>
      <w:r w:rsidR="000557C3">
        <w:rPr>
          <w:lang w:val="en-GB" w:eastAsia="fr-FR"/>
        </w:rPr>
        <w:t>by</w:t>
      </w:r>
      <w:r w:rsidR="000557C3" w:rsidRPr="00F71E12">
        <w:rPr>
          <w:lang w:val="en-GB" w:eastAsia="fr-FR"/>
        </w:rPr>
        <w:t xml:space="preserve"> </w:t>
      </w:r>
      <w:r w:rsidR="008F67F7" w:rsidRPr="00F71E12">
        <w:rPr>
          <w:lang w:val="en-GB" w:eastAsia="fr-FR"/>
        </w:rPr>
        <w:t>other</w:t>
      </w:r>
      <w:r w:rsidR="000557C3">
        <w:rPr>
          <w:lang w:val="en-GB" w:eastAsia="fr-FR"/>
        </w:rPr>
        <w:t>s</w:t>
      </w:r>
      <w:r w:rsidR="008F67F7" w:rsidRPr="00F71E12">
        <w:rPr>
          <w:lang w:val="en-GB" w:eastAsia="fr-FR"/>
        </w:rPr>
        <w:t xml:space="preserve"> </w:t>
      </w:r>
      <w:r w:rsidR="00E6481A" w:rsidRPr="00F71E12">
        <w:rPr>
          <w:lang w:val="en-GB" w:eastAsia="fr-FR"/>
        </w:rPr>
        <w:t>as</w:t>
      </w:r>
      <w:r w:rsidR="008F67F7" w:rsidRPr="00F71E12">
        <w:rPr>
          <w:lang w:val="en-GB" w:eastAsia="fr-FR"/>
        </w:rPr>
        <w:t xml:space="preserve"> necessary. </w:t>
      </w:r>
      <w:r w:rsidR="007729B2" w:rsidRPr="00F71E12">
        <w:rPr>
          <w:lang w:val="en-GB" w:eastAsia="fr-FR"/>
        </w:rPr>
        <w:t xml:space="preserve">UNDP </w:t>
      </w:r>
      <w:r w:rsidR="00882372" w:rsidRPr="00F71E12">
        <w:rPr>
          <w:lang w:val="en-GB" w:eastAsia="fr-FR"/>
        </w:rPr>
        <w:t xml:space="preserve">will codify Namibia as a </w:t>
      </w:r>
      <w:r w:rsidR="00D001EE">
        <w:rPr>
          <w:lang w:val="en-GB" w:eastAsia="fr-FR"/>
        </w:rPr>
        <w:t>‘</w:t>
      </w:r>
      <w:r w:rsidR="00882372" w:rsidRPr="00F71E12">
        <w:rPr>
          <w:lang w:val="en-GB" w:eastAsia="fr-FR"/>
        </w:rPr>
        <w:t>good practice</w:t>
      </w:r>
      <w:r w:rsidR="00D001EE">
        <w:rPr>
          <w:lang w:val="en-GB" w:eastAsia="fr-FR"/>
        </w:rPr>
        <w:t>’,</w:t>
      </w:r>
      <w:r w:rsidR="00882372" w:rsidRPr="00F71E12">
        <w:rPr>
          <w:lang w:val="en-GB" w:eastAsia="fr-FR"/>
        </w:rPr>
        <w:t xml:space="preserve"> to be shared through the SSMart for </w:t>
      </w:r>
      <w:r>
        <w:rPr>
          <w:lang w:val="en-GB" w:eastAsia="fr-FR"/>
        </w:rPr>
        <w:t>s</w:t>
      </w:r>
      <w:r w:rsidR="00882372" w:rsidRPr="00F71E12">
        <w:rPr>
          <w:lang w:val="en-GB" w:eastAsia="fr-FR"/>
        </w:rPr>
        <w:t xml:space="preserve">ustainable </w:t>
      </w:r>
      <w:r>
        <w:rPr>
          <w:lang w:val="en-GB" w:eastAsia="fr-FR"/>
        </w:rPr>
        <w:t>d</w:t>
      </w:r>
      <w:r w:rsidR="00882372" w:rsidRPr="00F71E12">
        <w:rPr>
          <w:lang w:val="en-GB" w:eastAsia="fr-FR"/>
        </w:rPr>
        <w:t xml:space="preserve">evelopment </w:t>
      </w:r>
      <w:r>
        <w:rPr>
          <w:lang w:val="en-GB" w:eastAsia="fr-FR"/>
        </w:rPr>
        <w:t>g</w:t>
      </w:r>
      <w:r w:rsidR="00882372" w:rsidRPr="00F71E12">
        <w:rPr>
          <w:lang w:val="en-GB" w:eastAsia="fr-FR"/>
        </w:rPr>
        <w:t>oa</w:t>
      </w:r>
      <w:r w:rsidR="00E6481A" w:rsidRPr="00F71E12">
        <w:rPr>
          <w:lang w:val="en-GB" w:eastAsia="fr-FR"/>
        </w:rPr>
        <w:t>ls</w:t>
      </w:r>
      <w:r w:rsidR="007643F3" w:rsidRPr="00F71E12">
        <w:rPr>
          <w:lang w:val="en-GB" w:eastAsia="fr-FR"/>
        </w:rPr>
        <w:t xml:space="preserve">. </w:t>
      </w:r>
      <w:r>
        <w:rPr>
          <w:lang w:val="en-GB" w:eastAsia="fr-FR"/>
        </w:rPr>
        <w:t xml:space="preserve">The </w:t>
      </w:r>
      <w:r w:rsidR="008F67F7" w:rsidRPr="00F71E12">
        <w:rPr>
          <w:lang w:val="en-GB" w:eastAsia="fr-FR"/>
        </w:rPr>
        <w:t>UNDP results monitoring system will be aligned with the UNPAF mechanism. The Programme Steering Committee will</w:t>
      </w:r>
      <w:r w:rsidR="004B7B3D" w:rsidRPr="00F71E12">
        <w:rPr>
          <w:lang w:val="en-GB" w:eastAsia="fr-FR"/>
        </w:rPr>
        <w:t xml:space="preserve"> </w:t>
      </w:r>
      <w:r w:rsidR="008F67F7" w:rsidRPr="00F71E12">
        <w:rPr>
          <w:lang w:val="en-GB" w:eastAsia="fr-FR"/>
        </w:rPr>
        <w:t xml:space="preserve">monitor progress </w:t>
      </w:r>
      <w:r w:rsidR="007643F3" w:rsidRPr="00F71E12">
        <w:rPr>
          <w:lang w:val="en-GB" w:eastAsia="fr-FR"/>
        </w:rPr>
        <w:t xml:space="preserve">annually </w:t>
      </w:r>
      <w:r w:rsidR="008F67F7" w:rsidRPr="00F71E12">
        <w:rPr>
          <w:lang w:val="en-GB" w:eastAsia="fr-FR"/>
        </w:rPr>
        <w:t xml:space="preserve">towards achievement of </w:t>
      </w:r>
      <w:r w:rsidR="00E83104" w:rsidRPr="00F71E12">
        <w:rPr>
          <w:lang w:val="en-GB" w:eastAsia="fr-FR"/>
        </w:rPr>
        <w:t>results</w:t>
      </w:r>
      <w:r w:rsidR="007643F3" w:rsidRPr="00F71E12">
        <w:rPr>
          <w:lang w:val="en-GB" w:eastAsia="fr-FR"/>
        </w:rPr>
        <w:t xml:space="preserve">. </w:t>
      </w:r>
      <w:r w:rsidR="008F67F7" w:rsidRPr="00F71E12">
        <w:rPr>
          <w:lang w:val="en-GB" w:eastAsia="fr-FR"/>
        </w:rPr>
        <w:t>At the project level</w:t>
      </w:r>
      <w:r w:rsidR="000557C3">
        <w:rPr>
          <w:lang w:val="en-GB" w:eastAsia="fr-FR"/>
        </w:rPr>
        <w:t>,</w:t>
      </w:r>
      <w:r w:rsidR="00E83104" w:rsidRPr="00F71E12">
        <w:rPr>
          <w:lang w:val="en-GB" w:eastAsia="fr-FR"/>
        </w:rPr>
        <w:t xml:space="preserve"> where feasible</w:t>
      </w:r>
      <w:r w:rsidR="008F67F7" w:rsidRPr="00F71E12">
        <w:rPr>
          <w:lang w:val="en-GB" w:eastAsia="fr-FR"/>
        </w:rPr>
        <w:t xml:space="preserve">, the </w:t>
      </w:r>
      <w:r w:rsidR="00E83104" w:rsidRPr="00F71E12">
        <w:rPr>
          <w:lang w:val="en-GB" w:eastAsia="fr-FR"/>
        </w:rPr>
        <w:t xml:space="preserve">consolidated </w:t>
      </w:r>
      <w:r w:rsidR="008F67F7" w:rsidRPr="00F71E12">
        <w:rPr>
          <w:lang w:val="en-GB" w:eastAsia="fr-FR"/>
        </w:rPr>
        <w:t xml:space="preserve">project steering committees will ensure regular monitoring of progress. </w:t>
      </w:r>
      <w:r w:rsidR="00606E66" w:rsidRPr="00F71E12">
        <w:rPr>
          <w:lang w:val="en-GB" w:eastAsia="fr-FR"/>
        </w:rPr>
        <w:t>A m</w:t>
      </w:r>
      <w:r w:rsidR="008F67F7" w:rsidRPr="00F71E12">
        <w:rPr>
          <w:lang w:val="en-GB" w:eastAsia="fr-FR"/>
        </w:rPr>
        <w:t>idterm evaluation will be conducted</w:t>
      </w:r>
      <w:r w:rsidR="00D001EE">
        <w:rPr>
          <w:lang w:val="en-GB" w:eastAsia="fr-FR"/>
        </w:rPr>
        <w:t>,</w:t>
      </w:r>
      <w:r w:rsidR="008F67F7" w:rsidRPr="00F71E12">
        <w:rPr>
          <w:lang w:val="en-GB" w:eastAsia="fr-FR"/>
        </w:rPr>
        <w:t xml:space="preserve"> and a final </w:t>
      </w:r>
      <w:r w:rsidR="000557C3">
        <w:rPr>
          <w:lang w:val="en-GB" w:eastAsia="fr-FR"/>
        </w:rPr>
        <w:t>one</w:t>
      </w:r>
      <w:r w:rsidR="000557C3" w:rsidRPr="00F71E12">
        <w:rPr>
          <w:lang w:val="en-GB" w:eastAsia="fr-FR"/>
        </w:rPr>
        <w:t xml:space="preserve"> </w:t>
      </w:r>
      <w:r w:rsidR="008F67F7" w:rsidRPr="00F71E12">
        <w:rPr>
          <w:lang w:val="en-GB" w:eastAsia="fr-FR"/>
        </w:rPr>
        <w:t xml:space="preserve">during the last quarter of the </w:t>
      </w:r>
      <w:r w:rsidR="00D001EE">
        <w:rPr>
          <w:lang w:val="en-GB" w:eastAsia="fr-FR"/>
        </w:rPr>
        <w:t>fourth</w:t>
      </w:r>
      <w:r w:rsidR="00D001EE" w:rsidRPr="00F71E12">
        <w:rPr>
          <w:lang w:val="en-GB" w:eastAsia="fr-FR"/>
        </w:rPr>
        <w:t xml:space="preserve"> </w:t>
      </w:r>
      <w:r w:rsidR="008F67F7" w:rsidRPr="00F71E12">
        <w:rPr>
          <w:lang w:val="en-GB" w:eastAsia="fr-FR"/>
        </w:rPr>
        <w:t>year</w:t>
      </w:r>
      <w:r w:rsidR="00B910BE" w:rsidRPr="00F71E12">
        <w:rPr>
          <w:lang w:val="en-GB" w:eastAsia="fr-FR"/>
        </w:rPr>
        <w:t xml:space="preserve"> of implementation</w:t>
      </w:r>
      <w:r w:rsidR="008F67F7" w:rsidRPr="00F71E12">
        <w:rPr>
          <w:lang w:val="en-GB" w:eastAsia="fr-FR"/>
        </w:rPr>
        <w:t xml:space="preserve">. </w:t>
      </w:r>
    </w:p>
    <w:p w14:paraId="389AF8A7" w14:textId="4185BCC5" w:rsidR="003D2F84" w:rsidRPr="00F71E12" w:rsidRDefault="008F67F7" w:rsidP="00816471">
      <w:pPr>
        <w:pStyle w:val="ListParagraph"/>
        <w:numPr>
          <w:ilvl w:val="0"/>
          <w:numId w:val="3"/>
        </w:numPr>
        <w:tabs>
          <w:tab w:val="left" w:pos="1800"/>
        </w:tabs>
        <w:spacing w:after="120"/>
        <w:ind w:left="1440" w:right="1210" w:firstLine="0"/>
        <w:jc w:val="both"/>
        <w:rPr>
          <w:lang w:val="en-GB" w:eastAsia="fr-FR"/>
        </w:rPr>
      </w:pPr>
      <w:r w:rsidRPr="00F71E12">
        <w:rPr>
          <w:lang w:val="en-GB" w:eastAsia="fr-FR"/>
        </w:rPr>
        <w:t xml:space="preserve">Evaluations will be selected, planned and conducted to measure progress </w:t>
      </w:r>
      <w:r w:rsidR="00B910BE" w:rsidRPr="00F71E12">
        <w:rPr>
          <w:lang w:val="en-GB" w:eastAsia="fr-FR"/>
        </w:rPr>
        <w:t>on</w:t>
      </w:r>
      <w:r w:rsidRPr="00F71E12">
        <w:rPr>
          <w:lang w:val="en-GB" w:eastAsia="fr-FR"/>
        </w:rPr>
        <w:t xml:space="preserve"> results</w:t>
      </w:r>
      <w:r w:rsidR="003224A3">
        <w:rPr>
          <w:lang w:val="en-GB" w:eastAsia="fr-FR"/>
        </w:rPr>
        <w:t>,</w:t>
      </w:r>
      <w:r w:rsidRPr="00F71E12">
        <w:rPr>
          <w:lang w:val="en-GB" w:eastAsia="fr-FR"/>
        </w:rPr>
        <w:t xml:space="preserve"> and</w:t>
      </w:r>
      <w:r w:rsidR="00B910BE" w:rsidRPr="00F71E12">
        <w:rPr>
          <w:lang w:val="en-GB" w:eastAsia="fr-FR"/>
        </w:rPr>
        <w:t>, for</w:t>
      </w:r>
      <w:r w:rsidRPr="00F71E12">
        <w:rPr>
          <w:lang w:val="en-GB" w:eastAsia="fr-FR"/>
        </w:rPr>
        <w:t xml:space="preserve"> learning and accountability purposes, </w:t>
      </w:r>
      <w:r w:rsidR="003224A3">
        <w:rPr>
          <w:lang w:val="en-GB" w:eastAsia="fr-FR"/>
        </w:rPr>
        <w:t xml:space="preserve">to </w:t>
      </w:r>
      <w:r w:rsidRPr="00F71E12">
        <w:rPr>
          <w:lang w:val="en-GB" w:eastAsia="fr-FR"/>
        </w:rPr>
        <w:t xml:space="preserve">allow informed decision-making for adjustments during the implementation phase. Gender markers will be used to track </w:t>
      </w:r>
      <w:r w:rsidR="008817CC" w:rsidRPr="00F71E12">
        <w:rPr>
          <w:lang w:val="en-GB" w:eastAsia="fr-FR"/>
        </w:rPr>
        <w:t>country programme</w:t>
      </w:r>
      <w:r w:rsidRPr="00F71E12">
        <w:rPr>
          <w:lang w:val="en-GB" w:eastAsia="fr-FR"/>
        </w:rPr>
        <w:t xml:space="preserve"> budgets and expenditures </w:t>
      </w:r>
      <w:r w:rsidR="003224A3">
        <w:rPr>
          <w:lang w:val="en-GB" w:eastAsia="fr-FR"/>
        </w:rPr>
        <w:t xml:space="preserve">so as </w:t>
      </w:r>
      <w:r w:rsidRPr="00F71E12">
        <w:rPr>
          <w:lang w:val="en-GB" w:eastAsia="fr-FR"/>
        </w:rPr>
        <w:t xml:space="preserve">to improve planning and resources allocation </w:t>
      </w:r>
      <w:r w:rsidR="003224A3">
        <w:rPr>
          <w:lang w:val="en-GB" w:eastAsia="fr-FR"/>
        </w:rPr>
        <w:t>for</w:t>
      </w:r>
      <w:r w:rsidR="003224A3" w:rsidRPr="00F71E12">
        <w:rPr>
          <w:lang w:val="en-GB" w:eastAsia="fr-FR"/>
        </w:rPr>
        <w:t xml:space="preserve"> </w:t>
      </w:r>
      <w:r w:rsidRPr="00F71E12">
        <w:rPr>
          <w:lang w:val="en-GB" w:eastAsia="fr-FR"/>
        </w:rPr>
        <w:t>gender equality. UNDP will implement the project quality assurance system and will develop capacities for gender</w:t>
      </w:r>
      <w:r w:rsidR="003224A3">
        <w:rPr>
          <w:lang w:val="en-GB" w:eastAsia="fr-FR"/>
        </w:rPr>
        <w:t>-</w:t>
      </w:r>
      <w:r w:rsidRPr="00F71E12">
        <w:rPr>
          <w:lang w:val="en-GB" w:eastAsia="fr-FR"/>
        </w:rPr>
        <w:t xml:space="preserve">sensitive monitoring and evaluation. UNDP will allocate at least </w:t>
      </w:r>
      <w:r w:rsidR="00E04604" w:rsidRPr="00F71E12">
        <w:rPr>
          <w:lang w:val="en-GB" w:eastAsia="fr-FR"/>
        </w:rPr>
        <w:t>1</w:t>
      </w:r>
      <w:r w:rsidR="00401E0F" w:rsidRPr="00F71E12">
        <w:rPr>
          <w:lang w:val="en-GB" w:eastAsia="fr-FR"/>
        </w:rPr>
        <w:t xml:space="preserve"> per cent</w:t>
      </w:r>
      <w:r w:rsidRPr="00F71E12">
        <w:rPr>
          <w:lang w:val="en-GB" w:eastAsia="fr-FR"/>
        </w:rPr>
        <w:t xml:space="preserve"> of its programme budget to data collection</w:t>
      </w:r>
      <w:r w:rsidR="003224A3">
        <w:rPr>
          <w:lang w:val="en-GB" w:eastAsia="fr-FR"/>
        </w:rPr>
        <w:t xml:space="preserve"> and</w:t>
      </w:r>
      <w:r w:rsidR="00793403">
        <w:rPr>
          <w:lang w:val="en-GB" w:eastAsia="fr-FR"/>
        </w:rPr>
        <w:t xml:space="preserve"> </w:t>
      </w:r>
      <w:r w:rsidRPr="00F71E12">
        <w:rPr>
          <w:lang w:val="en-GB" w:eastAsia="fr-FR"/>
        </w:rPr>
        <w:t>monitoring and evaluation.</w:t>
      </w:r>
    </w:p>
    <w:p w14:paraId="7DEAB867" w14:textId="77777777" w:rsidR="00CF0984" w:rsidRPr="00F71E12" w:rsidRDefault="00CF0984" w:rsidP="00CF0984">
      <w:pPr>
        <w:tabs>
          <w:tab w:val="left" w:pos="1800"/>
        </w:tabs>
        <w:spacing w:after="120"/>
        <w:ind w:right="1210"/>
        <w:jc w:val="both"/>
        <w:rPr>
          <w:lang w:val="en-GB" w:eastAsia="fr-FR"/>
        </w:rPr>
      </w:pPr>
    </w:p>
    <w:p w14:paraId="7DC09D9D" w14:textId="0320019E" w:rsidR="00CF0984" w:rsidRPr="00F71E12" w:rsidRDefault="00CF0984" w:rsidP="00CF0984">
      <w:pPr>
        <w:tabs>
          <w:tab w:val="left" w:pos="1800"/>
        </w:tabs>
        <w:spacing w:after="120"/>
        <w:ind w:right="1210"/>
        <w:jc w:val="both"/>
        <w:rPr>
          <w:lang w:val="en-GB" w:eastAsia="fr-FR"/>
        </w:rPr>
        <w:sectPr w:rsidR="00CF0984" w:rsidRPr="00F71E12" w:rsidSect="004B10A4">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16B8FF0" w14:textId="66339A65" w:rsidR="006B6E78" w:rsidRPr="00832F58" w:rsidRDefault="00684DB0" w:rsidP="005920CB">
      <w:pPr>
        <w:pStyle w:val="Heading1"/>
        <w:tabs>
          <w:tab w:val="left" w:pos="1800"/>
        </w:tabs>
        <w:spacing w:after="120"/>
        <w:ind w:right="1210"/>
        <w:jc w:val="both"/>
        <w:rPr>
          <w:rFonts w:ascii="Times New Roman" w:hAnsi="Times New Roman"/>
          <w:sz w:val="24"/>
          <w:szCs w:val="24"/>
          <w:lang w:val="en-GB"/>
        </w:rPr>
      </w:pPr>
      <w:r w:rsidRPr="0065629C">
        <w:rPr>
          <w:rFonts w:ascii="Times New Roman" w:hAnsi="Times New Roman"/>
          <w:color w:val="000000"/>
          <w:sz w:val="24"/>
          <w:szCs w:val="24"/>
          <w:lang w:val="en-GB"/>
        </w:rPr>
        <w:lastRenderedPageBreak/>
        <w:t>Annex</w:t>
      </w:r>
      <w:r w:rsidRPr="0065629C">
        <w:rPr>
          <w:rFonts w:ascii="Times New Roman" w:hAnsi="Times New Roman"/>
          <w:bCs/>
          <w:color w:val="000000"/>
          <w:sz w:val="24"/>
          <w:szCs w:val="24"/>
          <w:lang w:val="en-GB"/>
        </w:rPr>
        <w:t>.</w:t>
      </w:r>
      <w:r w:rsidRPr="00680AA3">
        <w:rPr>
          <w:rFonts w:ascii="Times New Roman" w:hAnsi="Times New Roman"/>
          <w:bCs/>
          <w:color w:val="000000"/>
          <w:sz w:val="24"/>
          <w:szCs w:val="24"/>
          <w:lang w:val="en-GB"/>
        </w:rPr>
        <w:t xml:space="preserve"> Results and resources framework</w:t>
      </w:r>
      <w:r w:rsidRPr="00680AA3">
        <w:rPr>
          <w:rFonts w:ascii="Times New Roman" w:hAnsi="Times New Roman"/>
          <w:bCs/>
          <w:i/>
          <w:color w:val="000000"/>
          <w:sz w:val="24"/>
          <w:szCs w:val="24"/>
          <w:lang w:val="en-GB"/>
        </w:rPr>
        <w:t xml:space="preserve"> </w:t>
      </w:r>
      <w:r w:rsidRPr="00680AA3">
        <w:rPr>
          <w:rFonts w:ascii="Times New Roman" w:hAnsi="Times New Roman"/>
          <w:bCs/>
          <w:color w:val="000000"/>
          <w:sz w:val="24"/>
          <w:szCs w:val="24"/>
          <w:lang w:val="en-GB"/>
        </w:rPr>
        <w:t>for Namibia (2019-2023</w:t>
      </w:r>
      <w:r w:rsidRPr="00832F58">
        <w:rPr>
          <w:rFonts w:ascii="Times New Roman" w:hAnsi="Times New Roman"/>
          <w:bCs/>
          <w:sz w:val="24"/>
          <w:szCs w:val="24"/>
          <w:lang w:val="en-GB"/>
        </w:rPr>
        <w: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69"/>
        <w:gridCol w:w="2069"/>
        <w:gridCol w:w="6207"/>
        <w:gridCol w:w="1533"/>
        <w:gridCol w:w="1201"/>
      </w:tblGrid>
      <w:tr w:rsidR="00161A43" w:rsidRPr="00074002" w14:paraId="52320E13" w14:textId="77777777" w:rsidTr="00B362C0">
        <w:tc>
          <w:tcPr>
            <w:tcW w:w="5000" w:type="pct"/>
            <w:gridSpan w:val="5"/>
            <w:shd w:val="clear" w:color="auto" w:fill="auto"/>
            <w:tcMar>
              <w:top w:w="72" w:type="dxa"/>
              <w:left w:w="144" w:type="dxa"/>
              <w:bottom w:w="72" w:type="dxa"/>
              <w:right w:w="144" w:type="dxa"/>
            </w:tcMar>
          </w:tcPr>
          <w:p w14:paraId="767DC66C" w14:textId="39C53858" w:rsidR="00161A43" w:rsidRPr="006020CD" w:rsidRDefault="009F1FB9" w:rsidP="00425BCB">
            <w:pPr>
              <w:tabs>
                <w:tab w:val="left" w:pos="8789"/>
              </w:tabs>
              <w:rPr>
                <w:sz w:val="16"/>
                <w:szCs w:val="16"/>
                <w:lang w:val="en-GB"/>
              </w:rPr>
            </w:pPr>
            <w:r w:rsidRPr="009F1FB9">
              <w:rPr>
                <w:b/>
                <w:bCs/>
                <w:sz w:val="16"/>
                <w:szCs w:val="16"/>
                <w:lang w:val="en-GB"/>
              </w:rPr>
              <w:t>National priority or goal:</w:t>
            </w:r>
            <w:r w:rsidR="00161A43" w:rsidRPr="00680AA3">
              <w:rPr>
                <w:b/>
                <w:bCs/>
                <w:sz w:val="16"/>
                <w:szCs w:val="16"/>
                <w:lang w:val="en-GB"/>
              </w:rPr>
              <w:t xml:space="preserve"> Pillar 1</w:t>
            </w:r>
            <w:r>
              <w:rPr>
                <w:b/>
                <w:bCs/>
                <w:sz w:val="16"/>
                <w:szCs w:val="16"/>
                <w:lang w:val="en-GB"/>
              </w:rPr>
              <w:t>.</w:t>
            </w:r>
            <w:r w:rsidR="00161A43" w:rsidRPr="00680AA3">
              <w:rPr>
                <w:b/>
                <w:bCs/>
                <w:sz w:val="16"/>
                <w:szCs w:val="16"/>
                <w:lang w:val="en-GB"/>
              </w:rPr>
              <w:t xml:space="preserve"> Economic </w:t>
            </w:r>
            <w:r>
              <w:rPr>
                <w:b/>
                <w:bCs/>
                <w:sz w:val="16"/>
                <w:szCs w:val="16"/>
                <w:lang w:val="en-GB"/>
              </w:rPr>
              <w:t>p</w:t>
            </w:r>
            <w:r w:rsidR="00161A43" w:rsidRPr="00680AA3">
              <w:rPr>
                <w:b/>
                <w:bCs/>
                <w:sz w:val="16"/>
                <w:szCs w:val="16"/>
                <w:lang w:val="en-GB"/>
              </w:rPr>
              <w:t>rogression (</w:t>
            </w:r>
            <w:r w:rsidR="000807C1">
              <w:rPr>
                <w:b/>
                <w:bCs/>
                <w:sz w:val="16"/>
                <w:szCs w:val="16"/>
                <w:lang w:val="en-GB"/>
              </w:rPr>
              <w:t xml:space="preserve">Fifth National Development Plan – </w:t>
            </w:r>
            <w:r w:rsidR="00161A43" w:rsidRPr="006020CD">
              <w:rPr>
                <w:b/>
                <w:bCs/>
                <w:sz w:val="16"/>
                <w:szCs w:val="16"/>
                <w:lang w:val="en-GB"/>
              </w:rPr>
              <w:t>NDP5)</w:t>
            </w:r>
          </w:p>
        </w:tc>
      </w:tr>
      <w:tr w:rsidR="006058BD" w:rsidRPr="00074002" w14:paraId="53E7E900" w14:textId="77777777" w:rsidTr="00B362C0">
        <w:tc>
          <w:tcPr>
            <w:tcW w:w="3955" w:type="pct"/>
            <w:gridSpan w:val="3"/>
            <w:shd w:val="clear" w:color="auto" w:fill="auto"/>
            <w:tcMar>
              <w:top w:w="72" w:type="dxa"/>
              <w:left w:w="144" w:type="dxa"/>
              <w:bottom w:w="72" w:type="dxa"/>
              <w:right w:w="144" w:type="dxa"/>
            </w:tcMar>
          </w:tcPr>
          <w:p w14:paraId="6552DE05" w14:textId="45964194" w:rsidR="00161A43" w:rsidRPr="006020CD" w:rsidRDefault="00877E95" w:rsidP="00425BCB">
            <w:pPr>
              <w:tabs>
                <w:tab w:val="left" w:pos="8789"/>
              </w:tabs>
              <w:jc w:val="both"/>
              <w:rPr>
                <w:sz w:val="16"/>
                <w:szCs w:val="16"/>
                <w:lang w:val="en-GB"/>
              </w:rPr>
            </w:pPr>
            <w:r w:rsidRPr="006020CD">
              <w:rPr>
                <w:b/>
                <w:bCs/>
                <w:sz w:val="16"/>
                <w:szCs w:val="16"/>
                <w:lang w:val="en-GB"/>
              </w:rPr>
              <w:t>United Nations Partnership Framework</w:t>
            </w:r>
            <w:r w:rsidRPr="00877E95">
              <w:rPr>
                <w:b/>
                <w:bCs/>
                <w:sz w:val="16"/>
                <w:szCs w:val="16"/>
                <w:lang w:val="en-GB"/>
              </w:rPr>
              <w:t xml:space="preserve"> </w:t>
            </w:r>
            <w:r>
              <w:rPr>
                <w:b/>
                <w:bCs/>
                <w:sz w:val="16"/>
                <w:szCs w:val="16"/>
                <w:lang w:val="en-GB"/>
              </w:rPr>
              <w:t xml:space="preserve">- </w:t>
            </w:r>
            <w:r w:rsidR="00161A43" w:rsidRPr="006020CD">
              <w:rPr>
                <w:b/>
                <w:bCs/>
                <w:sz w:val="16"/>
                <w:szCs w:val="16"/>
                <w:lang w:val="en-GB"/>
              </w:rPr>
              <w:t xml:space="preserve">UNPAF </w:t>
            </w:r>
            <w:r w:rsidRPr="00877E95">
              <w:rPr>
                <w:b/>
                <w:bCs/>
                <w:sz w:val="16"/>
                <w:szCs w:val="16"/>
                <w:lang w:val="en-GB"/>
              </w:rPr>
              <w:t>(or equivalent) outcome</w:t>
            </w:r>
            <w:r w:rsidR="00C96443" w:rsidRPr="006020CD">
              <w:rPr>
                <w:b/>
                <w:bCs/>
                <w:sz w:val="16"/>
                <w:szCs w:val="16"/>
                <w:lang w:val="en-GB"/>
              </w:rPr>
              <w:t xml:space="preserve"> </w:t>
            </w:r>
            <w:r w:rsidRPr="00877E95">
              <w:rPr>
                <w:b/>
                <w:bCs/>
                <w:sz w:val="16"/>
                <w:szCs w:val="16"/>
                <w:lang w:val="en-GB"/>
              </w:rPr>
              <w:t>1.1 involving</w:t>
            </w:r>
            <w:r w:rsidR="00161A43" w:rsidRPr="006020CD">
              <w:rPr>
                <w:b/>
                <w:bCs/>
                <w:sz w:val="16"/>
                <w:szCs w:val="16"/>
                <w:lang w:val="en-GB"/>
              </w:rPr>
              <w:t xml:space="preserve"> UNDP:</w:t>
            </w:r>
            <w:r w:rsidR="00161A43" w:rsidRPr="006020CD">
              <w:rPr>
                <w:sz w:val="16"/>
                <w:szCs w:val="16"/>
                <w:lang w:val="en-GB"/>
              </w:rPr>
              <w:t xml:space="preserve"> </w:t>
            </w:r>
            <w:r w:rsidR="00E0280C" w:rsidRPr="006020CD">
              <w:rPr>
                <w:sz w:val="16"/>
                <w:szCs w:val="16"/>
                <w:lang w:val="en-GB"/>
              </w:rPr>
              <w:t>B</w:t>
            </w:r>
            <w:r w:rsidR="00E0280C" w:rsidRPr="006020CD">
              <w:rPr>
                <w:bCs/>
                <w:sz w:val="16"/>
                <w:szCs w:val="16"/>
                <w:lang w:val="en-GB"/>
              </w:rPr>
              <w:t>y 2023, institutions upscale efforts to implement policies for inclusive development and poverty reduction for vulnerable groups</w:t>
            </w:r>
          </w:p>
        </w:tc>
        <w:tc>
          <w:tcPr>
            <w:tcW w:w="1045" w:type="pct"/>
            <w:gridSpan w:val="2"/>
            <w:shd w:val="clear" w:color="auto" w:fill="auto"/>
          </w:tcPr>
          <w:p w14:paraId="371C4DF8" w14:textId="03AFD4B2" w:rsidR="00161A43" w:rsidRPr="006020CD" w:rsidRDefault="002B5082" w:rsidP="00425BCB">
            <w:pPr>
              <w:tabs>
                <w:tab w:val="left" w:pos="8789"/>
              </w:tabs>
              <w:rPr>
                <w:b/>
                <w:sz w:val="16"/>
                <w:szCs w:val="16"/>
                <w:lang w:val="en-GB"/>
              </w:rPr>
            </w:pPr>
            <w:r>
              <w:rPr>
                <w:b/>
                <w:sz w:val="16"/>
                <w:szCs w:val="16"/>
                <w:lang w:val="en-GB"/>
              </w:rPr>
              <w:t xml:space="preserve">Sustainable </w:t>
            </w:r>
            <w:r w:rsidR="006020CD">
              <w:rPr>
                <w:b/>
                <w:sz w:val="16"/>
                <w:szCs w:val="16"/>
                <w:lang w:val="en-GB"/>
              </w:rPr>
              <w:t>D</w:t>
            </w:r>
            <w:r>
              <w:rPr>
                <w:b/>
                <w:sz w:val="16"/>
                <w:szCs w:val="16"/>
                <w:lang w:val="en-GB"/>
              </w:rPr>
              <w:t xml:space="preserve">evelopment </w:t>
            </w:r>
            <w:r w:rsidR="006020CD">
              <w:rPr>
                <w:b/>
                <w:sz w:val="16"/>
                <w:szCs w:val="16"/>
                <w:lang w:val="en-GB"/>
              </w:rPr>
              <w:t>G</w:t>
            </w:r>
            <w:r>
              <w:rPr>
                <w:b/>
                <w:sz w:val="16"/>
                <w:szCs w:val="16"/>
                <w:lang w:val="en-GB"/>
              </w:rPr>
              <w:t>oals (</w:t>
            </w:r>
            <w:r w:rsidR="00A4321A" w:rsidRPr="006020CD">
              <w:rPr>
                <w:b/>
                <w:sz w:val="16"/>
                <w:szCs w:val="16"/>
                <w:lang w:val="en-GB"/>
              </w:rPr>
              <w:t>SDG</w:t>
            </w:r>
            <w:r>
              <w:rPr>
                <w:b/>
                <w:sz w:val="16"/>
                <w:szCs w:val="16"/>
                <w:lang w:val="en-GB"/>
              </w:rPr>
              <w:t>s)</w:t>
            </w:r>
            <w:r w:rsidR="00A4321A" w:rsidRPr="006020CD">
              <w:rPr>
                <w:b/>
                <w:sz w:val="16"/>
                <w:szCs w:val="16"/>
                <w:lang w:val="en-GB"/>
              </w:rPr>
              <w:t xml:space="preserve"> </w:t>
            </w:r>
            <w:r w:rsidR="00161A43" w:rsidRPr="006020CD">
              <w:rPr>
                <w:b/>
                <w:sz w:val="16"/>
                <w:szCs w:val="16"/>
                <w:lang w:val="en-GB"/>
              </w:rPr>
              <w:t>1, 5</w:t>
            </w:r>
            <w:r w:rsidR="00595DC3" w:rsidRPr="006020CD">
              <w:rPr>
                <w:b/>
                <w:sz w:val="16"/>
                <w:szCs w:val="16"/>
                <w:lang w:val="en-GB"/>
              </w:rPr>
              <w:t>, 8, 9, 10</w:t>
            </w:r>
          </w:p>
        </w:tc>
      </w:tr>
      <w:tr w:rsidR="00161A43" w:rsidRPr="00074002" w14:paraId="48DD909C" w14:textId="77777777" w:rsidTr="00B362C0">
        <w:tc>
          <w:tcPr>
            <w:tcW w:w="5000" w:type="pct"/>
            <w:gridSpan w:val="5"/>
            <w:shd w:val="clear" w:color="auto" w:fill="auto"/>
            <w:tcMar>
              <w:top w:w="72" w:type="dxa"/>
              <w:left w:w="144" w:type="dxa"/>
              <w:bottom w:w="72" w:type="dxa"/>
              <w:right w:w="144" w:type="dxa"/>
            </w:tcMar>
          </w:tcPr>
          <w:p w14:paraId="02E290E7" w14:textId="62937738" w:rsidR="00161A43" w:rsidRPr="006020CD" w:rsidRDefault="00877E95" w:rsidP="00425BCB">
            <w:pPr>
              <w:tabs>
                <w:tab w:val="left" w:pos="8789"/>
              </w:tabs>
              <w:rPr>
                <w:b/>
                <w:bCs/>
                <w:sz w:val="16"/>
                <w:szCs w:val="16"/>
                <w:lang w:val="en-GB"/>
              </w:rPr>
            </w:pPr>
            <w:r w:rsidRPr="00877E95">
              <w:rPr>
                <w:b/>
                <w:bCs/>
                <w:sz w:val="16"/>
                <w:szCs w:val="16"/>
                <w:lang w:val="en-GB"/>
              </w:rPr>
              <w:t>Related strategic plan outcome</w:t>
            </w:r>
            <w:r w:rsidR="00161A43" w:rsidRPr="006020CD">
              <w:rPr>
                <w:b/>
                <w:bCs/>
                <w:sz w:val="16"/>
                <w:szCs w:val="16"/>
                <w:lang w:val="en-GB"/>
              </w:rPr>
              <w:t xml:space="preserve">: </w:t>
            </w:r>
            <w:r w:rsidR="00161A43" w:rsidRPr="006020CD">
              <w:rPr>
                <w:sz w:val="16"/>
                <w:szCs w:val="16"/>
                <w:lang w:val="en-GB"/>
              </w:rPr>
              <w:t xml:space="preserve">Outcome 1. </w:t>
            </w:r>
            <w:r w:rsidR="00D30EF3" w:rsidRPr="006020CD">
              <w:rPr>
                <w:sz w:val="16"/>
                <w:szCs w:val="16"/>
                <w:lang w:val="en-GB"/>
              </w:rPr>
              <w:t>Eradicate poverty in all its forms and dimensions</w:t>
            </w:r>
          </w:p>
        </w:tc>
      </w:tr>
      <w:tr w:rsidR="00E43F55" w:rsidRPr="00074002" w14:paraId="3D578332" w14:textId="77777777" w:rsidTr="00B362C0">
        <w:tc>
          <w:tcPr>
            <w:tcW w:w="791" w:type="pct"/>
            <w:shd w:val="clear" w:color="auto" w:fill="auto"/>
            <w:tcMar>
              <w:top w:w="72" w:type="dxa"/>
              <w:left w:w="144" w:type="dxa"/>
              <w:bottom w:w="72" w:type="dxa"/>
              <w:right w:w="144" w:type="dxa"/>
            </w:tcMar>
            <w:vAlign w:val="center"/>
          </w:tcPr>
          <w:p w14:paraId="77018E55" w14:textId="359FB252" w:rsidR="0076126B" w:rsidRPr="006020CD" w:rsidRDefault="00EE5D47" w:rsidP="00EE5D47">
            <w:pPr>
              <w:tabs>
                <w:tab w:val="left" w:pos="8789"/>
              </w:tabs>
              <w:jc w:val="center"/>
              <w:rPr>
                <w:b/>
                <w:bCs/>
                <w:sz w:val="16"/>
                <w:szCs w:val="16"/>
                <w:lang w:val="en-GB"/>
              </w:rPr>
            </w:pPr>
            <w:r w:rsidRPr="00074002">
              <w:rPr>
                <w:b/>
                <w:bCs/>
                <w:sz w:val="16"/>
                <w:szCs w:val="16"/>
                <w:lang w:val="en-GB"/>
              </w:rPr>
              <w:t>UNPAF</w:t>
            </w:r>
            <w:r w:rsidR="00961E0C" w:rsidRPr="00074002">
              <w:rPr>
                <w:b/>
                <w:bCs/>
                <w:sz w:val="16"/>
                <w:szCs w:val="16"/>
                <w:lang w:val="en-GB"/>
              </w:rPr>
              <w:t xml:space="preserve"> outcome indicator(s), baselines, target(s)</w:t>
            </w:r>
          </w:p>
        </w:tc>
        <w:tc>
          <w:tcPr>
            <w:tcW w:w="791" w:type="pct"/>
            <w:shd w:val="clear" w:color="auto" w:fill="auto"/>
            <w:vAlign w:val="center"/>
          </w:tcPr>
          <w:p w14:paraId="11BE45AC" w14:textId="4E518D57" w:rsidR="0076126B" w:rsidRPr="006020CD" w:rsidRDefault="00B362C0" w:rsidP="000306E0">
            <w:pPr>
              <w:tabs>
                <w:tab w:val="left" w:pos="8789"/>
              </w:tabs>
              <w:jc w:val="center"/>
              <w:rPr>
                <w:b/>
                <w:bCs/>
                <w:sz w:val="16"/>
                <w:szCs w:val="16"/>
                <w:lang w:val="en-GB"/>
              </w:rPr>
            </w:pPr>
            <w:r w:rsidRPr="006020CD">
              <w:rPr>
                <w:b/>
                <w:sz w:val="16"/>
                <w:szCs w:val="16"/>
                <w:lang w:val="en-GB"/>
              </w:rPr>
              <w:t>D</w:t>
            </w:r>
            <w:r w:rsidR="00961E0C" w:rsidRPr="006020CD">
              <w:rPr>
                <w:b/>
                <w:sz w:val="16"/>
                <w:szCs w:val="16"/>
                <w:lang w:val="en-GB"/>
              </w:rPr>
              <w:t>ata source</w:t>
            </w:r>
            <w:r w:rsidR="000306E0">
              <w:rPr>
                <w:b/>
                <w:sz w:val="16"/>
                <w:szCs w:val="16"/>
                <w:lang w:val="en-GB"/>
              </w:rPr>
              <w:t>,</w:t>
            </w:r>
            <w:r w:rsidR="00961E0C" w:rsidRPr="006020CD">
              <w:rPr>
                <w:b/>
                <w:sz w:val="16"/>
                <w:szCs w:val="16"/>
                <w:lang w:val="en-GB"/>
              </w:rPr>
              <w:t xml:space="preserve"> frequency of data collection, and responsibilities</w:t>
            </w:r>
          </w:p>
        </w:tc>
        <w:tc>
          <w:tcPr>
            <w:tcW w:w="2373" w:type="pct"/>
            <w:tcBorders>
              <w:bottom w:val="single" w:sz="4" w:space="0" w:color="auto"/>
            </w:tcBorders>
            <w:shd w:val="clear" w:color="auto" w:fill="auto"/>
            <w:vAlign w:val="center"/>
          </w:tcPr>
          <w:p w14:paraId="4B839573" w14:textId="64F82EB5" w:rsidR="0076126B" w:rsidRPr="006020CD" w:rsidRDefault="00B362C0" w:rsidP="00EE5D47">
            <w:pPr>
              <w:tabs>
                <w:tab w:val="left" w:pos="8789"/>
              </w:tabs>
              <w:jc w:val="center"/>
              <w:rPr>
                <w:b/>
                <w:bCs/>
                <w:sz w:val="16"/>
                <w:szCs w:val="16"/>
                <w:lang w:val="en-GB"/>
              </w:rPr>
            </w:pPr>
            <w:r w:rsidRPr="00074002">
              <w:rPr>
                <w:b/>
                <w:bCs/>
                <w:sz w:val="16"/>
                <w:szCs w:val="16"/>
                <w:lang w:val="en-GB"/>
              </w:rPr>
              <w:t>I</w:t>
            </w:r>
            <w:r w:rsidR="00961E0C" w:rsidRPr="00074002">
              <w:rPr>
                <w:b/>
                <w:bCs/>
                <w:sz w:val="16"/>
                <w:szCs w:val="16"/>
                <w:lang w:val="en-GB"/>
              </w:rPr>
              <w:t>ndicative country programme outputs</w:t>
            </w:r>
          </w:p>
        </w:tc>
        <w:tc>
          <w:tcPr>
            <w:tcW w:w="586" w:type="pct"/>
            <w:shd w:val="clear" w:color="auto" w:fill="auto"/>
            <w:vAlign w:val="center"/>
          </w:tcPr>
          <w:p w14:paraId="12093EF0" w14:textId="3B208401" w:rsidR="0076126B" w:rsidRPr="00074002" w:rsidRDefault="00B362C0" w:rsidP="00EE5D47">
            <w:pPr>
              <w:tabs>
                <w:tab w:val="left" w:pos="8789"/>
              </w:tabs>
              <w:jc w:val="center"/>
              <w:rPr>
                <w:b/>
                <w:bCs/>
                <w:sz w:val="16"/>
                <w:szCs w:val="16"/>
                <w:lang w:val="en-GB"/>
              </w:rPr>
            </w:pPr>
            <w:r w:rsidRPr="00074002">
              <w:rPr>
                <w:b/>
                <w:bCs/>
                <w:sz w:val="16"/>
                <w:szCs w:val="16"/>
                <w:lang w:val="en-GB"/>
              </w:rPr>
              <w:t>M</w:t>
            </w:r>
            <w:r w:rsidR="00961E0C" w:rsidRPr="00074002">
              <w:rPr>
                <w:b/>
                <w:bCs/>
                <w:sz w:val="16"/>
                <w:szCs w:val="16"/>
                <w:lang w:val="en-GB"/>
              </w:rPr>
              <w:t>ajor partners / partnerships</w:t>
            </w:r>
          </w:p>
          <w:p w14:paraId="07C02EB8" w14:textId="69A2234C" w:rsidR="0076126B" w:rsidRPr="006020CD" w:rsidRDefault="00961E0C" w:rsidP="00EE5D47">
            <w:pPr>
              <w:tabs>
                <w:tab w:val="left" w:pos="8789"/>
              </w:tabs>
              <w:jc w:val="center"/>
              <w:rPr>
                <w:b/>
                <w:bCs/>
                <w:sz w:val="16"/>
                <w:szCs w:val="16"/>
                <w:lang w:val="en-GB"/>
              </w:rPr>
            </w:pPr>
            <w:r w:rsidRPr="00074002">
              <w:rPr>
                <w:b/>
                <w:bCs/>
                <w:sz w:val="16"/>
                <w:szCs w:val="16"/>
                <w:lang w:val="en-GB"/>
              </w:rPr>
              <w:t>frameworks</w:t>
            </w:r>
          </w:p>
        </w:tc>
        <w:tc>
          <w:tcPr>
            <w:tcW w:w="459" w:type="pct"/>
            <w:tcBorders>
              <w:bottom w:val="single" w:sz="4" w:space="0" w:color="auto"/>
            </w:tcBorders>
            <w:shd w:val="clear" w:color="auto" w:fill="auto"/>
            <w:vAlign w:val="center"/>
          </w:tcPr>
          <w:p w14:paraId="72CCFECA" w14:textId="264322E6" w:rsidR="0076126B" w:rsidRPr="006020CD" w:rsidRDefault="00B362C0" w:rsidP="00EE5D47">
            <w:pPr>
              <w:tabs>
                <w:tab w:val="left" w:pos="8789"/>
              </w:tabs>
              <w:jc w:val="center"/>
              <w:rPr>
                <w:b/>
                <w:bCs/>
                <w:sz w:val="16"/>
                <w:szCs w:val="16"/>
                <w:lang w:val="en-GB"/>
              </w:rPr>
            </w:pPr>
            <w:r w:rsidRPr="00074002">
              <w:rPr>
                <w:b/>
                <w:bCs/>
                <w:sz w:val="16"/>
                <w:szCs w:val="16"/>
                <w:lang w:val="en-GB"/>
              </w:rPr>
              <w:t>I</w:t>
            </w:r>
            <w:r w:rsidR="00961E0C" w:rsidRPr="00074002">
              <w:rPr>
                <w:b/>
                <w:bCs/>
                <w:sz w:val="16"/>
                <w:szCs w:val="16"/>
                <w:lang w:val="en-GB"/>
              </w:rPr>
              <w:t>ndicative resources by outcome (</w:t>
            </w:r>
            <w:r w:rsidR="00197016">
              <w:rPr>
                <w:b/>
                <w:bCs/>
                <w:sz w:val="16"/>
                <w:szCs w:val="16"/>
                <w:lang w:val="en-GB"/>
              </w:rPr>
              <w:t xml:space="preserve">in </w:t>
            </w:r>
            <w:r w:rsidR="00961E0C" w:rsidRPr="00074002">
              <w:rPr>
                <w:b/>
                <w:bCs/>
                <w:sz w:val="16"/>
                <w:szCs w:val="16"/>
                <w:lang w:val="en-GB"/>
              </w:rPr>
              <w:t>$</w:t>
            </w:r>
            <w:r w:rsidR="00197016">
              <w:rPr>
                <w:b/>
                <w:bCs/>
                <w:sz w:val="16"/>
                <w:szCs w:val="16"/>
                <w:lang w:val="en-GB"/>
              </w:rPr>
              <w:t> thousands</w:t>
            </w:r>
            <w:r w:rsidR="00961E0C" w:rsidRPr="00074002">
              <w:rPr>
                <w:b/>
                <w:bCs/>
                <w:sz w:val="16"/>
                <w:szCs w:val="16"/>
                <w:lang w:val="en-GB"/>
              </w:rPr>
              <w:t>)</w:t>
            </w:r>
          </w:p>
        </w:tc>
      </w:tr>
      <w:tr w:rsidR="00A80C56" w:rsidRPr="00074002" w14:paraId="41F25463" w14:textId="77777777" w:rsidTr="00EE5D47">
        <w:tc>
          <w:tcPr>
            <w:tcW w:w="791" w:type="pct"/>
            <w:vMerge w:val="restart"/>
            <w:tcMar>
              <w:top w:w="72" w:type="dxa"/>
              <w:left w:w="144" w:type="dxa"/>
              <w:bottom w:w="72" w:type="dxa"/>
              <w:right w:w="144" w:type="dxa"/>
            </w:tcMar>
          </w:tcPr>
          <w:p w14:paraId="6150D9B9" w14:textId="2F52AA5E" w:rsidR="00A80C56" w:rsidRPr="00074002" w:rsidRDefault="00A80C56" w:rsidP="00425BCB">
            <w:pPr>
              <w:tabs>
                <w:tab w:val="left" w:pos="8789"/>
              </w:tabs>
              <w:rPr>
                <w:sz w:val="16"/>
                <w:szCs w:val="16"/>
                <w:lang w:val="en-GB"/>
              </w:rPr>
            </w:pPr>
            <w:r w:rsidRPr="00074002">
              <w:rPr>
                <w:b/>
                <w:sz w:val="16"/>
                <w:szCs w:val="16"/>
                <w:lang w:val="en-GB"/>
              </w:rPr>
              <w:t xml:space="preserve">1.1 </w:t>
            </w:r>
            <w:r w:rsidR="004C1E2F" w:rsidRPr="00074002">
              <w:rPr>
                <w:sz w:val="16"/>
                <w:szCs w:val="16"/>
                <w:lang w:val="en-GB"/>
              </w:rPr>
              <w:t xml:space="preserve">Incidence of </w:t>
            </w:r>
            <w:r w:rsidR="003608ED">
              <w:rPr>
                <w:sz w:val="16"/>
                <w:szCs w:val="16"/>
                <w:lang w:val="en-GB"/>
              </w:rPr>
              <w:t>p</w:t>
            </w:r>
            <w:r w:rsidR="004C1E2F" w:rsidRPr="00074002">
              <w:rPr>
                <w:sz w:val="16"/>
                <w:szCs w:val="16"/>
                <w:lang w:val="en-GB"/>
              </w:rPr>
              <w:t>overty</w:t>
            </w:r>
            <w:r w:rsidR="000306E0">
              <w:rPr>
                <w:sz w:val="16"/>
                <w:szCs w:val="16"/>
                <w:lang w:val="en-GB"/>
              </w:rPr>
              <w:t>,</w:t>
            </w:r>
            <w:r w:rsidR="004C1E2F" w:rsidRPr="00074002">
              <w:rPr>
                <w:sz w:val="16"/>
                <w:szCs w:val="16"/>
                <w:lang w:val="en-GB"/>
              </w:rPr>
              <w:t xml:space="preserve"> by </w:t>
            </w:r>
            <w:r w:rsidR="003608ED">
              <w:rPr>
                <w:sz w:val="16"/>
                <w:szCs w:val="16"/>
                <w:lang w:val="en-GB"/>
              </w:rPr>
              <w:t>s</w:t>
            </w:r>
            <w:r w:rsidR="004C1E2F" w:rsidRPr="00074002">
              <w:rPr>
                <w:sz w:val="16"/>
                <w:szCs w:val="16"/>
                <w:lang w:val="en-GB"/>
              </w:rPr>
              <w:t>ex of head of household</w:t>
            </w:r>
          </w:p>
          <w:p w14:paraId="75BD6FC3" w14:textId="115E9811" w:rsidR="00A80C56" w:rsidRPr="00A01544" w:rsidRDefault="00A80C56" w:rsidP="00425BCB">
            <w:pPr>
              <w:tabs>
                <w:tab w:val="left" w:pos="8789"/>
              </w:tabs>
              <w:rPr>
                <w:b/>
                <w:sz w:val="16"/>
                <w:szCs w:val="16"/>
                <w:lang w:val="en-GB"/>
              </w:rPr>
            </w:pPr>
            <w:r w:rsidRPr="00074002">
              <w:rPr>
                <w:b/>
                <w:sz w:val="16"/>
                <w:szCs w:val="16"/>
                <w:lang w:val="en-GB"/>
              </w:rPr>
              <w:t xml:space="preserve">Baseline: </w:t>
            </w:r>
            <w:r w:rsidR="004C1E2F" w:rsidRPr="00074002">
              <w:rPr>
                <w:sz w:val="16"/>
                <w:szCs w:val="16"/>
                <w:lang w:val="en-GB"/>
              </w:rPr>
              <w:t>19.2</w:t>
            </w:r>
            <w:r w:rsidR="003608ED">
              <w:rPr>
                <w:sz w:val="16"/>
                <w:szCs w:val="16"/>
                <w:lang w:val="en-GB"/>
              </w:rPr>
              <w:t>%</w:t>
            </w:r>
            <w:r w:rsidRPr="00296CEA">
              <w:rPr>
                <w:sz w:val="16"/>
                <w:szCs w:val="16"/>
                <w:lang w:val="en-GB"/>
              </w:rPr>
              <w:t xml:space="preserve"> (F)</w:t>
            </w:r>
            <w:r w:rsidR="003608ED">
              <w:rPr>
                <w:sz w:val="16"/>
                <w:szCs w:val="16"/>
                <w:lang w:val="en-GB"/>
              </w:rPr>
              <w:t>,</w:t>
            </w:r>
            <w:r w:rsidRPr="00296CEA">
              <w:rPr>
                <w:sz w:val="16"/>
                <w:szCs w:val="16"/>
                <w:lang w:val="en-GB"/>
              </w:rPr>
              <w:t xml:space="preserve"> 1</w:t>
            </w:r>
            <w:r w:rsidR="004C1E2F" w:rsidRPr="00296CEA">
              <w:rPr>
                <w:sz w:val="16"/>
                <w:szCs w:val="16"/>
                <w:lang w:val="en-GB"/>
              </w:rPr>
              <w:t>5.8</w:t>
            </w:r>
            <w:r w:rsidR="003608ED">
              <w:rPr>
                <w:sz w:val="16"/>
                <w:szCs w:val="16"/>
                <w:lang w:val="en-GB"/>
              </w:rPr>
              <w:t>%</w:t>
            </w:r>
            <w:r w:rsidRPr="00296CEA">
              <w:rPr>
                <w:sz w:val="16"/>
                <w:szCs w:val="16"/>
                <w:lang w:val="en-GB"/>
              </w:rPr>
              <w:t xml:space="preserve"> (M) </w:t>
            </w:r>
            <w:r w:rsidR="004C1E2F" w:rsidRPr="00296CEA">
              <w:rPr>
                <w:sz w:val="16"/>
                <w:szCs w:val="16"/>
                <w:lang w:val="en-GB"/>
              </w:rPr>
              <w:t>(</w:t>
            </w:r>
            <w:r w:rsidRPr="00296CEA">
              <w:rPr>
                <w:sz w:val="16"/>
                <w:szCs w:val="16"/>
                <w:lang w:val="en-GB"/>
              </w:rPr>
              <w:t>201</w:t>
            </w:r>
            <w:r w:rsidR="004C1E2F" w:rsidRPr="00296CEA">
              <w:rPr>
                <w:sz w:val="16"/>
                <w:szCs w:val="16"/>
                <w:lang w:val="en-GB"/>
              </w:rPr>
              <w:t>6)</w:t>
            </w:r>
            <w:r w:rsidR="00493C25" w:rsidRPr="00296CEA">
              <w:rPr>
                <w:sz w:val="16"/>
                <w:szCs w:val="16"/>
                <w:lang w:val="en-GB"/>
              </w:rPr>
              <w:t xml:space="preserve"> </w:t>
            </w:r>
          </w:p>
          <w:p w14:paraId="7F7578B5" w14:textId="402F3A27" w:rsidR="00A80C56" w:rsidRPr="00A01544" w:rsidRDefault="00A80C56" w:rsidP="00425BCB">
            <w:pPr>
              <w:tabs>
                <w:tab w:val="left" w:pos="8789"/>
              </w:tabs>
              <w:rPr>
                <w:b/>
                <w:sz w:val="16"/>
                <w:szCs w:val="16"/>
                <w:lang w:val="en-GB"/>
              </w:rPr>
            </w:pPr>
            <w:r w:rsidRPr="00A01544">
              <w:rPr>
                <w:b/>
                <w:sz w:val="16"/>
                <w:szCs w:val="16"/>
                <w:lang w:val="en-GB"/>
              </w:rPr>
              <w:t>Target</w:t>
            </w:r>
            <w:r w:rsidRPr="00A01544">
              <w:rPr>
                <w:sz w:val="16"/>
                <w:szCs w:val="16"/>
                <w:lang w:val="en-GB"/>
              </w:rPr>
              <w:t xml:space="preserve">: </w:t>
            </w:r>
            <w:r w:rsidR="00493C25" w:rsidRPr="00A01544">
              <w:rPr>
                <w:sz w:val="16"/>
                <w:szCs w:val="16"/>
                <w:lang w:val="en-GB"/>
              </w:rPr>
              <w:t>10% (2022)</w:t>
            </w:r>
            <w:r w:rsidR="00493C25" w:rsidRPr="00A01544">
              <w:rPr>
                <w:b/>
                <w:sz w:val="16"/>
                <w:szCs w:val="16"/>
                <w:lang w:val="en-GB"/>
              </w:rPr>
              <w:t xml:space="preserve"> </w:t>
            </w:r>
          </w:p>
          <w:p w14:paraId="58A4B51C" w14:textId="77777777" w:rsidR="00A80C56" w:rsidRPr="00A01544" w:rsidRDefault="00A80C56" w:rsidP="00425BCB">
            <w:pPr>
              <w:tabs>
                <w:tab w:val="left" w:pos="8789"/>
              </w:tabs>
              <w:rPr>
                <w:b/>
                <w:sz w:val="16"/>
                <w:szCs w:val="16"/>
                <w:lang w:val="en-GB"/>
              </w:rPr>
            </w:pPr>
          </w:p>
          <w:p w14:paraId="41C4C8AA" w14:textId="77777777" w:rsidR="00A80C56" w:rsidRPr="00A01544" w:rsidRDefault="00A80C56" w:rsidP="00425BCB">
            <w:pPr>
              <w:tabs>
                <w:tab w:val="left" w:pos="8789"/>
              </w:tabs>
              <w:rPr>
                <w:b/>
                <w:sz w:val="16"/>
                <w:szCs w:val="16"/>
                <w:lang w:val="en-GB"/>
              </w:rPr>
            </w:pPr>
          </w:p>
          <w:p w14:paraId="35530543" w14:textId="57544DE6" w:rsidR="00A80C56" w:rsidRPr="00A01544" w:rsidRDefault="00A80C56" w:rsidP="00425BCB">
            <w:pPr>
              <w:tabs>
                <w:tab w:val="left" w:pos="8789"/>
              </w:tabs>
              <w:rPr>
                <w:sz w:val="16"/>
                <w:szCs w:val="16"/>
                <w:lang w:val="en-GB"/>
              </w:rPr>
            </w:pPr>
            <w:r w:rsidRPr="00A01544">
              <w:rPr>
                <w:b/>
                <w:sz w:val="16"/>
                <w:szCs w:val="16"/>
                <w:lang w:val="en-GB"/>
              </w:rPr>
              <w:t>1.2</w:t>
            </w:r>
            <w:r w:rsidRPr="00A01544">
              <w:rPr>
                <w:sz w:val="16"/>
                <w:szCs w:val="16"/>
                <w:lang w:val="en-GB"/>
              </w:rPr>
              <w:t xml:space="preserve"> Youth unemployment rate</w:t>
            </w:r>
            <w:r w:rsidR="000306E0">
              <w:rPr>
                <w:sz w:val="16"/>
                <w:szCs w:val="16"/>
                <w:lang w:val="en-GB"/>
              </w:rPr>
              <w:t>,</w:t>
            </w:r>
            <w:r w:rsidRPr="00A01544">
              <w:rPr>
                <w:sz w:val="16"/>
                <w:szCs w:val="16"/>
                <w:lang w:val="en-GB"/>
              </w:rPr>
              <w:t xml:space="preserve"> by sex </w:t>
            </w:r>
          </w:p>
          <w:p w14:paraId="4CFDBD92" w14:textId="77777777" w:rsidR="00A80C56" w:rsidRPr="00A01544" w:rsidRDefault="00A80C56" w:rsidP="00425BCB">
            <w:pPr>
              <w:tabs>
                <w:tab w:val="left" w:pos="8789"/>
              </w:tabs>
              <w:rPr>
                <w:sz w:val="16"/>
                <w:szCs w:val="16"/>
                <w:lang w:val="en-GB"/>
              </w:rPr>
            </w:pPr>
            <w:r w:rsidRPr="00A01544">
              <w:rPr>
                <w:b/>
                <w:sz w:val="16"/>
                <w:szCs w:val="16"/>
                <w:lang w:val="en-GB"/>
              </w:rPr>
              <w:t>Baseline:</w:t>
            </w:r>
            <w:r w:rsidRPr="00A01544">
              <w:rPr>
                <w:sz w:val="16"/>
                <w:szCs w:val="16"/>
                <w:lang w:val="en-GB"/>
              </w:rPr>
              <w:t xml:space="preserve"> 49.2 (F) 37.5(M) 2016</w:t>
            </w:r>
          </w:p>
          <w:p w14:paraId="3D5E68E6" w14:textId="1F56FCC2" w:rsidR="00A80C56" w:rsidRPr="00074002" w:rsidRDefault="00A80C56" w:rsidP="00425BCB">
            <w:pPr>
              <w:tabs>
                <w:tab w:val="left" w:pos="8789"/>
              </w:tabs>
              <w:rPr>
                <w:sz w:val="16"/>
                <w:szCs w:val="16"/>
                <w:lang w:val="en-GB"/>
              </w:rPr>
            </w:pPr>
            <w:r w:rsidRPr="00A01544">
              <w:rPr>
                <w:b/>
                <w:sz w:val="16"/>
                <w:szCs w:val="16"/>
                <w:lang w:val="en-GB"/>
              </w:rPr>
              <w:t>Target</w:t>
            </w:r>
            <w:r w:rsidRPr="00A01544">
              <w:rPr>
                <w:sz w:val="16"/>
                <w:szCs w:val="16"/>
                <w:lang w:val="en-GB"/>
              </w:rPr>
              <w:t>:</w:t>
            </w:r>
            <w:r w:rsidRPr="006020CD">
              <w:rPr>
                <w:lang w:val="en-GB"/>
              </w:rPr>
              <w:t xml:space="preserve"> </w:t>
            </w:r>
            <w:r w:rsidR="00493C25" w:rsidRPr="00074002">
              <w:rPr>
                <w:sz w:val="16"/>
                <w:szCs w:val="16"/>
                <w:lang w:val="en-GB"/>
              </w:rPr>
              <w:t>24.2% (2022)</w:t>
            </w:r>
          </w:p>
          <w:p w14:paraId="69EB17BE" w14:textId="77777777" w:rsidR="00A80C56" w:rsidRPr="00074002" w:rsidRDefault="00A80C56" w:rsidP="00425BCB">
            <w:pPr>
              <w:tabs>
                <w:tab w:val="left" w:pos="8789"/>
              </w:tabs>
              <w:rPr>
                <w:sz w:val="16"/>
                <w:szCs w:val="16"/>
                <w:lang w:val="en-GB"/>
              </w:rPr>
            </w:pPr>
          </w:p>
          <w:p w14:paraId="7AFACC35" w14:textId="77777777" w:rsidR="00A80C56" w:rsidRPr="00074002" w:rsidRDefault="00A80C56" w:rsidP="00425BCB">
            <w:pPr>
              <w:tabs>
                <w:tab w:val="left" w:pos="8789"/>
              </w:tabs>
              <w:rPr>
                <w:b/>
                <w:sz w:val="16"/>
                <w:szCs w:val="16"/>
                <w:lang w:val="en-GB"/>
              </w:rPr>
            </w:pPr>
          </w:p>
          <w:p w14:paraId="0278F496" w14:textId="142DF75A" w:rsidR="00A80C56" w:rsidRPr="006020CD" w:rsidRDefault="00A80C56" w:rsidP="00425BCB">
            <w:pPr>
              <w:tabs>
                <w:tab w:val="left" w:pos="8789"/>
              </w:tabs>
              <w:rPr>
                <w:sz w:val="16"/>
                <w:szCs w:val="16"/>
                <w:lang w:val="en-GB"/>
              </w:rPr>
            </w:pPr>
            <w:r w:rsidRPr="006020CD">
              <w:rPr>
                <w:b/>
                <w:sz w:val="16"/>
                <w:szCs w:val="16"/>
                <w:lang w:val="en-GB"/>
              </w:rPr>
              <w:t>1.3</w:t>
            </w:r>
            <w:r w:rsidRPr="006020CD">
              <w:rPr>
                <w:sz w:val="16"/>
                <w:szCs w:val="16"/>
                <w:lang w:val="en-GB"/>
              </w:rPr>
              <w:t xml:space="preserve"> Multi-dimensional poverty index </w:t>
            </w:r>
            <w:r w:rsidR="000306E0">
              <w:rPr>
                <w:sz w:val="16"/>
                <w:szCs w:val="16"/>
                <w:lang w:val="en-GB"/>
              </w:rPr>
              <w:t>(</w:t>
            </w:r>
            <w:r w:rsidRPr="006020CD">
              <w:rPr>
                <w:sz w:val="16"/>
                <w:szCs w:val="16"/>
                <w:lang w:val="en-GB"/>
              </w:rPr>
              <w:t>MPI</w:t>
            </w:r>
            <w:r w:rsidR="000306E0">
              <w:rPr>
                <w:sz w:val="16"/>
                <w:szCs w:val="16"/>
                <w:lang w:val="en-GB"/>
              </w:rPr>
              <w:t>)</w:t>
            </w:r>
          </w:p>
          <w:p w14:paraId="754BBE2F" w14:textId="77777777" w:rsidR="00A80C56" w:rsidRPr="00074002" w:rsidRDefault="00A80C56" w:rsidP="00425BCB">
            <w:pPr>
              <w:tabs>
                <w:tab w:val="left" w:pos="8789"/>
              </w:tabs>
              <w:rPr>
                <w:b/>
                <w:sz w:val="16"/>
                <w:szCs w:val="16"/>
                <w:lang w:val="en-GB"/>
              </w:rPr>
            </w:pPr>
            <w:r w:rsidRPr="00074002">
              <w:rPr>
                <w:b/>
                <w:sz w:val="16"/>
                <w:szCs w:val="16"/>
                <w:lang w:val="en-GB"/>
              </w:rPr>
              <w:t xml:space="preserve">Baseline: </w:t>
            </w:r>
            <w:r w:rsidRPr="00074002">
              <w:rPr>
                <w:sz w:val="16"/>
                <w:szCs w:val="16"/>
                <w:lang w:val="en-GB"/>
              </w:rPr>
              <w:t>45.5 (2013)</w:t>
            </w:r>
          </w:p>
          <w:p w14:paraId="75CC0AE8" w14:textId="143CD35F" w:rsidR="00A80C56" w:rsidRPr="00074002" w:rsidRDefault="00A80C56" w:rsidP="00425BCB">
            <w:pPr>
              <w:tabs>
                <w:tab w:val="left" w:pos="8789"/>
              </w:tabs>
              <w:rPr>
                <w:b/>
                <w:sz w:val="16"/>
                <w:szCs w:val="16"/>
                <w:lang w:val="en-GB"/>
              </w:rPr>
            </w:pPr>
            <w:r w:rsidRPr="00074002">
              <w:rPr>
                <w:b/>
                <w:sz w:val="16"/>
                <w:szCs w:val="16"/>
                <w:lang w:val="en-GB"/>
              </w:rPr>
              <w:t>Target:</w:t>
            </w:r>
            <w:r w:rsidRPr="006020CD">
              <w:rPr>
                <w:lang w:val="en-GB"/>
              </w:rPr>
              <w:t xml:space="preserve"> </w:t>
            </w:r>
            <w:r w:rsidR="000B264F" w:rsidRPr="00074002">
              <w:rPr>
                <w:sz w:val="16"/>
                <w:szCs w:val="16"/>
                <w:lang w:val="en-GB"/>
              </w:rPr>
              <w:t>33.3 (2023)</w:t>
            </w:r>
          </w:p>
          <w:p w14:paraId="2FCB6489" w14:textId="77777777" w:rsidR="00A80C56" w:rsidRPr="00074002" w:rsidRDefault="00A80C56" w:rsidP="00425BCB">
            <w:pPr>
              <w:tabs>
                <w:tab w:val="left" w:pos="8789"/>
              </w:tabs>
              <w:rPr>
                <w:sz w:val="16"/>
                <w:szCs w:val="16"/>
                <w:lang w:val="en-GB"/>
              </w:rPr>
            </w:pPr>
          </w:p>
          <w:p w14:paraId="70AB893F" w14:textId="77777777" w:rsidR="00C96443" w:rsidRPr="00074002" w:rsidRDefault="00C96443" w:rsidP="00425BCB">
            <w:pPr>
              <w:tabs>
                <w:tab w:val="left" w:pos="8789"/>
              </w:tabs>
              <w:rPr>
                <w:sz w:val="16"/>
                <w:szCs w:val="16"/>
                <w:lang w:val="en-GB"/>
              </w:rPr>
            </w:pPr>
          </w:p>
          <w:p w14:paraId="7FBD175D" w14:textId="69003372" w:rsidR="00A80C56" w:rsidRPr="00296CEA" w:rsidRDefault="00A80C56" w:rsidP="00425BCB">
            <w:pPr>
              <w:tabs>
                <w:tab w:val="left" w:pos="8789"/>
              </w:tabs>
              <w:rPr>
                <w:sz w:val="16"/>
                <w:szCs w:val="16"/>
                <w:lang w:val="en-GB"/>
              </w:rPr>
            </w:pPr>
            <w:r w:rsidRPr="00296CEA">
              <w:rPr>
                <w:b/>
                <w:sz w:val="16"/>
                <w:szCs w:val="16"/>
                <w:lang w:val="en-GB"/>
              </w:rPr>
              <w:t xml:space="preserve">1.4 </w:t>
            </w:r>
            <w:r w:rsidRPr="00296CEA">
              <w:rPr>
                <w:sz w:val="16"/>
                <w:szCs w:val="16"/>
                <w:lang w:val="en-GB"/>
              </w:rPr>
              <w:t>National</w:t>
            </w:r>
            <w:r w:rsidRPr="00296CEA">
              <w:rPr>
                <w:b/>
                <w:sz w:val="16"/>
                <w:szCs w:val="16"/>
                <w:lang w:val="en-GB"/>
              </w:rPr>
              <w:t xml:space="preserve"> </w:t>
            </w:r>
            <w:r w:rsidR="000306E0">
              <w:rPr>
                <w:sz w:val="16"/>
                <w:szCs w:val="16"/>
                <w:lang w:val="en-GB"/>
              </w:rPr>
              <w:t>u</w:t>
            </w:r>
            <w:r w:rsidRPr="00296CEA">
              <w:rPr>
                <w:sz w:val="16"/>
                <w:szCs w:val="16"/>
                <w:lang w:val="en-GB"/>
              </w:rPr>
              <w:t xml:space="preserve">nemployment </w:t>
            </w:r>
            <w:r w:rsidR="000306E0">
              <w:rPr>
                <w:sz w:val="16"/>
                <w:szCs w:val="16"/>
                <w:lang w:val="en-GB"/>
              </w:rPr>
              <w:t>r</w:t>
            </w:r>
            <w:r w:rsidRPr="00296CEA">
              <w:rPr>
                <w:sz w:val="16"/>
                <w:szCs w:val="16"/>
                <w:lang w:val="en-GB"/>
              </w:rPr>
              <w:t xml:space="preserve">ate, disaggregated </w:t>
            </w:r>
            <w:r w:rsidR="000306E0">
              <w:rPr>
                <w:sz w:val="16"/>
                <w:szCs w:val="16"/>
                <w:lang w:val="en-GB"/>
              </w:rPr>
              <w:t xml:space="preserve">by </w:t>
            </w:r>
            <w:r w:rsidRPr="00296CEA">
              <w:rPr>
                <w:sz w:val="16"/>
                <w:szCs w:val="16"/>
                <w:lang w:val="en-GB"/>
              </w:rPr>
              <w:t>rural/urban and gender</w:t>
            </w:r>
          </w:p>
          <w:p w14:paraId="14365721" w14:textId="77777777" w:rsidR="00A80C56" w:rsidRPr="00A01544" w:rsidRDefault="00A80C56" w:rsidP="00425BCB">
            <w:pPr>
              <w:tabs>
                <w:tab w:val="left" w:pos="8789"/>
              </w:tabs>
              <w:rPr>
                <w:sz w:val="16"/>
                <w:szCs w:val="16"/>
                <w:lang w:val="en-GB"/>
              </w:rPr>
            </w:pPr>
            <w:r w:rsidRPr="00A01544">
              <w:rPr>
                <w:b/>
                <w:sz w:val="16"/>
                <w:szCs w:val="16"/>
                <w:lang w:val="en-GB"/>
              </w:rPr>
              <w:t>Baseline</w:t>
            </w:r>
            <w:r w:rsidRPr="00A01544">
              <w:rPr>
                <w:sz w:val="16"/>
                <w:szCs w:val="16"/>
                <w:lang w:val="en-GB"/>
              </w:rPr>
              <w:t xml:space="preserve">: 34.0% </w:t>
            </w:r>
          </w:p>
          <w:p w14:paraId="03B948B6" w14:textId="47C2847D" w:rsidR="00A80C56" w:rsidRPr="00A01544" w:rsidRDefault="00A80C56" w:rsidP="00425BCB">
            <w:pPr>
              <w:tabs>
                <w:tab w:val="left" w:pos="8789"/>
              </w:tabs>
              <w:rPr>
                <w:sz w:val="16"/>
                <w:szCs w:val="16"/>
                <w:lang w:val="en-GB"/>
              </w:rPr>
            </w:pPr>
            <w:r w:rsidRPr="00A01544">
              <w:rPr>
                <w:sz w:val="16"/>
                <w:szCs w:val="16"/>
                <w:lang w:val="en-GB"/>
              </w:rPr>
              <w:t>(Rural: 39.2</w:t>
            </w:r>
            <w:r w:rsidR="00B70357" w:rsidRPr="00A01544">
              <w:rPr>
                <w:sz w:val="16"/>
                <w:szCs w:val="16"/>
                <w:lang w:val="en-GB"/>
              </w:rPr>
              <w:t>%;</w:t>
            </w:r>
            <w:r w:rsidRPr="00A01544">
              <w:rPr>
                <w:sz w:val="16"/>
                <w:szCs w:val="16"/>
                <w:lang w:val="en-GB"/>
              </w:rPr>
              <w:t xml:space="preserve"> Urban:</w:t>
            </w:r>
            <w:r w:rsidR="000306E0">
              <w:rPr>
                <w:sz w:val="16"/>
                <w:szCs w:val="16"/>
                <w:lang w:val="en-GB"/>
              </w:rPr>
              <w:t> </w:t>
            </w:r>
            <w:r w:rsidRPr="00A01544">
              <w:rPr>
                <w:sz w:val="16"/>
                <w:szCs w:val="16"/>
                <w:lang w:val="en-GB"/>
              </w:rPr>
              <w:t>30.3%; F: 38.3%; M: 29.8%) (2016)</w:t>
            </w:r>
          </w:p>
          <w:p w14:paraId="762718AC" w14:textId="77777777" w:rsidR="00A80C56" w:rsidRPr="006020CD" w:rsidRDefault="00A80C56" w:rsidP="00425BCB">
            <w:pPr>
              <w:tabs>
                <w:tab w:val="left" w:pos="8789"/>
              </w:tabs>
              <w:rPr>
                <w:bCs/>
                <w:i/>
                <w:sz w:val="16"/>
                <w:szCs w:val="16"/>
                <w:lang w:val="en-GB"/>
              </w:rPr>
            </w:pPr>
            <w:r w:rsidRPr="00A01544">
              <w:rPr>
                <w:b/>
                <w:sz w:val="16"/>
                <w:szCs w:val="16"/>
                <w:lang w:val="en-GB"/>
              </w:rPr>
              <w:t>Target</w:t>
            </w:r>
            <w:r w:rsidRPr="00A01544">
              <w:rPr>
                <w:sz w:val="16"/>
                <w:szCs w:val="16"/>
                <w:lang w:val="en-GB"/>
              </w:rPr>
              <w:t xml:space="preserve">: 24% (No disaggregated data) </w:t>
            </w:r>
          </w:p>
        </w:tc>
        <w:tc>
          <w:tcPr>
            <w:tcW w:w="791" w:type="pct"/>
            <w:vMerge w:val="restart"/>
          </w:tcPr>
          <w:p w14:paraId="54EA8548" w14:textId="50025DA5" w:rsidR="00A80C56" w:rsidRPr="006020CD" w:rsidRDefault="00A80C56" w:rsidP="00425BCB">
            <w:pPr>
              <w:tabs>
                <w:tab w:val="left" w:pos="8789"/>
              </w:tabs>
              <w:rPr>
                <w:iCs/>
                <w:sz w:val="16"/>
                <w:szCs w:val="16"/>
                <w:lang w:val="en-GB"/>
              </w:rPr>
            </w:pPr>
            <w:r w:rsidRPr="006020CD">
              <w:rPr>
                <w:b/>
                <w:iCs/>
                <w:sz w:val="16"/>
                <w:szCs w:val="16"/>
                <w:lang w:val="en-GB"/>
              </w:rPr>
              <w:t>Data source</w:t>
            </w:r>
            <w:r w:rsidR="00832F58">
              <w:rPr>
                <w:b/>
                <w:iCs/>
                <w:sz w:val="16"/>
                <w:szCs w:val="16"/>
                <w:lang w:val="en-GB"/>
              </w:rPr>
              <w:t>s:</w:t>
            </w:r>
            <w:r w:rsidRPr="006020CD">
              <w:rPr>
                <w:iCs/>
                <w:sz w:val="16"/>
                <w:szCs w:val="16"/>
                <w:lang w:val="en-GB"/>
              </w:rPr>
              <w:t xml:space="preserve"> </w:t>
            </w:r>
            <w:r w:rsidR="00793403" w:rsidRPr="006020CD">
              <w:rPr>
                <w:sz w:val="16"/>
                <w:szCs w:val="16"/>
                <w:lang w:val="en-GB"/>
              </w:rPr>
              <w:t>Namibia</w:t>
            </w:r>
            <w:r w:rsidR="00793403" w:rsidRPr="005D0F13">
              <w:rPr>
                <w:iCs/>
                <w:sz w:val="16"/>
                <w:szCs w:val="16"/>
                <w:lang w:val="en-GB"/>
              </w:rPr>
              <w:t xml:space="preserve"> </w:t>
            </w:r>
            <w:r w:rsidR="00793403" w:rsidRPr="006020CD">
              <w:rPr>
                <w:iCs/>
                <w:sz w:val="16"/>
                <w:szCs w:val="16"/>
                <w:lang w:val="en-GB"/>
              </w:rPr>
              <w:t>Household and Income and Expenditure Survey</w:t>
            </w:r>
            <w:r w:rsidR="00493C25" w:rsidRPr="006020CD">
              <w:rPr>
                <w:iCs/>
                <w:sz w:val="16"/>
                <w:szCs w:val="16"/>
                <w:lang w:val="en-GB"/>
              </w:rPr>
              <w:t xml:space="preserve">, </w:t>
            </w:r>
            <w:r w:rsidR="00E37228" w:rsidRPr="006020CD">
              <w:rPr>
                <w:iCs/>
                <w:sz w:val="16"/>
                <w:szCs w:val="16"/>
                <w:lang w:val="en-GB"/>
              </w:rPr>
              <w:t>NDP5</w:t>
            </w:r>
          </w:p>
          <w:p w14:paraId="4407EC4E" w14:textId="7EB6A9D0" w:rsidR="00A80C56" w:rsidRPr="00074002" w:rsidRDefault="00A80C56" w:rsidP="00425BCB">
            <w:pPr>
              <w:tabs>
                <w:tab w:val="left" w:pos="8789"/>
              </w:tabs>
              <w:rPr>
                <w:iCs/>
                <w:sz w:val="16"/>
                <w:szCs w:val="16"/>
                <w:lang w:val="en-GB"/>
              </w:rPr>
            </w:pPr>
            <w:r w:rsidRPr="00074002">
              <w:rPr>
                <w:b/>
                <w:iCs/>
                <w:sz w:val="16"/>
                <w:szCs w:val="16"/>
                <w:lang w:val="en-GB"/>
              </w:rPr>
              <w:t>Frequency</w:t>
            </w:r>
            <w:r w:rsidR="00832F58">
              <w:rPr>
                <w:b/>
                <w:iCs/>
                <w:sz w:val="16"/>
                <w:szCs w:val="16"/>
                <w:lang w:val="en-GB"/>
              </w:rPr>
              <w:t>:</w:t>
            </w:r>
            <w:r w:rsidRPr="00074002">
              <w:rPr>
                <w:iCs/>
                <w:sz w:val="16"/>
                <w:szCs w:val="16"/>
                <w:lang w:val="en-GB"/>
              </w:rPr>
              <w:t xml:space="preserve"> Every five years</w:t>
            </w:r>
          </w:p>
          <w:p w14:paraId="7F013B4F" w14:textId="77777777" w:rsidR="00A80C56" w:rsidRPr="00074002" w:rsidRDefault="00A80C56" w:rsidP="00425BCB">
            <w:pPr>
              <w:tabs>
                <w:tab w:val="left" w:pos="8789"/>
              </w:tabs>
              <w:rPr>
                <w:b/>
                <w:bCs/>
                <w:sz w:val="16"/>
                <w:szCs w:val="16"/>
                <w:lang w:val="en-GB"/>
              </w:rPr>
            </w:pPr>
          </w:p>
          <w:p w14:paraId="6D4D30C5" w14:textId="77777777" w:rsidR="00A80C56" w:rsidRPr="00296CEA" w:rsidRDefault="00A80C56" w:rsidP="00425BCB">
            <w:pPr>
              <w:tabs>
                <w:tab w:val="left" w:pos="8789"/>
              </w:tabs>
              <w:rPr>
                <w:iCs/>
                <w:sz w:val="16"/>
                <w:szCs w:val="16"/>
                <w:lang w:val="en-GB"/>
              </w:rPr>
            </w:pPr>
          </w:p>
          <w:p w14:paraId="2F700989" w14:textId="77777777" w:rsidR="00F1370A" w:rsidRPr="00296CEA" w:rsidRDefault="00F1370A" w:rsidP="00425BCB">
            <w:pPr>
              <w:tabs>
                <w:tab w:val="left" w:pos="8789"/>
              </w:tabs>
              <w:rPr>
                <w:b/>
                <w:iCs/>
                <w:sz w:val="16"/>
                <w:szCs w:val="16"/>
                <w:lang w:val="en-GB"/>
              </w:rPr>
            </w:pPr>
          </w:p>
          <w:p w14:paraId="782AAA21" w14:textId="77777777" w:rsidR="00F1370A" w:rsidRPr="00296CEA" w:rsidRDefault="00F1370A" w:rsidP="00425BCB">
            <w:pPr>
              <w:tabs>
                <w:tab w:val="left" w:pos="8789"/>
              </w:tabs>
              <w:rPr>
                <w:b/>
                <w:iCs/>
                <w:sz w:val="16"/>
                <w:szCs w:val="16"/>
                <w:lang w:val="en-GB"/>
              </w:rPr>
            </w:pPr>
          </w:p>
          <w:p w14:paraId="0D456F3F" w14:textId="77777777" w:rsidR="00D46AE5" w:rsidRPr="00296CEA" w:rsidRDefault="00D46AE5" w:rsidP="00425BCB">
            <w:pPr>
              <w:tabs>
                <w:tab w:val="left" w:pos="8789"/>
              </w:tabs>
              <w:rPr>
                <w:b/>
                <w:iCs/>
                <w:sz w:val="16"/>
                <w:szCs w:val="16"/>
                <w:lang w:val="en-GB"/>
              </w:rPr>
            </w:pPr>
          </w:p>
          <w:p w14:paraId="4554E522" w14:textId="77777777" w:rsidR="00A80C56" w:rsidRPr="00A01544" w:rsidRDefault="00A80C56" w:rsidP="00425BCB">
            <w:pPr>
              <w:tabs>
                <w:tab w:val="left" w:pos="8789"/>
              </w:tabs>
              <w:rPr>
                <w:b/>
                <w:iCs/>
                <w:sz w:val="16"/>
                <w:szCs w:val="16"/>
                <w:lang w:val="en-GB"/>
              </w:rPr>
            </w:pPr>
            <w:r w:rsidRPr="00A01544">
              <w:rPr>
                <w:b/>
                <w:iCs/>
                <w:sz w:val="16"/>
                <w:szCs w:val="16"/>
                <w:lang w:val="en-GB"/>
              </w:rPr>
              <w:t xml:space="preserve">Data source: </w:t>
            </w:r>
            <w:r w:rsidRPr="00A01544">
              <w:rPr>
                <w:iCs/>
                <w:sz w:val="16"/>
                <w:szCs w:val="16"/>
                <w:lang w:val="en-GB"/>
              </w:rPr>
              <w:t>Namibia Labour Force Survey</w:t>
            </w:r>
          </w:p>
          <w:p w14:paraId="64E73506" w14:textId="7474A73A" w:rsidR="00A80C56" w:rsidRPr="00A01544" w:rsidRDefault="00A80C56" w:rsidP="00425BCB">
            <w:pPr>
              <w:tabs>
                <w:tab w:val="left" w:pos="8789"/>
              </w:tabs>
              <w:rPr>
                <w:iCs/>
                <w:sz w:val="16"/>
                <w:szCs w:val="16"/>
                <w:lang w:val="en-GB"/>
              </w:rPr>
            </w:pPr>
            <w:r w:rsidRPr="00A01544">
              <w:rPr>
                <w:b/>
                <w:iCs/>
                <w:sz w:val="16"/>
                <w:szCs w:val="16"/>
                <w:lang w:val="en-GB"/>
              </w:rPr>
              <w:t>Frequency</w:t>
            </w:r>
            <w:r w:rsidR="00832F58">
              <w:rPr>
                <w:b/>
                <w:iCs/>
                <w:sz w:val="16"/>
                <w:szCs w:val="16"/>
                <w:lang w:val="en-GB"/>
              </w:rPr>
              <w:t>:</w:t>
            </w:r>
            <w:r w:rsidRPr="00A01544">
              <w:rPr>
                <w:iCs/>
                <w:sz w:val="16"/>
                <w:szCs w:val="16"/>
                <w:lang w:val="en-GB"/>
              </w:rPr>
              <w:t xml:space="preserve"> Annual</w:t>
            </w:r>
          </w:p>
          <w:p w14:paraId="14EA01B2" w14:textId="77777777" w:rsidR="00A80C56" w:rsidRPr="00A01544" w:rsidRDefault="00A80C56" w:rsidP="00425BCB">
            <w:pPr>
              <w:pStyle w:val="ListParagraph"/>
              <w:tabs>
                <w:tab w:val="left" w:pos="8789"/>
              </w:tabs>
              <w:ind w:left="0"/>
              <w:rPr>
                <w:iCs/>
                <w:sz w:val="16"/>
                <w:szCs w:val="16"/>
                <w:lang w:val="en-GB"/>
              </w:rPr>
            </w:pPr>
          </w:p>
          <w:p w14:paraId="704FCD52" w14:textId="77777777" w:rsidR="00A80C56" w:rsidRPr="00A01544" w:rsidRDefault="00A80C56" w:rsidP="00425BCB">
            <w:pPr>
              <w:pStyle w:val="ListParagraph"/>
              <w:tabs>
                <w:tab w:val="left" w:pos="8789"/>
              </w:tabs>
              <w:ind w:left="0"/>
              <w:rPr>
                <w:b/>
                <w:iCs/>
                <w:sz w:val="16"/>
                <w:szCs w:val="16"/>
                <w:lang w:val="en-GB"/>
              </w:rPr>
            </w:pPr>
          </w:p>
          <w:p w14:paraId="4084C3D1" w14:textId="77777777" w:rsidR="00A80C56" w:rsidRPr="00A01544" w:rsidRDefault="00A80C56" w:rsidP="00425BCB">
            <w:pPr>
              <w:pStyle w:val="ListParagraph"/>
              <w:tabs>
                <w:tab w:val="left" w:pos="8789"/>
              </w:tabs>
              <w:ind w:left="0"/>
              <w:rPr>
                <w:b/>
                <w:iCs/>
                <w:sz w:val="16"/>
                <w:szCs w:val="16"/>
                <w:lang w:val="en-GB"/>
              </w:rPr>
            </w:pPr>
          </w:p>
          <w:p w14:paraId="356D9388" w14:textId="77777777" w:rsidR="00A80C56" w:rsidRPr="00A01544" w:rsidRDefault="00A80C56" w:rsidP="00425BCB">
            <w:pPr>
              <w:tabs>
                <w:tab w:val="left" w:pos="8789"/>
              </w:tabs>
              <w:rPr>
                <w:iCs/>
                <w:sz w:val="16"/>
                <w:szCs w:val="16"/>
                <w:lang w:val="en-GB"/>
              </w:rPr>
            </w:pPr>
          </w:p>
          <w:p w14:paraId="47C190DD" w14:textId="08E103D0" w:rsidR="00A80C56" w:rsidRPr="00A01544" w:rsidRDefault="00A80C56" w:rsidP="00425BCB">
            <w:pPr>
              <w:tabs>
                <w:tab w:val="left" w:pos="8789"/>
              </w:tabs>
              <w:rPr>
                <w:b/>
                <w:iCs/>
                <w:sz w:val="16"/>
                <w:szCs w:val="16"/>
                <w:lang w:val="en-GB"/>
              </w:rPr>
            </w:pPr>
            <w:r w:rsidRPr="00A01544">
              <w:rPr>
                <w:b/>
                <w:iCs/>
                <w:sz w:val="16"/>
                <w:szCs w:val="16"/>
                <w:lang w:val="en-GB"/>
              </w:rPr>
              <w:t xml:space="preserve">Data source: </w:t>
            </w:r>
            <w:r w:rsidR="00793403">
              <w:rPr>
                <w:iCs/>
                <w:sz w:val="16"/>
                <w:szCs w:val="16"/>
                <w:lang w:val="en-GB"/>
              </w:rPr>
              <w:t>Human Development Report (</w:t>
            </w:r>
            <w:r w:rsidRPr="00A01544">
              <w:rPr>
                <w:iCs/>
                <w:sz w:val="16"/>
                <w:szCs w:val="16"/>
                <w:lang w:val="en-GB"/>
              </w:rPr>
              <w:t>HDR</w:t>
            </w:r>
            <w:r w:rsidR="00793403">
              <w:rPr>
                <w:iCs/>
                <w:sz w:val="16"/>
                <w:szCs w:val="16"/>
                <w:lang w:val="en-GB"/>
              </w:rPr>
              <w:t>)</w:t>
            </w:r>
          </w:p>
          <w:p w14:paraId="67DF3A8F" w14:textId="1F92D966" w:rsidR="00A80C56" w:rsidRPr="00A01544" w:rsidRDefault="00A80C56" w:rsidP="00425BCB">
            <w:pPr>
              <w:tabs>
                <w:tab w:val="left" w:pos="8789"/>
              </w:tabs>
              <w:rPr>
                <w:iCs/>
                <w:sz w:val="16"/>
                <w:szCs w:val="16"/>
                <w:lang w:val="en-GB"/>
              </w:rPr>
            </w:pPr>
            <w:r w:rsidRPr="00A01544">
              <w:rPr>
                <w:b/>
                <w:iCs/>
                <w:sz w:val="16"/>
                <w:szCs w:val="16"/>
                <w:lang w:val="en-GB"/>
              </w:rPr>
              <w:t xml:space="preserve">Frequency: </w:t>
            </w:r>
            <w:r w:rsidRPr="00A01544">
              <w:rPr>
                <w:iCs/>
                <w:sz w:val="16"/>
                <w:szCs w:val="16"/>
                <w:lang w:val="en-GB"/>
              </w:rPr>
              <w:t>MPI was introduced in 2010 in the HDR</w:t>
            </w:r>
            <w:r w:rsidR="000306E0">
              <w:rPr>
                <w:iCs/>
                <w:sz w:val="16"/>
                <w:szCs w:val="16"/>
                <w:lang w:val="en-GB"/>
              </w:rPr>
              <w:t>,</w:t>
            </w:r>
            <w:r w:rsidRPr="00A01544">
              <w:rPr>
                <w:iCs/>
                <w:sz w:val="16"/>
                <w:szCs w:val="16"/>
                <w:lang w:val="en-GB"/>
              </w:rPr>
              <w:t xml:space="preserve"> but </w:t>
            </w:r>
            <w:r w:rsidR="000306E0">
              <w:rPr>
                <w:iCs/>
                <w:sz w:val="16"/>
                <w:szCs w:val="16"/>
                <w:lang w:val="en-GB"/>
              </w:rPr>
              <w:t>d</w:t>
            </w:r>
            <w:r w:rsidRPr="00A01544">
              <w:rPr>
                <w:iCs/>
                <w:sz w:val="16"/>
                <w:szCs w:val="16"/>
                <w:lang w:val="en-GB"/>
              </w:rPr>
              <w:t xml:space="preserve">ata for Namibia was last collected </w:t>
            </w:r>
            <w:r w:rsidR="000306E0">
              <w:rPr>
                <w:iCs/>
                <w:sz w:val="16"/>
                <w:szCs w:val="16"/>
                <w:lang w:val="en-GB"/>
              </w:rPr>
              <w:t>and</w:t>
            </w:r>
            <w:r w:rsidRPr="00A01544">
              <w:rPr>
                <w:iCs/>
                <w:sz w:val="16"/>
                <w:szCs w:val="16"/>
                <w:lang w:val="en-GB"/>
              </w:rPr>
              <w:t xml:space="preserve"> reported in 2013</w:t>
            </w:r>
          </w:p>
          <w:p w14:paraId="79D67CB4" w14:textId="77777777" w:rsidR="00A80C56" w:rsidRPr="00A01544" w:rsidRDefault="00A80C56" w:rsidP="00425BCB">
            <w:pPr>
              <w:tabs>
                <w:tab w:val="left" w:pos="8789"/>
              </w:tabs>
              <w:rPr>
                <w:b/>
                <w:iCs/>
                <w:sz w:val="16"/>
                <w:szCs w:val="16"/>
                <w:lang w:val="en-GB"/>
              </w:rPr>
            </w:pPr>
          </w:p>
          <w:p w14:paraId="2E34F728" w14:textId="384ED368" w:rsidR="00A80C56" w:rsidRPr="00A01544" w:rsidRDefault="00A80C56" w:rsidP="00425BCB">
            <w:pPr>
              <w:tabs>
                <w:tab w:val="left" w:pos="8789"/>
              </w:tabs>
              <w:jc w:val="both"/>
              <w:rPr>
                <w:iCs/>
                <w:sz w:val="16"/>
                <w:szCs w:val="16"/>
                <w:lang w:val="en-GB"/>
              </w:rPr>
            </w:pPr>
            <w:r w:rsidRPr="00A01544">
              <w:rPr>
                <w:b/>
                <w:iCs/>
                <w:sz w:val="16"/>
                <w:szCs w:val="16"/>
                <w:lang w:val="en-GB"/>
              </w:rPr>
              <w:t>Data source</w:t>
            </w:r>
            <w:r w:rsidRPr="00A01544">
              <w:rPr>
                <w:iCs/>
                <w:sz w:val="16"/>
                <w:szCs w:val="16"/>
                <w:lang w:val="en-GB"/>
              </w:rPr>
              <w:t>: Namibia Labour Force</w:t>
            </w:r>
            <w:r w:rsidR="000306E0">
              <w:rPr>
                <w:iCs/>
                <w:sz w:val="16"/>
                <w:szCs w:val="16"/>
                <w:lang w:val="en-GB"/>
              </w:rPr>
              <w:t xml:space="preserve"> </w:t>
            </w:r>
            <w:r w:rsidR="00A4321A" w:rsidRPr="00A01544">
              <w:rPr>
                <w:iCs/>
                <w:sz w:val="16"/>
                <w:szCs w:val="16"/>
                <w:lang w:val="en-GB"/>
              </w:rPr>
              <w:t>Survey</w:t>
            </w:r>
          </w:p>
          <w:p w14:paraId="40FA88E1" w14:textId="77777777" w:rsidR="00A80C56" w:rsidRPr="00A01544" w:rsidRDefault="00A80C56" w:rsidP="00425BCB">
            <w:pPr>
              <w:tabs>
                <w:tab w:val="left" w:pos="8789"/>
              </w:tabs>
              <w:jc w:val="both"/>
              <w:rPr>
                <w:iCs/>
                <w:sz w:val="16"/>
                <w:szCs w:val="16"/>
                <w:lang w:val="en-GB"/>
              </w:rPr>
            </w:pPr>
            <w:r w:rsidRPr="00A01544">
              <w:rPr>
                <w:b/>
                <w:iCs/>
                <w:sz w:val="16"/>
                <w:szCs w:val="16"/>
                <w:lang w:val="en-GB"/>
              </w:rPr>
              <w:t>Frequency</w:t>
            </w:r>
            <w:r w:rsidRPr="00A01544">
              <w:rPr>
                <w:iCs/>
                <w:sz w:val="16"/>
                <w:szCs w:val="16"/>
                <w:lang w:val="en-GB"/>
              </w:rPr>
              <w:t>: Quadrennial</w:t>
            </w:r>
          </w:p>
          <w:p w14:paraId="6662074A" w14:textId="77777777" w:rsidR="00A80C56" w:rsidRPr="006020CD" w:rsidRDefault="00A80C56" w:rsidP="00425BCB">
            <w:pPr>
              <w:tabs>
                <w:tab w:val="left" w:pos="8789"/>
              </w:tabs>
              <w:rPr>
                <w:b/>
                <w:bCs/>
                <w:sz w:val="16"/>
                <w:szCs w:val="16"/>
                <w:lang w:val="en-GB"/>
              </w:rPr>
            </w:pPr>
          </w:p>
        </w:tc>
        <w:tc>
          <w:tcPr>
            <w:tcW w:w="2373" w:type="pct"/>
            <w:vMerge w:val="restart"/>
            <w:tcBorders>
              <w:bottom w:val="nil"/>
            </w:tcBorders>
            <w:tcMar>
              <w:top w:w="72" w:type="dxa"/>
              <w:left w:w="144" w:type="dxa"/>
              <w:bottom w:w="72" w:type="dxa"/>
              <w:right w:w="144" w:type="dxa"/>
            </w:tcMar>
          </w:tcPr>
          <w:p w14:paraId="59BE7CC5" w14:textId="33A988E4" w:rsidR="00A80C56" w:rsidRPr="006020CD" w:rsidRDefault="00A80C56" w:rsidP="00425BCB">
            <w:pPr>
              <w:tabs>
                <w:tab w:val="left" w:pos="8789"/>
              </w:tabs>
              <w:jc w:val="both"/>
              <w:rPr>
                <w:bCs/>
                <w:sz w:val="16"/>
                <w:szCs w:val="16"/>
                <w:lang w:val="en-GB"/>
              </w:rPr>
            </w:pPr>
            <w:r w:rsidRPr="006020CD">
              <w:rPr>
                <w:b/>
                <w:bCs/>
                <w:sz w:val="16"/>
                <w:szCs w:val="16"/>
                <w:lang w:val="en-GB"/>
              </w:rPr>
              <w:t>Output 1.1</w:t>
            </w:r>
            <w:r w:rsidR="000306E0">
              <w:rPr>
                <w:b/>
                <w:bCs/>
                <w:sz w:val="16"/>
                <w:szCs w:val="16"/>
                <w:lang w:val="en-GB"/>
              </w:rPr>
              <w:t>.</w:t>
            </w:r>
            <w:r w:rsidRPr="006020CD">
              <w:rPr>
                <w:b/>
                <w:bCs/>
                <w:sz w:val="16"/>
                <w:szCs w:val="16"/>
                <w:lang w:val="en-GB"/>
              </w:rPr>
              <w:t xml:space="preserve"> </w:t>
            </w:r>
            <w:r w:rsidRPr="006020CD">
              <w:rPr>
                <w:bCs/>
                <w:i/>
                <w:sz w:val="16"/>
                <w:szCs w:val="16"/>
                <w:lang w:val="en-GB"/>
              </w:rPr>
              <w:t xml:space="preserve">Innovative measures in place to increase ‘vulnerable/disadvantaged’ women, youth, </w:t>
            </w:r>
            <w:r w:rsidR="00927172" w:rsidRPr="006020CD">
              <w:rPr>
                <w:bCs/>
                <w:i/>
                <w:sz w:val="16"/>
                <w:szCs w:val="16"/>
                <w:lang w:val="en-GB"/>
              </w:rPr>
              <w:t>persons with disabilities (</w:t>
            </w:r>
            <w:r w:rsidR="00353063" w:rsidRPr="006020CD">
              <w:rPr>
                <w:bCs/>
                <w:i/>
                <w:sz w:val="16"/>
                <w:szCs w:val="16"/>
                <w:lang w:val="en-GB"/>
              </w:rPr>
              <w:t>P</w:t>
            </w:r>
            <w:r w:rsidR="00353063">
              <w:rPr>
                <w:bCs/>
                <w:i/>
                <w:sz w:val="16"/>
                <w:szCs w:val="16"/>
                <w:lang w:val="en-GB"/>
              </w:rPr>
              <w:t>W</w:t>
            </w:r>
            <w:r w:rsidR="00353063" w:rsidRPr="006020CD">
              <w:rPr>
                <w:bCs/>
                <w:i/>
                <w:sz w:val="16"/>
                <w:szCs w:val="16"/>
                <w:lang w:val="en-GB"/>
              </w:rPr>
              <w:t>D</w:t>
            </w:r>
            <w:r w:rsidR="00353063">
              <w:rPr>
                <w:bCs/>
                <w:i/>
                <w:sz w:val="16"/>
                <w:szCs w:val="16"/>
                <w:lang w:val="en-GB"/>
              </w:rPr>
              <w:t>s</w:t>
            </w:r>
            <w:r w:rsidR="00927172" w:rsidRPr="006020CD">
              <w:rPr>
                <w:bCs/>
                <w:i/>
                <w:sz w:val="16"/>
                <w:szCs w:val="16"/>
                <w:lang w:val="en-GB"/>
              </w:rPr>
              <w:t>)</w:t>
            </w:r>
            <w:r w:rsidRPr="006020CD">
              <w:rPr>
                <w:bCs/>
                <w:i/>
                <w:sz w:val="16"/>
                <w:szCs w:val="16"/>
                <w:lang w:val="en-GB"/>
              </w:rPr>
              <w:t xml:space="preserve"> and marginalized groups’ empowerment and participation in economic development processes </w:t>
            </w:r>
            <w:r w:rsidR="00300D8A" w:rsidRPr="006020CD">
              <w:rPr>
                <w:bCs/>
                <w:i/>
                <w:sz w:val="16"/>
                <w:szCs w:val="16"/>
                <w:lang w:val="en-GB"/>
              </w:rPr>
              <w:t>(MITSMED)</w:t>
            </w:r>
            <w:r w:rsidR="0018056C">
              <w:rPr>
                <w:bCs/>
                <w:i/>
                <w:sz w:val="16"/>
                <w:szCs w:val="16"/>
                <w:lang w:val="en-GB"/>
              </w:rPr>
              <w:t>.</w:t>
            </w:r>
          </w:p>
          <w:p w14:paraId="7BC57811" w14:textId="008C820C" w:rsidR="00A80C56" w:rsidRPr="006020CD" w:rsidRDefault="00A80C56" w:rsidP="00425BCB">
            <w:pPr>
              <w:tabs>
                <w:tab w:val="left" w:pos="8789"/>
              </w:tabs>
              <w:jc w:val="both"/>
              <w:rPr>
                <w:b/>
                <w:bCs/>
                <w:sz w:val="16"/>
                <w:szCs w:val="16"/>
                <w:lang w:val="en-GB"/>
              </w:rPr>
            </w:pPr>
            <w:r w:rsidRPr="006020CD">
              <w:rPr>
                <w:b/>
                <w:bCs/>
                <w:sz w:val="16"/>
                <w:szCs w:val="16"/>
                <w:lang w:val="en-GB"/>
              </w:rPr>
              <w:t>Indicator 1.1.1</w:t>
            </w:r>
            <w:r w:rsidR="000306E0">
              <w:rPr>
                <w:b/>
                <w:bCs/>
                <w:sz w:val="16"/>
                <w:szCs w:val="16"/>
                <w:lang w:val="en-GB"/>
              </w:rPr>
              <w:t>.</w:t>
            </w:r>
            <w:r w:rsidRPr="006020CD">
              <w:rPr>
                <w:b/>
                <w:bCs/>
                <w:sz w:val="16"/>
                <w:szCs w:val="16"/>
                <w:lang w:val="en-GB"/>
              </w:rPr>
              <w:t xml:space="preserve"> </w:t>
            </w:r>
            <w:r w:rsidR="00A4321A" w:rsidRPr="006020CD">
              <w:rPr>
                <w:bCs/>
                <w:sz w:val="16"/>
                <w:szCs w:val="16"/>
                <w:lang w:val="en-GB"/>
              </w:rPr>
              <w:t>No.</w:t>
            </w:r>
            <w:r w:rsidRPr="006020CD">
              <w:rPr>
                <w:bCs/>
                <w:sz w:val="16"/>
                <w:szCs w:val="16"/>
                <w:lang w:val="en-GB"/>
              </w:rPr>
              <w:t xml:space="preserve"> of entrepreneurship programmes</w:t>
            </w:r>
            <w:r w:rsidR="000306E0">
              <w:rPr>
                <w:bCs/>
                <w:sz w:val="16"/>
                <w:szCs w:val="16"/>
                <w:lang w:val="en-GB"/>
              </w:rPr>
              <w:t>,</w:t>
            </w:r>
            <w:r w:rsidRPr="006020CD">
              <w:rPr>
                <w:bCs/>
                <w:sz w:val="16"/>
                <w:szCs w:val="16"/>
                <w:lang w:val="en-GB"/>
              </w:rPr>
              <w:t xml:space="preserve"> developed and running</w:t>
            </w:r>
            <w:r w:rsidR="000306E0">
              <w:rPr>
                <w:bCs/>
                <w:sz w:val="16"/>
                <w:szCs w:val="16"/>
                <w:lang w:val="en-GB"/>
              </w:rPr>
              <w:t>,</w:t>
            </w:r>
            <w:r w:rsidRPr="006020CD">
              <w:rPr>
                <w:bCs/>
                <w:sz w:val="16"/>
                <w:szCs w:val="16"/>
                <w:lang w:val="en-GB"/>
              </w:rPr>
              <w:t xml:space="preserve"> targeting women, youth, </w:t>
            </w:r>
            <w:r w:rsidR="007C35B0" w:rsidRPr="006020CD">
              <w:rPr>
                <w:bCs/>
                <w:sz w:val="16"/>
                <w:szCs w:val="16"/>
                <w:lang w:val="en-GB"/>
              </w:rPr>
              <w:t>P</w:t>
            </w:r>
            <w:r w:rsidR="00353063">
              <w:rPr>
                <w:bCs/>
                <w:sz w:val="16"/>
                <w:szCs w:val="16"/>
                <w:lang w:val="en-GB"/>
              </w:rPr>
              <w:t>W</w:t>
            </w:r>
            <w:r w:rsidR="007C35B0" w:rsidRPr="006020CD">
              <w:rPr>
                <w:bCs/>
                <w:sz w:val="16"/>
                <w:szCs w:val="16"/>
                <w:lang w:val="en-GB"/>
              </w:rPr>
              <w:t>D</w:t>
            </w:r>
            <w:r w:rsidR="00353063">
              <w:rPr>
                <w:bCs/>
                <w:sz w:val="16"/>
                <w:szCs w:val="16"/>
                <w:lang w:val="en-GB"/>
              </w:rPr>
              <w:t>s</w:t>
            </w:r>
            <w:r w:rsidRPr="006020CD">
              <w:rPr>
                <w:bCs/>
                <w:sz w:val="16"/>
                <w:szCs w:val="16"/>
                <w:lang w:val="en-GB"/>
              </w:rPr>
              <w:t>, and other marginalized groups</w:t>
            </w:r>
            <w:r w:rsidR="00300D8A" w:rsidRPr="006020CD">
              <w:rPr>
                <w:bCs/>
                <w:sz w:val="16"/>
                <w:szCs w:val="16"/>
                <w:lang w:val="en-GB"/>
              </w:rPr>
              <w:t xml:space="preserve"> </w:t>
            </w:r>
          </w:p>
          <w:p w14:paraId="619C1098" w14:textId="77777777" w:rsidR="00A80C56" w:rsidRPr="006020CD" w:rsidRDefault="00A80C56" w:rsidP="00425BCB">
            <w:pPr>
              <w:tabs>
                <w:tab w:val="left" w:pos="8789"/>
              </w:tabs>
              <w:jc w:val="both"/>
              <w:rPr>
                <w:bCs/>
                <w:sz w:val="16"/>
                <w:szCs w:val="16"/>
                <w:lang w:val="en-GB"/>
              </w:rPr>
            </w:pPr>
            <w:r w:rsidRPr="006020CD">
              <w:rPr>
                <w:b/>
                <w:bCs/>
                <w:sz w:val="16"/>
                <w:szCs w:val="16"/>
                <w:lang w:val="en-GB"/>
              </w:rPr>
              <w:t>Baseline</w:t>
            </w:r>
            <w:r w:rsidRPr="006020CD">
              <w:rPr>
                <w:bCs/>
                <w:sz w:val="16"/>
                <w:szCs w:val="16"/>
                <w:lang w:val="en-GB"/>
              </w:rPr>
              <w:t xml:space="preserve">: 0 (2017) </w:t>
            </w:r>
          </w:p>
          <w:p w14:paraId="3B359121" w14:textId="77777777" w:rsidR="00A80C56" w:rsidRPr="006020CD" w:rsidRDefault="00A80C56" w:rsidP="00425BCB">
            <w:pPr>
              <w:tabs>
                <w:tab w:val="left" w:pos="8789"/>
              </w:tabs>
              <w:jc w:val="both"/>
              <w:rPr>
                <w:b/>
                <w:bCs/>
                <w:sz w:val="16"/>
                <w:szCs w:val="16"/>
                <w:lang w:val="en-GB"/>
              </w:rPr>
            </w:pPr>
            <w:r w:rsidRPr="006020CD">
              <w:rPr>
                <w:b/>
                <w:bCs/>
                <w:sz w:val="16"/>
                <w:szCs w:val="16"/>
                <w:lang w:val="en-GB"/>
              </w:rPr>
              <w:t xml:space="preserve">Target: </w:t>
            </w:r>
            <w:r w:rsidRPr="006020CD">
              <w:rPr>
                <w:bCs/>
                <w:sz w:val="16"/>
                <w:szCs w:val="16"/>
                <w:lang w:val="en-GB"/>
              </w:rPr>
              <w:t xml:space="preserve">4 (2023)  </w:t>
            </w:r>
          </w:p>
          <w:p w14:paraId="110D66C6" w14:textId="541CADF7" w:rsidR="00A80C56" w:rsidRPr="006020CD" w:rsidRDefault="00A80C56" w:rsidP="00425BCB">
            <w:pPr>
              <w:tabs>
                <w:tab w:val="left" w:pos="8789"/>
              </w:tabs>
              <w:jc w:val="both"/>
              <w:rPr>
                <w:bCs/>
                <w:sz w:val="16"/>
                <w:szCs w:val="16"/>
                <w:lang w:val="en-GB"/>
              </w:rPr>
            </w:pPr>
            <w:r w:rsidRPr="006020CD">
              <w:rPr>
                <w:b/>
                <w:bCs/>
                <w:sz w:val="16"/>
                <w:szCs w:val="16"/>
                <w:lang w:val="en-GB"/>
              </w:rPr>
              <w:t>Data source</w:t>
            </w:r>
            <w:r w:rsidR="00832F58">
              <w:rPr>
                <w:b/>
                <w:bCs/>
                <w:sz w:val="16"/>
                <w:szCs w:val="16"/>
                <w:lang w:val="en-GB"/>
              </w:rPr>
              <w:t>s:</w:t>
            </w:r>
            <w:r w:rsidR="00832F58">
              <w:rPr>
                <w:bCs/>
                <w:sz w:val="16"/>
                <w:szCs w:val="16"/>
                <w:lang w:val="en-GB"/>
              </w:rPr>
              <w:t xml:space="preserve"> M</w:t>
            </w:r>
            <w:r w:rsidRPr="006020CD">
              <w:rPr>
                <w:bCs/>
                <w:sz w:val="16"/>
                <w:szCs w:val="16"/>
                <w:lang w:val="en-GB"/>
              </w:rPr>
              <w:t>onitoring reports</w:t>
            </w:r>
          </w:p>
          <w:p w14:paraId="75FBEC8F" w14:textId="77777777" w:rsidR="0052447E" w:rsidRPr="006020CD" w:rsidRDefault="0052447E" w:rsidP="00425BCB">
            <w:pPr>
              <w:tabs>
                <w:tab w:val="left" w:pos="8789"/>
              </w:tabs>
              <w:jc w:val="both"/>
              <w:rPr>
                <w:bCs/>
                <w:sz w:val="16"/>
                <w:szCs w:val="16"/>
                <w:lang w:val="en-GB"/>
              </w:rPr>
            </w:pPr>
          </w:p>
          <w:p w14:paraId="4A2C6DDB" w14:textId="73FA6BAC" w:rsidR="00A80C56" w:rsidRPr="006020CD" w:rsidRDefault="00A80C56" w:rsidP="00425BCB">
            <w:pPr>
              <w:tabs>
                <w:tab w:val="left" w:pos="8789"/>
              </w:tabs>
              <w:jc w:val="both"/>
              <w:rPr>
                <w:bCs/>
                <w:sz w:val="16"/>
                <w:szCs w:val="16"/>
                <w:lang w:val="en-GB"/>
              </w:rPr>
            </w:pPr>
            <w:r w:rsidRPr="006020CD">
              <w:rPr>
                <w:b/>
                <w:bCs/>
                <w:sz w:val="16"/>
                <w:szCs w:val="16"/>
                <w:lang w:val="en-GB"/>
              </w:rPr>
              <w:t>Indicator 1.1.2</w:t>
            </w:r>
            <w:r w:rsidR="000306E0">
              <w:rPr>
                <w:b/>
                <w:bCs/>
                <w:sz w:val="16"/>
                <w:szCs w:val="16"/>
                <w:lang w:val="en-GB"/>
              </w:rPr>
              <w:t>.</w:t>
            </w:r>
            <w:r w:rsidRPr="006020CD">
              <w:rPr>
                <w:b/>
                <w:bCs/>
                <w:sz w:val="16"/>
                <w:szCs w:val="16"/>
                <w:lang w:val="en-GB"/>
              </w:rPr>
              <w:t xml:space="preserve"> </w:t>
            </w:r>
            <w:r w:rsidRPr="006020CD">
              <w:rPr>
                <w:bCs/>
                <w:sz w:val="16"/>
                <w:szCs w:val="16"/>
                <w:lang w:val="en-GB"/>
              </w:rPr>
              <w:t>N</w:t>
            </w:r>
            <w:r w:rsidR="00A4321A" w:rsidRPr="006020CD">
              <w:rPr>
                <w:bCs/>
                <w:sz w:val="16"/>
                <w:szCs w:val="16"/>
                <w:lang w:val="en-GB"/>
              </w:rPr>
              <w:t>o.</w:t>
            </w:r>
            <w:r w:rsidRPr="006020CD">
              <w:rPr>
                <w:bCs/>
                <w:sz w:val="16"/>
                <w:szCs w:val="16"/>
                <w:lang w:val="en-GB"/>
              </w:rPr>
              <w:t xml:space="preserve"> of livelihood options created to </w:t>
            </w:r>
            <w:r w:rsidR="0018056C">
              <w:rPr>
                <w:bCs/>
                <w:sz w:val="16"/>
                <w:szCs w:val="16"/>
                <w:lang w:val="en-GB"/>
              </w:rPr>
              <w:t>empower</w:t>
            </w:r>
            <w:r w:rsidR="0018056C" w:rsidRPr="006020CD">
              <w:rPr>
                <w:bCs/>
                <w:sz w:val="16"/>
                <w:szCs w:val="16"/>
                <w:lang w:val="en-GB"/>
              </w:rPr>
              <w:t xml:space="preserve"> </w:t>
            </w:r>
            <w:r w:rsidRPr="006020CD">
              <w:rPr>
                <w:bCs/>
                <w:sz w:val="16"/>
                <w:szCs w:val="16"/>
                <w:lang w:val="en-GB"/>
              </w:rPr>
              <w:t xml:space="preserve">‘vulnerable/disadvantaged’ women, youth, </w:t>
            </w:r>
            <w:r w:rsidR="00353063" w:rsidRPr="009D1DD2">
              <w:rPr>
                <w:bCs/>
                <w:sz w:val="16"/>
                <w:szCs w:val="16"/>
                <w:lang w:val="en-GB"/>
              </w:rPr>
              <w:t>P</w:t>
            </w:r>
            <w:r w:rsidR="00353063">
              <w:rPr>
                <w:bCs/>
                <w:sz w:val="16"/>
                <w:szCs w:val="16"/>
                <w:lang w:val="en-GB"/>
              </w:rPr>
              <w:t>W</w:t>
            </w:r>
            <w:r w:rsidR="00353063" w:rsidRPr="009D1DD2">
              <w:rPr>
                <w:bCs/>
                <w:sz w:val="16"/>
                <w:szCs w:val="16"/>
                <w:lang w:val="en-GB"/>
              </w:rPr>
              <w:t>D</w:t>
            </w:r>
            <w:r w:rsidR="00353063">
              <w:rPr>
                <w:bCs/>
                <w:sz w:val="16"/>
                <w:szCs w:val="16"/>
                <w:lang w:val="en-GB"/>
              </w:rPr>
              <w:t>s</w:t>
            </w:r>
            <w:r w:rsidRPr="006020CD">
              <w:rPr>
                <w:bCs/>
                <w:sz w:val="16"/>
                <w:szCs w:val="16"/>
                <w:lang w:val="en-GB"/>
              </w:rPr>
              <w:t xml:space="preserve"> and marginalized groups</w:t>
            </w:r>
          </w:p>
          <w:p w14:paraId="257F3FAE" w14:textId="32251829" w:rsidR="00A80C56" w:rsidRPr="006020CD" w:rsidRDefault="00A80C56" w:rsidP="00425BCB">
            <w:pPr>
              <w:tabs>
                <w:tab w:val="left" w:pos="8789"/>
              </w:tabs>
              <w:jc w:val="both"/>
              <w:rPr>
                <w:bCs/>
                <w:sz w:val="16"/>
                <w:szCs w:val="16"/>
                <w:lang w:val="en-GB"/>
              </w:rPr>
            </w:pPr>
            <w:r w:rsidRPr="006020CD">
              <w:rPr>
                <w:b/>
                <w:bCs/>
                <w:sz w:val="16"/>
                <w:szCs w:val="16"/>
                <w:lang w:val="en-GB"/>
              </w:rPr>
              <w:t>Baseline women</w:t>
            </w:r>
            <w:r w:rsidR="00832F58">
              <w:rPr>
                <w:b/>
                <w:bCs/>
                <w:sz w:val="16"/>
                <w:szCs w:val="16"/>
                <w:lang w:val="en-GB"/>
              </w:rPr>
              <w:t>:</w:t>
            </w:r>
            <w:r w:rsidRPr="006020CD">
              <w:rPr>
                <w:bCs/>
                <w:sz w:val="16"/>
                <w:szCs w:val="16"/>
                <w:lang w:val="en-GB"/>
              </w:rPr>
              <w:t xml:space="preserve"> 1 (2017) </w:t>
            </w:r>
          </w:p>
          <w:p w14:paraId="1DBAB6E0" w14:textId="02CCBECC" w:rsidR="00A80C56" w:rsidRPr="006020CD" w:rsidRDefault="00A80C56" w:rsidP="00425BCB">
            <w:pPr>
              <w:tabs>
                <w:tab w:val="left" w:pos="8789"/>
              </w:tabs>
              <w:jc w:val="both"/>
              <w:rPr>
                <w:bCs/>
                <w:sz w:val="16"/>
                <w:szCs w:val="16"/>
                <w:lang w:val="en-GB"/>
              </w:rPr>
            </w:pPr>
            <w:r w:rsidRPr="006020CD">
              <w:rPr>
                <w:b/>
                <w:bCs/>
                <w:sz w:val="16"/>
                <w:szCs w:val="16"/>
                <w:lang w:val="en-GB"/>
              </w:rPr>
              <w:t>Target</w:t>
            </w:r>
            <w:r w:rsidRPr="006020CD">
              <w:rPr>
                <w:bCs/>
                <w:sz w:val="16"/>
                <w:szCs w:val="16"/>
                <w:lang w:val="en-GB"/>
              </w:rPr>
              <w:t xml:space="preserve">: 4 (2023) </w:t>
            </w:r>
          </w:p>
          <w:p w14:paraId="43B64C7A" w14:textId="6B4ACB19" w:rsidR="00A80C56" w:rsidRPr="006020CD" w:rsidRDefault="00A80C56" w:rsidP="00425BCB">
            <w:pPr>
              <w:tabs>
                <w:tab w:val="left" w:pos="8789"/>
              </w:tabs>
              <w:jc w:val="both"/>
              <w:rPr>
                <w:b/>
                <w:bCs/>
                <w:sz w:val="16"/>
                <w:szCs w:val="16"/>
                <w:lang w:val="en-GB"/>
              </w:rPr>
            </w:pPr>
            <w:r w:rsidRPr="006020CD">
              <w:rPr>
                <w:b/>
                <w:bCs/>
                <w:sz w:val="16"/>
                <w:szCs w:val="16"/>
                <w:lang w:val="en-GB"/>
              </w:rPr>
              <w:t>Data source</w:t>
            </w:r>
            <w:r w:rsidR="00832F58">
              <w:rPr>
                <w:b/>
                <w:bCs/>
                <w:sz w:val="16"/>
                <w:szCs w:val="16"/>
                <w:lang w:val="en-GB"/>
              </w:rPr>
              <w:t>s</w:t>
            </w:r>
            <w:r w:rsidRPr="006020CD">
              <w:rPr>
                <w:b/>
                <w:bCs/>
                <w:sz w:val="16"/>
                <w:szCs w:val="16"/>
                <w:lang w:val="en-GB"/>
              </w:rPr>
              <w:t xml:space="preserve">: </w:t>
            </w:r>
            <w:r w:rsidR="000306E0">
              <w:rPr>
                <w:bCs/>
                <w:sz w:val="16"/>
                <w:szCs w:val="16"/>
                <w:lang w:val="en-GB"/>
              </w:rPr>
              <w:t>M</w:t>
            </w:r>
            <w:r w:rsidRPr="006020CD">
              <w:rPr>
                <w:bCs/>
                <w:sz w:val="16"/>
                <w:szCs w:val="16"/>
                <w:lang w:val="en-GB"/>
              </w:rPr>
              <w:t>onitoring reports</w:t>
            </w:r>
          </w:p>
        </w:tc>
        <w:tc>
          <w:tcPr>
            <w:tcW w:w="586" w:type="pct"/>
            <w:vMerge w:val="restart"/>
          </w:tcPr>
          <w:p w14:paraId="43A0B59E" w14:textId="02187D2F" w:rsidR="00A80C56" w:rsidRPr="006020CD" w:rsidRDefault="00353063" w:rsidP="00425BCB">
            <w:pPr>
              <w:tabs>
                <w:tab w:val="left" w:pos="8789"/>
              </w:tabs>
              <w:rPr>
                <w:iCs/>
                <w:sz w:val="16"/>
                <w:szCs w:val="16"/>
                <w:lang w:val="en-GB"/>
              </w:rPr>
            </w:pPr>
            <w:r w:rsidRPr="006020CD">
              <w:rPr>
                <w:iCs/>
                <w:sz w:val="16"/>
                <w:szCs w:val="16"/>
                <w:lang w:val="en-GB"/>
              </w:rPr>
              <w:t>Ministry of Poverty Eradication and Social Welfare</w:t>
            </w:r>
            <w:r w:rsidRPr="00353063">
              <w:rPr>
                <w:iCs/>
                <w:sz w:val="16"/>
                <w:szCs w:val="16"/>
                <w:lang w:val="en-GB"/>
              </w:rPr>
              <w:t xml:space="preserve"> </w:t>
            </w:r>
            <w:r>
              <w:rPr>
                <w:iCs/>
                <w:sz w:val="16"/>
                <w:szCs w:val="16"/>
                <w:lang w:val="en-GB"/>
              </w:rPr>
              <w:t>(</w:t>
            </w:r>
            <w:r w:rsidR="00A80C56" w:rsidRPr="006020CD">
              <w:rPr>
                <w:iCs/>
                <w:sz w:val="16"/>
                <w:szCs w:val="16"/>
                <w:lang w:val="en-GB"/>
              </w:rPr>
              <w:t>MPESW</w:t>
            </w:r>
            <w:r>
              <w:rPr>
                <w:iCs/>
                <w:sz w:val="16"/>
                <w:szCs w:val="16"/>
                <w:lang w:val="en-GB"/>
              </w:rPr>
              <w:t>)</w:t>
            </w:r>
          </w:p>
          <w:p w14:paraId="07644B50" w14:textId="7C80C23D" w:rsidR="00A80C56" w:rsidRPr="006020CD" w:rsidRDefault="00353063" w:rsidP="00425BCB">
            <w:pPr>
              <w:tabs>
                <w:tab w:val="left" w:pos="8789"/>
              </w:tabs>
              <w:rPr>
                <w:iCs/>
                <w:sz w:val="16"/>
                <w:szCs w:val="16"/>
                <w:lang w:val="en-GB"/>
              </w:rPr>
            </w:pPr>
            <w:r w:rsidRPr="006020CD">
              <w:rPr>
                <w:iCs/>
                <w:sz w:val="16"/>
                <w:szCs w:val="16"/>
                <w:lang w:val="en-GB"/>
              </w:rPr>
              <w:t xml:space="preserve">Ministry of Industrialization, Trade and SME Development </w:t>
            </w:r>
            <w:r>
              <w:rPr>
                <w:lang w:val="en-GB"/>
              </w:rPr>
              <w:t>(</w:t>
            </w:r>
            <w:r w:rsidR="00A80C56" w:rsidRPr="006020CD">
              <w:rPr>
                <w:iCs/>
                <w:sz w:val="16"/>
                <w:szCs w:val="16"/>
                <w:lang w:val="en-GB"/>
              </w:rPr>
              <w:t>MITSMED</w:t>
            </w:r>
            <w:r>
              <w:rPr>
                <w:iCs/>
                <w:sz w:val="16"/>
                <w:szCs w:val="16"/>
                <w:lang w:val="en-GB"/>
              </w:rPr>
              <w:t>)</w:t>
            </w:r>
          </w:p>
          <w:p w14:paraId="6CB04348" w14:textId="72A8869C" w:rsidR="00A80C56" w:rsidRPr="006020CD" w:rsidRDefault="003608ED" w:rsidP="00425BCB">
            <w:pPr>
              <w:tabs>
                <w:tab w:val="left" w:pos="8789"/>
              </w:tabs>
              <w:rPr>
                <w:iCs/>
                <w:sz w:val="16"/>
                <w:szCs w:val="16"/>
                <w:lang w:val="en-GB"/>
              </w:rPr>
            </w:pPr>
            <w:r>
              <w:rPr>
                <w:iCs/>
                <w:sz w:val="16"/>
                <w:szCs w:val="16"/>
                <w:lang w:val="en-GB"/>
              </w:rPr>
              <w:t>Ministry of Finance (</w:t>
            </w:r>
            <w:r w:rsidR="00B70357" w:rsidRPr="006020CD">
              <w:rPr>
                <w:iCs/>
                <w:sz w:val="16"/>
                <w:szCs w:val="16"/>
                <w:lang w:val="en-GB"/>
              </w:rPr>
              <w:t>M</w:t>
            </w:r>
            <w:r w:rsidR="00353063">
              <w:rPr>
                <w:iCs/>
                <w:sz w:val="16"/>
                <w:szCs w:val="16"/>
                <w:lang w:val="en-GB"/>
              </w:rPr>
              <w:t>O</w:t>
            </w:r>
            <w:r w:rsidR="00B70357" w:rsidRPr="006020CD">
              <w:rPr>
                <w:iCs/>
                <w:sz w:val="16"/>
                <w:szCs w:val="16"/>
                <w:lang w:val="en-GB"/>
              </w:rPr>
              <w:t>F</w:t>
            </w:r>
            <w:r>
              <w:rPr>
                <w:iCs/>
                <w:sz w:val="16"/>
                <w:szCs w:val="16"/>
                <w:lang w:val="en-GB"/>
              </w:rPr>
              <w:t>)</w:t>
            </w:r>
          </w:p>
          <w:p w14:paraId="4112251B" w14:textId="4640F09A" w:rsidR="00A80C56" w:rsidRPr="006020CD" w:rsidRDefault="00793403" w:rsidP="00425BCB">
            <w:pPr>
              <w:tabs>
                <w:tab w:val="left" w:pos="8789"/>
              </w:tabs>
              <w:rPr>
                <w:iCs/>
                <w:sz w:val="16"/>
                <w:szCs w:val="16"/>
                <w:lang w:val="en-GB"/>
              </w:rPr>
            </w:pPr>
            <w:r w:rsidRPr="006020CD">
              <w:rPr>
                <w:iCs/>
                <w:sz w:val="16"/>
                <w:szCs w:val="16"/>
                <w:lang w:val="en-GB"/>
              </w:rPr>
              <w:t>Ministry of Higher Education, Training and Innovation</w:t>
            </w:r>
          </w:p>
          <w:p w14:paraId="09193884" w14:textId="29161511" w:rsidR="00A80C56" w:rsidRPr="006020CD" w:rsidRDefault="005D0F13" w:rsidP="00425BCB">
            <w:pPr>
              <w:tabs>
                <w:tab w:val="left" w:pos="8789"/>
              </w:tabs>
              <w:rPr>
                <w:iCs/>
                <w:sz w:val="16"/>
                <w:szCs w:val="16"/>
                <w:lang w:val="en-GB"/>
              </w:rPr>
            </w:pPr>
            <w:r>
              <w:rPr>
                <w:iCs/>
                <w:sz w:val="16"/>
                <w:szCs w:val="16"/>
                <w:lang w:val="en-GB"/>
              </w:rPr>
              <w:t>(</w:t>
            </w:r>
            <w:r w:rsidR="00A80C56" w:rsidRPr="006020CD">
              <w:rPr>
                <w:iCs/>
                <w:sz w:val="16"/>
                <w:szCs w:val="16"/>
                <w:lang w:val="en-GB"/>
              </w:rPr>
              <w:t>MGECW</w:t>
            </w:r>
            <w:r>
              <w:rPr>
                <w:iCs/>
                <w:sz w:val="16"/>
                <w:szCs w:val="16"/>
                <w:lang w:val="en-GB"/>
              </w:rPr>
              <w:t>)</w:t>
            </w:r>
          </w:p>
          <w:p w14:paraId="2799D66E" w14:textId="36DB0EE6" w:rsidR="00A80C56" w:rsidRPr="006020CD" w:rsidRDefault="00DE4CC3" w:rsidP="00425BCB">
            <w:pPr>
              <w:tabs>
                <w:tab w:val="left" w:pos="8789"/>
              </w:tabs>
              <w:rPr>
                <w:iCs/>
                <w:sz w:val="16"/>
                <w:szCs w:val="16"/>
                <w:lang w:val="en-GB"/>
              </w:rPr>
            </w:pPr>
            <w:r>
              <w:rPr>
                <w:iCs/>
                <w:sz w:val="16"/>
                <w:szCs w:val="16"/>
                <w:lang w:val="en-GB"/>
              </w:rPr>
              <w:t>German Development Cooperation (</w:t>
            </w:r>
            <w:r w:rsidR="00D631EB" w:rsidRPr="006020CD">
              <w:rPr>
                <w:iCs/>
                <w:sz w:val="16"/>
                <w:szCs w:val="16"/>
                <w:lang w:val="en-GB"/>
              </w:rPr>
              <w:t>GDC</w:t>
            </w:r>
            <w:r>
              <w:rPr>
                <w:iCs/>
                <w:sz w:val="16"/>
                <w:szCs w:val="16"/>
                <w:lang w:val="en-GB"/>
              </w:rPr>
              <w:t>)</w:t>
            </w:r>
          </w:p>
          <w:p w14:paraId="53C3EF75" w14:textId="2A06710A" w:rsidR="00A80C56" w:rsidRPr="006020CD" w:rsidRDefault="00A80C56" w:rsidP="00425BCB">
            <w:pPr>
              <w:tabs>
                <w:tab w:val="left" w:pos="8789"/>
              </w:tabs>
              <w:rPr>
                <w:iCs/>
                <w:sz w:val="16"/>
                <w:szCs w:val="16"/>
                <w:lang w:val="en-GB"/>
              </w:rPr>
            </w:pPr>
            <w:r w:rsidRPr="006020CD">
              <w:rPr>
                <w:iCs/>
                <w:sz w:val="16"/>
                <w:szCs w:val="16"/>
                <w:lang w:val="en-GB"/>
              </w:rPr>
              <w:t xml:space="preserve">Finnish </w:t>
            </w:r>
            <w:r w:rsidR="00B9796B" w:rsidRPr="006020CD">
              <w:rPr>
                <w:iCs/>
                <w:sz w:val="16"/>
                <w:szCs w:val="16"/>
                <w:lang w:val="en-GB"/>
              </w:rPr>
              <w:t>Cooperation</w:t>
            </w:r>
          </w:p>
          <w:p w14:paraId="4385133D" w14:textId="78E85ECA" w:rsidR="005D0F13" w:rsidRDefault="005D0F13" w:rsidP="00425BCB">
            <w:pPr>
              <w:tabs>
                <w:tab w:val="left" w:pos="8789"/>
              </w:tabs>
              <w:rPr>
                <w:iCs/>
                <w:sz w:val="16"/>
                <w:szCs w:val="16"/>
                <w:lang w:val="en-GB"/>
              </w:rPr>
            </w:pPr>
            <w:r w:rsidRPr="006020CD">
              <w:rPr>
                <w:sz w:val="16"/>
                <w:szCs w:val="16"/>
                <w:lang w:val="en-GB"/>
              </w:rPr>
              <w:t>Namibia</w:t>
            </w:r>
            <w:r w:rsidRPr="005D0F13">
              <w:rPr>
                <w:iCs/>
                <w:sz w:val="16"/>
                <w:szCs w:val="16"/>
                <w:lang w:val="en-GB"/>
              </w:rPr>
              <w:t xml:space="preserve"> </w:t>
            </w:r>
            <w:r w:rsidRPr="006020CD">
              <w:rPr>
                <w:iCs/>
                <w:sz w:val="16"/>
                <w:szCs w:val="16"/>
                <w:lang w:val="en-GB"/>
              </w:rPr>
              <w:t>Chamber of Commerce and Industry</w:t>
            </w:r>
            <w:r w:rsidRPr="005D0F13" w:rsidDel="005D0F13">
              <w:rPr>
                <w:iCs/>
                <w:sz w:val="16"/>
                <w:szCs w:val="16"/>
                <w:lang w:val="en-GB"/>
              </w:rPr>
              <w:t xml:space="preserve"> </w:t>
            </w:r>
          </w:p>
          <w:p w14:paraId="7D762394" w14:textId="05895DF4" w:rsidR="00E304E5" w:rsidRPr="006020CD" w:rsidRDefault="005D0F13" w:rsidP="00425BCB">
            <w:pPr>
              <w:tabs>
                <w:tab w:val="left" w:pos="8789"/>
              </w:tabs>
              <w:rPr>
                <w:iCs/>
                <w:sz w:val="16"/>
                <w:szCs w:val="16"/>
                <w:lang w:val="en-GB"/>
              </w:rPr>
            </w:pPr>
            <w:r>
              <w:rPr>
                <w:iCs/>
                <w:sz w:val="16"/>
                <w:szCs w:val="16"/>
                <w:lang w:val="en-GB"/>
              </w:rPr>
              <w:t>University of Namibia</w:t>
            </w:r>
          </w:p>
          <w:p w14:paraId="78520594" w14:textId="01E602C8" w:rsidR="00E304E5" w:rsidRPr="006020CD" w:rsidRDefault="005D0F13" w:rsidP="00425BCB">
            <w:pPr>
              <w:tabs>
                <w:tab w:val="left" w:pos="8789"/>
              </w:tabs>
              <w:rPr>
                <w:iCs/>
                <w:sz w:val="16"/>
                <w:szCs w:val="16"/>
                <w:lang w:val="en-GB"/>
              </w:rPr>
            </w:pPr>
            <w:r>
              <w:rPr>
                <w:iCs/>
                <w:sz w:val="16"/>
                <w:szCs w:val="16"/>
                <w:lang w:val="en-GB"/>
              </w:rPr>
              <w:t>Namibia University of Science and Technology</w:t>
            </w:r>
          </w:p>
          <w:p w14:paraId="38F2D4DC" w14:textId="70055B6A" w:rsidR="00A80C56" w:rsidRPr="006020CD" w:rsidRDefault="005D0F13" w:rsidP="00425BCB">
            <w:pPr>
              <w:tabs>
                <w:tab w:val="left" w:pos="8789"/>
              </w:tabs>
              <w:rPr>
                <w:iCs/>
                <w:sz w:val="16"/>
                <w:szCs w:val="16"/>
                <w:lang w:val="en-GB"/>
              </w:rPr>
            </w:pPr>
            <w:r w:rsidRPr="006020CD">
              <w:rPr>
                <w:iCs/>
                <w:sz w:val="16"/>
                <w:szCs w:val="16"/>
                <w:lang w:val="en-GB"/>
              </w:rPr>
              <w:t>International University of Management</w:t>
            </w:r>
          </w:p>
          <w:p w14:paraId="2CC442E6" w14:textId="682435D9" w:rsidR="00B203F9" w:rsidRPr="006020CD" w:rsidRDefault="00B203F9" w:rsidP="00425BCB">
            <w:pPr>
              <w:tabs>
                <w:tab w:val="left" w:pos="8789"/>
              </w:tabs>
              <w:rPr>
                <w:iCs/>
                <w:sz w:val="16"/>
                <w:szCs w:val="16"/>
                <w:lang w:val="en-GB"/>
              </w:rPr>
            </w:pPr>
            <w:r w:rsidRPr="006020CD">
              <w:rPr>
                <w:iCs/>
                <w:sz w:val="16"/>
                <w:szCs w:val="16"/>
                <w:lang w:val="en-GB"/>
              </w:rPr>
              <w:t>FAO</w:t>
            </w:r>
          </w:p>
          <w:p w14:paraId="5032A990" w14:textId="50AD0D1F" w:rsidR="00B9796B" w:rsidRPr="006020CD" w:rsidRDefault="005D0F13" w:rsidP="00425BCB">
            <w:pPr>
              <w:tabs>
                <w:tab w:val="left" w:pos="8789"/>
              </w:tabs>
              <w:rPr>
                <w:iCs/>
                <w:sz w:val="16"/>
                <w:szCs w:val="16"/>
                <w:lang w:val="en-GB"/>
              </w:rPr>
            </w:pPr>
            <w:r w:rsidRPr="006020CD">
              <w:rPr>
                <w:iCs/>
                <w:sz w:val="16"/>
                <w:szCs w:val="16"/>
                <w:lang w:val="en-GB"/>
              </w:rPr>
              <w:t>E</w:t>
            </w:r>
            <w:r>
              <w:rPr>
                <w:iCs/>
                <w:sz w:val="16"/>
                <w:szCs w:val="16"/>
                <w:lang w:val="en-GB"/>
              </w:rPr>
              <w:t>mpretec</w:t>
            </w:r>
            <w:r w:rsidRPr="006020CD">
              <w:rPr>
                <w:iCs/>
                <w:sz w:val="16"/>
                <w:szCs w:val="16"/>
                <w:lang w:val="en-GB"/>
              </w:rPr>
              <w:t xml:space="preserve"> </w:t>
            </w:r>
            <w:r>
              <w:rPr>
                <w:iCs/>
                <w:sz w:val="16"/>
                <w:szCs w:val="16"/>
                <w:lang w:val="en-GB"/>
              </w:rPr>
              <w:t>f</w:t>
            </w:r>
            <w:r w:rsidR="00B9796B" w:rsidRPr="006020CD">
              <w:rPr>
                <w:iCs/>
                <w:sz w:val="16"/>
                <w:szCs w:val="16"/>
                <w:lang w:val="en-GB"/>
              </w:rPr>
              <w:t>oundations</w:t>
            </w:r>
          </w:p>
          <w:p w14:paraId="56DCD443" w14:textId="77777777" w:rsidR="00A80C56" w:rsidRPr="006020CD" w:rsidRDefault="00A80C56" w:rsidP="00425BCB">
            <w:pPr>
              <w:tabs>
                <w:tab w:val="left" w:pos="8789"/>
              </w:tabs>
              <w:rPr>
                <w:i/>
                <w:sz w:val="16"/>
                <w:lang w:val="en-GB"/>
              </w:rPr>
            </w:pPr>
          </w:p>
        </w:tc>
        <w:tc>
          <w:tcPr>
            <w:tcW w:w="459" w:type="pct"/>
            <w:tcBorders>
              <w:bottom w:val="nil"/>
            </w:tcBorders>
            <w:tcMar>
              <w:top w:w="15" w:type="dxa"/>
              <w:left w:w="108" w:type="dxa"/>
              <w:bottom w:w="0" w:type="dxa"/>
              <w:right w:w="108" w:type="dxa"/>
            </w:tcMar>
          </w:tcPr>
          <w:p w14:paraId="70C7EE18" w14:textId="19DD491D" w:rsidR="00A80C56" w:rsidRPr="006020CD" w:rsidRDefault="00A80C56" w:rsidP="00425BCB">
            <w:pPr>
              <w:tabs>
                <w:tab w:val="left" w:pos="8789"/>
              </w:tabs>
              <w:rPr>
                <w:b/>
                <w:sz w:val="16"/>
                <w:szCs w:val="16"/>
                <w:lang w:val="en-GB"/>
              </w:rPr>
            </w:pPr>
            <w:r w:rsidRPr="006020CD">
              <w:rPr>
                <w:b/>
                <w:sz w:val="16"/>
                <w:szCs w:val="16"/>
                <w:lang w:val="en-GB"/>
              </w:rPr>
              <w:t xml:space="preserve">Regular: </w:t>
            </w:r>
            <w:r w:rsidR="00EE4554" w:rsidRPr="006020CD">
              <w:rPr>
                <w:sz w:val="16"/>
                <w:szCs w:val="16"/>
                <w:lang w:val="en-GB"/>
              </w:rPr>
              <w:t>500</w:t>
            </w:r>
          </w:p>
          <w:p w14:paraId="527A432E" w14:textId="77777777" w:rsidR="00A80C56" w:rsidRPr="006020CD" w:rsidRDefault="00A80C56" w:rsidP="00425BCB">
            <w:pPr>
              <w:tabs>
                <w:tab w:val="left" w:pos="8789"/>
              </w:tabs>
              <w:rPr>
                <w:b/>
                <w:sz w:val="16"/>
                <w:szCs w:val="16"/>
                <w:lang w:val="en-GB"/>
              </w:rPr>
            </w:pPr>
          </w:p>
          <w:p w14:paraId="37701913" w14:textId="594A91C2" w:rsidR="002C38A1" w:rsidRPr="006020CD" w:rsidRDefault="002C38A1" w:rsidP="002C38A1">
            <w:pPr>
              <w:tabs>
                <w:tab w:val="left" w:pos="8789"/>
              </w:tabs>
              <w:rPr>
                <w:sz w:val="16"/>
                <w:szCs w:val="16"/>
                <w:lang w:val="en-GB"/>
              </w:rPr>
            </w:pPr>
            <w:r w:rsidRPr="006020CD">
              <w:rPr>
                <w:b/>
                <w:sz w:val="16"/>
                <w:szCs w:val="16"/>
                <w:lang w:val="en-GB"/>
              </w:rPr>
              <w:t xml:space="preserve">Other: </w:t>
            </w:r>
            <w:r w:rsidRPr="006020CD">
              <w:rPr>
                <w:sz w:val="16"/>
                <w:szCs w:val="16"/>
                <w:lang w:val="en-GB"/>
              </w:rPr>
              <w:t>3,</w:t>
            </w:r>
            <w:r w:rsidR="00EE4554" w:rsidRPr="006020CD">
              <w:rPr>
                <w:sz w:val="16"/>
                <w:szCs w:val="16"/>
                <w:lang w:val="en-GB"/>
              </w:rPr>
              <w:t>689</w:t>
            </w:r>
          </w:p>
          <w:p w14:paraId="627EADD0" w14:textId="77777777" w:rsidR="002C38A1" w:rsidRPr="006020CD" w:rsidRDefault="002C38A1" w:rsidP="002C38A1">
            <w:pPr>
              <w:tabs>
                <w:tab w:val="left" w:pos="8789"/>
              </w:tabs>
              <w:rPr>
                <w:sz w:val="16"/>
                <w:szCs w:val="16"/>
                <w:lang w:val="en-GB"/>
              </w:rPr>
            </w:pPr>
          </w:p>
          <w:p w14:paraId="21407C6E" w14:textId="05696797" w:rsidR="002C38A1" w:rsidRPr="006020CD" w:rsidRDefault="002C38A1" w:rsidP="002C38A1">
            <w:pPr>
              <w:tabs>
                <w:tab w:val="left" w:pos="8789"/>
              </w:tabs>
              <w:rPr>
                <w:b/>
                <w:sz w:val="16"/>
                <w:szCs w:val="16"/>
                <w:lang w:val="en-GB"/>
              </w:rPr>
            </w:pPr>
          </w:p>
        </w:tc>
      </w:tr>
      <w:tr w:rsidR="00A80C56" w:rsidRPr="00074002" w14:paraId="33CF1795" w14:textId="77777777" w:rsidTr="00EE5D47">
        <w:tc>
          <w:tcPr>
            <w:tcW w:w="791" w:type="pct"/>
            <w:vMerge/>
            <w:tcMar>
              <w:top w:w="72" w:type="dxa"/>
              <w:left w:w="144" w:type="dxa"/>
              <w:bottom w:w="72" w:type="dxa"/>
              <w:right w:w="144" w:type="dxa"/>
            </w:tcMar>
          </w:tcPr>
          <w:p w14:paraId="089C3E4C" w14:textId="77777777" w:rsidR="00A80C56" w:rsidRPr="006020CD" w:rsidRDefault="00A80C56" w:rsidP="00425BCB">
            <w:pPr>
              <w:tabs>
                <w:tab w:val="left" w:pos="8789"/>
              </w:tabs>
              <w:rPr>
                <w:sz w:val="16"/>
                <w:szCs w:val="16"/>
                <w:lang w:val="en-GB"/>
              </w:rPr>
            </w:pPr>
          </w:p>
        </w:tc>
        <w:tc>
          <w:tcPr>
            <w:tcW w:w="791" w:type="pct"/>
            <w:vMerge/>
          </w:tcPr>
          <w:p w14:paraId="6D0EA566" w14:textId="77777777" w:rsidR="00A80C56" w:rsidRPr="006020CD" w:rsidRDefault="00A80C56" w:rsidP="00CD5B9C">
            <w:pPr>
              <w:pStyle w:val="ListParagraph"/>
              <w:numPr>
                <w:ilvl w:val="0"/>
                <w:numId w:val="1"/>
              </w:numPr>
              <w:tabs>
                <w:tab w:val="left" w:pos="8789"/>
              </w:tabs>
              <w:ind w:left="0"/>
              <w:rPr>
                <w:i/>
                <w:iCs/>
                <w:sz w:val="16"/>
                <w:szCs w:val="16"/>
                <w:lang w:val="en-GB"/>
              </w:rPr>
            </w:pPr>
          </w:p>
        </w:tc>
        <w:tc>
          <w:tcPr>
            <w:tcW w:w="2373" w:type="pct"/>
            <w:vMerge/>
            <w:tcBorders>
              <w:bottom w:val="nil"/>
            </w:tcBorders>
            <w:tcMar>
              <w:top w:w="72" w:type="dxa"/>
              <w:left w:w="144" w:type="dxa"/>
              <w:bottom w:w="72" w:type="dxa"/>
              <w:right w:w="144" w:type="dxa"/>
            </w:tcMar>
          </w:tcPr>
          <w:p w14:paraId="65EC384F" w14:textId="77777777" w:rsidR="00A80C56" w:rsidRPr="006020CD" w:rsidRDefault="00A80C56" w:rsidP="00425BCB">
            <w:pPr>
              <w:tabs>
                <w:tab w:val="left" w:pos="8789"/>
              </w:tabs>
              <w:jc w:val="both"/>
              <w:rPr>
                <w:b/>
                <w:bCs/>
                <w:sz w:val="16"/>
                <w:szCs w:val="16"/>
                <w:lang w:val="en-GB"/>
              </w:rPr>
            </w:pPr>
          </w:p>
        </w:tc>
        <w:tc>
          <w:tcPr>
            <w:tcW w:w="586" w:type="pct"/>
            <w:vMerge/>
          </w:tcPr>
          <w:p w14:paraId="32390B16" w14:textId="77777777" w:rsidR="00A80C56" w:rsidRPr="006020CD" w:rsidRDefault="00A80C56" w:rsidP="00425BCB">
            <w:pPr>
              <w:tabs>
                <w:tab w:val="left" w:pos="8789"/>
              </w:tabs>
              <w:rPr>
                <w:i/>
                <w:iCs/>
                <w:sz w:val="16"/>
                <w:szCs w:val="16"/>
                <w:lang w:val="en-GB"/>
              </w:rPr>
            </w:pPr>
          </w:p>
        </w:tc>
        <w:tc>
          <w:tcPr>
            <w:tcW w:w="459" w:type="pct"/>
            <w:tcBorders>
              <w:top w:val="nil"/>
              <w:bottom w:val="nil"/>
            </w:tcBorders>
            <w:tcMar>
              <w:top w:w="15" w:type="dxa"/>
              <w:left w:w="108" w:type="dxa"/>
              <w:bottom w:w="0" w:type="dxa"/>
              <w:right w:w="108" w:type="dxa"/>
            </w:tcMar>
          </w:tcPr>
          <w:p w14:paraId="3AF067E9" w14:textId="37ABBCE4" w:rsidR="002D11F3" w:rsidRPr="006020CD" w:rsidRDefault="002D11F3" w:rsidP="00425BCB">
            <w:pPr>
              <w:tabs>
                <w:tab w:val="left" w:pos="8789"/>
              </w:tabs>
              <w:rPr>
                <w:sz w:val="16"/>
                <w:szCs w:val="16"/>
                <w:lang w:val="en-GB"/>
              </w:rPr>
            </w:pPr>
          </w:p>
        </w:tc>
      </w:tr>
      <w:tr w:rsidR="00A80C56" w:rsidRPr="00074002" w14:paraId="49650815" w14:textId="77777777" w:rsidTr="00B362C0">
        <w:tc>
          <w:tcPr>
            <w:tcW w:w="791" w:type="pct"/>
            <w:vMerge/>
            <w:tcBorders>
              <w:bottom w:val="single" w:sz="4" w:space="0" w:color="auto"/>
            </w:tcBorders>
            <w:tcMar>
              <w:top w:w="72" w:type="dxa"/>
              <w:left w:w="144" w:type="dxa"/>
              <w:bottom w:w="72" w:type="dxa"/>
              <w:right w:w="144" w:type="dxa"/>
            </w:tcMar>
          </w:tcPr>
          <w:p w14:paraId="2AC882FA" w14:textId="77777777" w:rsidR="00A80C56" w:rsidRPr="006020CD" w:rsidRDefault="00A80C56" w:rsidP="00425BCB">
            <w:pPr>
              <w:tabs>
                <w:tab w:val="left" w:pos="8789"/>
              </w:tabs>
              <w:rPr>
                <w:sz w:val="16"/>
                <w:szCs w:val="16"/>
                <w:lang w:val="en-GB"/>
              </w:rPr>
            </w:pPr>
          </w:p>
        </w:tc>
        <w:tc>
          <w:tcPr>
            <w:tcW w:w="791" w:type="pct"/>
            <w:vMerge/>
            <w:tcBorders>
              <w:bottom w:val="single" w:sz="4" w:space="0" w:color="auto"/>
            </w:tcBorders>
          </w:tcPr>
          <w:p w14:paraId="69556E1C" w14:textId="77777777" w:rsidR="00A80C56" w:rsidRPr="006020CD" w:rsidRDefault="00A80C56" w:rsidP="00CD5B9C">
            <w:pPr>
              <w:pStyle w:val="ListParagraph"/>
              <w:numPr>
                <w:ilvl w:val="0"/>
                <w:numId w:val="1"/>
              </w:numPr>
              <w:tabs>
                <w:tab w:val="left" w:pos="8789"/>
              </w:tabs>
              <w:ind w:left="0"/>
              <w:rPr>
                <w:i/>
                <w:iCs/>
                <w:sz w:val="16"/>
                <w:szCs w:val="16"/>
                <w:lang w:val="en-GB"/>
              </w:rPr>
            </w:pPr>
          </w:p>
        </w:tc>
        <w:tc>
          <w:tcPr>
            <w:tcW w:w="2373" w:type="pct"/>
            <w:tcBorders>
              <w:top w:val="nil"/>
              <w:bottom w:val="single" w:sz="4" w:space="0" w:color="auto"/>
            </w:tcBorders>
            <w:tcMar>
              <w:top w:w="72" w:type="dxa"/>
              <w:left w:w="144" w:type="dxa"/>
              <w:bottom w:w="72" w:type="dxa"/>
              <w:right w:w="144" w:type="dxa"/>
            </w:tcMar>
          </w:tcPr>
          <w:p w14:paraId="0D6E1858" w14:textId="0D6CC224" w:rsidR="00A80C56" w:rsidRPr="006020CD" w:rsidRDefault="00A80C56" w:rsidP="00425BCB">
            <w:pPr>
              <w:tabs>
                <w:tab w:val="left" w:pos="8789"/>
              </w:tabs>
              <w:jc w:val="both"/>
              <w:rPr>
                <w:b/>
                <w:bCs/>
                <w:sz w:val="16"/>
                <w:szCs w:val="16"/>
                <w:lang w:val="en-GB"/>
              </w:rPr>
            </w:pPr>
            <w:r w:rsidRPr="006020CD">
              <w:rPr>
                <w:b/>
                <w:bCs/>
                <w:sz w:val="16"/>
                <w:szCs w:val="16"/>
                <w:lang w:val="en-GB"/>
              </w:rPr>
              <w:t>Output 1.2</w:t>
            </w:r>
            <w:r w:rsidR="0018056C">
              <w:rPr>
                <w:b/>
                <w:bCs/>
                <w:sz w:val="16"/>
                <w:szCs w:val="16"/>
                <w:lang w:val="en-GB"/>
              </w:rPr>
              <w:t>.</w:t>
            </w:r>
            <w:r w:rsidRPr="006020CD">
              <w:rPr>
                <w:b/>
                <w:bCs/>
                <w:sz w:val="16"/>
                <w:szCs w:val="16"/>
                <w:lang w:val="en-GB"/>
              </w:rPr>
              <w:t xml:space="preserve"> (SDG 1</w:t>
            </w:r>
            <w:r w:rsidR="000306E0">
              <w:rPr>
                <w:b/>
                <w:bCs/>
                <w:sz w:val="16"/>
                <w:szCs w:val="16"/>
                <w:lang w:val="en-GB"/>
              </w:rPr>
              <w:t>,</w:t>
            </w:r>
            <w:r w:rsidRPr="006020CD">
              <w:rPr>
                <w:b/>
                <w:bCs/>
                <w:sz w:val="16"/>
                <w:szCs w:val="16"/>
                <w:lang w:val="en-GB"/>
              </w:rPr>
              <w:t xml:space="preserve"> target 1b)</w:t>
            </w:r>
            <w:r w:rsidR="000306E0">
              <w:rPr>
                <w:b/>
                <w:bCs/>
                <w:sz w:val="16"/>
                <w:szCs w:val="16"/>
                <w:lang w:val="en-GB"/>
              </w:rPr>
              <w:t>.</w:t>
            </w:r>
            <w:r w:rsidRPr="006020CD">
              <w:rPr>
                <w:b/>
                <w:bCs/>
                <w:sz w:val="16"/>
                <w:szCs w:val="16"/>
                <w:lang w:val="en-GB"/>
              </w:rPr>
              <w:t xml:space="preserve"> </w:t>
            </w:r>
            <w:r w:rsidRPr="006020CD">
              <w:rPr>
                <w:bCs/>
                <w:i/>
                <w:sz w:val="16"/>
                <w:szCs w:val="16"/>
                <w:lang w:val="en-GB"/>
              </w:rPr>
              <w:t xml:space="preserve">By 2023, MITSMED, </w:t>
            </w:r>
            <w:r w:rsidR="0018011F" w:rsidRPr="006020CD">
              <w:rPr>
                <w:bCs/>
                <w:i/>
                <w:sz w:val="16"/>
                <w:szCs w:val="16"/>
                <w:lang w:val="en-GB"/>
              </w:rPr>
              <w:t>M</w:t>
            </w:r>
            <w:r w:rsidR="00353063">
              <w:rPr>
                <w:bCs/>
                <w:i/>
                <w:sz w:val="16"/>
                <w:szCs w:val="16"/>
                <w:lang w:val="en-GB"/>
              </w:rPr>
              <w:t>O</w:t>
            </w:r>
            <w:r w:rsidR="0018011F" w:rsidRPr="006020CD">
              <w:rPr>
                <w:bCs/>
                <w:i/>
                <w:sz w:val="16"/>
                <w:szCs w:val="16"/>
                <w:lang w:val="en-GB"/>
              </w:rPr>
              <w:t>F</w:t>
            </w:r>
            <w:r w:rsidRPr="006020CD">
              <w:rPr>
                <w:bCs/>
                <w:i/>
                <w:sz w:val="16"/>
                <w:szCs w:val="16"/>
                <w:lang w:val="en-GB"/>
              </w:rPr>
              <w:t>, MPESW, MGECW and other Governing Council members enabled to create and implement innovative pro-poor and gender-responsive development policy frameworks and programmes for poverty eradication</w:t>
            </w:r>
            <w:r w:rsidR="000306E0">
              <w:rPr>
                <w:bCs/>
                <w:i/>
                <w:sz w:val="16"/>
                <w:szCs w:val="16"/>
                <w:lang w:val="en-GB"/>
              </w:rPr>
              <w:t>.</w:t>
            </w:r>
          </w:p>
          <w:p w14:paraId="53A89839" w14:textId="2748B403" w:rsidR="00A80C56" w:rsidRPr="006020CD" w:rsidRDefault="00A80C56" w:rsidP="00425BCB">
            <w:pPr>
              <w:tabs>
                <w:tab w:val="left" w:pos="8789"/>
              </w:tabs>
              <w:jc w:val="both"/>
              <w:rPr>
                <w:bCs/>
                <w:sz w:val="16"/>
                <w:szCs w:val="16"/>
                <w:lang w:val="en-GB"/>
              </w:rPr>
            </w:pPr>
            <w:r w:rsidRPr="006020CD">
              <w:rPr>
                <w:b/>
                <w:bCs/>
                <w:sz w:val="16"/>
                <w:szCs w:val="16"/>
                <w:lang w:val="en-GB"/>
              </w:rPr>
              <w:t>Indicator 1.2.1</w:t>
            </w:r>
            <w:r w:rsidR="0018056C">
              <w:rPr>
                <w:b/>
                <w:bCs/>
                <w:sz w:val="16"/>
                <w:szCs w:val="16"/>
                <w:lang w:val="en-GB"/>
              </w:rPr>
              <w:t>.</w:t>
            </w:r>
            <w:r w:rsidRPr="006020CD">
              <w:rPr>
                <w:b/>
                <w:bCs/>
                <w:sz w:val="16"/>
                <w:szCs w:val="16"/>
                <w:lang w:val="en-GB"/>
              </w:rPr>
              <w:t xml:space="preserve"> </w:t>
            </w:r>
            <w:r w:rsidR="00A4321A" w:rsidRPr="006020CD">
              <w:rPr>
                <w:bCs/>
                <w:sz w:val="16"/>
                <w:szCs w:val="16"/>
                <w:lang w:val="en-GB"/>
              </w:rPr>
              <w:t>No.</w:t>
            </w:r>
            <w:r w:rsidRPr="006020CD">
              <w:rPr>
                <w:bCs/>
                <w:sz w:val="16"/>
                <w:szCs w:val="16"/>
                <w:lang w:val="en-GB"/>
              </w:rPr>
              <w:t xml:space="preserve"> of </w:t>
            </w:r>
            <w:r w:rsidR="00DF3EF2" w:rsidRPr="006020CD">
              <w:rPr>
                <w:bCs/>
                <w:sz w:val="16"/>
                <w:szCs w:val="16"/>
                <w:lang w:val="en-GB"/>
              </w:rPr>
              <w:t>gender</w:t>
            </w:r>
            <w:r w:rsidR="000306E0">
              <w:rPr>
                <w:bCs/>
                <w:sz w:val="16"/>
                <w:szCs w:val="16"/>
                <w:lang w:val="en-GB"/>
              </w:rPr>
              <w:t>-</w:t>
            </w:r>
            <w:r w:rsidR="00DF3EF2" w:rsidRPr="006020CD">
              <w:rPr>
                <w:bCs/>
                <w:sz w:val="16"/>
                <w:szCs w:val="16"/>
                <w:lang w:val="en-GB"/>
              </w:rPr>
              <w:t xml:space="preserve">responsive development policy frameworks </w:t>
            </w:r>
            <w:r w:rsidR="003F424B" w:rsidRPr="006020CD">
              <w:rPr>
                <w:bCs/>
                <w:sz w:val="16"/>
                <w:szCs w:val="16"/>
                <w:lang w:val="en-GB"/>
              </w:rPr>
              <w:t>(</w:t>
            </w:r>
            <w:r w:rsidR="00EF466A">
              <w:rPr>
                <w:bCs/>
                <w:sz w:val="16"/>
                <w:szCs w:val="16"/>
                <w:lang w:val="en-GB"/>
              </w:rPr>
              <w:t>Strategic Plan</w:t>
            </w:r>
            <w:r w:rsidR="007F3519">
              <w:rPr>
                <w:bCs/>
                <w:sz w:val="16"/>
                <w:szCs w:val="16"/>
                <w:lang w:val="en-GB"/>
              </w:rPr>
              <w:t xml:space="preserve"> </w:t>
            </w:r>
            <w:r w:rsidR="00832F58">
              <w:rPr>
                <w:bCs/>
                <w:sz w:val="16"/>
                <w:szCs w:val="16"/>
                <w:lang w:val="en-GB"/>
              </w:rPr>
              <w:t>In</w:t>
            </w:r>
            <w:r w:rsidR="00EF466A" w:rsidRPr="006020CD">
              <w:rPr>
                <w:bCs/>
                <w:sz w:val="16"/>
                <w:szCs w:val="16"/>
                <w:lang w:val="en-GB"/>
              </w:rPr>
              <w:t>tegrated Results and Resources Framework</w:t>
            </w:r>
            <w:r w:rsidR="00EF466A" w:rsidRPr="0089780F" w:rsidDel="00EF466A">
              <w:rPr>
                <w:bCs/>
                <w:sz w:val="16"/>
                <w:szCs w:val="16"/>
                <w:lang w:val="en-GB"/>
              </w:rPr>
              <w:t xml:space="preserve"> </w:t>
            </w:r>
            <w:r w:rsidR="00EF466A">
              <w:rPr>
                <w:bCs/>
                <w:sz w:val="16"/>
                <w:szCs w:val="16"/>
                <w:lang w:val="en-GB"/>
              </w:rPr>
              <w:t>– IRRF, o</w:t>
            </w:r>
            <w:r w:rsidR="003F424B" w:rsidRPr="006020CD">
              <w:rPr>
                <w:bCs/>
                <w:sz w:val="16"/>
                <w:szCs w:val="16"/>
                <w:lang w:val="en-GB"/>
              </w:rPr>
              <w:t xml:space="preserve">utput </w:t>
            </w:r>
            <w:r w:rsidR="00EF466A">
              <w:rPr>
                <w:bCs/>
                <w:sz w:val="16"/>
                <w:szCs w:val="16"/>
                <w:lang w:val="en-GB"/>
              </w:rPr>
              <w:t>i</w:t>
            </w:r>
            <w:r w:rsidR="003F424B" w:rsidRPr="006020CD">
              <w:rPr>
                <w:bCs/>
                <w:sz w:val="16"/>
                <w:szCs w:val="16"/>
                <w:lang w:val="en-GB"/>
              </w:rPr>
              <w:t>ndicator 1.1.2</w:t>
            </w:r>
            <w:r w:rsidR="00B812FF" w:rsidRPr="006020CD">
              <w:rPr>
                <w:bCs/>
                <w:sz w:val="16"/>
                <w:szCs w:val="16"/>
                <w:lang w:val="en-GB"/>
              </w:rPr>
              <w:t>.3</w:t>
            </w:r>
            <w:r w:rsidR="003F424B" w:rsidRPr="006020CD">
              <w:rPr>
                <w:bCs/>
                <w:sz w:val="16"/>
                <w:szCs w:val="16"/>
                <w:lang w:val="en-GB"/>
              </w:rPr>
              <w:t xml:space="preserve">)  </w:t>
            </w:r>
          </w:p>
          <w:p w14:paraId="05E49BA7" w14:textId="3649CE89" w:rsidR="00A80C56" w:rsidRPr="006020CD" w:rsidRDefault="00A80C56" w:rsidP="00425BCB">
            <w:pPr>
              <w:tabs>
                <w:tab w:val="left" w:pos="8789"/>
              </w:tabs>
              <w:jc w:val="both"/>
              <w:rPr>
                <w:bCs/>
                <w:sz w:val="16"/>
                <w:szCs w:val="16"/>
                <w:lang w:val="en-GB"/>
              </w:rPr>
            </w:pPr>
            <w:r w:rsidRPr="006020CD">
              <w:rPr>
                <w:b/>
                <w:bCs/>
                <w:sz w:val="16"/>
                <w:szCs w:val="16"/>
                <w:lang w:val="en-GB"/>
              </w:rPr>
              <w:t>Baseline</w:t>
            </w:r>
            <w:r w:rsidR="00832F58">
              <w:rPr>
                <w:b/>
                <w:bCs/>
                <w:sz w:val="16"/>
                <w:szCs w:val="16"/>
                <w:lang w:val="en-GB"/>
              </w:rPr>
              <w:t>:</w:t>
            </w:r>
            <w:r w:rsidRPr="006020CD">
              <w:rPr>
                <w:bCs/>
                <w:sz w:val="16"/>
                <w:szCs w:val="16"/>
                <w:lang w:val="en-GB"/>
              </w:rPr>
              <w:t xml:space="preserve"> 0 (2017)</w:t>
            </w:r>
          </w:p>
          <w:p w14:paraId="2E33FA16" w14:textId="372F4A50" w:rsidR="00A80C56" w:rsidRPr="006020CD" w:rsidRDefault="00A80C56" w:rsidP="00425BCB">
            <w:pPr>
              <w:tabs>
                <w:tab w:val="left" w:pos="8789"/>
              </w:tabs>
              <w:jc w:val="both"/>
              <w:rPr>
                <w:bCs/>
                <w:sz w:val="16"/>
                <w:szCs w:val="16"/>
                <w:lang w:val="en-GB"/>
              </w:rPr>
            </w:pPr>
            <w:r w:rsidRPr="006020CD">
              <w:rPr>
                <w:b/>
                <w:bCs/>
                <w:sz w:val="16"/>
                <w:szCs w:val="16"/>
                <w:lang w:val="en-GB"/>
              </w:rPr>
              <w:t>Target</w:t>
            </w:r>
            <w:r w:rsidR="00832F58">
              <w:rPr>
                <w:b/>
                <w:bCs/>
                <w:sz w:val="16"/>
                <w:szCs w:val="16"/>
                <w:lang w:val="en-GB"/>
              </w:rPr>
              <w:t>:</w:t>
            </w:r>
            <w:r w:rsidRPr="006020CD">
              <w:rPr>
                <w:bCs/>
                <w:sz w:val="16"/>
                <w:szCs w:val="16"/>
                <w:lang w:val="en-GB"/>
              </w:rPr>
              <w:t xml:space="preserve"> </w:t>
            </w:r>
            <w:r w:rsidR="00DF3EF2" w:rsidRPr="006020CD">
              <w:rPr>
                <w:bCs/>
                <w:sz w:val="16"/>
                <w:szCs w:val="16"/>
                <w:lang w:val="en-GB"/>
              </w:rPr>
              <w:t xml:space="preserve">2 </w:t>
            </w:r>
            <w:r w:rsidRPr="006020CD">
              <w:rPr>
                <w:bCs/>
                <w:sz w:val="16"/>
                <w:szCs w:val="16"/>
                <w:lang w:val="en-GB"/>
              </w:rPr>
              <w:t xml:space="preserve">(2023) </w:t>
            </w:r>
          </w:p>
          <w:p w14:paraId="1B0DDC1C" w14:textId="0ADE68CB" w:rsidR="00A80C56" w:rsidRPr="006020CD" w:rsidRDefault="00A80C56" w:rsidP="00425BCB">
            <w:pPr>
              <w:tabs>
                <w:tab w:val="left" w:pos="8789"/>
              </w:tabs>
              <w:jc w:val="both"/>
              <w:rPr>
                <w:bCs/>
                <w:sz w:val="16"/>
                <w:szCs w:val="16"/>
                <w:lang w:val="en-GB"/>
              </w:rPr>
            </w:pPr>
            <w:r w:rsidRPr="006020CD">
              <w:rPr>
                <w:b/>
                <w:bCs/>
                <w:sz w:val="16"/>
                <w:szCs w:val="16"/>
                <w:lang w:val="en-GB"/>
              </w:rPr>
              <w:t>Data source</w:t>
            </w:r>
            <w:r w:rsidRPr="006020CD">
              <w:rPr>
                <w:bCs/>
                <w:sz w:val="16"/>
                <w:szCs w:val="16"/>
                <w:lang w:val="en-GB"/>
              </w:rPr>
              <w:t>:</w:t>
            </w:r>
            <w:r w:rsidRPr="006020CD">
              <w:rPr>
                <w:lang w:val="en-GB"/>
              </w:rPr>
              <w:t xml:space="preserve"> </w:t>
            </w:r>
            <w:r w:rsidR="0018056C">
              <w:rPr>
                <w:bCs/>
                <w:sz w:val="16"/>
                <w:szCs w:val="16"/>
                <w:lang w:val="en-GB"/>
              </w:rPr>
              <w:t>M</w:t>
            </w:r>
            <w:r w:rsidRPr="006020CD">
              <w:rPr>
                <w:bCs/>
                <w:sz w:val="16"/>
                <w:szCs w:val="16"/>
                <w:lang w:val="en-GB"/>
              </w:rPr>
              <w:t xml:space="preserve">onitoring reports </w:t>
            </w:r>
            <w:r w:rsidR="0018056C">
              <w:rPr>
                <w:bCs/>
                <w:sz w:val="16"/>
                <w:szCs w:val="16"/>
                <w:lang w:val="en-GB"/>
              </w:rPr>
              <w:t>and</w:t>
            </w:r>
            <w:r w:rsidRPr="006020CD">
              <w:rPr>
                <w:bCs/>
                <w:sz w:val="16"/>
                <w:szCs w:val="16"/>
                <w:lang w:val="en-GB"/>
              </w:rPr>
              <w:t xml:space="preserve"> evaluation report</w:t>
            </w:r>
          </w:p>
          <w:p w14:paraId="7DC1E7E6" w14:textId="77777777" w:rsidR="00A80C56" w:rsidRPr="006020CD" w:rsidRDefault="00A80C56" w:rsidP="00425BCB">
            <w:pPr>
              <w:tabs>
                <w:tab w:val="left" w:pos="8789"/>
              </w:tabs>
              <w:jc w:val="both"/>
              <w:rPr>
                <w:bCs/>
                <w:sz w:val="16"/>
                <w:szCs w:val="16"/>
                <w:lang w:val="en-GB"/>
              </w:rPr>
            </w:pPr>
          </w:p>
          <w:p w14:paraId="12EA5892" w14:textId="2F93B5DF" w:rsidR="00A80C56" w:rsidRPr="006020CD" w:rsidRDefault="00A80C56" w:rsidP="00425BCB">
            <w:pPr>
              <w:tabs>
                <w:tab w:val="left" w:pos="8789"/>
              </w:tabs>
              <w:jc w:val="both"/>
              <w:rPr>
                <w:bCs/>
                <w:sz w:val="16"/>
                <w:szCs w:val="16"/>
                <w:lang w:val="en-GB"/>
              </w:rPr>
            </w:pPr>
            <w:r w:rsidRPr="006020CD">
              <w:rPr>
                <w:b/>
                <w:bCs/>
                <w:sz w:val="16"/>
                <w:szCs w:val="16"/>
                <w:lang w:val="en-GB"/>
              </w:rPr>
              <w:t>Output 1.3</w:t>
            </w:r>
            <w:r w:rsidR="0018056C">
              <w:rPr>
                <w:b/>
                <w:bCs/>
                <w:sz w:val="16"/>
                <w:szCs w:val="16"/>
                <w:lang w:val="en-GB"/>
              </w:rPr>
              <w:t>.</w:t>
            </w:r>
            <w:r w:rsidRPr="006020CD">
              <w:rPr>
                <w:b/>
                <w:bCs/>
                <w:sz w:val="16"/>
                <w:szCs w:val="16"/>
                <w:lang w:val="en-GB"/>
              </w:rPr>
              <w:t xml:space="preserve"> </w:t>
            </w:r>
            <w:r w:rsidRPr="006020CD">
              <w:rPr>
                <w:bCs/>
                <w:i/>
                <w:sz w:val="16"/>
                <w:szCs w:val="16"/>
                <w:lang w:val="en-GB"/>
              </w:rPr>
              <w:t xml:space="preserve">National institutions in charge of economic diversification (MITSMED) have the capacity to promote </w:t>
            </w:r>
            <w:r w:rsidR="0018056C">
              <w:rPr>
                <w:bCs/>
                <w:i/>
                <w:sz w:val="16"/>
                <w:szCs w:val="16"/>
                <w:lang w:val="en-GB"/>
              </w:rPr>
              <w:t>l</w:t>
            </w:r>
            <w:r w:rsidRPr="006020CD">
              <w:rPr>
                <w:bCs/>
                <w:i/>
                <w:sz w:val="16"/>
                <w:szCs w:val="16"/>
                <w:lang w:val="en-GB"/>
              </w:rPr>
              <w:t xml:space="preserve">ocal </w:t>
            </w:r>
            <w:r w:rsidR="0018056C">
              <w:rPr>
                <w:bCs/>
                <w:i/>
                <w:sz w:val="16"/>
                <w:szCs w:val="16"/>
                <w:lang w:val="en-GB"/>
              </w:rPr>
              <w:t>c</w:t>
            </w:r>
            <w:r w:rsidRPr="006020CD">
              <w:rPr>
                <w:bCs/>
                <w:i/>
                <w:sz w:val="16"/>
                <w:szCs w:val="16"/>
                <w:lang w:val="en-GB"/>
              </w:rPr>
              <w:t xml:space="preserve">ontent </w:t>
            </w:r>
            <w:r w:rsidR="0018056C">
              <w:rPr>
                <w:bCs/>
                <w:i/>
                <w:sz w:val="16"/>
                <w:szCs w:val="16"/>
                <w:lang w:val="en-GB"/>
              </w:rPr>
              <w:t>d</w:t>
            </w:r>
            <w:r w:rsidRPr="006020CD">
              <w:rPr>
                <w:bCs/>
                <w:i/>
                <w:sz w:val="16"/>
                <w:szCs w:val="16"/>
                <w:lang w:val="en-GB"/>
              </w:rPr>
              <w:t>evelopment and value addition to national resources</w:t>
            </w:r>
            <w:r w:rsidR="0018056C">
              <w:rPr>
                <w:bCs/>
                <w:i/>
                <w:sz w:val="16"/>
                <w:szCs w:val="16"/>
                <w:lang w:val="en-GB"/>
              </w:rPr>
              <w:t>.</w:t>
            </w:r>
          </w:p>
          <w:p w14:paraId="43548FD0" w14:textId="50B4FAC3" w:rsidR="00A80C56" w:rsidRPr="006020CD" w:rsidRDefault="00A80C56" w:rsidP="00425BCB">
            <w:pPr>
              <w:tabs>
                <w:tab w:val="left" w:pos="8789"/>
              </w:tabs>
              <w:jc w:val="both"/>
              <w:rPr>
                <w:bCs/>
                <w:sz w:val="16"/>
                <w:szCs w:val="16"/>
                <w:lang w:val="en-GB"/>
              </w:rPr>
            </w:pPr>
            <w:r w:rsidRPr="006020CD">
              <w:rPr>
                <w:b/>
                <w:bCs/>
                <w:sz w:val="16"/>
                <w:szCs w:val="16"/>
                <w:lang w:val="en-GB"/>
              </w:rPr>
              <w:t>Indicator 1.3.1</w:t>
            </w:r>
            <w:r w:rsidR="0018056C">
              <w:rPr>
                <w:b/>
                <w:bCs/>
                <w:sz w:val="16"/>
                <w:szCs w:val="16"/>
                <w:lang w:val="en-GB"/>
              </w:rPr>
              <w:t>.</w:t>
            </w:r>
            <w:r w:rsidRPr="006020CD">
              <w:rPr>
                <w:bCs/>
                <w:sz w:val="16"/>
                <w:szCs w:val="16"/>
                <w:lang w:val="en-GB"/>
              </w:rPr>
              <w:t xml:space="preserve"> Mineral policy reviewed</w:t>
            </w:r>
          </w:p>
          <w:p w14:paraId="1E1DEFF0" w14:textId="77777777" w:rsidR="00A80C56" w:rsidRPr="006020CD" w:rsidRDefault="00A80C56" w:rsidP="00425BCB">
            <w:pPr>
              <w:tabs>
                <w:tab w:val="left" w:pos="8789"/>
              </w:tabs>
              <w:jc w:val="both"/>
              <w:rPr>
                <w:b/>
                <w:bCs/>
                <w:sz w:val="16"/>
                <w:szCs w:val="16"/>
                <w:lang w:val="en-GB"/>
              </w:rPr>
            </w:pPr>
            <w:r w:rsidRPr="006020CD">
              <w:rPr>
                <w:b/>
                <w:bCs/>
                <w:sz w:val="16"/>
                <w:szCs w:val="16"/>
                <w:lang w:val="en-GB"/>
              </w:rPr>
              <w:t xml:space="preserve">Baseline: </w:t>
            </w:r>
            <w:r w:rsidRPr="006020CD">
              <w:rPr>
                <w:bCs/>
                <w:sz w:val="16"/>
                <w:szCs w:val="16"/>
                <w:lang w:val="en-GB"/>
              </w:rPr>
              <w:t>0 (2017)</w:t>
            </w:r>
          </w:p>
          <w:p w14:paraId="7D8A87B3" w14:textId="77777777" w:rsidR="00A80C56" w:rsidRPr="006020CD" w:rsidRDefault="00A80C56" w:rsidP="00425BCB">
            <w:pPr>
              <w:tabs>
                <w:tab w:val="left" w:pos="8789"/>
              </w:tabs>
              <w:jc w:val="both"/>
              <w:rPr>
                <w:b/>
                <w:bCs/>
                <w:sz w:val="16"/>
                <w:szCs w:val="16"/>
                <w:lang w:val="en-GB"/>
              </w:rPr>
            </w:pPr>
            <w:r w:rsidRPr="006020CD">
              <w:rPr>
                <w:b/>
                <w:bCs/>
                <w:sz w:val="16"/>
                <w:szCs w:val="16"/>
                <w:lang w:val="en-GB"/>
              </w:rPr>
              <w:t xml:space="preserve">Target: </w:t>
            </w:r>
            <w:r w:rsidRPr="006020CD">
              <w:rPr>
                <w:bCs/>
                <w:sz w:val="16"/>
                <w:szCs w:val="16"/>
                <w:lang w:val="en-GB"/>
              </w:rPr>
              <w:t>1 (2023)</w:t>
            </w:r>
          </w:p>
          <w:p w14:paraId="4684E31A" w14:textId="4A04E102" w:rsidR="00A80C56" w:rsidRPr="006020CD" w:rsidRDefault="00A80C56" w:rsidP="0018056C">
            <w:pPr>
              <w:tabs>
                <w:tab w:val="left" w:pos="8789"/>
              </w:tabs>
              <w:jc w:val="both"/>
              <w:rPr>
                <w:b/>
                <w:bCs/>
                <w:sz w:val="16"/>
                <w:szCs w:val="16"/>
                <w:lang w:val="en-GB"/>
              </w:rPr>
            </w:pPr>
            <w:r w:rsidRPr="006020CD">
              <w:rPr>
                <w:b/>
                <w:bCs/>
                <w:sz w:val="16"/>
                <w:szCs w:val="16"/>
                <w:lang w:val="en-GB"/>
              </w:rPr>
              <w:t>Da</w:t>
            </w:r>
            <w:r w:rsidR="0018011F" w:rsidRPr="006020CD">
              <w:rPr>
                <w:b/>
                <w:bCs/>
                <w:sz w:val="16"/>
                <w:szCs w:val="16"/>
                <w:lang w:val="en-GB"/>
              </w:rPr>
              <w:t>t</w:t>
            </w:r>
            <w:r w:rsidRPr="006020CD">
              <w:rPr>
                <w:b/>
                <w:bCs/>
                <w:sz w:val="16"/>
                <w:szCs w:val="16"/>
                <w:lang w:val="en-GB"/>
              </w:rPr>
              <w:t xml:space="preserve">a source: </w:t>
            </w:r>
            <w:r w:rsidRPr="006020CD">
              <w:rPr>
                <w:bCs/>
                <w:sz w:val="16"/>
                <w:szCs w:val="16"/>
                <w:lang w:val="en-GB"/>
              </w:rPr>
              <w:t xml:space="preserve">MITSMED </w:t>
            </w:r>
            <w:r w:rsidR="0018056C">
              <w:rPr>
                <w:bCs/>
                <w:sz w:val="16"/>
                <w:szCs w:val="16"/>
                <w:lang w:val="en-GB"/>
              </w:rPr>
              <w:t>annual report</w:t>
            </w:r>
          </w:p>
        </w:tc>
        <w:tc>
          <w:tcPr>
            <w:tcW w:w="586" w:type="pct"/>
            <w:vMerge/>
            <w:tcBorders>
              <w:bottom w:val="single" w:sz="4" w:space="0" w:color="auto"/>
            </w:tcBorders>
            <w:vAlign w:val="center"/>
          </w:tcPr>
          <w:p w14:paraId="730926B2" w14:textId="77777777" w:rsidR="00A80C56" w:rsidRPr="006020CD" w:rsidRDefault="00A80C56" w:rsidP="00425BCB">
            <w:pPr>
              <w:tabs>
                <w:tab w:val="left" w:pos="8789"/>
              </w:tabs>
              <w:rPr>
                <w:iCs/>
                <w:sz w:val="16"/>
                <w:szCs w:val="16"/>
                <w:lang w:val="en-GB"/>
              </w:rPr>
            </w:pPr>
          </w:p>
        </w:tc>
        <w:tc>
          <w:tcPr>
            <w:tcW w:w="459" w:type="pct"/>
            <w:tcBorders>
              <w:top w:val="nil"/>
              <w:bottom w:val="single" w:sz="4" w:space="0" w:color="auto"/>
            </w:tcBorders>
            <w:tcMar>
              <w:top w:w="15" w:type="dxa"/>
              <w:left w:w="108" w:type="dxa"/>
              <w:bottom w:w="0" w:type="dxa"/>
              <w:right w:w="108" w:type="dxa"/>
            </w:tcMar>
            <w:vAlign w:val="center"/>
          </w:tcPr>
          <w:p w14:paraId="411E7B17" w14:textId="77777777" w:rsidR="00A80C56" w:rsidRPr="006020CD" w:rsidRDefault="00A80C56" w:rsidP="00425BCB">
            <w:pPr>
              <w:tabs>
                <w:tab w:val="left" w:pos="8789"/>
              </w:tabs>
              <w:rPr>
                <w:b/>
                <w:sz w:val="16"/>
                <w:szCs w:val="16"/>
                <w:lang w:val="en-GB"/>
              </w:rPr>
            </w:pPr>
          </w:p>
        </w:tc>
      </w:tr>
      <w:tr w:rsidR="00FF3A30" w:rsidRPr="00074002" w14:paraId="7F2ED652" w14:textId="77777777" w:rsidTr="00B362C0">
        <w:tc>
          <w:tcPr>
            <w:tcW w:w="5000" w:type="pct"/>
            <w:gridSpan w:val="5"/>
            <w:shd w:val="clear" w:color="auto" w:fill="auto"/>
            <w:tcMar>
              <w:top w:w="72" w:type="dxa"/>
              <w:left w:w="144" w:type="dxa"/>
              <w:bottom w:w="72" w:type="dxa"/>
              <w:right w:w="144" w:type="dxa"/>
            </w:tcMar>
          </w:tcPr>
          <w:p w14:paraId="43F3E898" w14:textId="78D84AD8" w:rsidR="00FF3A30" w:rsidRPr="006020CD" w:rsidRDefault="000306E0" w:rsidP="00425BCB">
            <w:pPr>
              <w:tabs>
                <w:tab w:val="left" w:pos="8789"/>
              </w:tabs>
              <w:rPr>
                <w:b/>
                <w:sz w:val="16"/>
                <w:szCs w:val="16"/>
                <w:lang w:val="en-GB"/>
              </w:rPr>
            </w:pPr>
            <w:r w:rsidRPr="000306E0">
              <w:rPr>
                <w:b/>
                <w:bCs/>
                <w:sz w:val="16"/>
                <w:szCs w:val="16"/>
                <w:lang w:val="en-GB"/>
              </w:rPr>
              <w:t>National priority or goal</w:t>
            </w:r>
            <w:r w:rsidR="00FF3A30" w:rsidRPr="006020CD">
              <w:rPr>
                <w:b/>
                <w:bCs/>
                <w:sz w:val="16"/>
                <w:szCs w:val="16"/>
                <w:lang w:val="en-GB"/>
              </w:rPr>
              <w:t>: Pillar 3</w:t>
            </w:r>
            <w:r>
              <w:rPr>
                <w:b/>
                <w:bCs/>
                <w:sz w:val="16"/>
                <w:szCs w:val="16"/>
                <w:lang w:val="en-GB"/>
              </w:rPr>
              <w:t>.</w:t>
            </w:r>
            <w:r w:rsidR="00FF3A30" w:rsidRPr="006020CD">
              <w:rPr>
                <w:b/>
                <w:bCs/>
                <w:sz w:val="16"/>
                <w:szCs w:val="16"/>
                <w:lang w:val="en-GB"/>
              </w:rPr>
              <w:t xml:space="preserve"> Environmental </w:t>
            </w:r>
            <w:r>
              <w:rPr>
                <w:b/>
                <w:bCs/>
                <w:sz w:val="16"/>
                <w:szCs w:val="16"/>
                <w:lang w:val="en-GB"/>
              </w:rPr>
              <w:t>s</w:t>
            </w:r>
            <w:r w:rsidR="00FF3A30" w:rsidRPr="006020CD">
              <w:rPr>
                <w:b/>
                <w:bCs/>
                <w:sz w:val="16"/>
                <w:szCs w:val="16"/>
                <w:lang w:val="en-GB"/>
              </w:rPr>
              <w:t>ustainability (NDP5)</w:t>
            </w:r>
          </w:p>
        </w:tc>
      </w:tr>
      <w:tr w:rsidR="00FF3A30" w:rsidRPr="00074002" w14:paraId="0B022E34" w14:textId="77777777" w:rsidTr="00B362C0">
        <w:tc>
          <w:tcPr>
            <w:tcW w:w="3955" w:type="pct"/>
            <w:gridSpan w:val="3"/>
            <w:shd w:val="clear" w:color="auto" w:fill="auto"/>
            <w:tcMar>
              <w:top w:w="72" w:type="dxa"/>
              <w:left w:w="144" w:type="dxa"/>
              <w:bottom w:w="72" w:type="dxa"/>
              <w:right w:w="144" w:type="dxa"/>
            </w:tcMar>
          </w:tcPr>
          <w:p w14:paraId="42E11674" w14:textId="3C87838C" w:rsidR="00FF3A30" w:rsidRPr="006020CD" w:rsidRDefault="00FF3A30" w:rsidP="000306E0">
            <w:pPr>
              <w:tabs>
                <w:tab w:val="left" w:pos="8789"/>
              </w:tabs>
              <w:jc w:val="both"/>
              <w:rPr>
                <w:b/>
                <w:bCs/>
                <w:sz w:val="16"/>
                <w:szCs w:val="16"/>
                <w:lang w:val="en-GB"/>
              </w:rPr>
            </w:pPr>
            <w:r w:rsidRPr="006020CD">
              <w:rPr>
                <w:b/>
                <w:bCs/>
                <w:sz w:val="16"/>
                <w:szCs w:val="16"/>
                <w:lang w:val="en-GB"/>
              </w:rPr>
              <w:t xml:space="preserve">UNPAF </w:t>
            </w:r>
            <w:r w:rsidR="000306E0" w:rsidRPr="000306E0">
              <w:rPr>
                <w:b/>
                <w:bCs/>
                <w:sz w:val="16"/>
                <w:szCs w:val="16"/>
                <w:lang w:val="en-GB"/>
              </w:rPr>
              <w:t xml:space="preserve">(or equivalent) outcome 3.1 involving </w:t>
            </w:r>
            <w:r w:rsidRPr="006020CD">
              <w:rPr>
                <w:b/>
                <w:bCs/>
                <w:sz w:val="16"/>
                <w:szCs w:val="16"/>
                <w:lang w:val="en-GB"/>
              </w:rPr>
              <w:t>UNDP:</w:t>
            </w:r>
            <w:r w:rsidRPr="006020CD">
              <w:rPr>
                <w:sz w:val="16"/>
                <w:szCs w:val="16"/>
                <w:lang w:val="en-GB"/>
              </w:rPr>
              <w:t xml:space="preserve"> </w:t>
            </w:r>
            <w:r w:rsidR="00E0280C" w:rsidRPr="006020CD">
              <w:rPr>
                <w:sz w:val="16"/>
                <w:szCs w:val="16"/>
                <w:lang w:val="en-GB"/>
              </w:rPr>
              <w:t>By 2023, vulnerable populations in disaster</w:t>
            </w:r>
            <w:r w:rsidR="000306E0">
              <w:rPr>
                <w:sz w:val="16"/>
                <w:szCs w:val="16"/>
                <w:lang w:val="en-GB"/>
              </w:rPr>
              <w:t>-</w:t>
            </w:r>
            <w:r w:rsidR="00E0280C" w:rsidRPr="006020CD">
              <w:rPr>
                <w:sz w:val="16"/>
                <w:szCs w:val="16"/>
                <w:lang w:val="en-GB"/>
              </w:rPr>
              <w:t>prone and biodiversity</w:t>
            </w:r>
            <w:r w:rsidR="000306E0">
              <w:rPr>
                <w:sz w:val="16"/>
                <w:szCs w:val="16"/>
                <w:lang w:val="en-GB"/>
              </w:rPr>
              <w:t>-</w:t>
            </w:r>
            <w:r w:rsidR="00E0280C" w:rsidRPr="006020CD">
              <w:rPr>
                <w:sz w:val="16"/>
                <w:szCs w:val="16"/>
                <w:lang w:val="en-GB"/>
              </w:rPr>
              <w:t xml:space="preserve">sensitive areas are resilient to shocks and climate change </w:t>
            </w:r>
            <w:r w:rsidR="008A146C" w:rsidRPr="006020CD">
              <w:rPr>
                <w:sz w:val="16"/>
                <w:szCs w:val="16"/>
                <w:lang w:val="en-GB"/>
              </w:rPr>
              <w:t>effects (</w:t>
            </w:r>
            <w:r w:rsidR="00C96443" w:rsidRPr="006020CD">
              <w:rPr>
                <w:sz w:val="16"/>
                <w:szCs w:val="16"/>
                <w:lang w:val="en-GB"/>
              </w:rPr>
              <w:t>and</w:t>
            </w:r>
            <w:r w:rsidR="00E0280C" w:rsidRPr="006020CD">
              <w:rPr>
                <w:sz w:val="16"/>
                <w:szCs w:val="16"/>
                <w:lang w:val="en-GB"/>
              </w:rPr>
              <w:t xml:space="preserve"> benefit from natural resources management</w:t>
            </w:r>
            <w:r w:rsidR="00C96443" w:rsidRPr="006020CD">
              <w:rPr>
                <w:sz w:val="16"/>
                <w:szCs w:val="16"/>
                <w:lang w:val="en-GB"/>
              </w:rPr>
              <w:t>)</w:t>
            </w:r>
            <w:r w:rsidR="000306E0">
              <w:rPr>
                <w:sz w:val="16"/>
                <w:szCs w:val="16"/>
                <w:lang w:val="en-GB"/>
              </w:rPr>
              <w:t>.</w:t>
            </w:r>
          </w:p>
        </w:tc>
        <w:tc>
          <w:tcPr>
            <w:tcW w:w="1045" w:type="pct"/>
            <w:gridSpan w:val="2"/>
            <w:shd w:val="clear" w:color="auto" w:fill="auto"/>
          </w:tcPr>
          <w:p w14:paraId="502733FC" w14:textId="35CE5FB6" w:rsidR="00FF3A30" w:rsidRPr="006020CD" w:rsidRDefault="00FF3A30" w:rsidP="00425BCB">
            <w:pPr>
              <w:tabs>
                <w:tab w:val="left" w:pos="8789"/>
              </w:tabs>
              <w:rPr>
                <w:b/>
                <w:sz w:val="16"/>
                <w:szCs w:val="16"/>
                <w:lang w:val="en-GB"/>
              </w:rPr>
            </w:pPr>
            <w:r w:rsidRPr="006020CD">
              <w:rPr>
                <w:b/>
                <w:sz w:val="16"/>
                <w:szCs w:val="16"/>
                <w:lang w:val="en-GB"/>
              </w:rPr>
              <w:t>SDG</w:t>
            </w:r>
            <w:r w:rsidR="000306E0">
              <w:rPr>
                <w:b/>
                <w:sz w:val="16"/>
                <w:szCs w:val="16"/>
                <w:lang w:val="en-GB"/>
              </w:rPr>
              <w:t>s</w:t>
            </w:r>
            <w:r w:rsidRPr="006020CD">
              <w:rPr>
                <w:b/>
                <w:sz w:val="16"/>
                <w:szCs w:val="16"/>
                <w:lang w:val="en-GB"/>
              </w:rPr>
              <w:t xml:space="preserve"> 1, 6, 7, 11, 12, 13, 14, 15, 17</w:t>
            </w:r>
          </w:p>
        </w:tc>
      </w:tr>
      <w:tr w:rsidR="00FF3A30" w:rsidRPr="00074002" w14:paraId="12456549" w14:textId="77777777" w:rsidTr="00B362C0">
        <w:tc>
          <w:tcPr>
            <w:tcW w:w="5000" w:type="pct"/>
            <w:gridSpan w:val="5"/>
            <w:shd w:val="clear" w:color="auto" w:fill="auto"/>
            <w:tcMar>
              <w:top w:w="72" w:type="dxa"/>
              <w:left w:w="144" w:type="dxa"/>
              <w:bottom w:w="72" w:type="dxa"/>
              <w:right w:w="144" w:type="dxa"/>
            </w:tcMar>
          </w:tcPr>
          <w:p w14:paraId="6DB34AB1" w14:textId="40300DA7" w:rsidR="00FF3A30" w:rsidRPr="006020CD" w:rsidRDefault="000306E0" w:rsidP="00425BCB">
            <w:pPr>
              <w:tabs>
                <w:tab w:val="left" w:pos="8789"/>
              </w:tabs>
              <w:rPr>
                <w:b/>
                <w:bCs/>
                <w:sz w:val="16"/>
                <w:szCs w:val="16"/>
                <w:lang w:val="en-GB"/>
              </w:rPr>
            </w:pPr>
            <w:r w:rsidRPr="000306E0">
              <w:rPr>
                <w:b/>
                <w:bCs/>
                <w:sz w:val="16"/>
                <w:szCs w:val="16"/>
                <w:lang w:val="en-GB"/>
              </w:rPr>
              <w:lastRenderedPageBreak/>
              <w:t xml:space="preserve">Related Strategic Plan </w:t>
            </w:r>
            <w:r>
              <w:rPr>
                <w:b/>
                <w:bCs/>
                <w:sz w:val="16"/>
                <w:szCs w:val="16"/>
                <w:lang w:val="en-GB"/>
              </w:rPr>
              <w:t>o</w:t>
            </w:r>
            <w:r w:rsidRPr="000306E0">
              <w:rPr>
                <w:b/>
                <w:bCs/>
                <w:sz w:val="16"/>
                <w:szCs w:val="16"/>
                <w:lang w:val="en-GB"/>
              </w:rPr>
              <w:t>utcome</w:t>
            </w:r>
            <w:r w:rsidR="00FF3A30" w:rsidRPr="006020CD">
              <w:rPr>
                <w:b/>
                <w:bCs/>
                <w:sz w:val="16"/>
                <w:szCs w:val="16"/>
                <w:lang w:val="en-GB"/>
              </w:rPr>
              <w:t xml:space="preserve">: </w:t>
            </w:r>
            <w:r w:rsidR="00FF3A30" w:rsidRPr="006020CD">
              <w:rPr>
                <w:bCs/>
                <w:sz w:val="16"/>
                <w:szCs w:val="16"/>
                <w:lang w:val="en-GB"/>
              </w:rPr>
              <w:t>Outcome 3</w:t>
            </w:r>
            <w:r>
              <w:rPr>
                <w:b/>
                <w:bCs/>
                <w:sz w:val="16"/>
                <w:szCs w:val="16"/>
                <w:lang w:val="en-GB"/>
              </w:rPr>
              <w:t>.</w:t>
            </w:r>
            <w:r w:rsidR="00FF3A30" w:rsidRPr="006020CD">
              <w:rPr>
                <w:b/>
                <w:bCs/>
                <w:sz w:val="16"/>
                <w:szCs w:val="16"/>
                <w:lang w:val="en-GB"/>
              </w:rPr>
              <w:t xml:space="preserve"> </w:t>
            </w:r>
            <w:r w:rsidR="00D30EF3" w:rsidRPr="006020CD">
              <w:rPr>
                <w:sz w:val="16"/>
                <w:szCs w:val="16"/>
                <w:lang w:val="en-GB"/>
              </w:rPr>
              <w:t>Build resilience to shocks and crises</w:t>
            </w:r>
          </w:p>
        </w:tc>
      </w:tr>
      <w:tr w:rsidR="00E43F55" w:rsidRPr="00074002" w14:paraId="5A5B76D0" w14:textId="77777777" w:rsidTr="00EE5D47">
        <w:tc>
          <w:tcPr>
            <w:tcW w:w="791" w:type="pct"/>
            <w:tcBorders>
              <w:bottom w:val="single" w:sz="4" w:space="0" w:color="auto"/>
            </w:tcBorders>
            <w:tcMar>
              <w:top w:w="72" w:type="dxa"/>
              <w:left w:w="144" w:type="dxa"/>
              <w:bottom w:w="72" w:type="dxa"/>
              <w:right w:w="144" w:type="dxa"/>
            </w:tcMar>
          </w:tcPr>
          <w:p w14:paraId="0B4B541A" w14:textId="5C6C6703" w:rsidR="007A2143" w:rsidRPr="006020CD" w:rsidRDefault="00E0280C" w:rsidP="00425BCB">
            <w:pPr>
              <w:tabs>
                <w:tab w:val="left" w:pos="8789"/>
              </w:tabs>
              <w:jc w:val="both"/>
              <w:rPr>
                <w:sz w:val="16"/>
                <w:szCs w:val="16"/>
                <w:lang w:val="en-GB"/>
              </w:rPr>
            </w:pPr>
            <w:r w:rsidRPr="006020CD">
              <w:rPr>
                <w:b/>
                <w:sz w:val="16"/>
                <w:szCs w:val="16"/>
                <w:lang w:val="en-GB"/>
              </w:rPr>
              <w:t>2.1</w:t>
            </w:r>
            <w:r w:rsidR="00A4321A" w:rsidRPr="006020CD">
              <w:rPr>
                <w:sz w:val="16"/>
                <w:szCs w:val="16"/>
                <w:lang w:val="en-GB"/>
              </w:rPr>
              <w:t xml:space="preserve"> H</w:t>
            </w:r>
            <w:r w:rsidR="000306E0">
              <w:rPr>
                <w:sz w:val="16"/>
                <w:szCs w:val="16"/>
                <w:lang w:val="en-GB"/>
              </w:rPr>
              <w:t>ectares</w:t>
            </w:r>
            <w:r w:rsidRPr="006020CD">
              <w:rPr>
                <w:sz w:val="16"/>
                <w:szCs w:val="16"/>
                <w:lang w:val="en-GB"/>
              </w:rPr>
              <w:t xml:space="preserve"> of land managed sustainably under a conservation, sustainable use or access</w:t>
            </w:r>
            <w:r w:rsidR="000306E0">
              <w:rPr>
                <w:sz w:val="16"/>
                <w:szCs w:val="16"/>
                <w:lang w:val="en-GB"/>
              </w:rPr>
              <w:t>-</w:t>
            </w:r>
            <w:r w:rsidRPr="006020CD">
              <w:rPr>
                <w:sz w:val="16"/>
                <w:szCs w:val="16"/>
                <w:lang w:val="en-GB"/>
              </w:rPr>
              <w:t xml:space="preserve"> and benefits</w:t>
            </w:r>
            <w:r w:rsidR="000306E0">
              <w:rPr>
                <w:sz w:val="16"/>
                <w:szCs w:val="16"/>
                <w:lang w:val="en-GB"/>
              </w:rPr>
              <w:t>-</w:t>
            </w:r>
            <w:r w:rsidRPr="006020CD">
              <w:rPr>
                <w:sz w:val="16"/>
                <w:szCs w:val="16"/>
                <w:lang w:val="en-GB"/>
              </w:rPr>
              <w:t>sharing regime</w:t>
            </w:r>
            <w:r w:rsidR="007A2143" w:rsidRPr="006020CD">
              <w:rPr>
                <w:sz w:val="16"/>
                <w:szCs w:val="16"/>
                <w:lang w:val="en-GB"/>
              </w:rPr>
              <w:t xml:space="preserve"> (</w:t>
            </w:r>
            <w:r w:rsidR="000306E0">
              <w:rPr>
                <w:sz w:val="16"/>
                <w:szCs w:val="16"/>
                <w:lang w:val="en-GB"/>
              </w:rPr>
              <w:t>p</w:t>
            </w:r>
            <w:r w:rsidR="007A2143" w:rsidRPr="006020CD">
              <w:rPr>
                <w:sz w:val="16"/>
                <w:szCs w:val="16"/>
                <w:lang w:val="en-GB"/>
              </w:rPr>
              <w:t xml:space="preserve">ercentage of land </w:t>
            </w:r>
            <w:r w:rsidR="000306E0" w:rsidRPr="00F65958">
              <w:rPr>
                <w:sz w:val="16"/>
                <w:szCs w:val="16"/>
                <w:lang w:val="en-GB"/>
              </w:rPr>
              <w:t>covered</w:t>
            </w:r>
            <w:r w:rsidR="000306E0" w:rsidRPr="000306E0">
              <w:rPr>
                <w:sz w:val="16"/>
                <w:szCs w:val="16"/>
                <w:lang w:val="en-GB"/>
              </w:rPr>
              <w:t xml:space="preserve"> </w:t>
            </w:r>
            <w:r w:rsidR="007A2143" w:rsidRPr="006020CD">
              <w:rPr>
                <w:sz w:val="16"/>
                <w:szCs w:val="16"/>
                <w:lang w:val="en-GB"/>
              </w:rPr>
              <w:t xml:space="preserve">under structured natural </w:t>
            </w:r>
            <w:r w:rsidR="000306E0">
              <w:rPr>
                <w:sz w:val="16"/>
                <w:szCs w:val="16"/>
                <w:lang w:val="en-GB"/>
              </w:rPr>
              <w:t>r</w:t>
            </w:r>
            <w:r w:rsidR="007A2143" w:rsidRPr="006020CD">
              <w:rPr>
                <w:sz w:val="16"/>
                <w:szCs w:val="16"/>
                <w:lang w:val="en-GB"/>
              </w:rPr>
              <w:t>esource</w:t>
            </w:r>
            <w:r w:rsidR="000306E0">
              <w:rPr>
                <w:sz w:val="16"/>
                <w:szCs w:val="16"/>
                <w:lang w:val="en-GB"/>
              </w:rPr>
              <w:t>s</w:t>
            </w:r>
            <w:r w:rsidR="007A2143" w:rsidRPr="006020CD">
              <w:rPr>
                <w:sz w:val="16"/>
                <w:szCs w:val="16"/>
                <w:lang w:val="en-GB"/>
              </w:rPr>
              <w:t xml:space="preserve"> management)</w:t>
            </w:r>
          </w:p>
          <w:p w14:paraId="63E60DDC" w14:textId="77777777" w:rsidR="007A2143" w:rsidRPr="006020CD" w:rsidRDefault="007A2143" w:rsidP="00425BCB">
            <w:pPr>
              <w:tabs>
                <w:tab w:val="left" w:pos="8789"/>
              </w:tabs>
              <w:jc w:val="both"/>
              <w:rPr>
                <w:sz w:val="16"/>
                <w:szCs w:val="16"/>
                <w:lang w:val="en-GB"/>
              </w:rPr>
            </w:pPr>
          </w:p>
          <w:p w14:paraId="0BAE9567" w14:textId="77777777" w:rsidR="007A2143" w:rsidRPr="006020CD" w:rsidRDefault="007A2143" w:rsidP="00425BCB">
            <w:pPr>
              <w:tabs>
                <w:tab w:val="left" w:pos="8789"/>
              </w:tabs>
              <w:jc w:val="both"/>
              <w:rPr>
                <w:sz w:val="16"/>
                <w:szCs w:val="16"/>
                <w:lang w:val="en-GB"/>
              </w:rPr>
            </w:pPr>
            <w:r w:rsidRPr="006020CD">
              <w:rPr>
                <w:b/>
                <w:sz w:val="16"/>
                <w:szCs w:val="16"/>
                <w:lang w:val="en-GB"/>
              </w:rPr>
              <w:t>Baseline:</w:t>
            </w:r>
            <w:r w:rsidRPr="006020CD">
              <w:rPr>
                <w:sz w:val="16"/>
                <w:szCs w:val="16"/>
                <w:lang w:val="en-GB"/>
              </w:rPr>
              <w:t xml:space="preserve"> 43.7% (2016)</w:t>
            </w:r>
          </w:p>
          <w:p w14:paraId="43A65A26" w14:textId="712A9459" w:rsidR="007A2143" w:rsidRPr="006020CD" w:rsidRDefault="007A2143" w:rsidP="00425BCB">
            <w:pPr>
              <w:tabs>
                <w:tab w:val="left" w:pos="8789"/>
              </w:tabs>
              <w:jc w:val="both"/>
              <w:rPr>
                <w:sz w:val="16"/>
                <w:szCs w:val="16"/>
                <w:lang w:val="en-GB"/>
              </w:rPr>
            </w:pPr>
            <w:r w:rsidRPr="006020CD">
              <w:rPr>
                <w:b/>
                <w:sz w:val="16"/>
                <w:szCs w:val="16"/>
                <w:lang w:val="en-GB"/>
              </w:rPr>
              <w:t>Target</w:t>
            </w:r>
            <w:r w:rsidRPr="006020CD">
              <w:rPr>
                <w:sz w:val="16"/>
                <w:szCs w:val="16"/>
                <w:lang w:val="en-GB"/>
              </w:rPr>
              <w:t xml:space="preserve">: </w:t>
            </w:r>
            <w:r w:rsidR="00392044" w:rsidRPr="006020CD">
              <w:rPr>
                <w:sz w:val="16"/>
                <w:szCs w:val="16"/>
                <w:lang w:val="en-GB"/>
              </w:rPr>
              <w:t>45% (2023)</w:t>
            </w:r>
          </w:p>
          <w:p w14:paraId="5FDD3374" w14:textId="77777777" w:rsidR="007A2143" w:rsidRPr="006020CD" w:rsidRDefault="007A2143" w:rsidP="00425BCB">
            <w:pPr>
              <w:tabs>
                <w:tab w:val="left" w:pos="8789"/>
              </w:tabs>
              <w:jc w:val="both"/>
              <w:rPr>
                <w:sz w:val="16"/>
                <w:szCs w:val="16"/>
                <w:lang w:val="en-GB"/>
              </w:rPr>
            </w:pPr>
          </w:p>
          <w:p w14:paraId="440BC634" w14:textId="77777777" w:rsidR="008A146C" w:rsidRPr="006020CD" w:rsidRDefault="008A146C" w:rsidP="00425BCB">
            <w:pPr>
              <w:tabs>
                <w:tab w:val="left" w:pos="8789"/>
              </w:tabs>
              <w:jc w:val="both"/>
              <w:rPr>
                <w:sz w:val="16"/>
                <w:szCs w:val="16"/>
                <w:lang w:val="en-GB"/>
              </w:rPr>
            </w:pPr>
          </w:p>
          <w:p w14:paraId="12BF834C" w14:textId="45B8BF46" w:rsidR="00C96443" w:rsidRPr="006020CD" w:rsidRDefault="007A2143" w:rsidP="006020CD">
            <w:pPr>
              <w:tabs>
                <w:tab w:val="left" w:pos="8789"/>
              </w:tabs>
              <w:rPr>
                <w:sz w:val="16"/>
                <w:szCs w:val="16"/>
                <w:lang w:val="en-GB"/>
              </w:rPr>
            </w:pPr>
            <w:r w:rsidRPr="006020CD">
              <w:rPr>
                <w:sz w:val="16"/>
                <w:szCs w:val="16"/>
                <w:lang w:val="en-GB"/>
              </w:rPr>
              <w:t xml:space="preserve">UNPAF </w:t>
            </w:r>
            <w:r w:rsidR="005D0F13">
              <w:rPr>
                <w:sz w:val="16"/>
                <w:szCs w:val="16"/>
                <w:lang w:val="en-GB"/>
              </w:rPr>
              <w:t>i</w:t>
            </w:r>
            <w:r w:rsidRPr="006020CD">
              <w:rPr>
                <w:sz w:val="16"/>
                <w:szCs w:val="16"/>
                <w:lang w:val="en-GB"/>
              </w:rPr>
              <w:t xml:space="preserve">ndicator: </w:t>
            </w:r>
            <w:r w:rsidR="00C96443" w:rsidRPr="006020CD">
              <w:rPr>
                <w:sz w:val="16"/>
                <w:szCs w:val="16"/>
                <w:lang w:val="en-GB"/>
              </w:rPr>
              <w:t>Percentage of degraded land (proportion of land degraded over total land)</w:t>
            </w:r>
            <w:r w:rsidRPr="006020CD">
              <w:rPr>
                <w:sz w:val="16"/>
                <w:szCs w:val="16"/>
                <w:lang w:val="en-GB"/>
              </w:rPr>
              <w:t xml:space="preserve"> </w:t>
            </w:r>
            <w:r w:rsidRPr="006020CD">
              <w:rPr>
                <w:b/>
                <w:sz w:val="16"/>
                <w:szCs w:val="16"/>
                <w:lang w:val="en-GB"/>
              </w:rPr>
              <w:t>Baseline:</w:t>
            </w:r>
            <w:r w:rsidRPr="006020CD">
              <w:rPr>
                <w:sz w:val="16"/>
                <w:szCs w:val="16"/>
                <w:lang w:val="en-GB"/>
              </w:rPr>
              <w:t xml:space="preserve"> 20%</w:t>
            </w:r>
          </w:p>
          <w:p w14:paraId="581CBC3F" w14:textId="3915F5D1" w:rsidR="007A2143" w:rsidRPr="006020CD" w:rsidRDefault="007A2143" w:rsidP="00425BCB">
            <w:pPr>
              <w:tabs>
                <w:tab w:val="left" w:pos="8789"/>
              </w:tabs>
              <w:jc w:val="both"/>
              <w:rPr>
                <w:sz w:val="16"/>
                <w:szCs w:val="16"/>
                <w:lang w:val="en-GB"/>
              </w:rPr>
            </w:pPr>
            <w:r w:rsidRPr="006020CD">
              <w:rPr>
                <w:b/>
                <w:sz w:val="16"/>
                <w:szCs w:val="16"/>
                <w:lang w:val="en-GB"/>
              </w:rPr>
              <w:t xml:space="preserve">Target: </w:t>
            </w:r>
            <w:r w:rsidR="00392044" w:rsidRPr="006020CD">
              <w:rPr>
                <w:sz w:val="16"/>
                <w:szCs w:val="16"/>
                <w:lang w:val="en-GB"/>
              </w:rPr>
              <w:t>18% (2023)</w:t>
            </w:r>
          </w:p>
          <w:p w14:paraId="616E9B38" w14:textId="77777777" w:rsidR="007A2143" w:rsidRPr="006020CD" w:rsidRDefault="007A2143" w:rsidP="00425BCB">
            <w:pPr>
              <w:tabs>
                <w:tab w:val="left" w:pos="8789"/>
              </w:tabs>
              <w:jc w:val="both"/>
              <w:rPr>
                <w:sz w:val="16"/>
                <w:szCs w:val="16"/>
                <w:lang w:val="en-GB"/>
              </w:rPr>
            </w:pPr>
          </w:p>
          <w:p w14:paraId="6B45A77B" w14:textId="77777777" w:rsidR="00FF3A30" w:rsidRPr="006020CD" w:rsidRDefault="00FF3A30" w:rsidP="00425BCB">
            <w:pPr>
              <w:tabs>
                <w:tab w:val="left" w:pos="8789"/>
              </w:tabs>
              <w:jc w:val="both"/>
              <w:rPr>
                <w:sz w:val="16"/>
                <w:szCs w:val="16"/>
                <w:lang w:val="en-GB"/>
              </w:rPr>
            </w:pPr>
          </w:p>
          <w:p w14:paraId="6A37085A" w14:textId="77777777" w:rsidR="00FF3A30" w:rsidRPr="006020CD" w:rsidRDefault="00FF3A30" w:rsidP="00425BCB">
            <w:pPr>
              <w:tabs>
                <w:tab w:val="left" w:pos="8789"/>
              </w:tabs>
              <w:jc w:val="both"/>
              <w:rPr>
                <w:sz w:val="16"/>
                <w:szCs w:val="16"/>
                <w:lang w:val="en-GB"/>
              </w:rPr>
            </w:pPr>
          </w:p>
          <w:p w14:paraId="5C484979" w14:textId="77777777" w:rsidR="009B2527" w:rsidRPr="006020CD" w:rsidRDefault="009B2527" w:rsidP="00425BCB">
            <w:pPr>
              <w:tabs>
                <w:tab w:val="left" w:pos="8789"/>
              </w:tabs>
              <w:jc w:val="both"/>
              <w:rPr>
                <w:sz w:val="16"/>
                <w:szCs w:val="16"/>
                <w:lang w:val="en-GB"/>
              </w:rPr>
            </w:pPr>
          </w:p>
          <w:p w14:paraId="5C378C8F" w14:textId="33E36BB6" w:rsidR="00B55597" w:rsidRPr="006020CD" w:rsidRDefault="00B55597" w:rsidP="00425BCB">
            <w:pPr>
              <w:tabs>
                <w:tab w:val="left" w:pos="8789"/>
              </w:tabs>
              <w:jc w:val="both"/>
              <w:rPr>
                <w:sz w:val="16"/>
                <w:szCs w:val="16"/>
                <w:lang w:val="en-GB"/>
              </w:rPr>
            </w:pPr>
            <w:r w:rsidRPr="006020CD">
              <w:rPr>
                <w:b/>
                <w:sz w:val="16"/>
                <w:szCs w:val="16"/>
                <w:lang w:val="en-GB"/>
              </w:rPr>
              <w:t>2.</w:t>
            </w:r>
            <w:r w:rsidR="009B2527" w:rsidRPr="006020CD">
              <w:rPr>
                <w:b/>
                <w:sz w:val="16"/>
                <w:szCs w:val="16"/>
                <w:lang w:val="en-GB"/>
              </w:rPr>
              <w:t>2</w:t>
            </w:r>
            <w:r w:rsidRPr="006020CD">
              <w:rPr>
                <w:sz w:val="16"/>
                <w:szCs w:val="16"/>
                <w:lang w:val="en-GB"/>
              </w:rPr>
              <w:t xml:space="preserve"> Annual revenue generated from </w:t>
            </w:r>
            <w:r w:rsidR="0076785E">
              <w:rPr>
                <w:sz w:val="16"/>
                <w:szCs w:val="16"/>
                <w:lang w:val="en-GB"/>
              </w:rPr>
              <w:t>Protected Areas</w:t>
            </w:r>
            <w:r w:rsidR="0076785E" w:rsidRPr="006020CD">
              <w:rPr>
                <w:sz w:val="16"/>
                <w:szCs w:val="16"/>
                <w:lang w:val="en-GB"/>
              </w:rPr>
              <w:t xml:space="preserve"> </w:t>
            </w:r>
            <w:r w:rsidRPr="006020CD">
              <w:rPr>
                <w:sz w:val="16"/>
                <w:szCs w:val="16"/>
                <w:lang w:val="en-GB"/>
              </w:rPr>
              <w:t>and CBNRM</w:t>
            </w:r>
          </w:p>
          <w:p w14:paraId="5A182F7A" w14:textId="5B8EAA75" w:rsidR="00B55597" w:rsidRPr="006020CD" w:rsidRDefault="00B55597" w:rsidP="00425BCB">
            <w:pPr>
              <w:tabs>
                <w:tab w:val="left" w:pos="8789"/>
              </w:tabs>
              <w:jc w:val="both"/>
              <w:rPr>
                <w:sz w:val="16"/>
                <w:szCs w:val="16"/>
                <w:lang w:val="en-GB"/>
              </w:rPr>
            </w:pPr>
            <w:r w:rsidRPr="006020CD">
              <w:rPr>
                <w:b/>
                <w:sz w:val="16"/>
                <w:szCs w:val="16"/>
                <w:lang w:val="en-GB"/>
              </w:rPr>
              <w:t>Baseline</w:t>
            </w:r>
            <w:r w:rsidRPr="006020CD">
              <w:rPr>
                <w:sz w:val="16"/>
                <w:szCs w:val="16"/>
                <w:lang w:val="en-GB"/>
              </w:rPr>
              <w:t xml:space="preserve">: </w:t>
            </w:r>
            <w:r w:rsidR="00392044" w:rsidRPr="006020CD">
              <w:rPr>
                <w:sz w:val="16"/>
                <w:szCs w:val="16"/>
                <w:lang w:val="en-GB"/>
              </w:rPr>
              <w:t xml:space="preserve">NAD </w:t>
            </w:r>
            <w:r w:rsidRPr="006020CD">
              <w:rPr>
                <w:sz w:val="16"/>
                <w:szCs w:val="16"/>
                <w:lang w:val="en-GB"/>
              </w:rPr>
              <w:t>147.4</w:t>
            </w:r>
            <w:r w:rsidR="0018056C">
              <w:rPr>
                <w:sz w:val="16"/>
                <w:szCs w:val="16"/>
                <w:lang w:val="en-GB"/>
              </w:rPr>
              <w:t xml:space="preserve"> million</w:t>
            </w:r>
            <w:r w:rsidRPr="006020CD">
              <w:rPr>
                <w:sz w:val="16"/>
                <w:szCs w:val="16"/>
                <w:lang w:val="en-GB"/>
              </w:rPr>
              <w:t xml:space="preserve"> </w:t>
            </w:r>
            <w:r w:rsidR="004D54AD" w:rsidRPr="006020CD">
              <w:rPr>
                <w:sz w:val="16"/>
                <w:szCs w:val="16"/>
                <w:lang w:val="en-GB"/>
              </w:rPr>
              <w:t>(2014)</w:t>
            </w:r>
          </w:p>
          <w:p w14:paraId="0ECCA0A6" w14:textId="2C75AC2A" w:rsidR="00FF3A30" w:rsidRPr="006020CD" w:rsidRDefault="00B55597" w:rsidP="0018056C">
            <w:pPr>
              <w:tabs>
                <w:tab w:val="left" w:pos="8789"/>
              </w:tabs>
              <w:jc w:val="both"/>
              <w:rPr>
                <w:sz w:val="16"/>
                <w:szCs w:val="16"/>
                <w:lang w:val="en-GB"/>
              </w:rPr>
            </w:pPr>
            <w:r w:rsidRPr="006020CD">
              <w:rPr>
                <w:b/>
                <w:sz w:val="16"/>
                <w:szCs w:val="16"/>
                <w:lang w:val="en-GB"/>
              </w:rPr>
              <w:t>Targets</w:t>
            </w:r>
            <w:r w:rsidRPr="006020CD">
              <w:rPr>
                <w:sz w:val="16"/>
                <w:szCs w:val="16"/>
                <w:lang w:val="en-GB"/>
              </w:rPr>
              <w:t xml:space="preserve">: </w:t>
            </w:r>
            <w:r w:rsidR="00392044" w:rsidRPr="006020CD">
              <w:rPr>
                <w:sz w:val="16"/>
                <w:szCs w:val="16"/>
                <w:lang w:val="en-GB"/>
              </w:rPr>
              <w:t xml:space="preserve">NAD </w:t>
            </w:r>
            <w:r w:rsidRPr="006020CD">
              <w:rPr>
                <w:sz w:val="16"/>
                <w:szCs w:val="16"/>
                <w:lang w:val="en-GB"/>
              </w:rPr>
              <w:t xml:space="preserve">296.3 </w:t>
            </w:r>
            <w:r w:rsidR="0018056C">
              <w:rPr>
                <w:sz w:val="16"/>
                <w:szCs w:val="16"/>
                <w:lang w:val="en-GB"/>
              </w:rPr>
              <w:t xml:space="preserve">million </w:t>
            </w:r>
            <w:r w:rsidR="00030D96" w:rsidRPr="006020CD">
              <w:rPr>
                <w:sz w:val="16"/>
                <w:szCs w:val="16"/>
                <w:lang w:val="en-GB"/>
              </w:rPr>
              <w:t>(2022)</w:t>
            </w:r>
          </w:p>
        </w:tc>
        <w:tc>
          <w:tcPr>
            <w:tcW w:w="791" w:type="pct"/>
            <w:tcBorders>
              <w:bottom w:val="single" w:sz="4" w:space="0" w:color="auto"/>
            </w:tcBorders>
          </w:tcPr>
          <w:p w14:paraId="4ECE60BF" w14:textId="395AA12C" w:rsidR="007A2143" w:rsidRPr="00074002" w:rsidRDefault="007A2143" w:rsidP="006020CD">
            <w:pPr>
              <w:tabs>
                <w:tab w:val="left" w:pos="8789"/>
              </w:tabs>
              <w:rPr>
                <w:iCs/>
                <w:sz w:val="16"/>
                <w:szCs w:val="16"/>
                <w:lang w:val="en-GB"/>
              </w:rPr>
            </w:pPr>
            <w:r w:rsidRPr="00074002">
              <w:rPr>
                <w:b/>
                <w:iCs/>
                <w:sz w:val="16"/>
                <w:szCs w:val="16"/>
                <w:lang w:val="en-GB"/>
              </w:rPr>
              <w:t xml:space="preserve">Data </w:t>
            </w:r>
            <w:r w:rsidRPr="0089780F">
              <w:rPr>
                <w:b/>
                <w:sz w:val="16"/>
                <w:szCs w:val="16"/>
                <w:lang w:val="en-GB"/>
              </w:rPr>
              <w:t>source</w:t>
            </w:r>
            <w:r w:rsidRPr="006020CD">
              <w:rPr>
                <w:b/>
                <w:sz w:val="16"/>
                <w:szCs w:val="16"/>
                <w:lang w:val="en-GB"/>
              </w:rPr>
              <w:t>:</w:t>
            </w:r>
            <w:r w:rsidRPr="0089780F">
              <w:rPr>
                <w:sz w:val="16"/>
                <w:szCs w:val="16"/>
                <w:lang w:val="en-GB"/>
              </w:rPr>
              <w:t xml:space="preserve"> </w:t>
            </w:r>
            <w:r w:rsidR="00801CB5" w:rsidRPr="006020CD">
              <w:rPr>
                <w:sz w:val="16"/>
                <w:szCs w:val="16"/>
                <w:lang w:val="en-GB"/>
              </w:rPr>
              <w:t>Namibian Association of CBNRM Support Organizations</w:t>
            </w:r>
            <w:r w:rsidRPr="00074002">
              <w:rPr>
                <w:iCs/>
                <w:sz w:val="16"/>
                <w:szCs w:val="16"/>
                <w:lang w:val="en-GB"/>
              </w:rPr>
              <w:t xml:space="preserve"> </w:t>
            </w:r>
          </w:p>
          <w:p w14:paraId="5E625EC5" w14:textId="77777777" w:rsidR="007A2143" w:rsidRPr="00296CEA" w:rsidRDefault="007A2143" w:rsidP="006020CD">
            <w:pPr>
              <w:tabs>
                <w:tab w:val="left" w:pos="8789"/>
              </w:tabs>
              <w:rPr>
                <w:iCs/>
                <w:sz w:val="16"/>
                <w:szCs w:val="16"/>
                <w:lang w:val="en-GB"/>
              </w:rPr>
            </w:pPr>
            <w:r w:rsidRPr="00074002">
              <w:rPr>
                <w:b/>
                <w:iCs/>
                <w:sz w:val="16"/>
                <w:szCs w:val="16"/>
                <w:lang w:val="en-GB"/>
              </w:rPr>
              <w:t>Frequency</w:t>
            </w:r>
            <w:r w:rsidRPr="00074002">
              <w:rPr>
                <w:iCs/>
                <w:sz w:val="16"/>
                <w:szCs w:val="16"/>
                <w:lang w:val="en-GB"/>
              </w:rPr>
              <w:t xml:space="preserve">: Annual </w:t>
            </w:r>
          </w:p>
          <w:p w14:paraId="7EDA8E2B" w14:textId="77777777" w:rsidR="00FF3A30" w:rsidRPr="00296CEA" w:rsidRDefault="00FF3A30" w:rsidP="006020CD">
            <w:pPr>
              <w:tabs>
                <w:tab w:val="left" w:pos="8789"/>
              </w:tabs>
              <w:rPr>
                <w:iCs/>
                <w:sz w:val="16"/>
                <w:szCs w:val="16"/>
                <w:lang w:val="en-GB"/>
              </w:rPr>
            </w:pPr>
          </w:p>
          <w:p w14:paraId="218D0953" w14:textId="77777777" w:rsidR="00FF3A30" w:rsidRPr="00296CEA" w:rsidRDefault="00FF3A30" w:rsidP="006020CD">
            <w:pPr>
              <w:tabs>
                <w:tab w:val="left" w:pos="8789"/>
              </w:tabs>
              <w:rPr>
                <w:iCs/>
                <w:sz w:val="16"/>
                <w:szCs w:val="16"/>
                <w:lang w:val="en-GB"/>
              </w:rPr>
            </w:pPr>
          </w:p>
          <w:p w14:paraId="3AAB78D0" w14:textId="77777777" w:rsidR="007A2143" w:rsidRPr="00296CEA" w:rsidRDefault="007A2143" w:rsidP="006020CD">
            <w:pPr>
              <w:tabs>
                <w:tab w:val="left" w:pos="8789"/>
              </w:tabs>
              <w:rPr>
                <w:b/>
                <w:iCs/>
                <w:sz w:val="16"/>
                <w:szCs w:val="16"/>
                <w:lang w:val="en-GB"/>
              </w:rPr>
            </w:pPr>
          </w:p>
          <w:p w14:paraId="5F469E39" w14:textId="77777777" w:rsidR="007A2143" w:rsidRPr="00296CEA" w:rsidRDefault="007A2143" w:rsidP="006020CD">
            <w:pPr>
              <w:tabs>
                <w:tab w:val="left" w:pos="8789"/>
              </w:tabs>
              <w:rPr>
                <w:b/>
                <w:iCs/>
                <w:sz w:val="16"/>
                <w:szCs w:val="16"/>
                <w:lang w:val="en-GB"/>
              </w:rPr>
            </w:pPr>
          </w:p>
          <w:p w14:paraId="3330E8AB" w14:textId="77777777" w:rsidR="007A2143" w:rsidRPr="00A01544" w:rsidRDefault="007A2143" w:rsidP="006020CD">
            <w:pPr>
              <w:tabs>
                <w:tab w:val="left" w:pos="8789"/>
              </w:tabs>
              <w:rPr>
                <w:b/>
                <w:iCs/>
                <w:sz w:val="16"/>
                <w:szCs w:val="16"/>
                <w:lang w:val="en-GB"/>
              </w:rPr>
            </w:pPr>
          </w:p>
          <w:p w14:paraId="51517C2D" w14:textId="77777777" w:rsidR="00021825" w:rsidRPr="00A01544" w:rsidRDefault="00021825" w:rsidP="006020CD">
            <w:pPr>
              <w:tabs>
                <w:tab w:val="left" w:pos="8789"/>
              </w:tabs>
              <w:rPr>
                <w:b/>
                <w:iCs/>
                <w:sz w:val="16"/>
                <w:szCs w:val="16"/>
                <w:lang w:val="en-GB"/>
              </w:rPr>
            </w:pPr>
          </w:p>
          <w:p w14:paraId="7AFBA502" w14:textId="77777777" w:rsidR="00021825" w:rsidRPr="00A01544" w:rsidRDefault="00021825" w:rsidP="006020CD">
            <w:pPr>
              <w:tabs>
                <w:tab w:val="left" w:pos="8789"/>
              </w:tabs>
              <w:rPr>
                <w:b/>
                <w:iCs/>
                <w:sz w:val="16"/>
                <w:szCs w:val="16"/>
                <w:lang w:val="en-GB"/>
              </w:rPr>
            </w:pPr>
          </w:p>
          <w:p w14:paraId="1E9193AA" w14:textId="77777777" w:rsidR="00021825" w:rsidRPr="00A01544" w:rsidRDefault="00021825" w:rsidP="006020CD">
            <w:pPr>
              <w:tabs>
                <w:tab w:val="left" w:pos="8789"/>
              </w:tabs>
              <w:rPr>
                <w:b/>
                <w:iCs/>
                <w:sz w:val="16"/>
                <w:szCs w:val="16"/>
                <w:lang w:val="en-GB"/>
              </w:rPr>
            </w:pPr>
          </w:p>
          <w:p w14:paraId="197045E2" w14:textId="77777777" w:rsidR="00021825" w:rsidRPr="00A01544" w:rsidRDefault="00021825" w:rsidP="006020CD">
            <w:pPr>
              <w:tabs>
                <w:tab w:val="left" w:pos="8789"/>
              </w:tabs>
              <w:rPr>
                <w:b/>
                <w:iCs/>
                <w:sz w:val="16"/>
                <w:szCs w:val="16"/>
                <w:lang w:val="en-GB"/>
              </w:rPr>
            </w:pPr>
          </w:p>
          <w:p w14:paraId="3A75ED6E" w14:textId="77777777" w:rsidR="00021825" w:rsidRPr="00A01544" w:rsidRDefault="00021825" w:rsidP="006020CD">
            <w:pPr>
              <w:tabs>
                <w:tab w:val="left" w:pos="8789"/>
              </w:tabs>
              <w:rPr>
                <w:b/>
                <w:iCs/>
                <w:sz w:val="16"/>
                <w:szCs w:val="16"/>
                <w:lang w:val="en-GB"/>
              </w:rPr>
            </w:pPr>
          </w:p>
          <w:p w14:paraId="610F1BA6" w14:textId="77777777" w:rsidR="00021825" w:rsidRPr="00A01544" w:rsidRDefault="00021825" w:rsidP="006020CD">
            <w:pPr>
              <w:tabs>
                <w:tab w:val="left" w:pos="8789"/>
              </w:tabs>
              <w:rPr>
                <w:b/>
                <w:iCs/>
                <w:sz w:val="16"/>
                <w:szCs w:val="16"/>
                <w:lang w:val="en-GB"/>
              </w:rPr>
            </w:pPr>
          </w:p>
          <w:p w14:paraId="765ABA8A" w14:textId="242CD3E1" w:rsidR="00FF3A30" w:rsidRPr="00A01544" w:rsidRDefault="00FF3A30" w:rsidP="006020CD">
            <w:pPr>
              <w:tabs>
                <w:tab w:val="left" w:pos="8789"/>
              </w:tabs>
              <w:rPr>
                <w:iCs/>
                <w:sz w:val="16"/>
                <w:szCs w:val="16"/>
                <w:lang w:val="en-GB"/>
              </w:rPr>
            </w:pPr>
            <w:r w:rsidRPr="00A01544">
              <w:rPr>
                <w:b/>
                <w:iCs/>
                <w:sz w:val="16"/>
                <w:szCs w:val="16"/>
                <w:lang w:val="en-GB"/>
              </w:rPr>
              <w:t>Data source</w:t>
            </w:r>
            <w:r w:rsidR="00832F58">
              <w:rPr>
                <w:b/>
                <w:iCs/>
                <w:sz w:val="16"/>
                <w:szCs w:val="16"/>
                <w:lang w:val="en-GB"/>
              </w:rPr>
              <w:t>s</w:t>
            </w:r>
            <w:r w:rsidRPr="00A01544">
              <w:rPr>
                <w:b/>
                <w:iCs/>
                <w:sz w:val="16"/>
                <w:szCs w:val="16"/>
                <w:lang w:val="en-GB"/>
              </w:rPr>
              <w:t xml:space="preserve">: </w:t>
            </w:r>
            <w:r w:rsidR="00C96443" w:rsidRPr="00A01544">
              <w:rPr>
                <w:iCs/>
                <w:sz w:val="16"/>
                <w:szCs w:val="16"/>
                <w:lang w:val="en-GB"/>
              </w:rPr>
              <w:t>MAWF</w:t>
            </w:r>
            <w:r w:rsidR="00392044" w:rsidRPr="00A01544">
              <w:rPr>
                <w:iCs/>
                <w:sz w:val="16"/>
                <w:szCs w:val="16"/>
                <w:lang w:val="en-GB"/>
              </w:rPr>
              <w:t xml:space="preserve">, </w:t>
            </w:r>
            <w:r w:rsidR="00801CB5" w:rsidRPr="006020CD">
              <w:rPr>
                <w:iCs/>
                <w:sz w:val="16"/>
                <w:szCs w:val="16"/>
                <w:lang w:val="en-GB"/>
              </w:rPr>
              <w:t>Land Degradation Neutrality</w:t>
            </w:r>
            <w:r w:rsidR="00801CB5" w:rsidRPr="00A01544">
              <w:rPr>
                <w:iCs/>
                <w:sz w:val="16"/>
                <w:szCs w:val="16"/>
                <w:lang w:val="en-GB"/>
              </w:rPr>
              <w:t xml:space="preserve"> </w:t>
            </w:r>
            <w:r w:rsidR="00801CB5">
              <w:rPr>
                <w:iCs/>
                <w:sz w:val="16"/>
                <w:szCs w:val="16"/>
                <w:lang w:val="en-GB"/>
              </w:rPr>
              <w:t>(</w:t>
            </w:r>
            <w:r w:rsidR="00392044" w:rsidRPr="00A01544">
              <w:rPr>
                <w:iCs/>
                <w:sz w:val="16"/>
                <w:szCs w:val="16"/>
                <w:lang w:val="en-GB"/>
              </w:rPr>
              <w:t>LDN</w:t>
            </w:r>
            <w:r w:rsidR="00801CB5">
              <w:rPr>
                <w:iCs/>
                <w:sz w:val="16"/>
                <w:szCs w:val="16"/>
                <w:lang w:val="en-GB"/>
              </w:rPr>
              <w:t>)</w:t>
            </w:r>
            <w:r w:rsidR="00392044" w:rsidRPr="00A01544">
              <w:rPr>
                <w:iCs/>
                <w:sz w:val="16"/>
                <w:szCs w:val="16"/>
                <w:lang w:val="en-GB"/>
              </w:rPr>
              <w:t xml:space="preserve"> </w:t>
            </w:r>
            <w:r w:rsidR="00801CB5">
              <w:rPr>
                <w:iCs/>
                <w:sz w:val="16"/>
                <w:szCs w:val="16"/>
                <w:lang w:val="en-GB"/>
              </w:rPr>
              <w:t>r</w:t>
            </w:r>
            <w:r w:rsidR="00392044" w:rsidRPr="00A01544">
              <w:rPr>
                <w:iCs/>
                <w:sz w:val="16"/>
                <w:szCs w:val="16"/>
                <w:lang w:val="en-GB"/>
              </w:rPr>
              <w:t>eport</w:t>
            </w:r>
          </w:p>
          <w:p w14:paraId="11B338D8" w14:textId="198AD2AB" w:rsidR="00FF3A30" w:rsidRPr="006020CD" w:rsidRDefault="00FF3A30" w:rsidP="006020CD">
            <w:pPr>
              <w:tabs>
                <w:tab w:val="left" w:pos="8789"/>
              </w:tabs>
              <w:rPr>
                <w:iCs/>
                <w:sz w:val="16"/>
                <w:szCs w:val="16"/>
                <w:lang w:val="en-GB"/>
              </w:rPr>
            </w:pPr>
            <w:r w:rsidRPr="00A01544">
              <w:rPr>
                <w:b/>
                <w:iCs/>
                <w:sz w:val="16"/>
                <w:szCs w:val="16"/>
                <w:lang w:val="en-GB"/>
              </w:rPr>
              <w:t>Frequency:</w:t>
            </w:r>
            <w:r w:rsidRPr="006020CD">
              <w:rPr>
                <w:b/>
                <w:iCs/>
                <w:sz w:val="16"/>
                <w:szCs w:val="16"/>
                <w:lang w:val="en-GB"/>
              </w:rPr>
              <w:t xml:space="preserve"> </w:t>
            </w:r>
            <w:r w:rsidR="00392044" w:rsidRPr="006020CD">
              <w:rPr>
                <w:iCs/>
                <w:sz w:val="16"/>
                <w:szCs w:val="16"/>
                <w:lang w:val="en-GB"/>
              </w:rPr>
              <w:t xml:space="preserve">Biennial </w:t>
            </w:r>
          </w:p>
          <w:p w14:paraId="239881EC" w14:textId="77777777" w:rsidR="00FF3A30" w:rsidRPr="006020CD" w:rsidRDefault="00FF3A30" w:rsidP="006020CD">
            <w:pPr>
              <w:tabs>
                <w:tab w:val="left" w:pos="8789"/>
              </w:tabs>
              <w:rPr>
                <w:iCs/>
                <w:sz w:val="16"/>
                <w:szCs w:val="16"/>
                <w:lang w:val="en-GB"/>
              </w:rPr>
            </w:pPr>
          </w:p>
          <w:p w14:paraId="2CBD1134" w14:textId="77777777" w:rsidR="00FF3A30" w:rsidRPr="00074002" w:rsidRDefault="00FF3A30" w:rsidP="006020CD">
            <w:pPr>
              <w:tabs>
                <w:tab w:val="left" w:pos="8789"/>
              </w:tabs>
              <w:rPr>
                <w:iCs/>
                <w:sz w:val="16"/>
                <w:szCs w:val="16"/>
                <w:lang w:val="en-GB"/>
              </w:rPr>
            </w:pPr>
          </w:p>
          <w:p w14:paraId="6C49C2E4" w14:textId="77777777" w:rsidR="00FF3A30" w:rsidRPr="00074002" w:rsidRDefault="00FF3A30" w:rsidP="006020CD">
            <w:pPr>
              <w:tabs>
                <w:tab w:val="left" w:pos="8789"/>
              </w:tabs>
              <w:rPr>
                <w:iCs/>
                <w:sz w:val="16"/>
                <w:szCs w:val="16"/>
                <w:lang w:val="en-GB"/>
              </w:rPr>
            </w:pPr>
          </w:p>
          <w:p w14:paraId="64C69E36" w14:textId="77777777" w:rsidR="00FF3A30" w:rsidRPr="00074002" w:rsidRDefault="00FF3A30" w:rsidP="006020CD">
            <w:pPr>
              <w:tabs>
                <w:tab w:val="left" w:pos="8789"/>
              </w:tabs>
              <w:rPr>
                <w:iCs/>
                <w:sz w:val="16"/>
                <w:szCs w:val="16"/>
                <w:lang w:val="en-GB"/>
              </w:rPr>
            </w:pPr>
          </w:p>
          <w:p w14:paraId="32B06159" w14:textId="77777777" w:rsidR="00FF3A30" w:rsidRPr="00074002" w:rsidRDefault="00FF3A30" w:rsidP="006020CD">
            <w:pPr>
              <w:tabs>
                <w:tab w:val="left" w:pos="8789"/>
              </w:tabs>
              <w:rPr>
                <w:iCs/>
                <w:sz w:val="16"/>
                <w:szCs w:val="16"/>
                <w:lang w:val="en-GB"/>
              </w:rPr>
            </w:pPr>
          </w:p>
          <w:p w14:paraId="4D2162AA" w14:textId="77777777" w:rsidR="00F1370A" w:rsidRPr="00296CEA" w:rsidRDefault="00F1370A" w:rsidP="006020CD">
            <w:pPr>
              <w:tabs>
                <w:tab w:val="left" w:pos="8789"/>
              </w:tabs>
              <w:rPr>
                <w:b/>
                <w:iCs/>
                <w:sz w:val="16"/>
                <w:szCs w:val="16"/>
                <w:lang w:val="en-GB"/>
              </w:rPr>
            </w:pPr>
          </w:p>
          <w:p w14:paraId="14D2ECED" w14:textId="77777777" w:rsidR="00F1370A" w:rsidRPr="00296CEA" w:rsidRDefault="00F1370A" w:rsidP="006020CD">
            <w:pPr>
              <w:tabs>
                <w:tab w:val="left" w:pos="8789"/>
              </w:tabs>
              <w:rPr>
                <w:b/>
                <w:iCs/>
                <w:sz w:val="16"/>
                <w:szCs w:val="16"/>
                <w:lang w:val="en-GB"/>
              </w:rPr>
            </w:pPr>
          </w:p>
          <w:p w14:paraId="3393641B" w14:textId="671D80F7" w:rsidR="00FF3A30" w:rsidRPr="00A01544" w:rsidRDefault="00FF3A30" w:rsidP="006020CD">
            <w:pPr>
              <w:tabs>
                <w:tab w:val="left" w:pos="8789"/>
              </w:tabs>
              <w:rPr>
                <w:iCs/>
                <w:sz w:val="16"/>
                <w:szCs w:val="16"/>
                <w:lang w:val="en-GB"/>
              </w:rPr>
            </w:pPr>
            <w:r w:rsidRPr="00296CEA">
              <w:rPr>
                <w:b/>
                <w:iCs/>
                <w:sz w:val="16"/>
                <w:szCs w:val="16"/>
                <w:lang w:val="en-GB"/>
              </w:rPr>
              <w:t>Data source</w:t>
            </w:r>
            <w:r w:rsidR="00832F58">
              <w:rPr>
                <w:b/>
                <w:iCs/>
                <w:sz w:val="16"/>
                <w:szCs w:val="16"/>
                <w:lang w:val="en-GB"/>
              </w:rPr>
              <w:t>s</w:t>
            </w:r>
            <w:r w:rsidRPr="00296CEA">
              <w:rPr>
                <w:b/>
                <w:iCs/>
                <w:sz w:val="16"/>
                <w:szCs w:val="16"/>
                <w:lang w:val="en-GB"/>
              </w:rPr>
              <w:t>:</w:t>
            </w:r>
            <w:r w:rsidRPr="00296CEA">
              <w:rPr>
                <w:iCs/>
                <w:sz w:val="16"/>
                <w:szCs w:val="16"/>
                <w:lang w:val="en-GB"/>
              </w:rPr>
              <w:t xml:space="preserve"> </w:t>
            </w:r>
            <w:r w:rsidR="00E37228" w:rsidRPr="00A01544">
              <w:rPr>
                <w:iCs/>
                <w:sz w:val="16"/>
                <w:szCs w:val="16"/>
                <w:lang w:val="en-GB"/>
              </w:rPr>
              <w:t>NDP5</w:t>
            </w:r>
            <w:r w:rsidR="00EF5E52" w:rsidRPr="00A01544">
              <w:rPr>
                <w:iCs/>
                <w:sz w:val="16"/>
                <w:szCs w:val="16"/>
                <w:lang w:val="en-GB"/>
              </w:rPr>
              <w:t>, Nat</w:t>
            </w:r>
            <w:r w:rsidR="0076785E">
              <w:rPr>
                <w:iCs/>
                <w:sz w:val="16"/>
                <w:szCs w:val="16"/>
                <w:lang w:val="en-GB"/>
              </w:rPr>
              <w:t>ional</w:t>
            </w:r>
            <w:r w:rsidR="00EF5E52" w:rsidRPr="00A01544">
              <w:rPr>
                <w:iCs/>
                <w:sz w:val="16"/>
                <w:szCs w:val="16"/>
                <w:lang w:val="en-GB"/>
              </w:rPr>
              <w:t xml:space="preserve"> </w:t>
            </w:r>
            <w:r w:rsidR="00801CB5">
              <w:rPr>
                <w:iCs/>
                <w:sz w:val="16"/>
                <w:szCs w:val="16"/>
                <w:lang w:val="en-GB"/>
              </w:rPr>
              <w:t>A</w:t>
            </w:r>
            <w:r w:rsidR="00EF5E52" w:rsidRPr="00A01544">
              <w:rPr>
                <w:iCs/>
                <w:sz w:val="16"/>
                <w:szCs w:val="16"/>
                <w:lang w:val="en-GB"/>
              </w:rPr>
              <w:t xml:space="preserve">ccounts </w:t>
            </w:r>
          </w:p>
          <w:p w14:paraId="3874324E" w14:textId="77777777" w:rsidR="00FF3A30" w:rsidRPr="00A01544" w:rsidRDefault="00FF3A30" w:rsidP="006020CD">
            <w:pPr>
              <w:tabs>
                <w:tab w:val="left" w:pos="8789"/>
              </w:tabs>
              <w:rPr>
                <w:iCs/>
                <w:sz w:val="16"/>
                <w:szCs w:val="16"/>
                <w:lang w:val="en-GB"/>
              </w:rPr>
            </w:pPr>
            <w:r w:rsidRPr="00A01544">
              <w:rPr>
                <w:b/>
                <w:iCs/>
                <w:sz w:val="16"/>
                <w:szCs w:val="16"/>
                <w:lang w:val="en-GB"/>
              </w:rPr>
              <w:t>Frequency:</w:t>
            </w:r>
            <w:r w:rsidRPr="00A01544">
              <w:rPr>
                <w:iCs/>
                <w:sz w:val="16"/>
                <w:szCs w:val="16"/>
                <w:lang w:val="en-GB"/>
              </w:rPr>
              <w:t xml:space="preserve"> </w:t>
            </w:r>
            <w:r w:rsidR="00B55597" w:rsidRPr="00A01544">
              <w:rPr>
                <w:iCs/>
                <w:sz w:val="16"/>
                <w:szCs w:val="16"/>
                <w:lang w:val="en-GB"/>
              </w:rPr>
              <w:t>Annual</w:t>
            </w:r>
          </w:p>
          <w:p w14:paraId="5CBAB3A6" w14:textId="77777777" w:rsidR="00FF3A30" w:rsidRPr="00A01544" w:rsidRDefault="00FF3A30" w:rsidP="006020CD">
            <w:pPr>
              <w:tabs>
                <w:tab w:val="left" w:pos="8789"/>
              </w:tabs>
              <w:rPr>
                <w:iCs/>
                <w:sz w:val="16"/>
                <w:szCs w:val="16"/>
                <w:lang w:val="en-GB"/>
              </w:rPr>
            </w:pPr>
            <w:r w:rsidRPr="00A01544">
              <w:rPr>
                <w:iCs/>
                <w:sz w:val="16"/>
                <w:szCs w:val="16"/>
                <w:lang w:val="en-GB"/>
              </w:rPr>
              <w:t xml:space="preserve"> </w:t>
            </w:r>
          </w:p>
        </w:tc>
        <w:tc>
          <w:tcPr>
            <w:tcW w:w="2373" w:type="pct"/>
            <w:tcBorders>
              <w:bottom w:val="single" w:sz="4" w:space="0" w:color="auto"/>
            </w:tcBorders>
            <w:tcMar>
              <w:top w:w="72" w:type="dxa"/>
              <w:left w:w="144" w:type="dxa"/>
              <w:bottom w:w="72" w:type="dxa"/>
              <w:right w:w="144" w:type="dxa"/>
            </w:tcMar>
          </w:tcPr>
          <w:p w14:paraId="018AD4EE" w14:textId="7863BA79" w:rsidR="00E0280C" w:rsidRPr="006020CD" w:rsidRDefault="001B44C8" w:rsidP="006020CD">
            <w:pPr>
              <w:jc w:val="both"/>
              <w:rPr>
                <w:rFonts w:ascii="MS PGothic" w:eastAsia="MS PGothic" w:hAnsi="MS PGothic" w:cs="MS PGothic"/>
                <w:sz w:val="24"/>
                <w:szCs w:val="24"/>
                <w:lang w:val="en-GB" w:eastAsia="ja-JP"/>
              </w:rPr>
            </w:pPr>
            <w:r w:rsidRPr="006020CD">
              <w:rPr>
                <w:b/>
                <w:sz w:val="16"/>
                <w:szCs w:val="16"/>
                <w:lang w:val="en-GB"/>
              </w:rPr>
              <w:t>Output 2.1</w:t>
            </w:r>
            <w:r w:rsidR="0018056C">
              <w:rPr>
                <w:b/>
                <w:sz w:val="16"/>
                <w:szCs w:val="16"/>
                <w:lang w:val="en-GB"/>
              </w:rPr>
              <w:t>.</w:t>
            </w:r>
            <w:r w:rsidR="00E0280C" w:rsidRPr="006020CD">
              <w:rPr>
                <w:b/>
                <w:sz w:val="16"/>
                <w:szCs w:val="16"/>
                <w:lang w:val="en-GB"/>
              </w:rPr>
              <w:t xml:space="preserve"> </w:t>
            </w:r>
            <w:r w:rsidR="00E0280C" w:rsidRPr="006020CD">
              <w:rPr>
                <w:i/>
                <w:sz w:val="16"/>
                <w:szCs w:val="16"/>
                <w:lang w:val="en-GB"/>
              </w:rPr>
              <w:t>Relevant policies, regulatory frameworks and institutions enabled to ensure the conservation, sustainable use, access and benefit</w:t>
            </w:r>
            <w:r w:rsidR="0018056C">
              <w:rPr>
                <w:i/>
                <w:sz w:val="16"/>
                <w:szCs w:val="16"/>
                <w:lang w:val="en-GB"/>
              </w:rPr>
              <w:t>-</w:t>
            </w:r>
            <w:r w:rsidR="00E0280C" w:rsidRPr="006020CD">
              <w:rPr>
                <w:i/>
                <w:sz w:val="16"/>
                <w:szCs w:val="16"/>
                <w:lang w:val="en-GB"/>
              </w:rPr>
              <w:t>sharing of natural resources, biodiversity and ecosystems, in line with international conventions and national legislation</w:t>
            </w:r>
            <w:r w:rsidR="0018056C">
              <w:rPr>
                <w:i/>
                <w:sz w:val="16"/>
                <w:szCs w:val="16"/>
                <w:lang w:val="en-GB"/>
              </w:rPr>
              <w:t>.</w:t>
            </w:r>
            <w:r w:rsidR="00E0280C" w:rsidRPr="006020CD">
              <w:rPr>
                <w:sz w:val="16"/>
                <w:szCs w:val="16"/>
                <w:lang w:val="en-GB"/>
              </w:rPr>
              <w:t xml:space="preserve"> </w:t>
            </w:r>
            <w:r w:rsidR="00E0280C" w:rsidRPr="006020CD">
              <w:rPr>
                <w:rFonts w:ascii="MS PGothic" w:eastAsia="MS PGothic" w:hAnsi="MS PGothic" w:cs="MS PGothic"/>
                <w:sz w:val="24"/>
                <w:szCs w:val="24"/>
                <w:lang w:val="en-GB" w:eastAsia="ja-JP"/>
              </w:rPr>
              <w:t xml:space="preserve"> </w:t>
            </w:r>
          </w:p>
          <w:p w14:paraId="461757F9" w14:textId="77777777" w:rsidR="00FF3A30" w:rsidRPr="006020CD" w:rsidRDefault="00FF3A30" w:rsidP="0089780F">
            <w:pPr>
              <w:tabs>
                <w:tab w:val="left" w:pos="8789"/>
              </w:tabs>
              <w:spacing w:line="276" w:lineRule="auto"/>
              <w:contextualSpacing/>
              <w:jc w:val="both"/>
              <w:rPr>
                <w:b/>
                <w:sz w:val="16"/>
                <w:szCs w:val="16"/>
                <w:lang w:val="en-GB"/>
              </w:rPr>
            </w:pPr>
          </w:p>
          <w:p w14:paraId="0896B711" w14:textId="074B7CD7" w:rsidR="00B3722F" w:rsidRPr="006020CD" w:rsidRDefault="00B3722F">
            <w:pPr>
              <w:tabs>
                <w:tab w:val="left" w:pos="8789"/>
              </w:tabs>
              <w:spacing w:line="276" w:lineRule="auto"/>
              <w:jc w:val="both"/>
              <w:rPr>
                <w:sz w:val="16"/>
                <w:szCs w:val="16"/>
                <w:lang w:val="en-GB"/>
              </w:rPr>
            </w:pPr>
            <w:r w:rsidRPr="006020CD">
              <w:rPr>
                <w:b/>
                <w:sz w:val="16"/>
                <w:szCs w:val="16"/>
                <w:lang w:val="en-GB"/>
              </w:rPr>
              <w:t>Indicator 2.1.1</w:t>
            </w:r>
            <w:r w:rsidR="0018056C">
              <w:rPr>
                <w:b/>
                <w:sz w:val="16"/>
                <w:szCs w:val="16"/>
                <w:lang w:val="en-GB"/>
              </w:rPr>
              <w:t>.</w:t>
            </w:r>
            <w:r w:rsidRPr="006020CD">
              <w:rPr>
                <w:b/>
                <w:sz w:val="16"/>
                <w:szCs w:val="16"/>
                <w:lang w:val="en-GB"/>
              </w:rPr>
              <w:t xml:space="preserve"> </w:t>
            </w:r>
            <w:r w:rsidRPr="006020CD">
              <w:rPr>
                <w:sz w:val="16"/>
                <w:szCs w:val="16"/>
                <w:lang w:val="en-GB"/>
              </w:rPr>
              <w:t>Natural resources that are managed under a sustainable use, conservation, access and benefit</w:t>
            </w:r>
            <w:r w:rsidR="0018056C">
              <w:rPr>
                <w:sz w:val="16"/>
                <w:szCs w:val="16"/>
                <w:lang w:val="en-GB"/>
              </w:rPr>
              <w:t>-</w:t>
            </w:r>
            <w:r w:rsidRPr="006020CD">
              <w:rPr>
                <w:sz w:val="16"/>
                <w:szCs w:val="16"/>
                <w:lang w:val="en-GB"/>
              </w:rPr>
              <w:t>sharing regime</w:t>
            </w:r>
            <w:r w:rsidR="00B83AC0" w:rsidRPr="006020CD">
              <w:rPr>
                <w:sz w:val="16"/>
                <w:szCs w:val="16"/>
                <w:lang w:val="en-GB"/>
              </w:rPr>
              <w:t xml:space="preserve"> (SP IRRF </w:t>
            </w:r>
            <w:r w:rsidR="0018056C">
              <w:rPr>
                <w:sz w:val="16"/>
                <w:szCs w:val="16"/>
                <w:lang w:val="en-GB"/>
              </w:rPr>
              <w:t>o</w:t>
            </w:r>
            <w:r w:rsidR="00B83AC0" w:rsidRPr="006020CD">
              <w:rPr>
                <w:sz w:val="16"/>
                <w:szCs w:val="16"/>
                <w:lang w:val="en-GB"/>
              </w:rPr>
              <w:t xml:space="preserve">utput </w:t>
            </w:r>
            <w:r w:rsidR="0018056C">
              <w:rPr>
                <w:sz w:val="16"/>
                <w:szCs w:val="16"/>
                <w:lang w:val="en-GB"/>
              </w:rPr>
              <w:t>i</w:t>
            </w:r>
            <w:r w:rsidR="00B83AC0" w:rsidRPr="006020CD">
              <w:rPr>
                <w:sz w:val="16"/>
                <w:szCs w:val="16"/>
                <w:lang w:val="en-GB"/>
              </w:rPr>
              <w:t>ndicator 1.4.1</w:t>
            </w:r>
            <w:r w:rsidR="00113322" w:rsidRPr="006020CD">
              <w:rPr>
                <w:sz w:val="16"/>
                <w:szCs w:val="16"/>
                <w:lang w:val="en-GB"/>
              </w:rPr>
              <w:t>.2</w:t>
            </w:r>
            <w:r w:rsidR="00B83AC0" w:rsidRPr="006020CD">
              <w:rPr>
                <w:sz w:val="16"/>
                <w:szCs w:val="16"/>
                <w:lang w:val="en-GB"/>
              </w:rPr>
              <w:t xml:space="preserve">)  </w:t>
            </w:r>
          </w:p>
          <w:p w14:paraId="18F9AA52" w14:textId="49E3BC13" w:rsidR="00B3722F" w:rsidRPr="006020CD" w:rsidRDefault="008220DB">
            <w:pPr>
              <w:pStyle w:val="ListParagraph"/>
              <w:numPr>
                <w:ilvl w:val="0"/>
                <w:numId w:val="4"/>
              </w:numPr>
              <w:tabs>
                <w:tab w:val="left" w:pos="8789"/>
              </w:tabs>
              <w:spacing w:line="276" w:lineRule="auto"/>
              <w:ind w:left="0"/>
              <w:jc w:val="both"/>
              <w:rPr>
                <w:sz w:val="16"/>
                <w:szCs w:val="16"/>
                <w:lang w:val="en-GB"/>
              </w:rPr>
            </w:pPr>
            <w:r w:rsidRPr="006020CD">
              <w:rPr>
                <w:b/>
                <w:sz w:val="16"/>
                <w:szCs w:val="16"/>
                <w:lang w:val="en-GB"/>
              </w:rPr>
              <w:t>Indicator 2.1.1 a</w:t>
            </w:r>
            <w:r w:rsidR="00CF7F3A">
              <w:rPr>
                <w:b/>
                <w:sz w:val="16"/>
                <w:szCs w:val="16"/>
                <w:lang w:val="en-GB"/>
              </w:rPr>
              <w:t>.</w:t>
            </w:r>
            <w:r w:rsidRPr="006020CD">
              <w:rPr>
                <w:sz w:val="16"/>
                <w:szCs w:val="16"/>
                <w:lang w:val="en-GB"/>
              </w:rPr>
              <w:t xml:space="preserve"> </w:t>
            </w:r>
            <w:r w:rsidR="00A4321A" w:rsidRPr="006020CD">
              <w:rPr>
                <w:sz w:val="16"/>
                <w:szCs w:val="16"/>
                <w:lang w:val="en-GB"/>
              </w:rPr>
              <w:t>No.</w:t>
            </w:r>
            <w:r w:rsidR="00EF0EE4" w:rsidRPr="006020CD">
              <w:rPr>
                <w:sz w:val="16"/>
                <w:szCs w:val="16"/>
                <w:lang w:val="en-GB"/>
              </w:rPr>
              <w:t xml:space="preserve"> of</w:t>
            </w:r>
            <w:r w:rsidR="00B3722F" w:rsidRPr="006020CD">
              <w:rPr>
                <w:sz w:val="16"/>
                <w:szCs w:val="16"/>
                <w:lang w:val="en-GB"/>
              </w:rPr>
              <w:t xml:space="preserve"> existing </w:t>
            </w:r>
            <w:r w:rsidR="0018056C">
              <w:rPr>
                <w:sz w:val="16"/>
                <w:szCs w:val="16"/>
                <w:lang w:val="en-GB"/>
              </w:rPr>
              <w:t>s</w:t>
            </w:r>
            <w:r w:rsidR="00577EFB" w:rsidRPr="006020CD">
              <w:rPr>
                <w:sz w:val="16"/>
                <w:szCs w:val="16"/>
                <w:lang w:val="en-GB"/>
              </w:rPr>
              <w:t>tate</w:t>
            </w:r>
            <w:r w:rsidR="0018056C">
              <w:rPr>
                <w:sz w:val="16"/>
                <w:szCs w:val="16"/>
                <w:lang w:val="en-GB"/>
              </w:rPr>
              <w:t>-p</w:t>
            </w:r>
            <w:r w:rsidR="00EF0EE4" w:rsidRPr="006020CD">
              <w:rPr>
                <w:sz w:val="16"/>
                <w:szCs w:val="16"/>
                <w:lang w:val="en-GB"/>
              </w:rPr>
              <w:t xml:space="preserve">rotected </w:t>
            </w:r>
            <w:r w:rsidR="0018056C">
              <w:rPr>
                <w:sz w:val="16"/>
                <w:szCs w:val="16"/>
                <w:lang w:val="en-GB"/>
              </w:rPr>
              <w:t>a</w:t>
            </w:r>
            <w:r w:rsidR="00B3722F" w:rsidRPr="006020CD">
              <w:rPr>
                <w:sz w:val="16"/>
                <w:szCs w:val="16"/>
                <w:lang w:val="en-GB"/>
              </w:rPr>
              <w:t>rea</w:t>
            </w:r>
            <w:r w:rsidR="0018056C">
              <w:rPr>
                <w:sz w:val="16"/>
                <w:szCs w:val="16"/>
                <w:lang w:val="en-GB"/>
              </w:rPr>
              <w:t>s</w:t>
            </w:r>
            <w:r w:rsidR="00B3722F" w:rsidRPr="006020CD">
              <w:rPr>
                <w:sz w:val="16"/>
                <w:szCs w:val="16"/>
                <w:lang w:val="en-GB"/>
              </w:rPr>
              <w:t xml:space="preserve"> under improved management </w:t>
            </w:r>
          </w:p>
          <w:p w14:paraId="3D07C689" w14:textId="3075D315" w:rsidR="00EF0EE4" w:rsidRPr="006020CD" w:rsidRDefault="008220DB">
            <w:pPr>
              <w:pStyle w:val="ListParagraph"/>
              <w:numPr>
                <w:ilvl w:val="0"/>
                <w:numId w:val="4"/>
              </w:numPr>
              <w:tabs>
                <w:tab w:val="left" w:pos="8789"/>
              </w:tabs>
              <w:spacing w:line="276" w:lineRule="auto"/>
              <w:ind w:left="0"/>
              <w:jc w:val="both"/>
              <w:rPr>
                <w:sz w:val="16"/>
                <w:szCs w:val="16"/>
                <w:lang w:val="en-GB"/>
              </w:rPr>
            </w:pPr>
            <w:r w:rsidRPr="006020CD">
              <w:rPr>
                <w:b/>
                <w:sz w:val="16"/>
                <w:szCs w:val="16"/>
                <w:lang w:val="en-GB"/>
              </w:rPr>
              <w:t>Indicator 2.1.1 b</w:t>
            </w:r>
            <w:r w:rsidR="00BD71B7" w:rsidRPr="006020CD">
              <w:rPr>
                <w:b/>
                <w:sz w:val="16"/>
                <w:szCs w:val="16"/>
                <w:lang w:val="en-GB"/>
              </w:rPr>
              <w:t>.</w:t>
            </w:r>
            <w:r w:rsidRPr="006020CD">
              <w:rPr>
                <w:sz w:val="16"/>
                <w:szCs w:val="16"/>
                <w:lang w:val="en-GB"/>
              </w:rPr>
              <w:t xml:space="preserve"> </w:t>
            </w:r>
            <w:r w:rsidR="00A4321A" w:rsidRPr="006020CD">
              <w:rPr>
                <w:sz w:val="16"/>
                <w:szCs w:val="16"/>
                <w:lang w:val="en-GB"/>
              </w:rPr>
              <w:t>No.</w:t>
            </w:r>
            <w:r w:rsidR="00EF0EE4" w:rsidRPr="006020CD">
              <w:rPr>
                <w:sz w:val="16"/>
                <w:szCs w:val="16"/>
                <w:lang w:val="en-GB"/>
              </w:rPr>
              <w:t xml:space="preserve"> of hectares burned by veld fires in </w:t>
            </w:r>
            <w:r w:rsidR="0018056C">
              <w:rPr>
                <w:sz w:val="16"/>
                <w:szCs w:val="16"/>
                <w:lang w:val="en-GB"/>
              </w:rPr>
              <w:t>c</w:t>
            </w:r>
            <w:r w:rsidR="00EF0EE4" w:rsidRPr="006020CD">
              <w:rPr>
                <w:sz w:val="16"/>
                <w:szCs w:val="16"/>
                <w:lang w:val="en-GB"/>
              </w:rPr>
              <w:t xml:space="preserve">onservation </w:t>
            </w:r>
            <w:r w:rsidR="0018056C">
              <w:rPr>
                <w:sz w:val="16"/>
                <w:szCs w:val="16"/>
                <w:lang w:val="en-GB"/>
              </w:rPr>
              <w:t>a</w:t>
            </w:r>
            <w:r w:rsidR="00EF0EE4" w:rsidRPr="006020CD">
              <w:rPr>
                <w:sz w:val="16"/>
                <w:szCs w:val="16"/>
                <w:lang w:val="en-GB"/>
              </w:rPr>
              <w:t>reas</w:t>
            </w:r>
          </w:p>
          <w:p w14:paraId="6E5838D4" w14:textId="50E506A8" w:rsidR="00EF0EE4" w:rsidRPr="006020CD" w:rsidRDefault="008220DB">
            <w:pPr>
              <w:pStyle w:val="ListParagraph"/>
              <w:numPr>
                <w:ilvl w:val="0"/>
                <w:numId w:val="4"/>
              </w:numPr>
              <w:tabs>
                <w:tab w:val="left" w:pos="8789"/>
              </w:tabs>
              <w:spacing w:line="276" w:lineRule="auto"/>
              <w:ind w:left="0"/>
              <w:jc w:val="both"/>
              <w:rPr>
                <w:sz w:val="16"/>
                <w:szCs w:val="16"/>
                <w:lang w:val="en-GB"/>
              </w:rPr>
            </w:pPr>
            <w:r w:rsidRPr="006020CD">
              <w:rPr>
                <w:b/>
                <w:sz w:val="16"/>
                <w:szCs w:val="16"/>
                <w:lang w:val="en-GB"/>
              </w:rPr>
              <w:t>Indicator 2.1.1 c</w:t>
            </w:r>
            <w:r w:rsidR="00BD71B7" w:rsidRPr="006020CD">
              <w:rPr>
                <w:b/>
                <w:sz w:val="16"/>
                <w:szCs w:val="16"/>
                <w:lang w:val="en-GB"/>
              </w:rPr>
              <w:t>.</w:t>
            </w:r>
            <w:r w:rsidRPr="006020CD">
              <w:rPr>
                <w:b/>
                <w:sz w:val="16"/>
                <w:szCs w:val="16"/>
                <w:lang w:val="en-GB"/>
              </w:rPr>
              <w:t xml:space="preserve"> </w:t>
            </w:r>
            <w:r w:rsidRPr="006020CD">
              <w:rPr>
                <w:sz w:val="16"/>
                <w:szCs w:val="16"/>
                <w:lang w:val="en-GB"/>
              </w:rPr>
              <w:t xml:space="preserve"> </w:t>
            </w:r>
            <w:r w:rsidR="00EF0EE4" w:rsidRPr="006020CD">
              <w:rPr>
                <w:sz w:val="16"/>
                <w:szCs w:val="16"/>
                <w:lang w:val="en-GB"/>
              </w:rPr>
              <w:t>Regions assessed for trends in land degradation</w:t>
            </w:r>
          </w:p>
          <w:p w14:paraId="49890CA9" w14:textId="332F8F04" w:rsidR="00B3722F" w:rsidRPr="006020CD" w:rsidRDefault="00BD71B7">
            <w:pPr>
              <w:pStyle w:val="ListParagraph"/>
              <w:numPr>
                <w:ilvl w:val="0"/>
                <w:numId w:val="4"/>
              </w:numPr>
              <w:tabs>
                <w:tab w:val="left" w:pos="8789"/>
              </w:tabs>
              <w:spacing w:line="276" w:lineRule="auto"/>
              <w:ind w:left="0"/>
              <w:jc w:val="both"/>
              <w:rPr>
                <w:sz w:val="16"/>
                <w:szCs w:val="16"/>
                <w:lang w:val="en-GB"/>
              </w:rPr>
            </w:pPr>
            <w:r w:rsidRPr="006020CD">
              <w:rPr>
                <w:b/>
                <w:sz w:val="16"/>
                <w:szCs w:val="16"/>
                <w:lang w:val="en-GB"/>
              </w:rPr>
              <w:t xml:space="preserve">Indicator </w:t>
            </w:r>
            <w:r w:rsidR="008220DB" w:rsidRPr="006020CD">
              <w:rPr>
                <w:b/>
                <w:sz w:val="16"/>
                <w:szCs w:val="16"/>
                <w:lang w:val="en-GB"/>
              </w:rPr>
              <w:t>2.1.1</w:t>
            </w:r>
            <w:r w:rsidRPr="006020CD">
              <w:rPr>
                <w:b/>
                <w:sz w:val="16"/>
                <w:szCs w:val="16"/>
                <w:lang w:val="en-GB"/>
              </w:rPr>
              <w:t xml:space="preserve"> </w:t>
            </w:r>
            <w:r w:rsidR="008220DB" w:rsidRPr="006020CD">
              <w:rPr>
                <w:b/>
                <w:sz w:val="16"/>
                <w:szCs w:val="16"/>
                <w:lang w:val="en-GB"/>
              </w:rPr>
              <w:t>d</w:t>
            </w:r>
            <w:r w:rsidRPr="006020CD">
              <w:rPr>
                <w:b/>
                <w:sz w:val="16"/>
                <w:szCs w:val="16"/>
                <w:lang w:val="en-GB"/>
              </w:rPr>
              <w:t>.</w:t>
            </w:r>
            <w:r w:rsidR="008220DB" w:rsidRPr="006020CD">
              <w:rPr>
                <w:sz w:val="16"/>
                <w:szCs w:val="16"/>
                <w:lang w:val="en-GB"/>
              </w:rPr>
              <w:t xml:space="preserve"> </w:t>
            </w:r>
            <w:r w:rsidR="00A4321A" w:rsidRPr="006020CD">
              <w:rPr>
                <w:sz w:val="16"/>
                <w:szCs w:val="16"/>
                <w:lang w:val="en-GB"/>
              </w:rPr>
              <w:t>No.</w:t>
            </w:r>
            <w:r w:rsidR="00B3722F" w:rsidRPr="006020CD">
              <w:rPr>
                <w:sz w:val="16"/>
                <w:szCs w:val="16"/>
                <w:lang w:val="en-GB"/>
              </w:rPr>
              <w:t xml:space="preserve"> of shared water ecosystems (fresh or marine) under cooperative management</w:t>
            </w:r>
          </w:p>
          <w:p w14:paraId="29B77BC0" w14:textId="1707043B" w:rsidR="00B3722F" w:rsidRPr="006020CD" w:rsidRDefault="00B3722F">
            <w:pPr>
              <w:tabs>
                <w:tab w:val="left" w:pos="8789"/>
              </w:tabs>
              <w:spacing w:line="276" w:lineRule="auto"/>
              <w:jc w:val="both"/>
              <w:rPr>
                <w:sz w:val="16"/>
                <w:szCs w:val="16"/>
                <w:lang w:val="en-GB"/>
              </w:rPr>
            </w:pPr>
            <w:r w:rsidRPr="006020CD">
              <w:rPr>
                <w:b/>
                <w:sz w:val="16"/>
                <w:szCs w:val="16"/>
                <w:lang w:val="en-GB"/>
              </w:rPr>
              <w:t>Baseline</w:t>
            </w:r>
            <w:r w:rsidR="00832F58">
              <w:rPr>
                <w:b/>
                <w:sz w:val="16"/>
                <w:szCs w:val="16"/>
                <w:lang w:val="en-GB"/>
              </w:rPr>
              <w:t>:</w:t>
            </w:r>
            <w:r w:rsidRPr="006020CD">
              <w:rPr>
                <w:sz w:val="16"/>
                <w:szCs w:val="16"/>
                <w:lang w:val="en-GB"/>
              </w:rPr>
              <w:t xml:space="preserve"> a</w:t>
            </w:r>
            <w:r w:rsidR="00CF7F3A">
              <w:rPr>
                <w:sz w:val="16"/>
                <w:szCs w:val="16"/>
                <w:lang w:val="en-GB"/>
              </w:rPr>
              <w:t>.</w:t>
            </w:r>
            <w:r w:rsidRPr="006020CD">
              <w:rPr>
                <w:sz w:val="16"/>
                <w:szCs w:val="16"/>
                <w:lang w:val="en-GB"/>
              </w:rPr>
              <w:t xml:space="preserve"> </w:t>
            </w:r>
            <w:r w:rsidR="00EF0EE4" w:rsidRPr="006020CD">
              <w:rPr>
                <w:sz w:val="16"/>
                <w:szCs w:val="16"/>
                <w:lang w:val="en-GB"/>
              </w:rPr>
              <w:t>12</w:t>
            </w:r>
            <w:r w:rsidR="00BD71B7" w:rsidRPr="006020CD">
              <w:rPr>
                <w:sz w:val="16"/>
                <w:szCs w:val="16"/>
                <w:lang w:val="en-GB"/>
              </w:rPr>
              <w:t>;</w:t>
            </w:r>
            <w:r w:rsidR="007A2143" w:rsidRPr="006020CD">
              <w:rPr>
                <w:sz w:val="16"/>
                <w:szCs w:val="16"/>
                <w:lang w:val="en-GB"/>
              </w:rPr>
              <w:t xml:space="preserve"> b</w:t>
            </w:r>
            <w:r w:rsidR="00CF7F3A">
              <w:rPr>
                <w:sz w:val="16"/>
                <w:szCs w:val="16"/>
                <w:lang w:val="en-GB"/>
              </w:rPr>
              <w:t>.</w:t>
            </w:r>
            <w:r w:rsidRPr="006020CD">
              <w:rPr>
                <w:sz w:val="16"/>
                <w:szCs w:val="16"/>
                <w:lang w:val="en-GB"/>
              </w:rPr>
              <w:t xml:space="preserve"> </w:t>
            </w:r>
            <w:r w:rsidR="009B2527" w:rsidRPr="006020CD">
              <w:rPr>
                <w:sz w:val="16"/>
                <w:szCs w:val="16"/>
                <w:lang w:val="en-GB"/>
              </w:rPr>
              <w:t>3.7</w:t>
            </w:r>
            <w:r w:rsidR="00EF0EE4" w:rsidRPr="006020CD">
              <w:rPr>
                <w:sz w:val="16"/>
                <w:szCs w:val="16"/>
                <w:lang w:val="en-GB"/>
              </w:rPr>
              <w:t xml:space="preserve"> million </w:t>
            </w:r>
            <w:r w:rsidR="00D04899" w:rsidRPr="006020CD">
              <w:rPr>
                <w:sz w:val="16"/>
                <w:szCs w:val="16"/>
                <w:lang w:val="en-GB"/>
              </w:rPr>
              <w:t>h</w:t>
            </w:r>
            <w:r w:rsidR="0018056C">
              <w:rPr>
                <w:sz w:val="16"/>
                <w:szCs w:val="16"/>
                <w:lang w:val="en-GB"/>
              </w:rPr>
              <w:t>ectares</w:t>
            </w:r>
            <w:r w:rsidR="004A0202" w:rsidRPr="006020CD">
              <w:rPr>
                <w:sz w:val="16"/>
                <w:szCs w:val="16"/>
                <w:lang w:val="en-GB"/>
              </w:rPr>
              <w:t>; c</w:t>
            </w:r>
            <w:r w:rsidR="00CF7F3A">
              <w:rPr>
                <w:sz w:val="16"/>
                <w:szCs w:val="16"/>
                <w:lang w:val="en-GB"/>
              </w:rPr>
              <w:t>.</w:t>
            </w:r>
            <w:r w:rsidRPr="006020CD">
              <w:rPr>
                <w:sz w:val="16"/>
                <w:szCs w:val="16"/>
                <w:lang w:val="en-GB"/>
              </w:rPr>
              <w:t xml:space="preserve"> </w:t>
            </w:r>
            <w:r w:rsidR="00EF0EE4" w:rsidRPr="006020CD">
              <w:rPr>
                <w:sz w:val="16"/>
                <w:szCs w:val="16"/>
                <w:lang w:val="en-GB"/>
              </w:rPr>
              <w:t>1</w:t>
            </w:r>
            <w:r w:rsidRPr="006020CD">
              <w:rPr>
                <w:sz w:val="16"/>
                <w:szCs w:val="16"/>
                <w:lang w:val="en-GB"/>
              </w:rPr>
              <w:t>; d</w:t>
            </w:r>
            <w:r w:rsidR="00CF7F3A">
              <w:rPr>
                <w:sz w:val="16"/>
                <w:szCs w:val="16"/>
                <w:lang w:val="en-GB"/>
              </w:rPr>
              <w:t>.</w:t>
            </w:r>
            <w:r w:rsidR="0018056C">
              <w:rPr>
                <w:sz w:val="16"/>
                <w:szCs w:val="16"/>
                <w:lang w:val="en-GB"/>
              </w:rPr>
              <w:t xml:space="preserve"> </w:t>
            </w:r>
            <w:r w:rsidR="00EF0EE4" w:rsidRPr="006020CD">
              <w:rPr>
                <w:sz w:val="16"/>
                <w:szCs w:val="16"/>
                <w:lang w:val="en-GB"/>
              </w:rPr>
              <w:t>3</w:t>
            </w:r>
            <w:r w:rsidR="00BD71B7" w:rsidRPr="006020CD">
              <w:rPr>
                <w:sz w:val="16"/>
                <w:szCs w:val="16"/>
                <w:lang w:val="en-GB"/>
              </w:rPr>
              <w:t>; (2016)</w:t>
            </w:r>
          </w:p>
          <w:p w14:paraId="43CDEE22" w14:textId="49E88E2C" w:rsidR="00531B66" w:rsidRPr="006020CD" w:rsidRDefault="00B3722F">
            <w:pPr>
              <w:tabs>
                <w:tab w:val="left" w:pos="8789"/>
              </w:tabs>
              <w:spacing w:line="276" w:lineRule="auto"/>
              <w:jc w:val="both"/>
              <w:rPr>
                <w:sz w:val="16"/>
                <w:szCs w:val="16"/>
                <w:lang w:val="en-GB"/>
              </w:rPr>
            </w:pPr>
            <w:r w:rsidRPr="006020CD">
              <w:rPr>
                <w:b/>
                <w:sz w:val="16"/>
                <w:szCs w:val="16"/>
                <w:lang w:val="en-GB"/>
              </w:rPr>
              <w:t>Target</w:t>
            </w:r>
            <w:r w:rsidR="00BD71B7" w:rsidRPr="006020CD">
              <w:rPr>
                <w:b/>
                <w:sz w:val="16"/>
                <w:szCs w:val="16"/>
                <w:lang w:val="en-GB"/>
              </w:rPr>
              <w:t>:</w:t>
            </w:r>
            <w:r w:rsidR="00EF0EE4" w:rsidRPr="006020CD">
              <w:rPr>
                <w:sz w:val="16"/>
                <w:szCs w:val="16"/>
                <w:lang w:val="en-GB"/>
              </w:rPr>
              <w:t xml:space="preserve"> a</w:t>
            </w:r>
            <w:r w:rsidR="00CF7F3A">
              <w:rPr>
                <w:sz w:val="16"/>
                <w:szCs w:val="16"/>
                <w:lang w:val="en-GB"/>
              </w:rPr>
              <w:t>.</w:t>
            </w:r>
            <w:r w:rsidR="00EF0EE4" w:rsidRPr="006020CD">
              <w:rPr>
                <w:sz w:val="16"/>
                <w:szCs w:val="16"/>
                <w:lang w:val="en-GB"/>
              </w:rPr>
              <w:t xml:space="preserve"> 20 (8 new ones</w:t>
            </w:r>
            <w:r w:rsidRPr="006020CD">
              <w:rPr>
                <w:sz w:val="16"/>
                <w:szCs w:val="16"/>
                <w:lang w:val="en-GB"/>
              </w:rPr>
              <w:t>); b</w:t>
            </w:r>
            <w:r w:rsidR="00CF7F3A">
              <w:rPr>
                <w:sz w:val="16"/>
                <w:szCs w:val="16"/>
                <w:lang w:val="en-GB"/>
              </w:rPr>
              <w:t>.</w:t>
            </w:r>
            <w:r w:rsidRPr="006020CD">
              <w:rPr>
                <w:sz w:val="16"/>
                <w:szCs w:val="16"/>
                <w:lang w:val="en-GB"/>
              </w:rPr>
              <w:t xml:space="preserve"> </w:t>
            </w:r>
            <w:r w:rsidR="00EF0EE4" w:rsidRPr="006020CD">
              <w:rPr>
                <w:sz w:val="16"/>
                <w:szCs w:val="16"/>
                <w:lang w:val="en-GB"/>
              </w:rPr>
              <w:t xml:space="preserve">1.3 million </w:t>
            </w:r>
            <w:r w:rsidR="007A2143" w:rsidRPr="006020CD">
              <w:rPr>
                <w:sz w:val="16"/>
                <w:szCs w:val="16"/>
                <w:lang w:val="en-GB"/>
              </w:rPr>
              <w:t>h</w:t>
            </w:r>
            <w:r w:rsidR="0018056C">
              <w:rPr>
                <w:sz w:val="16"/>
                <w:szCs w:val="16"/>
                <w:lang w:val="en-GB"/>
              </w:rPr>
              <w:t>ectares</w:t>
            </w:r>
            <w:r w:rsidRPr="006020CD">
              <w:rPr>
                <w:sz w:val="16"/>
                <w:szCs w:val="16"/>
                <w:lang w:val="en-GB"/>
              </w:rPr>
              <w:t>;</w:t>
            </w:r>
            <w:r w:rsidR="00BD71B7" w:rsidRPr="006020CD">
              <w:rPr>
                <w:sz w:val="16"/>
                <w:szCs w:val="16"/>
                <w:lang w:val="en-GB"/>
              </w:rPr>
              <w:t xml:space="preserve"> </w:t>
            </w:r>
            <w:r w:rsidRPr="006020CD">
              <w:rPr>
                <w:sz w:val="16"/>
                <w:szCs w:val="16"/>
                <w:lang w:val="en-GB"/>
              </w:rPr>
              <w:t>c</w:t>
            </w:r>
            <w:r w:rsidR="00CF7F3A">
              <w:rPr>
                <w:sz w:val="16"/>
                <w:szCs w:val="16"/>
                <w:lang w:val="en-GB"/>
              </w:rPr>
              <w:t>.</w:t>
            </w:r>
            <w:r w:rsidRPr="006020CD">
              <w:rPr>
                <w:sz w:val="16"/>
                <w:szCs w:val="16"/>
                <w:lang w:val="en-GB"/>
              </w:rPr>
              <w:t xml:space="preserve"> </w:t>
            </w:r>
            <w:r w:rsidR="00EF0EE4" w:rsidRPr="006020CD">
              <w:rPr>
                <w:sz w:val="16"/>
                <w:szCs w:val="16"/>
                <w:lang w:val="en-GB"/>
              </w:rPr>
              <w:t>1</w:t>
            </w:r>
            <w:r w:rsidRPr="006020CD">
              <w:rPr>
                <w:sz w:val="16"/>
                <w:szCs w:val="16"/>
                <w:lang w:val="en-GB"/>
              </w:rPr>
              <w:t>;</w:t>
            </w:r>
            <w:r w:rsidR="00BD71B7" w:rsidRPr="006020CD">
              <w:rPr>
                <w:sz w:val="16"/>
                <w:szCs w:val="16"/>
                <w:lang w:val="en-GB"/>
              </w:rPr>
              <w:t xml:space="preserve"> d</w:t>
            </w:r>
            <w:r w:rsidR="00CF7F3A">
              <w:rPr>
                <w:sz w:val="16"/>
                <w:szCs w:val="16"/>
                <w:lang w:val="en-GB"/>
              </w:rPr>
              <w:t>.</w:t>
            </w:r>
            <w:r w:rsidRPr="006020CD">
              <w:rPr>
                <w:sz w:val="16"/>
                <w:szCs w:val="16"/>
                <w:lang w:val="en-GB"/>
              </w:rPr>
              <w:t xml:space="preserve"> </w:t>
            </w:r>
            <w:r w:rsidR="007A2143" w:rsidRPr="006020CD">
              <w:rPr>
                <w:sz w:val="16"/>
                <w:szCs w:val="16"/>
                <w:lang w:val="en-GB"/>
              </w:rPr>
              <w:t>3</w:t>
            </w:r>
            <w:r w:rsidR="00BD71B7" w:rsidRPr="006020CD">
              <w:rPr>
                <w:sz w:val="16"/>
                <w:szCs w:val="16"/>
                <w:lang w:val="en-GB"/>
              </w:rPr>
              <w:t>; (2023)</w:t>
            </w:r>
            <w:r w:rsidRPr="006020CD">
              <w:rPr>
                <w:sz w:val="16"/>
                <w:szCs w:val="16"/>
                <w:lang w:val="en-GB"/>
              </w:rPr>
              <w:t xml:space="preserve">  </w:t>
            </w:r>
          </w:p>
          <w:p w14:paraId="4E357048" w14:textId="033A0668" w:rsidR="00B3722F" w:rsidRPr="006020CD" w:rsidRDefault="00B3722F">
            <w:pPr>
              <w:tabs>
                <w:tab w:val="left" w:pos="8789"/>
              </w:tabs>
              <w:spacing w:line="276" w:lineRule="auto"/>
              <w:jc w:val="both"/>
              <w:rPr>
                <w:sz w:val="16"/>
                <w:szCs w:val="16"/>
                <w:lang w:val="en-GB"/>
              </w:rPr>
            </w:pPr>
            <w:r w:rsidRPr="006020CD">
              <w:rPr>
                <w:b/>
                <w:sz w:val="16"/>
                <w:szCs w:val="16"/>
                <w:lang w:val="en-GB"/>
              </w:rPr>
              <w:t xml:space="preserve">Data </w:t>
            </w:r>
            <w:r w:rsidR="00D00C6F">
              <w:rPr>
                <w:b/>
                <w:sz w:val="16"/>
                <w:szCs w:val="16"/>
                <w:lang w:val="en-GB"/>
              </w:rPr>
              <w:t>s</w:t>
            </w:r>
            <w:r w:rsidRPr="006020CD">
              <w:rPr>
                <w:b/>
                <w:sz w:val="16"/>
                <w:szCs w:val="16"/>
                <w:lang w:val="en-GB"/>
              </w:rPr>
              <w:t>ource</w:t>
            </w:r>
            <w:r w:rsidR="00832F58">
              <w:rPr>
                <w:b/>
                <w:sz w:val="16"/>
                <w:szCs w:val="16"/>
                <w:lang w:val="en-GB"/>
              </w:rPr>
              <w:t>s</w:t>
            </w:r>
            <w:r w:rsidRPr="006020CD">
              <w:rPr>
                <w:b/>
                <w:sz w:val="16"/>
                <w:szCs w:val="16"/>
                <w:lang w:val="en-GB"/>
              </w:rPr>
              <w:t>:</w:t>
            </w:r>
            <w:r w:rsidRPr="006020CD">
              <w:rPr>
                <w:sz w:val="16"/>
                <w:szCs w:val="16"/>
                <w:lang w:val="en-GB"/>
              </w:rPr>
              <w:t xml:space="preserve">  Government </w:t>
            </w:r>
            <w:r w:rsidR="0018056C">
              <w:rPr>
                <w:sz w:val="16"/>
                <w:szCs w:val="16"/>
                <w:lang w:val="en-GB"/>
              </w:rPr>
              <w:t>g</w:t>
            </w:r>
            <w:r w:rsidRPr="006020CD">
              <w:rPr>
                <w:sz w:val="16"/>
                <w:szCs w:val="16"/>
                <w:lang w:val="en-GB"/>
              </w:rPr>
              <w:t xml:space="preserve">azettes, </w:t>
            </w:r>
            <w:r w:rsidR="0018056C">
              <w:rPr>
                <w:sz w:val="16"/>
                <w:szCs w:val="16"/>
                <w:lang w:val="en-GB"/>
              </w:rPr>
              <w:t>p</w:t>
            </w:r>
            <w:r w:rsidRPr="006020CD">
              <w:rPr>
                <w:sz w:val="16"/>
                <w:szCs w:val="16"/>
                <w:lang w:val="en-GB"/>
              </w:rPr>
              <w:t xml:space="preserve">rotected </w:t>
            </w:r>
            <w:r w:rsidR="0018056C">
              <w:rPr>
                <w:sz w:val="16"/>
                <w:szCs w:val="16"/>
                <w:lang w:val="en-GB"/>
              </w:rPr>
              <w:t>a</w:t>
            </w:r>
            <w:r w:rsidRPr="006020CD">
              <w:rPr>
                <w:sz w:val="16"/>
                <w:szCs w:val="16"/>
                <w:lang w:val="en-GB"/>
              </w:rPr>
              <w:t>reas/</w:t>
            </w:r>
            <w:r w:rsidR="0018056C">
              <w:rPr>
                <w:sz w:val="16"/>
                <w:szCs w:val="16"/>
                <w:lang w:val="en-GB"/>
              </w:rPr>
              <w:t>n</w:t>
            </w:r>
            <w:r w:rsidRPr="006020CD">
              <w:rPr>
                <w:sz w:val="16"/>
                <w:szCs w:val="16"/>
                <w:lang w:val="en-GB"/>
              </w:rPr>
              <w:t xml:space="preserve">ational </w:t>
            </w:r>
            <w:r w:rsidR="0018056C">
              <w:rPr>
                <w:sz w:val="16"/>
                <w:szCs w:val="16"/>
                <w:lang w:val="en-GB"/>
              </w:rPr>
              <w:t>p</w:t>
            </w:r>
            <w:r w:rsidRPr="006020CD">
              <w:rPr>
                <w:sz w:val="16"/>
                <w:szCs w:val="16"/>
                <w:lang w:val="en-GB"/>
              </w:rPr>
              <w:t xml:space="preserve">arks </w:t>
            </w:r>
            <w:r w:rsidR="0018056C">
              <w:rPr>
                <w:sz w:val="16"/>
                <w:szCs w:val="16"/>
                <w:lang w:val="en-GB"/>
              </w:rPr>
              <w:t>m</w:t>
            </w:r>
            <w:r w:rsidRPr="006020CD">
              <w:rPr>
                <w:sz w:val="16"/>
                <w:szCs w:val="16"/>
                <w:lang w:val="en-GB"/>
              </w:rPr>
              <w:t>anag</w:t>
            </w:r>
            <w:r w:rsidR="009302A7" w:rsidRPr="006020CD">
              <w:rPr>
                <w:sz w:val="16"/>
                <w:szCs w:val="16"/>
                <w:lang w:val="en-GB"/>
              </w:rPr>
              <w:t xml:space="preserve">ement </w:t>
            </w:r>
            <w:r w:rsidR="0018056C">
              <w:rPr>
                <w:sz w:val="16"/>
                <w:szCs w:val="16"/>
                <w:lang w:val="en-GB"/>
              </w:rPr>
              <w:t>p</w:t>
            </w:r>
            <w:r w:rsidR="00D71181">
              <w:rPr>
                <w:sz w:val="16"/>
                <w:szCs w:val="16"/>
                <w:lang w:val="en-GB"/>
              </w:rPr>
              <w:t>l</w:t>
            </w:r>
            <w:r w:rsidR="009302A7" w:rsidRPr="006020CD">
              <w:rPr>
                <w:sz w:val="16"/>
                <w:szCs w:val="16"/>
                <w:lang w:val="en-GB"/>
              </w:rPr>
              <w:t xml:space="preserve">ans, GEF </w:t>
            </w:r>
            <w:r w:rsidR="0018056C">
              <w:rPr>
                <w:sz w:val="16"/>
                <w:szCs w:val="16"/>
                <w:lang w:val="en-GB"/>
              </w:rPr>
              <w:t>t</w:t>
            </w:r>
            <w:r w:rsidR="009302A7" w:rsidRPr="006020CD">
              <w:rPr>
                <w:sz w:val="16"/>
                <w:szCs w:val="16"/>
                <w:lang w:val="en-GB"/>
              </w:rPr>
              <w:t xml:space="preserve">racking </w:t>
            </w:r>
            <w:r w:rsidR="0018056C">
              <w:rPr>
                <w:sz w:val="16"/>
                <w:szCs w:val="16"/>
                <w:lang w:val="en-GB"/>
              </w:rPr>
              <w:t>t</w:t>
            </w:r>
            <w:r w:rsidR="009302A7" w:rsidRPr="006020CD">
              <w:rPr>
                <w:sz w:val="16"/>
                <w:szCs w:val="16"/>
                <w:lang w:val="en-GB"/>
              </w:rPr>
              <w:t>ools</w:t>
            </w:r>
            <w:r w:rsidRPr="006020CD">
              <w:rPr>
                <w:sz w:val="16"/>
                <w:szCs w:val="16"/>
                <w:lang w:val="en-GB"/>
              </w:rPr>
              <w:t xml:space="preserve">, </w:t>
            </w:r>
            <w:r w:rsidR="0018056C">
              <w:rPr>
                <w:sz w:val="16"/>
                <w:szCs w:val="16"/>
                <w:lang w:val="en-GB"/>
              </w:rPr>
              <w:t>r</w:t>
            </w:r>
            <w:r w:rsidRPr="006020CD">
              <w:rPr>
                <w:sz w:val="16"/>
                <w:szCs w:val="16"/>
                <w:lang w:val="en-GB"/>
              </w:rPr>
              <w:t>eports of</w:t>
            </w:r>
            <w:r w:rsidR="00D00C6F">
              <w:rPr>
                <w:sz w:val="16"/>
                <w:szCs w:val="16"/>
                <w:lang w:val="en-GB"/>
              </w:rPr>
              <w:t>:</w:t>
            </w:r>
            <w:r w:rsidRPr="006020CD">
              <w:rPr>
                <w:sz w:val="16"/>
                <w:szCs w:val="16"/>
                <w:lang w:val="en-GB"/>
              </w:rPr>
              <w:t xml:space="preserve"> </w:t>
            </w:r>
            <w:r w:rsidR="00D00C6F" w:rsidRPr="006020CD">
              <w:rPr>
                <w:sz w:val="16"/>
                <w:szCs w:val="16"/>
                <w:lang w:val="en-GB"/>
              </w:rPr>
              <w:t>Permanent Okavango River Basin Water Commission</w:t>
            </w:r>
            <w:r w:rsidRPr="006020CD">
              <w:rPr>
                <w:sz w:val="16"/>
                <w:szCs w:val="16"/>
                <w:lang w:val="en-GB"/>
              </w:rPr>
              <w:t xml:space="preserve">, </w:t>
            </w:r>
            <w:r w:rsidR="00D00C6F" w:rsidRPr="006020CD">
              <w:rPr>
                <w:sz w:val="16"/>
                <w:szCs w:val="16"/>
                <w:lang w:val="en-GB"/>
              </w:rPr>
              <w:t>Orange-Senqu River Commission</w:t>
            </w:r>
            <w:r w:rsidRPr="006020CD">
              <w:rPr>
                <w:sz w:val="16"/>
                <w:szCs w:val="16"/>
                <w:lang w:val="en-GB"/>
              </w:rPr>
              <w:t xml:space="preserve">, </w:t>
            </w:r>
            <w:r w:rsidR="00D00C6F" w:rsidRPr="006020CD">
              <w:rPr>
                <w:sz w:val="16"/>
                <w:szCs w:val="16"/>
                <w:lang w:val="en-GB"/>
              </w:rPr>
              <w:t>Orange-Senqu River Commission</w:t>
            </w:r>
            <w:r w:rsidRPr="006020CD">
              <w:rPr>
                <w:sz w:val="16"/>
                <w:szCs w:val="16"/>
                <w:lang w:val="en-GB"/>
              </w:rPr>
              <w:t xml:space="preserve">, </w:t>
            </w:r>
            <w:r w:rsidR="00531B66" w:rsidRPr="006020CD">
              <w:rPr>
                <w:sz w:val="16"/>
                <w:szCs w:val="16"/>
                <w:lang w:val="en-GB"/>
              </w:rPr>
              <w:t xml:space="preserve">and </w:t>
            </w:r>
            <w:r w:rsidR="00E37228" w:rsidRPr="006020CD">
              <w:rPr>
                <w:sz w:val="16"/>
                <w:szCs w:val="16"/>
                <w:lang w:val="en-GB"/>
              </w:rPr>
              <w:t>NDP5</w:t>
            </w:r>
            <w:r w:rsidR="00531B66" w:rsidRPr="006020CD">
              <w:rPr>
                <w:sz w:val="16"/>
                <w:szCs w:val="16"/>
                <w:lang w:val="en-GB"/>
              </w:rPr>
              <w:t xml:space="preserve"> </w:t>
            </w:r>
            <w:r w:rsidR="0018056C">
              <w:rPr>
                <w:sz w:val="16"/>
                <w:szCs w:val="16"/>
                <w:lang w:val="en-GB"/>
              </w:rPr>
              <w:t>i</w:t>
            </w:r>
            <w:r w:rsidR="00531B66" w:rsidRPr="006020CD">
              <w:rPr>
                <w:sz w:val="16"/>
                <w:szCs w:val="16"/>
                <w:lang w:val="en-GB"/>
              </w:rPr>
              <w:t xml:space="preserve">mplementation </w:t>
            </w:r>
            <w:r w:rsidR="0018056C">
              <w:rPr>
                <w:sz w:val="16"/>
                <w:szCs w:val="16"/>
                <w:lang w:val="en-GB"/>
              </w:rPr>
              <w:t>p</w:t>
            </w:r>
            <w:r w:rsidR="00531B66" w:rsidRPr="006020CD">
              <w:rPr>
                <w:sz w:val="16"/>
                <w:szCs w:val="16"/>
                <w:lang w:val="en-GB"/>
              </w:rPr>
              <w:t>lan</w:t>
            </w:r>
          </w:p>
          <w:p w14:paraId="73216381" w14:textId="77777777" w:rsidR="00FF3A30" w:rsidRPr="006020CD" w:rsidRDefault="00FF3A30">
            <w:pPr>
              <w:tabs>
                <w:tab w:val="left" w:pos="8789"/>
              </w:tabs>
              <w:spacing w:line="276" w:lineRule="auto"/>
              <w:contextualSpacing/>
              <w:jc w:val="both"/>
              <w:rPr>
                <w:sz w:val="16"/>
                <w:szCs w:val="16"/>
                <w:lang w:val="en-GB"/>
              </w:rPr>
            </w:pPr>
          </w:p>
          <w:p w14:paraId="62F33489" w14:textId="2CEEFAA8" w:rsidR="00FF3A30" w:rsidRPr="006020CD" w:rsidRDefault="00FF3A30">
            <w:pPr>
              <w:tabs>
                <w:tab w:val="left" w:pos="8789"/>
              </w:tabs>
              <w:spacing w:line="276" w:lineRule="auto"/>
              <w:contextualSpacing/>
              <w:jc w:val="both"/>
              <w:rPr>
                <w:sz w:val="16"/>
                <w:szCs w:val="16"/>
                <w:lang w:val="en-GB"/>
              </w:rPr>
            </w:pPr>
            <w:r w:rsidRPr="006020CD">
              <w:rPr>
                <w:b/>
                <w:sz w:val="16"/>
                <w:szCs w:val="16"/>
                <w:lang w:val="en-GB"/>
              </w:rPr>
              <w:t>Indicator 2.1.2</w:t>
            </w:r>
            <w:r w:rsidR="00D71181">
              <w:rPr>
                <w:b/>
                <w:sz w:val="16"/>
                <w:szCs w:val="16"/>
                <w:lang w:val="en-GB"/>
              </w:rPr>
              <w:t>.</w:t>
            </w:r>
            <w:r w:rsidRPr="006020CD">
              <w:rPr>
                <w:sz w:val="16"/>
                <w:szCs w:val="16"/>
                <w:lang w:val="en-GB"/>
              </w:rPr>
              <w:t xml:space="preserve"> </w:t>
            </w:r>
            <w:r w:rsidR="00A4321A" w:rsidRPr="006020CD">
              <w:rPr>
                <w:sz w:val="16"/>
                <w:szCs w:val="16"/>
                <w:lang w:val="en-GB"/>
              </w:rPr>
              <w:t>No.</w:t>
            </w:r>
            <w:r w:rsidR="00FA728B" w:rsidRPr="006020CD">
              <w:rPr>
                <w:sz w:val="16"/>
                <w:szCs w:val="16"/>
                <w:lang w:val="en-GB"/>
              </w:rPr>
              <w:t xml:space="preserve"> of gender-sensitive legal and policy instruments on natural resources and environment to improve access to and control over assets and services</w:t>
            </w:r>
          </w:p>
          <w:p w14:paraId="27336288" w14:textId="0AC8D467" w:rsidR="00FF3A30" w:rsidRPr="006020CD" w:rsidRDefault="00FF3A30">
            <w:pPr>
              <w:tabs>
                <w:tab w:val="left" w:pos="8789"/>
              </w:tabs>
              <w:jc w:val="both"/>
              <w:rPr>
                <w:sz w:val="16"/>
                <w:szCs w:val="16"/>
                <w:lang w:val="en-GB"/>
              </w:rPr>
            </w:pPr>
            <w:r w:rsidRPr="006020CD">
              <w:rPr>
                <w:b/>
                <w:bCs/>
                <w:sz w:val="16"/>
                <w:szCs w:val="16"/>
                <w:lang w:val="en-GB"/>
              </w:rPr>
              <w:t>Baseline</w:t>
            </w:r>
            <w:r w:rsidRPr="006020CD">
              <w:rPr>
                <w:bCs/>
                <w:sz w:val="16"/>
                <w:szCs w:val="16"/>
                <w:lang w:val="en-GB"/>
              </w:rPr>
              <w:t xml:space="preserve">: </w:t>
            </w:r>
            <w:r w:rsidR="00B3722F" w:rsidRPr="006020CD">
              <w:rPr>
                <w:bCs/>
                <w:sz w:val="16"/>
                <w:szCs w:val="16"/>
                <w:lang w:val="en-GB"/>
              </w:rPr>
              <w:t>3</w:t>
            </w:r>
            <w:r w:rsidR="00CF7F3A">
              <w:rPr>
                <w:bCs/>
                <w:sz w:val="16"/>
                <w:szCs w:val="16"/>
                <w:lang w:val="en-GB"/>
              </w:rPr>
              <w:t>.</w:t>
            </w:r>
            <w:r w:rsidR="00B3722F" w:rsidRPr="006020CD">
              <w:rPr>
                <w:bCs/>
                <w:sz w:val="16"/>
                <w:szCs w:val="16"/>
                <w:lang w:val="en-GB"/>
              </w:rPr>
              <w:t xml:space="preserve"> 1996 Nature Ordinance Act, </w:t>
            </w:r>
            <w:r w:rsidR="00D00C6F" w:rsidRPr="006020CD">
              <w:rPr>
                <w:sz w:val="16"/>
                <w:szCs w:val="16"/>
                <w:lang w:val="en-GB"/>
              </w:rPr>
              <w:t>Community-Based Natural Resource Management</w:t>
            </w:r>
            <w:r w:rsidR="00D00C6F" w:rsidRPr="0089780F">
              <w:rPr>
                <w:sz w:val="16"/>
                <w:szCs w:val="16"/>
                <w:lang w:val="en-GB"/>
              </w:rPr>
              <w:t xml:space="preserve"> </w:t>
            </w:r>
            <w:r w:rsidR="00D00C6F" w:rsidRPr="00AE6DA9">
              <w:rPr>
                <w:sz w:val="16"/>
                <w:szCs w:val="16"/>
                <w:lang w:val="en-GB"/>
              </w:rPr>
              <w:t>(</w:t>
            </w:r>
            <w:r w:rsidR="00B3722F" w:rsidRPr="006020CD">
              <w:rPr>
                <w:sz w:val="16"/>
                <w:szCs w:val="16"/>
                <w:lang w:val="en-GB"/>
              </w:rPr>
              <w:t>CBNR</w:t>
            </w:r>
            <w:r w:rsidR="00D00C6F" w:rsidRPr="0089780F">
              <w:rPr>
                <w:sz w:val="16"/>
                <w:szCs w:val="16"/>
                <w:lang w:val="en-GB"/>
              </w:rPr>
              <w:t>M</w:t>
            </w:r>
            <w:r w:rsidR="00D00C6F" w:rsidRPr="00AE6DA9">
              <w:rPr>
                <w:sz w:val="16"/>
                <w:szCs w:val="16"/>
                <w:lang w:val="en-GB"/>
              </w:rPr>
              <w:t>)</w:t>
            </w:r>
            <w:r w:rsidR="00B3722F" w:rsidRPr="006020CD">
              <w:rPr>
                <w:sz w:val="16"/>
                <w:szCs w:val="16"/>
                <w:lang w:val="en-GB"/>
              </w:rPr>
              <w:t xml:space="preserve"> </w:t>
            </w:r>
            <w:r w:rsidR="00D00C6F" w:rsidRPr="0089780F">
              <w:rPr>
                <w:sz w:val="16"/>
                <w:szCs w:val="16"/>
                <w:lang w:val="en-GB"/>
              </w:rPr>
              <w:t>p</w:t>
            </w:r>
            <w:r w:rsidR="00B3722F" w:rsidRPr="006020CD">
              <w:rPr>
                <w:sz w:val="16"/>
                <w:szCs w:val="16"/>
                <w:lang w:val="en-GB"/>
              </w:rPr>
              <w:t xml:space="preserve">olicy, and </w:t>
            </w:r>
            <w:r w:rsidR="00D00C6F" w:rsidRPr="006020CD">
              <w:rPr>
                <w:sz w:val="16"/>
                <w:szCs w:val="16"/>
                <w:lang w:val="en-GB"/>
              </w:rPr>
              <w:t>National Climate Change Strategy and Action. Plan</w:t>
            </w:r>
            <w:r w:rsidR="00D00C6F" w:rsidRPr="0089780F">
              <w:rPr>
                <w:sz w:val="16"/>
                <w:szCs w:val="16"/>
                <w:lang w:val="en-GB"/>
              </w:rPr>
              <w:t xml:space="preserve"> </w:t>
            </w:r>
            <w:r w:rsidR="00D00C6F" w:rsidRPr="00AE6DA9">
              <w:rPr>
                <w:sz w:val="16"/>
                <w:szCs w:val="16"/>
                <w:lang w:val="en-GB"/>
              </w:rPr>
              <w:t>(</w:t>
            </w:r>
            <w:r w:rsidR="00B3722F" w:rsidRPr="006020CD">
              <w:rPr>
                <w:sz w:val="16"/>
                <w:szCs w:val="16"/>
                <w:lang w:val="en-GB"/>
              </w:rPr>
              <w:t>NCCSAP</w:t>
            </w:r>
            <w:r w:rsidR="00D00C6F" w:rsidRPr="0089780F">
              <w:rPr>
                <w:sz w:val="16"/>
                <w:szCs w:val="16"/>
                <w:lang w:val="en-GB"/>
              </w:rPr>
              <w:t>)</w:t>
            </w:r>
            <w:r w:rsidR="00B3722F" w:rsidRPr="006020CD">
              <w:rPr>
                <w:sz w:val="16"/>
                <w:szCs w:val="16"/>
                <w:lang w:val="en-GB"/>
              </w:rPr>
              <w:t xml:space="preserve"> (2017)</w:t>
            </w:r>
          </w:p>
          <w:p w14:paraId="7957D16C" w14:textId="08DF99CA" w:rsidR="00B3722F" w:rsidRPr="006020CD" w:rsidRDefault="00FF3A30">
            <w:pPr>
              <w:tabs>
                <w:tab w:val="left" w:pos="8789"/>
              </w:tabs>
              <w:spacing w:line="276" w:lineRule="auto"/>
              <w:jc w:val="both"/>
              <w:rPr>
                <w:bCs/>
                <w:sz w:val="16"/>
                <w:szCs w:val="16"/>
                <w:lang w:val="en-GB"/>
              </w:rPr>
            </w:pPr>
            <w:r w:rsidRPr="006020CD">
              <w:rPr>
                <w:b/>
                <w:bCs/>
                <w:sz w:val="16"/>
                <w:szCs w:val="16"/>
                <w:lang w:val="en-GB"/>
              </w:rPr>
              <w:t>Target:</w:t>
            </w:r>
            <w:r w:rsidRPr="006020CD">
              <w:rPr>
                <w:bCs/>
                <w:sz w:val="16"/>
                <w:szCs w:val="16"/>
                <w:lang w:val="en-GB"/>
              </w:rPr>
              <w:t xml:space="preserve"> </w:t>
            </w:r>
            <w:r w:rsidR="009B2527" w:rsidRPr="006020CD">
              <w:rPr>
                <w:bCs/>
                <w:sz w:val="16"/>
                <w:szCs w:val="16"/>
                <w:lang w:val="en-GB"/>
              </w:rPr>
              <w:t>4</w:t>
            </w:r>
            <w:r w:rsidR="00CF7F3A">
              <w:rPr>
                <w:bCs/>
                <w:sz w:val="16"/>
                <w:szCs w:val="16"/>
                <w:lang w:val="en-GB"/>
              </w:rPr>
              <w:t>.</w:t>
            </w:r>
            <w:r w:rsidR="00B3722F" w:rsidRPr="006020CD">
              <w:rPr>
                <w:bCs/>
                <w:sz w:val="16"/>
                <w:szCs w:val="16"/>
                <w:lang w:val="en-GB"/>
              </w:rPr>
              <w:t xml:space="preserve"> National Adaptation Plan for Namibia (2023)</w:t>
            </w:r>
          </w:p>
          <w:p w14:paraId="390A0A28" w14:textId="7FE813E1" w:rsidR="005075EE" w:rsidRPr="006020CD" w:rsidRDefault="00B3722F">
            <w:pPr>
              <w:tabs>
                <w:tab w:val="left" w:pos="8789"/>
              </w:tabs>
              <w:spacing w:line="276" w:lineRule="auto"/>
              <w:contextualSpacing/>
              <w:jc w:val="both"/>
              <w:rPr>
                <w:bCs/>
                <w:sz w:val="16"/>
                <w:szCs w:val="16"/>
                <w:lang w:val="en-GB"/>
              </w:rPr>
            </w:pPr>
            <w:r w:rsidRPr="006020CD">
              <w:rPr>
                <w:b/>
                <w:bCs/>
                <w:sz w:val="16"/>
                <w:szCs w:val="16"/>
                <w:lang w:val="en-GB"/>
              </w:rPr>
              <w:t>Data source</w:t>
            </w:r>
            <w:r w:rsidR="00832F58">
              <w:rPr>
                <w:b/>
                <w:bCs/>
                <w:sz w:val="16"/>
                <w:szCs w:val="16"/>
                <w:lang w:val="en-GB"/>
              </w:rPr>
              <w:t>s:</w:t>
            </w:r>
            <w:r w:rsidRPr="006020CD">
              <w:rPr>
                <w:bCs/>
                <w:sz w:val="16"/>
                <w:szCs w:val="16"/>
                <w:lang w:val="en-GB"/>
              </w:rPr>
              <w:t xml:space="preserve"> </w:t>
            </w:r>
            <w:r w:rsidR="00B749F2" w:rsidRPr="006020CD">
              <w:rPr>
                <w:bCs/>
                <w:sz w:val="16"/>
                <w:szCs w:val="16"/>
                <w:lang w:val="en-GB"/>
              </w:rPr>
              <w:t>G</w:t>
            </w:r>
            <w:r w:rsidR="003B33F5">
              <w:rPr>
                <w:bCs/>
                <w:sz w:val="16"/>
                <w:szCs w:val="16"/>
                <w:lang w:val="en-GB"/>
              </w:rPr>
              <w:t>overnment Gazette</w:t>
            </w:r>
            <w:r w:rsidRPr="006020CD">
              <w:rPr>
                <w:bCs/>
                <w:sz w:val="16"/>
                <w:szCs w:val="16"/>
                <w:lang w:val="en-GB"/>
              </w:rPr>
              <w:t xml:space="preserve">, </w:t>
            </w:r>
            <w:r w:rsidR="00801CB5" w:rsidRPr="006020CD">
              <w:rPr>
                <w:sz w:val="16"/>
                <w:szCs w:val="16"/>
                <w:lang w:val="en-GB"/>
              </w:rPr>
              <w:t>Environment Investment Fund</w:t>
            </w:r>
            <w:r w:rsidR="00801CB5" w:rsidRPr="0089780F">
              <w:rPr>
                <w:bCs/>
                <w:sz w:val="16"/>
                <w:szCs w:val="16"/>
                <w:lang w:val="en-GB"/>
              </w:rPr>
              <w:t xml:space="preserve"> </w:t>
            </w:r>
            <w:r w:rsidR="00801CB5">
              <w:rPr>
                <w:bCs/>
                <w:sz w:val="16"/>
                <w:szCs w:val="16"/>
                <w:lang w:val="en-GB"/>
              </w:rPr>
              <w:t>(</w:t>
            </w:r>
            <w:r w:rsidR="002353D3" w:rsidRPr="006020CD">
              <w:rPr>
                <w:bCs/>
                <w:sz w:val="16"/>
                <w:szCs w:val="16"/>
                <w:lang w:val="en-GB"/>
              </w:rPr>
              <w:t>EIF</w:t>
            </w:r>
            <w:r w:rsidR="00801CB5">
              <w:rPr>
                <w:bCs/>
                <w:sz w:val="16"/>
                <w:szCs w:val="16"/>
                <w:lang w:val="en-GB"/>
              </w:rPr>
              <w:t>)</w:t>
            </w:r>
            <w:r w:rsidR="002353D3" w:rsidRPr="006020CD">
              <w:rPr>
                <w:bCs/>
                <w:sz w:val="16"/>
                <w:szCs w:val="16"/>
                <w:lang w:val="en-GB"/>
              </w:rPr>
              <w:t xml:space="preserve">, CBNRM, </w:t>
            </w:r>
            <w:r w:rsidR="00F41C68">
              <w:rPr>
                <w:bCs/>
                <w:sz w:val="16"/>
                <w:szCs w:val="16"/>
                <w:lang w:val="en-GB"/>
              </w:rPr>
              <w:t>mi</w:t>
            </w:r>
            <w:r w:rsidRPr="006020CD">
              <w:rPr>
                <w:bCs/>
                <w:sz w:val="16"/>
                <w:szCs w:val="16"/>
                <w:lang w:val="en-GB"/>
              </w:rPr>
              <w:t>nisterial/</w:t>
            </w:r>
            <w:r w:rsidR="00F41C68">
              <w:rPr>
                <w:bCs/>
                <w:sz w:val="16"/>
                <w:szCs w:val="16"/>
                <w:lang w:val="en-GB"/>
              </w:rPr>
              <w:t>s</w:t>
            </w:r>
            <w:r w:rsidRPr="006020CD">
              <w:rPr>
                <w:bCs/>
                <w:sz w:val="16"/>
                <w:szCs w:val="16"/>
                <w:lang w:val="en-GB"/>
              </w:rPr>
              <w:t xml:space="preserve">ectoral </w:t>
            </w:r>
            <w:r w:rsidR="00F41C68">
              <w:rPr>
                <w:bCs/>
                <w:sz w:val="16"/>
                <w:szCs w:val="16"/>
                <w:lang w:val="en-GB"/>
              </w:rPr>
              <w:t>r</w:t>
            </w:r>
            <w:r w:rsidRPr="006020CD">
              <w:rPr>
                <w:bCs/>
                <w:sz w:val="16"/>
                <w:szCs w:val="16"/>
                <w:lang w:val="en-GB"/>
              </w:rPr>
              <w:t xml:space="preserve">eports, </w:t>
            </w:r>
          </w:p>
          <w:p w14:paraId="513465FD" w14:textId="77777777" w:rsidR="00B3722F" w:rsidRPr="006020CD" w:rsidRDefault="00B3722F">
            <w:pPr>
              <w:tabs>
                <w:tab w:val="left" w:pos="8789"/>
              </w:tabs>
              <w:spacing w:line="276" w:lineRule="auto"/>
              <w:contextualSpacing/>
              <w:jc w:val="both"/>
              <w:rPr>
                <w:b/>
                <w:sz w:val="16"/>
                <w:szCs w:val="16"/>
                <w:lang w:val="en-GB"/>
              </w:rPr>
            </w:pPr>
          </w:p>
          <w:p w14:paraId="3EAF0183" w14:textId="50A78A8F" w:rsidR="00B3722F" w:rsidRPr="00074002" w:rsidRDefault="00001EBC" w:rsidP="006020CD">
            <w:pPr>
              <w:jc w:val="both"/>
              <w:rPr>
                <w:sz w:val="16"/>
                <w:szCs w:val="16"/>
                <w:lang w:val="en-GB"/>
              </w:rPr>
            </w:pPr>
            <w:r w:rsidRPr="006020CD">
              <w:rPr>
                <w:b/>
                <w:sz w:val="16"/>
                <w:szCs w:val="16"/>
                <w:lang w:val="en-GB"/>
              </w:rPr>
              <w:t>Indicator 2.1.</w:t>
            </w:r>
            <w:r w:rsidR="00B84C92" w:rsidRPr="006020CD">
              <w:rPr>
                <w:b/>
                <w:sz w:val="16"/>
                <w:szCs w:val="16"/>
                <w:lang w:val="en-GB"/>
              </w:rPr>
              <w:t>3</w:t>
            </w:r>
            <w:r w:rsidR="00D71181">
              <w:rPr>
                <w:b/>
                <w:sz w:val="16"/>
                <w:szCs w:val="16"/>
                <w:lang w:val="en-GB"/>
              </w:rPr>
              <w:t>.</w:t>
            </w:r>
            <w:r w:rsidR="00B3722F" w:rsidRPr="006020CD">
              <w:rPr>
                <w:sz w:val="16"/>
                <w:szCs w:val="16"/>
                <w:lang w:val="en-GB"/>
              </w:rPr>
              <w:t xml:space="preserve"> </w:t>
            </w:r>
            <w:r w:rsidR="00A4321A" w:rsidRPr="006020CD">
              <w:rPr>
                <w:sz w:val="16"/>
                <w:szCs w:val="16"/>
                <w:lang w:val="en-GB"/>
              </w:rPr>
              <w:t>No.</w:t>
            </w:r>
            <w:r w:rsidR="00B3722F" w:rsidRPr="006020CD">
              <w:rPr>
                <w:sz w:val="16"/>
                <w:szCs w:val="16"/>
                <w:lang w:val="en-GB"/>
              </w:rPr>
              <w:t xml:space="preserve"> of functional </w:t>
            </w:r>
            <w:r w:rsidR="00D71181">
              <w:rPr>
                <w:sz w:val="16"/>
                <w:szCs w:val="16"/>
                <w:lang w:val="en-GB"/>
              </w:rPr>
              <w:t>i</w:t>
            </w:r>
            <w:r w:rsidR="00B3722F" w:rsidRPr="00074002">
              <w:rPr>
                <w:sz w:val="16"/>
                <w:szCs w:val="16"/>
                <w:lang w:val="en-GB"/>
              </w:rPr>
              <w:t>ntra-governmental coordination mechanisms improved to achieve targets as set out in</w:t>
            </w:r>
            <w:r w:rsidR="00F41C68">
              <w:rPr>
                <w:sz w:val="16"/>
                <w:szCs w:val="16"/>
                <w:lang w:val="en-GB"/>
              </w:rPr>
              <w:t>:</w:t>
            </w:r>
            <w:r w:rsidR="00B3722F" w:rsidRPr="00074002">
              <w:rPr>
                <w:sz w:val="16"/>
                <w:szCs w:val="16"/>
                <w:lang w:val="en-GB"/>
              </w:rPr>
              <w:t xml:space="preserve"> LDN </w:t>
            </w:r>
            <w:r w:rsidR="00F41C68">
              <w:rPr>
                <w:sz w:val="16"/>
                <w:szCs w:val="16"/>
                <w:lang w:val="en-GB"/>
              </w:rPr>
              <w:t>s</w:t>
            </w:r>
            <w:r w:rsidR="00B3722F" w:rsidRPr="00074002">
              <w:rPr>
                <w:sz w:val="16"/>
                <w:szCs w:val="16"/>
                <w:lang w:val="en-GB"/>
              </w:rPr>
              <w:t>trategy (</w:t>
            </w:r>
            <w:r w:rsidR="00F41C68" w:rsidRPr="006020CD">
              <w:rPr>
                <w:sz w:val="16"/>
                <w:szCs w:val="16"/>
                <w:lang w:val="en-GB"/>
              </w:rPr>
              <w:t>United Nations Convention to Combat Desertification</w:t>
            </w:r>
            <w:r w:rsidR="00B3722F" w:rsidRPr="00074002">
              <w:rPr>
                <w:sz w:val="16"/>
                <w:szCs w:val="16"/>
                <w:lang w:val="en-GB"/>
              </w:rPr>
              <w:t>)</w:t>
            </w:r>
            <w:r w:rsidR="00F41C68">
              <w:rPr>
                <w:sz w:val="16"/>
                <w:szCs w:val="16"/>
                <w:lang w:val="en-GB"/>
              </w:rPr>
              <w:t>;</w:t>
            </w:r>
            <w:r w:rsidR="00B3722F" w:rsidRPr="00074002">
              <w:rPr>
                <w:sz w:val="16"/>
                <w:szCs w:val="16"/>
                <w:lang w:val="en-GB"/>
              </w:rPr>
              <w:t xml:space="preserve"> </w:t>
            </w:r>
            <w:r w:rsidR="00EF5240">
              <w:rPr>
                <w:sz w:val="16"/>
                <w:szCs w:val="16"/>
                <w:lang w:val="en-GB"/>
              </w:rPr>
              <w:t>I</w:t>
            </w:r>
            <w:r w:rsidR="00F41C68" w:rsidRPr="006020CD">
              <w:rPr>
                <w:sz w:val="16"/>
                <w:szCs w:val="16"/>
                <w:lang w:val="en-GB"/>
              </w:rPr>
              <w:t xml:space="preserve">ntended </w:t>
            </w:r>
            <w:r w:rsidR="00EF5240">
              <w:rPr>
                <w:sz w:val="16"/>
                <w:szCs w:val="16"/>
                <w:lang w:val="en-GB"/>
              </w:rPr>
              <w:t>N</w:t>
            </w:r>
            <w:r w:rsidR="00F41C68" w:rsidRPr="006020CD">
              <w:rPr>
                <w:sz w:val="16"/>
                <w:szCs w:val="16"/>
                <w:lang w:val="en-GB"/>
              </w:rPr>
              <w:t xml:space="preserve">ationally </w:t>
            </w:r>
            <w:r w:rsidR="00EF5240">
              <w:rPr>
                <w:sz w:val="16"/>
                <w:szCs w:val="16"/>
                <w:lang w:val="en-GB"/>
              </w:rPr>
              <w:t>D</w:t>
            </w:r>
            <w:r w:rsidR="00F41C68" w:rsidRPr="006020CD">
              <w:rPr>
                <w:sz w:val="16"/>
                <w:szCs w:val="16"/>
                <w:lang w:val="en-GB"/>
              </w:rPr>
              <w:t xml:space="preserve">etermined </w:t>
            </w:r>
            <w:r w:rsidR="00EF5240">
              <w:rPr>
                <w:sz w:val="16"/>
                <w:szCs w:val="16"/>
                <w:lang w:val="en-GB"/>
              </w:rPr>
              <w:t>C</w:t>
            </w:r>
            <w:r w:rsidR="00F41C68" w:rsidRPr="006020CD">
              <w:rPr>
                <w:sz w:val="16"/>
                <w:szCs w:val="16"/>
                <w:lang w:val="en-GB"/>
              </w:rPr>
              <w:t>ontributions</w:t>
            </w:r>
            <w:r w:rsidR="00513E92">
              <w:rPr>
                <w:sz w:val="16"/>
                <w:szCs w:val="16"/>
                <w:lang w:val="en-GB"/>
              </w:rPr>
              <w:t xml:space="preserve"> </w:t>
            </w:r>
            <w:r w:rsidR="00EF5240">
              <w:rPr>
                <w:sz w:val="16"/>
                <w:szCs w:val="16"/>
                <w:lang w:val="en-GB"/>
              </w:rPr>
              <w:t>(</w:t>
            </w:r>
            <w:r w:rsidR="00513E92">
              <w:rPr>
                <w:sz w:val="16"/>
                <w:szCs w:val="16"/>
                <w:lang w:val="en-GB"/>
              </w:rPr>
              <w:t>INDC</w:t>
            </w:r>
            <w:r w:rsidR="00EF5240">
              <w:rPr>
                <w:sz w:val="16"/>
                <w:szCs w:val="16"/>
                <w:lang w:val="en-GB"/>
              </w:rPr>
              <w:t>)</w:t>
            </w:r>
            <w:r w:rsidR="00B3722F" w:rsidRPr="00074002">
              <w:rPr>
                <w:sz w:val="16"/>
                <w:szCs w:val="16"/>
                <w:lang w:val="en-GB"/>
              </w:rPr>
              <w:t xml:space="preserve"> (</w:t>
            </w:r>
            <w:r w:rsidR="00F41C68" w:rsidRPr="006020CD">
              <w:rPr>
                <w:sz w:val="16"/>
                <w:szCs w:val="16"/>
                <w:lang w:val="en-GB"/>
              </w:rPr>
              <w:t>United Nations Framework Convention on Climate Change</w:t>
            </w:r>
            <w:r w:rsidR="00B3722F" w:rsidRPr="00074002">
              <w:rPr>
                <w:sz w:val="16"/>
                <w:szCs w:val="16"/>
                <w:lang w:val="en-GB"/>
              </w:rPr>
              <w:t>)</w:t>
            </w:r>
            <w:r w:rsidR="00F41C68">
              <w:rPr>
                <w:sz w:val="16"/>
                <w:szCs w:val="16"/>
                <w:lang w:val="en-GB"/>
              </w:rPr>
              <w:t>;</w:t>
            </w:r>
            <w:r w:rsidR="00B3722F" w:rsidRPr="00074002">
              <w:rPr>
                <w:sz w:val="16"/>
                <w:szCs w:val="16"/>
                <w:lang w:val="en-GB"/>
              </w:rPr>
              <w:t xml:space="preserve"> </w:t>
            </w:r>
            <w:r w:rsidR="00F41C68" w:rsidRPr="0089780F">
              <w:rPr>
                <w:sz w:val="16"/>
                <w:szCs w:val="16"/>
                <w:lang w:val="en-GB"/>
              </w:rPr>
              <w:t>National Biodiversity Strategy</w:t>
            </w:r>
            <w:r w:rsidR="00F41C68" w:rsidRPr="006020CD">
              <w:rPr>
                <w:sz w:val="16"/>
                <w:szCs w:val="16"/>
                <w:lang w:val="en-GB"/>
              </w:rPr>
              <w:t xml:space="preserve"> and Action Plan (</w:t>
            </w:r>
            <w:r w:rsidR="00B3722F" w:rsidRPr="00074002">
              <w:rPr>
                <w:sz w:val="16"/>
                <w:szCs w:val="16"/>
                <w:lang w:val="en-GB"/>
              </w:rPr>
              <w:t>NBSAP</w:t>
            </w:r>
            <w:r w:rsidR="00F41C68">
              <w:rPr>
                <w:sz w:val="16"/>
                <w:szCs w:val="16"/>
                <w:lang w:val="en-GB"/>
              </w:rPr>
              <w:t>) </w:t>
            </w:r>
            <w:r w:rsidR="00B3722F" w:rsidRPr="00074002">
              <w:rPr>
                <w:sz w:val="16"/>
                <w:szCs w:val="16"/>
                <w:lang w:val="en-GB"/>
              </w:rPr>
              <w:t>2</w:t>
            </w:r>
            <w:r w:rsidR="00F41C68">
              <w:rPr>
                <w:sz w:val="16"/>
                <w:szCs w:val="16"/>
                <w:lang w:val="en-GB"/>
              </w:rPr>
              <w:t xml:space="preserve">; Convention on Biological Diversity </w:t>
            </w:r>
          </w:p>
          <w:p w14:paraId="5AD9CD30" w14:textId="5C23C331" w:rsidR="00B3722F" w:rsidRPr="006020CD" w:rsidRDefault="00B3722F" w:rsidP="0089780F">
            <w:pPr>
              <w:tabs>
                <w:tab w:val="left" w:pos="8789"/>
              </w:tabs>
              <w:jc w:val="both"/>
              <w:rPr>
                <w:bCs/>
                <w:sz w:val="16"/>
                <w:szCs w:val="16"/>
                <w:lang w:val="en-GB"/>
              </w:rPr>
            </w:pPr>
            <w:r w:rsidRPr="006020CD">
              <w:rPr>
                <w:b/>
                <w:bCs/>
                <w:sz w:val="16"/>
                <w:szCs w:val="16"/>
                <w:lang w:val="en-GB"/>
              </w:rPr>
              <w:t>Baseline</w:t>
            </w:r>
            <w:r w:rsidR="00832F58">
              <w:rPr>
                <w:b/>
                <w:bCs/>
                <w:sz w:val="16"/>
                <w:szCs w:val="16"/>
                <w:lang w:val="en-GB"/>
              </w:rPr>
              <w:t>:</w:t>
            </w:r>
            <w:r w:rsidRPr="006020CD">
              <w:rPr>
                <w:bCs/>
                <w:sz w:val="16"/>
                <w:szCs w:val="16"/>
                <w:lang w:val="en-GB"/>
              </w:rPr>
              <w:t xml:space="preserve"> 1</w:t>
            </w:r>
            <w:r w:rsidR="00CF7F3A">
              <w:rPr>
                <w:bCs/>
                <w:sz w:val="16"/>
                <w:szCs w:val="16"/>
                <w:lang w:val="en-GB"/>
              </w:rPr>
              <w:t>.</w:t>
            </w:r>
            <w:r w:rsidRPr="006020CD">
              <w:rPr>
                <w:bCs/>
                <w:sz w:val="16"/>
                <w:szCs w:val="16"/>
                <w:lang w:val="en-GB"/>
              </w:rPr>
              <w:t xml:space="preserve"> NCCC (2017)</w:t>
            </w:r>
          </w:p>
          <w:p w14:paraId="70A19907" w14:textId="713D3DC1" w:rsidR="00B3722F" w:rsidRPr="006020CD" w:rsidRDefault="00B3722F">
            <w:pPr>
              <w:tabs>
                <w:tab w:val="left" w:pos="8789"/>
              </w:tabs>
              <w:spacing w:line="276" w:lineRule="auto"/>
              <w:jc w:val="both"/>
              <w:rPr>
                <w:bCs/>
                <w:sz w:val="16"/>
                <w:szCs w:val="16"/>
                <w:lang w:val="en-GB"/>
              </w:rPr>
            </w:pPr>
            <w:r w:rsidRPr="006020CD">
              <w:rPr>
                <w:b/>
                <w:bCs/>
                <w:sz w:val="16"/>
                <w:szCs w:val="16"/>
                <w:lang w:val="en-GB"/>
              </w:rPr>
              <w:t>Target:</w:t>
            </w:r>
            <w:r w:rsidRPr="006020CD">
              <w:rPr>
                <w:bCs/>
                <w:sz w:val="16"/>
                <w:szCs w:val="16"/>
                <w:lang w:val="en-GB"/>
              </w:rPr>
              <w:t xml:space="preserve"> 3</w:t>
            </w:r>
            <w:r w:rsidR="00CF7F3A">
              <w:rPr>
                <w:bCs/>
                <w:sz w:val="16"/>
                <w:szCs w:val="16"/>
                <w:lang w:val="en-GB"/>
              </w:rPr>
              <w:t>.</w:t>
            </w:r>
            <w:r w:rsidRPr="006020CD">
              <w:rPr>
                <w:bCs/>
                <w:sz w:val="16"/>
                <w:szCs w:val="16"/>
                <w:lang w:val="en-GB"/>
              </w:rPr>
              <w:t xml:space="preserve"> CBNRM for </w:t>
            </w:r>
            <w:r w:rsidR="00D71181">
              <w:rPr>
                <w:bCs/>
                <w:sz w:val="16"/>
                <w:szCs w:val="16"/>
                <w:lang w:val="en-GB"/>
              </w:rPr>
              <w:t>w</w:t>
            </w:r>
            <w:r w:rsidRPr="006020CD">
              <w:rPr>
                <w:bCs/>
                <w:sz w:val="16"/>
                <w:szCs w:val="16"/>
                <w:lang w:val="en-GB"/>
              </w:rPr>
              <w:t>ater, sustainable development council, or consolidated NBSAP/NCCC/LD</w:t>
            </w:r>
            <w:r w:rsidR="00F41C68">
              <w:rPr>
                <w:bCs/>
                <w:sz w:val="16"/>
                <w:szCs w:val="16"/>
                <w:lang w:val="en-GB"/>
              </w:rPr>
              <w:t>N</w:t>
            </w:r>
            <w:r w:rsidRPr="006020CD">
              <w:rPr>
                <w:bCs/>
                <w:sz w:val="16"/>
                <w:szCs w:val="16"/>
                <w:lang w:val="en-GB"/>
              </w:rPr>
              <w:t xml:space="preserve"> (2023)</w:t>
            </w:r>
          </w:p>
          <w:p w14:paraId="0278A5A5" w14:textId="63040DA8" w:rsidR="00B3722F" w:rsidRPr="006020CD" w:rsidRDefault="00B3722F">
            <w:pPr>
              <w:tabs>
                <w:tab w:val="left" w:pos="8789"/>
              </w:tabs>
              <w:spacing w:line="276" w:lineRule="auto"/>
              <w:contextualSpacing/>
              <w:jc w:val="both"/>
              <w:rPr>
                <w:b/>
                <w:sz w:val="16"/>
                <w:szCs w:val="16"/>
                <w:lang w:val="en-GB"/>
              </w:rPr>
            </w:pPr>
            <w:r w:rsidRPr="006020CD">
              <w:rPr>
                <w:b/>
                <w:bCs/>
                <w:sz w:val="16"/>
                <w:szCs w:val="16"/>
                <w:lang w:val="en-GB"/>
              </w:rPr>
              <w:t>Data source</w:t>
            </w:r>
            <w:r w:rsidR="00832F58">
              <w:rPr>
                <w:b/>
                <w:bCs/>
                <w:sz w:val="16"/>
                <w:szCs w:val="16"/>
                <w:lang w:val="en-GB"/>
              </w:rPr>
              <w:t>s</w:t>
            </w:r>
            <w:r w:rsidRPr="006020CD">
              <w:rPr>
                <w:b/>
                <w:bCs/>
                <w:sz w:val="16"/>
                <w:szCs w:val="16"/>
                <w:lang w:val="en-GB"/>
              </w:rPr>
              <w:t xml:space="preserve">: </w:t>
            </w:r>
            <w:r w:rsidRPr="006020CD">
              <w:rPr>
                <w:bCs/>
                <w:sz w:val="16"/>
                <w:szCs w:val="16"/>
                <w:lang w:val="en-GB"/>
              </w:rPr>
              <w:t>NB</w:t>
            </w:r>
            <w:r w:rsidR="00BA2DF5" w:rsidRPr="006020CD">
              <w:rPr>
                <w:bCs/>
                <w:sz w:val="16"/>
                <w:szCs w:val="16"/>
                <w:lang w:val="en-GB"/>
              </w:rPr>
              <w:t xml:space="preserve">SAP, NCCC </w:t>
            </w:r>
            <w:r w:rsidR="00513E92">
              <w:rPr>
                <w:bCs/>
                <w:sz w:val="16"/>
                <w:szCs w:val="16"/>
                <w:lang w:val="en-GB"/>
              </w:rPr>
              <w:t>and</w:t>
            </w:r>
            <w:r w:rsidR="00BA2DF5" w:rsidRPr="006020CD">
              <w:rPr>
                <w:bCs/>
                <w:sz w:val="16"/>
                <w:szCs w:val="16"/>
                <w:lang w:val="en-GB"/>
              </w:rPr>
              <w:t xml:space="preserve"> </w:t>
            </w:r>
            <w:r w:rsidR="00513E92">
              <w:rPr>
                <w:bCs/>
                <w:sz w:val="16"/>
                <w:szCs w:val="16"/>
                <w:lang w:val="en-GB"/>
              </w:rPr>
              <w:t>sustainable land management</w:t>
            </w:r>
            <w:r w:rsidR="00BA2DF5" w:rsidRPr="006020CD">
              <w:rPr>
                <w:bCs/>
                <w:sz w:val="16"/>
                <w:szCs w:val="16"/>
                <w:lang w:val="en-GB"/>
              </w:rPr>
              <w:t>/LD</w:t>
            </w:r>
            <w:r w:rsidR="00513E92">
              <w:rPr>
                <w:bCs/>
                <w:sz w:val="16"/>
                <w:szCs w:val="16"/>
                <w:lang w:val="en-GB"/>
              </w:rPr>
              <w:t>N</w:t>
            </w:r>
            <w:r w:rsidR="00BA2DF5" w:rsidRPr="006020CD">
              <w:rPr>
                <w:bCs/>
                <w:sz w:val="16"/>
                <w:szCs w:val="16"/>
                <w:lang w:val="en-GB"/>
              </w:rPr>
              <w:t xml:space="preserve"> </w:t>
            </w:r>
            <w:r w:rsidR="00D71181">
              <w:rPr>
                <w:bCs/>
                <w:sz w:val="16"/>
                <w:szCs w:val="16"/>
                <w:lang w:val="en-GB"/>
              </w:rPr>
              <w:t>r</w:t>
            </w:r>
            <w:r w:rsidR="00BA2DF5" w:rsidRPr="006020CD">
              <w:rPr>
                <w:bCs/>
                <w:sz w:val="16"/>
                <w:szCs w:val="16"/>
                <w:lang w:val="en-GB"/>
              </w:rPr>
              <w:t>eports</w:t>
            </w:r>
            <w:r w:rsidRPr="006020CD">
              <w:rPr>
                <w:bCs/>
                <w:sz w:val="16"/>
                <w:szCs w:val="16"/>
                <w:lang w:val="en-GB"/>
              </w:rPr>
              <w:t>/</w:t>
            </w:r>
            <w:r w:rsidR="00D71181">
              <w:rPr>
                <w:bCs/>
                <w:sz w:val="16"/>
                <w:szCs w:val="16"/>
                <w:lang w:val="en-GB"/>
              </w:rPr>
              <w:t>m</w:t>
            </w:r>
            <w:r w:rsidR="00030D96" w:rsidRPr="006020CD">
              <w:rPr>
                <w:bCs/>
                <w:sz w:val="16"/>
                <w:szCs w:val="16"/>
                <w:lang w:val="en-GB"/>
              </w:rPr>
              <w:t>inutes</w:t>
            </w:r>
            <w:r w:rsidR="00513E92">
              <w:rPr>
                <w:bCs/>
                <w:sz w:val="16"/>
                <w:szCs w:val="16"/>
                <w:lang w:val="en-GB"/>
              </w:rPr>
              <w:t>;</w:t>
            </w:r>
            <w:r w:rsidR="00030D96" w:rsidRPr="006020CD">
              <w:rPr>
                <w:bCs/>
                <w:sz w:val="16"/>
                <w:szCs w:val="16"/>
                <w:lang w:val="en-GB"/>
              </w:rPr>
              <w:t xml:space="preserve"> CBNRM</w:t>
            </w:r>
            <w:r w:rsidRPr="006020CD">
              <w:rPr>
                <w:bCs/>
                <w:sz w:val="16"/>
                <w:szCs w:val="16"/>
                <w:lang w:val="en-GB"/>
              </w:rPr>
              <w:t xml:space="preserve"> </w:t>
            </w:r>
            <w:r w:rsidR="00D71181">
              <w:rPr>
                <w:bCs/>
                <w:sz w:val="16"/>
                <w:szCs w:val="16"/>
                <w:lang w:val="en-GB"/>
              </w:rPr>
              <w:t>r</w:t>
            </w:r>
            <w:r w:rsidRPr="006020CD">
              <w:rPr>
                <w:bCs/>
                <w:sz w:val="16"/>
                <w:szCs w:val="16"/>
                <w:lang w:val="en-GB"/>
              </w:rPr>
              <w:t>eports</w:t>
            </w:r>
            <w:r w:rsidR="00513E92">
              <w:rPr>
                <w:bCs/>
                <w:sz w:val="16"/>
                <w:szCs w:val="16"/>
                <w:lang w:val="en-GB"/>
              </w:rPr>
              <w:t>;</w:t>
            </w:r>
            <w:r w:rsidRPr="006020CD">
              <w:rPr>
                <w:bCs/>
                <w:sz w:val="16"/>
                <w:szCs w:val="16"/>
                <w:lang w:val="en-GB"/>
              </w:rPr>
              <w:t xml:space="preserve"> </w:t>
            </w:r>
            <w:r w:rsidR="00D71181">
              <w:rPr>
                <w:bCs/>
                <w:sz w:val="16"/>
                <w:szCs w:val="16"/>
                <w:lang w:val="en-GB"/>
              </w:rPr>
              <w:t>s</w:t>
            </w:r>
            <w:r w:rsidRPr="006020CD">
              <w:rPr>
                <w:bCs/>
                <w:sz w:val="16"/>
                <w:szCs w:val="16"/>
                <w:lang w:val="en-GB"/>
              </w:rPr>
              <w:t xml:space="preserve">ectoral </w:t>
            </w:r>
            <w:r w:rsidR="00D71181">
              <w:rPr>
                <w:bCs/>
                <w:sz w:val="16"/>
                <w:szCs w:val="16"/>
                <w:lang w:val="en-GB"/>
              </w:rPr>
              <w:t>a</w:t>
            </w:r>
            <w:r w:rsidRPr="006020CD">
              <w:rPr>
                <w:bCs/>
                <w:sz w:val="16"/>
                <w:szCs w:val="16"/>
                <w:lang w:val="en-GB"/>
              </w:rPr>
              <w:t xml:space="preserve">nnual </w:t>
            </w:r>
            <w:r w:rsidR="00D71181">
              <w:rPr>
                <w:bCs/>
                <w:sz w:val="16"/>
                <w:szCs w:val="16"/>
                <w:lang w:val="en-GB"/>
              </w:rPr>
              <w:t>r</w:t>
            </w:r>
            <w:r w:rsidRPr="006020CD">
              <w:rPr>
                <w:bCs/>
                <w:sz w:val="16"/>
                <w:szCs w:val="16"/>
                <w:lang w:val="en-GB"/>
              </w:rPr>
              <w:t>eports</w:t>
            </w:r>
            <w:r w:rsidR="00513E92">
              <w:rPr>
                <w:bCs/>
                <w:sz w:val="16"/>
                <w:szCs w:val="16"/>
                <w:lang w:val="en-GB"/>
              </w:rPr>
              <w:t>;</w:t>
            </w:r>
            <w:r w:rsidR="00BA2DF5" w:rsidRPr="006020CD">
              <w:rPr>
                <w:bCs/>
                <w:sz w:val="16"/>
                <w:szCs w:val="16"/>
                <w:lang w:val="en-GB"/>
              </w:rPr>
              <w:t xml:space="preserve"> </w:t>
            </w:r>
            <w:r w:rsidR="00513E92" w:rsidRPr="006020CD">
              <w:rPr>
                <w:bCs/>
                <w:sz w:val="16"/>
                <w:szCs w:val="16"/>
                <w:lang w:val="en-GB"/>
              </w:rPr>
              <w:t>Sustainable Development Advisory Council</w:t>
            </w:r>
            <w:r w:rsidR="00513E92">
              <w:rPr>
                <w:bCs/>
                <w:sz w:val="16"/>
                <w:szCs w:val="16"/>
                <w:lang w:val="en-GB"/>
              </w:rPr>
              <w:t>;</w:t>
            </w:r>
            <w:r w:rsidRPr="006020CD">
              <w:rPr>
                <w:bCs/>
                <w:sz w:val="16"/>
                <w:szCs w:val="16"/>
                <w:lang w:val="en-GB"/>
              </w:rPr>
              <w:t xml:space="preserve"> LDN, </w:t>
            </w:r>
            <w:r w:rsidR="00513E92">
              <w:rPr>
                <w:bCs/>
                <w:sz w:val="16"/>
                <w:szCs w:val="16"/>
                <w:lang w:val="en-GB"/>
              </w:rPr>
              <w:t>INDC</w:t>
            </w:r>
            <w:r w:rsidR="00513E92" w:rsidRPr="006020CD">
              <w:rPr>
                <w:bCs/>
                <w:sz w:val="16"/>
                <w:szCs w:val="16"/>
                <w:lang w:val="en-GB"/>
              </w:rPr>
              <w:t xml:space="preserve"> </w:t>
            </w:r>
            <w:r w:rsidR="00D71181">
              <w:rPr>
                <w:bCs/>
                <w:sz w:val="16"/>
                <w:szCs w:val="16"/>
                <w:lang w:val="en-GB"/>
              </w:rPr>
              <w:t>r</w:t>
            </w:r>
            <w:r w:rsidRPr="006020CD">
              <w:rPr>
                <w:bCs/>
                <w:sz w:val="16"/>
                <w:szCs w:val="16"/>
                <w:lang w:val="en-GB"/>
              </w:rPr>
              <w:t>eports</w:t>
            </w:r>
            <w:r w:rsidR="00513E92">
              <w:rPr>
                <w:bCs/>
                <w:sz w:val="16"/>
                <w:szCs w:val="16"/>
                <w:lang w:val="en-GB"/>
              </w:rPr>
              <w:t>;</w:t>
            </w:r>
            <w:r w:rsidRPr="006020CD">
              <w:rPr>
                <w:bCs/>
                <w:sz w:val="16"/>
                <w:szCs w:val="16"/>
                <w:lang w:val="en-GB"/>
              </w:rPr>
              <w:t xml:space="preserve"> </w:t>
            </w:r>
            <w:r w:rsidR="00D71181">
              <w:rPr>
                <w:bCs/>
                <w:sz w:val="16"/>
                <w:szCs w:val="16"/>
                <w:lang w:val="en-GB"/>
              </w:rPr>
              <w:t>n</w:t>
            </w:r>
            <w:r w:rsidRPr="006020CD">
              <w:rPr>
                <w:bCs/>
                <w:sz w:val="16"/>
                <w:szCs w:val="16"/>
                <w:lang w:val="en-GB"/>
              </w:rPr>
              <w:t xml:space="preserve">ational </w:t>
            </w:r>
            <w:r w:rsidR="00D71181">
              <w:rPr>
                <w:bCs/>
                <w:sz w:val="16"/>
                <w:szCs w:val="16"/>
                <w:lang w:val="en-GB"/>
              </w:rPr>
              <w:t>c</w:t>
            </w:r>
            <w:r w:rsidRPr="006020CD">
              <w:rPr>
                <w:bCs/>
                <w:sz w:val="16"/>
                <w:szCs w:val="16"/>
                <w:lang w:val="en-GB"/>
              </w:rPr>
              <w:t xml:space="preserve">ommunication </w:t>
            </w:r>
            <w:r w:rsidR="00D71181">
              <w:rPr>
                <w:bCs/>
                <w:sz w:val="16"/>
                <w:szCs w:val="16"/>
                <w:lang w:val="en-GB"/>
              </w:rPr>
              <w:t>r</w:t>
            </w:r>
            <w:r w:rsidRPr="006020CD">
              <w:rPr>
                <w:bCs/>
                <w:sz w:val="16"/>
                <w:szCs w:val="16"/>
                <w:lang w:val="en-GB"/>
              </w:rPr>
              <w:t>eports</w:t>
            </w:r>
          </w:p>
          <w:p w14:paraId="69776768" w14:textId="77777777" w:rsidR="00FF3A30" w:rsidRPr="006020CD" w:rsidRDefault="00FF3A30" w:rsidP="006020CD">
            <w:pPr>
              <w:jc w:val="both"/>
              <w:rPr>
                <w:b/>
                <w:sz w:val="16"/>
                <w:szCs w:val="16"/>
                <w:lang w:val="en-GB"/>
              </w:rPr>
            </w:pPr>
          </w:p>
        </w:tc>
        <w:tc>
          <w:tcPr>
            <w:tcW w:w="586" w:type="pct"/>
            <w:tcBorders>
              <w:bottom w:val="single" w:sz="4" w:space="0" w:color="auto"/>
            </w:tcBorders>
          </w:tcPr>
          <w:p w14:paraId="24C6F107" w14:textId="65774772" w:rsidR="00FF3A30" w:rsidRPr="006020CD" w:rsidRDefault="00513E92" w:rsidP="00425BCB">
            <w:pPr>
              <w:tabs>
                <w:tab w:val="left" w:pos="8789"/>
              </w:tabs>
              <w:rPr>
                <w:iCs/>
                <w:sz w:val="16"/>
                <w:szCs w:val="16"/>
                <w:lang w:val="en-GB"/>
              </w:rPr>
            </w:pPr>
            <w:r w:rsidRPr="006020CD">
              <w:rPr>
                <w:iCs/>
                <w:sz w:val="16"/>
                <w:szCs w:val="16"/>
                <w:lang w:val="en-GB"/>
              </w:rPr>
              <w:t>Ministry of Environment and Tourism</w:t>
            </w:r>
            <w:r w:rsidRPr="0089780F">
              <w:rPr>
                <w:iCs/>
                <w:sz w:val="16"/>
                <w:szCs w:val="16"/>
                <w:lang w:val="en-GB"/>
              </w:rPr>
              <w:t xml:space="preserve"> </w:t>
            </w:r>
            <w:r>
              <w:rPr>
                <w:iCs/>
                <w:sz w:val="16"/>
                <w:szCs w:val="16"/>
                <w:lang w:val="en-GB"/>
              </w:rPr>
              <w:t>(</w:t>
            </w:r>
            <w:r w:rsidR="00D04899" w:rsidRPr="006020CD">
              <w:rPr>
                <w:iCs/>
                <w:sz w:val="16"/>
                <w:szCs w:val="16"/>
                <w:lang w:val="en-GB"/>
              </w:rPr>
              <w:t>MET</w:t>
            </w:r>
            <w:r>
              <w:rPr>
                <w:iCs/>
                <w:sz w:val="16"/>
                <w:szCs w:val="16"/>
                <w:lang w:val="en-GB"/>
              </w:rPr>
              <w:t>)</w:t>
            </w:r>
          </w:p>
          <w:p w14:paraId="7F1967C4" w14:textId="6D9D7793" w:rsidR="00FF3A30" w:rsidRPr="006020CD" w:rsidRDefault="00513E92" w:rsidP="00425BCB">
            <w:pPr>
              <w:tabs>
                <w:tab w:val="left" w:pos="8789"/>
              </w:tabs>
              <w:rPr>
                <w:iCs/>
                <w:sz w:val="16"/>
                <w:szCs w:val="16"/>
                <w:lang w:val="en-GB"/>
              </w:rPr>
            </w:pPr>
            <w:r w:rsidRPr="006020CD">
              <w:rPr>
                <w:iCs/>
                <w:sz w:val="16"/>
                <w:szCs w:val="16"/>
                <w:lang w:val="en-GB"/>
              </w:rPr>
              <w:t>Ministry of Agriculture, Water and Forestry</w:t>
            </w:r>
            <w:r w:rsidRPr="0089780F">
              <w:rPr>
                <w:iCs/>
                <w:sz w:val="16"/>
                <w:szCs w:val="16"/>
                <w:lang w:val="en-GB"/>
              </w:rPr>
              <w:t xml:space="preserve"> </w:t>
            </w:r>
            <w:r w:rsidR="002F73D5">
              <w:rPr>
                <w:iCs/>
                <w:sz w:val="16"/>
                <w:szCs w:val="16"/>
                <w:lang w:val="en-GB"/>
              </w:rPr>
              <w:t>(</w:t>
            </w:r>
            <w:r w:rsidR="00D04899" w:rsidRPr="006020CD">
              <w:rPr>
                <w:iCs/>
                <w:sz w:val="16"/>
                <w:szCs w:val="16"/>
                <w:lang w:val="en-GB"/>
              </w:rPr>
              <w:t>MAWF</w:t>
            </w:r>
            <w:r w:rsidR="002F73D5">
              <w:rPr>
                <w:iCs/>
                <w:sz w:val="16"/>
                <w:szCs w:val="16"/>
                <w:lang w:val="en-GB"/>
              </w:rPr>
              <w:t>)</w:t>
            </w:r>
          </w:p>
          <w:p w14:paraId="0CAEBC53" w14:textId="35CC1B4C" w:rsidR="00FF3A30" w:rsidRPr="006020CD" w:rsidRDefault="002F73D5" w:rsidP="00425BCB">
            <w:pPr>
              <w:tabs>
                <w:tab w:val="left" w:pos="8789"/>
              </w:tabs>
              <w:rPr>
                <w:iCs/>
                <w:sz w:val="16"/>
                <w:szCs w:val="16"/>
                <w:lang w:val="en-GB"/>
              </w:rPr>
            </w:pPr>
            <w:r w:rsidRPr="006020CD">
              <w:rPr>
                <w:iCs/>
                <w:sz w:val="16"/>
                <w:szCs w:val="16"/>
                <w:lang w:val="en-GB"/>
              </w:rPr>
              <w:t>Ministry of Poverty Eradication and Social Welfare</w:t>
            </w:r>
            <w:r w:rsidRPr="0089780F">
              <w:rPr>
                <w:iCs/>
                <w:sz w:val="16"/>
                <w:szCs w:val="16"/>
                <w:lang w:val="en-GB"/>
              </w:rPr>
              <w:t xml:space="preserve"> </w:t>
            </w:r>
            <w:r>
              <w:rPr>
                <w:iCs/>
                <w:sz w:val="16"/>
                <w:szCs w:val="16"/>
                <w:lang w:val="en-GB"/>
              </w:rPr>
              <w:t>(</w:t>
            </w:r>
            <w:r w:rsidR="00FF3A30" w:rsidRPr="006020CD">
              <w:rPr>
                <w:iCs/>
                <w:sz w:val="16"/>
                <w:szCs w:val="16"/>
                <w:lang w:val="en-GB"/>
              </w:rPr>
              <w:t>MPESW</w:t>
            </w:r>
            <w:r>
              <w:rPr>
                <w:iCs/>
                <w:sz w:val="16"/>
                <w:szCs w:val="16"/>
                <w:lang w:val="en-GB"/>
              </w:rPr>
              <w:t>)</w:t>
            </w:r>
          </w:p>
          <w:p w14:paraId="267B61D8" w14:textId="72E452E8" w:rsidR="00FF3A30" w:rsidRPr="006020CD" w:rsidRDefault="002F73D5" w:rsidP="00425BCB">
            <w:pPr>
              <w:tabs>
                <w:tab w:val="left" w:pos="8789"/>
              </w:tabs>
              <w:rPr>
                <w:iCs/>
                <w:sz w:val="16"/>
                <w:szCs w:val="16"/>
                <w:lang w:val="en-GB"/>
              </w:rPr>
            </w:pPr>
            <w:r>
              <w:rPr>
                <w:iCs/>
                <w:sz w:val="16"/>
                <w:szCs w:val="16"/>
                <w:lang w:val="en-GB"/>
              </w:rPr>
              <w:t>Ministry of Gender (</w:t>
            </w:r>
            <w:r w:rsidR="00FF3A30" w:rsidRPr="006020CD">
              <w:rPr>
                <w:iCs/>
                <w:sz w:val="16"/>
                <w:szCs w:val="16"/>
                <w:lang w:val="en-GB"/>
              </w:rPr>
              <w:t>MGECW</w:t>
            </w:r>
            <w:r>
              <w:rPr>
                <w:iCs/>
                <w:sz w:val="16"/>
                <w:szCs w:val="16"/>
                <w:lang w:val="en-GB"/>
              </w:rPr>
              <w:t>)</w:t>
            </w:r>
          </w:p>
          <w:p w14:paraId="66655CF4" w14:textId="13294E08" w:rsidR="00FF3A30" w:rsidRPr="006020CD" w:rsidRDefault="00FF3A30" w:rsidP="00425BCB">
            <w:pPr>
              <w:tabs>
                <w:tab w:val="left" w:pos="8789"/>
              </w:tabs>
              <w:rPr>
                <w:iCs/>
                <w:sz w:val="16"/>
                <w:szCs w:val="16"/>
                <w:lang w:val="en-GB"/>
              </w:rPr>
            </w:pPr>
            <w:r w:rsidRPr="006020CD">
              <w:rPr>
                <w:iCs/>
                <w:sz w:val="16"/>
                <w:szCs w:val="16"/>
                <w:lang w:val="en-GB"/>
              </w:rPr>
              <w:t>MITSMED</w:t>
            </w:r>
          </w:p>
          <w:p w14:paraId="1FE33A03" w14:textId="3A3EE799" w:rsidR="00FF3A30" w:rsidRPr="006020CD" w:rsidRDefault="00D04899" w:rsidP="00425BCB">
            <w:pPr>
              <w:tabs>
                <w:tab w:val="left" w:pos="8789"/>
              </w:tabs>
              <w:rPr>
                <w:iCs/>
                <w:sz w:val="16"/>
                <w:szCs w:val="16"/>
                <w:lang w:val="en-GB"/>
              </w:rPr>
            </w:pPr>
            <w:r w:rsidRPr="006020CD">
              <w:rPr>
                <w:iCs/>
                <w:sz w:val="16"/>
                <w:szCs w:val="16"/>
                <w:lang w:val="en-GB"/>
              </w:rPr>
              <w:t>M</w:t>
            </w:r>
            <w:r w:rsidR="00353063">
              <w:rPr>
                <w:iCs/>
                <w:sz w:val="16"/>
                <w:szCs w:val="16"/>
                <w:lang w:val="en-GB"/>
              </w:rPr>
              <w:t>O</w:t>
            </w:r>
            <w:r w:rsidRPr="006020CD">
              <w:rPr>
                <w:iCs/>
                <w:sz w:val="16"/>
                <w:szCs w:val="16"/>
                <w:lang w:val="en-GB"/>
              </w:rPr>
              <w:t>F</w:t>
            </w:r>
          </w:p>
          <w:p w14:paraId="3BB6E092" w14:textId="77777777" w:rsidR="00CE20FF" w:rsidRPr="006020CD" w:rsidRDefault="00CE20FF" w:rsidP="00425BCB">
            <w:pPr>
              <w:tabs>
                <w:tab w:val="left" w:pos="8789"/>
              </w:tabs>
              <w:rPr>
                <w:iCs/>
                <w:sz w:val="16"/>
                <w:szCs w:val="16"/>
                <w:lang w:val="en-GB"/>
              </w:rPr>
            </w:pPr>
            <w:r w:rsidRPr="006020CD">
              <w:rPr>
                <w:iCs/>
                <w:sz w:val="16"/>
                <w:szCs w:val="16"/>
                <w:lang w:val="en-GB"/>
              </w:rPr>
              <w:t>GEF</w:t>
            </w:r>
          </w:p>
          <w:p w14:paraId="78EAD725" w14:textId="3DB0D2FD" w:rsidR="00CE20FF" w:rsidRPr="006020CD" w:rsidRDefault="00E839F2" w:rsidP="00425BCB">
            <w:pPr>
              <w:tabs>
                <w:tab w:val="left" w:pos="8789"/>
              </w:tabs>
              <w:rPr>
                <w:iCs/>
                <w:sz w:val="16"/>
                <w:szCs w:val="16"/>
                <w:lang w:val="en-GB"/>
              </w:rPr>
            </w:pPr>
            <w:r w:rsidRPr="006020CD">
              <w:rPr>
                <w:iCs/>
                <w:sz w:val="16"/>
                <w:szCs w:val="16"/>
                <w:lang w:val="en-GB"/>
              </w:rPr>
              <w:t>Green Climate Fund</w:t>
            </w:r>
            <w:r w:rsidRPr="00E839F2">
              <w:rPr>
                <w:iCs/>
                <w:sz w:val="16"/>
                <w:szCs w:val="16"/>
                <w:lang w:val="en-GB"/>
              </w:rPr>
              <w:t xml:space="preserve"> </w:t>
            </w:r>
            <w:r>
              <w:rPr>
                <w:iCs/>
                <w:sz w:val="16"/>
                <w:szCs w:val="16"/>
                <w:lang w:val="en-GB"/>
              </w:rPr>
              <w:t>(</w:t>
            </w:r>
            <w:r w:rsidR="00CE20FF" w:rsidRPr="006020CD">
              <w:rPr>
                <w:iCs/>
                <w:sz w:val="16"/>
                <w:szCs w:val="16"/>
                <w:lang w:val="en-GB"/>
              </w:rPr>
              <w:t>GCF</w:t>
            </w:r>
            <w:r>
              <w:rPr>
                <w:iCs/>
                <w:sz w:val="16"/>
                <w:szCs w:val="16"/>
                <w:lang w:val="en-GB"/>
              </w:rPr>
              <w:t>)</w:t>
            </w:r>
          </w:p>
          <w:p w14:paraId="59ABF367" w14:textId="7C0DE442" w:rsidR="00CE20FF" w:rsidRPr="006020CD" w:rsidRDefault="00CE20FF" w:rsidP="00425BCB">
            <w:pPr>
              <w:tabs>
                <w:tab w:val="left" w:pos="8789"/>
              </w:tabs>
              <w:rPr>
                <w:iCs/>
                <w:sz w:val="16"/>
                <w:szCs w:val="16"/>
                <w:lang w:val="en-GB"/>
              </w:rPr>
            </w:pPr>
            <w:r w:rsidRPr="006020CD">
              <w:rPr>
                <w:iCs/>
                <w:sz w:val="16"/>
                <w:szCs w:val="16"/>
                <w:lang w:val="en-GB"/>
              </w:rPr>
              <w:t>WFP</w:t>
            </w:r>
          </w:p>
        </w:tc>
        <w:tc>
          <w:tcPr>
            <w:tcW w:w="459" w:type="pct"/>
            <w:tcBorders>
              <w:bottom w:val="single" w:sz="4" w:space="0" w:color="auto"/>
            </w:tcBorders>
            <w:tcMar>
              <w:top w:w="15" w:type="dxa"/>
              <w:left w:w="108" w:type="dxa"/>
              <w:bottom w:w="0" w:type="dxa"/>
              <w:right w:w="108" w:type="dxa"/>
            </w:tcMar>
          </w:tcPr>
          <w:p w14:paraId="34A58C70" w14:textId="1A47BC9D" w:rsidR="00FF3A30" w:rsidRPr="006020CD" w:rsidRDefault="00FF3A30" w:rsidP="002C38A1">
            <w:pPr>
              <w:tabs>
                <w:tab w:val="left" w:pos="8789"/>
              </w:tabs>
              <w:rPr>
                <w:sz w:val="16"/>
                <w:szCs w:val="16"/>
                <w:lang w:val="en-GB"/>
              </w:rPr>
            </w:pPr>
            <w:r w:rsidRPr="006020CD">
              <w:rPr>
                <w:b/>
                <w:sz w:val="16"/>
                <w:szCs w:val="16"/>
                <w:lang w:val="en-GB"/>
              </w:rPr>
              <w:t xml:space="preserve">Regular: </w:t>
            </w:r>
            <w:r w:rsidR="004B7100" w:rsidRPr="006020CD">
              <w:rPr>
                <w:sz w:val="16"/>
                <w:szCs w:val="16"/>
                <w:lang w:val="en-GB"/>
              </w:rPr>
              <w:t>500</w:t>
            </w:r>
          </w:p>
          <w:p w14:paraId="4E096C3E" w14:textId="77777777" w:rsidR="00FF3A30" w:rsidRPr="006020CD" w:rsidRDefault="00FF3A30" w:rsidP="002C38A1">
            <w:pPr>
              <w:tabs>
                <w:tab w:val="left" w:pos="8789"/>
              </w:tabs>
              <w:rPr>
                <w:sz w:val="16"/>
                <w:szCs w:val="16"/>
                <w:lang w:val="en-GB"/>
              </w:rPr>
            </w:pPr>
          </w:p>
          <w:p w14:paraId="5A8A7245" w14:textId="4D1B9951" w:rsidR="00FF3A30" w:rsidRPr="006020CD" w:rsidRDefault="00273A42" w:rsidP="002C38A1">
            <w:pPr>
              <w:tabs>
                <w:tab w:val="left" w:pos="8789"/>
              </w:tabs>
              <w:rPr>
                <w:sz w:val="16"/>
                <w:szCs w:val="16"/>
                <w:lang w:val="en-GB"/>
              </w:rPr>
            </w:pPr>
            <w:r w:rsidRPr="006020CD">
              <w:rPr>
                <w:b/>
                <w:sz w:val="16"/>
                <w:szCs w:val="16"/>
                <w:lang w:val="en-GB"/>
              </w:rPr>
              <w:t xml:space="preserve">Other: </w:t>
            </w:r>
            <w:r w:rsidR="004B7100" w:rsidRPr="006020CD">
              <w:rPr>
                <w:sz w:val="16"/>
                <w:szCs w:val="16"/>
                <w:lang w:val="en-GB"/>
              </w:rPr>
              <w:t>45</w:t>
            </w:r>
            <w:r w:rsidR="001669FE" w:rsidRPr="006020CD">
              <w:rPr>
                <w:sz w:val="16"/>
                <w:szCs w:val="16"/>
                <w:lang w:val="en-GB"/>
              </w:rPr>
              <w:t>,0</w:t>
            </w:r>
            <w:r w:rsidRPr="006020CD">
              <w:rPr>
                <w:sz w:val="16"/>
                <w:szCs w:val="16"/>
                <w:lang w:val="en-GB"/>
              </w:rPr>
              <w:t>00</w:t>
            </w:r>
          </w:p>
          <w:p w14:paraId="130FA5E1" w14:textId="271FDF7A" w:rsidR="002D11F3" w:rsidRPr="006020CD" w:rsidRDefault="002D11F3" w:rsidP="002C38A1">
            <w:pPr>
              <w:tabs>
                <w:tab w:val="left" w:pos="8789"/>
              </w:tabs>
              <w:rPr>
                <w:b/>
                <w:sz w:val="16"/>
                <w:szCs w:val="16"/>
                <w:lang w:val="en-GB"/>
              </w:rPr>
            </w:pPr>
          </w:p>
        </w:tc>
      </w:tr>
      <w:tr w:rsidR="00477CC3" w:rsidRPr="00074002" w14:paraId="0F262DAF" w14:textId="77777777" w:rsidTr="00EE5D47">
        <w:tc>
          <w:tcPr>
            <w:tcW w:w="791" w:type="pct"/>
            <w:tcBorders>
              <w:bottom w:val="nil"/>
            </w:tcBorders>
            <w:tcMar>
              <w:top w:w="72" w:type="dxa"/>
              <w:left w:w="144" w:type="dxa"/>
              <w:bottom w:w="72" w:type="dxa"/>
              <w:right w:w="144" w:type="dxa"/>
            </w:tcMar>
          </w:tcPr>
          <w:p w14:paraId="01E9EDBF" w14:textId="644CAB5D" w:rsidR="00477CC3" w:rsidRPr="006020CD" w:rsidRDefault="00477CC3" w:rsidP="00425BCB">
            <w:pPr>
              <w:tabs>
                <w:tab w:val="left" w:pos="8789"/>
              </w:tabs>
              <w:jc w:val="both"/>
              <w:rPr>
                <w:b/>
                <w:sz w:val="16"/>
                <w:szCs w:val="16"/>
                <w:lang w:val="en-GB"/>
              </w:rPr>
            </w:pPr>
          </w:p>
        </w:tc>
        <w:tc>
          <w:tcPr>
            <w:tcW w:w="791" w:type="pct"/>
            <w:tcBorders>
              <w:bottom w:val="nil"/>
            </w:tcBorders>
          </w:tcPr>
          <w:p w14:paraId="0652663F" w14:textId="77777777" w:rsidR="00477CC3" w:rsidRPr="00074002" w:rsidRDefault="00477CC3" w:rsidP="00425BCB">
            <w:pPr>
              <w:tabs>
                <w:tab w:val="left" w:pos="8789"/>
              </w:tabs>
              <w:jc w:val="both"/>
              <w:rPr>
                <w:iCs/>
                <w:sz w:val="16"/>
                <w:szCs w:val="16"/>
                <w:lang w:val="en-GB"/>
              </w:rPr>
            </w:pPr>
          </w:p>
        </w:tc>
        <w:tc>
          <w:tcPr>
            <w:tcW w:w="2373" w:type="pct"/>
            <w:tcBorders>
              <w:bottom w:val="nil"/>
            </w:tcBorders>
            <w:tcMar>
              <w:top w:w="72" w:type="dxa"/>
              <w:left w:w="144" w:type="dxa"/>
              <w:bottom w:w="72" w:type="dxa"/>
              <w:right w:w="144" w:type="dxa"/>
            </w:tcMar>
          </w:tcPr>
          <w:p w14:paraId="222938A9" w14:textId="1698D70E" w:rsidR="00477CC3" w:rsidRPr="006020CD" w:rsidRDefault="00477CC3" w:rsidP="0089780F">
            <w:pPr>
              <w:tabs>
                <w:tab w:val="left" w:pos="8789"/>
              </w:tabs>
              <w:spacing w:line="276" w:lineRule="auto"/>
              <w:jc w:val="both"/>
              <w:rPr>
                <w:sz w:val="16"/>
                <w:szCs w:val="16"/>
                <w:lang w:val="en-GB"/>
              </w:rPr>
            </w:pPr>
            <w:r w:rsidRPr="006020CD">
              <w:rPr>
                <w:b/>
                <w:sz w:val="16"/>
                <w:szCs w:val="16"/>
                <w:lang w:val="en-GB"/>
              </w:rPr>
              <w:t>Output 2.2</w:t>
            </w:r>
            <w:r w:rsidR="00D71181">
              <w:rPr>
                <w:b/>
                <w:sz w:val="16"/>
                <w:szCs w:val="16"/>
                <w:lang w:val="en-GB"/>
              </w:rPr>
              <w:t>.</w:t>
            </w:r>
            <w:r w:rsidRPr="006020CD">
              <w:rPr>
                <w:sz w:val="16"/>
                <w:szCs w:val="16"/>
                <w:lang w:val="en-GB"/>
              </w:rPr>
              <w:t xml:space="preserve"> </w:t>
            </w:r>
            <w:r w:rsidRPr="006020CD">
              <w:rPr>
                <w:i/>
                <w:sz w:val="16"/>
                <w:szCs w:val="16"/>
                <w:lang w:val="en-GB"/>
              </w:rPr>
              <w:t>Scaled</w:t>
            </w:r>
            <w:r w:rsidR="00D71181">
              <w:rPr>
                <w:i/>
                <w:sz w:val="16"/>
                <w:szCs w:val="16"/>
                <w:lang w:val="en-GB"/>
              </w:rPr>
              <w:t>-</w:t>
            </w:r>
            <w:r w:rsidRPr="006020CD">
              <w:rPr>
                <w:i/>
                <w:sz w:val="16"/>
                <w:szCs w:val="16"/>
                <w:lang w:val="en-GB"/>
              </w:rPr>
              <w:t xml:space="preserve">up integrated and innovative action on climate change adaptation and mitigation across priority sectors </w:t>
            </w:r>
            <w:r w:rsidR="00513E92">
              <w:rPr>
                <w:i/>
                <w:sz w:val="16"/>
                <w:szCs w:val="16"/>
                <w:lang w:val="en-GB"/>
              </w:rPr>
              <w:t>that</w:t>
            </w:r>
            <w:r w:rsidR="00513E92" w:rsidRPr="006020CD">
              <w:rPr>
                <w:i/>
                <w:sz w:val="16"/>
                <w:szCs w:val="16"/>
                <w:lang w:val="en-GB"/>
              </w:rPr>
              <w:t xml:space="preserve"> </w:t>
            </w:r>
            <w:r w:rsidRPr="006020CD">
              <w:rPr>
                <w:i/>
                <w:sz w:val="16"/>
                <w:szCs w:val="16"/>
                <w:lang w:val="en-GB"/>
              </w:rPr>
              <w:t>is funded and implemented</w:t>
            </w:r>
            <w:r w:rsidR="00D71181">
              <w:rPr>
                <w:i/>
                <w:sz w:val="16"/>
                <w:szCs w:val="16"/>
                <w:lang w:val="en-GB"/>
              </w:rPr>
              <w:t>.</w:t>
            </w:r>
            <w:r w:rsidRPr="006020CD">
              <w:rPr>
                <w:sz w:val="16"/>
                <w:szCs w:val="16"/>
                <w:lang w:val="en-GB"/>
              </w:rPr>
              <w:t xml:space="preserve"> </w:t>
            </w:r>
          </w:p>
          <w:p w14:paraId="226F7797" w14:textId="007EFE45" w:rsidR="00477CC3" w:rsidRPr="006020CD" w:rsidRDefault="00477CC3">
            <w:pPr>
              <w:tabs>
                <w:tab w:val="left" w:pos="8789"/>
              </w:tabs>
              <w:spacing w:line="276" w:lineRule="auto"/>
              <w:jc w:val="both"/>
              <w:rPr>
                <w:sz w:val="16"/>
                <w:szCs w:val="16"/>
                <w:lang w:val="en-GB"/>
              </w:rPr>
            </w:pPr>
            <w:r w:rsidRPr="006020CD">
              <w:rPr>
                <w:b/>
                <w:sz w:val="16"/>
                <w:szCs w:val="16"/>
                <w:lang w:val="en-GB"/>
              </w:rPr>
              <w:t>Indicator 2.2.1</w:t>
            </w:r>
            <w:r w:rsidR="00D71181">
              <w:rPr>
                <w:b/>
                <w:sz w:val="16"/>
                <w:szCs w:val="16"/>
                <w:lang w:val="en-GB"/>
              </w:rPr>
              <w:t>.</w:t>
            </w:r>
            <w:r w:rsidRPr="006020CD">
              <w:rPr>
                <w:sz w:val="16"/>
                <w:szCs w:val="16"/>
                <w:lang w:val="en-GB"/>
              </w:rPr>
              <w:t xml:space="preserve"> </w:t>
            </w:r>
            <w:r w:rsidR="00A4321A" w:rsidRPr="006020CD">
              <w:rPr>
                <w:sz w:val="16"/>
                <w:szCs w:val="16"/>
                <w:lang w:val="en-GB"/>
              </w:rPr>
              <w:t>No.</w:t>
            </w:r>
            <w:r w:rsidRPr="006020CD">
              <w:rPr>
                <w:sz w:val="16"/>
                <w:szCs w:val="16"/>
                <w:lang w:val="en-GB"/>
              </w:rPr>
              <w:t xml:space="preserve"> of national accredited systems in place to access, deliver, monitor, report on</w:t>
            </w:r>
            <w:r w:rsidR="00D71181">
              <w:rPr>
                <w:sz w:val="16"/>
                <w:szCs w:val="16"/>
                <w:lang w:val="en-GB"/>
              </w:rPr>
              <w:t>,</w:t>
            </w:r>
            <w:r w:rsidRPr="006020CD">
              <w:rPr>
                <w:sz w:val="16"/>
                <w:szCs w:val="16"/>
                <w:lang w:val="en-GB"/>
              </w:rPr>
              <w:t xml:space="preserve"> and verify use of climate finance</w:t>
            </w:r>
          </w:p>
          <w:p w14:paraId="294B9C09" w14:textId="1DB93472" w:rsidR="00477CC3" w:rsidRPr="006020CD" w:rsidRDefault="00477CC3">
            <w:pPr>
              <w:tabs>
                <w:tab w:val="left" w:pos="8789"/>
              </w:tabs>
              <w:jc w:val="both"/>
              <w:rPr>
                <w:bCs/>
                <w:sz w:val="16"/>
                <w:szCs w:val="16"/>
                <w:lang w:val="en-GB"/>
              </w:rPr>
            </w:pPr>
            <w:r w:rsidRPr="006020CD">
              <w:rPr>
                <w:b/>
                <w:bCs/>
                <w:sz w:val="16"/>
                <w:szCs w:val="16"/>
                <w:lang w:val="en-GB"/>
              </w:rPr>
              <w:lastRenderedPageBreak/>
              <w:t>Baseline:</w:t>
            </w:r>
            <w:r w:rsidRPr="006020CD">
              <w:rPr>
                <w:bCs/>
                <w:sz w:val="16"/>
                <w:szCs w:val="16"/>
                <w:lang w:val="en-GB"/>
              </w:rPr>
              <w:t xml:space="preserve"> access</w:t>
            </w:r>
            <w:r w:rsidR="00CF7F3A">
              <w:rPr>
                <w:bCs/>
                <w:sz w:val="16"/>
                <w:szCs w:val="16"/>
                <w:lang w:val="en-GB"/>
              </w:rPr>
              <w:t xml:space="preserve">, </w:t>
            </w:r>
            <w:r w:rsidRPr="006020CD">
              <w:rPr>
                <w:bCs/>
                <w:sz w:val="16"/>
                <w:szCs w:val="16"/>
                <w:lang w:val="en-GB"/>
              </w:rPr>
              <w:t>2 (EIF and DRFN)</w:t>
            </w:r>
            <w:r w:rsidR="00CF7F3A">
              <w:rPr>
                <w:bCs/>
                <w:sz w:val="16"/>
                <w:szCs w:val="16"/>
                <w:lang w:val="en-GB"/>
              </w:rPr>
              <w:t>;</w:t>
            </w:r>
            <w:r w:rsidRPr="006020CD">
              <w:rPr>
                <w:bCs/>
                <w:sz w:val="16"/>
                <w:szCs w:val="16"/>
                <w:lang w:val="en-GB"/>
              </w:rPr>
              <w:t xml:space="preserve"> deliver</w:t>
            </w:r>
            <w:r w:rsidR="00CF7F3A">
              <w:rPr>
                <w:bCs/>
                <w:sz w:val="16"/>
                <w:szCs w:val="16"/>
                <w:lang w:val="en-GB"/>
              </w:rPr>
              <w:t xml:space="preserve">, </w:t>
            </w:r>
            <w:r w:rsidRPr="006020CD">
              <w:rPr>
                <w:bCs/>
                <w:sz w:val="16"/>
                <w:szCs w:val="16"/>
                <w:lang w:val="en-GB"/>
              </w:rPr>
              <w:t>2</w:t>
            </w:r>
            <w:r w:rsidR="00CF7F3A">
              <w:rPr>
                <w:bCs/>
                <w:sz w:val="16"/>
                <w:szCs w:val="16"/>
                <w:lang w:val="en-GB"/>
              </w:rPr>
              <w:t>;</w:t>
            </w:r>
            <w:r w:rsidRPr="006020CD">
              <w:rPr>
                <w:bCs/>
                <w:sz w:val="16"/>
                <w:szCs w:val="16"/>
                <w:lang w:val="en-GB"/>
              </w:rPr>
              <w:t xml:space="preserve"> monitor</w:t>
            </w:r>
            <w:r w:rsidR="00CF7F3A">
              <w:rPr>
                <w:bCs/>
                <w:sz w:val="16"/>
                <w:szCs w:val="16"/>
                <w:lang w:val="en-GB"/>
              </w:rPr>
              <w:t xml:space="preserve">, </w:t>
            </w:r>
            <w:r w:rsidRPr="006020CD">
              <w:rPr>
                <w:bCs/>
                <w:sz w:val="16"/>
                <w:szCs w:val="16"/>
                <w:lang w:val="en-GB"/>
              </w:rPr>
              <w:t>0</w:t>
            </w:r>
            <w:r w:rsidR="00CF7F3A">
              <w:rPr>
                <w:bCs/>
                <w:sz w:val="16"/>
                <w:szCs w:val="16"/>
                <w:lang w:val="en-GB"/>
              </w:rPr>
              <w:t>;</w:t>
            </w:r>
            <w:r w:rsidRPr="006020CD">
              <w:rPr>
                <w:bCs/>
                <w:sz w:val="16"/>
                <w:szCs w:val="16"/>
                <w:lang w:val="en-GB"/>
              </w:rPr>
              <w:t xml:space="preserve"> report</w:t>
            </w:r>
            <w:r w:rsidR="00CF7F3A">
              <w:rPr>
                <w:bCs/>
                <w:sz w:val="16"/>
                <w:szCs w:val="16"/>
                <w:lang w:val="en-GB"/>
              </w:rPr>
              <w:t xml:space="preserve">, </w:t>
            </w:r>
            <w:r w:rsidRPr="006020CD">
              <w:rPr>
                <w:bCs/>
                <w:sz w:val="16"/>
                <w:szCs w:val="16"/>
                <w:lang w:val="en-GB"/>
              </w:rPr>
              <w:t>2 (</w:t>
            </w:r>
            <w:r w:rsidR="00CF7F3A">
              <w:rPr>
                <w:bCs/>
                <w:sz w:val="16"/>
                <w:szCs w:val="16"/>
                <w:lang w:val="en-GB"/>
              </w:rPr>
              <w:t>biennial update report</w:t>
            </w:r>
            <w:r w:rsidR="00CF7F3A" w:rsidRPr="006020CD">
              <w:rPr>
                <w:bCs/>
                <w:sz w:val="16"/>
                <w:szCs w:val="16"/>
                <w:lang w:val="en-GB"/>
              </w:rPr>
              <w:t xml:space="preserve"> </w:t>
            </w:r>
            <w:r w:rsidRPr="006020CD">
              <w:rPr>
                <w:bCs/>
                <w:sz w:val="16"/>
                <w:szCs w:val="16"/>
                <w:lang w:val="en-GB"/>
              </w:rPr>
              <w:t xml:space="preserve">and </w:t>
            </w:r>
            <w:r w:rsidR="00197016">
              <w:rPr>
                <w:bCs/>
                <w:sz w:val="16"/>
                <w:szCs w:val="16"/>
                <w:lang w:val="en-GB"/>
              </w:rPr>
              <w:t xml:space="preserve">national communications – </w:t>
            </w:r>
            <w:r w:rsidRPr="006020CD">
              <w:rPr>
                <w:bCs/>
                <w:sz w:val="16"/>
                <w:szCs w:val="16"/>
                <w:lang w:val="en-GB"/>
              </w:rPr>
              <w:t>NCs)</w:t>
            </w:r>
            <w:r w:rsidR="00CF7F3A">
              <w:rPr>
                <w:bCs/>
                <w:sz w:val="16"/>
                <w:szCs w:val="16"/>
                <w:lang w:val="en-GB"/>
              </w:rPr>
              <w:t>;</w:t>
            </w:r>
            <w:r w:rsidRPr="006020CD">
              <w:rPr>
                <w:bCs/>
                <w:sz w:val="16"/>
                <w:szCs w:val="16"/>
                <w:lang w:val="en-GB"/>
              </w:rPr>
              <w:t xml:space="preserve"> verify</w:t>
            </w:r>
            <w:r w:rsidR="00CF7F3A">
              <w:rPr>
                <w:bCs/>
                <w:sz w:val="16"/>
                <w:szCs w:val="16"/>
                <w:lang w:val="en-GB"/>
              </w:rPr>
              <w:t xml:space="preserve">, </w:t>
            </w:r>
            <w:r w:rsidRPr="006020CD">
              <w:rPr>
                <w:bCs/>
                <w:sz w:val="16"/>
                <w:szCs w:val="16"/>
                <w:lang w:val="en-GB"/>
              </w:rPr>
              <w:t>0 (2017)</w:t>
            </w:r>
          </w:p>
          <w:p w14:paraId="54ADBBA1" w14:textId="5C7606D9" w:rsidR="00477CC3" w:rsidRPr="006020CD" w:rsidRDefault="00477CC3">
            <w:pPr>
              <w:tabs>
                <w:tab w:val="left" w:pos="8789"/>
              </w:tabs>
              <w:spacing w:line="276" w:lineRule="auto"/>
              <w:jc w:val="both"/>
              <w:rPr>
                <w:bCs/>
                <w:sz w:val="16"/>
                <w:szCs w:val="16"/>
                <w:lang w:val="en-GB"/>
              </w:rPr>
            </w:pPr>
            <w:r w:rsidRPr="006020CD">
              <w:rPr>
                <w:b/>
                <w:bCs/>
                <w:sz w:val="16"/>
                <w:szCs w:val="16"/>
                <w:lang w:val="en-GB"/>
              </w:rPr>
              <w:t xml:space="preserve">Target: </w:t>
            </w:r>
            <w:r w:rsidRPr="006020CD">
              <w:rPr>
                <w:bCs/>
                <w:sz w:val="16"/>
                <w:szCs w:val="16"/>
                <w:lang w:val="en-GB"/>
              </w:rPr>
              <w:t>access</w:t>
            </w:r>
            <w:r w:rsidR="00CF7F3A">
              <w:rPr>
                <w:bCs/>
                <w:sz w:val="16"/>
                <w:szCs w:val="16"/>
                <w:lang w:val="en-GB"/>
              </w:rPr>
              <w:t xml:space="preserve">, </w:t>
            </w:r>
            <w:r w:rsidRPr="006020CD">
              <w:rPr>
                <w:bCs/>
                <w:sz w:val="16"/>
                <w:szCs w:val="16"/>
                <w:lang w:val="en-GB"/>
              </w:rPr>
              <w:t>3 (i.e.</w:t>
            </w:r>
            <w:r w:rsidR="00EF466A">
              <w:rPr>
                <w:bCs/>
                <w:sz w:val="16"/>
                <w:szCs w:val="16"/>
                <w:lang w:val="en-GB"/>
              </w:rPr>
              <w:t>,</w:t>
            </w:r>
            <w:r w:rsidRPr="006020CD">
              <w:rPr>
                <w:bCs/>
                <w:sz w:val="16"/>
                <w:szCs w:val="16"/>
                <w:lang w:val="en-GB"/>
              </w:rPr>
              <w:t xml:space="preserve"> 2 baselines + 1 more target)</w:t>
            </w:r>
            <w:r w:rsidR="00CF7F3A">
              <w:rPr>
                <w:bCs/>
                <w:sz w:val="16"/>
                <w:szCs w:val="16"/>
                <w:lang w:val="en-GB"/>
              </w:rPr>
              <w:t>;</w:t>
            </w:r>
            <w:r w:rsidRPr="006020CD">
              <w:rPr>
                <w:bCs/>
                <w:sz w:val="16"/>
                <w:szCs w:val="16"/>
                <w:lang w:val="en-GB"/>
              </w:rPr>
              <w:t xml:space="preserve"> deliver</w:t>
            </w:r>
            <w:r w:rsidR="00CF7F3A">
              <w:rPr>
                <w:bCs/>
                <w:sz w:val="16"/>
                <w:szCs w:val="16"/>
                <w:lang w:val="en-GB"/>
              </w:rPr>
              <w:t xml:space="preserve">, </w:t>
            </w:r>
            <w:r w:rsidRPr="006020CD">
              <w:rPr>
                <w:bCs/>
                <w:sz w:val="16"/>
                <w:szCs w:val="16"/>
                <w:lang w:val="en-GB"/>
              </w:rPr>
              <w:t>1</w:t>
            </w:r>
            <w:r w:rsidR="00CF7F3A">
              <w:rPr>
                <w:bCs/>
                <w:sz w:val="16"/>
                <w:szCs w:val="16"/>
                <w:lang w:val="en-GB"/>
              </w:rPr>
              <w:t>;</w:t>
            </w:r>
            <w:r w:rsidRPr="006020CD">
              <w:rPr>
                <w:bCs/>
                <w:sz w:val="16"/>
                <w:szCs w:val="16"/>
                <w:lang w:val="en-GB"/>
              </w:rPr>
              <w:t xml:space="preserve"> monitor</w:t>
            </w:r>
            <w:r w:rsidR="00CF7F3A">
              <w:rPr>
                <w:bCs/>
                <w:sz w:val="16"/>
                <w:szCs w:val="16"/>
                <w:lang w:val="en-GB"/>
              </w:rPr>
              <w:t xml:space="preserve">, </w:t>
            </w:r>
            <w:r w:rsidRPr="006020CD">
              <w:rPr>
                <w:bCs/>
                <w:sz w:val="16"/>
                <w:szCs w:val="16"/>
                <w:lang w:val="en-GB"/>
              </w:rPr>
              <w:t>1</w:t>
            </w:r>
            <w:r w:rsidR="00CF7F3A">
              <w:rPr>
                <w:bCs/>
                <w:sz w:val="16"/>
                <w:szCs w:val="16"/>
                <w:lang w:val="en-GB"/>
              </w:rPr>
              <w:t>;</w:t>
            </w:r>
            <w:r w:rsidRPr="006020CD">
              <w:rPr>
                <w:bCs/>
                <w:sz w:val="16"/>
                <w:szCs w:val="16"/>
                <w:lang w:val="en-GB"/>
              </w:rPr>
              <w:t xml:space="preserve"> report</w:t>
            </w:r>
            <w:r w:rsidR="00CF7F3A">
              <w:rPr>
                <w:bCs/>
                <w:sz w:val="16"/>
                <w:szCs w:val="16"/>
                <w:lang w:val="en-GB"/>
              </w:rPr>
              <w:t xml:space="preserve">, </w:t>
            </w:r>
            <w:r w:rsidRPr="006020CD">
              <w:rPr>
                <w:bCs/>
                <w:sz w:val="16"/>
                <w:szCs w:val="16"/>
                <w:lang w:val="en-GB"/>
              </w:rPr>
              <w:t>3, verify</w:t>
            </w:r>
            <w:r w:rsidR="00CF7F3A">
              <w:rPr>
                <w:bCs/>
                <w:sz w:val="16"/>
                <w:szCs w:val="16"/>
                <w:lang w:val="en-GB"/>
              </w:rPr>
              <w:t xml:space="preserve">, </w:t>
            </w:r>
            <w:r w:rsidRPr="006020CD">
              <w:rPr>
                <w:bCs/>
                <w:sz w:val="16"/>
                <w:szCs w:val="16"/>
                <w:lang w:val="en-GB"/>
              </w:rPr>
              <w:t>1 (2023)</w:t>
            </w:r>
          </w:p>
          <w:p w14:paraId="2803F415" w14:textId="4CB7BE9B" w:rsidR="00477CC3" w:rsidRPr="006020CD" w:rsidRDefault="00477CC3">
            <w:pPr>
              <w:tabs>
                <w:tab w:val="left" w:pos="8789"/>
              </w:tabs>
              <w:spacing w:line="276" w:lineRule="auto"/>
              <w:contextualSpacing/>
              <w:jc w:val="both"/>
              <w:rPr>
                <w:sz w:val="16"/>
                <w:szCs w:val="16"/>
                <w:lang w:val="en-GB"/>
              </w:rPr>
            </w:pPr>
            <w:r w:rsidRPr="006020CD">
              <w:rPr>
                <w:b/>
                <w:bCs/>
                <w:sz w:val="16"/>
                <w:szCs w:val="16"/>
                <w:lang w:val="en-GB"/>
              </w:rPr>
              <w:t>Data source</w:t>
            </w:r>
            <w:r w:rsidR="00CF7F3A">
              <w:rPr>
                <w:b/>
                <w:bCs/>
                <w:sz w:val="16"/>
                <w:szCs w:val="16"/>
                <w:lang w:val="en-GB"/>
              </w:rPr>
              <w:t>s</w:t>
            </w:r>
            <w:r w:rsidRPr="006020CD">
              <w:rPr>
                <w:b/>
                <w:bCs/>
                <w:sz w:val="16"/>
                <w:szCs w:val="16"/>
                <w:lang w:val="en-GB"/>
              </w:rPr>
              <w:t>:</w:t>
            </w:r>
            <w:r w:rsidRPr="006020CD">
              <w:rPr>
                <w:bCs/>
                <w:sz w:val="16"/>
                <w:szCs w:val="16"/>
                <w:lang w:val="en-GB"/>
              </w:rPr>
              <w:t xml:space="preserve"> EIF</w:t>
            </w:r>
            <w:r w:rsidR="00BA2DF5" w:rsidRPr="006020CD">
              <w:rPr>
                <w:bCs/>
                <w:sz w:val="16"/>
                <w:szCs w:val="16"/>
                <w:lang w:val="en-GB"/>
              </w:rPr>
              <w:t>,</w:t>
            </w:r>
            <w:r w:rsidRPr="006020CD">
              <w:rPr>
                <w:bCs/>
                <w:sz w:val="16"/>
                <w:szCs w:val="16"/>
                <w:lang w:val="en-GB"/>
              </w:rPr>
              <w:t xml:space="preserve"> </w:t>
            </w:r>
            <w:r w:rsidR="00BA2DF5" w:rsidRPr="006020CD">
              <w:rPr>
                <w:bCs/>
                <w:sz w:val="16"/>
                <w:szCs w:val="16"/>
                <w:lang w:val="en-GB"/>
              </w:rPr>
              <w:t xml:space="preserve">DRFN, DBN </w:t>
            </w:r>
            <w:r w:rsidR="00D71181">
              <w:rPr>
                <w:bCs/>
                <w:sz w:val="16"/>
                <w:szCs w:val="16"/>
                <w:lang w:val="en-GB"/>
              </w:rPr>
              <w:t>a</w:t>
            </w:r>
            <w:r w:rsidRPr="006020CD">
              <w:rPr>
                <w:bCs/>
                <w:sz w:val="16"/>
                <w:szCs w:val="16"/>
                <w:lang w:val="en-GB"/>
              </w:rPr>
              <w:t xml:space="preserve">nnual </w:t>
            </w:r>
            <w:r w:rsidR="00D71181">
              <w:rPr>
                <w:bCs/>
                <w:sz w:val="16"/>
                <w:szCs w:val="16"/>
                <w:lang w:val="en-GB"/>
              </w:rPr>
              <w:t>r</w:t>
            </w:r>
            <w:r w:rsidRPr="006020CD">
              <w:rPr>
                <w:bCs/>
                <w:sz w:val="16"/>
                <w:szCs w:val="16"/>
                <w:lang w:val="en-GB"/>
              </w:rPr>
              <w:t>eports</w:t>
            </w:r>
            <w:r w:rsidR="00CF7F3A">
              <w:rPr>
                <w:bCs/>
                <w:sz w:val="16"/>
                <w:szCs w:val="16"/>
                <w:lang w:val="en-GB"/>
              </w:rPr>
              <w:t>;</w:t>
            </w:r>
            <w:r w:rsidR="00BA2DF5" w:rsidRPr="006020CD">
              <w:rPr>
                <w:bCs/>
                <w:sz w:val="16"/>
                <w:szCs w:val="16"/>
                <w:lang w:val="en-GB"/>
              </w:rPr>
              <w:t xml:space="preserve"> </w:t>
            </w:r>
            <w:r w:rsidRPr="006020CD">
              <w:rPr>
                <w:bCs/>
                <w:sz w:val="16"/>
                <w:szCs w:val="16"/>
                <w:lang w:val="en-GB"/>
              </w:rPr>
              <w:t xml:space="preserve">NCCSAP </w:t>
            </w:r>
            <w:r w:rsidR="00D71181">
              <w:rPr>
                <w:bCs/>
                <w:sz w:val="16"/>
                <w:szCs w:val="16"/>
                <w:lang w:val="en-GB"/>
              </w:rPr>
              <w:t>monitoring and evaluation</w:t>
            </w:r>
            <w:r w:rsidR="0050196D">
              <w:rPr>
                <w:bCs/>
                <w:sz w:val="16"/>
                <w:szCs w:val="16"/>
                <w:lang w:val="en-GB"/>
              </w:rPr>
              <w:t xml:space="preserve"> (M&amp;E)</w:t>
            </w:r>
            <w:r w:rsidR="00D71181">
              <w:rPr>
                <w:bCs/>
                <w:sz w:val="16"/>
                <w:szCs w:val="16"/>
                <w:lang w:val="en-GB"/>
              </w:rPr>
              <w:t xml:space="preserve"> r</w:t>
            </w:r>
            <w:r w:rsidRPr="006020CD">
              <w:rPr>
                <w:bCs/>
                <w:sz w:val="16"/>
                <w:szCs w:val="16"/>
                <w:lang w:val="en-GB"/>
              </w:rPr>
              <w:t>eport</w:t>
            </w:r>
            <w:r w:rsidR="00CF7F3A">
              <w:rPr>
                <w:bCs/>
                <w:sz w:val="16"/>
                <w:szCs w:val="16"/>
                <w:lang w:val="en-GB"/>
              </w:rPr>
              <w:t>;</w:t>
            </w:r>
            <w:r w:rsidRPr="006020CD">
              <w:rPr>
                <w:bCs/>
                <w:sz w:val="16"/>
                <w:szCs w:val="16"/>
                <w:lang w:val="en-GB"/>
              </w:rPr>
              <w:t xml:space="preserve"> Adaptation Fund </w:t>
            </w:r>
            <w:r w:rsidR="00D71181">
              <w:rPr>
                <w:bCs/>
                <w:sz w:val="16"/>
                <w:szCs w:val="16"/>
                <w:lang w:val="en-GB"/>
              </w:rPr>
              <w:t>b</w:t>
            </w:r>
            <w:r w:rsidRPr="006020CD">
              <w:rPr>
                <w:bCs/>
                <w:sz w:val="16"/>
                <w:szCs w:val="16"/>
                <w:lang w:val="en-GB"/>
              </w:rPr>
              <w:t xml:space="preserve">oard </w:t>
            </w:r>
            <w:r w:rsidR="00D71181">
              <w:rPr>
                <w:bCs/>
                <w:sz w:val="16"/>
                <w:szCs w:val="16"/>
                <w:lang w:val="en-GB"/>
              </w:rPr>
              <w:t>d</w:t>
            </w:r>
            <w:r w:rsidRPr="006020CD">
              <w:rPr>
                <w:bCs/>
                <w:sz w:val="16"/>
                <w:szCs w:val="16"/>
                <w:lang w:val="en-GB"/>
              </w:rPr>
              <w:t>ecisions</w:t>
            </w:r>
            <w:r w:rsidR="00CF7F3A">
              <w:rPr>
                <w:bCs/>
                <w:sz w:val="16"/>
                <w:szCs w:val="16"/>
                <w:lang w:val="en-GB"/>
              </w:rPr>
              <w:t>;</w:t>
            </w:r>
            <w:r w:rsidRPr="006020CD">
              <w:rPr>
                <w:bCs/>
                <w:sz w:val="16"/>
                <w:szCs w:val="16"/>
                <w:lang w:val="en-GB"/>
              </w:rPr>
              <w:t xml:space="preserve"> GCF </w:t>
            </w:r>
            <w:r w:rsidR="00D71181">
              <w:rPr>
                <w:bCs/>
                <w:sz w:val="16"/>
                <w:szCs w:val="16"/>
                <w:lang w:val="en-GB"/>
              </w:rPr>
              <w:t>b</w:t>
            </w:r>
            <w:r w:rsidRPr="006020CD">
              <w:rPr>
                <w:bCs/>
                <w:sz w:val="16"/>
                <w:szCs w:val="16"/>
                <w:lang w:val="en-GB"/>
              </w:rPr>
              <w:t>oard</w:t>
            </w:r>
            <w:r w:rsidR="00BA2DF5" w:rsidRPr="006020CD">
              <w:rPr>
                <w:bCs/>
                <w:sz w:val="16"/>
                <w:szCs w:val="16"/>
                <w:lang w:val="en-GB"/>
              </w:rPr>
              <w:t xml:space="preserve"> </w:t>
            </w:r>
            <w:r w:rsidR="00D71181">
              <w:rPr>
                <w:bCs/>
                <w:sz w:val="16"/>
                <w:szCs w:val="16"/>
                <w:lang w:val="en-GB"/>
              </w:rPr>
              <w:t>d</w:t>
            </w:r>
            <w:r w:rsidR="00BA2DF5" w:rsidRPr="006020CD">
              <w:rPr>
                <w:bCs/>
                <w:sz w:val="16"/>
                <w:szCs w:val="16"/>
                <w:lang w:val="en-GB"/>
              </w:rPr>
              <w:t>ecisions</w:t>
            </w:r>
            <w:r w:rsidR="00CF7F3A">
              <w:rPr>
                <w:bCs/>
                <w:sz w:val="16"/>
                <w:szCs w:val="16"/>
                <w:lang w:val="en-GB"/>
              </w:rPr>
              <w:t>;</w:t>
            </w:r>
            <w:r w:rsidR="00BA2DF5" w:rsidRPr="006020CD">
              <w:rPr>
                <w:bCs/>
                <w:sz w:val="16"/>
                <w:szCs w:val="16"/>
                <w:lang w:val="en-GB"/>
              </w:rPr>
              <w:t xml:space="preserve"> </w:t>
            </w:r>
            <w:r w:rsidR="00D71181">
              <w:rPr>
                <w:bCs/>
                <w:sz w:val="16"/>
                <w:szCs w:val="16"/>
                <w:lang w:val="en-GB"/>
              </w:rPr>
              <w:t>g</w:t>
            </w:r>
            <w:r w:rsidR="00BA2DF5" w:rsidRPr="006020CD">
              <w:rPr>
                <w:bCs/>
                <w:sz w:val="16"/>
                <w:szCs w:val="16"/>
                <w:lang w:val="en-GB"/>
              </w:rPr>
              <w:t xml:space="preserve">overnment </w:t>
            </w:r>
            <w:r w:rsidR="00D71181">
              <w:rPr>
                <w:bCs/>
                <w:sz w:val="16"/>
                <w:szCs w:val="16"/>
                <w:lang w:val="en-GB"/>
              </w:rPr>
              <w:t>n</w:t>
            </w:r>
            <w:r w:rsidR="00BA2DF5" w:rsidRPr="006020CD">
              <w:rPr>
                <w:bCs/>
                <w:sz w:val="16"/>
                <w:szCs w:val="16"/>
                <w:lang w:val="en-GB"/>
              </w:rPr>
              <w:t>otices</w:t>
            </w:r>
          </w:p>
          <w:p w14:paraId="4C0F9487" w14:textId="340825FD" w:rsidR="00477CC3" w:rsidRPr="006020CD" w:rsidRDefault="00477CC3">
            <w:pPr>
              <w:tabs>
                <w:tab w:val="left" w:pos="8789"/>
              </w:tabs>
              <w:spacing w:line="276" w:lineRule="auto"/>
              <w:jc w:val="both"/>
              <w:rPr>
                <w:b/>
                <w:bCs/>
                <w:sz w:val="16"/>
                <w:szCs w:val="16"/>
                <w:lang w:val="en-GB"/>
              </w:rPr>
            </w:pPr>
          </w:p>
        </w:tc>
        <w:tc>
          <w:tcPr>
            <w:tcW w:w="586" w:type="pct"/>
            <w:tcBorders>
              <w:bottom w:val="nil"/>
            </w:tcBorders>
          </w:tcPr>
          <w:p w14:paraId="0CC1E912" w14:textId="53BC9411" w:rsidR="00477CC3" w:rsidRPr="00AE6DA9" w:rsidRDefault="00477CC3" w:rsidP="00425BCB">
            <w:pPr>
              <w:tabs>
                <w:tab w:val="left" w:pos="8789"/>
              </w:tabs>
              <w:rPr>
                <w:iCs/>
                <w:sz w:val="16"/>
                <w:szCs w:val="16"/>
              </w:rPr>
            </w:pPr>
            <w:r w:rsidRPr="00AE6DA9">
              <w:rPr>
                <w:iCs/>
                <w:sz w:val="16"/>
                <w:szCs w:val="16"/>
              </w:rPr>
              <w:lastRenderedPageBreak/>
              <w:t>MET</w:t>
            </w:r>
          </w:p>
          <w:p w14:paraId="06170BD8" w14:textId="048943CB" w:rsidR="00477CC3" w:rsidRPr="00AE6DA9" w:rsidRDefault="00477CC3" w:rsidP="00425BCB">
            <w:pPr>
              <w:tabs>
                <w:tab w:val="left" w:pos="8789"/>
              </w:tabs>
              <w:rPr>
                <w:iCs/>
                <w:sz w:val="16"/>
                <w:szCs w:val="16"/>
              </w:rPr>
            </w:pPr>
            <w:r w:rsidRPr="00AE6DA9">
              <w:rPr>
                <w:iCs/>
                <w:sz w:val="16"/>
                <w:szCs w:val="16"/>
              </w:rPr>
              <w:t>MAWF</w:t>
            </w:r>
          </w:p>
          <w:p w14:paraId="25194DDB" w14:textId="40182B28" w:rsidR="002F73D5" w:rsidRPr="006020CD" w:rsidRDefault="002F73D5" w:rsidP="00425BCB">
            <w:pPr>
              <w:tabs>
                <w:tab w:val="left" w:pos="8789"/>
              </w:tabs>
              <w:rPr>
                <w:iCs/>
                <w:sz w:val="16"/>
                <w:szCs w:val="16"/>
              </w:rPr>
            </w:pPr>
            <w:r w:rsidRPr="006020CD">
              <w:rPr>
                <w:iCs/>
                <w:sz w:val="16"/>
                <w:szCs w:val="16"/>
              </w:rPr>
              <w:t>Ministry of Mines and Energy (MME)</w:t>
            </w:r>
          </w:p>
          <w:p w14:paraId="2A10B3D0" w14:textId="7A3C781E" w:rsidR="00477CC3" w:rsidRPr="00AE6DA9" w:rsidRDefault="00477CC3" w:rsidP="00425BCB">
            <w:pPr>
              <w:tabs>
                <w:tab w:val="left" w:pos="8789"/>
              </w:tabs>
              <w:rPr>
                <w:iCs/>
                <w:sz w:val="16"/>
                <w:szCs w:val="16"/>
              </w:rPr>
            </w:pPr>
            <w:r w:rsidRPr="00AE6DA9">
              <w:rPr>
                <w:iCs/>
                <w:sz w:val="16"/>
                <w:szCs w:val="16"/>
              </w:rPr>
              <w:t>M</w:t>
            </w:r>
            <w:r w:rsidR="00353063" w:rsidRPr="006020CD">
              <w:rPr>
                <w:iCs/>
                <w:sz w:val="16"/>
                <w:szCs w:val="16"/>
              </w:rPr>
              <w:t>O</w:t>
            </w:r>
            <w:r w:rsidRPr="00AE6DA9">
              <w:rPr>
                <w:iCs/>
                <w:sz w:val="16"/>
                <w:szCs w:val="16"/>
              </w:rPr>
              <w:t>F</w:t>
            </w:r>
          </w:p>
          <w:p w14:paraId="69FC2A05" w14:textId="5585F36E" w:rsidR="00477CC3" w:rsidRPr="00AE6DA9" w:rsidRDefault="00477CC3" w:rsidP="00425BCB">
            <w:pPr>
              <w:tabs>
                <w:tab w:val="left" w:pos="8789"/>
              </w:tabs>
              <w:rPr>
                <w:iCs/>
                <w:sz w:val="16"/>
                <w:szCs w:val="16"/>
              </w:rPr>
            </w:pPr>
            <w:r w:rsidRPr="00AE6DA9">
              <w:rPr>
                <w:iCs/>
                <w:sz w:val="16"/>
                <w:szCs w:val="16"/>
              </w:rPr>
              <w:t>MPESW</w:t>
            </w:r>
          </w:p>
          <w:p w14:paraId="09E4F7AF" w14:textId="0ED89EE7" w:rsidR="00477CC3" w:rsidRPr="00AE6DA9" w:rsidRDefault="00477CC3" w:rsidP="00425BCB">
            <w:pPr>
              <w:tabs>
                <w:tab w:val="left" w:pos="8789"/>
              </w:tabs>
              <w:rPr>
                <w:iCs/>
                <w:sz w:val="16"/>
                <w:szCs w:val="16"/>
              </w:rPr>
            </w:pPr>
            <w:r w:rsidRPr="00AE6DA9">
              <w:rPr>
                <w:iCs/>
                <w:sz w:val="16"/>
                <w:szCs w:val="16"/>
              </w:rPr>
              <w:lastRenderedPageBreak/>
              <w:t>MGECW</w:t>
            </w:r>
          </w:p>
          <w:p w14:paraId="2FFE9D56" w14:textId="2754B286" w:rsidR="00477CC3" w:rsidRPr="006020CD" w:rsidRDefault="00477CC3" w:rsidP="00425BCB">
            <w:pPr>
              <w:tabs>
                <w:tab w:val="left" w:pos="8789"/>
              </w:tabs>
              <w:rPr>
                <w:iCs/>
                <w:sz w:val="16"/>
                <w:szCs w:val="16"/>
                <w:lang w:val="en-GB"/>
              </w:rPr>
            </w:pPr>
            <w:r w:rsidRPr="006020CD">
              <w:rPr>
                <w:iCs/>
                <w:sz w:val="16"/>
                <w:szCs w:val="16"/>
                <w:lang w:val="en-GB"/>
              </w:rPr>
              <w:t>MITSMED</w:t>
            </w:r>
          </w:p>
          <w:p w14:paraId="55E6BEE3" w14:textId="6027B508" w:rsidR="00477CC3" w:rsidRPr="006020CD" w:rsidRDefault="00FD7207" w:rsidP="00425BCB">
            <w:pPr>
              <w:tabs>
                <w:tab w:val="left" w:pos="8789"/>
              </w:tabs>
              <w:rPr>
                <w:iCs/>
                <w:sz w:val="16"/>
                <w:szCs w:val="16"/>
                <w:lang w:val="en-GB"/>
              </w:rPr>
            </w:pPr>
            <w:r w:rsidRPr="006020CD">
              <w:rPr>
                <w:iCs/>
                <w:sz w:val="16"/>
                <w:szCs w:val="16"/>
                <w:lang w:val="en-GB"/>
              </w:rPr>
              <w:t>Desert Research Foundation</w:t>
            </w:r>
            <w:r w:rsidRPr="0089780F">
              <w:rPr>
                <w:iCs/>
                <w:sz w:val="16"/>
                <w:szCs w:val="16"/>
                <w:lang w:val="en-GB"/>
              </w:rPr>
              <w:t xml:space="preserve"> </w:t>
            </w:r>
            <w:r>
              <w:rPr>
                <w:iCs/>
                <w:sz w:val="16"/>
                <w:szCs w:val="16"/>
                <w:lang w:val="en-GB"/>
              </w:rPr>
              <w:t>(</w:t>
            </w:r>
            <w:r w:rsidR="00477CC3" w:rsidRPr="006020CD">
              <w:rPr>
                <w:iCs/>
                <w:sz w:val="16"/>
                <w:szCs w:val="16"/>
                <w:lang w:val="en-GB"/>
              </w:rPr>
              <w:t>DRFN</w:t>
            </w:r>
            <w:r>
              <w:rPr>
                <w:iCs/>
                <w:sz w:val="16"/>
                <w:szCs w:val="16"/>
                <w:lang w:val="en-GB"/>
              </w:rPr>
              <w:t>)</w:t>
            </w:r>
          </w:p>
          <w:p w14:paraId="1035F1B8" w14:textId="77777777" w:rsidR="00477CC3" w:rsidRPr="006020CD" w:rsidRDefault="00477CC3" w:rsidP="00425BCB">
            <w:pPr>
              <w:tabs>
                <w:tab w:val="left" w:pos="8789"/>
              </w:tabs>
              <w:rPr>
                <w:iCs/>
                <w:sz w:val="16"/>
                <w:szCs w:val="16"/>
                <w:lang w:val="en-GB"/>
              </w:rPr>
            </w:pPr>
            <w:r w:rsidRPr="006020CD">
              <w:rPr>
                <w:iCs/>
                <w:sz w:val="16"/>
                <w:szCs w:val="16"/>
                <w:lang w:val="en-GB"/>
              </w:rPr>
              <w:t>EIF</w:t>
            </w:r>
          </w:p>
          <w:p w14:paraId="0086DEDD" w14:textId="7355EE3D" w:rsidR="00477CC3" w:rsidRPr="006020CD" w:rsidRDefault="00FD7207" w:rsidP="00425BCB">
            <w:pPr>
              <w:tabs>
                <w:tab w:val="left" w:pos="8789"/>
              </w:tabs>
              <w:rPr>
                <w:iCs/>
                <w:sz w:val="16"/>
                <w:szCs w:val="16"/>
                <w:lang w:val="en-GB"/>
              </w:rPr>
            </w:pPr>
            <w:r>
              <w:rPr>
                <w:iCs/>
                <w:sz w:val="16"/>
                <w:szCs w:val="16"/>
                <w:lang w:val="en-GB"/>
              </w:rPr>
              <w:t>Development Bank of Namibia (</w:t>
            </w:r>
            <w:r w:rsidR="00477CC3" w:rsidRPr="006020CD">
              <w:rPr>
                <w:iCs/>
                <w:sz w:val="16"/>
                <w:szCs w:val="16"/>
                <w:lang w:val="en-GB"/>
              </w:rPr>
              <w:t>DBN</w:t>
            </w:r>
            <w:r>
              <w:rPr>
                <w:iCs/>
                <w:sz w:val="16"/>
                <w:szCs w:val="16"/>
                <w:lang w:val="en-GB"/>
              </w:rPr>
              <w:t>)</w:t>
            </w:r>
          </w:p>
          <w:p w14:paraId="5B71D17E" w14:textId="6B79175A" w:rsidR="00CE20FF" w:rsidRPr="006020CD" w:rsidRDefault="00CE20FF" w:rsidP="00425BCB">
            <w:pPr>
              <w:tabs>
                <w:tab w:val="left" w:pos="8789"/>
              </w:tabs>
              <w:rPr>
                <w:iCs/>
                <w:sz w:val="16"/>
                <w:szCs w:val="16"/>
                <w:lang w:val="en-GB"/>
              </w:rPr>
            </w:pPr>
            <w:r w:rsidRPr="006020CD">
              <w:rPr>
                <w:iCs/>
                <w:sz w:val="16"/>
                <w:szCs w:val="16"/>
                <w:lang w:val="en-GB"/>
              </w:rPr>
              <w:t>GEF</w:t>
            </w:r>
          </w:p>
          <w:p w14:paraId="597FC864" w14:textId="77777777" w:rsidR="00CE20FF" w:rsidRPr="006020CD" w:rsidRDefault="00CE20FF" w:rsidP="00425BCB">
            <w:pPr>
              <w:tabs>
                <w:tab w:val="left" w:pos="8789"/>
              </w:tabs>
              <w:rPr>
                <w:iCs/>
                <w:sz w:val="16"/>
                <w:szCs w:val="16"/>
                <w:lang w:val="en-GB"/>
              </w:rPr>
            </w:pPr>
            <w:r w:rsidRPr="006020CD">
              <w:rPr>
                <w:iCs/>
                <w:sz w:val="16"/>
                <w:szCs w:val="16"/>
                <w:lang w:val="en-GB"/>
              </w:rPr>
              <w:t>WFP</w:t>
            </w:r>
          </w:p>
          <w:p w14:paraId="004294EC" w14:textId="1F43BFEA" w:rsidR="00CE20FF" w:rsidRPr="006020CD" w:rsidRDefault="00CE20FF" w:rsidP="00425BCB">
            <w:pPr>
              <w:tabs>
                <w:tab w:val="left" w:pos="8789"/>
              </w:tabs>
              <w:rPr>
                <w:iCs/>
                <w:sz w:val="16"/>
                <w:szCs w:val="16"/>
                <w:lang w:val="en-GB"/>
              </w:rPr>
            </w:pPr>
            <w:r w:rsidRPr="006020CD">
              <w:rPr>
                <w:iCs/>
                <w:sz w:val="16"/>
                <w:szCs w:val="16"/>
                <w:lang w:val="en-GB"/>
              </w:rPr>
              <w:t>FAO</w:t>
            </w:r>
          </w:p>
          <w:p w14:paraId="51206E8B" w14:textId="77777777" w:rsidR="00477CC3" w:rsidRPr="006020CD" w:rsidRDefault="00477CC3" w:rsidP="00425BCB">
            <w:pPr>
              <w:tabs>
                <w:tab w:val="left" w:pos="8789"/>
              </w:tabs>
              <w:rPr>
                <w:iCs/>
                <w:sz w:val="16"/>
                <w:szCs w:val="16"/>
                <w:lang w:val="en-GB"/>
              </w:rPr>
            </w:pPr>
          </w:p>
          <w:p w14:paraId="643DB56B" w14:textId="77777777" w:rsidR="00477CC3" w:rsidRPr="006020CD" w:rsidRDefault="00477CC3" w:rsidP="00425BCB">
            <w:pPr>
              <w:tabs>
                <w:tab w:val="left" w:pos="8789"/>
              </w:tabs>
              <w:jc w:val="both"/>
              <w:rPr>
                <w:iCs/>
                <w:sz w:val="16"/>
                <w:szCs w:val="16"/>
                <w:lang w:val="en-GB"/>
              </w:rPr>
            </w:pPr>
          </w:p>
        </w:tc>
        <w:tc>
          <w:tcPr>
            <w:tcW w:w="459" w:type="pct"/>
            <w:tcBorders>
              <w:bottom w:val="nil"/>
            </w:tcBorders>
            <w:tcMar>
              <w:top w:w="15" w:type="dxa"/>
              <w:left w:w="108" w:type="dxa"/>
              <w:bottom w:w="0" w:type="dxa"/>
              <w:right w:w="108" w:type="dxa"/>
            </w:tcMar>
            <w:vAlign w:val="center"/>
          </w:tcPr>
          <w:p w14:paraId="2E65B6E5" w14:textId="77777777" w:rsidR="00477CC3" w:rsidRPr="006020CD" w:rsidRDefault="00477CC3" w:rsidP="00425BCB">
            <w:pPr>
              <w:tabs>
                <w:tab w:val="left" w:pos="8789"/>
              </w:tabs>
              <w:rPr>
                <w:b/>
                <w:sz w:val="16"/>
                <w:szCs w:val="16"/>
                <w:lang w:val="en-GB"/>
              </w:rPr>
            </w:pPr>
          </w:p>
        </w:tc>
      </w:tr>
      <w:tr w:rsidR="00477CC3" w:rsidRPr="00074002" w14:paraId="61277293" w14:textId="77777777" w:rsidTr="00B362C0">
        <w:tc>
          <w:tcPr>
            <w:tcW w:w="791" w:type="pct"/>
            <w:tcBorders>
              <w:top w:val="nil"/>
              <w:bottom w:val="single" w:sz="4" w:space="0" w:color="auto"/>
            </w:tcBorders>
            <w:tcMar>
              <w:top w:w="72" w:type="dxa"/>
              <w:left w:w="144" w:type="dxa"/>
              <w:bottom w:w="72" w:type="dxa"/>
              <w:right w:w="144" w:type="dxa"/>
            </w:tcMar>
          </w:tcPr>
          <w:p w14:paraId="46B358C8" w14:textId="1637781A" w:rsidR="00477CC3" w:rsidRPr="006020CD" w:rsidRDefault="00477CC3" w:rsidP="00425BCB">
            <w:pPr>
              <w:tabs>
                <w:tab w:val="left" w:pos="8789"/>
              </w:tabs>
              <w:jc w:val="both"/>
              <w:rPr>
                <w:sz w:val="16"/>
                <w:szCs w:val="16"/>
                <w:lang w:val="en-GB"/>
              </w:rPr>
            </w:pPr>
            <w:r w:rsidRPr="006020CD">
              <w:rPr>
                <w:b/>
                <w:sz w:val="16"/>
                <w:szCs w:val="16"/>
                <w:lang w:val="en-GB"/>
              </w:rPr>
              <w:t>2.</w:t>
            </w:r>
            <w:r w:rsidR="002E6BD7" w:rsidRPr="006020CD">
              <w:rPr>
                <w:b/>
                <w:sz w:val="16"/>
                <w:szCs w:val="16"/>
                <w:lang w:val="en-GB"/>
              </w:rPr>
              <w:t>3</w:t>
            </w:r>
            <w:r w:rsidRPr="006020CD">
              <w:rPr>
                <w:sz w:val="16"/>
                <w:szCs w:val="16"/>
                <w:lang w:val="en-GB"/>
              </w:rPr>
              <w:t xml:space="preserve"> Share of renewable energy in the mix</w:t>
            </w:r>
          </w:p>
          <w:p w14:paraId="6961D210" w14:textId="77777777" w:rsidR="00477CC3" w:rsidRPr="006020CD" w:rsidRDefault="00477CC3" w:rsidP="00425BCB">
            <w:pPr>
              <w:tabs>
                <w:tab w:val="left" w:pos="8789"/>
              </w:tabs>
              <w:jc w:val="both"/>
              <w:rPr>
                <w:sz w:val="16"/>
                <w:szCs w:val="16"/>
                <w:lang w:val="en-GB"/>
              </w:rPr>
            </w:pPr>
            <w:r w:rsidRPr="006020CD">
              <w:rPr>
                <w:b/>
                <w:sz w:val="16"/>
                <w:szCs w:val="16"/>
                <w:lang w:val="en-GB"/>
              </w:rPr>
              <w:t xml:space="preserve">Baseline: </w:t>
            </w:r>
            <w:r w:rsidRPr="006020CD">
              <w:rPr>
                <w:sz w:val="16"/>
                <w:szCs w:val="16"/>
                <w:lang w:val="en-GB"/>
              </w:rPr>
              <w:t>33% (2015)</w:t>
            </w:r>
          </w:p>
          <w:p w14:paraId="68C48EBF" w14:textId="6EE5EA8E" w:rsidR="00477CC3" w:rsidRPr="006020CD" w:rsidRDefault="00477CC3" w:rsidP="00425BCB">
            <w:pPr>
              <w:tabs>
                <w:tab w:val="left" w:pos="8789"/>
              </w:tabs>
              <w:jc w:val="both"/>
              <w:rPr>
                <w:sz w:val="16"/>
                <w:szCs w:val="16"/>
                <w:lang w:val="en-GB"/>
              </w:rPr>
            </w:pPr>
            <w:r w:rsidRPr="006020CD">
              <w:rPr>
                <w:b/>
                <w:sz w:val="16"/>
                <w:szCs w:val="16"/>
                <w:lang w:val="en-GB"/>
              </w:rPr>
              <w:t>Target:</w:t>
            </w:r>
            <w:r w:rsidRPr="006020CD">
              <w:rPr>
                <w:sz w:val="16"/>
                <w:szCs w:val="16"/>
                <w:lang w:val="en-GB"/>
              </w:rPr>
              <w:t xml:space="preserve"> 70</w:t>
            </w:r>
            <w:r w:rsidR="00C72B48" w:rsidRPr="006020CD">
              <w:rPr>
                <w:sz w:val="16"/>
                <w:szCs w:val="16"/>
                <w:lang w:val="en-GB"/>
              </w:rPr>
              <w:t>%</w:t>
            </w:r>
            <w:r w:rsidRPr="006020CD">
              <w:rPr>
                <w:sz w:val="16"/>
                <w:szCs w:val="16"/>
                <w:lang w:val="en-GB"/>
              </w:rPr>
              <w:t xml:space="preserve"> of </w:t>
            </w:r>
            <w:r w:rsidR="00D71181">
              <w:rPr>
                <w:sz w:val="16"/>
                <w:szCs w:val="16"/>
                <w:lang w:val="en-GB"/>
              </w:rPr>
              <w:t xml:space="preserve">the </w:t>
            </w:r>
            <w:r w:rsidRPr="006020CD">
              <w:rPr>
                <w:sz w:val="16"/>
                <w:szCs w:val="16"/>
                <w:lang w:val="en-GB"/>
              </w:rPr>
              <w:t>energy mix from renewable resources by 2020</w:t>
            </w:r>
          </w:p>
          <w:p w14:paraId="57A5148B" w14:textId="77777777" w:rsidR="00477CC3" w:rsidRPr="006020CD" w:rsidRDefault="00477CC3" w:rsidP="00425BCB">
            <w:pPr>
              <w:tabs>
                <w:tab w:val="left" w:pos="8789"/>
              </w:tabs>
              <w:jc w:val="both"/>
              <w:rPr>
                <w:sz w:val="16"/>
                <w:szCs w:val="16"/>
                <w:lang w:val="en-GB"/>
              </w:rPr>
            </w:pPr>
          </w:p>
          <w:p w14:paraId="73120C8F" w14:textId="77777777" w:rsidR="00477CC3" w:rsidRPr="006020CD" w:rsidRDefault="00477CC3" w:rsidP="00425BCB">
            <w:pPr>
              <w:tabs>
                <w:tab w:val="left" w:pos="8789"/>
              </w:tabs>
              <w:jc w:val="both"/>
              <w:rPr>
                <w:sz w:val="16"/>
                <w:szCs w:val="16"/>
                <w:lang w:val="en-GB"/>
              </w:rPr>
            </w:pPr>
          </w:p>
          <w:p w14:paraId="1678B1A7" w14:textId="77777777" w:rsidR="00477CC3" w:rsidRPr="006020CD" w:rsidRDefault="00477CC3" w:rsidP="00425BCB">
            <w:pPr>
              <w:tabs>
                <w:tab w:val="left" w:pos="8789"/>
              </w:tabs>
              <w:jc w:val="both"/>
              <w:rPr>
                <w:b/>
                <w:sz w:val="16"/>
                <w:szCs w:val="16"/>
                <w:lang w:val="en-GB"/>
              </w:rPr>
            </w:pPr>
          </w:p>
        </w:tc>
        <w:tc>
          <w:tcPr>
            <w:tcW w:w="791" w:type="pct"/>
            <w:tcBorders>
              <w:top w:val="nil"/>
              <w:bottom w:val="single" w:sz="4" w:space="0" w:color="auto"/>
            </w:tcBorders>
          </w:tcPr>
          <w:p w14:paraId="2F441621" w14:textId="3A405B00" w:rsidR="00477CC3" w:rsidRPr="00074002" w:rsidRDefault="00477CC3" w:rsidP="00425BCB">
            <w:pPr>
              <w:tabs>
                <w:tab w:val="left" w:pos="8789"/>
              </w:tabs>
              <w:jc w:val="both"/>
              <w:rPr>
                <w:iCs/>
                <w:sz w:val="16"/>
                <w:szCs w:val="16"/>
                <w:lang w:val="en-GB"/>
              </w:rPr>
            </w:pPr>
            <w:r w:rsidRPr="00074002">
              <w:rPr>
                <w:b/>
                <w:iCs/>
                <w:sz w:val="16"/>
                <w:szCs w:val="16"/>
                <w:lang w:val="en-GB"/>
              </w:rPr>
              <w:t xml:space="preserve">Data </w:t>
            </w:r>
            <w:r w:rsidR="00D71181">
              <w:rPr>
                <w:b/>
                <w:iCs/>
                <w:sz w:val="16"/>
                <w:szCs w:val="16"/>
                <w:lang w:val="en-GB"/>
              </w:rPr>
              <w:t>s</w:t>
            </w:r>
            <w:r w:rsidRPr="00074002">
              <w:rPr>
                <w:b/>
                <w:iCs/>
                <w:sz w:val="16"/>
                <w:szCs w:val="16"/>
                <w:lang w:val="en-GB"/>
              </w:rPr>
              <w:t>ource</w:t>
            </w:r>
            <w:r w:rsidR="00832F58">
              <w:rPr>
                <w:b/>
                <w:iCs/>
                <w:sz w:val="16"/>
                <w:szCs w:val="16"/>
                <w:lang w:val="en-GB"/>
              </w:rPr>
              <w:t>s</w:t>
            </w:r>
            <w:r w:rsidRPr="006020CD">
              <w:rPr>
                <w:b/>
                <w:iCs/>
                <w:sz w:val="16"/>
                <w:szCs w:val="16"/>
                <w:lang w:val="en-GB"/>
              </w:rPr>
              <w:t>:</w:t>
            </w:r>
            <w:r w:rsidRPr="00074002">
              <w:rPr>
                <w:iCs/>
                <w:sz w:val="16"/>
                <w:szCs w:val="16"/>
                <w:lang w:val="en-GB"/>
              </w:rPr>
              <w:t xml:space="preserve"> N</w:t>
            </w:r>
            <w:r w:rsidR="00A4321A" w:rsidRPr="00074002">
              <w:rPr>
                <w:iCs/>
                <w:sz w:val="16"/>
                <w:szCs w:val="16"/>
                <w:lang w:val="en-GB"/>
              </w:rPr>
              <w:t xml:space="preserve">amibia INDC, NCCSAP </w:t>
            </w:r>
            <w:r w:rsidR="0050196D">
              <w:rPr>
                <w:iCs/>
                <w:sz w:val="16"/>
                <w:szCs w:val="16"/>
                <w:lang w:val="en-GB"/>
              </w:rPr>
              <w:t>annual report</w:t>
            </w:r>
            <w:r w:rsidR="00A4321A" w:rsidRPr="00074002">
              <w:rPr>
                <w:iCs/>
                <w:sz w:val="16"/>
                <w:szCs w:val="16"/>
                <w:lang w:val="en-GB"/>
              </w:rPr>
              <w:t xml:space="preserve">, </w:t>
            </w:r>
            <w:r w:rsidR="00A4321A" w:rsidRPr="0089780F">
              <w:rPr>
                <w:iCs/>
                <w:sz w:val="16"/>
                <w:szCs w:val="16"/>
                <w:lang w:val="en-GB"/>
              </w:rPr>
              <w:t>NC4</w:t>
            </w:r>
          </w:p>
          <w:p w14:paraId="6211CE3F" w14:textId="77777777" w:rsidR="00477CC3" w:rsidRPr="00296CEA" w:rsidRDefault="00A4321A" w:rsidP="00425BCB">
            <w:pPr>
              <w:tabs>
                <w:tab w:val="left" w:pos="8789"/>
              </w:tabs>
              <w:jc w:val="both"/>
              <w:rPr>
                <w:iCs/>
                <w:sz w:val="16"/>
                <w:szCs w:val="16"/>
                <w:lang w:val="en-GB"/>
              </w:rPr>
            </w:pPr>
            <w:r w:rsidRPr="00296CEA">
              <w:rPr>
                <w:b/>
                <w:iCs/>
                <w:sz w:val="16"/>
                <w:szCs w:val="16"/>
                <w:lang w:val="en-GB"/>
              </w:rPr>
              <w:t>Frequency</w:t>
            </w:r>
            <w:r w:rsidRPr="006020CD">
              <w:rPr>
                <w:b/>
                <w:iCs/>
                <w:sz w:val="16"/>
                <w:szCs w:val="16"/>
                <w:lang w:val="en-GB"/>
              </w:rPr>
              <w:t xml:space="preserve">: </w:t>
            </w:r>
            <w:r w:rsidR="00477CC3" w:rsidRPr="00296CEA">
              <w:rPr>
                <w:iCs/>
                <w:sz w:val="16"/>
                <w:szCs w:val="16"/>
                <w:lang w:val="en-GB"/>
              </w:rPr>
              <w:t xml:space="preserve">Biennial  </w:t>
            </w:r>
          </w:p>
        </w:tc>
        <w:tc>
          <w:tcPr>
            <w:tcW w:w="2373" w:type="pct"/>
            <w:tcBorders>
              <w:top w:val="nil"/>
              <w:bottom w:val="single" w:sz="4" w:space="0" w:color="auto"/>
            </w:tcBorders>
            <w:tcMar>
              <w:top w:w="72" w:type="dxa"/>
              <w:left w:w="144" w:type="dxa"/>
              <w:bottom w:w="72" w:type="dxa"/>
              <w:right w:w="144" w:type="dxa"/>
            </w:tcMar>
          </w:tcPr>
          <w:p w14:paraId="6022340E" w14:textId="5F53457D" w:rsidR="00477CC3" w:rsidRPr="006020CD" w:rsidRDefault="00477CC3" w:rsidP="00425BCB">
            <w:pPr>
              <w:tabs>
                <w:tab w:val="left" w:pos="8789"/>
              </w:tabs>
              <w:spacing w:line="276" w:lineRule="auto"/>
              <w:jc w:val="both"/>
              <w:rPr>
                <w:sz w:val="16"/>
                <w:szCs w:val="16"/>
                <w:lang w:val="en-GB"/>
              </w:rPr>
            </w:pPr>
            <w:r w:rsidRPr="006020CD">
              <w:rPr>
                <w:b/>
                <w:sz w:val="16"/>
                <w:szCs w:val="16"/>
                <w:lang w:val="en-GB"/>
              </w:rPr>
              <w:t>Output 2.3</w:t>
            </w:r>
            <w:r w:rsidR="0050196D">
              <w:rPr>
                <w:b/>
                <w:sz w:val="16"/>
                <w:szCs w:val="16"/>
                <w:lang w:val="en-GB"/>
              </w:rPr>
              <w:t>.</w:t>
            </w:r>
            <w:r w:rsidRPr="006020CD">
              <w:rPr>
                <w:sz w:val="16"/>
                <w:szCs w:val="16"/>
                <w:lang w:val="en-GB"/>
              </w:rPr>
              <w:t xml:space="preserve"> </w:t>
            </w:r>
            <w:r w:rsidRPr="006020CD">
              <w:rPr>
                <w:i/>
                <w:sz w:val="16"/>
                <w:szCs w:val="16"/>
                <w:lang w:val="en-GB"/>
              </w:rPr>
              <w:t>Inclusive and sustainable solutions adopted by renewable energy technology suppliers and industries to achieve increased energy efficiency</w:t>
            </w:r>
            <w:r w:rsidR="009302A7" w:rsidRPr="006020CD">
              <w:rPr>
                <w:i/>
                <w:sz w:val="16"/>
                <w:szCs w:val="16"/>
                <w:lang w:val="en-GB"/>
              </w:rPr>
              <w:t xml:space="preserve"> </w:t>
            </w:r>
            <w:r w:rsidRPr="006020CD">
              <w:rPr>
                <w:i/>
                <w:sz w:val="16"/>
                <w:szCs w:val="16"/>
                <w:lang w:val="en-GB"/>
              </w:rPr>
              <w:t>and universal modern energy access (especially off-grid sources of renewable energy)</w:t>
            </w:r>
            <w:r w:rsidR="00D71181">
              <w:rPr>
                <w:i/>
                <w:sz w:val="16"/>
                <w:szCs w:val="16"/>
                <w:lang w:val="en-GB"/>
              </w:rPr>
              <w:t>.</w:t>
            </w:r>
            <w:r w:rsidRPr="006020CD">
              <w:rPr>
                <w:sz w:val="16"/>
                <w:szCs w:val="16"/>
                <w:lang w:val="en-GB"/>
              </w:rPr>
              <w:t xml:space="preserve"> </w:t>
            </w:r>
          </w:p>
          <w:p w14:paraId="328648B5" w14:textId="3AFB91E7" w:rsidR="00477CC3" w:rsidRPr="006020CD" w:rsidRDefault="00477CC3" w:rsidP="00425BCB">
            <w:pPr>
              <w:tabs>
                <w:tab w:val="left" w:pos="8789"/>
              </w:tabs>
              <w:spacing w:line="276" w:lineRule="auto"/>
              <w:jc w:val="both"/>
              <w:rPr>
                <w:sz w:val="16"/>
                <w:szCs w:val="16"/>
                <w:lang w:val="en-GB"/>
              </w:rPr>
            </w:pPr>
            <w:r w:rsidRPr="006020CD">
              <w:rPr>
                <w:b/>
                <w:sz w:val="16"/>
                <w:szCs w:val="16"/>
                <w:lang w:val="en-GB"/>
              </w:rPr>
              <w:t>Indicator 2.3.1</w:t>
            </w:r>
            <w:r w:rsidR="0050196D">
              <w:rPr>
                <w:b/>
                <w:sz w:val="16"/>
                <w:szCs w:val="16"/>
                <w:lang w:val="en-GB"/>
              </w:rPr>
              <w:t>.</w:t>
            </w:r>
            <w:r w:rsidRPr="006020CD">
              <w:rPr>
                <w:sz w:val="16"/>
                <w:szCs w:val="16"/>
                <w:lang w:val="en-GB"/>
              </w:rPr>
              <w:t xml:space="preserve"> </w:t>
            </w:r>
            <w:r w:rsidR="00A4321A" w:rsidRPr="006020CD">
              <w:rPr>
                <w:sz w:val="16"/>
                <w:szCs w:val="16"/>
                <w:lang w:val="en-GB"/>
              </w:rPr>
              <w:t>No.</w:t>
            </w:r>
            <w:r w:rsidRPr="006020CD">
              <w:rPr>
                <w:sz w:val="16"/>
                <w:szCs w:val="16"/>
                <w:lang w:val="en-GB"/>
              </w:rPr>
              <w:t xml:space="preserve"> of new development partnerships</w:t>
            </w:r>
            <w:r w:rsidR="00752E3E">
              <w:rPr>
                <w:sz w:val="16"/>
                <w:szCs w:val="16"/>
                <w:lang w:val="en-GB"/>
              </w:rPr>
              <w:t>,</w:t>
            </w:r>
            <w:r w:rsidR="002B7A38" w:rsidRPr="006020CD">
              <w:rPr>
                <w:sz w:val="16"/>
                <w:szCs w:val="16"/>
                <w:lang w:val="en-GB"/>
              </w:rPr>
              <w:t xml:space="preserve"> incl</w:t>
            </w:r>
            <w:r w:rsidR="0050196D">
              <w:rPr>
                <w:sz w:val="16"/>
                <w:szCs w:val="16"/>
                <w:lang w:val="en-GB"/>
              </w:rPr>
              <w:t>uding</w:t>
            </w:r>
            <w:r w:rsidR="002B7A38" w:rsidRPr="006020CD">
              <w:rPr>
                <w:sz w:val="16"/>
                <w:szCs w:val="16"/>
                <w:lang w:val="en-GB"/>
              </w:rPr>
              <w:t xml:space="preserve"> S</w:t>
            </w:r>
            <w:r w:rsidR="0050196D">
              <w:rPr>
                <w:sz w:val="16"/>
                <w:szCs w:val="16"/>
                <w:lang w:val="en-GB"/>
              </w:rPr>
              <w:t>outh-South cooperation</w:t>
            </w:r>
            <w:r w:rsidR="00752E3E">
              <w:rPr>
                <w:sz w:val="16"/>
                <w:szCs w:val="16"/>
                <w:lang w:val="en-GB"/>
              </w:rPr>
              <w:t>,</w:t>
            </w:r>
            <w:r w:rsidRPr="006020CD">
              <w:rPr>
                <w:sz w:val="16"/>
                <w:szCs w:val="16"/>
                <w:lang w:val="en-GB"/>
              </w:rPr>
              <w:t xml:space="preserve"> with funding for improved </w:t>
            </w:r>
            <w:r w:rsidR="0050196D">
              <w:rPr>
                <w:sz w:val="16"/>
                <w:szCs w:val="16"/>
                <w:lang w:val="en-GB"/>
              </w:rPr>
              <w:t>energy efficiency</w:t>
            </w:r>
            <w:r w:rsidR="0050196D" w:rsidRPr="006020CD">
              <w:rPr>
                <w:sz w:val="16"/>
                <w:szCs w:val="16"/>
                <w:lang w:val="en-GB"/>
              </w:rPr>
              <w:t xml:space="preserve"> </w:t>
            </w:r>
            <w:r w:rsidRPr="006020CD">
              <w:rPr>
                <w:sz w:val="16"/>
                <w:szCs w:val="16"/>
                <w:lang w:val="en-GB"/>
              </w:rPr>
              <w:t>and/or sustainable energy solutions targeting underserved communities/groups and women</w:t>
            </w:r>
          </w:p>
          <w:p w14:paraId="64A0038B" w14:textId="61CB18E0" w:rsidR="00477CC3" w:rsidRPr="006020CD" w:rsidRDefault="00477CC3" w:rsidP="00425BCB">
            <w:pPr>
              <w:tabs>
                <w:tab w:val="left" w:pos="8789"/>
              </w:tabs>
              <w:jc w:val="both"/>
              <w:rPr>
                <w:bCs/>
                <w:sz w:val="16"/>
                <w:szCs w:val="16"/>
                <w:lang w:val="en-GB"/>
              </w:rPr>
            </w:pPr>
            <w:r w:rsidRPr="006020CD">
              <w:rPr>
                <w:b/>
                <w:bCs/>
                <w:sz w:val="16"/>
                <w:szCs w:val="16"/>
                <w:lang w:val="en-GB"/>
              </w:rPr>
              <w:t>Baseline</w:t>
            </w:r>
            <w:r w:rsidRPr="006020CD">
              <w:rPr>
                <w:bCs/>
                <w:sz w:val="16"/>
                <w:szCs w:val="16"/>
                <w:lang w:val="en-GB"/>
              </w:rPr>
              <w:t xml:space="preserve">: </w:t>
            </w:r>
            <w:r w:rsidR="00A10697" w:rsidRPr="006020CD">
              <w:rPr>
                <w:bCs/>
                <w:sz w:val="16"/>
                <w:szCs w:val="16"/>
                <w:lang w:val="en-GB"/>
              </w:rPr>
              <w:t>2</w:t>
            </w:r>
            <w:r w:rsidRPr="006020CD">
              <w:rPr>
                <w:bCs/>
                <w:sz w:val="16"/>
                <w:szCs w:val="16"/>
                <w:lang w:val="en-GB"/>
              </w:rPr>
              <w:t>a</w:t>
            </w:r>
            <w:r w:rsidR="00752E3E">
              <w:rPr>
                <w:bCs/>
                <w:sz w:val="16"/>
                <w:szCs w:val="16"/>
                <w:lang w:val="en-GB"/>
              </w:rPr>
              <w:t>,</w:t>
            </w:r>
            <w:r w:rsidRPr="006020CD">
              <w:rPr>
                <w:bCs/>
                <w:sz w:val="16"/>
                <w:szCs w:val="16"/>
                <w:lang w:val="en-GB"/>
              </w:rPr>
              <w:t xml:space="preserve"> underserved communities </w:t>
            </w:r>
            <w:r w:rsidR="00A10697" w:rsidRPr="006020CD">
              <w:rPr>
                <w:bCs/>
                <w:sz w:val="16"/>
                <w:szCs w:val="16"/>
                <w:lang w:val="en-GB"/>
              </w:rPr>
              <w:t xml:space="preserve">(2) </w:t>
            </w:r>
            <w:r w:rsidRPr="006020CD">
              <w:rPr>
                <w:bCs/>
                <w:sz w:val="16"/>
                <w:szCs w:val="16"/>
                <w:lang w:val="en-GB"/>
              </w:rPr>
              <w:t>(DBN/AfDB/</w:t>
            </w:r>
            <w:r w:rsidR="00D631EB" w:rsidRPr="00DE4CC3">
              <w:rPr>
                <w:bCs/>
                <w:sz w:val="16"/>
                <w:szCs w:val="16"/>
              </w:rPr>
              <w:t>G</w:t>
            </w:r>
            <w:r w:rsidR="00DE4CC3">
              <w:rPr>
                <w:bCs/>
                <w:sz w:val="16"/>
                <w:szCs w:val="16"/>
              </w:rPr>
              <w:t>DC</w:t>
            </w:r>
            <w:r w:rsidR="00752E3E">
              <w:rPr>
                <w:bCs/>
                <w:sz w:val="16"/>
                <w:szCs w:val="16"/>
                <w:lang w:val="en-GB"/>
              </w:rPr>
              <w:t>,</w:t>
            </w:r>
            <w:r w:rsidRPr="006020CD">
              <w:rPr>
                <w:bCs/>
                <w:sz w:val="16"/>
                <w:szCs w:val="16"/>
                <w:lang w:val="en-GB"/>
              </w:rPr>
              <w:t xml:space="preserve"> nationwide</w:t>
            </w:r>
            <w:r w:rsidR="00752E3E">
              <w:rPr>
                <w:bCs/>
                <w:sz w:val="16"/>
                <w:szCs w:val="16"/>
                <w:lang w:val="en-GB"/>
              </w:rPr>
              <w:t>,</w:t>
            </w:r>
            <w:r w:rsidRPr="006020CD">
              <w:rPr>
                <w:bCs/>
                <w:sz w:val="16"/>
                <w:szCs w:val="16"/>
                <w:lang w:val="en-GB"/>
              </w:rPr>
              <w:t xml:space="preserve"> </w:t>
            </w:r>
            <w:r w:rsidR="00D37810">
              <w:rPr>
                <w:bCs/>
                <w:sz w:val="16"/>
                <w:szCs w:val="16"/>
                <w:lang w:val="en-GB"/>
              </w:rPr>
              <w:t>and</w:t>
            </w:r>
            <w:r w:rsidR="00D37810" w:rsidRPr="006020CD">
              <w:rPr>
                <w:bCs/>
                <w:sz w:val="16"/>
                <w:szCs w:val="16"/>
                <w:lang w:val="en-GB"/>
              </w:rPr>
              <w:t xml:space="preserve"> </w:t>
            </w:r>
            <w:r w:rsidRPr="006020CD">
              <w:rPr>
                <w:bCs/>
                <w:sz w:val="16"/>
                <w:szCs w:val="16"/>
                <w:lang w:val="en-GB"/>
              </w:rPr>
              <w:t>EIF</w:t>
            </w:r>
            <w:r w:rsidR="00752E3E">
              <w:rPr>
                <w:bCs/>
                <w:sz w:val="16"/>
                <w:szCs w:val="16"/>
                <w:lang w:val="en-GB"/>
              </w:rPr>
              <w:t>,</w:t>
            </w:r>
            <w:r w:rsidRPr="006020CD">
              <w:rPr>
                <w:bCs/>
                <w:sz w:val="16"/>
                <w:szCs w:val="16"/>
                <w:lang w:val="en-GB"/>
              </w:rPr>
              <w:t xml:space="preserve"> GCF-Kunene)</w:t>
            </w:r>
            <w:r w:rsidR="00752E3E">
              <w:rPr>
                <w:bCs/>
                <w:sz w:val="16"/>
                <w:szCs w:val="16"/>
                <w:lang w:val="en-GB"/>
              </w:rPr>
              <w:t>;</w:t>
            </w:r>
            <w:r w:rsidRPr="006020CD">
              <w:rPr>
                <w:bCs/>
                <w:sz w:val="16"/>
                <w:szCs w:val="16"/>
                <w:lang w:val="en-GB"/>
              </w:rPr>
              <w:t xml:space="preserve"> </w:t>
            </w:r>
            <w:r w:rsidR="0050196D">
              <w:rPr>
                <w:bCs/>
                <w:sz w:val="16"/>
                <w:szCs w:val="16"/>
                <w:lang w:val="en-GB"/>
              </w:rPr>
              <w:t>2</w:t>
            </w:r>
            <w:r w:rsidR="00A10697" w:rsidRPr="006020CD">
              <w:rPr>
                <w:bCs/>
                <w:sz w:val="16"/>
                <w:szCs w:val="16"/>
                <w:lang w:val="en-GB"/>
              </w:rPr>
              <w:t>b</w:t>
            </w:r>
            <w:r w:rsidR="00752E3E">
              <w:rPr>
                <w:bCs/>
                <w:sz w:val="16"/>
                <w:szCs w:val="16"/>
                <w:lang w:val="en-GB"/>
              </w:rPr>
              <w:t>,</w:t>
            </w:r>
            <w:r w:rsidR="00A10697" w:rsidRPr="006020CD">
              <w:rPr>
                <w:bCs/>
                <w:sz w:val="16"/>
                <w:szCs w:val="16"/>
                <w:lang w:val="en-GB"/>
              </w:rPr>
              <w:t xml:space="preserve"> </w:t>
            </w:r>
            <w:r w:rsidR="00752E3E">
              <w:rPr>
                <w:bCs/>
                <w:sz w:val="16"/>
                <w:szCs w:val="16"/>
                <w:lang w:val="en-GB"/>
              </w:rPr>
              <w:t>w</w:t>
            </w:r>
            <w:r w:rsidRPr="006020CD">
              <w:rPr>
                <w:bCs/>
                <w:sz w:val="16"/>
                <w:szCs w:val="16"/>
                <w:lang w:val="en-GB"/>
              </w:rPr>
              <w:t xml:space="preserve">omen (0) </w:t>
            </w:r>
          </w:p>
          <w:p w14:paraId="69B4E9BF" w14:textId="67CBE65D" w:rsidR="00477CC3" w:rsidRPr="006020CD" w:rsidRDefault="00477CC3" w:rsidP="00425BCB">
            <w:pPr>
              <w:tabs>
                <w:tab w:val="left" w:pos="8789"/>
              </w:tabs>
              <w:spacing w:line="276" w:lineRule="auto"/>
              <w:jc w:val="both"/>
              <w:rPr>
                <w:b/>
                <w:bCs/>
                <w:sz w:val="16"/>
                <w:szCs w:val="16"/>
                <w:lang w:val="en-GB"/>
              </w:rPr>
            </w:pPr>
            <w:r w:rsidRPr="006020CD">
              <w:rPr>
                <w:b/>
                <w:bCs/>
                <w:sz w:val="16"/>
                <w:szCs w:val="16"/>
                <w:lang w:val="en-GB"/>
              </w:rPr>
              <w:t xml:space="preserve">Target: </w:t>
            </w:r>
            <w:r w:rsidRPr="006020CD">
              <w:rPr>
                <w:bCs/>
                <w:sz w:val="16"/>
                <w:szCs w:val="16"/>
                <w:lang w:val="en-GB"/>
              </w:rPr>
              <w:t>4a</w:t>
            </w:r>
            <w:r w:rsidR="00752E3E">
              <w:rPr>
                <w:bCs/>
                <w:sz w:val="16"/>
                <w:szCs w:val="16"/>
                <w:lang w:val="en-GB"/>
              </w:rPr>
              <w:t>,</w:t>
            </w:r>
            <w:r w:rsidRPr="006020CD">
              <w:rPr>
                <w:bCs/>
                <w:sz w:val="16"/>
                <w:szCs w:val="16"/>
                <w:lang w:val="en-GB"/>
              </w:rPr>
              <w:t xml:space="preserve"> underserved communities (2)</w:t>
            </w:r>
            <w:r w:rsidR="00752E3E">
              <w:rPr>
                <w:bCs/>
                <w:sz w:val="16"/>
                <w:szCs w:val="16"/>
                <w:lang w:val="en-GB"/>
              </w:rPr>
              <w:t>;</w:t>
            </w:r>
            <w:r w:rsidRPr="006020CD">
              <w:rPr>
                <w:bCs/>
                <w:sz w:val="16"/>
                <w:szCs w:val="16"/>
                <w:lang w:val="en-GB"/>
              </w:rPr>
              <w:t xml:space="preserve"> </w:t>
            </w:r>
            <w:r w:rsidR="0050196D">
              <w:rPr>
                <w:bCs/>
                <w:sz w:val="16"/>
                <w:szCs w:val="16"/>
                <w:lang w:val="en-GB"/>
              </w:rPr>
              <w:t>4</w:t>
            </w:r>
            <w:r w:rsidRPr="006020CD">
              <w:rPr>
                <w:bCs/>
                <w:sz w:val="16"/>
                <w:szCs w:val="16"/>
                <w:lang w:val="en-GB"/>
              </w:rPr>
              <w:t>b</w:t>
            </w:r>
            <w:r w:rsidR="00752E3E">
              <w:rPr>
                <w:bCs/>
                <w:sz w:val="16"/>
                <w:szCs w:val="16"/>
                <w:lang w:val="en-GB"/>
              </w:rPr>
              <w:t>, w</w:t>
            </w:r>
            <w:r w:rsidRPr="006020CD">
              <w:rPr>
                <w:bCs/>
                <w:sz w:val="16"/>
                <w:szCs w:val="16"/>
                <w:lang w:val="en-GB"/>
              </w:rPr>
              <w:t>omen (2)</w:t>
            </w:r>
            <w:r w:rsidRPr="006020CD">
              <w:rPr>
                <w:b/>
                <w:bCs/>
                <w:sz w:val="16"/>
                <w:szCs w:val="16"/>
                <w:lang w:val="en-GB"/>
              </w:rPr>
              <w:t xml:space="preserve"> </w:t>
            </w:r>
          </w:p>
          <w:p w14:paraId="5C78470F" w14:textId="2D8CE496" w:rsidR="00477CC3" w:rsidRPr="006020CD" w:rsidRDefault="00477CC3" w:rsidP="0089780F">
            <w:pPr>
              <w:tabs>
                <w:tab w:val="left" w:pos="8789"/>
              </w:tabs>
              <w:spacing w:line="276" w:lineRule="auto"/>
              <w:contextualSpacing/>
              <w:jc w:val="both"/>
              <w:rPr>
                <w:b/>
                <w:sz w:val="16"/>
                <w:szCs w:val="16"/>
                <w:lang w:val="en-GB"/>
              </w:rPr>
            </w:pPr>
            <w:r w:rsidRPr="006020CD">
              <w:rPr>
                <w:b/>
                <w:bCs/>
                <w:sz w:val="16"/>
                <w:szCs w:val="16"/>
                <w:lang w:val="en-GB"/>
              </w:rPr>
              <w:t>Data source</w:t>
            </w:r>
            <w:r w:rsidR="00832F58">
              <w:rPr>
                <w:b/>
                <w:bCs/>
                <w:sz w:val="16"/>
                <w:szCs w:val="16"/>
                <w:lang w:val="en-GB"/>
              </w:rPr>
              <w:t>s</w:t>
            </w:r>
            <w:r w:rsidRPr="006020CD">
              <w:rPr>
                <w:b/>
                <w:bCs/>
                <w:sz w:val="16"/>
                <w:szCs w:val="16"/>
                <w:lang w:val="en-GB"/>
              </w:rPr>
              <w:t xml:space="preserve">: </w:t>
            </w:r>
            <w:r w:rsidRPr="006020CD">
              <w:rPr>
                <w:bCs/>
                <w:sz w:val="16"/>
                <w:szCs w:val="16"/>
                <w:lang w:val="en-GB"/>
              </w:rPr>
              <w:t xml:space="preserve">EIF </w:t>
            </w:r>
            <w:r w:rsidR="0050196D">
              <w:rPr>
                <w:bCs/>
                <w:sz w:val="16"/>
                <w:szCs w:val="16"/>
                <w:lang w:val="en-GB"/>
              </w:rPr>
              <w:t>annual report</w:t>
            </w:r>
            <w:r w:rsidRPr="006020CD">
              <w:rPr>
                <w:bCs/>
                <w:sz w:val="16"/>
                <w:szCs w:val="16"/>
                <w:lang w:val="en-GB"/>
              </w:rPr>
              <w:t xml:space="preserve">, DBN </w:t>
            </w:r>
            <w:r w:rsidR="0050196D">
              <w:rPr>
                <w:bCs/>
                <w:sz w:val="16"/>
                <w:szCs w:val="16"/>
                <w:lang w:val="en-GB"/>
              </w:rPr>
              <w:t>r</w:t>
            </w:r>
            <w:r w:rsidRPr="006020CD">
              <w:rPr>
                <w:bCs/>
                <w:sz w:val="16"/>
                <w:szCs w:val="16"/>
                <w:lang w:val="en-GB"/>
              </w:rPr>
              <w:t xml:space="preserve">eport, NCCSAP M&amp;E, </w:t>
            </w:r>
            <w:r w:rsidR="00353063" w:rsidRPr="009D1DD2">
              <w:rPr>
                <w:iCs/>
                <w:sz w:val="16"/>
                <w:szCs w:val="16"/>
                <w:lang w:val="en-GB"/>
              </w:rPr>
              <w:t>M</w:t>
            </w:r>
            <w:r w:rsidR="00353063">
              <w:rPr>
                <w:iCs/>
                <w:sz w:val="16"/>
                <w:szCs w:val="16"/>
                <w:lang w:val="en-GB"/>
              </w:rPr>
              <w:t>O</w:t>
            </w:r>
            <w:r w:rsidR="00353063" w:rsidRPr="009D1DD2">
              <w:rPr>
                <w:iCs/>
                <w:sz w:val="16"/>
                <w:szCs w:val="16"/>
                <w:lang w:val="en-GB"/>
              </w:rPr>
              <w:t>F</w:t>
            </w:r>
            <w:r w:rsidRPr="006020CD">
              <w:rPr>
                <w:bCs/>
                <w:sz w:val="16"/>
                <w:szCs w:val="16"/>
                <w:lang w:val="en-GB"/>
              </w:rPr>
              <w:t xml:space="preserve">, MME and </w:t>
            </w:r>
            <w:r w:rsidR="00FD7207">
              <w:rPr>
                <w:bCs/>
                <w:sz w:val="16"/>
                <w:szCs w:val="16"/>
                <w:lang w:val="en-GB"/>
              </w:rPr>
              <w:t>Namibia Energy Institute</w:t>
            </w:r>
            <w:r w:rsidR="00FD7207" w:rsidRPr="006020CD">
              <w:rPr>
                <w:bCs/>
                <w:sz w:val="16"/>
                <w:szCs w:val="16"/>
                <w:lang w:val="en-GB"/>
              </w:rPr>
              <w:t xml:space="preserve"> </w:t>
            </w:r>
            <w:r w:rsidR="0050196D">
              <w:rPr>
                <w:bCs/>
                <w:sz w:val="16"/>
                <w:szCs w:val="16"/>
                <w:lang w:val="en-GB"/>
              </w:rPr>
              <w:t>r</w:t>
            </w:r>
            <w:r w:rsidRPr="006020CD">
              <w:rPr>
                <w:bCs/>
                <w:sz w:val="16"/>
                <w:szCs w:val="16"/>
                <w:lang w:val="en-GB"/>
              </w:rPr>
              <w:t xml:space="preserve">eports, UNPAF M&amp;E, </w:t>
            </w:r>
            <w:r w:rsidR="0050196D">
              <w:rPr>
                <w:bCs/>
                <w:sz w:val="16"/>
                <w:szCs w:val="16"/>
                <w:lang w:val="en-GB"/>
              </w:rPr>
              <w:t>s</w:t>
            </w:r>
            <w:r w:rsidRPr="006020CD">
              <w:rPr>
                <w:bCs/>
                <w:sz w:val="16"/>
                <w:szCs w:val="16"/>
                <w:lang w:val="en-GB"/>
              </w:rPr>
              <w:t xml:space="preserve">ectoral </w:t>
            </w:r>
            <w:r w:rsidR="0050196D">
              <w:rPr>
                <w:bCs/>
                <w:sz w:val="16"/>
                <w:szCs w:val="16"/>
                <w:lang w:val="en-GB"/>
              </w:rPr>
              <w:t>r</w:t>
            </w:r>
            <w:r w:rsidRPr="006020CD">
              <w:rPr>
                <w:bCs/>
                <w:sz w:val="16"/>
                <w:szCs w:val="16"/>
                <w:lang w:val="en-GB"/>
              </w:rPr>
              <w:t>eports</w:t>
            </w:r>
          </w:p>
        </w:tc>
        <w:tc>
          <w:tcPr>
            <w:tcW w:w="586" w:type="pct"/>
            <w:tcBorders>
              <w:top w:val="nil"/>
              <w:bottom w:val="single" w:sz="4" w:space="0" w:color="auto"/>
            </w:tcBorders>
            <w:vAlign w:val="center"/>
          </w:tcPr>
          <w:p w14:paraId="0D4B0243" w14:textId="77777777" w:rsidR="00477CC3" w:rsidRPr="00F02CF4" w:rsidRDefault="00477CC3" w:rsidP="00425BCB">
            <w:pPr>
              <w:tabs>
                <w:tab w:val="left" w:pos="8789"/>
              </w:tabs>
              <w:rPr>
                <w:iCs/>
                <w:sz w:val="16"/>
                <w:szCs w:val="16"/>
              </w:rPr>
            </w:pPr>
            <w:r w:rsidRPr="00F02CF4">
              <w:rPr>
                <w:iCs/>
                <w:sz w:val="16"/>
                <w:szCs w:val="16"/>
              </w:rPr>
              <w:t>MET</w:t>
            </w:r>
          </w:p>
          <w:p w14:paraId="11A288D4" w14:textId="77777777" w:rsidR="00477CC3" w:rsidRPr="00F02CF4" w:rsidRDefault="00477CC3" w:rsidP="00425BCB">
            <w:pPr>
              <w:tabs>
                <w:tab w:val="left" w:pos="8789"/>
              </w:tabs>
              <w:rPr>
                <w:iCs/>
                <w:sz w:val="16"/>
                <w:szCs w:val="16"/>
              </w:rPr>
            </w:pPr>
            <w:r w:rsidRPr="00F02CF4">
              <w:rPr>
                <w:iCs/>
                <w:sz w:val="16"/>
                <w:szCs w:val="16"/>
              </w:rPr>
              <w:t>MAWF</w:t>
            </w:r>
          </w:p>
          <w:p w14:paraId="2367E13E" w14:textId="77777777" w:rsidR="00477CC3" w:rsidRPr="00F02CF4" w:rsidRDefault="00477CC3" w:rsidP="00425BCB">
            <w:pPr>
              <w:tabs>
                <w:tab w:val="left" w:pos="8789"/>
              </w:tabs>
              <w:rPr>
                <w:iCs/>
                <w:sz w:val="16"/>
                <w:szCs w:val="16"/>
              </w:rPr>
            </w:pPr>
            <w:r w:rsidRPr="00F02CF4">
              <w:rPr>
                <w:iCs/>
                <w:sz w:val="16"/>
                <w:szCs w:val="16"/>
              </w:rPr>
              <w:t>MME</w:t>
            </w:r>
          </w:p>
          <w:p w14:paraId="6338D226" w14:textId="7229889B" w:rsidR="00477CC3" w:rsidRPr="00F02CF4" w:rsidRDefault="00477CC3" w:rsidP="00425BCB">
            <w:pPr>
              <w:tabs>
                <w:tab w:val="left" w:pos="8789"/>
              </w:tabs>
              <w:rPr>
                <w:iCs/>
                <w:sz w:val="16"/>
                <w:szCs w:val="16"/>
              </w:rPr>
            </w:pPr>
            <w:r w:rsidRPr="00F02CF4">
              <w:rPr>
                <w:iCs/>
                <w:sz w:val="16"/>
                <w:szCs w:val="16"/>
              </w:rPr>
              <w:t>M</w:t>
            </w:r>
            <w:r w:rsidR="00353063" w:rsidRPr="00F02CF4">
              <w:rPr>
                <w:iCs/>
                <w:sz w:val="16"/>
                <w:szCs w:val="16"/>
              </w:rPr>
              <w:t>O</w:t>
            </w:r>
            <w:r w:rsidRPr="00F02CF4">
              <w:rPr>
                <w:iCs/>
                <w:sz w:val="16"/>
                <w:szCs w:val="16"/>
              </w:rPr>
              <w:t>F</w:t>
            </w:r>
          </w:p>
          <w:p w14:paraId="3F6C3017" w14:textId="77777777" w:rsidR="00477CC3" w:rsidRPr="00F02CF4" w:rsidRDefault="00477CC3" w:rsidP="00425BCB">
            <w:pPr>
              <w:tabs>
                <w:tab w:val="left" w:pos="8789"/>
              </w:tabs>
              <w:rPr>
                <w:iCs/>
                <w:sz w:val="16"/>
                <w:szCs w:val="16"/>
              </w:rPr>
            </w:pPr>
            <w:r w:rsidRPr="00F02CF4">
              <w:rPr>
                <w:iCs/>
                <w:sz w:val="16"/>
                <w:szCs w:val="16"/>
              </w:rPr>
              <w:t>MPESW</w:t>
            </w:r>
          </w:p>
          <w:p w14:paraId="347DB142" w14:textId="77777777" w:rsidR="00477CC3" w:rsidRPr="00F02CF4" w:rsidRDefault="00477CC3" w:rsidP="00425BCB">
            <w:pPr>
              <w:tabs>
                <w:tab w:val="left" w:pos="8789"/>
              </w:tabs>
              <w:rPr>
                <w:iCs/>
                <w:sz w:val="16"/>
                <w:szCs w:val="16"/>
              </w:rPr>
            </w:pPr>
            <w:r w:rsidRPr="00F02CF4">
              <w:rPr>
                <w:iCs/>
                <w:sz w:val="16"/>
                <w:szCs w:val="16"/>
              </w:rPr>
              <w:t>MGECW</w:t>
            </w:r>
          </w:p>
          <w:p w14:paraId="5505EEB7" w14:textId="77777777" w:rsidR="00477CC3" w:rsidRPr="006020CD" w:rsidRDefault="00477CC3" w:rsidP="00425BCB">
            <w:pPr>
              <w:tabs>
                <w:tab w:val="left" w:pos="8789"/>
              </w:tabs>
              <w:rPr>
                <w:iCs/>
                <w:sz w:val="16"/>
                <w:szCs w:val="16"/>
                <w:lang w:val="en-GB"/>
              </w:rPr>
            </w:pPr>
            <w:r w:rsidRPr="006020CD">
              <w:rPr>
                <w:iCs/>
                <w:sz w:val="16"/>
                <w:szCs w:val="16"/>
                <w:lang w:val="en-GB"/>
              </w:rPr>
              <w:t>MITSMED</w:t>
            </w:r>
          </w:p>
          <w:p w14:paraId="5FA3D618" w14:textId="77777777" w:rsidR="00477CC3" w:rsidRPr="006020CD" w:rsidRDefault="00477CC3" w:rsidP="00425BCB">
            <w:pPr>
              <w:tabs>
                <w:tab w:val="left" w:pos="8789"/>
              </w:tabs>
              <w:rPr>
                <w:iCs/>
                <w:sz w:val="16"/>
                <w:szCs w:val="16"/>
                <w:lang w:val="en-GB"/>
              </w:rPr>
            </w:pPr>
            <w:r w:rsidRPr="006020CD">
              <w:rPr>
                <w:iCs/>
                <w:sz w:val="16"/>
                <w:szCs w:val="16"/>
                <w:lang w:val="en-GB"/>
              </w:rPr>
              <w:t>EIF</w:t>
            </w:r>
          </w:p>
          <w:p w14:paraId="2B593AF9" w14:textId="77777777" w:rsidR="00477CC3" w:rsidRPr="006020CD" w:rsidRDefault="00477CC3" w:rsidP="00425BCB">
            <w:pPr>
              <w:tabs>
                <w:tab w:val="left" w:pos="8789"/>
              </w:tabs>
              <w:rPr>
                <w:iCs/>
                <w:sz w:val="16"/>
                <w:szCs w:val="16"/>
                <w:lang w:val="en-GB"/>
              </w:rPr>
            </w:pPr>
            <w:r w:rsidRPr="006020CD">
              <w:rPr>
                <w:iCs/>
                <w:sz w:val="16"/>
                <w:szCs w:val="16"/>
                <w:lang w:val="en-GB"/>
              </w:rPr>
              <w:t>DBN</w:t>
            </w:r>
          </w:p>
          <w:p w14:paraId="245004CE" w14:textId="09CCA54E" w:rsidR="00CE20FF" w:rsidRPr="006020CD" w:rsidRDefault="00CE20FF" w:rsidP="00425BCB">
            <w:pPr>
              <w:tabs>
                <w:tab w:val="left" w:pos="8789"/>
              </w:tabs>
              <w:rPr>
                <w:iCs/>
                <w:sz w:val="16"/>
                <w:szCs w:val="16"/>
                <w:lang w:val="en-GB"/>
              </w:rPr>
            </w:pPr>
            <w:r w:rsidRPr="006020CD">
              <w:rPr>
                <w:iCs/>
                <w:sz w:val="16"/>
                <w:szCs w:val="16"/>
                <w:lang w:val="en-GB"/>
              </w:rPr>
              <w:t>GEF</w:t>
            </w:r>
          </w:p>
          <w:p w14:paraId="19383DA6" w14:textId="77777777" w:rsidR="00477CC3" w:rsidRPr="006020CD" w:rsidRDefault="00477CC3" w:rsidP="00425BCB">
            <w:pPr>
              <w:tabs>
                <w:tab w:val="left" w:pos="8789"/>
              </w:tabs>
              <w:jc w:val="both"/>
              <w:rPr>
                <w:iCs/>
                <w:sz w:val="16"/>
                <w:szCs w:val="16"/>
                <w:lang w:val="en-GB"/>
              </w:rPr>
            </w:pPr>
          </w:p>
        </w:tc>
        <w:tc>
          <w:tcPr>
            <w:tcW w:w="459" w:type="pct"/>
            <w:tcBorders>
              <w:top w:val="nil"/>
              <w:bottom w:val="single" w:sz="4" w:space="0" w:color="auto"/>
            </w:tcBorders>
            <w:tcMar>
              <w:top w:w="15" w:type="dxa"/>
              <w:left w:w="108" w:type="dxa"/>
              <w:bottom w:w="0" w:type="dxa"/>
              <w:right w:w="108" w:type="dxa"/>
            </w:tcMar>
            <w:vAlign w:val="center"/>
          </w:tcPr>
          <w:p w14:paraId="1DA1BEF5" w14:textId="77777777" w:rsidR="00477CC3" w:rsidRPr="006020CD" w:rsidRDefault="00477CC3" w:rsidP="00425BCB">
            <w:pPr>
              <w:tabs>
                <w:tab w:val="left" w:pos="8789"/>
              </w:tabs>
              <w:rPr>
                <w:b/>
                <w:sz w:val="16"/>
                <w:szCs w:val="16"/>
                <w:lang w:val="en-GB"/>
              </w:rPr>
            </w:pPr>
          </w:p>
        </w:tc>
      </w:tr>
      <w:tr w:rsidR="00477CC3" w:rsidRPr="00074002" w14:paraId="1E4F4164" w14:textId="77777777" w:rsidTr="00B362C0">
        <w:tc>
          <w:tcPr>
            <w:tcW w:w="5000" w:type="pct"/>
            <w:gridSpan w:val="5"/>
            <w:shd w:val="clear" w:color="auto" w:fill="auto"/>
            <w:tcMar>
              <w:top w:w="72" w:type="dxa"/>
              <w:left w:w="144" w:type="dxa"/>
              <w:bottom w:w="72" w:type="dxa"/>
              <w:right w:w="144" w:type="dxa"/>
            </w:tcMar>
          </w:tcPr>
          <w:p w14:paraId="41636CBC" w14:textId="1D0300AA" w:rsidR="00477CC3" w:rsidRPr="006020CD" w:rsidRDefault="0050196D" w:rsidP="00425BCB">
            <w:pPr>
              <w:tabs>
                <w:tab w:val="left" w:pos="8789"/>
              </w:tabs>
              <w:rPr>
                <w:b/>
                <w:sz w:val="16"/>
                <w:szCs w:val="16"/>
                <w:lang w:val="en-GB"/>
              </w:rPr>
            </w:pPr>
            <w:r w:rsidRPr="0050196D">
              <w:rPr>
                <w:b/>
                <w:bCs/>
                <w:sz w:val="16"/>
                <w:szCs w:val="16"/>
                <w:lang w:val="en-GB"/>
              </w:rPr>
              <w:t>National priority or goal</w:t>
            </w:r>
            <w:r w:rsidR="00477CC3" w:rsidRPr="006020CD">
              <w:rPr>
                <w:b/>
                <w:bCs/>
                <w:sz w:val="16"/>
                <w:szCs w:val="16"/>
                <w:lang w:val="en-GB"/>
              </w:rPr>
              <w:t>: Pillar 4</w:t>
            </w:r>
            <w:r>
              <w:rPr>
                <w:b/>
                <w:bCs/>
                <w:sz w:val="16"/>
                <w:szCs w:val="16"/>
                <w:lang w:val="en-GB"/>
              </w:rPr>
              <w:t>.</w:t>
            </w:r>
            <w:r w:rsidR="00477CC3" w:rsidRPr="006020CD">
              <w:rPr>
                <w:b/>
                <w:bCs/>
                <w:sz w:val="16"/>
                <w:szCs w:val="16"/>
                <w:lang w:val="en-GB"/>
              </w:rPr>
              <w:t xml:space="preserve"> Good </w:t>
            </w:r>
            <w:r>
              <w:rPr>
                <w:b/>
                <w:bCs/>
                <w:sz w:val="16"/>
                <w:szCs w:val="16"/>
                <w:lang w:val="en-GB"/>
              </w:rPr>
              <w:t>g</w:t>
            </w:r>
            <w:r w:rsidR="00477CC3" w:rsidRPr="006020CD">
              <w:rPr>
                <w:b/>
                <w:bCs/>
                <w:sz w:val="16"/>
                <w:szCs w:val="16"/>
                <w:lang w:val="en-GB"/>
              </w:rPr>
              <w:t>overnance (NDP5)</w:t>
            </w:r>
          </w:p>
        </w:tc>
      </w:tr>
      <w:tr w:rsidR="00477CC3" w:rsidRPr="00074002" w14:paraId="5F42BC41" w14:textId="77777777" w:rsidTr="00B362C0">
        <w:tc>
          <w:tcPr>
            <w:tcW w:w="3955" w:type="pct"/>
            <w:gridSpan w:val="3"/>
            <w:shd w:val="clear" w:color="auto" w:fill="auto"/>
            <w:tcMar>
              <w:top w:w="72" w:type="dxa"/>
              <w:left w:w="144" w:type="dxa"/>
              <w:bottom w:w="72" w:type="dxa"/>
              <w:right w:w="144" w:type="dxa"/>
            </w:tcMar>
          </w:tcPr>
          <w:p w14:paraId="618C4BAE" w14:textId="1C7E0AD6" w:rsidR="00477CC3" w:rsidRPr="006020CD" w:rsidRDefault="00477CC3" w:rsidP="00425BCB">
            <w:pPr>
              <w:tabs>
                <w:tab w:val="left" w:pos="8789"/>
              </w:tabs>
              <w:jc w:val="both"/>
              <w:rPr>
                <w:b/>
                <w:bCs/>
                <w:sz w:val="16"/>
                <w:szCs w:val="16"/>
                <w:lang w:val="en-GB"/>
              </w:rPr>
            </w:pPr>
            <w:r w:rsidRPr="006020CD">
              <w:rPr>
                <w:b/>
                <w:bCs/>
                <w:sz w:val="16"/>
                <w:szCs w:val="16"/>
                <w:lang w:val="en-GB"/>
              </w:rPr>
              <w:t xml:space="preserve">UNPAF </w:t>
            </w:r>
            <w:r w:rsidR="0050196D" w:rsidRPr="0050196D">
              <w:rPr>
                <w:b/>
                <w:bCs/>
                <w:sz w:val="16"/>
                <w:szCs w:val="16"/>
                <w:lang w:val="en-GB"/>
              </w:rPr>
              <w:t>(or equivalent) outcome 4.1 involving</w:t>
            </w:r>
            <w:r w:rsidRPr="006020CD">
              <w:rPr>
                <w:b/>
                <w:bCs/>
                <w:sz w:val="16"/>
                <w:szCs w:val="16"/>
                <w:lang w:val="en-GB"/>
              </w:rPr>
              <w:t xml:space="preserve"> UNDP:</w:t>
            </w:r>
            <w:r w:rsidRPr="006020CD">
              <w:rPr>
                <w:sz w:val="16"/>
                <w:szCs w:val="16"/>
                <w:lang w:val="en-GB"/>
              </w:rPr>
              <w:t xml:space="preserve"> B</w:t>
            </w:r>
            <w:r w:rsidRPr="006020CD">
              <w:rPr>
                <w:bCs/>
                <w:sz w:val="16"/>
                <w:szCs w:val="16"/>
                <w:lang w:val="en-GB"/>
              </w:rPr>
              <w:t>y 2023, government institutions at national and regional level</w:t>
            </w:r>
            <w:r w:rsidR="0050196D">
              <w:rPr>
                <w:bCs/>
                <w:sz w:val="16"/>
                <w:szCs w:val="16"/>
                <w:lang w:val="en-GB"/>
              </w:rPr>
              <w:t>s</w:t>
            </w:r>
            <w:r w:rsidRPr="006020CD">
              <w:rPr>
                <w:bCs/>
                <w:sz w:val="16"/>
                <w:szCs w:val="16"/>
                <w:lang w:val="en-GB"/>
              </w:rPr>
              <w:t xml:space="preserve"> are accountable and transparent, engaging citizens in participatory decision-making processes</w:t>
            </w:r>
          </w:p>
        </w:tc>
        <w:tc>
          <w:tcPr>
            <w:tcW w:w="1045" w:type="pct"/>
            <w:gridSpan w:val="2"/>
            <w:shd w:val="clear" w:color="auto" w:fill="auto"/>
            <w:vAlign w:val="center"/>
          </w:tcPr>
          <w:p w14:paraId="5E402E72" w14:textId="173D45E3" w:rsidR="00477CC3" w:rsidRPr="006020CD" w:rsidRDefault="00477CC3" w:rsidP="00425BCB">
            <w:pPr>
              <w:tabs>
                <w:tab w:val="left" w:pos="8789"/>
              </w:tabs>
              <w:rPr>
                <w:b/>
                <w:sz w:val="16"/>
                <w:szCs w:val="16"/>
                <w:lang w:val="en-GB"/>
              </w:rPr>
            </w:pPr>
            <w:r w:rsidRPr="006020CD">
              <w:rPr>
                <w:b/>
                <w:sz w:val="16"/>
                <w:szCs w:val="16"/>
                <w:lang w:val="en-GB"/>
              </w:rPr>
              <w:t>SDG</w:t>
            </w:r>
            <w:r w:rsidR="00752E3E">
              <w:rPr>
                <w:b/>
                <w:sz w:val="16"/>
                <w:szCs w:val="16"/>
                <w:lang w:val="en-GB"/>
              </w:rPr>
              <w:t>s</w:t>
            </w:r>
            <w:r w:rsidRPr="006020CD">
              <w:rPr>
                <w:b/>
                <w:sz w:val="16"/>
                <w:szCs w:val="16"/>
                <w:lang w:val="en-GB"/>
              </w:rPr>
              <w:t xml:space="preserve"> 1, 5, 16, 17</w:t>
            </w:r>
          </w:p>
        </w:tc>
      </w:tr>
      <w:tr w:rsidR="00477CC3" w:rsidRPr="00074002" w14:paraId="24194658" w14:textId="77777777" w:rsidTr="00B362C0">
        <w:tc>
          <w:tcPr>
            <w:tcW w:w="5000" w:type="pct"/>
            <w:gridSpan w:val="5"/>
            <w:shd w:val="clear" w:color="auto" w:fill="auto"/>
            <w:tcMar>
              <w:top w:w="72" w:type="dxa"/>
              <w:left w:w="144" w:type="dxa"/>
              <w:bottom w:w="72" w:type="dxa"/>
              <w:right w:w="144" w:type="dxa"/>
            </w:tcMar>
          </w:tcPr>
          <w:p w14:paraId="1E3CF896" w14:textId="76EE2AA4" w:rsidR="00477CC3" w:rsidRPr="006020CD" w:rsidRDefault="0050196D" w:rsidP="00425BCB">
            <w:pPr>
              <w:tabs>
                <w:tab w:val="left" w:pos="8789"/>
              </w:tabs>
              <w:rPr>
                <w:b/>
                <w:bCs/>
                <w:sz w:val="16"/>
                <w:szCs w:val="16"/>
                <w:lang w:val="en-GB"/>
              </w:rPr>
            </w:pPr>
            <w:r w:rsidRPr="0050196D">
              <w:rPr>
                <w:b/>
                <w:bCs/>
                <w:sz w:val="16"/>
                <w:szCs w:val="16"/>
                <w:lang w:val="en-GB"/>
              </w:rPr>
              <w:t xml:space="preserve">Related Strategic Plan </w:t>
            </w:r>
            <w:r>
              <w:rPr>
                <w:b/>
                <w:bCs/>
                <w:sz w:val="16"/>
                <w:szCs w:val="16"/>
                <w:lang w:val="en-GB"/>
              </w:rPr>
              <w:t>o</w:t>
            </w:r>
            <w:r w:rsidRPr="0050196D">
              <w:rPr>
                <w:b/>
                <w:bCs/>
                <w:sz w:val="16"/>
                <w:szCs w:val="16"/>
                <w:lang w:val="en-GB"/>
              </w:rPr>
              <w:t xml:space="preserve">utcome: </w:t>
            </w:r>
            <w:r w:rsidR="00477CC3" w:rsidRPr="006020CD">
              <w:rPr>
                <w:sz w:val="16"/>
                <w:szCs w:val="16"/>
                <w:lang w:val="en-GB"/>
              </w:rPr>
              <w:t>Outcome 2</w:t>
            </w:r>
            <w:r>
              <w:rPr>
                <w:sz w:val="16"/>
                <w:szCs w:val="16"/>
                <w:lang w:val="en-GB"/>
              </w:rPr>
              <w:t>.</w:t>
            </w:r>
            <w:r w:rsidR="00477CC3" w:rsidRPr="006020CD">
              <w:rPr>
                <w:sz w:val="16"/>
                <w:szCs w:val="16"/>
                <w:lang w:val="en-GB"/>
              </w:rPr>
              <w:t xml:space="preserve"> Accelerate </w:t>
            </w:r>
            <w:r w:rsidR="004737E2">
              <w:rPr>
                <w:sz w:val="16"/>
                <w:szCs w:val="16"/>
                <w:lang w:val="en-GB"/>
              </w:rPr>
              <w:t>s</w:t>
            </w:r>
            <w:r w:rsidR="00477CC3" w:rsidRPr="006020CD">
              <w:rPr>
                <w:sz w:val="16"/>
                <w:szCs w:val="16"/>
                <w:lang w:val="en-GB"/>
              </w:rPr>
              <w:t xml:space="preserve">tructural </w:t>
            </w:r>
            <w:r w:rsidR="004737E2">
              <w:rPr>
                <w:sz w:val="16"/>
                <w:szCs w:val="16"/>
                <w:lang w:val="en-GB"/>
              </w:rPr>
              <w:t>t</w:t>
            </w:r>
            <w:r w:rsidR="00477CC3" w:rsidRPr="006020CD">
              <w:rPr>
                <w:sz w:val="16"/>
                <w:szCs w:val="16"/>
                <w:lang w:val="en-GB"/>
              </w:rPr>
              <w:t xml:space="preserve">ransformations for </w:t>
            </w:r>
            <w:r w:rsidR="004737E2">
              <w:rPr>
                <w:sz w:val="16"/>
                <w:szCs w:val="16"/>
                <w:lang w:val="en-GB"/>
              </w:rPr>
              <w:t>s</w:t>
            </w:r>
            <w:r w:rsidR="00477CC3" w:rsidRPr="006020CD">
              <w:rPr>
                <w:sz w:val="16"/>
                <w:szCs w:val="16"/>
                <w:lang w:val="en-GB"/>
              </w:rPr>
              <w:t xml:space="preserve">ustainable </w:t>
            </w:r>
            <w:r w:rsidR="004737E2">
              <w:rPr>
                <w:sz w:val="16"/>
                <w:szCs w:val="16"/>
                <w:lang w:val="en-GB"/>
              </w:rPr>
              <w:t>d</w:t>
            </w:r>
            <w:r w:rsidR="00477CC3" w:rsidRPr="006020CD">
              <w:rPr>
                <w:sz w:val="16"/>
                <w:szCs w:val="16"/>
                <w:lang w:val="en-GB"/>
              </w:rPr>
              <w:t>evelopment</w:t>
            </w:r>
            <w:r w:rsidR="004737E2">
              <w:rPr>
                <w:sz w:val="16"/>
                <w:szCs w:val="16"/>
                <w:lang w:val="en-GB"/>
              </w:rPr>
              <w:t>.</w:t>
            </w:r>
          </w:p>
        </w:tc>
      </w:tr>
      <w:tr w:rsidR="00477CC3" w:rsidRPr="00074002" w14:paraId="51E6F60B" w14:textId="77777777" w:rsidTr="00EE5D47">
        <w:tc>
          <w:tcPr>
            <w:tcW w:w="791" w:type="pct"/>
            <w:tcMar>
              <w:top w:w="72" w:type="dxa"/>
              <w:left w:w="144" w:type="dxa"/>
              <w:bottom w:w="72" w:type="dxa"/>
              <w:right w:w="144" w:type="dxa"/>
            </w:tcMar>
          </w:tcPr>
          <w:p w14:paraId="78AC6C1E" w14:textId="17480BE9" w:rsidR="00477CC3" w:rsidRPr="00074002" w:rsidRDefault="00477CC3" w:rsidP="00425BCB">
            <w:pPr>
              <w:tabs>
                <w:tab w:val="left" w:pos="8789"/>
              </w:tabs>
              <w:rPr>
                <w:sz w:val="16"/>
                <w:szCs w:val="16"/>
                <w:lang w:val="en-GB"/>
              </w:rPr>
            </w:pPr>
            <w:r w:rsidRPr="00074002">
              <w:rPr>
                <w:b/>
                <w:sz w:val="16"/>
                <w:szCs w:val="16"/>
                <w:lang w:val="en-GB"/>
              </w:rPr>
              <w:t xml:space="preserve">3.1 </w:t>
            </w:r>
            <w:r w:rsidR="002E6BD7" w:rsidRPr="00074002">
              <w:rPr>
                <w:sz w:val="16"/>
                <w:szCs w:val="16"/>
                <w:lang w:val="en-GB"/>
              </w:rPr>
              <w:t>Percentage</w:t>
            </w:r>
            <w:r w:rsidRPr="00074002">
              <w:rPr>
                <w:sz w:val="16"/>
                <w:szCs w:val="16"/>
                <w:lang w:val="en-GB"/>
              </w:rPr>
              <w:t xml:space="preserve"> of seats held by women in national parliaments (S</w:t>
            </w:r>
            <w:r w:rsidR="004737E2">
              <w:rPr>
                <w:sz w:val="16"/>
                <w:szCs w:val="16"/>
                <w:lang w:val="en-GB"/>
              </w:rPr>
              <w:t>trategic Plan</w:t>
            </w:r>
            <w:r w:rsidRPr="00074002">
              <w:rPr>
                <w:sz w:val="16"/>
                <w:szCs w:val="16"/>
                <w:lang w:val="en-GB"/>
              </w:rPr>
              <w:t xml:space="preserve"> IRRF </w:t>
            </w:r>
            <w:r w:rsidR="0050196D">
              <w:rPr>
                <w:sz w:val="16"/>
                <w:szCs w:val="16"/>
                <w:lang w:val="en-GB"/>
              </w:rPr>
              <w:t>o</w:t>
            </w:r>
            <w:r w:rsidRPr="00074002">
              <w:rPr>
                <w:sz w:val="16"/>
                <w:szCs w:val="16"/>
                <w:lang w:val="en-GB"/>
              </w:rPr>
              <w:t xml:space="preserve">utcome </w:t>
            </w:r>
            <w:r w:rsidR="0050196D">
              <w:rPr>
                <w:sz w:val="16"/>
                <w:szCs w:val="16"/>
                <w:lang w:val="en-GB"/>
              </w:rPr>
              <w:t>i</w:t>
            </w:r>
            <w:r w:rsidRPr="00074002">
              <w:rPr>
                <w:sz w:val="16"/>
                <w:szCs w:val="16"/>
                <w:lang w:val="en-GB"/>
              </w:rPr>
              <w:t xml:space="preserve">ndicator 2.2.a; SDG </w:t>
            </w:r>
            <w:r w:rsidR="004737E2">
              <w:rPr>
                <w:sz w:val="16"/>
                <w:szCs w:val="16"/>
                <w:lang w:val="en-GB"/>
              </w:rPr>
              <w:t>i</w:t>
            </w:r>
            <w:r w:rsidRPr="00074002">
              <w:rPr>
                <w:sz w:val="16"/>
                <w:szCs w:val="16"/>
                <w:lang w:val="en-GB"/>
              </w:rPr>
              <w:t>ndicator 5.5.1)</w:t>
            </w:r>
          </w:p>
          <w:p w14:paraId="09BCA60D" w14:textId="77777777" w:rsidR="00477CC3" w:rsidRPr="00296CEA" w:rsidRDefault="00477CC3" w:rsidP="00425BCB">
            <w:pPr>
              <w:tabs>
                <w:tab w:val="left" w:pos="8789"/>
              </w:tabs>
              <w:rPr>
                <w:sz w:val="16"/>
                <w:szCs w:val="16"/>
                <w:lang w:val="en-GB"/>
              </w:rPr>
            </w:pPr>
            <w:r w:rsidRPr="00296CEA">
              <w:rPr>
                <w:b/>
                <w:sz w:val="16"/>
                <w:szCs w:val="16"/>
                <w:lang w:val="en-GB"/>
              </w:rPr>
              <w:t>Baseline</w:t>
            </w:r>
            <w:r w:rsidRPr="006020CD">
              <w:rPr>
                <w:b/>
                <w:sz w:val="16"/>
                <w:szCs w:val="16"/>
                <w:lang w:val="en-GB"/>
              </w:rPr>
              <w:t>:</w:t>
            </w:r>
            <w:r w:rsidR="002E6BD7" w:rsidRPr="00296CEA">
              <w:rPr>
                <w:sz w:val="16"/>
                <w:szCs w:val="16"/>
                <w:lang w:val="en-GB"/>
              </w:rPr>
              <w:t xml:space="preserve"> 47% (2018)</w:t>
            </w:r>
          </w:p>
          <w:p w14:paraId="253AEA9C" w14:textId="19DCAD6B" w:rsidR="00477CC3" w:rsidRPr="00A01544" w:rsidRDefault="00477CC3" w:rsidP="00425BCB">
            <w:pPr>
              <w:tabs>
                <w:tab w:val="left" w:pos="8789"/>
              </w:tabs>
              <w:rPr>
                <w:sz w:val="16"/>
                <w:szCs w:val="16"/>
                <w:lang w:val="en-GB"/>
              </w:rPr>
            </w:pPr>
            <w:r w:rsidRPr="00296CEA">
              <w:rPr>
                <w:b/>
                <w:sz w:val="16"/>
                <w:szCs w:val="16"/>
                <w:lang w:val="en-GB"/>
              </w:rPr>
              <w:t>Target</w:t>
            </w:r>
            <w:r w:rsidRPr="006020CD">
              <w:rPr>
                <w:b/>
                <w:sz w:val="16"/>
                <w:szCs w:val="16"/>
                <w:lang w:val="en-GB"/>
              </w:rPr>
              <w:t>:</w:t>
            </w:r>
            <w:r w:rsidR="002E6BD7" w:rsidRPr="00A01544">
              <w:rPr>
                <w:sz w:val="16"/>
                <w:szCs w:val="16"/>
                <w:lang w:val="en-GB"/>
              </w:rPr>
              <w:t xml:space="preserve"> 50% </w:t>
            </w:r>
            <w:r w:rsidR="00F57CBE" w:rsidRPr="00A01544">
              <w:rPr>
                <w:sz w:val="16"/>
                <w:szCs w:val="16"/>
                <w:lang w:val="en-GB"/>
              </w:rPr>
              <w:t>(2023)</w:t>
            </w:r>
          </w:p>
          <w:p w14:paraId="60472AC0" w14:textId="77777777" w:rsidR="00ED3F6E" w:rsidRPr="00A01544" w:rsidRDefault="00ED3F6E" w:rsidP="00425BCB">
            <w:pPr>
              <w:tabs>
                <w:tab w:val="left" w:pos="8789"/>
              </w:tabs>
              <w:rPr>
                <w:sz w:val="16"/>
                <w:szCs w:val="16"/>
                <w:lang w:val="en-GB"/>
              </w:rPr>
            </w:pPr>
          </w:p>
          <w:p w14:paraId="253FFDEA" w14:textId="41FDB360" w:rsidR="00477CC3" w:rsidRPr="00A01544" w:rsidRDefault="00477CC3" w:rsidP="00425BCB">
            <w:pPr>
              <w:tabs>
                <w:tab w:val="left" w:pos="8789"/>
              </w:tabs>
              <w:rPr>
                <w:sz w:val="16"/>
                <w:szCs w:val="16"/>
                <w:lang w:val="en-GB"/>
              </w:rPr>
            </w:pPr>
            <w:r w:rsidRPr="00A01544">
              <w:rPr>
                <w:sz w:val="16"/>
                <w:szCs w:val="16"/>
                <w:lang w:val="en-GB"/>
              </w:rPr>
              <w:t>[Proxy] Corruption Perceptions Index</w:t>
            </w:r>
          </w:p>
          <w:p w14:paraId="22FCBEA5" w14:textId="22C7EEB2" w:rsidR="00477CC3" w:rsidRPr="00A01544" w:rsidRDefault="00477CC3" w:rsidP="00425BCB">
            <w:pPr>
              <w:tabs>
                <w:tab w:val="left" w:pos="8789"/>
              </w:tabs>
              <w:rPr>
                <w:sz w:val="16"/>
                <w:szCs w:val="16"/>
                <w:lang w:val="en-GB"/>
              </w:rPr>
            </w:pPr>
            <w:r w:rsidRPr="00A01544">
              <w:rPr>
                <w:b/>
                <w:sz w:val="16"/>
                <w:szCs w:val="16"/>
                <w:lang w:val="en-GB"/>
              </w:rPr>
              <w:t>Baseline:</w:t>
            </w:r>
            <w:r w:rsidRPr="00A01544">
              <w:rPr>
                <w:sz w:val="16"/>
                <w:szCs w:val="16"/>
                <w:lang w:val="en-GB"/>
              </w:rPr>
              <w:t xml:space="preserve"> 52 </w:t>
            </w:r>
            <w:r w:rsidR="00030D96" w:rsidRPr="00A01544">
              <w:rPr>
                <w:sz w:val="16"/>
                <w:szCs w:val="16"/>
                <w:lang w:val="en-GB"/>
              </w:rPr>
              <w:t>points</w:t>
            </w:r>
            <w:r w:rsidRPr="00A01544">
              <w:rPr>
                <w:sz w:val="16"/>
                <w:szCs w:val="16"/>
                <w:lang w:val="en-GB"/>
              </w:rPr>
              <w:t xml:space="preserve"> (2016)</w:t>
            </w:r>
          </w:p>
          <w:p w14:paraId="552A821A" w14:textId="3851A5A8" w:rsidR="00477CC3" w:rsidRPr="00A01544" w:rsidRDefault="00477CC3" w:rsidP="00425BCB">
            <w:pPr>
              <w:tabs>
                <w:tab w:val="left" w:pos="8789"/>
              </w:tabs>
              <w:rPr>
                <w:sz w:val="16"/>
                <w:szCs w:val="16"/>
                <w:lang w:val="en-GB"/>
              </w:rPr>
            </w:pPr>
            <w:r w:rsidRPr="00A01544">
              <w:rPr>
                <w:b/>
                <w:sz w:val="16"/>
                <w:szCs w:val="16"/>
                <w:lang w:val="en-GB"/>
              </w:rPr>
              <w:t>Target</w:t>
            </w:r>
            <w:r w:rsidRPr="006020CD">
              <w:rPr>
                <w:b/>
                <w:sz w:val="16"/>
                <w:szCs w:val="16"/>
                <w:lang w:val="en-GB"/>
              </w:rPr>
              <w:t>:</w:t>
            </w:r>
            <w:r w:rsidR="002E6BD7" w:rsidRPr="00A01544">
              <w:rPr>
                <w:sz w:val="16"/>
                <w:szCs w:val="16"/>
                <w:lang w:val="en-GB"/>
              </w:rPr>
              <w:t xml:space="preserve"> </w:t>
            </w:r>
            <w:r w:rsidR="00F57CBE" w:rsidRPr="00A01544">
              <w:rPr>
                <w:sz w:val="16"/>
                <w:szCs w:val="16"/>
                <w:lang w:val="en-GB"/>
              </w:rPr>
              <w:t>60 points (2023)</w:t>
            </w:r>
            <w:r w:rsidR="002E6BD7" w:rsidRPr="00A01544">
              <w:rPr>
                <w:sz w:val="16"/>
                <w:szCs w:val="16"/>
                <w:lang w:val="en-GB"/>
              </w:rPr>
              <w:t xml:space="preserve"> </w:t>
            </w:r>
          </w:p>
          <w:p w14:paraId="11019076" w14:textId="77777777" w:rsidR="00C22E15" w:rsidRPr="00A01544" w:rsidRDefault="00C22E15" w:rsidP="00425BCB">
            <w:pPr>
              <w:tabs>
                <w:tab w:val="left" w:pos="8789"/>
              </w:tabs>
              <w:rPr>
                <w:sz w:val="16"/>
                <w:szCs w:val="16"/>
                <w:lang w:val="en-GB"/>
              </w:rPr>
            </w:pPr>
          </w:p>
          <w:p w14:paraId="7A717A60" w14:textId="0AF7916E" w:rsidR="00477CC3" w:rsidRPr="00A01544" w:rsidRDefault="00C22E15" w:rsidP="00425BCB">
            <w:pPr>
              <w:tabs>
                <w:tab w:val="left" w:pos="8789"/>
              </w:tabs>
              <w:rPr>
                <w:sz w:val="16"/>
                <w:szCs w:val="16"/>
                <w:lang w:val="en-GB"/>
              </w:rPr>
            </w:pPr>
            <w:r w:rsidRPr="00A01544">
              <w:rPr>
                <w:b/>
                <w:sz w:val="16"/>
                <w:szCs w:val="16"/>
                <w:lang w:val="en-GB"/>
              </w:rPr>
              <w:t>3.2</w:t>
            </w:r>
            <w:r w:rsidR="00477CC3" w:rsidRPr="00A01544">
              <w:rPr>
                <w:sz w:val="16"/>
                <w:szCs w:val="16"/>
                <w:lang w:val="en-GB"/>
              </w:rPr>
              <w:t xml:space="preserve"> Ibrahim index measures/sub-indexes dealing with sustainable </w:t>
            </w:r>
            <w:r w:rsidR="00477CC3" w:rsidRPr="00A01544">
              <w:rPr>
                <w:sz w:val="16"/>
                <w:szCs w:val="16"/>
                <w:lang w:val="en-GB"/>
              </w:rPr>
              <w:lastRenderedPageBreak/>
              <w:t>economic opportunities and human development]</w:t>
            </w:r>
          </w:p>
          <w:p w14:paraId="6E709CB9" w14:textId="77777777" w:rsidR="00477CC3" w:rsidRPr="00A01544" w:rsidRDefault="00477CC3" w:rsidP="00425BCB">
            <w:pPr>
              <w:tabs>
                <w:tab w:val="left" w:pos="8789"/>
              </w:tabs>
              <w:rPr>
                <w:b/>
                <w:sz w:val="16"/>
                <w:szCs w:val="16"/>
                <w:lang w:val="en-GB"/>
              </w:rPr>
            </w:pPr>
            <w:r w:rsidRPr="00A01544">
              <w:rPr>
                <w:b/>
                <w:sz w:val="16"/>
                <w:szCs w:val="16"/>
                <w:lang w:val="en-GB"/>
              </w:rPr>
              <w:t xml:space="preserve">Baseline: </w:t>
            </w:r>
            <w:r w:rsidRPr="00A01544">
              <w:rPr>
                <w:sz w:val="16"/>
                <w:szCs w:val="16"/>
                <w:lang w:val="en-GB"/>
              </w:rPr>
              <w:t xml:space="preserve">69.8 </w:t>
            </w:r>
            <w:r w:rsidR="00A4321A" w:rsidRPr="00A01544">
              <w:rPr>
                <w:sz w:val="16"/>
                <w:szCs w:val="16"/>
                <w:lang w:val="en-GB"/>
              </w:rPr>
              <w:t>(</w:t>
            </w:r>
            <w:r w:rsidRPr="00A01544">
              <w:rPr>
                <w:sz w:val="16"/>
                <w:szCs w:val="16"/>
                <w:lang w:val="en-GB"/>
              </w:rPr>
              <w:t>2015</w:t>
            </w:r>
            <w:r w:rsidR="00A4321A" w:rsidRPr="00A01544">
              <w:rPr>
                <w:sz w:val="16"/>
                <w:szCs w:val="16"/>
                <w:lang w:val="en-GB"/>
              </w:rPr>
              <w:t>)</w:t>
            </w:r>
          </w:p>
          <w:p w14:paraId="71395C1E" w14:textId="41F5932D" w:rsidR="00477CC3" w:rsidRPr="00426D31" w:rsidRDefault="00477CC3" w:rsidP="00425BCB">
            <w:pPr>
              <w:tabs>
                <w:tab w:val="left" w:pos="8789"/>
              </w:tabs>
              <w:rPr>
                <w:sz w:val="16"/>
                <w:szCs w:val="16"/>
                <w:lang w:val="en-GB"/>
              </w:rPr>
            </w:pPr>
            <w:r w:rsidRPr="00A01544">
              <w:rPr>
                <w:b/>
                <w:sz w:val="16"/>
                <w:szCs w:val="16"/>
                <w:lang w:val="en-GB"/>
              </w:rPr>
              <w:t xml:space="preserve">Target: </w:t>
            </w:r>
            <w:r w:rsidRPr="00426D31">
              <w:rPr>
                <w:sz w:val="16"/>
                <w:szCs w:val="16"/>
                <w:lang w:val="en-GB"/>
              </w:rPr>
              <w:t>80</w:t>
            </w:r>
            <w:r w:rsidR="00F57CBE" w:rsidRPr="00426D31">
              <w:rPr>
                <w:sz w:val="16"/>
                <w:szCs w:val="16"/>
                <w:lang w:val="en-GB"/>
              </w:rPr>
              <w:t xml:space="preserve"> (2023)</w:t>
            </w:r>
          </w:p>
          <w:p w14:paraId="408FCEEE" w14:textId="77777777" w:rsidR="00477CC3" w:rsidRPr="00AA2150" w:rsidRDefault="00477CC3" w:rsidP="00425BCB">
            <w:pPr>
              <w:tabs>
                <w:tab w:val="left" w:pos="8789"/>
              </w:tabs>
              <w:rPr>
                <w:b/>
                <w:sz w:val="16"/>
                <w:szCs w:val="16"/>
                <w:lang w:val="en-GB"/>
              </w:rPr>
            </w:pPr>
          </w:p>
        </w:tc>
        <w:tc>
          <w:tcPr>
            <w:tcW w:w="791" w:type="pct"/>
          </w:tcPr>
          <w:p w14:paraId="680246D1" w14:textId="77777777" w:rsidR="00477CC3" w:rsidRPr="007A24D0" w:rsidRDefault="00477CC3" w:rsidP="00425BCB">
            <w:pPr>
              <w:tabs>
                <w:tab w:val="left" w:pos="8789"/>
              </w:tabs>
              <w:jc w:val="both"/>
              <w:rPr>
                <w:iCs/>
                <w:sz w:val="16"/>
                <w:szCs w:val="16"/>
                <w:lang w:val="en-GB"/>
              </w:rPr>
            </w:pPr>
            <w:r w:rsidRPr="00AA2150">
              <w:rPr>
                <w:b/>
                <w:iCs/>
                <w:sz w:val="16"/>
                <w:szCs w:val="16"/>
                <w:lang w:val="en-GB"/>
              </w:rPr>
              <w:lastRenderedPageBreak/>
              <w:t>Data source</w:t>
            </w:r>
            <w:r w:rsidR="002E6BD7" w:rsidRPr="00AA2150">
              <w:rPr>
                <w:iCs/>
                <w:sz w:val="16"/>
                <w:szCs w:val="16"/>
                <w:lang w:val="en-GB"/>
              </w:rPr>
              <w:t>: Parliament,</w:t>
            </w:r>
          </w:p>
          <w:p w14:paraId="3A63AF45" w14:textId="5692EA99" w:rsidR="00477CC3" w:rsidRPr="007A24D0" w:rsidRDefault="00477CC3" w:rsidP="00425BCB">
            <w:pPr>
              <w:tabs>
                <w:tab w:val="left" w:pos="8789"/>
              </w:tabs>
              <w:jc w:val="both"/>
              <w:rPr>
                <w:iCs/>
                <w:sz w:val="16"/>
                <w:szCs w:val="16"/>
                <w:lang w:val="en-GB"/>
              </w:rPr>
            </w:pPr>
            <w:r w:rsidRPr="007A24D0">
              <w:rPr>
                <w:b/>
                <w:iCs/>
                <w:sz w:val="16"/>
                <w:szCs w:val="16"/>
                <w:lang w:val="en-GB"/>
              </w:rPr>
              <w:t>Frequency</w:t>
            </w:r>
            <w:r w:rsidRPr="007A24D0">
              <w:rPr>
                <w:iCs/>
                <w:sz w:val="16"/>
                <w:szCs w:val="16"/>
                <w:lang w:val="en-GB"/>
              </w:rPr>
              <w:t xml:space="preserve">: </w:t>
            </w:r>
            <w:r w:rsidR="00F81FCB" w:rsidRPr="007A24D0">
              <w:rPr>
                <w:iCs/>
                <w:sz w:val="16"/>
                <w:szCs w:val="16"/>
                <w:lang w:val="en-GB"/>
              </w:rPr>
              <w:t>Annual</w:t>
            </w:r>
            <w:r w:rsidRPr="007A24D0">
              <w:rPr>
                <w:iCs/>
                <w:sz w:val="16"/>
                <w:szCs w:val="16"/>
                <w:lang w:val="en-GB"/>
              </w:rPr>
              <w:t xml:space="preserve"> </w:t>
            </w:r>
          </w:p>
          <w:p w14:paraId="1D47C0C3" w14:textId="77777777" w:rsidR="00477CC3" w:rsidRPr="008268A9" w:rsidRDefault="00477CC3" w:rsidP="00425BCB">
            <w:pPr>
              <w:pStyle w:val="ListParagraph"/>
              <w:tabs>
                <w:tab w:val="left" w:pos="8789"/>
              </w:tabs>
              <w:ind w:left="0"/>
              <w:jc w:val="both"/>
              <w:rPr>
                <w:iCs/>
                <w:sz w:val="16"/>
                <w:szCs w:val="16"/>
                <w:lang w:val="en-GB"/>
              </w:rPr>
            </w:pPr>
          </w:p>
          <w:p w14:paraId="64BAB262" w14:textId="77777777" w:rsidR="00477CC3" w:rsidRPr="008268A9" w:rsidRDefault="00477CC3" w:rsidP="00425BCB">
            <w:pPr>
              <w:pStyle w:val="ListParagraph"/>
              <w:tabs>
                <w:tab w:val="left" w:pos="8789"/>
              </w:tabs>
              <w:ind w:left="0"/>
              <w:jc w:val="both"/>
              <w:rPr>
                <w:b/>
                <w:iCs/>
                <w:sz w:val="16"/>
                <w:szCs w:val="16"/>
                <w:lang w:val="en-GB"/>
              </w:rPr>
            </w:pPr>
          </w:p>
          <w:p w14:paraId="695A469F" w14:textId="77777777" w:rsidR="00477CC3" w:rsidRPr="008268A9" w:rsidRDefault="00477CC3" w:rsidP="00425BCB">
            <w:pPr>
              <w:pStyle w:val="ListParagraph"/>
              <w:tabs>
                <w:tab w:val="left" w:pos="8789"/>
              </w:tabs>
              <w:ind w:left="0"/>
              <w:jc w:val="both"/>
              <w:rPr>
                <w:b/>
                <w:iCs/>
                <w:sz w:val="16"/>
                <w:szCs w:val="16"/>
                <w:lang w:val="en-GB"/>
              </w:rPr>
            </w:pPr>
          </w:p>
          <w:p w14:paraId="4754269D" w14:textId="77777777" w:rsidR="00477CC3" w:rsidRPr="008268A9" w:rsidRDefault="00477CC3" w:rsidP="00425BCB">
            <w:pPr>
              <w:pStyle w:val="ListParagraph"/>
              <w:tabs>
                <w:tab w:val="left" w:pos="8789"/>
              </w:tabs>
              <w:ind w:left="0"/>
              <w:jc w:val="both"/>
              <w:rPr>
                <w:b/>
                <w:iCs/>
                <w:sz w:val="16"/>
                <w:szCs w:val="16"/>
                <w:lang w:val="en-GB"/>
              </w:rPr>
            </w:pPr>
          </w:p>
          <w:p w14:paraId="025A419C" w14:textId="77777777" w:rsidR="002E6BD7" w:rsidRPr="008268A9" w:rsidRDefault="002E6BD7" w:rsidP="00425BCB">
            <w:pPr>
              <w:pStyle w:val="ListParagraph"/>
              <w:tabs>
                <w:tab w:val="left" w:pos="8789"/>
              </w:tabs>
              <w:ind w:left="0"/>
              <w:jc w:val="both"/>
              <w:rPr>
                <w:b/>
                <w:iCs/>
                <w:sz w:val="16"/>
                <w:szCs w:val="16"/>
                <w:lang w:val="en-GB"/>
              </w:rPr>
            </w:pPr>
          </w:p>
          <w:p w14:paraId="68C7DFCD" w14:textId="77777777" w:rsidR="00021825" w:rsidRPr="00F71E12" w:rsidRDefault="00021825" w:rsidP="00425BCB">
            <w:pPr>
              <w:pStyle w:val="ListParagraph"/>
              <w:tabs>
                <w:tab w:val="left" w:pos="8789"/>
              </w:tabs>
              <w:ind w:left="0"/>
              <w:jc w:val="both"/>
              <w:rPr>
                <w:b/>
                <w:iCs/>
                <w:sz w:val="16"/>
                <w:szCs w:val="16"/>
                <w:lang w:val="en-GB"/>
              </w:rPr>
            </w:pPr>
          </w:p>
          <w:p w14:paraId="5B93B8B7" w14:textId="21BCF320" w:rsidR="00477CC3" w:rsidRPr="00F71E12" w:rsidRDefault="00477CC3" w:rsidP="00425BCB">
            <w:pPr>
              <w:pStyle w:val="ListParagraph"/>
              <w:tabs>
                <w:tab w:val="left" w:pos="8789"/>
              </w:tabs>
              <w:ind w:left="0"/>
              <w:jc w:val="both"/>
              <w:rPr>
                <w:iCs/>
                <w:sz w:val="16"/>
                <w:szCs w:val="16"/>
                <w:lang w:val="en-GB"/>
              </w:rPr>
            </w:pPr>
            <w:r w:rsidRPr="00F71E12">
              <w:rPr>
                <w:b/>
                <w:iCs/>
                <w:sz w:val="16"/>
                <w:szCs w:val="16"/>
                <w:lang w:val="en-GB"/>
              </w:rPr>
              <w:t>Data source:</w:t>
            </w:r>
            <w:r w:rsidRPr="00F71E12">
              <w:rPr>
                <w:iCs/>
                <w:sz w:val="16"/>
                <w:szCs w:val="16"/>
                <w:lang w:val="en-GB"/>
              </w:rPr>
              <w:t xml:space="preserve"> Transparency International</w:t>
            </w:r>
          </w:p>
          <w:p w14:paraId="4D22236B" w14:textId="77777777" w:rsidR="00477CC3" w:rsidRPr="00F71E12" w:rsidRDefault="00477CC3" w:rsidP="00425BCB">
            <w:pPr>
              <w:tabs>
                <w:tab w:val="left" w:pos="8789"/>
              </w:tabs>
              <w:jc w:val="both"/>
              <w:rPr>
                <w:b/>
                <w:bCs/>
                <w:sz w:val="16"/>
                <w:szCs w:val="16"/>
                <w:lang w:val="en-GB"/>
              </w:rPr>
            </w:pPr>
            <w:r w:rsidRPr="00F71E12">
              <w:rPr>
                <w:b/>
                <w:iCs/>
                <w:sz w:val="16"/>
                <w:szCs w:val="16"/>
                <w:lang w:val="en-GB"/>
              </w:rPr>
              <w:t>Frequency</w:t>
            </w:r>
            <w:r w:rsidRPr="00F71E12">
              <w:rPr>
                <w:iCs/>
                <w:sz w:val="16"/>
                <w:szCs w:val="16"/>
                <w:lang w:val="en-GB"/>
              </w:rPr>
              <w:t xml:space="preserve">: Annual </w:t>
            </w:r>
          </w:p>
          <w:p w14:paraId="31B58FAC" w14:textId="77777777" w:rsidR="00477CC3" w:rsidRPr="00F71E12" w:rsidRDefault="00477CC3" w:rsidP="00425BCB">
            <w:pPr>
              <w:tabs>
                <w:tab w:val="left" w:pos="8789"/>
              </w:tabs>
              <w:jc w:val="both"/>
              <w:rPr>
                <w:iCs/>
                <w:sz w:val="16"/>
                <w:szCs w:val="16"/>
                <w:lang w:val="en-GB"/>
              </w:rPr>
            </w:pPr>
          </w:p>
          <w:p w14:paraId="08CB5233" w14:textId="77777777" w:rsidR="00C22E15" w:rsidRPr="00F71E12" w:rsidRDefault="00C22E15" w:rsidP="00425BCB">
            <w:pPr>
              <w:tabs>
                <w:tab w:val="left" w:pos="8789"/>
              </w:tabs>
              <w:rPr>
                <w:b/>
                <w:iCs/>
                <w:sz w:val="16"/>
                <w:szCs w:val="16"/>
                <w:lang w:val="en-GB"/>
              </w:rPr>
            </w:pPr>
          </w:p>
          <w:p w14:paraId="3F04FBCE" w14:textId="77777777" w:rsidR="00477CC3" w:rsidRPr="00F71E12" w:rsidRDefault="00477CC3" w:rsidP="00425BCB">
            <w:pPr>
              <w:tabs>
                <w:tab w:val="left" w:pos="8789"/>
              </w:tabs>
              <w:rPr>
                <w:iCs/>
                <w:sz w:val="16"/>
                <w:szCs w:val="16"/>
                <w:lang w:val="en-GB"/>
              </w:rPr>
            </w:pPr>
            <w:r w:rsidRPr="00F71E12">
              <w:rPr>
                <w:b/>
                <w:iCs/>
                <w:sz w:val="16"/>
                <w:szCs w:val="16"/>
                <w:lang w:val="en-GB"/>
              </w:rPr>
              <w:t>Data source</w:t>
            </w:r>
            <w:r w:rsidRPr="00F71E12">
              <w:rPr>
                <w:iCs/>
                <w:sz w:val="16"/>
                <w:szCs w:val="16"/>
                <w:lang w:val="en-GB"/>
              </w:rPr>
              <w:t xml:space="preserve">: </w:t>
            </w:r>
            <w:r w:rsidRPr="00F71E12">
              <w:rPr>
                <w:sz w:val="16"/>
                <w:szCs w:val="16"/>
                <w:lang w:val="en-GB"/>
              </w:rPr>
              <w:t>The Mo Ibrahim Foundation</w:t>
            </w:r>
          </w:p>
          <w:p w14:paraId="3D3CD58B" w14:textId="77777777" w:rsidR="00477CC3" w:rsidRPr="00F71E12" w:rsidRDefault="00477CC3" w:rsidP="00425BCB">
            <w:pPr>
              <w:tabs>
                <w:tab w:val="left" w:pos="8789"/>
              </w:tabs>
              <w:rPr>
                <w:iCs/>
                <w:sz w:val="16"/>
                <w:szCs w:val="16"/>
                <w:lang w:val="en-GB"/>
              </w:rPr>
            </w:pPr>
            <w:r w:rsidRPr="00F71E12">
              <w:rPr>
                <w:b/>
                <w:iCs/>
                <w:sz w:val="16"/>
                <w:szCs w:val="16"/>
                <w:lang w:val="en-GB"/>
              </w:rPr>
              <w:t>Frequency:</w:t>
            </w:r>
            <w:r w:rsidRPr="00F71E12">
              <w:rPr>
                <w:iCs/>
                <w:sz w:val="16"/>
                <w:szCs w:val="16"/>
                <w:lang w:val="en-GB"/>
              </w:rPr>
              <w:t xml:space="preserve"> Bi-annual</w:t>
            </w:r>
          </w:p>
          <w:p w14:paraId="61D908D1" w14:textId="77777777" w:rsidR="00477CC3" w:rsidRPr="006020CD" w:rsidRDefault="00477CC3" w:rsidP="00425BCB">
            <w:pPr>
              <w:tabs>
                <w:tab w:val="left" w:pos="8789"/>
              </w:tabs>
              <w:jc w:val="both"/>
              <w:rPr>
                <w:b/>
                <w:iCs/>
                <w:sz w:val="16"/>
                <w:szCs w:val="16"/>
                <w:lang w:val="en-GB"/>
              </w:rPr>
            </w:pPr>
          </w:p>
        </w:tc>
        <w:tc>
          <w:tcPr>
            <w:tcW w:w="2373" w:type="pct"/>
            <w:tcMar>
              <w:top w:w="72" w:type="dxa"/>
              <w:left w:w="144" w:type="dxa"/>
              <w:bottom w:w="72" w:type="dxa"/>
              <w:right w:w="144" w:type="dxa"/>
            </w:tcMar>
          </w:tcPr>
          <w:p w14:paraId="5E34132A" w14:textId="17C76C61" w:rsidR="00477CC3" w:rsidRPr="006020CD" w:rsidRDefault="00477CC3" w:rsidP="00425BCB">
            <w:pPr>
              <w:jc w:val="both"/>
              <w:rPr>
                <w:sz w:val="16"/>
                <w:szCs w:val="16"/>
                <w:lang w:val="en-GB"/>
              </w:rPr>
            </w:pPr>
            <w:r w:rsidRPr="006020CD">
              <w:rPr>
                <w:b/>
                <w:sz w:val="16"/>
                <w:szCs w:val="16"/>
                <w:lang w:val="en-GB"/>
              </w:rPr>
              <w:lastRenderedPageBreak/>
              <w:t>Output 3.1</w:t>
            </w:r>
            <w:r w:rsidR="00B724E8">
              <w:rPr>
                <w:b/>
                <w:sz w:val="16"/>
                <w:szCs w:val="16"/>
                <w:lang w:val="en-GB"/>
              </w:rPr>
              <w:t>.</w:t>
            </w:r>
            <w:r w:rsidRPr="006020CD">
              <w:rPr>
                <w:sz w:val="16"/>
                <w:szCs w:val="16"/>
                <w:lang w:val="en-GB"/>
              </w:rPr>
              <w:t xml:space="preserve"> </w:t>
            </w:r>
            <w:r w:rsidRPr="006020CD">
              <w:rPr>
                <w:i/>
                <w:sz w:val="16"/>
                <w:szCs w:val="16"/>
                <w:lang w:val="en-GB"/>
              </w:rPr>
              <w:t>Government institutions (e.g.</w:t>
            </w:r>
            <w:r w:rsidR="00752E3E">
              <w:rPr>
                <w:i/>
                <w:sz w:val="16"/>
                <w:szCs w:val="16"/>
                <w:lang w:val="en-GB"/>
              </w:rPr>
              <w:t>,</w:t>
            </w:r>
            <w:r w:rsidRPr="006020CD">
              <w:rPr>
                <w:i/>
                <w:sz w:val="16"/>
                <w:szCs w:val="16"/>
                <w:lang w:val="en-GB"/>
              </w:rPr>
              <w:t xml:space="preserve"> ACC, Parliament, </w:t>
            </w:r>
            <w:r w:rsidR="000C50D0">
              <w:rPr>
                <w:i/>
                <w:sz w:val="16"/>
                <w:szCs w:val="16"/>
                <w:lang w:val="en-GB"/>
              </w:rPr>
              <w:t>Office of the Prime Minister (</w:t>
            </w:r>
            <w:r w:rsidR="00F81FCB" w:rsidRPr="006020CD">
              <w:rPr>
                <w:i/>
                <w:sz w:val="16"/>
                <w:szCs w:val="16"/>
                <w:lang w:val="en-GB"/>
              </w:rPr>
              <w:t>OPM</w:t>
            </w:r>
            <w:r w:rsidR="000C50D0">
              <w:rPr>
                <w:i/>
                <w:sz w:val="16"/>
                <w:szCs w:val="16"/>
                <w:lang w:val="en-GB"/>
              </w:rPr>
              <w:t>)</w:t>
            </w:r>
            <w:r w:rsidRPr="006020CD">
              <w:rPr>
                <w:i/>
                <w:sz w:val="16"/>
                <w:szCs w:val="16"/>
                <w:lang w:val="en-GB"/>
              </w:rPr>
              <w:t>, Office of the</w:t>
            </w:r>
            <w:r w:rsidR="00F81FCB" w:rsidRPr="006020CD">
              <w:rPr>
                <w:i/>
                <w:sz w:val="16"/>
                <w:szCs w:val="16"/>
                <w:lang w:val="en-GB"/>
              </w:rPr>
              <w:t xml:space="preserve"> Ombudsperson, </w:t>
            </w:r>
            <w:r w:rsidR="000C50D0">
              <w:rPr>
                <w:i/>
                <w:sz w:val="16"/>
                <w:szCs w:val="16"/>
                <w:lang w:val="en-GB"/>
              </w:rPr>
              <w:t>Ministry of Justice (</w:t>
            </w:r>
            <w:r w:rsidRPr="006020CD">
              <w:rPr>
                <w:i/>
                <w:sz w:val="16"/>
                <w:szCs w:val="16"/>
                <w:lang w:val="en-GB"/>
              </w:rPr>
              <w:t>MOJ</w:t>
            </w:r>
            <w:r w:rsidR="001775DA">
              <w:rPr>
                <w:i/>
                <w:sz w:val="16"/>
                <w:szCs w:val="16"/>
                <w:lang w:val="en-GB"/>
              </w:rPr>
              <w:t>)</w:t>
            </w:r>
            <w:r w:rsidRPr="006020CD">
              <w:rPr>
                <w:i/>
                <w:sz w:val="16"/>
                <w:szCs w:val="16"/>
                <w:lang w:val="en-GB"/>
              </w:rPr>
              <w:t xml:space="preserve"> at national and regional levels enabled to perform core functions for improved accountability, participation</w:t>
            </w:r>
            <w:r w:rsidR="001775DA">
              <w:rPr>
                <w:i/>
                <w:sz w:val="16"/>
                <w:szCs w:val="16"/>
                <w:lang w:val="en-GB"/>
              </w:rPr>
              <w:t>,</w:t>
            </w:r>
            <w:r w:rsidRPr="006020CD">
              <w:rPr>
                <w:i/>
                <w:sz w:val="16"/>
                <w:szCs w:val="16"/>
                <w:lang w:val="en-GB"/>
              </w:rPr>
              <w:t xml:space="preserve"> representation</w:t>
            </w:r>
            <w:r w:rsidR="001775DA">
              <w:rPr>
                <w:i/>
                <w:sz w:val="16"/>
                <w:szCs w:val="16"/>
                <w:lang w:val="en-GB"/>
              </w:rPr>
              <w:t>,</w:t>
            </w:r>
            <w:r w:rsidRPr="006020CD">
              <w:rPr>
                <w:i/>
                <w:sz w:val="16"/>
                <w:szCs w:val="16"/>
                <w:lang w:val="en-GB"/>
              </w:rPr>
              <w:t xml:space="preserve"> and reporting.</w:t>
            </w:r>
          </w:p>
          <w:p w14:paraId="0ED018EA" w14:textId="30C12860" w:rsidR="00477CC3" w:rsidRPr="006020CD" w:rsidRDefault="00477CC3" w:rsidP="00425BCB">
            <w:pPr>
              <w:jc w:val="both"/>
              <w:rPr>
                <w:sz w:val="16"/>
                <w:szCs w:val="16"/>
                <w:lang w:val="en-GB"/>
              </w:rPr>
            </w:pPr>
            <w:r w:rsidRPr="006020CD">
              <w:rPr>
                <w:b/>
                <w:sz w:val="16"/>
                <w:szCs w:val="16"/>
                <w:lang w:val="en-GB"/>
              </w:rPr>
              <w:t>Indicator 3.1.1</w:t>
            </w:r>
            <w:r w:rsidR="00B724E8">
              <w:rPr>
                <w:b/>
                <w:sz w:val="16"/>
                <w:szCs w:val="16"/>
                <w:lang w:val="en-GB"/>
              </w:rPr>
              <w:t>.</w:t>
            </w:r>
            <w:r w:rsidRPr="006020CD">
              <w:rPr>
                <w:sz w:val="16"/>
                <w:szCs w:val="16"/>
                <w:lang w:val="en-GB"/>
              </w:rPr>
              <w:t xml:space="preserve"> </w:t>
            </w:r>
            <w:r w:rsidR="00A4321A" w:rsidRPr="006020CD">
              <w:rPr>
                <w:sz w:val="16"/>
                <w:szCs w:val="16"/>
                <w:lang w:val="en-GB"/>
              </w:rPr>
              <w:t>No.</w:t>
            </w:r>
            <w:r w:rsidRPr="006020CD">
              <w:rPr>
                <w:sz w:val="16"/>
                <w:szCs w:val="16"/>
                <w:lang w:val="en-GB"/>
              </w:rPr>
              <w:t xml:space="preserve"> of institutions which have </w:t>
            </w:r>
            <w:r w:rsidR="00F81FCB" w:rsidRPr="006020CD">
              <w:rPr>
                <w:sz w:val="16"/>
                <w:szCs w:val="16"/>
                <w:lang w:val="en-GB"/>
              </w:rPr>
              <w:t xml:space="preserve">adopted (and report on) </w:t>
            </w:r>
            <w:r w:rsidRPr="006020CD">
              <w:rPr>
                <w:sz w:val="16"/>
                <w:szCs w:val="16"/>
                <w:lang w:val="en-GB"/>
              </w:rPr>
              <w:t>effective measures at national, regional and sectoral level</w:t>
            </w:r>
            <w:r w:rsidR="001775DA">
              <w:rPr>
                <w:sz w:val="16"/>
                <w:szCs w:val="16"/>
                <w:lang w:val="en-GB"/>
              </w:rPr>
              <w:t>s</w:t>
            </w:r>
            <w:r w:rsidRPr="006020CD">
              <w:rPr>
                <w:sz w:val="16"/>
                <w:szCs w:val="16"/>
                <w:lang w:val="en-GB"/>
              </w:rPr>
              <w:t xml:space="preserve"> to mitigate corruption risks (S</w:t>
            </w:r>
            <w:r w:rsidR="001775DA">
              <w:rPr>
                <w:sz w:val="16"/>
                <w:szCs w:val="16"/>
                <w:lang w:val="en-GB"/>
              </w:rPr>
              <w:t>trategic Plan</w:t>
            </w:r>
            <w:r w:rsidRPr="006020CD">
              <w:rPr>
                <w:sz w:val="16"/>
                <w:szCs w:val="16"/>
                <w:lang w:val="en-GB"/>
              </w:rPr>
              <w:t xml:space="preserve"> IRRF </w:t>
            </w:r>
            <w:r w:rsidR="001775DA">
              <w:rPr>
                <w:sz w:val="16"/>
                <w:szCs w:val="16"/>
                <w:lang w:val="en-GB"/>
              </w:rPr>
              <w:t>o</w:t>
            </w:r>
            <w:r w:rsidRPr="006020CD">
              <w:rPr>
                <w:sz w:val="16"/>
                <w:szCs w:val="16"/>
                <w:lang w:val="en-GB"/>
              </w:rPr>
              <w:t xml:space="preserve">utput </w:t>
            </w:r>
            <w:r w:rsidR="001775DA">
              <w:rPr>
                <w:sz w:val="16"/>
                <w:szCs w:val="16"/>
                <w:lang w:val="en-GB"/>
              </w:rPr>
              <w:t>i</w:t>
            </w:r>
            <w:r w:rsidRPr="006020CD">
              <w:rPr>
                <w:sz w:val="16"/>
                <w:szCs w:val="16"/>
                <w:lang w:val="en-GB"/>
              </w:rPr>
              <w:t>ndicator 1.2.3</w:t>
            </w:r>
            <w:r w:rsidR="00113322" w:rsidRPr="006020CD">
              <w:rPr>
                <w:sz w:val="16"/>
                <w:szCs w:val="16"/>
                <w:lang w:val="en-GB"/>
              </w:rPr>
              <w:t>.1</w:t>
            </w:r>
            <w:r w:rsidRPr="006020CD">
              <w:rPr>
                <w:sz w:val="16"/>
                <w:szCs w:val="16"/>
                <w:lang w:val="en-GB"/>
              </w:rPr>
              <w:t xml:space="preserve">) </w:t>
            </w:r>
          </w:p>
          <w:p w14:paraId="605876A3" w14:textId="71219253" w:rsidR="00477CC3" w:rsidRPr="006020CD" w:rsidRDefault="00477CC3" w:rsidP="00425BCB">
            <w:pPr>
              <w:jc w:val="both"/>
              <w:rPr>
                <w:sz w:val="16"/>
                <w:szCs w:val="16"/>
                <w:lang w:val="en-GB"/>
              </w:rPr>
            </w:pPr>
            <w:r w:rsidRPr="006020CD">
              <w:rPr>
                <w:b/>
                <w:sz w:val="16"/>
                <w:szCs w:val="16"/>
                <w:lang w:val="en-GB"/>
              </w:rPr>
              <w:t>Baseline</w:t>
            </w:r>
            <w:r w:rsidRPr="006020CD">
              <w:rPr>
                <w:sz w:val="16"/>
                <w:szCs w:val="16"/>
                <w:lang w:val="en-GB"/>
              </w:rPr>
              <w:t xml:space="preserve">: 1 </w:t>
            </w:r>
            <w:r w:rsidR="001775DA">
              <w:rPr>
                <w:sz w:val="16"/>
                <w:szCs w:val="16"/>
                <w:lang w:val="en-GB"/>
              </w:rPr>
              <w:t>n</w:t>
            </w:r>
            <w:r w:rsidRPr="006020CD">
              <w:rPr>
                <w:sz w:val="16"/>
                <w:szCs w:val="16"/>
                <w:lang w:val="en-GB"/>
              </w:rPr>
              <w:t xml:space="preserve">ational, 1 </w:t>
            </w:r>
            <w:r w:rsidR="001775DA">
              <w:rPr>
                <w:sz w:val="16"/>
                <w:szCs w:val="16"/>
                <w:lang w:val="en-GB"/>
              </w:rPr>
              <w:t>r</w:t>
            </w:r>
            <w:r w:rsidRPr="006020CD">
              <w:rPr>
                <w:sz w:val="16"/>
                <w:szCs w:val="16"/>
                <w:lang w:val="en-GB"/>
              </w:rPr>
              <w:t xml:space="preserve">egional, 1 </w:t>
            </w:r>
            <w:r w:rsidR="001775DA">
              <w:rPr>
                <w:sz w:val="16"/>
                <w:szCs w:val="16"/>
                <w:lang w:val="en-GB"/>
              </w:rPr>
              <w:t>s</w:t>
            </w:r>
            <w:r w:rsidRPr="006020CD">
              <w:rPr>
                <w:sz w:val="16"/>
                <w:szCs w:val="16"/>
                <w:lang w:val="en-GB"/>
              </w:rPr>
              <w:t>ectoral (2017)</w:t>
            </w:r>
          </w:p>
          <w:p w14:paraId="3CCC3CCF" w14:textId="3DE719EB" w:rsidR="00477CC3" w:rsidRPr="006020CD" w:rsidRDefault="00477CC3" w:rsidP="00425BCB">
            <w:pPr>
              <w:jc w:val="both"/>
              <w:rPr>
                <w:sz w:val="16"/>
                <w:szCs w:val="16"/>
                <w:lang w:val="en-GB"/>
              </w:rPr>
            </w:pPr>
            <w:r w:rsidRPr="006020CD">
              <w:rPr>
                <w:b/>
                <w:sz w:val="16"/>
                <w:szCs w:val="16"/>
                <w:lang w:val="en-GB"/>
              </w:rPr>
              <w:t>Target</w:t>
            </w:r>
            <w:r w:rsidRPr="006020CD">
              <w:rPr>
                <w:sz w:val="16"/>
                <w:szCs w:val="16"/>
                <w:lang w:val="en-GB"/>
              </w:rPr>
              <w:t xml:space="preserve">: 4 </w:t>
            </w:r>
            <w:r w:rsidR="001775DA">
              <w:rPr>
                <w:sz w:val="16"/>
                <w:szCs w:val="16"/>
                <w:lang w:val="en-GB"/>
              </w:rPr>
              <w:t>n</w:t>
            </w:r>
            <w:r w:rsidRPr="006020CD">
              <w:rPr>
                <w:sz w:val="16"/>
                <w:szCs w:val="16"/>
                <w:lang w:val="en-GB"/>
              </w:rPr>
              <w:t xml:space="preserve">ational, 4 </w:t>
            </w:r>
            <w:r w:rsidR="001775DA">
              <w:rPr>
                <w:sz w:val="16"/>
                <w:szCs w:val="16"/>
                <w:lang w:val="en-GB"/>
              </w:rPr>
              <w:t>r</w:t>
            </w:r>
            <w:r w:rsidRPr="006020CD">
              <w:rPr>
                <w:sz w:val="16"/>
                <w:szCs w:val="16"/>
                <w:lang w:val="en-GB"/>
              </w:rPr>
              <w:t xml:space="preserve">egional, 4 </w:t>
            </w:r>
            <w:r w:rsidR="001775DA">
              <w:rPr>
                <w:sz w:val="16"/>
                <w:szCs w:val="16"/>
                <w:lang w:val="en-GB"/>
              </w:rPr>
              <w:t>s</w:t>
            </w:r>
            <w:r w:rsidRPr="006020CD">
              <w:rPr>
                <w:sz w:val="16"/>
                <w:szCs w:val="16"/>
                <w:lang w:val="en-GB"/>
              </w:rPr>
              <w:t>ectoral (2023)</w:t>
            </w:r>
          </w:p>
          <w:p w14:paraId="024592C4" w14:textId="74ABE790" w:rsidR="00477CC3" w:rsidRPr="006020CD" w:rsidRDefault="00477CC3" w:rsidP="00425BCB">
            <w:pPr>
              <w:jc w:val="both"/>
              <w:rPr>
                <w:sz w:val="16"/>
                <w:szCs w:val="16"/>
                <w:lang w:val="en-GB"/>
              </w:rPr>
            </w:pPr>
            <w:r w:rsidRPr="006020CD">
              <w:rPr>
                <w:b/>
                <w:sz w:val="16"/>
                <w:szCs w:val="16"/>
                <w:lang w:val="en-GB"/>
              </w:rPr>
              <w:t>Data source</w:t>
            </w:r>
            <w:r w:rsidR="00291826">
              <w:rPr>
                <w:b/>
                <w:sz w:val="16"/>
                <w:szCs w:val="16"/>
                <w:lang w:val="en-GB"/>
              </w:rPr>
              <w:t>s:</w:t>
            </w:r>
            <w:r w:rsidRPr="006020CD">
              <w:rPr>
                <w:sz w:val="16"/>
                <w:szCs w:val="16"/>
                <w:lang w:val="en-GB"/>
              </w:rPr>
              <w:t xml:space="preserve"> </w:t>
            </w:r>
            <w:r w:rsidR="003B33F5">
              <w:rPr>
                <w:sz w:val="16"/>
                <w:szCs w:val="16"/>
                <w:lang w:val="en-GB"/>
              </w:rPr>
              <w:t xml:space="preserve">National Council </w:t>
            </w:r>
            <w:r w:rsidR="0000682F" w:rsidRPr="006020CD">
              <w:rPr>
                <w:sz w:val="16"/>
                <w:szCs w:val="16"/>
                <w:lang w:val="en-GB"/>
              </w:rPr>
              <w:t xml:space="preserve"> </w:t>
            </w:r>
            <w:r w:rsidR="001775DA">
              <w:rPr>
                <w:sz w:val="16"/>
                <w:szCs w:val="16"/>
                <w:lang w:val="en-GB"/>
              </w:rPr>
              <w:t>and</w:t>
            </w:r>
            <w:r w:rsidR="0000682F" w:rsidRPr="006020CD">
              <w:rPr>
                <w:sz w:val="16"/>
                <w:szCs w:val="16"/>
                <w:lang w:val="en-GB"/>
              </w:rPr>
              <w:t xml:space="preserve"> </w:t>
            </w:r>
            <w:r w:rsidRPr="006020CD">
              <w:rPr>
                <w:sz w:val="16"/>
                <w:szCs w:val="16"/>
                <w:lang w:val="en-GB"/>
              </w:rPr>
              <w:t xml:space="preserve">OPM </w:t>
            </w:r>
            <w:r w:rsidR="001775DA">
              <w:rPr>
                <w:sz w:val="16"/>
                <w:szCs w:val="16"/>
                <w:lang w:val="en-GB"/>
              </w:rPr>
              <w:t>a</w:t>
            </w:r>
            <w:r w:rsidRPr="006020CD">
              <w:rPr>
                <w:sz w:val="16"/>
                <w:szCs w:val="16"/>
                <w:lang w:val="en-GB"/>
              </w:rPr>
              <w:t xml:space="preserve">nnual </w:t>
            </w:r>
            <w:r w:rsidR="001775DA">
              <w:rPr>
                <w:sz w:val="16"/>
                <w:szCs w:val="16"/>
                <w:lang w:val="en-GB"/>
              </w:rPr>
              <w:t>r</w:t>
            </w:r>
            <w:r w:rsidRPr="006020CD">
              <w:rPr>
                <w:sz w:val="16"/>
                <w:szCs w:val="16"/>
                <w:lang w:val="en-GB"/>
              </w:rPr>
              <w:t>eport</w:t>
            </w:r>
            <w:r w:rsidR="001775DA">
              <w:rPr>
                <w:sz w:val="16"/>
                <w:szCs w:val="16"/>
                <w:lang w:val="en-GB"/>
              </w:rPr>
              <w:t>s</w:t>
            </w:r>
            <w:r w:rsidR="0000682F" w:rsidRPr="006020CD">
              <w:rPr>
                <w:sz w:val="16"/>
                <w:szCs w:val="16"/>
                <w:lang w:val="en-GB"/>
              </w:rPr>
              <w:t xml:space="preserve"> </w:t>
            </w:r>
          </w:p>
          <w:p w14:paraId="421C1A35" w14:textId="77777777" w:rsidR="00F81FCB" w:rsidRPr="006020CD" w:rsidRDefault="00F81FCB" w:rsidP="00425BCB">
            <w:pPr>
              <w:jc w:val="both"/>
              <w:rPr>
                <w:b/>
                <w:sz w:val="16"/>
                <w:szCs w:val="16"/>
                <w:lang w:val="en-GB"/>
              </w:rPr>
            </w:pPr>
          </w:p>
          <w:p w14:paraId="4B263527" w14:textId="6FDDE51C" w:rsidR="00477CC3" w:rsidRPr="006020CD" w:rsidRDefault="00477CC3" w:rsidP="00425BCB">
            <w:pPr>
              <w:jc w:val="both"/>
              <w:rPr>
                <w:sz w:val="16"/>
                <w:szCs w:val="16"/>
                <w:lang w:val="en-GB"/>
              </w:rPr>
            </w:pPr>
            <w:r w:rsidRPr="006020CD">
              <w:rPr>
                <w:b/>
                <w:sz w:val="16"/>
                <w:szCs w:val="16"/>
                <w:lang w:val="en-GB"/>
              </w:rPr>
              <w:t>Indicator 3.1.2</w:t>
            </w:r>
            <w:r w:rsidR="00EF466A">
              <w:rPr>
                <w:b/>
                <w:sz w:val="16"/>
                <w:szCs w:val="16"/>
                <w:lang w:val="en-GB"/>
              </w:rPr>
              <w:t>.</w:t>
            </w:r>
            <w:r w:rsidRPr="006020CD">
              <w:rPr>
                <w:sz w:val="16"/>
                <w:szCs w:val="16"/>
                <w:lang w:val="en-GB"/>
              </w:rPr>
              <w:t xml:space="preserve"> </w:t>
            </w:r>
            <w:r w:rsidR="00A4321A" w:rsidRPr="006020CD">
              <w:rPr>
                <w:sz w:val="16"/>
                <w:szCs w:val="16"/>
                <w:lang w:val="en-GB"/>
              </w:rPr>
              <w:t>No.</w:t>
            </w:r>
            <w:r w:rsidRPr="006020CD">
              <w:rPr>
                <w:sz w:val="16"/>
                <w:szCs w:val="16"/>
                <w:lang w:val="en-GB"/>
              </w:rPr>
              <w:t xml:space="preserve"> of national and subnational institutions with effective</w:t>
            </w:r>
            <w:r w:rsidR="001775DA">
              <w:rPr>
                <w:sz w:val="16"/>
                <w:szCs w:val="16"/>
                <w:lang w:val="en-GB"/>
              </w:rPr>
              <w:t>,</w:t>
            </w:r>
            <w:r w:rsidRPr="006020CD">
              <w:rPr>
                <w:sz w:val="16"/>
                <w:szCs w:val="16"/>
                <w:lang w:val="en-GB"/>
              </w:rPr>
              <w:t xml:space="preserve"> innovative mechanisms for civic engagement, including the participation of women and marginalized groups (S</w:t>
            </w:r>
            <w:r w:rsidR="00B724E8">
              <w:rPr>
                <w:sz w:val="16"/>
                <w:szCs w:val="16"/>
                <w:lang w:val="en-GB"/>
              </w:rPr>
              <w:t>trategic Plan</w:t>
            </w:r>
            <w:r w:rsidRPr="006020CD">
              <w:rPr>
                <w:sz w:val="16"/>
                <w:szCs w:val="16"/>
                <w:lang w:val="en-GB"/>
              </w:rPr>
              <w:t xml:space="preserve"> IRRF </w:t>
            </w:r>
            <w:r w:rsidR="00B724E8">
              <w:rPr>
                <w:sz w:val="16"/>
                <w:szCs w:val="16"/>
                <w:lang w:val="en-GB"/>
              </w:rPr>
              <w:t>o</w:t>
            </w:r>
            <w:r w:rsidRPr="006020CD">
              <w:rPr>
                <w:sz w:val="16"/>
                <w:szCs w:val="16"/>
                <w:lang w:val="en-GB"/>
              </w:rPr>
              <w:t xml:space="preserve">utput </w:t>
            </w:r>
            <w:r w:rsidR="00B724E8">
              <w:rPr>
                <w:sz w:val="16"/>
                <w:szCs w:val="16"/>
                <w:lang w:val="en-GB"/>
              </w:rPr>
              <w:t>i</w:t>
            </w:r>
            <w:r w:rsidRPr="006020CD">
              <w:rPr>
                <w:sz w:val="16"/>
                <w:szCs w:val="16"/>
                <w:lang w:val="en-GB"/>
              </w:rPr>
              <w:t>ndicator 2.2.2</w:t>
            </w:r>
            <w:r w:rsidR="00113322" w:rsidRPr="006020CD">
              <w:rPr>
                <w:sz w:val="16"/>
                <w:szCs w:val="16"/>
                <w:lang w:val="en-GB"/>
              </w:rPr>
              <w:t>.4</w:t>
            </w:r>
            <w:r w:rsidRPr="006020CD">
              <w:rPr>
                <w:sz w:val="16"/>
                <w:szCs w:val="16"/>
                <w:lang w:val="en-GB"/>
              </w:rPr>
              <w:t xml:space="preserve">)  </w:t>
            </w:r>
          </w:p>
          <w:p w14:paraId="13D1F81B" w14:textId="7309C0B4" w:rsidR="00477CC3" w:rsidRPr="006020CD" w:rsidRDefault="00477CC3" w:rsidP="00425BCB">
            <w:pPr>
              <w:jc w:val="both"/>
              <w:rPr>
                <w:sz w:val="16"/>
                <w:szCs w:val="16"/>
                <w:lang w:val="en-GB"/>
              </w:rPr>
            </w:pPr>
            <w:r w:rsidRPr="006020CD">
              <w:rPr>
                <w:b/>
                <w:sz w:val="16"/>
                <w:szCs w:val="16"/>
                <w:lang w:val="en-GB"/>
              </w:rPr>
              <w:t>Baseline</w:t>
            </w:r>
            <w:r w:rsidR="00291826">
              <w:rPr>
                <w:b/>
                <w:sz w:val="16"/>
                <w:szCs w:val="16"/>
                <w:lang w:val="en-GB"/>
              </w:rPr>
              <w:t>:</w:t>
            </w:r>
            <w:r w:rsidRPr="006020CD">
              <w:rPr>
                <w:sz w:val="16"/>
                <w:szCs w:val="16"/>
                <w:lang w:val="en-GB"/>
              </w:rPr>
              <w:t xml:space="preserve"> 2 (2017)</w:t>
            </w:r>
          </w:p>
          <w:p w14:paraId="7927DC9A" w14:textId="2FE66DA3" w:rsidR="00477CC3" w:rsidRPr="006020CD" w:rsidRDefault="00477CC3" w:rsidP="00425BCB">
            <w:pPr>
              <w:tabs>
                <w:tab w:val="left" w:pos="1608"/>
              </w:tabs>
              <w:jc w:val="both"/>
              <w:rPr>
                <w:sz w:val="16"/>
                <w:szCs w:val="16"/>
                <w:lang w:val="en-GB"/>
              </w:rPr>
            </w:pPr>
            <w:r w:rsidRPr="006020CD">
              <w:rPr>
                <w:b/>
                <w:sz w:val="16"/>
                <w:szCs w:val="16"/>
                <w:lang w:val="en-GB"/>
              </w:rPr>
              <w:t>Targe</w:t>
            </w:r>
            <w:r w:rsidR="00291826">
              <w:rPr>
                <w:b/>
                <w:sz w:val="16"/>
                <w:szCs w:val="16"/>
                <w:lang w:val="en-GB"/>
              </w:rPr>
              <w:t>t:</w:t>
            </w:r>
            <w:r w:rsidRPr="006020CD">
              <w:rPr>
                <w:sz w:val="16"/>
                <w:szCs w:val="16"/>
                <w:lang w:val="en-GB"/>
              </w:rPr>
              <w:t xml:space="preserve"> 4 (2023) (</w:t>
            </w:r>
            <w:r w:rsidR="00B724E8">
              <w:rPr>
                <w:sz w:val="16"/>
                <w:szCs w:val="16"/>
                <w:lang w:val="en-GB"/>
              </w:rPr>
              <w:t>n</w:t>
            </w:r>
            <w:r w:rsidRPr="006020CD">
              <w:rPr>
                <w:sz w:val="16"/>
                <w:szCs w:val="16"/>
                <w:lang w:val="en-GB"/>
              </w:rPr>
              <w:t>ational 2</w:t>
            </w:r>
            <w:r w:rsidR="00B724E8">
              <w:rPr>
                <w:sz w:val="16"/>
                <w:szCs w:val="16"/>
                <w:lang w:val="en-GB"/>
              </w:rPr>
              <w:t>,</w:t>
            </w:r>
            <w:r w:rsidRPr="006020CD">
              <w:rPr>
                <w:sz w:val="16"/>
                <w:szCs w:val="16"/>
                <w:lang w:val="en-GB"/>
              </w:rPr>
              <w:t xml:space="preserve"> </w:t>
            </w:r>
            <w:r w:rsidR="00B724E8">
              <w:rPr>
                <w:sz w:val="16"/>
                <w:szCs w:val="16"/>
                <w:lang w:val="en-GB"/>
              </w:rPr>
              <w:t>s</w:t>
            </w:r>
            <w:r w:rsidRPr="006020CD">
              <w:rPr>
                <w:sz w:val="16"/>
                <w:szCs w:val="16"/>
                <w:lang w:val="en-GB"/>
              </w:rPr>
              <w:t>ub</w:t>
            </w:r>
            <w:r w:rsidR="00B724E8">
              <w:rPr>
                <w:sz w:val="16"/>
                <w:szCs w:val="16"/>
                <w:lang w:val="en-GB"/>
              </w:rPr>
              <w:t>n</w:t>
            </w:r>
            <w:r w:rsidRPr="006020CD">
              <w:rPr>
                <w:sz w:val="16"/>
                <w:szCs w:val="16"/>
                <w:lang w:val="en-GB"/>
              </w:rPr>
              <w:t>ational 2)</w:t>
            </w:r>
            <w:r w:rsidRPr="006020CD">
              <w:rPr>
                <w:sz w:val="16"/>
                <w:szCs w:val="16"/>
                <w:lang w:val="en-GB"/>
              </w:rPr>
              <w:tab/>
            </w:r>
          </w:p>
          <w:p w14:paraId="0946F403" w14:textId="0B0FE737" w:rsidR="0000682F" w:rsidRPr="00291826" w:rsidRDefault="00477CC3" w:rsidP="00425BCB">
            <w:pPr>
              <w:jc w:val="both"/>
              <w:rPr>
                <w:sz w:val="16"/>
                <w:szCs w:val="16"/>
                <w:lang w:val="en-GB"/>
              </w:rPr>
            </w:pPr>
            <w:r w:rsidRPr="006020CD">
              <w:rPr>
                <w:b/>
                <w:sz w:val="16"/>
                <w:szCs w:val="16"/>
                <w:lang w:val="en-GB"/>
              </w:rPr>
              <w:lastRenderedPageBreak/>
              <w:t>Data source</w:t>
            </w:r>
            <w:r w:rsidR="00291826">
              <w:rPr>
                <w:b/>
                <w:sz w:val="16"/>
                <w:szCs w:val="16"/>
                <w:lang w:val="en-GB"/>
              </w:rPr>
              <w:t>s:</w:t>
            </w:r>
            <w:r w:rsidRPr="006020CD">
              <w:rPr>
                <w:sz w:val="16"/>
                <w:szCs w:val="16"/>
                <w:lang w:val="en-GB"/>
              </w:rPr>
              <w:t xml:space="preserve"> OPM</w:t>
            </w:r>
            <w:r w:rsidR="00F60A45" w:rsidRPr="00291826">
              <w:rPr>
                <w:sz w:val="16"/>
                <w:szCs w:val="16"/>
                <w:lang w:val="en-GB"/>
              </w:rPr>
              <w:t>,</w:t>
            </w:r>
            <w:r w:rsidRPr="00291826">
              <w:rPr>
                <w:sz w:val="16"/>
                <w:szCs w:val="16"/>
                <w:lang w:val="en-GB"/>
              </w:rPr>
              <w:t xml:space="preserve"> DPSIR</w:t>
            </w:r>
            <w:r w:rsidR="0000682F" w:rsidRPr="00291826">
              <w:rPr>
                <w:sz w:val="16"/>
                <w:szCs w:val="16"/>
                <w:lang w:val="en-GB"/>
              </w:rPr>
              <w:t xml:space="preserve"> </w:t>
            </w:r>
            <w:r w:rsidR="00B724E8" w:rsidRPr="00291826">
              <w:rPr>
                <w:sz w:val="16"/>
                <w:szCs w:val="16"/>
                <w:lang w:val="en-GB"/>
              </w:rPr>
              <w:t>annual report</w:t>
            </w:r>
          </w:p>
          <w:p w14:paraId="020BD882" w14:textId="77777777" w:rsidR="00ED3F6E" w:rsidRPr="00291826" w:rsidRDefault="00ED3F6E" w:rsidP="00425BCB">
            <w:pPr>
              <w:jc w:val="both"/>
              <w:rPr>
                <w:b/>
                <w:sz w:val="16"/>
                <w:szCs w:val="16"/>
                <w:lang w:val="en-GB"/>
              </w:rPr>
            </w:pPr>
          </w:p>
          <w:p w14:paraId="1B7D964C" w14:textId="11A72D1C" w:rsidR="00477CC3" w:rsidRPr="00291826" w:rsidRDefault="00477CC3" w:rsidP="00425BCB">
            <w:pPr>
              <w:jc w:val="both"/>
              <w:rPr>
                <w:sz w:val="16"/>
                <w:szCs w:val="16"/>
                <w:lang w:val="en-GB"/>
              </w:rPr>
            </w:pPr>
            <w:r w:rsidRPr="00291826">
              <w:rPr>
                <w:b/>
                <w:sz w:val="16"/>
                <w:szCs w:val="16"/>
                <w:lang w:val="en-GB"/>
              </w:rPr>
              <w:t>Indicator 3</w:t>
            </w:r>
            <w:r w:rsidR="00F81FCB" w:rsidRPr="00291826">
              <w:rPr>
                <w:b/>
                <w:sz w:val="16"/>
                <w:szCs w:val="16"/>
                <w:lang w:val="en-GB"/>
              </w:rPr>
              <w:t>.1.</w:t>
            </w:r>
            <w:r w:rsidR="0052447E" w:rsidRPr="00291826">
              <w:rPr>
                <w:b/>
                <w:sz w:val="16"/>
                <w:szCs w:val="16"/>
                <w:lang w:val="en-GB"/>
              </w:rPr>
              <w:t>3</w:t>
            </w:r>
            <w:r w:rsidR="00EF466A" w:rsidRPr="00291826">
              <w:rPr>
                <w:b/>
                <w:sz w:val="16"/>
                <w:szCs w:val="16"/>
                <w:lang w:val="en-GB"/>
              </w:rPr>
              <w:t>.</w:t>
            </w:r>
            <w:r w:rsidRPr="00291826">
              <w:rPr>
                <w:sz w:val="16"/>
                <w:szCs w:val="16"/>
                <w:lang w:val="en-GB"/>
              </w:rPr>
              <w:t xml:space="preserve"> </w:t>
            </w:r>
            <w:r w:rsidR="00A4321A" w:rsidRPr="00291826">
              <w:rPr>
                <w:sz w:val="16"/>
                <w:szCs w:val="16"/>
                <w:lang w:val="en-GB"/>
              </w:rPr>
              <w:t>No.</w:t>
            </w:r>
            <w:r w:rsidRPr="00291826">
              <w:rPr>
                <w:sz w:val="16"/>
                <w:szCs w:val="16"/>
                <w:lang w:val="en-GB"/>
              </w:rPr>
              <w:t xml:space="preserve"> of human rights cases/complaints investigated and resolved by the Office of Ombudsperson within the year of submission</w:t>
            </w:r>
          </w:p>
          <w:p w14:paraId="3BFB9563" w14:textId="654FDBF5" w:rsidR="00477CC3" w:rsidRPr="00291826" w:rsidRDefault="00477CC3" w:rsidP="00425BCB">
            <w:pPr>
              <w:jc w:val="both"/>
              <w:rPr>
                <w:sz w:val="16"/>
                <w:szCs w:val="16"/>
                <w:lang w:val="en-GB"/>
              </w:rPr>
            </w:pPr>
            <w:r w:rsidRPr="00291826">
              <w:rPr>
                <w:b/>
                <w:sz w:val="16"/>
                <w:szCs w:val="16"/>
                <w:lang w:val="en-GB"/>
              </w:rPr>
              <w:t>Baseline:</w:t>
            </w:r>
            <w:r w:rsidRPr="00291826">
              <w:rPr>
                <w:sz w:val="16"/>
                <w:szCs w:val="16"/>
                <w:lang w:val="en-GB"/>
              </w:rPr>
              <w:t xml:space="preserve"> 3</w:t>
            </w:r>
            <w:r w:rsidR="00B85675" w:rsidRPr="00291826">
              <w:rPr>
                <w:sz w:val="16"/>
                <w:szCs w:val="16"/>
                <w:lang w:val="en-GB"/>
              </w:rPr>
              <w:t>,</w:t>
            </w:r>
            <w:r w:rsidRPr="00291826">
              <w:rPr>
                <w:sz w:val="16"/>
                <w:szCs w:val="16"/>
                <w:lang w:val="en-GB"/>
              </w:rPr>
              <w:t>749</w:t>
            </w:r>
            <w:r w:rsidR="00752E3E" w:rsidRPr="00291826">
              <w:rPr>
                <w:sz w:val="16"/>
                <w:szCs w:val="16"/>
                <w:lang w:val="en-GB"/>
              </w:rPr>
              <w:t xml:space="preserve"> </w:t>
            </w:r>
            <w:r w:rsidRPr="00291826">
              <w:rPr>
                <w:sz w:val="16"/>
                <w:szCs w:val="16"/>
                <w:lang w:val="en-GB"/>
              </w:rPr>
              <w:t>(2016)</w:t>
            </w:r>
            <w:r w:rsidRPr="00291826">
              <w:rPr>
                <w:lang w:val="en-GB"/>
              </w:rPr>
              <w:t xml:space="preserve"> </w:t>
            </w:r>
            <w:r w:rsidRPr="00291826">
              <w:rPr>
                <w:sz w:val="16"/>
                <w:szCs w:val="16"/>
                <w:lang w:val="en-GB"/>
              </w:rPr>
              <w:t xml:space="preserve">(M </w:t>
            </w:r>
            <w:r w:rsidR="00F81FCB" w:rsidRPr="00291826">
              <w:rPr>
                <w:sz w:val="16"/>
                <w:szCs w:val="16"/>
                <w:lang w:val="en-GB"/>
              </w:rPr>
              <w:t>2</w:t>
            </w:r>
            <w:r w:rsidR="00B85675" w:rsidRPr="00291826">
              <w:rPr>
                <w:sz w:val="16"/>
                <w:szCs w:val="16"/>
                <w:lang w:val="en-GB"/>
              </w:rPr>
              <w:t>,</w:t>
            </w:r>
            <w:r w:rsidR="00F81FCB" w:rsidRPr="00291826">
              <w:rPr>
                <w:sz w:val="16"/>
                <w:szCs w:val="16"/>
                <w:lang w:val="en-GB"/>
              </w:rPr>
              <w:t>461,</w:t>
            </w:r>
            <w:r w:rsidRPr="00291826">
              <w:rPr>
                <w:sz w:val="16"/>
                <w:szCs w:val="16"/>
                <w:lang w:val="en-GB"/>
              </w:rPr>
              <w:t xml:space="preserve"> F 1</w:t>
            </w:r>
            <w:r w:rsidR="00B85675" w:rsidRPr="00291826">
              <w:rPr>
                <w:sz w:val="16"/>
                <w:szCs w:val="16"/>
                <w:lang w:val="en-GB"/>
              </w:rPr>
              <w:t>,</w:t>
            </w:r>
            <w:r w:rsidRPr="00291826">
              <w:rPr>
                <w:sz w:val="16"/>
                <w:szCs w:val="16"/>
                <w:lang w:val="en-GB"/>
              </w:rPr>
              <w:t>104, Groups 154, Unknown 30)</w:t>
            </w:r>
          </w:p>
          <w:p w14:paraId="3D9ED526" w14:textId="6C478C41" w:rsidR="00477CC3" w:rsidRPr="00291826" w:rsidRDefault="00477CC3" w:rsidP="00425BCB">
            <w:pPr>
              <w:jc w:val="both"/>
              <w:rPr>
                <w:sz w:val="16"/>
                <w:szCs w:val="16"/>
                <w:lang w:val="en-GB"/>
              </w:rPr>
            </w:pPr>
            <w:r w:rsidRPr="00291826">
              <w:rPr>
                <w:b/>
                <w:sz w:val="16"/>
                <w:szCs w:val="16"/>
                <w:lang w:val="en-GB"/>
              </w:rPr>
              <w:t>Target:</w:t>
            </w:r>
            <w:r w:rsidRPr="00291826">
              <w:rPr>
                <w:sz w:val="16"/>
                <w:szCs w:val="16"/>
                <w:lang w:val="en-GB"/>
              </w:rPr>
              <w:t xml:space="preserve"> 3</w:t>
            </w:r>
            <w:r w:rsidR="00B85675" w:rsidRPr="00291826">
              <w:rPr>
                <w:sz w:val="16"/>
                <w:szCs w:val="16"/>
                <w:lang w:val="en-GB"/>
              </w:rPr>
              <w:t>,</w:t>
            </w:r>
            <w:r w:rsidRPr="00291826">
              <w:rPr>
                <w:sz w:val="16"/>
                <w:szCs w:val="16"/>
                <w:lang w:val="en-GB"/>
              </w:rPr>
              <w:t xml:space="preserve">000 (2023) (M </w:t>
            </w:r>
            <w:r w:rsidR="00F81FCB" w:rsidRPr="00291826">
              <w:rPr>
                <w:sz w:val="16"/>
                <w:szCs w:val="16"/>
                <w:lang w:val="en-GB"/>
              </w:rPr>
              <w:t>1</w:t>
            </w:r>
            <w:r w:rsidR="00B85675" w:rsidRPr="00291826">
              <w:rPr>
                <w:sz w:val="16"/>
                <w:szCs w:val="16"/>
                <w:lang w:val="en-GB"/>
              </w:rPr>
              <w:t>,</w:t>
            </w:r>
            <w:r w:rsidR="00F81FCB" w:rsidRPr="00291826">
              <w:rPr>
                <w:sz w:val="16"/>
                <w:szCs w:val="16"/>
                <w:lang w:val="en-GB"/>
              </w:rPr>
              <w:t>461,</w:t>
            </w:r>
            <w:r w:rsidRPr="00291826">
              <w:rPr>
                <w:sz w:val="16"/>
                <w:szCs w:val="16"/>
                <w:lang w:val="en-GB"/>
              </w:rPr>
              <w:t xml:space="preserve"> F 104, Groups 0, Unknown 0)</w:t>
            </w:r>
          </w:p>
          <w:p w14:paraId="1163F903" w14:textId="0B4231C5" w:rsidR="00477CC3" w:rsidRPr="00291826" w:rsidRDefault="00477CC3" w:rsidP="00425BCB">
            <w:pPr>
              <w:jc w:val="both"/>
              <w:rPr>
                <w:sz w:val="16"/>
                <w:szCs w:val="16"/>
                <w:lang w:val="en-GB"/>
              </w:rPr>
            </w:pPr>
            <w:r w:rsidRPr="00291826">
              <w:rPr>
                <w:b/>
                <w:sz w:val="16"/>
                <w:szCs w:val="16"/>
                <w:lang w:val="en-GB"/>
              </w:rPr>
              <w:t>Data source:</w:t>
            </w:r>
            <w:r w:rsidRPr="00291826">
              <w:rPr>
                <w:sz w:val="16"/>
                <w:szCs w:val="16"/>
                <w:lang w:val="en-GB"/>
              </w:rPr>
              <w:t xml:space="preserve"> Ombuds</w:t>
            </w:r>
            <w:r w:rsidR="00305560">
              <w:rPr>
                <w:sz w:val="16"/>
                <w:szCs w:val="16"/>
                <w:lang w:val="en-GB"/>
              </w:rPr>
              <w:t>perso</w:t>
            </w:r>
            <w:r w:rsidRPr="00291826">
              <w:rPr>
                <w:sz w:val="16"/>
                <w:szCs w:val="16"/>
                <w:lang w:val="en-GB"/>
              </w:rPr>
              <w:t>n</w:t>
            </w:r>
            <w:r w:rsidR="00B724E8" w:rsidRPr="00291826">
              <w:rPr>
                <w:sz w:val="16"/>
                <w:szCs w:val="16"/>
                <w:lang w:val="en-GB"/>
              </w:rPr>
              <w:t>’s annual report</w:t>
            </w:r>
          </w:p>
          <w:p w14:paraId="43549246" w14:textId="77777777" w:rsidR="00477CC3" w:rsidRPr="00291826" w:rsidRDefault="00477CC3" w:rsidP="00425BCB">
            <w:pPr>
              <w:jc w:val="both"/>
              <w:rPr>
                <w:sz w:val="16"/>
                <w:szCs w:val="16"/>
                <w:lang w:val="en-GB"/>
              </w:rPr>
            </w:pPr>
          </w:p>
          <w:p w14:paraId="1E7C6B63" w14:textId="4BD793CF" w:rsidR="00477CC3" w:rsidRPr="00291826" w:rsidRDefault="00477CC3" w:rsidP="00425BCB">
            <w:pPr>
              <w:jc w:val="both"/>
              <w:rPr>
                <w:b/>
                <w:sz w:val="16"/>
                <w:szCs w:val="16"/>
                <w:lang w:val="en-GB"/>
              </w:rPr>
            </w:pPr>
            <w:r w:rsidRPr="00291826">
              <w:rPr>
                <w:b/>
                <w:sz w:val="16"/>
                <w:szCs w:val="16"/>
                <w:lang w:val="en-GB"/>
              </w:rPr>
              <w:t>Output 3.2</w:t>
            </w:r>
            <w:r w:rsidR="00EF466A" w:rsidRPr="00291826">
              <w:rPr>
                <w:b/>
                <w:sz w:val="16"/>
                <w:szCs w:val="16"/>
                <w:lang w:val="en-GB"/>
              </w:rPr>
              <w:t>.</w:t>
            </w:r>
            <w:r w:rsidRPr="00291826">
              <w:rPr>
                <w:b/>
                <w:sz w:val="16"/>
                <w:szCs w:val="16"/>
                <w:lang w:val="en-GB"/>
              </w:rPr>
              <w:t xml:space="preserve"> </w:t>
            </w:r>
            <w:r w:rsidRPr="00291826">
              <w:rPr>
                <w:i/>
                <w:sz w:val="16"/>
                <w:szCs w:val="16"/>
                <w:lang w:val="en-GB"/>
              </w:rPr>
              <w:t xml:space="preserve">Capacities developed across the whole of </w:t>
            </w:r>
            <w:r w:rsidR="00B724E8" w:rsidRPr="00291826">
              <w:rPr>
                <w:i/>
                <w:sz w:val="16"/>
                <w:szCs w:val="16"/>
                <w:lang w:val="en-GB"/>
              </w:rPr>
              <w:t>G</w:t>
            </w:r>
            <w:r w:rsidRPr="00291826">
              <w:rPr>
                <w:i/>
                <w:sz w:val="16"/>
                <w:szCs w:val="16"/>
                <w:lang w:val="en-GB"/>
              </w:rPr>
              <w:t>overnment to integrate the 2030 Agenda</w:t>
            </w:r>
            <w:r w:rsidR="00B724E8" w:rsidRPr="00291826">
              <w:rPr>
                <w:i/>
                <w:sz w:val="16"/>
                <w:szCs w:val="16"/>
                <w:lang w:val="en-GB"/>
              </w:rPr>
              <w:t>,</w:t>
            </w:r>
            <w:r w:rsidRPr="00291826">
              <w:rPr>
                <w:i/>
                <w:sz w:val="16"/>
                <w:szCs w:val="16"/>
                <w:lang w:val="en-GB"/>
              </w:rPr>
              <w:t xml:space="preserve"> </w:t>
            </w:r>
            <w:r w:rsidR="002666BD" w:rsidRPr="00291826">
              <w:rPr>
                <w:i/>
                <w:sz w:val="16"/>
                <w:szCs w:val="16"/>
                <w:lang w:val="en-GB"/>
              </w:rPr>
              <w:t>especially gender equality</w:t>
            </w:r>
            <w:r w:rsidR="00B724E8" w:rsidRPr="00291826">
              <w:rPr>
                <w:i/>
                <w:sz w:val="16"/>
                <w:szCs w:val="16"/>
                <w:lang w:val="en-GB"/>
              </w:rPr>
              <w:t>,</w:t>
            </w:r>
            <w:r w:rsidR="002666BD" w:rsidRPr="00291826">
              <w:rPr>
                <w:i/>
                <w:sz w:val="16"/>
                <w:szCs w:val="16"/>
                <w:lang w:val="en-GB"/>
              </w:rPr>
              <w:t xml:space="preserve"> </w:t>
            </w:r>
            <w:r w:rsidRPr="00291826">
              <w:rPr>
                <w:i/>
                <w:sz w:val="16"/>
                <w:szCs w:val="16"/>
                <w:lang w:val="en-GB"/>
              </w:rPr>
              <w:t>in</w:t>
            </w:r>
            <w:r w:rsidR="00B724E8" w:rsidRPr="00291826">
              <w:rPr>
                <w:i/>
                <w:sz w:val="16"/>
                <w:szCs w:val="16"/>
                <w:lang w:val="en-GB"/>
              </w:rPr>
              <w:t>to</w:t>
            </w:r>
            <w:r w:rsidRPr="00291826">
              <w:rPr>
                <w:i/>
                <w:sz w:val="16"/>
                <w:szCs w:val="16"/>
                <w:lang w:val="en-GB"/>
              </w:rPr>
              <w:t xml:space="preserve"> development plans and budgets</w:t>
            </w:r>
          </w:p>
          <w:p w14:paraId="26307448" w14:textId="284E3CD3" w:rsidR="00477CC3" w:rsidRPr="00291826" w:rsidRDefault="00477CC3" w:rsidP="00425BCB">
            <w:pPr>
              <w:jc w:val="both"/>
              <w:rPr>
                <w:sz w:val="16"/>
                <w:szCs w:val="16"/>
                <w:lang w:val="en-GB"/>
              </w:rPr>
            </w:pPr>
            <w:r w:rsidRPr="00291826">
              <w:rPr>
                <w:b/>
                <w:sz w:val="16"/>
                <w:szCs w:val="16"/>
                <w:lang w:val="en-GB"/>
              </w:rPr>
              <w:t>Indicator 3.2.1</w:t>
            </w:r>
            <w:r w:rsidR="00EF466A" w:rsidRPr="00291826">
              <w:rPr>
                <w:b/>
                <w:sz w:val="16"/>
                <w:szCs w:val="16"/>
                <w:lang w:val="en-GB"/>
              </w:rPr>
              <w:t>.</w:t>
            </w:r>
            <w:r w:rsidRPr="00291826">
              <w:rPr>
                <w:b/>
                <w:sz w:val="16"/>
                <w:szCs w:val="16"/>
                <w:lang w:val="en-GB"/>
              </w:rPr>
              <w:t xml:space="preserve"> </w:t>
            </w:r>
            <w:r w:rsidR="00A4321A" w:rsidRPr="00291826">
              <w:rPr>
                <w:sz w:val="16"/>
                <w:szCs w:val="16"/>
                <w:lang w:val="en-GB"/>
              </w:rPr>
              <w:t>No.</w:t>
            </w:r>
            <w:r w:rsidRPr="00291826">
              <w:rPr>
                <w:sz w:val="16"/>
                <w:szCs w:val="16"/>
                <w:lang w:val="en-GB"/>
              </w:rPr>
              <w:t xml:space="preserve"> of sector plans and budgets at national and subnational levels that integrate the SDGs</w:t>
            </w:r>
          </w:p>
          <w:p w14:paraId="2BE9B44A" w14:textId="77777777" w:rsidR="00477CC3" w:rsidRPr="00291826" w:rsidRDefault="00477CC3" w:rsidP="00425BCB">
            <w:pPr>
              <w:jc w:val="both"/>
              <w:rPr>
                <w:sz w:val="16"/>
                <w:szCs w:val="16"/>
                <w:lang w:val="en-GB"/>
              </w:rPr>
            </w:pPr>
            <w:r w:rsidRPr="00291826">
              <w:rPr>
                <w:b/>
                <w:sz w:val="16"/>
                <w:szCs w:val="16"/>
                <w:lang w:val="en-GB"/>
              </w:rPr>
              <w:t>Baseline:</w:t>
            </w:r>
            <w:r w:rsidRPr="00291826">
              <w:rPr>
                <w:sz w:val="16"/>
                <w:szCs w:val="16"/>
                <w:lang w:val="en-GB"/>
              </w:rPr>
              <w:t xml:space="preserve"> 0 (2017)</w:t>
            </w:r>
          </w:p>
          <w:p w14:paraId="3FB65552" w14:textId="51551BB4" w:rsidR="00477CC3" w:rsidRPr="00291826" w:rsidRDefault="00477CC3" w:rsidP="00425BCB">
            <w:pPr>
              <w:jc w:val="both"/>
              <w:rPr>
                <w:sz w:val="16"/>
                <w:szCs w:val="16"/>
                <w:lang w:val="en-GB"/>
              </w:rPr>
            </w:pPr>
            <w:r w:rsidRPr="00291826">
              <w:rPr>
                <w:b/>
                <w:sz w:val="16"/>
                <w:szCs w:val="16"/>
                <w:lang w:val="en-GB"/>
              </w:rPr>
              <w:t>Target:</w:t>
            </w:r>
            <w:r w:rsidRPr="00291826">
              <w:rPr>
                <w:sz w:val="16"/>
                <w:szCs w:val="16"/>
                <w:lang w:val="en-GB"/>
              </w:rPr>
              <w:t xml:space="preserve"> </w:t>
            </w:r>
            <w:r w:rsidR="00F81FCB" w:rsidRPr="00291826">
              <w:rPr>
                <w:sz w:val="16"/>
                <w:szCs w:val="16"/>
                <w:lang w:val="en-GB"/>
              </w:rPr>
              <w:t>34 (2023) (O</w:t>
            </w:r>
            <w:r w:rsidR="003B33F5" w:rsidRPr="00291826">
              <w:rPr>
                <w:sz w:val="16"/>
                <w:szCs w:val="16"/>
                <w:lang w:val="en-GB"/>
              </w:rPr>
              <w:t>ffices</w:t>
            </w:r>
            <w:r w:rsidR="00EF466A" w:rsidRPr="00291826">
              <w:rPr>
                <w:sz w:val="16"/>
                <w:szCs w:val="16"/>
                <w:lang w:val="en-GB"/>
              </w:rPr>
              <w:t>,</w:t>
            </w:r>
            <w:r w:rsidRPr="00291826">
              <w:rPr>
                <w:sz w:val="16"/>
                <w:szCs w:val="16"/>
                <w:lang w:val="en-GB"/>
              </w:rPr>
              <w:t xml:space="preserve"> 3; </w:t>
            </w:r>
            <w:r w:rsidR="00F60A45" w:rsidRPr="00291826">
              <w:rPr>
                <w:sz w:val="16"/>
                <w:szCs w:val="16"/>
                <w:lang w:val="en-GB"/>
              </w:rPr>
              <w:t>m</w:t>
            </w:r>
            <w:r w:rsidR="003B33F5" w:rsidRPr="00291826">
              <w:rPr>
                <w:sz w:val="16"/>
                <w:szCs w:val="16"/>
                <w:lang w:val="en-GB"/>
              </w:rPr>
              <w:t>inistries</w:t>
            </w:r>
            <w:r w:rsidR="00EF466A" w:rsidRPr="00291826">
              <w:rPr>
                <w:sz w:val="16"/>
                <w:szCs w:val="16"/>
                <w:lang w:val="en-GB"/>
              </w:rPr>
              <w:t>,</w:t>
            </w:r>
            <w:r w:rsidRPr="00291826">
              <w:rPr>
                <w:sz w:val="16"/>
                <w:szCs w:val="16"/>
                <w:lang w:val="en-GB"/>
              </w:rPr>
              <w:t xml:space="preserve"> 23; </w:t>
            </w:r>
            <w:r w:rsidR="00F60A45" w:rsidRPr="00291826">
              <w:rPr>
                <w:sz w:val="16"/>
                <w:szCs w:val="16"/>
                <w:lang w:val="en-GB"/>
              </w:rPr>
              <w:t>a</w:t>
            </w:r>
            <w:r w:rsidR="003B33F5" w:rsidRPr="00291826">
              <w:rPr>
                <w:sz w:val="16"/>
                <w:szCs w:val="16"/>
                <w:lang w:val="en-GB"/>
              </w:rPr>
              <w:t>gencies</w:t>
            </w:r>
            <w:r w:rsidR="00EF466A" w:rsidRPr="00291826">
              <w:rPr>
                <w:sz w:val="16"/>
                <w:szCs w:val="16"/>
                <w:lang w:val="en-GB"/>
              </w:rPr>
              <w:t>,</w:t>
            </w:r>
            <w:r w:rsidR="00F81FCB" w:rsidRPr="00291826">
              <w:rPr>
                <w:sz w:val="16"/>
                <w:szCs w:val="16"/>
                <w:lang w:val="en-GB"/>
              </w:rPr>
              <w:t> 8</w:t>
            </w:r>
            <w:r w:rsidRPr="00291826">
              <w:rPr>
                <w:sz w:val="16"/>
                <w:szCs w:val="16"/>
                <w:lang w:val="en-GB"/>
              </w:rPr>
              <w:t>)</w:t>
            </w:r>
          </w:p>
          <w:p w14:paraId="50F40DD8" w14:textId="07C02A8D" w:rsidR="00477CC3" w:rsidRPr="006020CD" w:rsidRDefault="00477CC3" w:rsidP="00425BCB">
            <w:pPr>
              <w:jc w:val="both"/>
              <w:rPr>
                <w:b/>
                <w:sz w:val="16"/>
                <w:szCs w:val="16"/>
                <w:lang w:val="en-GB"/>
              </w:rPr>
            </w:pPr>
            <w:r w:rsidRPr="00291826">
              <w:rPr>
                <w:b/>
                <w:sz w:val="16"/>
                <w:szCs w:val="16"/>
                <w:lang w:val="en-GB"/>
              </w:rPr>
              <w:t>Data source</w:t>
            </w:r>
            <w:r w:rsidR="00291826">
              <w:rPr>
                <w:b/>
                <w:sz w:val="16"/>
                <w:szCs w:val="16"/>
                <w:lang w:val="en-GB"/>
              </w:rPr>
              <w:t>s</w:t>
            </w:r>
            <w:r w:rsidRPr="00291826">
              <w:rPr>
                <w:b/>
                <w:sz w:val="16"/>
                <w:szCs w:val="16"/>
                <w:lang w:val="en-GB"/>
              </w:rPr>
              <w:t>:</w:t>
            </w:r>
            <w:r w:rsidRPr="00291826">
              <w:rPr>
                <w:sz w:val="16"/>
                <w:szCs w:val="16"/>
                <w:lang w:val="en-GB"/>
              </w:rPr>
              <w:t xml:space="preserve"> National </w:t>
            </w:r>
            <w:r w:rsidR="00C769E2" w:rsidRPr="00291826">
              <w:rPr>
                <w:sz w:val="16"/>
                <w:szCs w:val="16"/>
                <w:lang w:val="en-GB"/>
              </w:rPr>
              <w:t>and</w:t>
            </w:r>
            <w:r w:rsidRPr="00291826">
              <w:rPr>
                <w:sz w:val="16"/>
                <w:szCs w:val="16"/>
                <w:lang w:val="en-GB"/>
              </w:rPr>
              <w:t xml:space="preserve"> </w:t>
            </w:r>
            <w:r w:rsidR="00C769E2" w:rsidRPr="00291826">
              <w:rPr>
                <w:sz w:val="16"/>
                <w:szCs w:val="16"/>
                <w:lang w:val="en-GB"/>
              </w:rPr>
              <w:t>s</w:t>
            </w:r>
            <w:r w:rsidRPr="00291826">
              <w:rPr>
                <w:sz w:val="16"/>
                <w:szCs w:val="16"/>
                <w:lang w:val="en-GB"/>
              </w:rPr>
              <w:t xml:space="preserve">ubnational </w:t>
            </w:r>
            <w:r w:rsidR="00C769E2" w:rsidRPr="00291826">
              <w:rPr>
                <w:sz w:val="16"/>
                <w:szCs w:val="16"/>
                <w:lang w:val="en-GB"/>
              </w:rPr>
              <w:t>b</w:t>
            </w:r>
            <w:r w:rsidRPr="00291826">
              <w:rPr>
                <w:sz w:val="16"/>
                <w:szCs w:val="16"/>
                <w:lang w:val="en-GB"/>
              </w:rPr>
              <w:t>udget</w:t>
            </w:r>
            <w:r w:rsidR="00C769E2" w:rsidRPr="00291826">
              <w:rPr>
                <w:sz w:val="16"/>
                <w:szCs w:val="16"/>
                <w:lang w:val="en-GB"/>
              </w:rPr>
              <w:t>s</w:t>
            </w:r>
            <w:r w:rsidR="00EF466A" w:rsidRPr="00291826">
              <w:rPr>
                <w:sz w:val="16"/>
                <w:szCs w:val="16"/>
                <w:lang w:val="en-GB"/>
              </w:rPr>
              <w:t>;</w:t>
            </w:r>
            <w:r w:rsidRPr="00291826">
              <w:rPr>
                <w:sz w:val="16"/>
                <w:szCs w:val="16"/>
                <w:lang w:val="en-GB"/>
              </w:rPr>
              <w:t xml:space="preserve"> </w:t>
            </w:r>
            <w:r w:rsidR="00C769E2" w:rsidRPr="00291826">
              <w:rPr>
                <w:sz w:val="16"/>
                <w:szCs w:val="16"/>
                <w:lang w:val="en-GB"/>
              </w:rPr>
              <w:t>s</w:t>
            </w:r>
            <w:r w:rsidRPr="00291826">
              <w:rPr>
                <w:sz w:val="16"/>
                <w:szCs w:val="16"/>
                <w:lang w:val="en-GB"/>
              </w:rPr>
              <w:t xml:space="preserve">ectoral </w:t>
            </w:r>
            <w:r w:rsidR="00C769E2" w:rsidRPr="00291826">
              <w:rPr>
                <w:sz w:val="16"/>
                <w:szCs w:val="16"/>
                <w:lang w:val="en-GB"/>
              </w:rPr>
              <w:t>p</w:t>
            </w:r>
            <w:r w:rsidRPr="00291826">
              <w:rPr>
                <w:sz w:val="16"/>
                <w:szCs w:val="16"/>
                <w:lang w:val="en-GB"/>
              </w:rPr>
              <w:t>la</w:t>
            </w:r>
            <w:r w:rsidRPr="006020CD">
              <w:rPr>
                <w:sz w:val="16"/>
                <w:szCs w:val="16"/>
                <w:lang w:val="en-GB"/>
              </w:rPr>
              <w:t>ns</w:t>
            </w:r>
            <w:r w:rsidR="00EF466A">
              <w:rPr>
                <w:sz w:val="16"/>
                <w:szCs w:val="16"/>
                <w:lang w:val="en-GB"/>
              </w:rPr>
              <w:t>;</w:t>
            </w:r>
            <w:r w:rsidRPr="006020CD">
              <w:rPr>
                <w:sz w:val="16"/>
                <w:szCs w:val="16"/>
                <w:lang w:val="en-GB"/>
              </w:rPr>
              <w:t xml:space="preserve"> </w:t>
            </w:r>
            <w:r w:rsidR="00EF466A">
              <w:rPr>
                <w:sz w:val="16"/>
                <w:szCs w:val="16"/>
                <w:lang w:val="en-GB"/>
              </w:rPr>
              <w:t>medium-term expenditure framework;</w:t>
            </w:r>
            <w:r w:rsidRPr="006020CD">
              <w:rPr>
                <w:sz w:val="16"/>
                <w:szCs w:val="16"/>
                <w:lang w:val="en-GB"/>
              </w:rPr>
              <w:t xml:space="preserve"> SDG </w:t>
            </w:r>
            <w:r w:rsidR="00C769E2">
              <w:rPr>
                <w:sz w:val="16"/>
                <w:szCs w:val="16"/>
                <w:lang w:val="en-GB"/>
              </w:rPr>
              <w:t>b</w:t>
            </w:r>
            <w:r w:rsidR="00F81FCB" w:rsidRPr="006020CD">
              <w:rPr>
                <w:sz w:val="16"/>
                <w:szCs w:val="16"/>
                <w:lang w:val="en-GB"/>
              </w:rPr>
              <w:t xml:space="preserve">aseline </w:t>
            </w:r>
            <w:r w:rsidR="00C769E2">
              <w:rPr>
                <w:sz w:val="16"/>
                <w:szCs w:val="16"/>
                <w:lang w:val="en-GB"/>
              </w:rPr>
              <w:t>i</w:t>
            </w:r>
            <w:r w:rsidR="00F81FCB" w:rsidRPr="006020CD">
              <w:rPr>
                <w:sz w:val="16"/>
                <w:szCs w:val="16"/>
                <w:lang w:val="en-GB"/>
              </w:rPr>
              <w:t>ndicator</w:t>
            </w:r>
            <w:r w:rsidRPr="006020CD">
              <w:rPr>
                <w:sz w:val="16"/>
                <w:szCs w:val="16"/>
                <w:lang w:val="en-GB"/>
              </w:rPr>
              <w:t xml:space="preserve"> </w:t>
            </w:r>
            <w:r w:rsidR="00C769E2">
              <w:rPr>
                <w:sz w:val="16"/>
                <w:szCs w:val="16"/>
                <w:lang w:val="en-GB"/>
              </w:rPr>
              <w:t>r</w:t>
            </w:r>
            <w:r w:rsidRPr="006020CD">
              <w:rPr>
                <w:sz w:val="16"/>
                <w:szCs w:val="16"/>
                <w:lang w:val="en-GB"/>
              </w:rPr>
              <w:t>eport</w:t>
            </w:r>
            <w:r w:rsidR="00EF466A">
              <w:rPr>
                <w:sz w:val="16"/>
                <w:szCs w:val="16"/>
                <w:lang w:val="en-GB"/>
              </w:rPr>
              <w:t xml:space="preserve"> (</w:t>
            </w:r>
            <w:r w:rsidR="00EF466A" w:rsidRPr="005E4C5B">
              <w:rPr>
                <w:sz w:val="16"/>
                <w:szCs w:val="16"/>
                <w:lang w:val="en-GB"/>
              </w:rPr>
              <w:t>UNDP</w:t>
            </w:r>
            <w:r w:rsidR="00EF466A">
              <w:rPr>
                <w:sz w:val="16"/>
                <w:szCs w:val="16"/>
                <w:lang w:val="en-GB"/>
              </w:rPr>
              <w:t>)</w:t>
            </w:r>
          </w:p>
          <w:p w14:paraId="3DC3F641" w14:textId="77777777" w:rsidR="00ED3F6E" w:rsidRPr="006020CD" w:rsidRDefault="00ED3F6E" w:rsidP="00425BCB">
            <w:pPr>
              <w:jc w:val="both"/>
              <w:rPr>
                <w:b/>
                <w:sz w:val="16"/>
                <w:szCs w:val="16"/>
                <w:lang w:val="en-GB"/>
              </w:rPr>
            </w:pPr>
          </w:p>
          <w:p w14:paraId="21CAECD6" w14:textId="2796F111" w:rsidR="00477CC3" w:rsidRPr="006020CD" w:rsidRDefault="00477CC3" w:rsidP="00425BCB">
            <w:pPr>
              <w:jc w:val="both"/>
              <w:rPr>
                <w:sz w:val="16"/>
                <w:szCs w:val="16"/>
                <w:lang w:val="en-GB"/>
              </w:rPr>
            </w:pPr>
            <w:r w:rsidRPr="006020CD">
              <w:rPr>
                <w:b/>
                <w:sz w:val="16"/>
                <w:szCs w:val="16"/>
                <w:lang w:val="en-GB"/>
              </w:rPr>
              <w:t>Indicator 3.2.2</w:t>
            </w:r>
            <w:r w:rsidR="00EF466A">
              <w:rPr>
                <w:b/>
                <w:sz w:val="16"/>
                <w:szCs w:val="16"/>
                <w:lang w:val="en-GB"/>
              </w:rPr>
              <w:t>.</w:t>
            </w:r>
            <w:r w:rsidRPr="006020CD">
              <w:rPr>
                <w:b/>
                <w:sz w:val="16"/>
                <w:szCs w:val="16"/>
                <w:lang w:val="en-GB"/>
              </w:rPr>
              <w:t xml:space="preserve"> </w:t>
            </w:r>
            <w:r w:rsidR="00F81FCB" w:rsidRPr="006020CD">
              <w:rPr>
                <w:sz w:val="16"/>
                <w:szCs w:val="16"/>
                <w:lang w:val="en-GB"/>
              </w:rPr>
              <w:t>Percentage</w:t>
            </w:r>
            <w:r w:rsidRPr="006020CD">
              <w:rPr>
                <w:sz w:val="16"/>
                <w:szCs w:val="16"/>
                <w:lang w:val="en-GB"/>
              </w:rPr>
              <w:t xml:space="preserve"> of sectors with data collection/analysis mechanisms providing comprehensive disaggregated data to monitor progress towards the SDGs</w:t>
            </w:r>
            <w:r w:rsidR="00A72B05" w:rsidRPr="006020CD">
              <w:rPr>
                <w:sz w:val="16"/>
                <w:szCs w:val="16"/>
                <w:lang w:val="en-GB"/>
              </w:rPr>
              <w:t xml:space="preserve"> (S</w:t>
            </w:r>
            <w:r w:rsidR="00C769E2">
              <w:rPr>
                <w:sz w:val="16"/>
                <w:szCs w:val="16"/>
                <w:lang w:val="en-GB"/>
              </w:rPr>
              <w:t>trategic Plan</w:t>
            </w:r>
            <w:r w:rsidR="00A72B05" w:rsidRPr="006020CD">
              <w:rPr>
                <w:sz w:val="16"/>
                <w:szCs w:val="16"/>
                <w:lang w:val="en-GB"/>
              </w:rPr>
              <w:t xml:space="preserve"> IRRF </w:t>
            </w:r>
            <w:r w:rsidR="00C769E2">
              <w:rPr>
                <w:sz w:val="16"/>
                <w:szCs w:val="16"/>
                <w:lang w:val="en-GB"/>
              </w:rPr>
              <w:t>o</w:t>
            </w:r>
            <w:r w:rsidR="00A72B05" w:rsidRPr="006020CD">
              <w:rPr>
                <w:sz w:val="16"/>
                <w:szCs w:val="16"/>
                <w:lang w:val="en-GB"/>
              </w:rPr>
              <w:t xml:space="preserve">utput </w:t>
            </w:r>
            <w:r w:rsidR="00C769E2">
              <w:rPr>
                <w:sz w:val="16"/>
                <w:szCs w:val="16"/>
                <w:lang w:val="en-GB"/>
              </w:rPr>
              <w:t>i</w:t>
            </w:r>
            <w:r w:rsidR="00A72B05" w:rsidRPr="006020CD">
              <w:rPr>
                <w:sz w:val="16"/>
                <w:szCs w:val="16"/>
                <w:lang w:val="en-GB"/>
              </w:rPr>
              <w:t>ndicator 1.1.1</w:t>
            </w:r>
            <w:r w:rsidR="00113322" w:rsidRPr="006020CD">
              <w:rPr>
                <w:sz w:val="16"/>
                <w:szCs w:val="16"/>
                <w:lang w:val="en-GB"/>
              </w:rPr>
              <w:t>.3</w:t>
            </w:r>
            <w:r w:rsidR="00A72B05" w:rsidRPr="006020CD">
              <w:rPr>
                <w:sz w:val="16"/>
                <w:szCs w:val="16"/>
                <w:lang w:val="en-GB"/>
              </w:rPr>
              <w:t xml:space="preserve">)  </w:t>
            </w:r>
          </w:p>
          <w:p w14:paraId="00ECA3B0" w14:textId="77777777" w:rsidR="00477CC3" w:rsidRPr="006020CD" w:rsidRDefault="00477CC3" w:rsidP="00425BCB">
            <w:pPr>
              <w:jc w:val="both"/>
              <w:rPr>
                <w:sz w:val="16"/>
                <w:szCs w:val="16"/>
                <w:lang w:val="en-GB"/>
              </w:rPr>
            </w:pPr>
            <w:r w:rsidRPr="006020CD">
              <w:rPr>
                <w:b/>
                <w:sz w:val="16"/>
                <w:szCs w:val="16"/>
                <w:lang w:val="en-GB"/>
              </w:rPr>
              <w:t>Baseline:</w:t>
            </w:r>
            <w:r w:rsidR="00F81FCB" w:rsidRPr="006020CD">
              <w:rPr>
                <w:b/>
                <w:sz w:val="16"/>
                <w:szCs w:val="16"/>
                <w:lang w:val="en-GB"/>
              </w:rPr>
              <w:t xml:space="preserve"> </w:t>
            </w:r>
            <w:r w:rsidR="00F81FCB" w:rsidRPr="006020CD">
              <w:rPr>
                <w:sz w:val="16"/>
                <w:szCs w:val="16"/>
                <w:lang w:val="en-GB"/>
              </w:rPr>
              <w:t>26%</w:t>
            </w:r>
            <w:r w:rsidRPr="006020CD">
              <w:rPr>
                <w:sz w:val="16"/>
                <w:szCs w:val="16"/>
                <w:lang w:val="en-GB"/>
              </w:rPr>
              <w:t xml:space="preserve"> (2017)</w:t>
            </w:r>
          </w:p>
          <w:p w14:paraId="11505787" w14:textId="77777777" w:rsidR="00477CC3" w:rsidRPr="006020CD" w:rsidRDefault="00477CC3" w:rsidP="00425BCB">
            <w:pPr>
              <w:jc w:val="both"/>
              <w:rPr>
                <w:sz w:val="16"/>
                <w:szCs w:val="16"/>
                <w:lang w:val="en-GB"/>
              </w:rPr>
            </w:pPr>
            <w:r w:rsidRPr="006020CD">
              <w:rPr>
                <w:b/>
                <w:sz w:val="16"/>
                <w:szCs w:val="16"/>
                <w:lang w:val="en-GB"/>
              </w:rPr>
              <w:t>Target:</w:t>
            </w:r>
            <w:r w:rsidRPr="006020CD">
              <w:rPr>
                <w:sz w:val="16"/>
                <w:szCs w:val="16"/>
                <w:lang w:val="en-GB"/>
              </w:rPr>
              <w:t xml:space="preserve"> </w:t>
            </w:r>
            <w:r w:rsidR="00F81FCB" w:rsidRPr="006020CD">
              <w:rPr>
                <w:sz w:val="16"/>
                <w:szCs w:val="16"/>
                <w:lang w:val="en-GB"/>
              </w:rPr>
              <w:t xml:space="preserve">100% </w:t>
            </w:r>
            <w:r w:rsidRPr="006020CD">
              <w:rPr>
                <w:sz w:val="16"/>
                <w:szCs w:val="16"/>
                <w:lang w:val="en-GB"/>
              </w:rPr>
              <w:t>(2023)</w:t>
            </w:r>
          </w:p>
          <w:p w14:paraId="523A9F8C" w14:textId="763FC6F2" w:rsidR="00477CC3" w:rsidRPr="006020CD" w:rsidRDefault="00477CC3" w:rsidP="002B5082">
            <w:pPr>
              <w:jc w:val="both"/>
              <w:rPr>
                <w:b/>
                <w:sz w:val="16"/>
                <w:szCs w:val="16"/>
                <w:lang w:val="en-GB"/>
              </w:rPr>
            </w:pPr>
            <w:r w:rsidRPr="006020CD">
              <w:rPr>
                <w:b/>
                <w:sz w:val="16"/>
                <w:szCs w:val="16"/>
                <w:lang w:val="en-GB"/>
              </w:rPr>
              <w:t>Data source</w:t>
            </w:r>
            <w:r w:rsidR="00291826">
              <w:rPr>
                <w:b/>
                <w:sz w:val="16"/>
                <w:szCs w:val="16"/>
                <w:lang w:val="en-GB"/>
              </w:rPr>
              <w:t>s</w:t>
            </w:r>
            <w:r w:rsidRPr="006020CD">
              <w:rPr>
                <w:b/>
                <w:sz w:val="16"/>
                <w:szCs w:val="16"/>
                <w:lang w:val="en-GB"/>
              </w:rPr>
              <w:t>:</w:t>
            </w:r>
            <w:r w:rsidRPr="006020CD">
              <w:rPr>
                <w:sz w:val="16"/>
                <w:szCs w:val="16"/>
                <w:lang w:val="en-GB"/>
              </w:rPr>
              <w:t xml:space="preserve"> </w:t>
            </w:r>
            <w:r w:rsidR="002B5082">
              <w:rPr>
                <w:sz w:val="16"/>
                <w:szCs w:val="16"/>
                <w:lang w:val="en-GB"/>
              </w:rPr>
              <w:t>National Planning Commission</w:t>
            </w:r>
            <w:r w:rsidR="002B5082" w:rsidRPr="006020CD">
              <w:rPr>
                <w:sz w:val="16"/>
                <w:szCs w:val="16"/>
                <w:lang w:val="en-GB"/>
              </w:rPr>
              <w:t xml:space="preserve"> </w:t>
            </w:r>
            <w:r w:rsidR="00C769E2">
              <w:rPr>
                <w:sz w:val="16"/>
                <w:szCs w:val="16"/>
                <w:lang w:val="en-GB"/>
              </w:rPr>
              <w:t>and</w:t>
            </w:r>
            <w:r w:rsidR="002B5082">
              <w:rPr>
                <w:sz w:val="16"/>
                <w:szCs w:val="16"/>
                <w:lang w:val="en-GB"/>
              </w:rPr>
              <w:t xml:space="preserve"> National Statistics Agency annual report </w:t>
            </w:r>
          </w:p>
        </w:tc>
        <w:tc>
          <w:tcPr>
            <w:tcW w:w="586" w:type="pct"/>
          </w:tcPr>
          <w:p w14:paraId="2E07AA78" w14:textId="73C023A6" w:rsidR="00477CC3" w:rsidRPr="006020CD" w:rsidRDefault="00752E3E" w:rsidP="00425BCB">
            <w:pPr>
              <w:tabs>
                <w:tab w:val="left" w:pos="8789"/>
              </w:tabs>
              <w:rPr>
                <w:iCs/>
                <w:sz w:val="16"/>
                <w:szCs w:val="16"/>
                <w:lang w:val="en-GB"/>
              </w:rPr>
            </w:pPr>
            <w:r>
              <w:rPr>
                <w:iCs/>
                <w:sz w:val="16"/>
                <w:szCs w:val="16"/>
                <w:lang w:val="en-GB"/>
              </w:rPr>
              <w:lastRenderedPageBreak/>
              <w:t>Anti-Corruption Commission (</w:t>
            </w:r>
            <w:r w:rsidR="00477CC3" w:rsidRPr="006020CD">
              <w:rPr>
                <w:iCs/>
                <w:sz w:val="16"/>
                <w:szCs w:val="16"/>
                <w:lang w:val="en-GB"/>
              </w:rPr>
              <w:t>ACC</w:t>
            </w:r>
            <w:r>
              <w:rPr>
                <w:iCs/>
                <w:sz w:val="16"/>
                <w:szCs w:val="16"/>
                <w:lang w:val="en-GB"/>
              </w:rPr>
              <w:t>)</w:t>
            </w:r>
          </w:p>
          <w:p w14:paraId="77238F43" w14:textId="77777777" w:rsidR="00477CC3" w:rsidRPr="006020CD" w:rsidRDefault="00477CC3" w:rsidP="00425BCB">
            <w:pPr>
              <w:tabs>
                <w:tab w:val="left" w:pos="8789"/>
              </w:tabs>
              <w:rPr>
                <w:iCs/>
                <w:sz w:val="16"/>
                <w:szCs w:val="16"/>
                <w:lang w:val="en-GB"/>
              </w:rPr>
            </w:pPr>
            <w:r w:rsidRPr="006020CD">
              <w:rPr>
                <w:iCs/>
                <w:sz w:val="16"/>
                <w:szCs w:val="16"/>
                <w:lang w:val="en-GB"/>
              </w:rPr>
              <w:t>Parliament</w:t>
            </w:r>
          </w:p>
          <w:p w14:paraId="2A3BFD18" w14:textId="77777777" w:rsidR="00477CC3" w:rsidRPr="006020CD" w:rsidRDefault="00477CC3" w:rsidP="00425BCB">
            <w:pPr>
              <w:tabs>
                <w:tab w:val="left" w:pos="8789"/>
              </w:tabs>
              <w:rPr>
                <w:iCs/>
                <w:sz w:val="16"/>
                <w:szCs w:val="16"/>
                <w:lang w:val="en-GB"/>
              </w:rPr>
            </w:pPr>
            <w:r w:rsidRPr="006020CD">
              <w:rPr>
                <w:iCs/>
                <w:sz w:val="16"/>
                <w:szCs w:val="16"/>
                <w:lang w:val="en-GB"/>
              </w:rPr>
              <w:t>OPM</w:t>
            </w:r>
          </w:p>
          <w:p w14:paraId="5A695004" w14:textId="77777777" w:rsidR="00477CC3" w:rsidRPr="006020CD" w:rsidRDefault="00477CC3" w:rsidP="00425BCB">
            <w:pPr>
              <w:tabs>
                <w:tab w:val="left" w:pos="8789"/>
              </w:tabs>
              <w:rPr>
                <w:iCs/>
                <w:sz w:val="16"/>
                <w:szCs w:val="16"/>
                <w:lang w:val="en-GB"/>
              </w:rPr>
            </w:pPr>
            <w:r w:rsidRPr="006020CD">
              <w:rPr>
                <w:iCs/>
                <w:sz w:val="16"/>
                <w:szCs w:val="16"/>
                <w:lang w:val="en-GB"/>
              </w:rPr>
              <w:t>MOJ</w:t>
            </w:r>
          </w:p>
          <w:p w14:paraId="152FA28A" w14:textId="77777777" w:rsidR="00477CC3" w:rsidRPr="006020CD" w:rsidRDefault="00477CC3" w:rsidP="00425BCB">
            <w:pPr>
              <w:tabs>
                <w:tab w:val="left" w:pos="8789"/>
              </w:tabs>
              <w:rPr>
                <w:iCs/>
                <w:sz w:val="16"/>
                <w:szCs w:val="16"/>
                <w:lang w:val="en-GB"/>
              </w:rPr>
            </w:pPr>
            <w:r w:rsidRPr="006020CD">
              <w:rPr>
                <w:iCs/>
                <w:sz w:val="16"/>
                <w:szCs w:val="16"/>
                <w:lang w:val="en-GB"/>
              </w:rPr>
              <w:t>Ombudsperson</w:t>
            </w:r>
          </w:p>
          <w:p w14:paraId="5F7B4FFD" w14:textId="77777777" w:rsidR="00477CC3" w:rsidRPr="006020CD" w:rsidRDefault="00477CC3" w:rsidP="00425BCB">
            <w:pPr>
              <w:tabs>
                <w:tab w:val="left" w:pos="8789"/>
              </w:tabs>
              <w:rPr>
                <w:iCs/>
                <w:sz w:val="16"/>
                <w:szCs w:val="16"/>
                <w:lang w:val="en-GB"/>
              </w:rPr>
            </w:pPr>
            <w:r w:rsidRPr="006020CD">
              <w:rPr>
                <w:iCs/>
                <w:sz w:val="16"/>
                <w:szCs w:val="16"/>
                <w:lang w:val="en-GB"/>
              </w:rPr>
              <w:t>MPESW</w:t>
            </w:r>
          </w:p>
          <w:p w14:paraId="18B87E2B" w14:textId="77777777" w:rsidR="00477CC3" w:rsidRPr="006020CD" w:rsidRDefault="00477CC3" w:rsidP="00425BCB">
            <w:pPr>
              <w:tabs>
                <w:tab w:val="left" w:pos="8789"/>
              </w:tabs>
              <w:rPr>
                <w:iCs/>
                <w:sz w:val="16"/>
                <w:szCs w:val="16"/>
                <w:lang w:val="en-GB"/>
              </w:rPr>
            </w:pPr>
            <w:r w:rsidRPr="006020CD">
              <w:rPr>
                <w:iCs/>
                <w:sz w:val="16"/>
                <w:szCs w:val="16"/>
                <w:lang w:val="en-GB"/>
              </w:rPr>
              <w:t>MGECW</w:t>
            </w:r>
          </w:p>
          <w:p w14:paraId="78CD089E" w14:textId="77777777" w:rsidR="00477CC3" w:rsidRPr="006020CD" w:rsidRDefault="00477CC3" w:rsidP="00425BCB">
            <w:pPr>
              <w:tabs>
                <w:tab w:val="left" w:pos="8789"/>
              </w:tabs>
              <w:rPr>
                <w:iCs/>
                <w:sz w:val="16"/>
                <w:szCs w:val="16"/>
                <w:lang w:val="en-GB"/>
              </w:rPr>
            </w:pPr>
            <w:r w:rsidRPr="006020CD">
              <w:rPr>
                <w:iCs/>
                <w:sz w:val="16"/>
                <w:szCs w:val="16"/>
                <w:lang w:val="en-GB"/>
              </w:rPr>
              <w:t>MITSMED</w:t>
            </w:r>
          </w:p>
          <w:p w14:paraId="6CD07CCC" w14:textId="7A8BA946" w:rsidR="00477CC3" w:rsidRPr="006020CD" w:rsidRDefault="004534C2" w:rsidP="00425BCB">
            <w:pPr>
              <w:tabs>
                <w:tab w:val="left" w:pos="8789"/>
              </w:tabs>
              <w:rPr>
                <w:iCs/>
                <w:sz w:val="16"/>
                <w:szCs w:val="16"/>
                <w:lang w:val="en-GB"/>
              </w:rPr>
            </w:pPr>
            <w:r w:rsidRPr="009D1DD2">
              <w:rPr>
                <w:iCs/>
                <w:sz w:val="16"/>
                <w:szCs w:val="16"/>
                <w:lang w:val="en-GB"/>
              </w:rPr>
              <w:t>M</w:t>
            </w:r>
            <w:r>
              <w:rPr>
                <w:iCs/>
                <w:sz w:val="16"/>
                <w:szCs w:val="16"/>
                <w:lang w:val="en-GB"/>
              </w:rPr>
              <w:t>O</w:t>
            </w:r>
            <w:r w:rsidRPr="009D1DD2">
              <w:rPr>
                <w:iCs/>
                <w:sz w:val="16"/>
                <w:szCs w:val="16"/>
                <w:lang w:val="en-GB"/>
              </w:rPr>
              <w:t>F</w:t>
            </w:r>
          </w:p>
          <w:p w14:paraId="1550916D" w14:textId="5AE9DB10" w:rsidR="00477CC3" w:rsidRPr="006020CD" w:rsidRDefault="00477CC3" w:rsidP="00425BCB">
            <w:pPr>
              <w:tabs>
                <w:tab w:val="right" w:pos="2987"/>
              </w:tabs>
              <w:rPr>
                <w:iCs/>
                <w:sz w:val="16"/>
                <w:szCs w:val="16"/>
                <w:lang w:val="en-GB"/>
              </w:rPr>
            </w:pPr>
            <w:r w:rsidRPr="006020CD">
              <w:rPr>
                <w:iCs/>
                <w:sz w:val="16"/>
                <w:szCs w:val="16"/>
                <w:lang w:val="en-GB"/>
              </w:rPr>
              <w:t>NSA</w:t>
            </w:r>
          </w:p>
          <w:p w14:paraId="775197C4" w14:textId="58590C46" w:rsidR="00CE20FF" w:rsidRPr="006020CD" w:rsidRDefault="004361A3" w:rsidP="00425BCB">
            <w:pPr>
              <w:tabs>
                <w:tab w:val="left" w:pos="8789"/>
              </w:tabs>
              <w:rPr>
                <w:iCs/>
                <w:sz w:val="16"/>
                <w:szCs w:val="16"/>
                <w:lang w:val="en-GB"/>
              </w:rPr>
            </w:pPr>
            <w:r w:rsidRPr="004361A3">
              <w:rPr>
                <w:sz w:val="16"/>
                <w:szCs w:val="16"/>
                <w:lang w:val="en-GB"/>
              </w:rPr>
              <w:t>Directorate</w:t>
            </w:r>
            <w:r w:rsidR="00071794">
              <w:rPr>
                <w:sz w:val="16"/>
                <w:szCs w:val="16"/>
                <w:lang w:val="en-GB"/>
              </w:rPr>
              <w:t xml:space="preserve"> of</w:t>
            </w:r>
            <w:r w:rsidRPr="004361A3">
              <w:rPr>
                <w:sz w:val="16"/>
                <w:szCs w:val="16"/>
                <w:lang w:val="en-GB"/>
              </w:rPr>
              <w:t xml:space="preserve"> Public Servic</w:t>
            </w:r>
            <w:r w:rsidR="00FE4011">
              <w:rPr>
                <w:sz w:val="16"/>
                <w:szCs w:val="16"/>
                <w:lang w:val="en-GB"/>
              </w:rPr>
              <w:t>e Innovation a</w:t>
            </w:r>
            <w:r>
              <w:rPr>
                <w:sz w:val="16"/>
                <w:szCs w:val="16"/>
                <w:lang w:val="en-GB"/>
              </w:rPr>
              <w:t>nd Reform (DPSIR)</w:t>
            </w:r>
            <w:r w:rsidRPr="004361A3">
              <w:rPr>
                <w:sz w:val="16"/>
                <w:szCs w:val="16"/>
                <w:lang w:val="en-GB"/>
              </w:rPr>
              <w:t xml:space="preserve"> </w:t>
            </w:r>
            <w:r w:rsidR="00CE20FF" w:rsidRPr="006020CD">
              <w:rPr>
                <w:iCs/>
                <w:sz w:val="16"/>
                <w:szCs w:val="16"/>
                <w:lang w:val="en-GB"/>
              </w:rPr>
              <w:t>UN</w:t>
            </w:r>
            <w:r w:rsidR="00752E3E">
              <w:rPr>
                <w:iCs/>
                <w:sz w:val="16"/>
                <w:szCs w:val="16"/>
                <w:lang w:val="en-GB"/>
              </w:rPr>
              <w:t>-</w:t>
            </w:r>
            <w:r w:rsidR="00CE20FF" w:rsidRPr="006020CD">
              <w:rPr>
                <w:iCs/>
                <w:sz w:val="16"/>
                <w:szCs w:val="16"/>
                <w:lang w:val="en-GB"/>
              </w:rPr>
              <w:t>Women</w:t>
            </w:r>
          </w:p>
          <w:p w14:paraId="0393C70C" w14:textId="77777777" w:rsidR="00CE20FF" w:rsidRPr="006020CD" w:rsidRDefault="00CE20FF" w:rsidP="00CE20FF">
            <w:pPr>
              <w:tabs>
                <w:tab w:val="left" w:pos="8789"/>
              </w:tabs>
              <w:rPr>
                <w:iCs/>
                <w:sz w:val="16"/>
                <w:szCs w:val="16"/>
                <w:lang w:val="en-GB"/>
              </w:rPr>
            </w:pPr>
            <w:r w:rsidRPr="006020CD">
              <w:rPr>
                <w:iCs/>
                <w:sz w:val="16"/>
                <w:szCs w:val="16"/>
                <w:lang w:val="en-GB"/>
              </w:rPr>
              <w:t>UNFPA</w:t>
            </w:r>
          </w:p>
          <w:p w14:paraId="22919BAA" w14:textId="619BE977" w:rsidR="00CE20FF" w:rsidRPr="006020CD" w:rsidRDefault="00CE20FF" w:rsidP="00425BCB">
            <w:pPr>
              <w:tabs>
                <w:tab w:val="left" w:pos="8789"/>
              </w:tabs>
              <w:rPr>
                <w:iCs/>
                <w:sz w:val="16"/>
                <w:szCs w:val="16"/>
                <w:lang w:val="en-GB"/>
              </w:rPr>
            </w:pPr>
            <w:r w:rsidRPr="006020CD">
              <w:rPr>
                <w:iCs/>
                <w:sz w:val="16"/>
                <w:szCs w:val="16"/>
                <w:lang w:val="en-GB"/>
              </w:rPr>
              <w:lastRenderedPageBreak/>
              <w:t>WFP</w:t>
            </w:r>
          </w:p>
          <w:p w14:paraId="6F91667C" w14:textId="69788D85" w:rsidR="00CE20FF" w:rsidRPr="006020CD" w:rsidRDefault="00CE20FF" w:rsidP="00425BCB">
            <w:pPr>
              <w:tabs>
                <w:tab w:val="left" w:pos="8789"/>
              </w:tabs>
              <w:rPr>
                <w:iCs/>
                <w:sz w:val="16"/>
                <w:szCs w:val="16"/>
                <w:lang w:val="en-GB"/>
              </w:rPr>
            </w:pPr>
            <w:r w:rsidRPr="006020CD">
              <w:rPr>
                <w:iCs/>
                <w:sz w:val="16"/>
                <w:szCs w:val="16"/>
                <w:lang w:val="en-GB"/>
              </w:rPr>
              <w:t>FAO</w:t>
            </w:r>
          </w:p>
          <w:p w14:paraId="4EE7CB0D" w14:textId="16E08B8F" w:rsidR="00CE20FF" w:rsidRPr="006020CD" w:rsidRDefault="00CE20FF" w:rsidP="00425BCB">
            <w:pPr>
              <w:tabs>
                <w:tab w:val="left" w:pos="8789"/>
              </w:tabs>
              <w:rPr>
                <w:iCs/>
                <w:sz w:val="16"/>
                <w:szCs w:val="16"/>
                <w:lang w:val="en-GB"/>
              </w:rPr>
            </w:pPr>
            <w:r w:rsidRPr="006020CD">
              <w:rPr>
                <w:iCs/>
                <w:sz w:val="16"/>
                <w:szCs w:val="16"/>
                <w:lang w:val="en-GB"/>
              </w:rPr>
              <w:t>WHO</w:t>
            </w:r>
          </w:p>
        </w:tc>
        <w:tc>
          <w:tcPr>
            <w:tcW w:w="459" w:type="pct"/>
            <w:tcMar>
              <w:top w:w="15" w:type="dxa"/>
              <w:left w:w="108" w:type="dxa"/>
              <w:bottom w:w="0" w:type="dxa"/>
              <w:right w:w="108" w:type="dxa"/>
            </w:tcMar>
          </w:tcPr>
          <w:p w14:paraId="2D65A45D" w14:textId="48C46811" w:rsidR="00477CC3" w:rsidRPr="006020CD" w:rsidRDefault="00477CC3" w:rsidP="00425BCB">
            <w:pPr>
              <w:tabs>
                <w:tab w:val="left" w:pos="8789"/>
              </w:tabs>
              <w:rPr>
                <w:b/>
                <w:sz w:val="16"/>
                <w:szCs w:val="16"/>
                <w:lang w:val="en-GB"/>
              </w:rPr>
            </w:pPr>
            <w:r w:rsidRPr="006020CD">
              <w:rPr>
                <w:b/>
                <w:sz w:val="16"/>
                <w:szCs w:val="16"/>
                <w:lang w:val="en-GB"/>
              </w:rPr>
              <w:lastRenderedPageBreak/>
              <w:t xml:space="preserve">Regular: </w:t>
            </w:r>
            <w:r w:rsidR="00B85675" w:rsidRPr="006020CD">
              <w:rPr>
                <w:sz w:val="16"/>
                <w:szCs w:val="16"/>
                <w:lang w:val="en-GB"/>
              </w:rPr>
              <w:t>946</w:t>
            </w:r>
          </w:p>
          <w:p w14:paraId="2F5F5A2E" w14:textId="77777777" w:rsidR="00477CC3" w:rsidRPr="006020CD" w:rsidRDefault="00477CC3" w:rsidP="00425BCB">
            <w:pPr>
              <w:tabs>
                <w:tab w:val="left" w:pos="8789"/>
              </w:tabs>
              <w:rPr>
                <w:b/>
                <w:sz w:val="16"/>
                <w:szCs w:val="16"/>
                <w:lang w:val="en-GB"/>
              </w:rPr>
            </w:pPr>
          </w:p>
          <w:p w14:paraId="78135ABE" w14:textId="6C948047" w:rsidR="00477CC3" w:rsidRPr="006020CD" w:rsidRDefault="00477CC3" w:rsidP="00425BCB">
            <w:pPr>
              <w:tabs>
                <w:tab w:val="left" w:pos="8789"/>
              </w:tabs>
              <w:rPr>
                <w:sz w:val="16"/>
                <w:szCs w:val="16"/>
                <w:lang w:val="en-GB"/>
              </w:rPr>
            </w:pPr>
            <w:r w:rsidRPr="006020CD">
              <w:rPr>
                <w:b/>
                <w:sz w:val="16"/>
                <w:szCs w:val="16"/>
                <w:lang w:val="en-GB"/>
              </w:rPr>
              <w:t xml:space="preserve">Other: </w:t>
            </w:r>
            <w:r w:rsidR="00B85675" w:rsidRPr="006020CD">
              <w:rPr>
                <w:sz w:val="16"/>
                <w:szCs w:val="16"/>
                <w:lang w:val="en-GB"/>
              </w:rPr>
              <w:t>3,612</w:t>
            </w:r>
          </w:p>
          <w:p w14:paraId="198D2888" w14:textId="77777777" w:rsidR="002D11F3" w:rsidRPr="006020CD" w:rsidRDefault="002D11F3" w:rsidP="00425BCB">
            <w:pPr>
              <w:tabs>
                <w:tab w:val="left" w:pos="8789"/>
              </w:tabs>
              <w:rPr>
                <w:sz w:val="16"/>
                <w:szCs w:val="16"/>
                <w:lang w:val="en-GB"/>
              </w:rPr>
            </w:pPr>
          </w:p>
          <w:p w14:paraId="700D8652" w14:textId="77777777" w:rsidR="00477CC3" w:rsidRPr="006020CD" w:rsidRDefault="00477CC3" w:rsidP="00B85675">
            <w:pPr>
              <w:tabs>
                <w:tab w:val="left" w:pos="8789"/>
              </w:tabs>
              <w:rPr>
                <w:b/>
                <w:sz w:val="16"/>
                <w:szCs w:val="16"/>
                <w:lang w:val="en-GB"/>
              </w:rPr>
            </w:pPr>
          </w:p>
        </w:tc>
      </w:tr>
    </w:tbl>
    <w:p w14:paraId="31967E65" w14:textId="77777777" w:rsidR="00290637" w:rsidRDefault="00290637" w:rsidP="00B362C0">
      <w:pPr>
        <w:jc w:val="center"/>
        <w:rPr>
          <w:lang w:val="en-GB"/>
        </w:rPr>
      </w:pPr>
    </w:p>
    <w:p w14:paraId="2AD7FA00" w14:textId="7122720C" w:rsidR="001E07B1" w:rsidRPr="006020CD" w:rsidRDefault="00460ECE" w:rsidP="00B362C0">
      <w:pPr>
        <w:jc w:val="center"/>
        <w:rPr>
          <w:lang w:val="en-GB"/>
        </w:rPr>
      </w:pPr>
      <w:r>
        <w:rPr>
          <w:noProof/>
          <w:color w:val="000000"/>
        </w:rPr>
        <w:drawing>
          <wp:inline distT="0" distB="0" distL="0" distR="0" wp14:anchorId="517E374F" wp14:editId="721CC2C3">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1E07B1" w:rsidRPr="006020CD" w:rsidSect="00740581">
      <w:headerReference w:type="even" r:id="rId19"/>
      <w:headerReference w:type="default" r:id="rId20"/>
      <w:footerReference w:type="even" r:id="rId21"/>
      <w:footerReference w:type="default" r:id="rId22"/>
      <w:pgSz w:w="15840" w:h="12240" w:orient="landscape"/>
      <w:pgMar w:top="1195" w:right="1166" w:bottom="1195"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924C" w14:textId="77777777" w:rsidR="00911A9F" w:rsidRDefault="00911A9F" w:rsidP="00441061">
      <w:r>
        <w:separator/>
      </w:r>
    </w:p>
    <w:p w14:paraId="229E2AFA" w14:textId="77777777" w:rsidR="00911A9F" w:rsidRDefault="00911A9F"/>
  </w:endnote>
  <w:endnote w:type="continuationSeparator" w:id="0">
    <w:p w14:paraId="3C225EB7" w14:textId="77777777" w:rsidR="00911A9F" w:rsidRDefault="00911A9F" w:rsidP="00441061">
      <w:r>
        <w:continuationSeparator/>
      </w:r>
    </w:p>
    <w:p w14:paraId="0D986BCC" w14:textId="77777777" w:rsidR="00911A9F" w:rsidRDefault="00911A9F"/>
  </w:endnote>
  <w:endnote w:type="continuationNotice" w:id="1">
    <w:p w14:paraId="71BB3E05" w14:textId="77777777" w:rsidR="00911A9F" w:rsidRDefault="00911A9F"/>
    <w:p w14:paraId="374737C8" w14:textId="77777777" w:rsidR="00911A9F" w:rsidRDefault="00911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7"/>
        <w:szCs w:val="17"/>
      </w:rPr>
      <w:id w:val="1914588247"/>
      <w:docPartObj>
        <w:docPartGallery w:val="Page Numbers (Bottom of Page)"/>
        <w:docPartUnique/>
      </w:docPartObj>
    </w:sdtPr>
    <w:sdtEndPr>
      <w:rPr>
        <w:b/>
        <w:noProof/>
      </w:rPr>
    </w:sdtEndPr>
    <w:sdtContent>
      <w:p w14:paraId="0DC1B3E1" w14:textId="265F4E12" w:rsidR="00CE019F" w:rsidRPr="00F926D5" w:rsidRDefault="00CE019F">
        <w:pPr>
          <w:pStyle w:val="Footer"/>
          <w:rPr>
            <w:b/>
            <w:sz w:val="17"/>
            <w:szCs w:val="17"/>
          </w:rPr>
        </w:pPr>
        <w:r w:rsidRPr="00F926D5">
          <w:rPr>
            <w:b/>
            <w:sz w:val="17"/>
            <w:szCs w:val="17"/>
          </w:rPr>
          <w:fldChar w:fldCharType="begin"/>
        </w:r>
        <w:r w:rsidRPr="00F926D5">
          <w:rPr>
            <w:b/>
            <w:sz w:val="17"/>
            <w:szCs w:val="17"/>
          </w:rPr>
          <w:instrText xml:space="preserve"> PAGE   \* MERGEFORMAT </w:instrText>
        </w:r>
        <w:r w:rsidRPr="00F926D5">
          <w:rPr>
            <w:b/>
            <w:sz w:val="17"/>
            <w:szCs w:val="17"/>
          </w:rPr>
          <w:fldChar w:fldCharType="separate"/>
        </w:r>
        <w:r w:rsidR="00176480">
          <w:rPr>
            <w:b/>
            <w:noProof/>
            <w:sz w:val="17"/>
            <w:szCs w:val="17"/>
          </w:rPr>
          <w:t>8</w:t>
        </w:r>
        <w:r w:rsidRPr="00F926D5">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E30F" w14:textId="66BB8B1B" w:rsidR="00CE019F" w:rsidRPr="00F926D5" w:rsidRDefault="00CE019F" w:rsidP="004617AF">
    <w:pPr>
      <w:pStyle w:val="Footer"/>
      <w:jc w:val="right"/>
      <w:rPr>
        <w:b/>
        <w:sz w:val="17"/>
        <w:szCs w:val="17"/>
      </w:rPr>
    </w:pPr>
    <w:r w:rsidRPr="00F926D5">
      <w:rPr>
        <w:b/>
        <w:sz w:val="17"/>
        <w:szCs w:val="17"/>
      </w:rPr>
      <w:fldChar w:fldCharType="begin"/>
    </w:r>
    <w:r w:rsidRPr="00F926D5">
      <w:rPr>
        <w:b/>
        <w:sz w:val="17"/>
        <w:szCs w:val="17"/>
      </w:rPr>
      <w:instrText xml:space="preserve"> PAGE   \* MERGEFORMAT </w:instrText>
    </w:r>
    <w:r w:rsidRPr="00F926D5">
      <w:rPr>
        <w:b/>
        <w:sz w:val="17"/>
        <w:szCs w:val="17"/>
      </w:rPr>
      <w:fldChar w:fldCharType="separate"/>
    </w:r>
    <w:r w:rsidR="00176480">
      <w:rPr>
        <w:b/>
        <w:noProof/>
        <w:sz w:val="17"/>
        <w:szCs w:val="17"/>
      </w:rPr>
      <w:t>9</w:t>
    </w:r>
    <w:r w:rsidRPr="00F926D5">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41970"/>
      <w:docPartObj>
        <w:docPartGallery w:val="Page Numbers (Bottom of Page)"/>
        <w:docPartUnique/>
      </w:docPartObj>
    </w:sdtPr>
    <w:sdtEndPr>
      <w:rPr>
        <w:b/>
        <w:noProof/>
        <w:sz w:val="17"/>
        <w:szCs w:val="17"/>
      </w:rPr>
    </w:sdtEndPr>
    <w:sdtContent>
      <w:p w14:paraId="212DCD3B" w14:textId="1E62AE0A" w:rsidR="00CE019F" w:rsidRPr="00EE5D47" w:rsidRDefault="00CE019F" w:rsidP="00EE5D47">
        <w:pPr>
          <w:pStyle w:val="Footer"/>
          <w:rPr>
            <w:b/>
            <w:sz w:val="17"/>
            <w:szCs w:val="17"/>
          </w:rPr>
        </w:pPr>
        <w:r w:rsidRPr="00EE5D47">
          <w:rPr>
            <w:b/>
            <w:sz w:val="17"/>
            <w:szCs w:val="17"/>
          </w:rPr>
          <w:fldChar w:fldCharType="begin"/>
        </w:r>
        <w:r w:rsidRPr="00EE5D47">
          <w:rPr>
            <w:b/>
            <w:sz w:val="17"/>
            <w:szCs w:val="17"/>
          </w:rPr>
          <w:instrText xml:space="preserve"> PAGE   \* MERGEFORMAT </w:instrText>
        </w:r>
        <w:r w:rsidRPr="00EE5D47">
          <w:rPr>
            <w:b/>
            <w:sz w:val="17"/>
            <w:szCs w:val="17"/>
          </w:rPr>
          <w:fldChar w:fldCharType="separate"/>
        </w:r>
        <w:r w:rsidR="00176480">
          <w:rPr>
            <w:b/>
            <w:noProof/>
            <w:sz w:val="17"/>
            <w:szCs w:val="17"/>
          </w:rPr>
          <w:t>12</w:t>
        </w:r>
        <w:r w:rsidRPr="00EE5D47">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680383"/>
      <w:docPartObj>
        <w:docPartGallery w:val="Page Numbers (Bottom of Page)"/>
        <w:docPartUnique/>
      </w:docPartObj>
    </w:sdtPr>
    <w:sdtEndPr>
      <w:rPr>
        <w:b/>
        <w:noProof/>
        <w:sz w:val="17"/>
        <w:szCs w:val="17"/>
      </w:rPr>
    </w:sdtEndPr>
    <w:sdtContent>
      <w:p w14:paraId="2BFD537D" w14:textId="1C8C5766" w:rsidR="00CE019F" w:rsidRPr="00EE5D47" w:rsidRDefault="00CE019F" w:rsidP="00EE5D47">
        <w:pPr>
          <w:pStyle w:val="Footer"/>
          <w:jc w:val="right"/>
          <w:rPr>
            <w:b/>
            <w:sz w:val="17"/>
            <w:szCs w:val="17"/>
          </w:rPr>
        </w:pPr>
        <w:r w:rsidRPr="00EE5D47">
          <w:rPr>
            <w:b/>
            <w:sz w:val="17"/>
            <w:szCs w:val="17"/>
          </w:rPr>
          <w:fldChar w:fldCharType="begin"/>
        </w:r>
        <w:r w:rsidRPr="00EE5D47">
          <w:rPr>
            <w:b/>
            <w:sz w:val="17"/>
            <w:szCs w:val="17"/>
          </w:rPr>
          <w:instrText xml:space="preserve"> PAGE   \* MERGEFORMAT </w:instrText>
        </w:r>
        <w:r w:rsidRPr="00EE5D47">
          <w:rPr>
            <w:b/>
            <w:sz w:val="17"/>
            <w:szCs w:val="17"/>
          </w:rPr>
          <w:fldChar w:fldCharType="separate"/>
        </w:r>
        <w:r w:rsidR="00176480">
          <w:rPr>
            <w:b/>
            <w:noProof/>
            <w:sz w:val="17"/>
            <w:szCs w:val="17"/>
          </w:rPr>
          <w:t>13</w:t>
        </w:r>
        <w:r w:rsidRPr="00EE5D47">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3ECC" w14:textId="77777777" w:rsidR="00911A9F" w:rsidRDefault="00911A9F" w:rsidP="00441061">
      <w:r>
        <w:separator/>
      </w:r>
    </w:p>
    <w:p w14:paraId="0C44DBC6" w14:textId="77777777" w:rsidR="00911A9F" w:rsidRDefault="00911A9F"/>
  </w:footnote>
  <w:footnote w:type="continuationSeparator" w:id="0">
    <w:p w14:paraId="20797C08" w14:textId="77777777" w:rsidR="00911A9F" w:rsidRDefault="00911A9F" w:rsidP="00441061">
      <w:r>
        <w:continuationSeparator/>
      </w:r>
    </w:p>
    <w:p w14:paraId="6F981153" w14:textId="77777777" w:rsidR="00911A9F" w:rsidRDefault="00911A9F"/>
  </w:footnote>
  <w:footnote w:type="continuationNotice" w:id="1">
    <w:p w14:paraId="4ACB0ABD" w14:textId="77777777" w:rsidR="00911A9F" w:rsidRDefault="00911A9F"/>
    <w:p w14:paraId="6A67CB20" w14:textId="77777777" w:rsidR="00911A9F" w:rsidRDefault="00911A9F"/>
  </w:footnote>
  <w:footnote w:id="2">
    <w:p w14:paraId="4019E658" w14:textId="1A49F4E9" w:rsidR="00CE019F" w:rsidRPr="00921434" w:rsidRDefault="00CE019F" w:rsidP="00F538DC">
      <w:pPr>
        <w:pStyle w:val="FootnoteText"/>
        <w:jc w:val="both"/>
        <w:rPr>
          <w:szCs w:val="16"/>
          <w:lang w:val="en-ZA"/>
        </w:rPr>
      </w:pPr>
      <w:r w:rsidRPr="00921434">
        <w:rPr>
          <w:rStyle w:val="FootnoteReference"/>
          <w:szCs w:val="16"/>
        </w:rPr>
        <w:footnoteRef/>
      </w:r>
      <w:r w:rsidRPr="00921434">
        <w:rPr>
          <w:szCs w:val="16"/>
        </w:rPr>
        <w:t xml:space="preserve"> </w:t>
      </w:r>
      <w:r w:rsidRPr="00921434">
        <w:rPr>
          <w:szCs w:val="16"/>
          <w:lang w:val="en-ZA"/>
        </w:rPr>
        <w:t>Namibia Household Income and Expenditure Survey, Namibia Statistics Agency,2009</w:t>
      </w:r>
      <w:r>
        <w:rPr>
          <w:szCs w:val="16"/>
          <w:lang w:val="en-ZA"/>
        </w:rPr>
        <w:t>-</w:t>
      </w:r>
      <w:r w:rsidRPr="00921434">
        <w:rPr>
          <w:szCs w:val="16"/>
          <w:lang w:val="en-ZA"/>
        </w:rPr>
        <w:t>2010 and 2015</w:t>
      </w:r>
      <w:r>
        <w:rPr>
          <w:szCs w:val="16"/>
          <w:lang w:val="en-ZA"/>
        </w:rPr>
        <w:t>-</w:t>
      </w:r>
      <w:r w:rsidRPr="00921434">
        <w:rPr>
          <w:szCs w:val="16"/>
          <w:lang w:val="en-ZA"/>
        </w:rPr>
        <w:t>2016</w:t>
      </w:r>
    </w:p>
  </w:footnote>
  <w:footnote w:id="3">
    <w:p w14:paraId="3CA6A5D2" w14:textId="2015419B" w:rsidR="00CE019F" w:rsidRPr="00921434" w:rsidRDefault="00CE019F" w:rsidP="00F538DC">
      <w:pPr>
        <w:pStyle w:val="FootnoteText"/>
        <w:jc w:val="both"/>
        <w:rPr>
          <w:szCs w:val="16"/>
        </w:rPr>
      </w:pPr>
      <w:r w:rsidRPr="00921434">
        <w:rPr>
          <w:rStyle w:val="FootnoteReference"/>
          <w:szCs w:val="16"/>
        </w:rPr>
        <w:footnoteRef/>
      </w:r>
      <w:r w:rsidRPr="00921434">
        <w:rPr>
          <w:szCs w:val="16"/>
        </w:rPr>
        <w:t xml:space="preserve"> Global Peace Index</w:t>
      </w:r>
      <w:r>
        <w:rPr>
          <w:szCs w:val="16"/>
        </w:rPr>
        <w:t>,</w:t>
      </w:r>
      <w:r w:rsidRPr="00921434">
        <w:rPr>
          <w:szCs w:val="16"/>
        </w:rPr>
        <w:t xml:space="preserve"> 2017</w:t>
      </w:r>
    </w:p>
  </w:footnote>
  <w:footnote w:id="4">
    <w:p w14:paraId="603439AF" w14:textId="22455335" w:rsidR="00CE019F" w:rsidRPr="00921434" w:rsidRDefault="00CE019F" w:rsidP="00F538DC">
      <w:pPr>
        <w:pStyle w:val="FootnoteText"/>
        <w:jc w:val="both"/>
        <w:rPr>
          <w:szCs w:val="16"/>
          <w:lang w:val="en-ZA"/>
        </w:rPr>
      </w:pPr>
      <w:r w:rsidRPr="00921434">
        <w:rPr>
          <w:rStyle w:val="FootnoteReference"/>
          <w:szCs w:val="16"/>
        </w:rPr>
        <w:footnoteRef/>
      </w:r>
      <w:r w:rsidRPr="00921434">
        <w:rPr>
          <w:szCs w:val="16"/>
        </w:rPr>
        <w:t xml:space="preserve"> </w:t>
      </w:r>
      <w:r w:rsidRPr="00921434">
        <w:rPr>
          <w:szCs w:val="16"/>
          <w:lang w:val="en-ZA"/>
        </w:rPr>
        <w:t xml:space="preserve">National </w:t>
      </w:r>
      <w:r>
        <w:rPr>
          <w:szCs w:val="16"/>
          <w:lang w:val="en-ZA"/>
        </w:rPr>
        <w:t>a</w:t>
      </w:r>
      <w:r w:rsidRPr="00921434">
        <w:rPr>
          <w:szCs w:val="16"/>
          <w:lang w:val="en-ZA"/>
        </w:rPr>
        <w:t>ccount</w:t>
      </w:r>
      <w:r>
        <w:rPr>
          <w:szCs w:val="16"/>
          <w:lang w:val="en-ZA"/>
        </w:rPr>
        <w:t>s,</w:t>
      </w:r>
      <w:r w:rsidRPr="00921434">
        <w:rPr>
          <w:szCs w:val="16"/>
          <w:lang w:val="en-ZA"/>
        </w:rPr>
        <w:t xml:space="preserve"> 2016</w:t>
      </w:r>
    </w:p>
  </w:footnote>
  <w:footnote w:id="5">
    <w:p w14:paraId="4E95EAF4" w14:textId="26F5564D" w:rsidR="00CE019F" w:rsidRPr="00921434" w:rsidRDefault="00CE019F" w:rsidP="00F538DC">
      <w:pPr>
        <w:pStyle w:val="FootnoteText"/>
        <w:jc w:val="both"/>
        <w:rPr>
          <w:szCs w:val="16"/>
          <w:lang w:val="en-ZA"/>
        </w:rPr>
      </w:pPr>
      <w:r w:rsidRPr="00921434">
        <w:rPr>
          <w:rStyle w:val="FootnoteReference"/>
          <w:szCs w:val="16"/>
        </w:rPr>
        <w:footnoteRef/>
      </w:r>
      <w:r w:rsidRPr="00921434">
        <w:rPr>
          <w:szCs w:val="16"/>
        </w:rPr>
        <w:t xml:space="preserve"> Human Development Report, UNDP, 2016</w:t>
      </w:r>
    </w:p>
  </w:footnote>
  <w:footnote w:id="6">
    <w:p w14:paraId="6863808F" w14:textId="5895D372" w:rsidR="00CE019F" w:rsidRPr="00921434" w:rsidRDefault="00CE019F" w:rsidP="00F538DC">
      <w:pPr>
        <w:pStyle w:val="FootnoteText"/>
        <w:jc w:val="both"/>
        <w:rPr>
          <w:szCs w:val="16"/>
          <w:lang w:val="en-ZA"/>
        </w:rPr>
      </w:pPr>
      <w:r w:rsidRPr="00921434">
        <w:rPr>
          <w:rStyle w:val="FootnoteReference"/>
          <w:szCs w:val="16"/>
        </w:rPr>
        <w:footnoteRef/>
      </w:r>
      <w:r w:rsidRPr="00921434">
        <w:rPr>
          <w:szCs w:val="16"/>
        </w:rPr>
        <w:t xml:space="preserve"> Namibia Household Income and Expenditure Survey, Namibia Statistics Agency, 2015</w:t>
      </w:r>
      <w:r>
        <w:rPr>
          <w:szCs w:val="16"/>
        </w:rPr>
        <w:t>-</w:t>
      </w:r>
      <w:r w:rsidRPr="00921434">
        <w:rPr>
          <w:szCs w:val="16"/>
        </w:rPr>
        <w:t>2016</w:t>
      </w:r>
    </w:p>
  </w:footnote>
  <w:footnote w:id="7">
    <w:p w14:paraId="4C47D9B2" w14:textId="48C16B8B" w:rsidR="00CE019F" w:rsidRPr="00921434" w:rsidRDefault="00CE019F" w:rsidP="00F538DC">
      <w:pPr>
        <w:pStyle w:val="FootnoteText"/>
        <w:jc w:val="both"/>
        <w:rPr>
          <w:szCs w:val="16"/>
        </w:rPr>
      </w:pPr>
      <w:r w:rsidRPr="00921434">
        <w:rPr>
          <w:rStyle w:val="FootnoteReference"/>
          <w:szCs w:val="16"/>
        </w:rPr>
        <w:footnoteRef/>
      </w:r>
      <w:r w:rsidRPr="00921434">
        <w:rPr>
          <w:szCs w:val="16"/>
        </w:rPr>
        <w:t xml:space="preserve"> Human Development Report, UNDP, 2016</w:t>
      </w:r>
    </w:p>
  </w:footnote>
  <w:footnote w:id="8">
    <w:p w14:paraId="7B776324" w14:textId="06DDA94A" w:rsidR="00CE019F" w:rsidRPr="00921434" w:rsidRDefault="00CE019F" w:rsidP="00F538DC">
      <w:pPr>
        <w:pStyle w:val="FootnoteText"/>
        <w:jc w:val="both"/>
        <w:rPr>
          <w:szCs w:val="16"/>
        </w:rPr>
      </w:pPr>
      <w:r w:rsidRPr="00921434">
        <w:rPr>
          <w:rStyle w:val="FootnoteReference"/>
          <w:szCs w:val="16"/>
        </w:rPr>
        <w:footnoteRef/>
      </w:r>
      <w:r w:rsidRPr="00921434">
        <w:rPr>
          <w:szCs w:val="16"/>
        </w:rPr>
        <w:t xml:space="preserve"> Namibia Household Income and Expenditure Survey, Namibia Statistics Agency, 2015</w:t>
      </w:r>
      <w:r>
        <w:rPr>
          <w:szCs w:val="16"/>
        </w:rPr>
        <w:t>-</w:t>
      </w:r>
      <w:r w:rsidRPr="00921434">
        <w:rPr>
          <w:szCs w:val="16"/>
        </w:rPr>
        <w:t>2016</w:t>
      </w:r>
    </w:p>
  </w:footnote>
  <w:footnote w:id="9">
    <w:p w14:paraId="3C434542" w14:textId="77777777" w:rsidR="00CE019F" w:rsidRPr="00921434" w:rsidRDefault="00CE019F" w:rsidP="00C25645">
      <w:pPr>
        <w:pStyle w:val="FootnoteText"/>
        <w:jc w:val="both"/>
        <w:rPr>
          <w:szCs w:val="16"/>
          <w:lang w:val="en-ZA"/>
        </w:rPr>
      </w:pPr>
      <w:r w:rsidRPr="00921434">
        <w:rPr>
          <w:rStyle w:val="FootnoteReference"/>
          <w:szCs w:val="16"/>
        </w:rPr>
        <w:footnoteRef/>
      </w:r>
      <w:r w:rsidRPr="00921434">
        <w:rPr>
          <w:szCs w:val="16"/>
        </w:rPr>
        <w:t xml:space="preserve"> </w:t>
      </w:r>
      <w:bookmarkStart w:id="0" w:name="_Hlk512239636"/>
      <w:r w:rsidRPr="00921434">
        <w:rPr>
          <w:szCs w:val="16"/>
          <w:lang w:val="en-ZA"/>
        </w:rPr>
        <w:t>Namibia Labour Force Survey, Namibia Statistics Agency, 2016</w:t>
      </w:r>
    </w:p>
    <w:bookmarkEnd w:id="0"/>
  </w:footnote>
  <w:footnote w:id="10">
    <w:p w14:paraId="7D1E6385" w14:textId="77777777" w:rsidR="00CE019F" w:rsidRPr="00921434" w:rsidRDefault="00CE019F" w:rsidP="00C25645">
      <w:pPr>
        <w:pStyle w:val="FootnoteText"/>
        <w:jc w:val="both"/>
        <w:rPr>
          <w:szCs w:val="16"/>
        </w:rPr>
      </w:pPr>
      <w:r w:rsidRPr="00921434">
        <w:rPr>
          <w:rStyle w:val="FootnoteReference"/>
          <w:szCs w:val="16"/>
        </w:rPr>
        <w:footnoteRef/>
      </w:r>
      <w:r w:rsidRPr="00921434">
        <w:rPr>
          <w:szCs w:val="16"/>
        </w:rPr>
        <w:t xml:space="preserve"> </w:t>
      </w:r>
      <w:r>
        <w:rPr>
          <w:szCs w:val="16"/>
        </w:rPr>
        <w:t>Census Disability Report, 2011</w:t>
      </w:r>
    </w:p>
  </w:footnote>
  <w:footnote w:id="11">
    <w:p w14:paraId="1F66D302" w14:textId="7090E380" w:rsidR="00CE019F" w:rsidRPr="00921434" w:rsidRDefault="00CE019F" w:rsidP="00F538DC">
      <w:pPr>
        <w:pStyle w:val="FootnoteText"/>
        <w:jc w:val="both"/>
        <w:rPr>
          <w:szCs w:val="16"/>
        </w:rPr>
      </w:pPr>
      <w:r w:rsidRPr="00921434">
        <w:rPr>
          <w:rStyle w:val="FootnoteReference"/>
          <w:szCs w:val="16"/>
        </w:rPr>
        <w:footnoteRef/>
      </w:r>
      <w:r w:rsidRPr="00921434">
        <w:rPr>
          <w:szCs w:val="16"/>
        </w:rPr>
        <w:t xml:space="preserve"> </w:t>
      </w:r>
      <w:r w:rsidRPr="00D955EA">
        <w:rPr>
          <w:szCs w:val="16"/>
        </w:rPr>
        <w:t>Namibia Labour Force Survey, Namibia Statistics Agency, 2016</w:t>
      </w:r>
    </w:p>
  </w:footnote>
  <w:footnote w:id="12">
    <w:p w14:paraId="46B9C1CD" w14:textId="4CC49B66" w:rsidR="00CE019F" w:rsidRPr="00921434" w:rsidRDefault="00CE019F" w:rsidP="00F538DC">
      <w:pPr>
        <w:pStyle w:val="FootnoteText"/>
        <w:jc w:val="both"/>
        <w:rPr>
          <w:szCs w:val="16"/>
        </w:rPr>
      </w:pPr>
      <w:r w:rsidRPr="00921434">
        <w:rPr>
          <w:rStyle w:val="FootnoteReference"/>
          <w:szCs w:val="16"/>
        </w:rPr>
        <w:footnoteRef/>
      </w:r>
      <w:r>
        <w:rPr>
          <w:szCs w:val="16"/>
        </w:rPr>
        <w:t xml:space="preserve"> Ibid</w:t>
      </w:r>
      <w:r w:rsidRPr="00921434">
        <w:rPr>
          <w:szCs w:val="16"/>
        </w:rPr>
        <w:t>.</w:t>
      </w:r>
    </w:p>
  </w:footnote>
  <w:footnote w:id="13">
    <w:p w14:paraId="5F4CB9A6" w14:textId="76E5DBFD" w:rsidR="00CE019F" w:rsidRPr="00921434" w:rsidRDefault="00CE019F" w:rsidP="00F538DC">
      <w:pPr>
        <w:pStyle w:val="FootnoteText"/>
        <w:jc w:val="both"/>
        <w:rPr>
          <w:szCs w:val="16"/>
        </w:rPr>
      </w:pPr>
      <w:r w:rsidRPr="00921434">
        <w:rPr>
          <w:rStyle w:val="FootnoteReference"/>
          <w:szCs w:val="16"/>
        </w:rPr>
        <w:footnoteRef/>
      </w:r>
      <w:r w:rsidRPr="00921434">
        <w:rPr>
          <w:szCs w:val="16"/>
        </w:rPr>
        <w:t xml:space="preserve"> </w:t>
      </w:r>
      <w:r>
        <w:rPr>
          <w:szCs w:val="16"/>
        </w:rPr>
        <w:t>I</w:t>
      </w:r>
      <w:r w:rsidRPr="00921434">
        <w:rPr>
          <w:szCs w:val="16"/>
        </w:rPr>
        <w:t>n rural areas</w:t>
      </w:r>
      <w:r>
        <w:rPr>
          <w:szCs w:val="16"/>
        </w:rPr>
        <w:t>,</w:t>
      </w:r>
      <w:r w:rsidRPr="00921434">
        <w:rPr>
          <w:szCs w:val="16"/>
        </w:rPr>
        <w:t xml:space="preserve"> 25.1</w:t>
      </w:r>
      <w:r>
        <w:rPr>
          <w:szCs w:val="16"/>
        </w:rPr>
        <w:t xml:space="preserve"> per cent</w:t>
      </w:r>
      <w:r w:rsidRPr="00921434">
        <w:rPr>
          <w:szCs w:val="16"/>
        </w:rPr>
        <w:t>; National Household Income and Expenditure Survey</w:t>
      </w:r>
      <w:r>
        <w:rPr>
          <w:szCs w:val="16"/>
        </w:rPr>
        <w:t>,</w:t>
      </w:r>
      <w:r w:rsidRPr="00921434">
        <w:rPr>
          <w:szCs w:val="16"/>
        </w:rPr>
        <w:t xml:space="preserve"> 2015</w:t>
      </w:r>
      <w:r>
        <w:rPr>
          <w:szCs w:val="16"/>
        </w:rPr>
        <w:t>-</w:t>
      </w:r>
      <w:r w:rsidRPr="00921434">
        <w:rPr>
          <w:szCs w:val="16"/>
        </w:rPr>
        <w:t>2016, Namibia Statistics Agency, 2018</w:t>
      </w:r>
    </w:p>
  </w:footnote>
  <w:footnote w:id="14">
    <w:p w14:paraId="7725D290" w14:textId="3FEE6E5A" w:rsidR="00CE019F" w:rsidRPr="00267AF7" w:rsidRDefault="00CE019F">
      <w:pPr>
        <w:pStyle w:val="FootnoteText"/>
      </w:pPr>
      <w:r>
        <w:rPr>
          <w:rStyle w:val="FootnoteReference"/>
        </w:rPr>
        <w:footnoteRef/>
      </w:r>
      <w:r>
        <w:t xml:space="preserve"> Annual precipitation in Namibia was 209.98mm in 2016; </w:t>
      </w:r>
      <w:r w:rsidRPr="00267AF7">
        <w:t>Climate Change Knowledge Portal</w:t>
      </w:r>
      <w:r>
        <w:t>, World Bank Group</w:t>
      </w:r>
    </w:p>
  </w:footnote>
  <w:footnote w:id="15">
    <w:p w14:paraId="151D579A" w14:textId="7EA35B55" w:rsidR="00CE019F" w:rsidRPr="00921434" w:rsidRDefault="00CE019F" w:rsidP="00F538DC">
      <w:pPr>
        <w:pStyle w:val="FootnoteText"/>
        <w:jc w:val="both"/>
        <w:rPr>
          <w:szCs w:val="16"/>
          <w:lang w:val="en-ZA"/>
        </w:rPr>
      </w:pPr>
      <w:r w:rsidRPr="00921434">
        <w:rPr>
          <w:rStyle w:val="FootnoteReference"/>
          <w:szCs w:val="16"/>
        </w:rPr>
        <w:footnoteRef/>
      </w:r>
      <w:r w:rsidRPr="00921434">
        <w:rPr>
          <w:szCs w:val="16"/>
        </w:rPr>
        <w:t xml:space="preserve"> Namibia Vulnerability Assessment Committee Results</w:t>
      </w:r>
      <w:r>
        <w:rPr>
          <w:szCs w:val="16"/>
        </w:rPr>
        <w:t>,</w:t>
      </w:r>
      <w:r w:rsidRPr="00921434">
        <w:rPr>
          <w:szCs w:val="16"/>
        </w:rPr>
        <w:t xml:space="preserve"> 2016</w:t>
      </w:r>
    </w:p>
  </w:footnote>
  <w:footnote w:id="16">
    <w:p w14:paraId="21B66426" w14:textId="5CF75744" w:rsidR="00CE019F" w:rsidRPr="00921434" w:rsidRDefault="00CE019F" w:rsidP="00F538DC">
      <w:pPr>
        <w:pStyle w:val="FootnoteText"/>
        <w:jc w:val="both"/>
        <w:rPr>
          <w:szCs w:val="16"/>
          <w:lang w:val="en-ZA"/>
        </w:rPr>
      </w:pPr>
      <w:r w:rsidRPr="00921434">
        <w:rPr>
          <w:rStyle w:val="FootnoteReference"/>
          <w:szCs w:val="16"/>
        </w:rPr>
        <w:footnoteRef/>
      </w:r>
      <w:r w:rsidRPr="00921434">
        <w:rPr>
          <w:szCs w:val="16"/>
          <w:lang w:val="en-ZA"/>
        </w:rPr>
        <w:t xml:space="preserve"> Annual </w:t>
      </w:r>
      <w:r>
        <w:rPr>
          <w:szCs w:val="16"/>
          <w:lang w:val="en-ZA"/>
        </w:rPr>
        <w:t>n</w:t>
      </w:r>
      <w:r w:rsidRPr="00921434">
        <w:rPr>
          <w:szCs w:val="16"/>
          <w:lang w:val="en-ZA"/>
        </w:rPr>
        <w:t xml:space="preserve">ational </w:t>
      </w:r>
      <w:r>
        <w:rPr>
          <w:szCs w:val="16"/>
          <w:lang w:val="en-ZA"/>
        </w:rPr>
        <w:t>ac</w:t>
      </w:r>
      <w:r w:rsidRPr="00921434">
        <w:rPr>
          <w:szCs w:val="16"/>
          <w:lang w:val="en-ZA"/>
        </w:rPr>
        <w:t>count</w:t>
      </w:r>
      <w:r>
        <w:rPr>
          <w:szCs w:val="16"/>
          <w:lang w:val="en-ZA"/>
        </w:rPr>
        <w:t>s,</w:t>
      </w:r>
      <w:r w:rsidRPr="00921434">
        <w:rPr>
          <w:szCs w:val="16"/>
          <w:lang w:val="en-ZA"/>
        </w:rPr>
        <w:t xml:space="preserve"> 2016</w:t>
      </w:r>
      <w:r>
        <w:rPr>
          <w:szCs w:val="16"/>
          <w:lang w:val="en-ZA"/>
        </w:rPr>
        <w:t>-</w:t>
      </w:r>
      <w:r w:rsidRPr="00921434">
        <w:rPr>
          <w:szCs w:val="16"/>
          <w:lang w:val="en-ZA"/>
        </w:rPr>
        <w:t>2017</w:t>
      </w:r>
    </w:p>
  </w:footnote>
  <w:footnote w:id="17">
    <w:p w14:paraId="6D2CB7EE" w14:textId="77777777" w:rsidR="00CE019F" w:rsidRPr="00493C25" w:rsidRDefault="00CE019F" w:rsidP="00F538DC">
      <w:pPr>
        <w:pStyle w:val="FootnoteText"/>
        <w:jc w:val="both"/>
        <w:rPr>
          <w:sz w:val="12"/>
          <w:szCs w:val="16"/>
        </w:rPr>
      </w:pPr>
      <w:r w:rsidRPr="00921434">
        <w:rPr>
          <w:rStyle w:val="FootnoteReference"/>
          <w:szCs w:val="16"/>
        </w:rPr>
        <w:footnoteRef/>
      </w:r>
      <w:r w:rsidRPr="00921434">
        <w:rPr>
          <w:rStyle w:val="FootnoteReference"/>
          <w:szCs w:val="16"/>
        </w:rPr>
        <w:t xml:space="preserve"> </w:t>
      </w:r>
      <w:r w:rsidRPr="00921434">
        <w:rPr>
          <w:szCs w:val="16"/>
        </w:rPr>
        <w:t>Africa Economic Outlook, 2017</w:t>
      </w:r>
    </w:p>
  </w:footnote>
  <w:footnote w:id="18">
    <w:p w14:paraId="712BF2A0" w14:textId="7AE28D10" w:rsidR="00CE019F" w:rsidRPr="00921434" w:rsidRDefault="00CE019F">
      <w:pPr>
        <w:pStyle w:val="FootnoteText"/>
        <w:rPr>
          <w:szCs w:val="16"/>
        </w:rPr>
      </w:pPr>
      <w:r w:rsidRPr="00921434">
        <w:rPr>
          <w:rStyle w:val="FootnoteReference"/>
          <w:szCs w:val="16"/>
        </w:rPr>
        <w:footnoteRef/>
      </w:r>
      <w:r w:rsidRPr="00921434">
        <w:rPr>
          <w:szCs w:val="16"/>
        </w:rPr>
        <w:t xml:space="preserve"> SDG Index and Dashboard</w:t>
      </w:r>
      <w:r>
        <w:rPr>
          <w:szCs w:val="16"/>
        </w:rPr>
        <w:t>s</w:t>
      </w:r>
      <w:r w:rsidRPr="00921434">
        <w:rPr>
          <w:szCs w:val="16"/>
        </w:rPr>
        <w:t xml:space="preserve"> Report, Sustainable Development Solutions Network</w:t>
      </w:r>
      <w:r>
        <w:rPr>
          <w:szCs w:val="16"/>
        </w:rPr>
        <w:t>,</w:t>
      </w:r>
      <w:r w:rsidRPr="00921434">
        <w:rPr>
          <w:szCs w:val="16"/>
        </w:rPr>
        <w:t xml:space="preserve"> 2017</w:t>
      </w:r>
    </w:p>
  </w:footnote>
  <w:footnote w:id="19">
    <w:p w14:paraId="7680BC5F" w14:textId="77192A0E" w:rsidR="00CE019F" w:rsidRPr="00921434" w:rsidRDefault="00CE019F" w:rsidP="005618A9">
      <w:pPr>
        <w:pStyle w:val="FootnoteText"/>
        <w:jc w:val="both"/>
        <w:rPr>
          <w:szCs w:val="16"/>
          <w:lang w:val="en-ZA"/>
        </w:rPr>
      </w:pPr>
      <w:r w:rsidRPr="00921434">
        <w:rPr>
          <w:rStyle w:val="FootnoteReference"/>
          <w:szCs w:val="16"/>
        </w:rPr>
        <w:footnoteRef/>
      </w:r>
      <w:r w:rsidRPr="00921434">
        <w:rPr>
          <w:szCs w:val="16"/>
        </w:rPr>
        <w:t xml:space="preserve"> </w:t>
      </w:r>
      <w:r w:rsidRPr="00921434">
        <w:rPr>
          <w:szCs w:val="16"/>
          <w:lang w:val="en-ZA"/>
        </w:rPr>
        <w:t>Common Country Assessment</w:t>
      </w:r>
      <w:r>
        <w:rPr>
          <w:szCs w:val="16"/>
          <w:lang w:val="en-ZA"/>
        </w:rPr>
        <w:t>,</w:t>
      </w:r>
      <w:r w:rsidRPr="00921434">
        <w:rPr>
          <w:szCs w:val="16"/>
          <w:lang w:val="en-ZA"/>
        </w:rPr>
        <w:t xml:space="preserve"> 2017</w:t>
      </w:r>
    </w:p>
  </w:footnote>
  <w:footnote w:id="20">
    <w:p w14:paraId="43C7765B" w14:textId="4C4F278A" w:rsidR="00CE019F" w:rsidRPr="00921434" w:rsidRDefault="00CE019F" w:rsidP="005618A9">
      <w:pPr>
        <w:pStyle w:val="FootnoteText"/>
        <w:jc w:val="both"/>
        <w:rPr>
          <w:szCs w:val="16"/>
          <w:lang w:val="en-ZA"/>
        </w:rPr>
      </w:pPr>
      <w:r w:rsidRPr="00921434">
        <w:rPr>
          <w:rStyle w:val="FootnoteReference"/>
          <w:szCs w:val="16"/>
        </w:rPr>
        <w:footnoteRef/>
      </w:r>
      <w:r w:rsidRPr="00921434">
        <w:rPr>
          <w:szCs w:val="16"/>
        </w:rPr>
        <w:t xml:space="preserve"> </w:t>
      </w:r>
      <w:r w:rsidRPr="00921434">
        <w:t>Institute of Public Policy and Research</w:t>
      </w:r>
      <w:r>
        <w:t>,</w:t>
      </w:r>
      <w:r w:rsidRPr="00921434" w:rsidDel="00F71E12">
        <w:rPr>
          <w:szCs w:val="16"/>
          <w:lang w:val="en-ZA"/>
        </w:rPr>
        <w:t xml:space="preserve"> </w:t>
      </w:r>
      <w:r>
        <w:rPr>
          <w:szCs w:val="16"/>
          <w:lang w:val="en-ZA"/>
        </w:rPr>
        <w:t>a</w:t>
      </w:r>
      <w:r w:rsidRPr="00921434">
        <w:rPr>
          <w:szCs w:val="16"/>
          <w:lang w:val="en-ZA"/>
        </w:rPr>
        <w:t xml:space="preserve">nnual </w:t>
      </w:r>
      <w:r>
        <w:rPr>
          <w:szCs w:val="16"/>
          <w:lang w:val="en-ZA"/>
        </w:rPr>
        <w:t>r</w:t>
      </w:r>
      <w:r w:rsidRPr="00921434">
        <w:rPr>
          <w:szCs w:val="16"/>
          <w:lang w:val="en-ZA"/>
        </w:rPr>
        <w:t>eport</w:t>
      </w:r>
      <w:r>
        <w:rPr>
          <w:szCs w:val="16"/>
          <w:lang w:val="en-ZA"/>
        </w:rPr>
        <w:t>,</w:t>
      </w:r>
      <w:r w:rsidRPr="00921434">
        <w:rPr>
          <w:szCs w:val="16"/>
          <w:lang w:val="en-ZA"/>
        </w:rPr>
        <w:t xml:space="preserve"> 2017</w:t>
      </w:r>
    </w:p>
  </w:footnote>
  <w:footnote w:id="21">
    <w:p w14:paraId="561465FC" w14:textId="750F0D7A" w:rsidR="00CE019F" w:rsidRPr="00680AA3" w:rsidRDefault="00CE019F" w:rsidP="005618A9">
      <w:pPr>
        <w:pStyle w:val="FootnoteText"/>
        <w:jc w:val="both"/>
        <w:rPr>
          <w:szCs w:val="16"/>
        </w:rPr>
      </w:pPr>
      <w:r w:rsidRPr="00921434">
        <w:rPr>
          <w:rStyle w:val="FootnoteReference"/>
          <w:szCs w:val="16"/>
        </w:rPr>
        <w:footnoteRef/>
      </w:r>
      <w:r w:rsidRPr="003608ED">
        <w:rPr>
          <w:szCs w:val="16"/>
        </w:rPr>
        <w:t xml:space="preserve"> </w:t>
      </w:r>
      <w:r w:rsidRPr="000306E0">
        <w:rPr>
          <w:szCs w:val="16"/>
        </w:rPr>
        <w:t>National Corruption Perception Survey, 2016</w:t>
      </w:r>
    </w:p>
  </w:footnote>
  <w:footnote w:id="22">
    <w:p w14:paraId="033AF148" w14:textId="472E2255" w:rsidR="00CE019F" w:rsidRPr="003608ED" w:rsidRDefault="00CE019F" w:rsidP="005618A9">
      <w:pPr>
        <w:pStyle w:val="FootnoteText"/>
        <w:jc w:val="both"/>
        <w:rPr>
          <w:szCs w:val="16"/>
        </w:rPr>
      </w:pPr>
      <w:r w:rsidRPr="00921434">
        <w:rPr>
          <w:rStyle w:val="FootnoteReference"/>
          <w:szCs w:val="16"/>
        </w:rPr>
        <w:footnoteRef/>
      </w:r>
      <w:r w:rsidRPr="003608ED">
        <w:rPr>
          <w:szCs w:val="16"/>
        </w:rPr>
        <w:t xml:space="preserve"> </w:t>
      </w:r>
      <w:r w:rsidRPr="00A91018">
        <w:rPr>
          <w:szCs w:val="16"/>
        </w:rPr>
        <w:t>Fifth National Development Plan</w:t>
      </w:r>
    </w:p>
  </w:footnote>
  <w:footnote w:id="23">
    <w:p w14:paraId="3D5D787B" w14:textId="024C9DD8" w:rsidR="00CE019F" w:rsidRPr="00921434" w:rsidRDefault="00CE019F">
      <w:pPr>
        <w:pStyle w:val="FootnoteText"/>
        <w:rPr>
          <w:szCs w:val="16"/>
        </w:rPr>
      </w:pPr>
      <w:r w:rsidRPr="00921434">
        <w:rPr>
          <w:rStyle w:val="FootnoteReference"/>
          <w:szCs w:val="16"/>
        </w:rPr>
        <w:footnoteRef/>
      </w:r>
      <w:r w:rsidRPr="00921434">
        <w:rPr>
          <w:szCs w:val="16"/>
        </w:rPr>
        <w:t xml:space="preserve"> Ibid</w:t>
      </w:r>
      <w:r>
        <w:rPr>
          <w:szCs w:val="16"/>
        </w:rPr>
        <w:t>.</w:t>
      </w:r>
    </w:p>
  </w:footnote>
  <w:footnote w:id="24">
    <w:p w14:paraId="0747101B" w14:textId="3DE5FE11" w:rsidR="00CE019F" w:rsidRPr="00921434" w:rsidRDefault="00CE019F" w:rsidP="005618A9">
      <w:pPr>
        <w:pStyle w:val="FootnoteText"/>
        <w:jc w:val="both"/>
        <w:rPr>
          <w:szCs w:val="16"/>
          <w:lang w:val="en-ZA"/>
        </w:rPr>
      </w:pPr>
      <w:r w:rsidRPr="00921434">
        <w:rPr>
          <w:rStyle w:val="FootnoteReference"/>
          <w:szCs w:val="16"/>
        </w:rPr>
        <w:footnoteRef/>
      </w:r>
      <w:r w:rsidRPr="00921434">
        <w:rPr>
          <w:szCs w:val="16"/>
        </w:rPr>
        <w:t xml:space="preserve"> </w:t>
      </w:r>
      <w:r>
        <w:rPr>
          <w:lang w:val="en-GB"/>
        </w:rPr>
        <w:t>I</w:t>
      </w:r>
      <w:r w:rsidRPr="000378B4">
        <w:rPr>
          <w:lang w:val="en-GB"/>
        </w:rPr>
        <w:t xml:space="preserve">ndependent </w:t>
      </w:r>
      <w:r>
        <w:rPr>
          <w:lang w:val="en-GB"/>
        </w:rPr>
        <w:t>c</w:t>
      </w:r>
      <w:r w:rsidRPr="000378B4">
        <w:rPr>
          <w:lang w:val="en-GB"/>
        </w:rPr>
        <w:t xml:space="preserve">ountry </w:t>
      </w:r>
      <w:r>
        <w:rPr>
          <w:lang w:val="en-GB"/>
        </w:rPr>
        <w:t>p</w:t>
      </w:r>
      <w:r w:rsidRPr="000378B4">
        <w:rPr>
          <w:lang w:val="en-GB"/>
        </w:rPr>
        <w:t xml:space="preserve">rogramme </w:t>
      </w:r>
      <w:r>
        <w:rPr>
          <w:lang w:val="en-GB"/>
        </w:rPr>
        <w:t>e</w:t>
      </w:r>
      <w:r w:rsidRPr="000378B4">
        <w:rPr>
          <w:lang w:val="en-GB"/>
        </w:rPr>
        <w:t>valuation</w:t>
      </w:r>
      <w:r>
        <w:rPr>
          <w:lang w:val="en-GB"/>
        </w:rPr>
        <w:t>,</w:t>
      </w:r>
      <w:r>
        <w:rPr>
          <w:szCs w:val="16"/>
          <w:lang w:val="en-ZA"/>
        </w:rPr>
        <w:t xml:space="preserve"> </w:t>
      </w:r>
      <w:r w:rsidRPr="00921434">
        <w:rPr>
          <w:szCs w:val="16"/>
          <w:lang w:val="en-ZA"/>
        </w:rPr>
        <w:t>2017</w:t>
      </w:r>
    </w:p>
  </w:footnote>
  <w:footnote w:id="25">
    <w:p w14:paraId="0A67C916" w14:textId="505027D5" w:rsidR="00CE019F" w:rsidRPr="00921434" w:rsidRDefault="00CE019F" w:rsidP="005618A9">
      <w:pPr>
        <w:pStyle w:val="FootnoteText"/>
        <w:jc w:val="both"/>
        <w:rPr>
          <w:szCs w:val="16"/>
          <w:lang w:val="en-ZA"/>
        </w:rPr>
      </w:pPr>
      <w:r w:rsidRPr="00921434">
        <w:rPr>
          <w:rStyle w:val="FootnoteReference"/>
          <w:szCs w:val="16"/>
        </w:rPr>
        <w:footnoteRef/>
      </w:r>
      <w:r w:rsidRPr="00921434">
        <w:rPr>
          <w:szCs w:val="16"/>
        </w:rPr>
        <w:t xml:space="preserve"> </w:t>
      </w:r>
      <w:r w:rsidRPr="00921434">
        <w:rPr>
          <w:szCs w:val="16"/>
          <w:lang w:val="en-ZA"/>
        </w:rPr>
        <w:t>Ibid</w:t>
      </w:r>
      <w:r>
        <w:rPr>
          <w:szCs w:val="16"/>
          <w:lang w:val="en-ZA"/>
        </w:rPr>
        <w:t>.</w:t>
      </w:r>
    </w:p>
  </w:footnote>
  <w:footnote w:id="26">
    <w:p w14:paraId="105FB024" w14:textId="79AEA9C4" w:rsidR="00CE019F" w:rsidRPr="00921434" w:rsidRDefault="00CE019F">
      <w:pPr>
        <w:pStyle w:val="FootnoteText"/>
        <w:rPr>
          <w:szCs w:val="16"/>
        </w:rPr>
      </w:pPr>
      <w:r w:rsidRPr="00921434">
        <w:rPr>
          <w:rStyle w:val="FootnoteReference"/>
          <w:szCs w:val="16"/>
        </w:rPr>
        <w:footnoteRef/>
      </w:r>
      <w:r w:rsidRPr="00921434">
        <w:rPr>
          <w:szCs w:val="16"/>
        </w:rPr>
        <w:t xml:space="preserve"> Including the U</w:t>
      </w:r>
      <w:r>
        <w:rPr>
          <w:szCs w:val="16"/>
        </w:rPr>
        <w:t>nited Nations</w:t>
      </w:r>
      <w:r w:rsidRPr="00921434">
        <w:rPr>
          <w:szCs w:val="16"/>
        </w:rPr>
        <w:t xml:space="preserve"> Business and Human Rights guidelines</w:t>
      </w:r>
    </w:p>
  </w:footnote>
  <w:footnote w:id="27">
    <w:p w14:paraId="41F515AB" w14:textId="2E3ECA45" w:rsidR="00CE019F" w:rsidRPr="00493C25" w:rsidRDefault="00CE019F" w:rsidP="00C80C5D">
      <w:pPr>
        <w:pStyle w:val="FootnoteText"/>
        <w:rPr>
          <w:sz w:val="12"/>
          <w:szCs w:val="16"/>
          <w:lang w:val="en-ZA"/>
        </w:rPr>
      </w:pPr>
      <w:r w:rsidRPr="00921434">
        <w:rPr>
          <w:rStyle w:val="FootnoteReference"/>
          <w:szCs w:val="16"/>
        </w:rPr>
        <w:footnoteRef/>
      </w:r>
      <w:r w:rsidRPr="00921434">
        <w:rPr>
          <w:szCs w:val="16"/>
        </w:rPr>
        <w:t xml:space="preserve"> </w:t>
      </w:r>
      <w:r w:rsidRPr="00F16790">
        <w:rPr>
          <w:szCs w:val="16"/>
          <w:lang w:val="en-ZA"/>
        </w:rPr>
        <w:t>Common Country Assessment, 2017</w:t>
      </w:r>
    </w:p>
  </w:footnote>
  <w:footnote w:id="28">
    <w:p w14:paraId="689CDCEE" w14:textId="7F5EB2E1" w:rsidR="00CE019F" w:rsidRPr="00921434" w:rsidRDefault="00CE019F">
      <w:pPr>
        <w:pStyle w:val="FootnoteText"/>
        <w:rPr>
          <w:szCs w:val="16"/>
        </w:rPr>
      </w:pPr>
      <w:r w:rsidRPr="00921434">
        <w:rPr>
          <w:rStyle w:val="FootnoteReference"/>
          <w:szCs w:val="16"/>
        </w:rPr>
        <w:footnoteRef/>
      </w:r>
      <w:r>
        <w:rPr>
          <w:szCs w:val="16"/>
        </w:rPr>
        <w:t xml:space="preserve"> I</w:t>
      </w:r>
      <w:r w:rsidRPr="00921434">
        <w:rPr>
          <w:szCs w:val="16"/>
        </w:rPr>
        <w:t>bid</w:t>
      </w:r>
      <w:r>
        <w:rPr>
          <w:szCs w:val="16"/>
        </w:rPr>
        <w:t>.</w:t>
      </w:r>
    </w:p>
  </w:footnote>
  <w:footnote w:id="29">
    <w:p w14:paraId="724D0A9F" w14:textId="770B1BD7" w:rsidR="00CE019F" w:rsidRPr="00921434" w:rsidRDefault="00CE019F" w:rsidP="00C80C5D">
      <w:pPr>
        <w:pStyle w:val="FootnoteText"/>
        <w:rPr>
          <w:szCs w:val="16"/>
          <w:lang w:val="en-ZA"/>
        </w:rPr>
      </w:pPr>
      <w:r w:rsidRPr="00921434">
        <w:rPr>
          <w:rStyle w:val="FootnoteReference"/>
          <w:szCs w:val="16"/>
        </w:rPr>
        <w:footnoteRef/>
      </w:r>
      <w:r w:rsidRPr="00921434">
        <w:rPr>
          <w:szCs w:val="16"/>
        </w:rPr>
        <w:t xml:space="preserve"> </w:t>
      </w:r>
      <w:r w:rsidRPr="00A91018">
        <w:rPr>
          <w:szCs w:val="16"/>
          <w:lang w:val="en-ZA"/>
        </w:rPr>
        <w:t>Global Fund to Fight AIDS, Tuberculosis and Malaria</w:t>
      </w:r>
      <w:r w:rsidRPr="00921434">
        <w:rPr>
          <w:szCs w:val="16"/>
          <w:lang w:val="en-ZA"/>
        </w:rPr>
        <w:t xml:space="preserve"> </w:t>
      </w:r>
      <w:r>
        <w:rPr>
          <w:szCs w:val="16"/>
          <w:lang w:val="en-ZA"/>
        </w:rPr>
        <w:t>p</w:t>
      </w:r>
      <w:r w:rsidRPr="00921434">
        <w:rPr>
          <w:szCs w:val="16"/>
          <w:lang w:val="en-ZA"/>
        </w:rPr>
        <w:t>ro</w:t>
      </w:r>
      <w:r>
        <w:rPr>
          <w:szCs w:val="16"/>
          <w:lang w:val="en-ZA"/>
        </w:rPr>
        <w:t>ject d</w:t>
      </w:r>
      <w:r w:rsidRPr="00921434">
        <w:rPr>
          <w:szCs w:val="16"/>
          <w:lang w:val="en-ZA"/>
        </w:rPr>
        <w:t>oc</w:t>
      </w:r>
      <w:r>
        <w:rPr>
          <w:szCs w:val="16"/>
          <w:lang w:val="en-ZA"/>
        </w:rPr>
        <w:t>ument</w:t>
      </w:r>
    </w:p>
  </w:footnote>
  <w:footnote w:id="30">
    <w:p w14:paraId="109D7D3C" w14:textId="757501AC" w:rsidR="00CE019F" w:rsidRPr="00921434" w:rsidRDefault="00CE019F">
      <w:pPr>
        <w:pStyle w:val="FootnoteText"/>
        <w:rPr>
          <w:szCs w:val="16"/>
          <w:lang w:val="en-ZA"/>
        </w:rPr>
      </w:pPr>
      <w:r w:rsidRPr="00921434">
        <w:rPr>
          <w:rStyle w:val="FootnoteReference"/>
          <w:szCs w:val="16"/>
        </w:rPr>
        <w:footnoteRef/>
      </w:r>
      <w:r w:rsidRPr="00921434">
        <w:rPr>
          <w:szCs w:val="16"/>
        </w:rPr>
        <w:t xml:space="preserve"> The latter are explicit partnerships based on in-country discussions address</w:t>
      </w:r>
      <w:r>
        <w:rPr>
          <w:szCs w:val="16"/>
        </w:rPr>
        <w:t>ing</w:t>
      </w:r>
      <w:r w:rsidRPr="00921434">
        <w:rPr>
          <w:szCs w:val="16"/>
        </w:rPr>
        <w:t xml:space="preserve"> access to climate financing, promotion of renewable energy, and </w:t>
      </w:r>
      <w:r>
        <w:rPr>
          <w:szCs w:val="16"/>
        </w:rPr>
        <w:t>strengthen</w:t>
      </w:r>
      <w:r w:rsidRPr="00921434">
        <w:rPr>
          <w:szCs w:val="16"/>
        </w:rPr>
        <w:t>ing ecosystem and climate resilience.</w:t>
      </w:r>
    </w:p>
  </w:footnote>
  <w:footnote w:id="31">
    <w:p w14:paraId="4084A634" w14:textId="22ED867C" w:rsidR="00CE019F" w:rsidRPr="00921434" w:rsidRDefault="00CE019F" w:rsidP="00D03BCD">
      <w:pPr>
        <w:tabs>
          <w:tab w:val="left" w:pos="8789"/>
        </w:tabs>
        <w:autoSpaceDE w:val="0"/>
        <w:autoSpaceDN w:val="0"/>
        <w:adjustRightInd w:val="0"/>
        <w:ind w:right="288"/>
        <w:contextualSpacing/>
        <w:jc w:val="both"/>
        <w:rPr>
          <w:sz w:val="16"/>
          <w:szCs w:val="16"/>
        </w:rPr>
      </w:pPr>
      <w:r w:rsidRPr="00921434">
        <w:rPr>
          <w:rStyle w:val="FootnoteReference"/>
          <w:sz w:val="16"/>
          <w:szCs w:val="16"/>
        </w:rPr>
        <w:footnoteRef/>
      </w:r>
      <w:r w:rsidRPr="00921434">
        <w:rPr>
          <w:sz w:val="16"/>
          <w:szCs w:val="16"/>
        </w:rPr>
        <w:t xml:space="preserve"> </w:t>
      </w:r>
      <w:r>
        <w:rPr>
          <w:sz w:val="16"/>
          <w:szCs w:val="16"/>
        </w:rPr>
        <w:t>Including</w:t>
      </w:r>
      <w:r w:rsidRPr="00921434">
        <w:rPr>
          <w:sz w:val="16"/>
          <w:szCs w:val="16"/>
        </w:rPr>
        <w:t xml:space="preserve"> the Namibia Chamber of Commerce Industry, </w:t>
      </w:r>
      <w:r>
        <w:rPr>
          <w:sz w:val="16"/>
          <w:szCs w:val="16"/>
        </w:rPr>
        <w:t xml:space="preserve">the </w:t>
      </w:r>
      <w:r w:rsidRPr="00921434">
        <w:rPr>
          <w:sz w:val="16"/>
          <w:szCs w:val="16"/>
        </w:rPr>
        <w:t>Emerging Tourism Enterprises Association, the University of Namibia, Namibia University of Science and Technology</w:t>
      </w:r>
      <w:r>
        <w:rPr>
          <w:sz w:val="16"/>
          <w:szCs w:val="16"/>
        </w:rPr>
        <w:t>,</w:t>
      </w:r>
      <w:r w:rsidRPr="00921434">
        <w:rPr>
          <w:sz w:val="16"/>
          <w:szCs w:val="16"/>
        </w:rPr>
        <w:t xml:space="preserve"> and </w:t>
      </w:r>
      <w:r>
        <w:rPr>
          <w:sz w:val="16"/>
          <w:szCs w:val="16"/>
        </w:rPr>
        <w:t xml:space="preserve">the </w:t>
      </w:r>
      <w:r w:rsidRPr="00921434">
        <w:rPr>
          <w:sz w:val="16"/>
          <w:szCs w:val="16"/>
        </w:rPr>
        <w:t>International University of Management</w:t>
      </w:r>
    </w:p>
  </w:footnote>
  <w:footnote w:id="32">
    <w:p w14:paraId="3BE8E518" w14:textId="610EDA2A" w:rsidR="00CE019F" w:rsidRPr="00921434" w:rsidRDefault="00CE019F" w:rsidP="00077F18">
      <w:pPr>
        <w:pStyle w:val="FootnoteText"/>
        <w:rPr>
          <w:szCs w:val="16"/>
          <w:lang w:val="en-ZA"/>
        </w:rPr>
      </w:pPr>
      <w:r w:rsidRPr="00921434">
        <w:rPr>
          <w:rStyle w:val="FootnoteReference"/>
          <w:szCs w:val="16"/>
        </w:rPr>
        <w:footnoteRef/>
      </w:r>
      <w:r w:rsidRPr="00921434">
        <w:rPr>
          <w:szCs w:val="16"/>
        </w:rPr>
        <w:t xml:space="preserve"> </w:t>
      </w:r>
      <w:r w:rsidRPr="00921434">
        <w:rPr>
          <w:szCs w:val="16"/>
          <w:lang w:val="en-ZA"/>
        </w:rPr>
        <w:t>Common Country Assessment, 2017</w:t>
      </w:r>
    </w:p>
  </w:footnote>
  <w:footnote w:id="33">
    <w:p w14:paraId="70A99924" w14:textId="07347C3D" w:rsidR="00CE019F" w:rsidRPr="00493C25" w:rsidRDefault="00CE019F">
      <w:pPr>
        <w:pStyle w:val="FootnoteText"/>
        <w:rPr>
          <w:sz w:val="12"/>
        </w:rPr>
      </w:pPr>
      <w:r w:rsidRPr="00921434">
        <w:rPr>
          <w:rStyle w:val="FootnoteReference"/>
          <w:szCs w:val="16"/>
        </w:rPr>
        <w:footnoteRef/>
      </w:r>
      <w:r w:rsidRPr="00921434">
        <w:rPr>
          <w:szCs w:val="16"/>
        </w:rPr>
        <w:t xml:space="preserve"> The marginalized population includes the San, the Ovatue and </w:t>
      </w:r>
      <w:r>
        <w:rPr>
          <w:szCs w:val="16"/>
        </w:rPr>
        <w:t xml:space="preserve">the </w:t>
      </w:r>
      <w:r w:rsidRPr="00921434">
        <w:rPr>
          <w:szCs w:val="16"/>
        </w:rPr>
        <w:t>Ova</w:t>
      </w:r>
      <w:r>
        <w:rPr>
          <w:szCs w:val="16"/>
        </w:rPr>
        <w:t>h</w:t>
      </w:r>
      <w:r w:rsidRPr="00921434">
        <w:rPr>
          <w:szCs w:val="16"/>
        </w:rPr>
        <w:t>imba</w:t>
      </w:r>
      <w:r>
        <w:rPr>
          <w:szCs w:val="16"/>
        </w:rPr>
        <w:t>.</w:t>
      </w:r>
    </w:p>
  </w:footnote>
  <w:footnote w:id="34">
    <w:p w14:paraId="15E23444" w14:textId="3B3028FF" w:rsidR="00CE019F" w:rsidRPr="00921434" w:rsidRDefault="00CE019F">
      <w:pPr>
        <w:pStyle w:val="FootnoteText"/>
      </w:pPr>
      <w:r w:rsidRPr="00921434">
        <w:rPr>
          <w:rStyle w:val="FootnoteReference"/>
        </w:rPr>
        <w:footnoteRef/>
      </w:r>
      <w:r w:rsidRPr="00921434">
        <w:t xml:space="preserve"> Data will be also collected from </w:t>
      </w:r>
      <w:r>
        <w:t xml:space="preserve">Question Sets – Washington Group on </w:t>
      </w:r>
      <w:r w:rsidRPr="00921434">
        <w:t>disability statistics</w:t>
      </w:r>
      <w:r>
        <w:t>,</w:t>
      </w:r>
      <w:r w:rsidRPr="00921434">
        <w:t xml:space="preserve"> endorsed by UNDP and other </w:t>
      </w:r>
      <w:r>
        <w:t>United Nations organizations.</w:t>
      </w:r>
    </w:p>
  </w:footnote>
  <w:footnote w:id="35">
    <w:p w14:paraId="4580EED6" w14:textId="77EC33C7" w:rsidR="00CE019F" w:rsidRPr="00493C25" w:rsidRDefault="00CE019F" w:rsidP="007A33A2">
      <w:pPr>
        <w:pStyle w:val="FootnoteText"/>
        <w:rPr>
          <w:sz w:val="12"/>
        </w:rPr>
      </w:pPr>
      <w:r w:rsidRPr="00921434">
        <w:rPr>
          <w:rStyle w:val="FootnoteReference"/>
        </w:rPr>
        <w:footnoteRef/>
      </w:r>
      <w:r w:rsidRPr="00921434">
        <w:t xml:space="preserve"> </w:t>
      </w:r>
      <w:r>
        <w:rPr>
          <w:lang w:val="en-ZW" w:eastAsia="en-ZA"/>
        </w:rPr>
        <w:t>Such as the Anti-Corruption Commission</w:t>
      </w:r>
      <w:r w:rsidRPr="00921434">
        <w:rPr>
          <w:lang w:val="en-ZW" w:eastAsia="en-ZA"/>
        </w:rPr>
        <w:t xml:space="preserve">, Parliament, </w:t>
      </w:r>
      <w:r>
        <w:rPr>
          <w:lang w:val="en-ZW" w:eastAsia="en-ZA"/>
        </w:rPr>
        <w:t xml:space="preserve">the </w:t>
      </w:r>
      <w:r w:rsidRPr="00921434">
        <w:rPr>
          <w:lang w:val="en-ZW" w:eastAsia="en-ZA"/>
        </w:rPr>
        <w:t xml:space="preserve">Office of the Prime Minister, </w:t>
      </w:r>
      <w:r>
        <w:rPr>
          <w:lang w:val="en-ZW" w:eastAsia="en-ZA"/>
        </w:rPr>
        <w:t xml:space="preserve">the Ministry of </w:t>
      </w:r>
      <w:r w:rsidRPr="00921434">
        <w:rPr>
          <w:lang w:val="en-ZW" w:eastAsia="en-ZA"/>
        </w:rPr>
        <w:t>Justice</w:t>
      </w:r>
      <w:r>
        <w:rPr>
          <w:lang w:val="en-ZW" w:eastAsia="en-ZA"/>
        </w:rPr>
        <w:t xml:space="preserve">, and the </w:t>
      </w:r>
      <w:r w:rsidRPr="00921434">
        <w:rPr>
          <w:lang w:val="en-ZW" w:eastAsia="en-ZA"/>
        </w:rPr>
        <w:t>Environmental Commission</w:t>
      </w:r>
    </w:p>
  </w:footnote>
  <w:footnote w:id="36">
    <w:p w14:paraId="4771E4D3" w14:textId="07B3E10F" w:rsidR="00CE019F" w:rsidRPr="00921434" w:rsidRDefault="00CE019F">
      <w:pPr>
        <w:pStyle w:val="FootnoteText"/>
        <w:rPr>
          <w:szCs w:val="16"/>
        </w:rPr>
      </w:pPr>
      <w:r w:rsidRPr="00921434">
        <w:rPr>
          <w:rStyle w:val="FootnoteReference"/>
          <w:szCs w:val="16"/>
        </w:rPr>
        <w:footnoteRef/>
      </w:r>
      <w:r>
        <w:rPr>
          <w:szCs w:val="16"/>
        </w:rPr>
        <w:t xml:space="preserve"> I</w:t>
      </w:r>
      <w:r w:rsidRPr="00921434">
        <w:rPr>
          <w:szCs w:val="16"/>
        </w:rPr>
        <w:t>nclud</w:t>
      </w:r>
      <w:r>
        <w:rPr>
          <w:szCs w:val="16"/>
        </w:rPr>
        <w:t>ing</w:t>
      </w:r>
      <w:r w:rsidRPr="00921434">
        <w:rPr>
          <w:szCs w:val="16"/>
        </w:rPr>
        <w:t xml:space="preserve"> droughts, floods and disease outbreaks</w:t>
      </w:r>
    </w:p>
  </w:footnote>
  <w:footnote w:id="37">
    <w:p w14:paraId="5C30C274" w14:textId="747E9BE4" w:rsidR="00CE019F" w:rsidRPr="00921434" w:rsidRDefault="00CE019F">
      <w:pPr>
        <w:pStyle w:val="FootnoteText"/>
        <w:rPr>
          <w:szCs w:val="16"/>
          <w:lang w:val="en-ZA"/>
        </w:rPr>
      </w:pPr>
      <w:r w:rsidRPr="00921434">
        <w:rPr>
          <w:rStyle w:val="FootnoteReference"/>
          <w:szCs w:val="16"/>
        </w:rPr>
        <w:footnoteRef/>
      </w:r>
      <w:r w:rsidRPr="00921434">
        <w:rPr>
          <w:szCs w:val="16"/>
        </w:rPr>
        <w:t xml:space="preserve"> Index for Risk Management, 2018</w:t>
      </w:r>
    </w:p>
  </w:footnote>
  <w:footnote w:id="38">
    <w:p w14:paraId="55A0D3F3" w14:textId="7CDD31C6" w:rsidR="00CE019F" w:rsidRPr="00680AA3" w:rsidRDefault="00CE019F" w:rsidP="00680AA3">
      <w:pPr>
        <w:rPr>
          <w:sz w:val="16"/>
          <w:lang w:val="en-GB" w:eastAsia="fr-FR"/>
        </w:rPr>
      </w:pPr>
      <w:r w:rsidRPr="00680AA3">
        <w:rPr>
          <w:rStyle w:val="FootnoteReference"/>
          <w:sz w:val="16"/>
        </w:rPr>
        <w:footnoteRef/>
      </w:r>
      <w:r w:rsidRPr="00680AA3">
        <w:rPr>
          <w:rStyle w:val="FootnoteReference"/>
        </w:rPr>
        <w:t xml:space="preserve"> </w:t>
      </w:r>
      <w:r w:rsidRPr="00680AA3">
        <w:rPr>
          <w:sz w:val="16"/>
          <w:lang w:val="en-GB" w:eastAsia="fr-FR"/>
        </w:rPr>
        <w:t>Such as the Southern African Development Community</w:t>
      </w:r>
      <w:r>
        <w:rPr>
          <w:sz w:val="16"/>
          <w:lang w:val="en-GB" w:eastAsia="fr-FR"/>
        </w:rPr>
        <w:t xml:space="preserve"> </w:t>
      </w:r>
      <w:r w:rsidRPr="00680AA3">
        <w:rPr>
          <w:sz w:val="16"/>
          <w:lang w:val="en-GB" w:eastAsia="fr-FR"/>
        </w:rPr>
        <w:t xml:space="preserve">and </w:t>
      </w:r>
      <w:r>
        <w:rPr>
          <w:sz w:val="16"/>
          <w:lang w:val="en-GB" w:eastAsia="fr-FR"/>
        </w:rPr>
        <w:t xml:space="preserve">the </w:t>
      </w:r>
      <w:r w:rsidRPr="006C1452">
        <w:rPr>
          <w:sz w:val="16"/>
          <w:lang w:val="en-GB" w:eastAsia="fr-FR"/>
        </w:rPr>
        <w:t>Southern</w:t>
      </w:r>
      <w:r w:rsidRPr="00680AA3">
        <w:rPr>
          <w:lang w:val="en-GB" w:eastAsia="fr-FR"/>
        </w:rPr>
        <w:t xml:space="preserve"> </w:t>
      </w:r>
      <w:r w:rsidRPr="006C1452">
        <w:rPr>
          <w:sz w:val="16"/>
          <w:lang w:val="en-GB" w:eastAsia="fr-FR"/>
        </w:rPr>
        <w:t>African Customs Union</w:t>
      </w:r>
      <w:r w:rsidRPr="00D001EE">
        <w:rPr>
          <w:sz w:val="16"/>
          <w:lang w:val="en-GB" w:eastAsia="fr-FR"/>
        </w:rPr>
        <w:t xml:space="preserve"> </w:t>
      </w:r>
    </w:p>
  </w:footnote>
  <w:footnote w:id="39">
    <w:p w14:paraId="15EFFC21" w14:textId="00055BD1" w:rsidR="00CE019F" w:rsidRPr="000A5565" w:rsidRDefault="00CE019F">
      <w:pPr>
        <w:pStyle w:val="FootnoteText"/>
        <w:rPr>
          <w:sz w:val="12"/>
        </w:rPr>
      </w:pPr>
      <w:r w:rsidRPr="00921434">
        <w:rPr>
          <w:rStyle w:val="FootnoteReference"/>
        </w:rPr>
        <w:footnoteRef/>
      </w:r>
      <w:r w:rsidRPr="00921434">
        <w:t xml:space="preserve"> </w:t>
      </w:r>
      <w:r>
        <w:rPr>
          <w:lang w:val="en-GB" w:eastAsia="fr-FR"/>
        </w:rPr>
        <w:t>I</w:t>
      </w:r>
      <w:r w:rsidRPr="00921434">
        <w:rPr>
          <w:lang w:val="en-GB" w:eastAsia="fr-FR"/>
        </w:rPr>
        <w:t xml:space="preserve">ncluding UNFPA, </w:t>
      </w:r>
      <w:r>
        <w:rPr>
          <w:lang w:val="en-GB" w:eastAsia="fr-FR"/>
        </w:rPr>
        <w:t>the United Nations Children’s Fund</w:t>
      </w:r>
      <w:r w:rsidRPr="00921434">
        <w:rPr>
          <w:lang w:val="en-GB" w:eastAsia="fr-FR"/>
        </w:rPr>
        <w:t xml:space="preserve">, </w:t>
      </w:r>
      <w:r>
        <w:rPr>
          <w:lang w:val="en-GB" w:eastAsia="fr-FR"/>
        </w:rPr>
        <w:t>the World Food Programme (WFP)</w:t>
      </w:r>
      <w:r w:rsidRPr="00921434">
        <w:rPr>
          <w:lang w:val="en-GB" w:eastAsia="fr-FR"/>
        </w:rPr>
        <w:t xml:space="preserve">, </w:t>
      </w:r>
      <w:r>
        <w:rPr>
          <w:lang w:val="en-GB" w:eastAsia="fr-FR"/>
        </w:rPr>
        <w:t>the Food and Agriculture Organization (</w:t>
      </w:r>
      <w:r w:rsidRPr="00921434">
        <w:rPr>
          <w:lang w:val="en-GB" w:eastAsia="fr-FR"/>
        </w:rPr>
        <w:t>FAO</w:t>
      </w:r>
      <w:r>
        <w:rPr>
          <w:lang w:val="en-GB" w:eastAsia="fr-FR"/>
        </w:rPr>
        <w:t>),</w:t>
      </w:r>
      <w:r w:rsidRPr="00921434">
        <w:rPr>
          <w:lang w:val="en-GB" w:eastAsia="fr-FR"/>
        </w:rPr>
        <w:t xml:space="preserve"> and </w:t>
      </w:r>
      <w:r>
        <w:rPr>
          <w:lang w:val="en-GB" w:eastAsia="fr-FR"/>
        </w:rPr>
        <w:t>the World Health Organization (</w:t>
      </w:r>
      <w:r w:rsidRPr="00921434">
        <w:rPr>
          <w:lang w:val="en-GB" w:eastAsia="fr-FR"/>
        </w:rPr>
        <w:t>WHO</w:t>
      </w:r>
      <w:r>
        <w:rPr>
          <w:lang w:val="en-GB"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E019F" w:rsidRPr="004D3B46" w14:paraId="3A26C359" w14:textId="77777777" w:rsidTr="00296CEA">
      <w:trPr>
        <w:trHeight w:hRule="exact" w:val="864"/>
      </w:trPr>
      <w:tc>
        <w:tcPr>
          <w:tcW w:w="4838" w:type="dxa"/>
          <w:tcBorders>
            <w:bottom w:val="single" w:sz="4" w:space="0" w:color="auto"/>
          </w:tcBorders>
          <w:vAlign w:val="bottom"/>
        </w:tcPr>
        <w:p w14:paraId="1C6B35C4" w14:textId="19877B62" w:rsidR="00CE019F" w:rsidRPr="004D3B46" w:rsidRDefault="00CE019F" w:rsidP="004D3B46">
          <w:pPr>
            <w:widowControl w:val="0"/>
            <w:tabs>
              <w:tab w:val="center" w:pos="4320"/>
              <w:tab w:val="right" w:pos="8640"/>
            </w:tabs>
            <w:spacing w:after="80"/>
            <w:rPr>
              <w:rFonts w:eastAsia="Times New Roman"/>
              <w:b/>
              <w:sz w:val="17"/>
              <w:szCs w:val="17"/>
            </w:rPr>
          </w:pPr>
          <w:r w:rsidRPr="004D3B46">
            <w:rPr>
              <w:rFonts w:eastAsia="Times New Roman"/>
              <w:b/>
              <w:sz w:val="17"/>
              <w:szCs w:val="17"/>
            </w:rPr>
            <w:t>DP/DCP/NAM/</w:t>
          </w:r>
          <w:r>
            <w:rPr>
              <w:rFonts w:eastAsia="Times New Roman"/>
              <w:b/>
              <w:sz w:val="17"/>
              <w:szCs w:val="17"/>
            </w:rPr>
            <w:t>3</w:t>
          </w:r>
        </w:p>
      </w:tc>
      <w:tc>
        <w:tcPr>
          <w:tcW w:w="5047" w:type="dxa"/>
          <w:tcBorders>
            <w:bottom w:val="single" w:sz="4" w:space="0" w:color="auto"/>
          </w:tcBorders>
          <w:vAlign w:val="bottom"/>
        </w:tcPr>
        <w:p w14:paraId="57FA589F" w14:textId="77777777" w:rsidR="00CE019F" w:rsidRPr="004D3B46" w:rsidRDefault="00CE019F" w:rsidP="004D3B46">
          <w:pPr>
            <w:widowControl w:val="0"/>
            <w:tabs>
              <w:tab w:val="center" w:pos="4320"/>
              <w:tab w:val="right" w:pos="8640"/>
            </w:tabs>
            <w:rPr>
              <w:rFonts w:eastAsia="Times New Roman"/>
              <w:sz w:val="17"/>
              <w:szCs w:val="17"/>
            </w:rPr>
          </w:pPr>
        </w:p>
      </w:tc>
    </w:tr>
  </w:tbl>
  <w:p w14:paraId="0C2A2F60" w14:textId="77777777" w:rsidR="00CE019F" w:rsidRPr="00F926D5" w:rsidRDefault="00CE019F" w:rsidP="00F926D5">
    <w:pPr>
      <w:pStyle w:val="Header"/>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E019F" w:rsidRPr="00F926D5" w14:paraId="59A9436A" w14:textId="77777777" w:rsidTr="00296CEA">
      <w:trPr>
        <w:trHeight w:hRule="exact" w:val="864"/>
      </w:trPr>
      <w:tc>
        <w:tcPr>
          <w:tcW w:w="4838" w:type="dxa"/>
          <w:tcBorders>
            <w:bottom w:val="single" w:sz="4" w:space="0" w:color="auto"/>
          </w:tcBorders>
          <w:vAlign w:val="bottom"/>
        </w:tcPr>
        <w:p w14:paraId="79E30F84" w14:textId="77777777" w:rsidR="00CE019F" w:rsidRPr="00F926D5" w:rsidRDefault="00CE019F" w:rsidP="00F926D5">
          <w:pPr>
            <w:widowControl w:val="0"/>
            <w:tabs>
              <w:tab w:val="center" w:pos="4320"/>
              <w:tab w:val="right" w:pos="8640"/>
            </w:tabs>
            <w:spacing w:after="80"/>
            <w:rPr>
              <w:rFonts w:eastAsia="Times New Roman"/>
              <w:b/>
              <w:sz w:val="17"/>
              <w:szCs w:val="17"/>
            </w:rPr>
          </w:pPr>
        </w:p>
      </w:tc>
      <w:tc>
        <w:tcPr>
          <w:tcW w:w="5047" w:type="dxa"/>
          <w:tcBorders>
            <w:bottom w:val="single" w:sz="4" w:space="0" w:color="auto"/>
          </w:tcBorders>
          <w:vAlign w:val="bottom"/>
        </w:tcPr>
        <w:p w14:paraId="16D738C3" w14:textId="6F9906FC" w:rsidR="00CE019F" w:rsidRPr="00F926D5" w:rsidRDefault="00CE019F" w:rsidP="00F926D5">
          <w:pPr>
            <w:widowControl w:val="0"/>
            <w:tabs>
              <w:tab w:val="center" w:pos="4320"/>
              <w:tab w:val="right" w:pos="8640"/>
            </w:tabs>
            <w:jc w:val="right"/>
            <w:rPr>
              <w:rFonts w:eastAsia="Times New Roman"/>
              <w:sz w:val="17"/>
              <w:szCs w:val="17"/>
            </w:rPr>
          </w:pPr>
          <w:r w:rsidRPr="00F926D5">
            <w:rPr>
              <w:rFonts w:eastAsia="Times New Roman"/>
              <w:b/>
              <w:sz w:val="17"/>
              <w:szCs w:val="17"/>
            </w:rPr>
            <w:t>DP/DCP/N</w:t>
          </w:r>
          <w:r>
            <w:rPr>
              <w:rFonts w:eastAsia="Times New Roman"/>
              <w:b/>
              <w:sz w:val="17"/>
              <w:szCs w:val="17"/>
            </w:rPr>
            <w:t>AM</w:t>
          </w:r>
          <w:r w:rsidRPr="00F926D5">
            <w:rPr>
              <w:rFonts w:eastAsia="Times New Roman"/>
              <w:b/>
              <w:sz w:val="17"/>
              <w:szCs w:val="17"/>
            </w:rPr>
            <w:t>/3</w:t>
          </w:r>
        </w:p>
      </w:tc>
    </w:tr>
  </w:tbl>
  <w:p w14:paraId="0097ED7E" w14:textId="77777777" w:rsidR="00CE019F" w:rsidRPr="00F926D5" w:rsidRDefault="00CE019F" w:rsidP="00F926D5">
    <w:pPr>
      <w:pStyle w:val="Header"/>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E019F" w:rsidRPr="00537B86" w14:paraId="79DE6C2F" w14:textId="77777777" w:rsidTr="00296CEA">
      <w:trPr>
        <w:trHeight w:hRule="exact" w:val="864"/>
      </w:trPr>
      <w:tc>
        <w:tcPr>
          <w:tcW w:w="1267" w:type="dxa"/>
          <w:tcBorders>
            <w:bottom w:val="single" w:sz="4" w:space="0" w:color="auto"/>
          </w:tcBorders>
          <w:shd w:val="clear" w:color="auto" w:fill="auto"/>
          <w:vAlign w:val="bottom"/>
        </w:tcPr>
        <w:p w14:paraId="57E04E9F" w14:textId="77777777" w:rsidR="00CE019F" w:rsidRPr="00537B86" w:rsidRDefault="00CE019F" w:rsidP="00537B86">
          <w:pPr>
            <w:tabs>
              <w:tab w:val="center" w:pos="4320"/>
              <w:tab w:val="right" w:pos="8640"/>
            </w:tabs>
            <w:spacing w:after="120"/>
            <w:rPr>
              <w:rFonts w:eastAsia="Times New Roman"/>
              <w:noProof/>
              <w:sz w:val="17"/>
            </w:rPr>
          </w:pPr>
        </w:p>
      </w:tc>
      <w:tc>
        <w:tcPr>
          <w:tcW w:w="1872" w:type="dxa"/>
          <w:tcBorders>
            <w:bottom w:val="single" w:sz="4" w:space="0" w:color="auto"/>
          </w:tcBorders>
          <w:shd w:val="clear" w:color="auto" w:fill="auto"/>
          <w:vAlign w:val="bottom"/>
        </w:tcPr>
        <w:p w14:paraId="53350313" w14:textId="77777777" w:rsidR="00CE019F" w:rsidRPr="00537B86" w:rsidRDefault="00CE019F" w:rsidP="00537B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imes New Roman"/>
              <w:spacing w:val="2"/>
              <w:w w:val="96"/>
              <w:kern w:val="14"/>
              <w:sz w:val="28"/>
              <w:lang w:val="en-GB"/>
            </w:rPr>
          </w:pPr>
          <w:r w:rsidRPr="00537B86">
            <w:rPr>
              <w:rFonts w:eastAsia="Times New Roman"/>
              <w:spacing w:val="2"/>
              <w:w w:val="96"/>
              <w:kern w:val="14"/>
              <w:sz w:val="28"/>
              <w:lang w:val="en-GB"/>
            </w:rPr>
            <w:t>United Nations</w:t>
          </w:r>
        </w:p>
      </w:tc>
      <w:tc>
        <w:tcPr>
          <w:tcW w:w="245" w:type="dxa"/>
          <w:tcBorders>
            <w:bottom w:val="single" w:sz="4" w:space="0" w:color="auto"/>
          </w:tcBorders>
          <w:shd w:val="clear" w:color="auto" w:fill="auto"/>
          <w:vAlign w:val="bottom"/>
        </w:tcPr>
        <w:p w14:paraId="33C3DD86" w14:textId="77777777" w:rsidR="00CE019F" w:rsidRPr="00537B86" w:rsidRDefault="00CE019F" w:rsidP="00537B86">
          <w:pPr>
            <w:tabs>
              <w:tab w:val="center" w:pos="4320"/>
              <w:tab w:val="right" w:pos="8640"/>
            </w:tabs>
            <w:spacing w:after="120"/>
            <w:rPr>
              <w:rFonts w:eastAsia="Times New Roman"/>
              <w:noProof/>
              <w:sz w:val="17"/>
            </w:rPr>
          </w:pPr>
        </w:p>
      </w:tc>
      <w:tc>
        <w:tcPr>
          <w:tcW w:w="6523" w:type="dxa"/>
          <w:gridSpan w:val="4"/>
          <w:tcBorders>
            <w:bottom w:val="single" w:sz="4" w:space="0" w:color="auto"/>
          </w:tcBorders>
          <w:shd w:val="clear" w:color="auto" w:fill="auto"/>
          <w:vAlign w:val="bottom"/>
        </w:tcPr>
        <w:p w14:paraId="7C162D8D" w14:textId="13C5FD94" w:rsidR="00CE019F" w:rsidRPr="00537B86" w:rsidRDefault="00CE019F" w:rsidP="00537B86">
          <w:pPr>
            <w:suppressAutoHyphens/>
            <w:spacing w:after="80"/>
            <w:jc w:val="right"/>
            <w:rPr>
              <w:rFonts w:eastAsia="Times New Roman"/>
              <w:spacing w:val="4"/>
              <w:w w:val="103"/>
              <w:kern w:val="14"/>
              <w:position w:val="-4"/>
              <w:lang w:val="en-GB"/>
            </w:rPr>
          </w:pPr>
          <w:r w:rsidRPr="00537B86">
            <w:rPr>
              <w:rFonts w:eastAsia="Times New Roman"/>
              <w:spacing w:val="4"/>
              <w:w w:val="103"/>
              <w:kern w:val="14"/>
              <w:position w:val="-4"/>
              <w:sz w:val="40"/>
              <w:lang w:val="en-GB"/>
            </w:rPr>
            <w:t>DP</w:t>
          </w:r>
          <w:r w:rsidRPr="00537B86">
            <w:rPr>
              <w:rFonts w:eastAsia="Times New Roman"/>
              <w:spacing w:val="4"/>
              <w:w w:val="103"/>
              <w:kern w:val="14"/>
              <w:position w:val="-4"/>
              <w:lang w:val="en-GB"/>
            </w:rPr>
            <w:t>/DCP/NAM/</w:t>
          </w:r>
          <w:r>
            <w:rPr>
              <w:rFonts w:eastAsia="Times New Roman"/>
              <w:spacing w:val="4"/>
              <w:w w:val="103"/>
              <w:kern w:val="14"/>
              <w:position w:val="-4"/>
              <w:lang w:val="en-GB"/>
            </w:rPr>
            <w:t>3</w:t>
          </w:r>
        </w:p>
      </w:tc>
    </w:tr>
    <w:tr w:rsidR="00CE019F" w:rsidRPr="00537B86" w14:paraId="682AA44A" w14:textId="77777777" w:rsidTr="00296CEA">
      <w:trPr>
        <w:gridAfter w:val="1"/>
        <w:wAfter w:w="28" w:type="dxa"/>
        <w:trHeight w:hRule="exact" w:val="2880"/>
      </w:trPr>
      <w:tc>
        <w:tcPr>
          <w:tcW w:w="1267" w:type="dxa"/>
          <w:tcBorders>
            <w:top w:val="single" w:sz="4" w:space="0" w:color="auto"/>
            <w:bottom w:val="single" w:sz="12" w:space="0" w:color="auto"/>
          </w:tcBorders>
          <w:shd w:val="clear" w:color="auto" w:fill="auto"/>
        </w:tcPr>
        <w:p w14:paraId="64E951EA" w14:textId="508587A5" w:rsidR="00CE019F" w:rsidRPr="00537B86" w:rsidRDefault="00CE019F" w:rsidP="00537B86">
          <w:pPr>
            <w:tabs>
              <w:tab w:val="center" w:pos="4320"/>
              <w:tab w:val="right" w:pos="8640"/>
            </w:tabs>
            <w:spacing w:before="109"/>
            <w:rPr>
              <w:rFonts w:eastAsia="Times New Roman"/>
              <w:noProof/>
              <w:sz w:val="17"/>
            </w:rPr>
          </w:pPr>
          <w:r w:rsidRPr="00537B86">
            <w:rPr>
              <w:rFonts w:eastAsia="Times New Roman"/>
              <w:noProof/>
              <w:sz w:val="17"/>
            </w:rPr>
            <w:t xml:space="preserve"> </w:t>
          </w:r>
          <w:r w:rsidRPr="00F02CF4">
            <w:rPr>
              <w:noProof/>
              <w:sz w:val="17"/>
            </w:rPr>
            <w:drawing>
              <wp:inline distT="0" distB="0" distL="0" distR="0" wp14:anchorId="40AD6AA0" wp14:editId="4A343942">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5F86E2C" w14:textId="77777777" w:rsidR="00CE019F" w:rsidRPr="00537B86" w:rsidRDefault="00CE019F" w:rsidP="00537B86">
          <w:pPr>
            <w:tabs>
              <w:tab w:val="center" w:pos="4320"/>
              <w:tab w:val="right" w:pos="8640"/>
            </w:tabs>
            <w:spacing w:before="109"/>
            <w:rPr>
              <w:rFonts w:eastAsia="Times New Roman"/>
              <w:noProof/>
              <w:sz w:val="17"/>
            </w:rPr>
          </w:pPr>
        </w:p>
      </w:tc>
      <w:tc>
        <w:tcPr>
          <w:tcW w:w="5227" w:type="dxa"/>
          <w:gridSpan w:val="3"/>
          <w:tcBorders>
            <w:top w:val="single" w:sz="4" w:space="0" w:color="auto"/>
            <w:bottom w:val="single" w:sz="12" w:space="0" w:color="auto"/>
          </w:tcBorders>
          <w:shd w:val="clear" w:color="auto" w:fill="auto"/>
        </w:tcPr>
        <w:p w14:paraId="06A78AF8" w14:textId="77777777" w:rsidR="00CE019F" w:rsidRPr="00537B86" w:rsidRDefault="00CE019F" w:rsidP="00537B8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imes New Roman"/>
              <w:b/>
              <w:spacing w:val="-4"/>
              <w:w w:val="98"/>
              <w:kern w:val="14"/>
              <w:sz w:val="34"/>
              <w:lang w:val="en-GB"/>
            </w:rPr>
          </w:pPr>
          <w:r w:rsidRPr="00537B86">
            <w:rPr>
              <w:rFonts w:eastAsia="Times New Roman"/>
              <w:b/>
              <w:spacing w:val="-4"/>
              <w:w w:val="98"/>
              <w:kern w:val="14"/>
              <w:sz w:val="34"/>
              <w:lang w:val="en-GB"/>
            </w:rPr>
            <w:t>Executive Board of the</w:t>
          </w:r>
          <w:r w:rsidRPr="00537B86">
            <w:rPr>
              <w:rFonts w:eastAsia="Times New Roman"/>
              <w:b/>
              <w:spacing w:val="-4"/>
              <w:w w:val="98"/>
              <w:kern w:val="14"/>
              <w:sz w:val="34"/>
              <w:lang w:val="en-GB"/>
            </w:rPr>
            <w:br/>
            <w:t>United Nations Development</w:t>
          </w:r>
          <w:r w:rsidRPr="00537B86">
            <w:rPr>
              <w:rFonts w:eastAsia="Times New Roman"/>
              <w:b/>
              <w:spacing w:val="-4"/>
              <w:w w:val="98"/>
              <w:kern w:val="14"/>
              <w:sz w:val="34"/>
              <w:lang w:val="en-GB"/>
            </w:rPr>
            <w:br/>
            <w:t>Programme, the United Nations Population Fund and the</w:t>
          </w:r>
          <w:r w:rsidRPr="00537B86">
            <w:rPr>
              <w:rFonts w:eastAsia="Times New Roman"/>
              <w:b/>
              <w:spacing w:val="-4"/>
              <w:w w:val="98"/>
              <w:kern w:val="14"/>
              <w:sz w:val="34"/>
              <w:lang w:val="en-GB"/>
            </w:rPr>
            <w:br/>
            <w:t>United Nations Office for</w:t>
          </w:r>
          <w:r w:rsidRPr="00537B86">
            <w:rPr>
              <w:rFonts w:eastAsia="Times New Roman"/>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648AFEAB" w14:textId="77777777" w:rsidR="00CE019F" w:rsidRPr="00537B86" w:rsidRDefault="00CE019F" w:rsidP="00537B86">
          <w:pPr>
            <w:tabs>
              <w:tab w:val="center" w:pos="4320"/>
              <w:tab w:val="right" w:pos="8640"/>
            </w:tabs>
            <w:spacing w:before="109"/>
            <w:rPr>
              <w:rFonts w:eastAsia="Times New Roman"/>
              <w:noProof/>
              <w:sz w:val="17"/>
            </w:rPr>
          </w:pPr>
        </w:p>
      </w:tc>
      <w:tc>
        <w:tcPr>
          <w:tcW w:w="3140" w:type="dxa"/>
          <w:tcBorders>
            <w:top w:val="single" w:sz="4" w:space="0" w:color="auto"/>
            <w:bottom w:val="single" w:sz="12" w:space="0" w:color="auto"/>
          </w:tcBorders>
          <w:shd w:val="clear" w:color="auto" w:fill="auto"/>
        </w:tcPr>
        <w:p w14:paraId="4358D743" w14:textId="77777777" w:rsidR="00CE019F" w:rsidRPr="00537B86" w:rsidRDefault="00CE019F" w:rsidP="00537B86">
          <w:pPr>
            <w:suppressAutoHyphens/>
            <w:spacing w:before="240" w:line="240" w:lineRule="exact"/>
            <w:rPr>
              <w:rFonts w:eastAsia="Times New Roman"/>
              <w:spacing w:val="4"/>
              <w:w w:val="103"/>
              <w:kern w:val="14"/>
              <w:lang w:val="en-GB"/>
            </w:rPr>
          </w:pPr>
          <w:r w:rsidRPr="00537B86">
            <w:rPr>
              <w:rFonts w:eastAsia="Times New Roman"/>
              <w:spacing w:val="4"/>
              <w:w w:val="103"/>
              <w:kern w:val="14"/>
              <w:lang w:val="en-GB"/>
            </w:rPr>
            <w:t>Distr.: General</w:t>
          </w:r>
        </w:p>
        <w:p w14:paraId="424709D2" w14:textId="0F953EA0" w:rsidR="00CE019F" w:rsidRPr="00537B86" w:rsidRDefault="00591857" w:rsidP="00537B86">
          <w:pPr>
            <w:suppressAutoHyphens/>
            <w:spacing w:line="240" w:lineRule="exact"/>
            <w:rPr>
              <w:rFonts w:eastAsia="Times New Roman"/>
              <w:spacing w:val="4"/>
              <w:w w:val="103"/>
              <w:kern w:val="14"/>
              <w:lang w:val="en-GB"/>
            </w:rPr>
          </w:pPr>
          <w:r>
            <w:rPr>
              <w:rFonts w:eastAsia="Times New Roman"/>
              <w:spacing w:val="4"/>
              <w:w w:val="103"/>
              <w:kern w:val="14"/>
              <w:lang w:val="en-GB"/>
            </w:rPr>
            <w:t>12</w:t>
          </w:r>
          <w:r w:rsidR="00CE019F" w:rsidRPr="00537B86">
            <w:rPr>
              <w:rFonts w:eastAsia="Times New Roman"/>
              <w:spacing w:val="4"/>
              <w:w w:val="103"/>
              <w:kern w:val="14"/>
              <w:lang w:val="en-GB"/>
            </w:rPr>
            <w:t xml:space="preserve"> </w:t>
          </w:r>
          <w:r>
            <w:rPr>
              <w:rFonts w:eastAsia="Times New Roman"/>
              <w:spacing w:val="4"/>
              <w:w w:val="103"/>
              <w:kern w:val="14"/>
              <w:lang w:val="en-GB"/>
            </w:rPr>
            <w:t>June</w:t>
          </w:r>
          <w:r w:rsidR="00CE019F" w:rsidRPr="00537B86">
            <w:rPr>
              <w:rFonts w:eastAsia="Times New Roman"/>
              <w:spacing w:val="4"/>
              <w:w w:val="103"/>
              <w:kern w:val="14"/>
              <w:lang w:val="en-GB"/>
            </w:rPr>
            <w:t xml:space="preserve"> 201</w:t>
          </w:r>
          <w:r w:rsidR="00CE019F">
            <w:rPr>
              <w:rFonts w:eastAsia="Times New Roman"/>
              <w:spacing w:val="4"/>
              <w:w w:val="103"/>
              <w:kern w:val="14"/>
              <w:lang w:val="en-GB"/>
            </w:rPr>
            <w:t>8</w:t>
          </w:r>
        </w:p>
        <w:p w14:paraId="3A508705" w14:textId="77777777" w:rsidR="00CE019F" w:rsidRPr="00537B86" w:rsidRDefault="00CE019F" w:rsidP="00537B86">
          <w:pPr>
            <w:suppressAutoHyphens/>
            <w:spacing w:line="240" w:lineRule="exact"/>
            <w:rPr>
              <w:rFonts w:eastAsia="Times New Roman"/>
              <w:spacing w:val="4"/>
              <w:w w:val="103"/>
              <w:kern w:val="14"/>
              <w:lang w:val="en-GB"/>
            </w:rPr>
          </w:pPr>
        </w:p>
        <w:p w14:paraId="3E589A77" w14:textId="77777777" w:rsidR="00CE019F" w:rsidRPr="00537B86" w:rsidRDefault="00CE019F" w:rsidP="00537B86">
          <w:pPr>
            <w:suppressAutoHyphens/>
            <w:spacing w:line="240" w:lineRule="exact"/>
            <w:rPr>
              <w:rFonts w:eastAsia="Times New Roman"/>
              <w:spacing w:val="4"/>
              <w:w w:val="103"/>
              <w:kern w:val="14"/>
              <w:lang w:val="en-GB"/>
            </w:rPr>
          </w:pPr>
          <w:r w:rsidRPr="00537B86">
            <w:rPr>
              <w:rFonts w:eastAsia="Times New Roman"/>
              <w:spacing w:val="4"/>
              <w:w w:val="103"/>
              <w:kern w:val="14"/>
              <w:lang w:val="en-GB"/>
            </w:rPr>
            <w:t>Original: English</w:t>
          </w:r>
        </w:p>
      </w:tc>
    </w:tr>
  </w:tbl>
  <w:p w14:paraId="3EEBDB12" w14:textId="77777777" w:rsidR="00CE019F" w:rsidRPr="00537B86" w:rsidRDefault="00CE019F">
    <w:pPr>
      <w:pStyle w:val="Header"/>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E019F" w:rsidRPr="00EE5D47" w14:paraId="785DE4C9" w14:textId="77777777" w:rsidTr="00296CEA">
      <w:trPr>
        <w:trHeight w:hRule="exact" w:val="864"/>
      </w:trPr>
      <w:tc>
        <w:tcPr>
          <w:tcW w:w="4838" w:type="dxa"/>
          <w:tcBorders>
            <w:bottom w:val="single" w:sz="4" w:space="0" w:color="auto"/>
          </w:tcBorders>
          <w:vAlign w:val="bottom"/>
        </w:tcPr>
        <w:p w14:paraId="6AE537F2" w14:textId="66C5A367" w:rsidR="00CE019F" w:rsidRPr="00EE5D47" w:rsidRDefault="00CE019F" w:rsidP="00EE5D47">
          <w:pPr>
            <w:widowControl w:val="0"/>
            <w:tabs>
              <w:tab w:val="center" w:pos="4320"/>
              <w:tab w:val="right" w:pos="8640"/>
            </w:tabs>
            <w:spacing w:after="80"/>
            <w:rPr>
              <w:rFonts w:eastAsia="Times New Roman"/>
              <w:b/>
              <w:sz w:val="17"/>
              <w:szCs w:val="17"/>
            </w:rPr>
          </w:pPr>
          <w:r w:rsidRPr="00EE5D47">
            <w:rPr>
              <w:rFonts w:eastAsia="Times New Roman"/>
              <w:b/>
              <w:sz w:val="17"/>
              <w:szCs w:val="17"/>
            </w:rPr>
            <w:t>DP/DCP/N</w:t>
          </w:r>
          <w:r>
            <w:rPr>
              <w:rFonts w:eastAsia="Times New Roman"/>
              <w:b/>
              <w:sz w:val="17"/>
              <w:szCs w:val="17"/>
            </w:rPr>
            <w:t>AM</w:t>
          </w:r>
          <w:r w:rsidRPr="00EE5D47">
            <w:rPr>
              <w:rFonts w:eastAsia="Times New Roman"/>
              <w:b/>
              <w:sz w:val="17"/>
              <w:szCs w:val="17"/>
            </w:rPr>
            <w:t>/3</w:t>
          </w:r>
        </w:p>
      </w:tc>
      <w:tc>
        <w:tcPr>
          <w:tcW w:w="8276" w:type="dxa"/>
          <w:tcBorders>
            <w:bottom w:val="single" w:sz="4" w:space="0" w:color="auto"/>
          </w:tcBorders>
          <w:vAlign w:val="bottom"/>
        </w:tcPr>
        <w:p w14:paraId="76A022A4" w14:textId="77777777" w:rsidR="00CE019F" w:rsidRPr="00EE5D47" w:rsidRDefault="00CE019F" w:rsidP="00EE5D47">
          <w:pPr>
            <w:widowControl w:val="0"/>
            <w:tabs>
              <w:tab w:val="center" w:pos="4320"/>
              <w:tab w:val="right" w:pos="8640"/>
            </w:tabs>
            <w:rPr>
              <w:rFonts w:eastAsia="Times New Roman"/>
              <w:sz w:val="17"/>
              <w:szCs w:val="17"/>
            </w:rPr>
          </w:pPr>
        </w:p>
      </w:tc>
    </w:tr>
  </w:tbl>
  <w:p w14:paraId="20E0EDA0" w14:textId="77777777" w:rsidR="00CE019F" w:rsidRPr="00EE5D47" w:rsidRDefault="00CE019F">
    <w:pPr>
      <w:pStyle w:val="Header"/>
      <w:rPr>
        <w:rFonts w:ascii="Times New Roman" w:hAnsi="Times New Rom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CE019F" w:rsidRPr="00F926D5" w14:paraId="0569AC67" w14:textId="77777777" w:rsidTr="00EE5D47">
      <w:trPr>
        <w:trHeight w:hRule="exact" w:val="864"/>
      </w:trPr>
      <w:tc>
        <w:tcPr>
          <w:tcW w:w="4838" w:type="dxa"/>
          <w:tcBorders>
            <w:bottom w:val="single" w:sz="4" w:space="0" w:color="auto"/>
          </w:tcBorders>
          <w:vAlign w:val="bottom"/>
        </w:tcPr>
        <w:p w14:paraId="127732AD" w14:textId="77777777" w:rsidR="00CE019F" w:rsidRPr="00F926D5" w:rsidRDefault="00CE019F" w:rsidP="00F926D5">
          <w:pPr>
            <w:widowControl w:val="0"/>
            <w:tabs>
              <w:tab w:val="center" w:pos="4320"/>
              <w:tab w:val="right" w:pos="8640"/>
            </w:tabs>
            <w:spacing w:after="80"/>
            <w:rPr>
              <w:rFonts w:eastAsia="Times New Roman"/>
              <w:b/>
              <w:sz w:val="17"/>
              <w:szCs w:val="17"/>
            </w:rPr>
          </w:pPr>
        </w:p>
      </w:tc>
      <w:tc>
        <w:tcPr>
          <w:tcW w:w="8212" w:type="dxa"/>
          <w:tcBorders>
            <w:bottom w:val="single" w:sz="4" w:space="0" w:color="auto"/>
          </w:tcBorders>
          <w:vAlign w:val="bottom"/>
        </w:tcPr>
        <w:p w14:paraId="01DFE53B" w14:textId="77777777" w:rsidR="00CE019F" w:rsidRPr="00F926D5" w:rsidRDefault="00CE019F" w:rsidP="00F926D5">
          <w:pPr>
            <w:widowControl w:val="0"/>
            <w:tabs>
              <w:tab w:val="center" w:pos="4320"/>
              <w:tab w:val="right" w:pos="8640"/>
            </w:tabs>
            <w:jc w:val="right"/>
            <w:rPr>
              <w:rFonts w:eastAsia="Times New Roman"/>
              <w:sz w:val="17"/>
              <w:szCs w:val="17"/>
            </w:rPr>
          </w:pPr>
          <w:r w:rsidRPr="00F926D5">
            <w:rPr>
              <w:rFonts w:eastAsia="Times New Roman"/>
              <w:b/>
              <w:sz w:val="17"/>
              <w:szCs w:val="17"/>
            </w:rPr>
            <w:t>DP/DCP/N</w:t>
          </w:r>
          <w:r>
            <w:rPr>
              <w:rFonts w:eastAsia="Times New Roman"/>
              <w:b/>
              <w:sz w:val="17"/>
              <w:szCs w:val="17"/>
            </w:rPr>
            <w:t>AM</w:t>
          </w:r>
          <w:r w:rsidRPr="00F926D5">
            <w:rPr>
              <w:rFonts w:eastAsia="Times New Roman"/>
              <w:b/>
              <w:sz w:val="17"/>
              <w:szCs w:val="17"/>
            </w:rPr>
            <w:t>/3</w:t>
          </w:r>
        </w:p>
      </w:tc>
    </w:tr>
  </w:tbl>
  <w:p w14:paraId="4207A617" w14:textId="77777777" w:rsidR="00CE019F" w:rsidRPr="00F926D5" w:rsidRDefault="00CE019F" w:rsidP="00F926D5">
    <w:pPr>
      <w:pStyle w:val="Head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5C7"/>
    <w:multiLevelType w:val="hybridMultilevel"/>
    <w:tmpl w:val="D83E410C"/>
    <w:lvl w:ilvl="0" w:tplc="ED0C995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FC3CF3"/>
    <w:multiLevelType w:val="hybridMultilevel"/>
    <w:tmpl w:val="EE4A3CEA"/>
    <w:lvl w:ilvl="0" w:tplc="40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C0E98"/>
    <w:multiLevelType w:val="hybridMultilevel"/>
    <w:tmpl w:val="CF987228"/>
    <w:lvl w:ilvl="0" w:tplc="DDE6419C">
      <w:start w:val="1"/>
      <w:numFmt w:val="decimal"/>
      <w:lvlText w:val="%1."/>
      <w:lvlJc w:val="left"/>
      <w:pPr>
        <w:ind w:left="783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F413140"/>
    <w:multiLevelType w:val="hybridMultilevel"/>
    <w:tmpl w:val="0AB07774"/>
    <w:lvl w:ilvl="0" w:tplc="1C090017">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092E17"/>
    <w:multiLevelType w:val="hybridMultilevel"/>
    <w:tmpl w:val="C936C118"/>
    <w:lvl w:ilvl="0" w:tplc="40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D387F"/>
    <w:multiLevelType w:val="hybridMultilevel"/>
    <w:tmpl w:val="744CF0C2"/>
    <w:lvl w:ilvl="0" w:tplc="C95EBC08">
      <w:start w:val="1"/>
      <w:numFmt w:val="upperLetter"/>
      <w:lvlText w:val="%1."/>
      <w:lvlJc w:val="left"/>
      <w:pPr>
        <w:ind w:left="360" w:hanging="360"/>
      </w:pPr>
      <w:rPr>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3136429"/>
    <w:multiLevelType w:val="hybridMultilevel"/>
    <w:tmpl w:val="60CA9770"/>
    <w:lvl w:ilvl="0" w:tplc="F3B05334">
      <w:start w:val="1"/>
      <w:numFmt w:val="lowerLetter"/>
      <w:lvlText w:val="%1)"/>
      <w:lvlJc w:val="left"/>
      <w:pPr>
        <w:ind w:left="1008" w:hanging="360"/>
      </w:pPr>
      <w:rPr>
        <w:rFonts w:hint="default"/>
      </w:rPr>
    </w:lvl>
    <w:lvl w:ilvl="1" w:tplc="1C090019" w:tentative="1">
      <w:start w:val="1"/>
      <w:numFmt w:val="lowerLetter"/>
      <w:lvlText w:val="%2."/>
      <w:lvlJc w:val="left"/>
      <w:pPr>
        <w:ind w:left="1728" w:hanging="360"/>
      </w:pPr>
    </w:lvl>
    <w:lvl w:ilvl="2" w:tplc="1C09001B" w:tentative="1">
      <w:start w:val="1"/>
      <w:numFmt w:val="lowerRoman"/>
      <w:lvlText w:val="%3."/>
      <w:lvlJc w:val="right"/>
      <w:pPr>
        <w:ind w:left="2448" w:hanging="180"/>
      </w:pPr>
    </w:lvl>
    <w:lvl w:ilvl="3" w:tplc="1C09000F" w:tentative="1">
      <w:start w:val="1"/>
      <w:numFmt w:val="decimal"/>
      <w:lvlText w:val="%4."/>
      <w:lvlJc w:val="left"/>
      <w:pPr>
        <w:ind w:left="3168" w:hanging="360"/>
      </w:pPr>
    </w:lvl>
    <w:lvl w:ilvl="4" w:tplc="1C090019" w:tentative="1">
      <w:start w:val="1"/>
      <w:numFmt w:val="lowerLetter"/>
      <w:lvlText w:val="%5."/>
      <w:lvlJc w:val="left"/>
      <w:pPr>
        <w:ind w:left="3888" w:hanging="360"/>
      </w:pPr>
    </w:lvl>
    <w:lvl w:ilvl="5" w:tplc="1C09001B" w:tentative="1">
      <w:start w:val="1"/>
      <w:numFmt w:val="lowerRoman"/>
      <w:lvlText w:val="%6."/>
      <w:lvlJc w:val="right"/>
      <w:pPr>
        <w:ind w:left="4608" w:hanging="180"/>
      </w:pPr>
    </w:lvl>
    <w:lvl w:ilvl="6" w:tplc="1C09000F" w:tentative="1">
      <w:start w:val="1"/>
      <w:numFmt w:val="decimal"/>
      <w:lvlText w:val="%7."/>
      <w:lvlJc w:val="left"/>
      <w:pPr>
        <w:ind w:left="5328" w:hanging="360"/>
      </w:pPr>
    </w:lvl>
    <w:lvl w:ilvl="7" w:tplc="1C090019" w:tentative="1">
      <w:start w:val="1"/>
      <w:numFmt w:val="lowerLetter"/>
      <w:lvlText w:val="%8."/>
      <w:lvlJc w:val="left"/>
      <w:pPr>
        <w:ind w:left="6048" w:hanging="360"/>
      </w:pPr>
    </w:lvl>
    <w:lvl w:ilvl="8" w:tplc="1C09001B" w:tentative="1">
      <w:start w:val="1"/>
      <w:numFmt w:val="lowerRoman"/>
      <w:lvlText w:val="%9."/>
      <w:lvlJc w:val="right"/>
      <w:pPr>
        <w:ind w:left="6768" w:hanging="180"/>
      </w:pPr>
    </w:lvl>
  </w:abstractNum>
  <w:num w:numId="1">
    <w:abstractNumId w:val="5"/>
  </w:num>
  <w:num w:numId="2">
    <w:abstractNumId w:val="7"/>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
  </w:num>
  <w:num w:numId="8">
    <w:abstractNumId w:val="0"/>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v:textbox inset="5.85pt,.7pt,5.85pt,.7pt"/>
    </o:shapedefaults>
  </w:hdrShapeDefaults>
  <w:footnotePr>
    <w:numRestart w:val="eachSect"/>
    <w:footnote w:id="-1"/>
    <w:footnote w:id="0"/>
    <w:footnote w:id="1"/>
  </w:footnotePr>
  <w:endnotePr>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72"/>
    <w:rsid w:val="000010B5"/>
    <w:rsid w:val="00001DDA"/>
    <w:rsid w:val="00001EBC"/>
    <w:rsid w:val="000027D2"/>
    <w:rsid w:val="00002B22"/>
    <w:rsid w:val="00002C8B"/>
    <w:rsid w:val="00003A33"/>
    <w:rsid w:val="00005E26"/>
    <w:rsid w:val="0000682F"/>
    <w:rsid w:val="00006F2E"/>
    <w:rsid w:val="00013018"/>
    <w:rsid w:val="0001309E"/>
    <w:rsid w:val="00015FDE"/>
    <w:rsid w:val="00016217"/>
    <w:rsid w:val="000164F3"/>
    <w:rsid w:val="00016861"/>
    <w:rsid w:val="00017E11"/>
    <w:rsid w:val="000200CF"/>
    <w:rsid w:val="000205F1"/>
    <w:rsid w:val="00021184"/>
    <w:rsid w:val="00021825"/>
    <w:rsid w:val="00022047"/>
    <w:rsid w:val="00023327"/>
    <w:rsid w:val="0002505F"/>
    <w:rsid w:val="00025521"/>
    <w:rsid w:val="0002708B"/>
    <w:rsid w:val="000274B9"/>
    <w:rsid w:val="0002758B"/>
    <w:rsid w:val="000276A0"/>
    <w:rsid w:val="000306E0"/>
    <w:rsid w:val="00030999"/>
    <w:rsid w:val="00030D96"/>
    <w:rsid w:val="00031DDB"/>
    <w:rsid w:val="000330DB"/>
    <w:rsid w:val="00034014"/>
    <w:rsid w:val="0003429F"/>
    <w:rsid w:val="000352AC"/>
    <w:rsid w:val="0003562A"/>
    <w:rsid w:val="00035EC3"/>
    <w:rsid w:val="00036095"/>
    <w:rsid w:val="00036AF4"/>
    <w:rsid w:val="000402BC"/>
    <w:rsid w:val="00041C10"/>
    <w:rsid w:val="00042A2A"/>
    <w:rsid w:val="00043804"/>
    <w:rsid w:val="000441A1"/>
    <w:rsid w:val="00045B26"/>
    <w:rsid w:val="000460AC"/>
    <w:rsid w:val="000468DF"/>
    <w:rsid w:val="00046A65"/>
    <w:rsid w:val="00050869"/>
    <w:rsid w:val="00051E44"/>
    <w:rsid w:val="0005269C"/>
    <w:rsid w:val="00053981"/>
    <w:rsid w:val="000557C3"/>
    <w:rsid w:val="000561C1"/>
    <w:rsid w:val="00056204"/>
    <w:rsid w:val="000570D1"/>
    <w:rsid w:val="000571A9"/>
    <w:rsid w:val="0005757B"/>
    <w:rsid w:val="00057FEC"/>
    <w:rsid w:val="00060290"/>
    <w:rsid w:val="00062668"/>
    <w:rsid w:val="00063E24"/>
    <w:rsid w:val="0006452B"/>
    <w:rsid w:val="00066BC1"/>
    <w:rsid w:val="000678C3"/>
    <w:rsid w:val="0007004C"/>
    <w:rsid w:val="00071794"/>
    <w:rsid w:val="00072229"/>
    <w:rsid w:val="00073CF1"/>
    <w:rsid w:val="00074002"/>
    <w:rsid w:val="000748E5"/>
    <w:rsid w:val="00074A57"/>
    <w:rsid w:val="00074BD0"/>
    <w:rsid w:val="00074D18"/>
    <w:rsid w:val="00074D9A"/>
    <w:rsid w:val="00074DB9"/>
    <w:rsid w:val="000753C4"/>
    <w:rsid w:val="0007559C"/>
    <w:rsid w:val="00075DF0"/>
    <w:rsid w:val="00075F1F"/>
    <w:rsid w:val="000762CA"/>
    <w:rsid w:val="00076434"/>
    <w:rsid w:val="00076517"/>
    <w:rsid w:val="00077F18"/>
    <w:rsid w:val="000803A4"/>
    <w:rsid w:val="000806E3"/>
    <w:rsid w:val="000807C1"/>
    <w:rsid w:val="0008140B"/>
    <w:rsid w:val="00081929"/>
    <w:rsid w:val="00081B89"/>
    <w:rsid w:val="000828B8"/>
    <w:rsid w:val="0008339E"/>
    <w:rsid w:val="00085810"/>
    <w:rsid w:val="00087165"/>
    <w:rsid w:val="00090AD1"/>
    <w:rsid w:val="00090F4F"/>
    <w:rsid w:val="00091476"/>
    <w:rsid w:val="00091FD9"/>
    <w:rsid w:val="00092879"/>
    <w:rsid w:val="00092895"/>
    <w:rsid w:val="00094E06"/>
    <w:rsid w:val="00094E87"/>
    <w:rsid w:val="00097FB2"/>
    <w:rsid w:val="000A151D"/>
    <w:rsid w:val="000A24C5"/>
    <w:rsid w:val="000A3F7F"/>
    <w:rsid w:val="000A442B"/>
    <w:rsid w:val="000A5565"/>
    <w:rsid w:val="000A7099"/>
    <w:rsid w:val="000A78B6"/>
    <w:rsid w:val="000A7F37"/>
    <w:rsid w:val="000B009C"/>
    <w:rsid w:val="000B073B"/>
    <w:rsid w:val="000B0C7A"/>
    <w:rsid w:val="000B20A3"/>
    <w:rsid w:val="000B264F"/>
    <w:rsid w:val="000B3A13"/>
    <w:rsid w:val="000B3E5C"/>
    <w:rsid w:val="000B4BB2"/>
    <w:rsid w:val="000B6379"/>
    <w:rsid w:val="000B73E2"/>
    <w:rsid w:val="000C394C"/>
    <w:rsid w:val="000C50D0"/>
    <w:rsid w:val="000C61B3"/>
    <w:rsid w:val="000C76B0"/>
    <w:rsid w:val="000C7BBE"/>
    <w:rsid w:val="000D2475"/>
    <w:rsid w:val="000D297E"/>
    <w:rsid w:val="000D3FDC"/>
    <w:rsid w:val="000D442C"/>
    <w:rsid w:val="000D4DC4"/>
    <w:rsid w:val="000D6CA8"/>
    <w:rsid w:val="000D7D8D"/>
    <w:rsid w:val="000E12B3"/>
    <w:rsid w:val="000E1CC4"/>
    <w:rsid w:val="000E3B46"/>
    <w:rsid w:val="000E59C9"/>
    <w:rsid w:val="000E612D"/>
    <w:rsid w:val="000E6785"/>
    <w:rsid w:val="000E6AB1"/>
    <w:rsid w:val="000E745A"/>
    <w:rsid w:val="000E7E9E"/>
    <w:rsid w:val="000F0044"/>
    <w:rsid w:val="000F03D3"/>
    <w:rsid w:val="000F0518"/>
    <w:rsid w:val="000F2D35"/>
    <w:rsid w:val="000F472B"/>
    <w:rsid w:val="000F5541"/>
    <w:rsid w:val="000F6C09"/>
    <w:rsid w:val="000F703B"/>
    <w:rsid w:val="000F72ED"/>
    <w:rsid w:val="000F7A4C"/>
    <w:rsid w:val="001010DF"/>
    <w:rsid w:val="001014D3"/>
    <w:rsid w:val="00102B6C"/>
    <w:rsid w:val="0010305F"/>
    <w:rsid w:val="001037ED"/>
    <w:rsid w:val="00106EF8"/>
    <w:rsid w:val="001101A2"/>
    <w:rsid w:val="00111489"/>
    <w:rsid w:val="00111792"/>
    <w:rsid w:val="00111797"/>
    <w:rsid w:val="00111B19"/>
    <w:rsid w:val="00111B7D"/>
    <w:rsid w:val="00112C21"/>
    <w:rsid w:val="00112E02"/>
    <w:rsid w:val="00113322"/>
    <w:rsid w:val="001135D1"/>
    <w:rsid w:val="00114A64"/>
    <w:rsid w:val="0011540E"/>
    <w:rsid w:val="00115F59"/>
    <w:rsid w:val="00116C1A"/>
    <w:rsid w:val="00116F8B"/>
    <w:rsid w:val="00117604"/>
    <w:rsid w:val="00117685"/>
    <w:rsid w:val="00120EB2"/>
    <w:rsid w:val="00121F3E"/>
    <w:rsid w:val="0012229E"/>
    <w:rsid w:val="00123849"/>
    <w:rsid w:val="00123A5E"/>
    <w:rsid w:val="00123D70"/>
    <w:rsid w:val="00124E3F"/>
    <w:rsid w:val="00125010"/>
    <w:rsid w:val="0012521E"/>
    <w:rsid w:val="00125266"/>
    <w:rsid w:val="00125B82"/>
    <w:rsid w:val="0013020A"/>
    <w:rsid w:val="001305E6"/>
    <w:rsid w:val="0013239A"/>
    <w:rsid w:val="00132D93"/>
    <w:rsid w:val="001358EB"/>
    <w:rsid w:val="0013761A"/>
    <w:rsid w:val="0014423A"/>
    <w:rsid w:val="00146695"/>
    <w:rsid w:val="00147042"/>
    <w:rsid w:val="001471A7"/>
    <w:rsid w:val="0014747A"/>
    <w:rsid w:val="00147639"/>
    <w:rsid w:val="00147788"/>
    <w:rsid w:val="001506F6"/>
    <w:rsid w:val="00154032"/>
    <w:rsid w:val="00154490"/>
    <w:rsid w:val="001547D3"/>
    <w:rsid w:val="00154B06"/>
    <w:rsid w:val="00155961"/>
    <w:rsid w:val="001559BD"/>
    <w:rsid w:val="0015666C"/>
    <w:rsid w:val="00156781"/>
    <w:rsid w:val="00157091"/>
    <w:rsid w:val="00157F09"/>
    <w:rsid w:val="00157F79"/>
    <w:rsid w:val="00161A43"/>
    <w:rsid w:val="00161DB8"/>
    <w:rsid w:val="00161F8D"/>
    <w:rsid w:val="00163E84"/>
    <w:rsid w:val="001665BD"/>
    <w:rsid w:val="001668AA"/>
    <w:rsid w:val="001669FE"/>
    <w:rsid w:val="00166A3C"/>
    <w:rsid w:val="001675B1"/>
    <w:rsid w:val="0016789D"/>
    <w:rsid w:val="001679F5"/>
    <w:rsid w:val="00167A8E"/>
    <w:rsid w:val="00167C87"/>
    <w:rsid w:val="001706E3"/>
    <w:rsid w:val="0017177F"/>
    <w:rsid w:val="00172EE3"/>
    <w:rsid w:val="00174B90"/>
    <w:rsid w:val="00174DDF"/>
    <w:rsid w:val="0017623F"/>
    <w:rsid w:val="00176480"/>
    <w:rsid w:val="001775DA"/>
    <w:rsid w:val="0017768A"/>
    <w:rsid w:val="00177E7E"/>
    <w:rsid w:val="0018011F"/>
    <w:rsid w:val="00180195"/>
    <w:rsid w:val="0018028A"/>
    <w:rsid w:val="0018056C"/>
    <w:rsid w:val="00181F38"/>
    <w:rsid w:val="0018356F"/>
    <w:rsid w:val="00183F57"/>
    <w:rsid w:val="001867AF"/>
    <w:rsid w:val="001876C5"/>
    <w:rsid w:val="00187D68"/>
    <w:rsid w:val="00187F1B"/>
    <w:rsid w:val="00190155"/>
    <w:rsid w:val="001906B5"/>
    <w:rsid w:val="00191EE2"/>
    <w:rsid w:val="00193FC0"/>
    <w:rsid w:val="00194163"/>
    <w:rsid w:val="00194FEB"/>
    <w:rsid w:val="0019524D"/>
    <w:rsid w:val="00195EA8"/>
    <w:rsid w:val="00197016"/>
    <w:rsid w:val="001970A4"/>
    <w:rsid w:val="00197AD1"/>
    <w:rsid w:val="00197B6B"/>
    <w:rsid w:val="001A0060"/>
    <w:rsid w:val="001A059D"/>
    <w:rsid w:val="001A076B"/>
    <w:rsid w:val="001A1906"/>
    <w:rsid w:val="001A3972"/>
    <w:rsid w:val="001A40C9"/>
    <w:rsid w:val="001A54F3"/>
    <w:rsid w:val="001B0020"/>
    <w:rsid w:val="001B024C"/>
    <w:rsid w:val="001B1E91"/>
    <w:rsid w:val="001B3079"/>
    <w:rsid w:val="001B3B30"/>
    <w:rsid w:val="001B3F87"/>
    <w:rsid w:val="001B4026"/>
    <w:rsid w:val="001B4435"/>
    <w:rsid w:val="001B44C8"/>
    <w:rsid w:val="001B598C"/>
    <w:rsid w:val="001B6FF2"/>
    <w:rsid w:val="001B76A6"/>
    <w:rsid w:val="001B79A4"/>
    <w:rsid w:val="001C07F8"/>
    <w:rsid w:val="001C0F3B"/>
    <w:rsid w:val="001C1147"/>
    <w:rsid w:val="001C2F59"/>
    <w:rsid w:val="001C3811"/>
    <w:rsid w:val="001C397E"/>
    <w:rsid w:val="001C48D1"/>
    <w:rsid w:val="001C689A"/>
    <w:rsid w:val="001C6C08"/>
    <w:rsid w:val="001C7084"/>
    <w:rsid w:val="001C70B6"/>
    <w:rsid w:val="001D2056"/>
    <w:rsid w:val="001D3325"/>
    <w:rsid w:val="001D39DE"/>
    <w:rsid w:val="001D42D1"/>
    <w:rsid w:val="001D61D3"/>
    <w:rsid w:val="001D64E5"/>
    <w:rsid w:val="001D6EB8"/>
    <w:rsid w:val="001E05EC"/>
    <w:rsid w:val="001E07B1"/>
    <w:rsid w:val="001E4809"/>
    <w:rsid w:val="001E4F4F"/>
    <w:rsid w:val="001F27F4"/>
    <w:rsid w:val="001F3DC0"/>
    <w:rsid w:val="001F4C5A"/>
    <w:rsid w:val="001F4EA9"/>
    <w:rsid w:val="001F4F73"/>
    <w:rsid w:val="001F6425"/>
    <w:rsid w:val="001F6772"/>
    <w:rsid w:val="001F7421"/>
    <w:rsid w:val="00200061"/>
    <w:rsid w:val="00200195"/>
    <w:rsid w:val="00200A5A"/>
    <w:rsid w:val="00200B5F"/>
    <w:rsid w:val="00201DF3"/>
    <w:rsid w:val="00201EEF"/>
    <w:rsid w:val="00202DAA"/>
    <w:rsid w:val="002047C8"/>
    <w:rsid w:val="002052B3"/>
    <w:rsid w:val="00205453"/>
    <w:rsid w:val="002058F9"/>
    <w:rsid w:val="00207F32"/>
    <w:rsid w:val="00210EF9"/>
    <w:rsid w:val="00212B1F"/>
    <w:rsid w:val="00213340"/>
    <w:rsid w:val="00213D7C"/>
    <w:rsid w:val="00214513"/>
    <w:rsid w:val="002155B7"/>
    <w:rsid w:val="0021766A"/>
    <w:rsid w:val="002208B7"/>
    <w:rsid w:val="00220F64"/>
    <w:rsid w:val="002225D3"/>
    <w:rsid w:val="00222A35"/>
    <w:rsid w:val="0022301D"/>
    <w:rsid w:val="002237C2"/>
    <w:rsid w:val="0022382F"/>
    <w:rsid w:val="002239D8"/>
    <w:rsid w:val="00224B2C"/>
    <w:rsid w:val="00225C5E"/>
    <w:rsid w:val="00227501"/>
    <w:rsid w:val="00227E55"/>
    <w:rsid w:val="00231003"/>
    <w:rsid w:val="00232255"/>
    <w:rsid w:val="00232AA0"/>
    <w:rsid w:val="002331D7"/>
    <w:rsid w:val="00233280"/>
    <w:rsid w:val="00233363"/>
    <w:rsid w:val="0023470E"/>
    <w:rsid w:val="00234CDF"/>
    <w:rsid w:val="002353D3"/>
    <w:rsid w:val="00236607"/>
    <w:rsid w:val="002368CA"/>
    <w:rsid w:val="00236B91"/>
    <w:rsid w:val="00237067"/>
    <w:rsid w:val="0023760C"/>
    <w:rsid w:val="00240B63"/>
    <w:rsid w:val="002424C0"/>
    <w:rsid w:val="00242617"/>
    <w:rsid w:val="00242A65"/>
    <w:rsid w:val="00242CAA"/>
    <w:rsid w:val="002443E6"/>
    <w:rsid w:val="00244B15"/>
    <w:rsid w:val="0024503B"/>
    <w:rsid w:val="00245D74"/>
    <w:rsid w:val="002467CC"/>
    <w:rsid w:val="00246833"/>
    <w:rsid w:val="00246D03"/>
    <w:rsid w:val="00246DDF"/>
    <w:rsid w:val="002472D8"/>
    <w:rsid w:val="002530D8"/>
    <w:rsid w:val="00253228"/>
    <w:rsid w:val="00254B40"/>
    <w:rsid w:val="002573CC"/>
    <w:rsid w:val="00260FAA"/>
    <w:rsid w:val="00261820"/>
    <w:rsid w:val="00262338"/>
    <w:rsid w:val="00263938"/>
    <w:rsid w:val="0026463D"/>
    <w:rsid w:val="002646D7"/>
    <w:rsid w:val="00264A34"/>
    <w:rsid w:val="002666BD"/>
    <w:rsid w:val="00266BBC"/>
    <w:rsid w:val="002671D5"/>
    <w:rsid w:val="002671D7"/>
    <w:rsid w:val="00267AF7"/>
    <w:rsid w:val="00271AA3"/>
    <w:rsid w:val="0027259C"/>
    <w:rsid w:val="002726FF"/>
    <w:rsid w:val="00273543"/>
    <w:rsid w:val="00273A42"/>
    <w:rsid w:val="00273BBD"/>
    <w:rsid w:val="00274C82"/>
    <w:rsid w:val="0027654D"/>
    <w:rsid w:val="002810DF"/>
    <w:rsid w:val="002812AB"/>
    <w:rsid w:val="002816D8"/>
    <w:rsid w:val="00281788"/>
    <w:rsid w:val="00282A8C"/>
    <w:rsid w:val="00283003"/>
    <w:rsid w:val="00284041"/>
    <w:rsid w:val="002854EE"/>
    <w:rsid w:val="0028565C"/>
    <w:rsid w:val="002875DE"/>
    <w:rsid w:val="00287E07"/>
    <w:rsid w:val="00290637"/>
    <w:rsid w:val="00290EB3"/>
    <w:rsid w:val="00291826"/>
    <w:rsid w:val="00292846"/>
    <w:rsid w:val="00292A90"/>
    <w:rsid w:val="00294B72"/>
    <w:rsid w:val="00295F54"/>
    <w:rsid w:val="00296A9D"/>
    <w:rsid w:val="00296CEA"/>
    <w:rsid w:val="002971D6"/>
    <w:rsid w:val="002979AB"/>
    <w:rsid w:val="00297C78"/>
    <w:rsid w:val="002A014F"/>
    <w:rsid w:val="002A1B31"/>
    <w:rsid w:val="002A2F08"/>
    <w:rsid w:val="002A3641"/>
    <w:rsid w:val="002A3E0F"/>
    <w:rsid w:val="002A495F"/>
    <w:rsid w:val="002A4B3D"/>
    <w:rsid w:val="002A4CD3"/>
    <w:rsid w:val="002A5D3B"/>
    <w:rsid w:val="002A706F"/>
    <w:rsid w:val="002A70EA"/>
    <w:rsid w:val="002A7363"/>
    <w:rsid w:val="002A7F43"/>
    <w:rsid w:val="002B226D"/>
    <w:rsid w:val="002B2914"/>
    <w:rsid w:val="002B2C63"/>
    <w:rsid w:val="002B365E"/>
    <w:rsid w:val="002B3E6C"/>
    <w:rsid w:val="002B489A"/>
    <w:rsid w:val="002B5082"/>
    <w:rsid w:val="002B6341"/>
    <w:rsid w:val="002B7A38"/>
    <w:rsid w:val="002B7EE3"/>
    <w:rsid w:val="002C02CE"/>
    <w:rsid w:val="002C031A"/>
    <w:rsid w:val="002C0526"/>
    <w:rsid w:val="002C119A"/>
    <w:rsid w:val="002C27A8"/>
    <w:rsid w:val="002C319C"/>
    <w:rsid w:val="002C333E"/>
    <w:rsid w:val="002C36C8"/>
    <w:rsid w:val="002C38A1"/>
    <w:rsid w:val="002C51A0"/>
    <w:rsid w:val="002C57E0"/>
    <w:rsid w:val="002C7971"/>
    <w:rsid w:val="002D0584"/>
    <w:rsid w:val="002D11F3"/>
    <w:rsid w:val="002D2E2A"/>
    <w:rsid w:val="002D3635"/>
    <w:rsid w:val="002D4274"/>
    <w:rsid w:val="002D4440"/>
    <w:rsid w:val="002D5295"/>
    <w:rsid w:val="002D52BF"/>
    <w:rsid w:val="002D68FA"/>
    <w:rsid w:val="002D7ECA"/>
    <w:rsid w:val="002E0141"/>
    <w:rsid w:val="002E0B5D"/>
    <w:rsid w:val="002E0B76"/>
    <w:rsid w:val="002E1495"/>
    <w:rsid w:val="002E176A"/>
    <w:rsid w:val="002E2466"/>
    <w:rsid w:val="002E252F"/>
    <w:rsid w:val="002E2900"/>
    <w:rsid w:val="002E3C0D"/>
    <w:rsid w:val="002E43EC"/>
    <w:rsid w:val="002E4883"/>
    <w:rsid w:val="002E5B3C"/>
    <w:rsid w:val="002E5E79"/>
    <w:rsid w:val="002E6BD7"/>
    <w:rsid w:val="002E7A79"/>
    <w:rsid w:val="002E7EC9"/>
    <w:rsid w:val="002F18B8"/>
    <w:rsid w:val="002F1D9E"/>
    <w:rsid w:val="002F2689"/>
    <w:rsid w:val="002F2C6E"/>
    <w:rsid w:val="002F2EC7"/>
    <w:rsid w:val="002F3B56"/>
    <w:rsid w:val="002F3C88"/>
    <w:rsid w:val="002F4067"/>
    <w:rsid w:val="002F47EB"/>
    <w:rsid w:val="002F7339"/>
    <w:rsid w:val="002F73D5"/>
    <w:rsid w:val="002F7461"/>
    <w:rsid w:val="00300D6E"/>
    <w:rsid w:val="00300D8A"/>
    <w:rsid w:val="00300E22"/>
    <w:rsid w:val="003025E2"/>
    <w:rsid w:val="00303664"/>
    <w:rsid w:val="00305560"/>
    <w:rsid w:val="00306D24"/>
    <w:rsid w:val="00307712"/>
    <w:rsid w:val="00307C05"/>
    <w:rsid w:val="0031404A"/>
    <w:rsid w:val="003146CD"/>
    <w:rsid w:val="00314B7C"/>
    <w:rsid w:val="00314E49"/>
    <w:rsid w:val="00315445"/>
    <w:rsid w:val="00317183"/>
    <w:rsid w:val="003204AE"/>
    <w:rsid w:val="0032055B"/>
    <w:rsid w:val="0032059F"/>
    <w:rsid w:val="003208EF"/>
    <w:rsid w:val="00321722"/>
    <w:rsid w:val="003224A3"/>
    <w:rsid w:val="003225D5"/>
    <w:rsid w:val="00324004"/>
    <w:rsid w:val="00324846"/>
    <w:rsid w:val="00324ABD"/>
    <w:rsid w:val="00324D9B"/>
    <w:rsid w:val="00327242"/>
    <w:rsid w:val="003272A6"/>
    <w:rsid w:val="003273CB"/>
    <w:rsid w:val="0033000E"/>
    <w:rsid w:val="0033125E"/>
    <w:rsid w:val="0033325E"/>
    <w:rsid w:val="00336913"/>
    <w:rsid w:val="0033718C"/>
    <w:rsid w:val="00337407"/>
    <w:rsid w:val="00337BB8"/>
    <w:rsid w:val="00340CC3"/>
    <w:rsid w:val="00340E02"/>
    <w:rsid w:val="00343988"/>
    <w:rsid w:val="00343E6E"/>
    <w:rsid w:val="00343E9A"/>
    <w:rsid w:val="0034479B"/>
    <w:rsid w:val="003450C8"/>
    <w:rsid w:val="0034782B"/>
    <w:rsid w:val="00347C40"/>
    <w:rsid w:val="00347EA2"/>
    <w:rsid w:val="00350787"/>
    <w:rsid w:val="00350D3E"/>
    <w:rsid w:val="00351082"/>
    <w:rsid w:val="00351E5C"/>
    <w:rsid w:val="00352143"/>
    <w:rsid w:val="003521C0"/>
    <w:rsid w:val="00353063"/>
    <w:rsid w:val="0035580F"/>
    <w:rsid w:val="00355D08"/>
    <w:rsid w:val="00357CB4"/>
    <w:rsid w:val="003604EE"/>
    <w:rsid w:val="003608ED"/>
    <w:rsid w:val="0036286B"/>
    <w:rsid w:val="00363371"/>
    <w:rsid w:val="003636F8"/>
    <w:rsid w:val="00364989"/>
    <w:rsid w:val="003664C0"/>
    <w:rsid w:val="00366769"/>
    <w:rsid w:val="00366EFD"/>
    <w:rsid w:val="00367A28"/>
    <w:rsid w:val="00367ADF"/>
    <w:rsid w:val="00367E04"/>
    <w:rsid w:val="0037026D"/>
    <w:rsid w:val="003711D7"/>
    <w:rsid w:val="0037299F"/>
    <w:rsid w:val="00372B5C"/>
    <w:rsid w:val="003761F2"/>
    <w:rsid w:val="00376536"/>
    <w:rsid w:val="00376A05"/>
    <w:rsid w:val="003774FE"/>
    <w:rsid w:val="003815C8"/>
    <w:rsid w:val="00381ACB"/>
    <w:rsid w:val="00384CF6"/>
    <w:rsid w:val="00385277"/>
    <w:rsid w:val="00385B90"/>
    <w:rsid w:val="00390118"/>
    <w:rsid w:val="00390950"/>
    <w:rsid w:val="00390E30"/>
    <w:rsid w:val="00392044"/>
    <w:rsid w:val="00393ABE"/>
    <w:rsid w:val="0039458D"/>
    <w:rsid w:val="00394D61"/>
    <w:rsid w:val="00395961"/>
    <w:rsid w:val="003A0AE4"/>
    <w:rsid w:val="003A1AEE"/>
    <w:rsid w:val="003A1F5A"/>
    <w:rsid w:val="003A20C4"/>
    <w:rsid w:val="003A24A7"/>
    <w:rsid w:val="003A2ECE"/>
    <w:rsid w:val="003A4252"/>
    <w:rsid w:val="003A539A"/>
    <w:rsid w:val="003A5B4E"/>
    <w:rsid w:val="003A62A4"/>
    <w:rsid w:val="003A6C16"/>
    <w:rsid w:val="003A7476"/>
    <w:rsid w:val="003A7D86"/>
    <w:rsid w:val="003B09F3"/>
    <w:rsid w:val="003B0AA1"/>
    <w:rsid w:val="003B22F4"/>
    <w:rsid w:val="003B243D"/>
    <w:rsid w:val="003B24AD"/>
    <w:rsid w:val="003B304F"/>
    <w:rsid w:val="003B33F5"/>
    <w:rsid w:val="003B52D1"/>
    <w:rsid w:val="003B5895"/>
    <w:rsid w:val="003B5D18"/>
    <w:rsid w:val="003B6696"/>
    <w:rsid w:val="003B795D"/>
    <w:rsid w:val="003C082B"/>
    <w:rsid w:val="003C1265"/>
    <w:rsid w:val="003C26A6"/>
    <w:rsid w:val="003C26C1"/>
    <w:rsid w:val="003C369B"/>
    <w:rsid w:val="003C5737"/>
    <w:rsid w:val="003C5C11"/>
    <w:rsid w:val="003C5FA8"/>
    <w:rsid w:val="003C6476"/>
    <w:rsid w:val="003C658B"/>
    <w:rsid w:val="003C6A5A"/>
    <w:rsid w:val="003C6AAD"/>
    <w:rsid w:val="003C76E4"/>
    <w:rsid w:val="003C79B1"/>
    <w:rsid w:val="003D0773"/>
    <w:rsid w:val="003D1D4D"/>
    <w:rsid w:val="003D2F84"/>
    <w:rsid w:val="003D3682"/>
    <w:rsid w:val="003D37DD"/>
    <w:rsid w:val="003D45DF"/>
    <w:rsid w:val="003D47C6"/>
    <w:rsid w:val="003D62BD"/>
    <w:rsid w:val="003D7E38"/>
    <w:rsid w:val="003D7EAC"/>
    <w:rsid w:val="003E1745"/>
    <w:rsid w:val="003E1AFA"/>
    <w:rsid w:val="003E379A"/>
    <w:rsid w:val="003E4E6D"/>
    <w:rsid w:val="003E52B0"/>
    <w:rsid w:val="003E596A"/>
    <w:rsid w:val="003E5E18"/>
    <w:rsid w:val="003E64DC"/>
    <w:rsid w:val="003E7A43"/>
    <w:rsid w:val="003E7F5D"/>
    <w:rsid w:val="003F033C"/>
    <w:rsid w:val="003F03FB"/>
    <w:rsid w:val="003F0B58"/>
    <w:rsid w:val="003F0D40"/>
    <w:rsid w:val="003F1BC8"/>
    <w:rsid w:val="003F2236"/>
    <w:rsid w:val="003F27B7"/>
    <w:rsid w:val="003F2E10"/>
    <w:rsid w:val="003F4051"/>
    <w:rsid w:val="003F424B"/>
    <w:rsid w:val="003F5812"/>
    <w:rsid w:val="003F625A"/>
    <w:rsid w:val="003F6AA4"/>
    <w:rsid w:val="003F6EA1"/>
    <w:rsid w:val="003F7C38"/>
    <w:rsid w:val="00400E4A"/>
    <w:rsid w:val="00401E0F"/>
    <w:rsid w:val="00402E9A"/>
    <w:rsid w:val="00403FA8"/>
    <w:rsid w:val="00404040"/>
    <w:rsid w:val="00404213"/>
    <w:rsid w:val="004048AC"/>
    <w:rsid w:val="00404B8E"/>
    <w:rsid w:val="004068C2"/>
    <w:rsid w:val="004074E8"/>
    <w:rsid w:val="00407F60"/>
    <w:rsid w:val="00412559"/>
    <w:rsid w:val="00413244"/>
    <w:rsid w:val="00414FDF"/>
    <w:rsid w:val="00415AC5"/>
    <w:rsid w:val="00415E7F"/>
    <w:rsid w:val="00416148"/>
    <w:rsid w:val="00416761"/>
    <w:rsid w:val="00420288"/>
    <w:rsid w:val="0042192F"/>
    <w:rsid w:val="00421C78"/>
    <w:rsid w:val="004224CE"/>
    <w:rsid w:val="00422D14"/>
    <w:rsid w:val="0042357B"/>
    <w:rsid w:val="00423EE8"/>
    <w:rsid w:val="00424708"/>
    <w:rsid w:val="00424A78"/>
    <w:rsid w:val="004254DB"/>
    <w:rsid w:val="00425BCB"/>
    <w:rsid w:val="004265EA"/>
    <w:rsid w:val="00426D31"/>
    <w:rsid w:val="00427EEA"/>
    <w:rsid w:val="0043139F"/>
    <w:rsid w:val="00431645"/>
    <w:rsid w:val="00431836"/>
    <w:rsid w:val="004321E6"/>
    <w:rsid w:val="0043278E"/>
    <w:rsid w:val="00433F84"/>
    <w:rsid w:val="004360AC"/>
    <w:rsid w:val="004361A3"/>
    <w:rsid w:val="00436B83"/>
    <w:rsid w:val="00441061"/>
    <w:rsid w:val="00441AC8"/>
    <w:rsid w:val="00442421"/>
    <w:rsid w:val="00443066"/>
    <w:rsid w:val="00443679"/>
    <w:rsid w:val="004438BB"/>
    <w:rsid w:val="0044560C"/>
    <w:rsid w:val="004463FB"/>
    <w:rsid w:val="00446D55"/>
    <w:rsid w:val="00446D92"/>
    <w:rsid w:val="004501C9"/>
    <w:rsid w:val="00450C70"/>
    <w:rsid w:val="00453344"/>
    <w:rsid w:val="004534C2"/>
    <w:rsid w:val="00454E76"/>
    <w:rsid w:val="0045560B"/>
    <w:rsid w:val="00457080"/>
    <w:rsid w:val="00457AF5"/>
    <w:rsid w:val="00460891"/>
    <w:rsid w:val="0046090E"/>
    <w:rsid w:val="00460ECE"/>
    <w:rsid w:val="004617AF"/>
    <w:rsid w:val="00462EE3"/>
    <w:rsid w:val="00464FB2"/>
    <w:rsid w:val="004662A8"/>
    <w:rsid w:val="00466CDC"/>
    <w:rsid w:val="004673DA"/>
    <w:rsid w:val="0046745E"/>
    <w:rsid w:val="00471DA0"/>
    <w:rsid w:val="004736BE"/>
    <w:rsid w:val="004737E2"/>
    <w:rsid w:val="00474349"/>
    <w:rsid w:val="004748B3"/>
    <w:rsid w:val="0047556D"/>
    <w:rsid w:val="00475789"/>
    <w:rsid w:val="00476170"/>
    <w:rsid w:val="00477CC3"/>
    <w:rsid w:val="004807F0"/>
    <w:rsid w:val="004820B0"/>
    <w:rsid w:val="00482117"/>
    <w:rsid w:val="00482889"/>
    <w:rsid w:val="00482E2F"/>
    <w:rsid w:val="0048467F"/>
    <w:rsid w:val="004859B4"/>
    <w:rsid w:val="00486ACD"/>
    <w:rsid w:val="0049026E"/>
    <w:rsid w:val="00490B8D"/>
    <w:rsid w:val="00492C65"/>
    <w:rsid w:val="00493C25"/>
    <w:rsid w:val="0049403F"/>
    <w:rsid w:val="00494323"/>
    <w:rsid w:val="00494349"/>
    <w:rsid w:val="00494485"/>
    <w:rsid w:val="00497010"/>
    <w:rsid w:val="0049762B"/>
    <w:rsid w:val="004A0202"/>
    <w:rsid w:val="004A0D5C"/>
    <w:rsid w:val="004A0F27"/>
    <w:rsid w:val="004A0F37"/>
    <w:rsid w:val="004A0F68"/>
    <w:rsid w:val="004A2520"/>
    <w:rsid w:val="004A33F6"/>
    <w:rsid w:val="004A3608"/>
    <w:rsid w:val="004A36BD"/>
    <w:rsid w:val="004A3A43"/>
    <w:rsid w:val="004A4FBD"/>
    <w:rsid w:val="004A5352"/>
    <w:rsid w:val="004A7810"/>
    <w:rsid w:val="004A7E93"/>
    <w:rsid w:val="004B0889"/>
    <w:rsid w:val="004B10A4"/>
    <w:rsid w:val="004B3A4D"/>
    <w:rsid w:val="004B3B5A"/>
    <w:rsid w:val="004B3CFB"/>
    <w:rsid w:val="004B5D6B"/>
    <w:rsid w:val="004B7100"/>
    <w:rsid w:val="004B76F8"/>
    <w:rsid w:val="004B7B3D"/>
    <w:rsid w:val="004B7BB4"/>
    <w:rsid w:val="004C0AA8"/>
    <w:rsid w:val="004C1E2F"/>
    <w:rsid w:val="004C1FA6"/>
    <w:rsid w:val="004C2137"/>
    <w:rsid w:val="004C33F8"/>
    <w:rsid w:val="004C3483"/>
    <w:rsid w:val="004C5CFD"/>
    <w:rsid w:val="004D0B29"/>
    <w:rsid w:val="004D12C0"/>
    <w:rsid w:val="004D18EA"/>
    <w:rsid w:val="004D313B"/>
    <w:rsid w:val="004D3713"/>
    <w:rsid w:val="004D3B46"/>
    <w:rsid w:val="004D54AD"/>
    <w:rsid w:val="004D593E"/>
    <w:rsid w:val="004D6254"/>
    <w:rsid w:val="004D70FD"/>
    <w:rsid w:val="004D7E99"/>
    <w:rsid w:val="004E00CE"/>
    <w:rsid w:val="004E04D0"/>
    <w:rsid w:val="004E10A3"/>
    <w:rsid w:val="004E188B"/>
    <w:rsid w:val="004E2912"/>
    <w:rsid w:val="004E2BDB"/>
    <w:rsid w:val="004E2D7F"/>
    <w:rsid w:val="004E2E3A"/>
    <w:rsid w:val="004E34C7"/>
    <w:rsid w:val="004E3C47"/>
    <w:rsid w:val="004E4D25"/>
    <w:rsid w:val="004E508E"/>
    <w:rsid w:val="004E58A9"/>
    <w:rsid w:val="004E5EE6"/>
    <w:rsid w:val="004E6E8D"/>
    <w:rsid w:val="004E7A8B"/>
    <w:rsid w:val="004F17C3"/>
    <w:rsid w:val="004F3768"/>
    <w:rsid w:val="004F50AF"/>
    <w:rsid w:val="004F681D"/>
    <w:rsid w:val="004F6E14"/>
    <w:rsid w:val="0050196D"/>
    <w:rsid w:val="0050228C"/>
    <w:rsid w:val="00502857"/>
    <w:rsid w:val="005044A9"/>
    <w:rsid w:val="00505994"/>
    <w:rsid w:val="00505FD4"/>
    <w:rsid w:val="00506E25"/>
    <w:rsid w:val="005075EE"/>
    <w:rsid w:val="0051104F"/>
    <w:rsid w:val="0051132C"/>
    <w:rsid w:val="00512C9E"/>
    <w:rsid w:val="00513483"/>
    <w:rsid w:val="00513E92"/>
    <w:rsid w:val="00514A55"/>
    <w:rsid w:val="00514EF5"/>
    <w:rsid w:val="00516282"/>
    <w:rsid w:val="00516835"/>
    <w:rsid w:val="0051782D"/>
    <w:rsid w:val="0052087E"/>
    <w:rsid w:val="00521167"/>
    <w:rsid w:val="00521B1F"/>
    <w:rsid w:val="0052315E"/>
    <w:rsid w:val="005232CA"/>
    <w:rsid w:val="0052447E"/>
    <w:rsid w:val="00524700"/>
    <w:rsid w:val="0052631E"/>
    <w:rsid w:val="0053032B"/>
    <w:rsid w:val="00530ED3"/>
    <w:rsid w:val="00531078"/>
    <w:rsid w:val="00531B66"/>
    <w:rsid w:val="00531E23"/>
    <w:rsid w:val="00532475"/>
    <w:rsid w:val="005332E0"/>
    <w:rsid w:val="0053438E"/>
    <w:rsid w:val="005346B7"/>
    <w:rsid w:val="0053503C"/>
    <w:rsid w:val="005355EE"/>
    <w:rsid w:val="005358E4"/>
    <w:rsid w:val="00535B16"/>
    <w:rsid w:val="005366D0"/>
    <w:rsid w:val="005373A5"/>
    <w:rsid w:val="00537B86"/>
    <w:rsid w:val="00537E27"/>
    <w:rsid w:val="00540B4D"/>
    <w:rsid w:val="00540FFA"/>
    <w:rsid w:val="00541BCC"/>
    <w:rsid w:val="00542930"/>
    <w:rsid w:val="005435B3"/>
    <w:rsid w:val="0054363D"/>
    <w:rsid w:val="00544648"/>
    <w:rsid w:val="0054552A"/>
    <w:rsid w:val="00547FCD"/>
    <w:rsid w:val="00550670"/>
    <w:rsid w:val="00550849"/>
    <w:rsid w:val="00550866"/>
    <w:rsid w:val="00551CEA"/>
    <w:rsid w:val="00554AF8"/>
    <w:rsid w:val="00554BF3"/>
    <w:rsid w:val="00555F05"/>
    <w:rsid w:val="0055655F"/>
    <w:rsid w:val="0055657D"/>
    <w:rsid w:val="00560D0D"/>
    <w:rsid w:val="00560DBA"/>
    <w:rsid w:val="00561249"/>
    <w:rsid w:val="005618A9"/>
    <w:rsid w:val="00562546"/>
    <w:rsid w:val="00565DAD"/>
    <w:rsid w:val="00565FB1"/>
    <w:rsid w:val="005662FB"/>
    <w:rsid w:val="00567040"/>
    <w:rsid w:val="00567781"/>
    <w:rsid w:val="00567ECC"/>
    <w:rsid w:val="005713B1"/>
    <w:rsid w:val="00571AD5"/>
    <w:rsid w:val="00577783"/>
    <w:rsid w:val="00577EFB"/>
    <w:rsid w:val="00582119"/>
    <w:rsid w:val="00583090"/>
    <w:rsid w:val="005835F4"/>
    <w:rsid w:val="00583EFE"/>
    <w:rsid w:val="00584076"/>
    <w:rsid w:val="005841A3"/>
    <w:rsid w:val="00586D9A"/>
    <w:rsid w:val="0059008E"/>
    <w:rsid w:val="00590EAE"/>
    <w:rsid w:val="0059112A"/>
    <w:rsid w:val="00591857"/>
    <w:rsid w:val="005920CB"/>
    <w:rsid w:val="00593216"/>
    <w:rsid w:val="00594BC3"/>
    <w:rsid w:val="00594FF9"/>
    <w:rsid w:val="00595DC3"/>
    <w:rsid w:val="00596170"/>
    <w:rsid w:val="005964A4"/>
    <w:rsid w:val="00596CA7"/>
    <w:rsid w:val="00596DC8"/>
    <w:rsid w:val="00596E16"/>
    <w:rsid w:val="00596E56"/>
    <w:rsid w:val="00597606"/>
    <w:rsid w:val="005A07F5"/>
    <w:rsid w:val="005A1203"/>
    <w:rsid w:val="005A16A3"/>
    <w:rsid w:val="005A1C48"/>
    <w:rsid w:val="005A253A"/>
    <w:rsid w:val="005A2F03"/>
    <w:rsid w:val="005A40AF"/>
    <w:rsid w:val="005A4CE5"/>
    <w:rsid w:val="005A5009"/>
    <w:rsid w:val="005A64BF"/>
    <w:rsid w:val="005A6632"/>
    <w:rsid w:val="005A6C51"/>
    <w:rsid w:val="005B1205"/>
    <w:rsid w:val="005B3406"/>
    <w:rsid w:val="005B4421"/>
    <w:rsid w:val="005B500B"/>
    <w:rsid w:val="005B67B4"/>
    <w:rsid w:val="005B7929"/>
    <w:rsid w:val="005C0BC3"/>
    <w:rsid w:val="005C1116"/>
    <w:rsid w:val="005C14DC"/>
    <w:rsid w:val="005C23AF"/>
    <w:rsid w:val="005C25D1"/>
    <w:rsid w:val="005C2F0F"/>
    <w:rsid w:val="005C35A9"/>
    <w:rsid w:val="005C464B"/>
    <w:rsid w:val="005C4E5F"/>
    <w:rsid w:val="005C4EA8"/>
    <w:rsid w:val="005C5DE7"/>
    <w:rsid w:val="005C66CA"/>
    <w:rsid w:val="005C74A0"/>
    <w:rsid w:val="005D052C"/>
    <w:rsid w:val="005D0957"/>
    <w:rsid w:val="005D0F13"/>
    <w:rsid w:val="005D0F97"/>
    <w:rsid w:val="005D16FE"/>
    <w:rsid w:val="005D2AF5"/>
    <w:rsid w:val="005D3E69"/>
    <w:rsid w:val="005D4084"/>
    <w:rsid w:val="005D4777"/>
    <w:rsid w:val="005D4C2B"/>
    <w:rsid w:val="005E288B"/>
    <w:rsid w:val="005E6B93"/>
    <w:rsid w:val="005E7953"/>
    <w:rsid w:val="005E7E82"/>
    <w:rsid w:val="005E7F0F"/>
    <w:rsid w:val="005F2631"/>
    <w:rsid w:val="005F2C42"/>
    <w:rsid w:val="005F65D9"/>
    <w:rsid w:val="005F6C28"/>
    <w:rsid w:val="005F7AB6"/>
    <w:rsid w:val="005F7E3C"/>
    <w:rsid w:val="00600FA8"/>
    <w:rsid w:val="00601935"/>
    <w:rsid w:val="006020CD"/>
    <w:rsid w:val="0060329D"/>
    <w:rsid w:val="00603CB7"/>
    <w:rsid w:val="006047C7"/>
    <w:rsid w:val="006058BD"/>
    <w:rsid w:val="00605B31"/>
    <w:rsid w:val="0060612B"/>
    <w:rsid w:val="006063DA"/>
    <w:rsid w:val="00606CD0"/>
    <w:rsid w:val="00606CE3"/>
    <w:rsid w:val="00606E66"/>
    <w:rsid w:val="006114EF"/>
    <w:rsid w:val="00611DD3"/>
    <w:rsid w:val="00611EF0"/>
    <w:rsid w:val="00612219"/>
    <w:rsid w:val="00612C94"/>
    <w:rsid w:val="00612E04"/>
    <w:rsid w:val="0061570C"/>
    <w:rsid w:val="00616395"/>
    <w:rsid w:val="006173A4"/>
    <w:rsid w:val="00617C44"/>
    <w:rsid w:val="00620086"/>
    <w:rsid w:val="0062055F"/>
    <w:rsid w:val="00621561"/>
    <w:rsid w:val="0062248A"/>
    <w:rsid w:val="00622CE4"/>
    <w:rsid w:val="006234A7"/>
    <w:rsid w:val="00623F8E"/>
    <w:rsid w:val="00623FB9"/>
    <w:rsid w:val="00625917"/>
    <w:rsid w:val="0062789F"/>
    <w:rsid w:val="006279EE"/>
    <w:rsid w:val="006301BE"/>
    <w:rsid w:val="0063055F"/>
    <w:rsid w:val="0063096E"/>
    <w:rsid w:val="0063221F"/>
    <w:rsid w:val="00633349"/>
    <w:rsid w:val="006333D4"/>
    <w:rsid w:val="00633D61"/>
    <w:rsid w:val="0063402B"/>
    <w:rsid w:val="006356E5"/>
    <w:rsid w:val="0063612E"/>
    <w:rsid w:val="00636570"/>
    <w:rsid w:val="00637859"/>
    <w:rsid w:val="00637901"/>
    <w:rsid w:val="00637E1B"/>
    <w:rsid w:val="006402DF"/>
    <w:rsid w:val="00640C25"/>
    <w:rsid w:val="0064164B"/>
    <w:rsid w:val="006418D4"/>
    <w:rsid w:val="00642EA9"/>
    <w:rsid w:val="00644468"/>
    <w:rsid w:val="00645F5E"/>
    <w:rsid w:val="0064603F"/>
    <w:rsid w:val="0064728F"/>
    <w:rsid w:val="00647B1E"/>
    <w:rsid w:val="00647C55"/>
    <w:rsid w:val="0065008B"/>
    <w:rsid w:val="00652D6B"/>
    <w:rsid w:val="00652F14"/>
    <w:rsid w:val="00653A3B"/>
    <w:rsid w:val="00653FD9"/>
    <w:rsid w:val="006542B7"/>
    <w:rsid w:val="00654D42"/>
    <w:rsid w:val="00655841"/>
    <w:rsid w:val="00655F5D"/>
    <w:rsid w:val="00655FA0"/>
    <w:rsid w:val="0065629C"/>
    <w:rsid w:val="00656328"/>
    <w:rsid w:val="00657064"/>
    <w:rsid w:val="00660279"/>
    <w:rsid w:val="00660A94"/>
    <w:rsid w:val="00661C9E"/>
    <w:rsid w:val="006622B9"/>
    <w:rsid w:val="00662E1E"/>
    <w:rsid w:val="0066371E"/>
    <w:rsid w:val="00663CC8"/>
    <w:rsid w:val="00664181"/>
    <w:rsid w:val="00664D4D"/>
    <w:rsid w:val="00664E4D"/>
    <w:rsid w:val="00666FC9"/>
    <w:rsid w:val="006724AD"/>
    <w:rsid w:val="00672BAB"/>
    <w:rsid w:val="0067314A"/>
    <w:rsid w:val="00673D1E"/>
    <w:rsid w:val="006740BD"/>
    <w:rsid w:val="0067670C"/>
    <w:rsid w:val="006779CF"/>
    <w:rsid w:val="00677A8F"/>
    <w:rsid w:val="00677D63"/>
    <w:rsid w:val="00677ED2"/>
    <w:rsid w:val="00677F8A"/>
    <w:rsid w:val="00680AA3"/>
    <w:rsid w:val="00680E63"/>
    <w:rsid w:val="006821E3"/>
    <w:rsid w:val="006836A3"/>
    <w:rsid w:val="00683AD6"/>
    <w:rsid w:val="006842AE"/>
    <w:rsid w:val="00684DB0"/>
    <w:rsid w:val="006875BA"/>
    <w:rsid w:val="0069097D"/>
    <w:rsid w:val="00691082"/>
    <w:rsid w:val="0069170B"/>
    <w:rsid w:val="006921E7"/>
    <w:rsid w:val="00692F5F"/>
    <w:rsid w:val="00692FB6"/>
    <w:rsid w:val="00693FEA"/>
    <w:rsid w:val="00694C68"/>
    <w:rsid w:val="00695EB8"/>
    <w:rsid w:val="00697161"/>
    <w:rsid w:val="006A19C0"/>
    <w:rsid w:val="006A5074"/>
    <w:rsid w:val="006A5773"/>
    <w:rsid w:val="006A5804"/>
    <w:rsid w:val="006A58F0"/>
    <w:rsid w:val="006A59E2"/>
    <w:rsid w:val="006A5B1E"/>
    <w:rsid w:val="006A6262"/>
    <w:rsid w:val="006A680C"/>
    <w:rsid w:val="006A7D6B"/>
    <w:rsid w:val="006B0372"/>
    <w:rsid w:val="006B0764"/>
    <w:rsid w:val="006B081C"/>
    <w:rsid w:val="006B2498"/>
    <w:rsid w:val="006B30BA"/>
    <w:rsid w:val="006B4467"/>
    <w:rsid w:val="006B4CC2"/>
    <w:rsid w:val="006B6C46"/>
    <w:rsid w:val="006B6E78"/>
    <w:rsid w:val="006C0039"/>
    <w:rsid w:val="006C1452"/>
    <w:rsid w:val="006C1927"/>
    <w:rsid w:val="006C1FA1"/>
    <w:rsid w:val="006C2585"/>
    <w:rsid w:val="006C2E4B"/>
    <w:rsid w:val="006C4008"/>
    <w:rsid w:val="006C41EC"/>
    <w:rsid w:val="006C4E2C"/>
    <w:rsid w:val="006C5172"/>
    <w:rsid w:val="006C560A"/>
    <w:rsid w:val="006C5931"/>
    <w:rsid w:val="006C73EF"/>
    <w:rsid w:val="006D1723"/>
    <w:rsid w:val="006D2917"/>
    <w:rsid w:val="006D4F90"/>
    <w:rsid w:val="006D5D3F"/>
    <w:rsid w:val="006D60ED"/>
    <w:rsid w:val="006D6392"/>
    <w:rsid w:val="006D6DB5"/>
    <w:rsid w:val="006E0770"/>
    <w:rsid w:val="006E0ABE"/>
    <w:rsid w:val="006E1166"/>
    <w:rsid w:val="006E1978"/>
    <w:rsid w:val="006E24D9"/>
    <w:rsid w:val="006E596E"/>
    <w:rsid w:val="006E65E0"/>
    <w:rsid w:val="006E6F53"/>
    <w:rsid w:val="006E7A57"/>
    <w:rsid w:val="006E7A87"/>
    <w:rsid w:val="006F033F"/>
    <w:rsid w:val="006F1264"/>
    <w:rsid w:val="006F1AFC"/>
    <w:rsid w:val="006F24D8"/>
    <w:rsid w:val="006F33B8"/>
    <w:rsid w:val="006F408F"/>
    <w:rsid w:val="006F4C9C"/>
    <w:rsid w:val="006F542A"/>
    <w:rsid w:val="006F5855"/>
    <w:rsid w:val="006F6171"/>
    <w:rsid w:val="006F640F"/>
    <w:rsid w:val="006F762A"/>
    <w:rsid w:val="007003C1"/>
    <w:rsid w:val="0070056F"/>
    <w:rsid w:val="00700FFA"/>
    <w:rsid w:val="00701050"/>
    <w:rsid w:val="00701B6B"/>
    <w:rsid w:val="0070384F"/>
    <w:rsid w:val="00703A9E"/>
    <w:rsid w:val="00703D6D"/>
    <w:rsid w:val="00704095"/>
    <w:rsid w:val="00704152"/>
    <w:rsid w:val="00704FB5"/>
    <w:rsid w:val="0070500A"/>
    <w:rsid w:val="00705657"/>
    <w:rsid w:val="007061BF"/>
    <w:rsid w:val="00706B71"/>
    <w:rsid w:val="0071022A"/>
    <w:rsid w:val="00710F78"/>
    <w:rsid w:val="0071277A"/>
    <w:rsid w:val="007129EA"/>
    <w:rsid w:val="00712B39"/>
    <w:rsid w:val="00712EE5"/>
    <w:rsid w:val="00713493"/>
    <w:rsid w:val="00713494"/>
    <w:rsid w:val="0071368E"/>
    <w:rsid w:val="00714031"/>
    <w:rsid w:val="007141EA"/>
    <w:rsid w:val="0071466E"/>
    <w:rsid w:val="00714A6C"/>
    <w:rsid w:val="00714CD3"/>
    <w:rsid w:val="0071640D"/>
    <w:rsid w:val="007206A8"/>
    <w:rsid w:val="00720859"/>
    <w:rsid w:val="00720BDE"/>
    <w:rsid w:val="0072116D"/>
    <w:rsid w:val="0072226F"/>
    <w:rsid w:val="007226E6"/>
    <w:rsid w:val="00725B78"/>
    <w:rsid w:val="00727082"/>
    <w:rsid w:val="00732178"/>
    <w:rsid w:val="0073233C"/>
    <w:rsid w:val="00732D0C"/>
    <w:rsid w:val="00732DF9"/>
    <w:rsid w:val="00733EAD"/>
    <w:rsid w:val="00734F54"/>
    <w:rsid w:val="00736D93"/>
    <w:rsid w:val="00737C04"/>
    <w:rsid w:val="00737F64"/>
    <w:rsid w:val="00740581"/>
    <w:rsid w:val="00740AD5"/>
    <w:rsid w:val="00740D37"/>
    <w:rsid w:val="00741458"/>
    <w:rsid w:val="00744110"/>
    <w:rsid w:val="00744595"/>
    <w:rsid w:val="00745375"/>
    <w:rsid w:val="00746610"/>
    <w:rsid w:val="00746B94"/>
    <w:rsid w:val="00746F2E"/>
    <w:rsid w:val="0074712E"/>
    <w:rsid w:val="007476D8"/>
    <w:rsid w:val="00747893"/>
    <w:rsid w:val="00747A52"/>
    <w:rsid w:val="00750F1E"/>
    <w:rsid w:val="00751C12"/>
    <w:rsid w:val="00752691"/>
    <w:rsid w:val="007528F2"/>
    <w:rsid w:val="00752E3E"/>
    <w:rsid w:val="00754AC9"/>
    <w:rsid w:val="00754B45"/>
    <w:rsid w:val="00756BA6"/>
    <w:rsid w:val="0075713E"/>
    <w:rsid w:val="007575C4"/>
    <w:rsid w:val="00757D63"/>
    <w:rsid w:val="007608E5"/>
    <w:rsid w:val="0076126B"/>
    <w:rsid w:val="00762A1B"/>
    <w:rsid w:val="00762D6D"/>
    <w:rsid w:val="00762E77"/>
    <w:rsid w:val="00762F5D"/>
    <w:rsid w:val="00763438"/>
    <w:rsid w:val="00763700"/>
    <w:rsid w:val="00763CD6"/>
    <w:rsid w:val="0076427C"/>
    <w:rsid w:val="007643F3"/>
    <w:rsid w:val="00765217"/>
    <w:rsid w:val="007653E1"/>
    <w:rsid w:val="007659AA"/>
    <w:rsid w:val="00766334"/>
    <w:rsid w:val="0076785E"/>
    <w:rsid w:val="0077266C"/>
    <w:rsid w:val="00772802"/>
    <w:rsid w:val="007729B2"/>
    <w:rsid w:val="00773DC6"/>
    <w:rsid w:val="00773FF8"/>
    <w:rsid w:val="00774F5E"/>
    <w:rsid w:val="00775066"/>
    <w:rsid w:val="00776406"/>
    <w:rsid w:val="0078005A"/>
    <w:rsid w:val="0078068F"/>
    <w:rsid w:val="007809C6"/>
    <w:rsid w:val="00781B6F"/>
    <w:rsid w:val="00781F9C"/>
    <w:rsid w:val="00782DFD"/>
    <w:rsid w:val="0078363A"/>
    <w:rsid w:val="007839A9"/>
    <w:rsid w:val="00784424"/>
    <w:rsid w:val="0078529A"/>
    <w:rsid w:val="00785474"/>
    <w:rsid w:val="007863CB"/>
    <w:rsid w:val="00787B99"/>
    <w:rsid w:val="00790540"/>
    <w:rsid w:val="00791313"/>
    <w:rsid w:val="0079226D"/>
    <w:rsid w:val="007925B6"/>
    <w:rsid w:val="00792C23"/>
    <w:rsid w:val="00793403"/>
    <w:rsid w:val="0079421C"/>
    <w:rsid w:val="0079526D"/>
    <w:rsid w:val="00795A2C"/>
    <w:rsid w:val="00797390"/>
    <w:rsid w:val="007A05B6"/>
    <w:rsid w:val="007A0A5F"/>
    <w:rsid w:val="007A0B1A"/>
    <w:rsid w:val="007A1C0A"/>
    <w:rsid w:val="007A1C59"/>
    <w:rsid w:val="007A2143"/>
    <w:rsid w:val="007A24D0"/>
    <w:rsid w:val="007A33A2"/>
    <w:rsid w:val="007A5B41"/>
    <w:rsid w:val="007A5BCC"/>
    <w:rsid w:val="007A6E82"/>
    <w:rsid w:val="007B159A"/>
    <w:rsid w:val="007B3A76"/>
    <w:rsid w:val="007B43C5"/>
    <w:rsid w:val="007B47DB"/>
    <w:rsid w:val="007B5792"/>
    <w:rsid w:val="007B5944"/>
    <w:rsid w:val="007B5AE6"/>
    <w:rsid w:val="007B6B26"/>
    <w:rsid w:val="007C1413"/>
    <w:rsid w:val="007C1D0A"/>
    <w:rsid w:val="007C277F"/>
    <w:rsid w:val="007C31E2"/>
    <w:rsid w:val="007C35B0"/>
    <w:rsid w:val="007C546D"/>
    <w:rsid w:val="007C5CE1"/>
    <w:rsid w:val="007C638C"/>
    <w:rsid w:val="007C6745"/>
    <w:rsid w:val="007C6E4D"/>
    <w:rsid w:val="007C6F85"/>
    <w:rsid w:val="007D0569"/>
    <w:rsid w:val="007D16B1"/>
    <w:rsid w:val="007D19E4"/>
    <w:rsid w:val="007D348C"/>
    <w:rsid w:val="007D3781"/>
    <w:rsid w:val="007D6B23"/>
    <w:rsid w:val="007D7400"/>
    <w:rsid w:val="007D7761"/>
    <w:rsid w:val="007D79FF"/>
    <w:rsid w:val="007E02A7"/>
    <w:rsid w:val="007E37A0"/>
    <w:rsid w:val="007E468A"/>
    <w:rsid w:val="007E51A5"/>
    <w:rsid w:val="007E652C"/>
    <w:rsid w:val="007E7F4C"/>
    <w:rsid w:val="007E7FA8"/>
    <w:rsid w:val="007F0C2B"/>
    <w:rsid w:val="007F1D79"/>
    <w:rsid w:val="007F1F61"/>
    <w:rsid w:val="007F2EC6"/>
    <w:rsid w:val="007F3018"/>
    <w:rsid w:val="007F3519"/>
    <w:rsid w:val="007F4376"/>
    <w:rsid w:val="007F47E7"/>
    <w:rsid w:val="007F53FD"/>
    <w:rsid w:val="007F6862"/>
    <w:rsid w:val="0080079E"/>
    <w:rsid w:val="008013FC"/>
    <w:rsid w:val="00801B6F"/>
    <w:rsid w:val="00801CB5"/>
    <w:rsid w:val="00802A9F"/>
    <w:rsid w:val="00803DD2"/>
    <w:rsid w:val="00804B17"/>
    <w:rsid w:val="00805889"/>
    <w:rsid w:val="00805918"/>
    <w:rsid w:val="008060C3"/>
    <w:rsid w:val="008063A1"/>
    <w:rsid w:val="00807F00"/>
    <w:rsid w:val="00811021"/>
    <w:rsid w:val="00811F82"/>
    <w:rsid w:val="00812095"/>
    <w:rsid w:val="008134BD"/>
    <w:rsid w:val="00814656"/>
    <w:rsid w:val="008156DE"/>
    <w:rsid w:val="00816471"/>
    <w:rsid w:val="00820E45"/>
    <w:rsid w:val="008214B8"/>
    <w:rsid w:val="008216B0"/>
    <w:rsid w:val="00821E2C"/>
    <w:rsid w:val="008220DB"/>
    <w:rsid w:val="00822835"/>
    <w:rsid w:val="0082459B"/>
    <w:rsid w:val="00826758"/>
    <w:rsid w:val="008268A9"/>
    <w:rsid w:val="00830AB4"/>
    <w:rsid w:val="00831584"/>
    <w:rsid w:val="0083215A"/>
    <w:rsid w:val="00832F58"/>
    <w:rsid w:val="008348AA"/>
    <w:rsid w:val="00834FF2"/>
    <w:rsid w:val="008353E0"/>
    <w:rsid w:val="008365F0"/>
    <w:rsid w:val="00836E1B"/>
    <w:rsid w:val="008376FA"/>
    <w:rsid w:val="00840669"/>
    <w:rsid w:val="00841534"/>
    <w:rsid w:val="008416E8"/>
    <w:rsid w:val="008462F1"/>
    <w:rsid w:val="00846930"/>
    <w:rsid w:val="00847D15"/>
    <w:rsid w:val="00850C55"/>
    <w:rsid w:val="00850FDE"/>
    <w:rsid w:val="00851502"/>
    <w:rsid w:val="008516F6"/>
    <w:rsid w:val="008522D5"/>
    <w:rsid w:val="00852876"/>
    <w:rsid w:val="008543F5"/>
    <w:rsid w:val="00855004"/>
    <w:rsid w:val="008572C4"/>
    <w:rsid w:val="0085733E"/>
    <w:rsid w:val="0085765A"/>
    <w:rsid w:val="008577BA"/>
    <w:rsid w:val="00860216"/>
    <w:rsid w:val="008604A8"/>
    <w:rsid w:val="00860E64"/>
    <w:rsid w:val="008616F7"/>
    <w:rsid w:val="00861AFA"/>
    <w:rsid w:val="008620A1"/>
    <w:rsid w:val="00863C61"/>
    <w:rsid w:val="00864576"/>
    <w:rsid w:val="00865522"/>
    <w:rsid w:val="00865ADF"/>
    <w:rsid w:val="00865C0B"/>
    <w:rsid w:val="0086644C"/>
    <w:rsid w:val="008666B5"/>
    <w:rsid w:val="008703B3"/>
    <w:rsid w:val="00870AB2"/>
    <w:rsid w:val="008740DB"/>
    <w:rsid w:val="00876985"/>
    <w:rsid w:val="00877E95"/>
    <w:rsid w:val="008817CC"/>
    <w:rsid w:val="00882372"/>
    <w:rsid w:val="00883780"/>
    <w:rsid w:val="00883B99"/>
    <w:rsid w:val="00885066"/>
    <w:rsid w:val="00885771"/>
    <w:rsid w:val="00885F85"/>
    <w:rsid w:val="0088629F"/>
    <w:rsid w:val="0088665E"/>
    <w:rsid w:val="00886E24"/>
    <w:rsid w:val="00887526"/>
    <w:rsid w:val="00887F48"/>
    <w:rsid w:val="00892063"/>
    <w:rsid w:val="008923C8"/>
    <w:rsid w:val="008924B5"/>
    <w:rsid w:val="00893260"/>
    <w:rsid w:val="008932A8"/>
    <w:rsid w:val="00893756"/>
    <w:rsid w:val="00893841"/>
    <w:rsid w:val="00894988"/>
    <w:rsid w:val="00894A9E"/>
    <w:rsid w:val="008950F6"/>
    <w:rsid w:val="00896815"/>
    <w:rsid w:val="0089780F"/>
    <w:rsid w:val="008A0744"/>
    <w:rsid w:val="008A0A6E"/>
    <w:rsid w:val="008A0C44"/>
    <w:rsid w:val="008A0D0F"/>
    <w:rsid w:val="008A146C"/>
    <w:rsid w:val="008A1C91"/>
    <w:rsid w:val="008A2FB3"/>
    <w:rsid w:val="008A398B"/>
    <w:rsid w:val="008A5601"/>
    <w:rsid w:val="008A59AD"/>
    <w:rsid w:val="008A5F01"/>
    <w:rsid w:val="008A687C"/>
    <w:rsid w:val="008B0EEB"/>
    <w:rsid w:val="008B42EF"/>
    <w:rsid w:val="008B431D"/>
    <w:rsid w:val="008B51FD"/>
    <w:rsid w:val="008B5335"/>
    <w:rsid w:val="008B5524"/>
    <w:rsid w:val="008B6766"/>
    <w:rsid w:val="008B6C15"/>
    <w:rsid w:val="008B6EC8"/>
    <w:rsid w:val="008B7186"/>
    <w:rsid w:val="008B7192"/>
    <w:rsid w:val="008C1939"/>
    <w:rsid w:val="008C1E49"/>
    <w:rsid w:val="008C3396"/>
    <w:rsid w:val="008C5824"/>
    <w:rsid w:val="008C621C"/>
    <w:rsid w:val="008C697C"/>
    <w:rsid w:val="008C7448"/>
    <w:rsid w:val="008C75ED"/>
    <w:rsid w:val="008C7649"/>
    <w:rsid w:val="008D2516"/>
    <w:rsid w:val="008D2B5C"/>
    <w:rsid w:val="008D53A8"/>
    <w:rsid w:val="008D5E7E"/>
    <w:rsid w:val="008D787A"/>
    <w:rsid w:val="008E0836"/>
    <w:rsid w:val="008E0991"/>
    <w:rsid w:val="008E0AFC"/>
    <w:rsid w:val="008E264A"/>
    <w:rsid w:val="008E338E"/>
    <w:rsid w:val="008E3428"/>
    <w:rsid w:val="008E4EFB"/>
    <w:rsid w:val="008E57FE"/>
    <w:rsid w:val="008F01EA"/>
    <w:rsid w:val="008F238D"/>
    <w:rsid w:val="008F2665"/>
    <w:rsid w:val="008F2EAC"/>
    <w:rsid w:val="008F37DB"/>
    <w:rsid w:val="008F37F7"/>
    <w:rsid w:val="008F507E"/>
    <w:rsid w:val="008F50E1"/>
    <w:rsid w:val="008F5251"/>
    <w:rsid w:val="008F6376"/>
    <w:rsid w:val="008F67F7"/>
    <w:rsid w:val="008F74BB"/>
    <w:rsid w:val="0090028A"/>
    <w:rsid w:val="009004F5"/>
    <w:rsid w:val="00900CC2"/>
    <w:rsid w:val="00901770"/>
    <w:rsid w:val="009019FB"/>
    <w:rsid w:val="00902AA5"/>
    <w:rsid w:val="009037ED"/>
    <w:rsid w:val="00903F72"/>
    <w:rsid w:val="009052B7"/>
    <w:rsid w:val="00905B05"/>
    <w:rsid w:val="0090753C"/>
    <w:rsid w:val="00910792"/>
    <w:rsid w:val="0091182A"/>
    <w:rsid w:val="00911A9F"/>
    <w:rsid w:val="00911B66"/>
    <w:rsid w:val="00912795"/>
    <w:rsid w:val="00912A7E"/>
    <w:rsid w:val="0091308F"/>
    <w:rsid w:val="009135C8"/>
    <w:rsid w:val="00915330"/>
    <w:rsid w:val="00916E69"/>
    <w:rsid w:val="00917525"/>
    <w:rsid w:val="0091777D"/>
    <w:rsid w:val="00917C39"/>
    <w:rsid w:val="0092057D"/>
    <w:rsid w:val="00921434"/>
    <w:rsid w:val="009218DE"/>
    <w:rsid w:val="00922D00"/>
    <w:rsid w:val="00923F17"/>
    <w:rsid w:val="00925E36"/>
    <w:rsid w:val="009266DA"/>
    <w:rsid w:val="00926846"/>
    <w:rsid w:val="00927172"/>
    <w:rsid w:val="009302A7"/>
    <w:rsid w:val="00930DE8"/>
    <w:rsid w:val="009313B7"/>
    <w:rsid w:val="009318DD"/>
    <w:rsid w:val="0093472E"/>
    <w:rsid w:val="00935413"/>
    <w:rsid w:val="00935F5D"/>
    <w:rsid w:val="0093669F"/>
    <w:rsid w:val="009368E0"/>
    <w:rsid w:val="00937168"/>
    <w:rsid w:val="00937FDC"/>
    <w:rsid w:val="009410B7"/>
    <w:rsid w:val="00941846"/>
    <w:rsid w:val="0094260B"/>
    <w:rsid w:val="00942661"/>
    <w:rsid w:val="00942C44"/>
    <w:rsid w:val="00945017"/>
    <w:rsid w:val="00945307"/>
    <w:rsid w:val="0094558D"/>
    <w:rsid w:val="00946FCE"/>
    <w:rsid w:val="00947FA5"/>
    <w:rsid w:val="009515BC"/>
    <w:rsid w:val="009515CA"/>
    <w:rsid w:val="00952728"/>
    <w:rsid w:val="0095349A"/>
    <w:rsid w:val="00953B5B"/>
    <w:rsid w:val="00953ED0"/>
    <w:rsid w:val="0095409C"/>
    <w:rsid w:val="0095492E"/>
    <w:rsid w:val="00955753"/>
    <w:rsid w:val="00955F7D"/>
    <w:rsid w:val="00960088"/>
    <w:rsid w:val="009601F8"/>
    <w:rsid w:val="00961E0C"/>
    <w:rsid w:val="0096242F"/>
    <w:rsid w:val="00962E3B"/>
    <w:rsid w:val="00962E4A"/>
    <w:rsid w:val="00962FF5"/>
    <w:rsid w:val="00964A4E"/>
    <w:rsid w:val="00965B02"/>
    <w:rsid w:val="00965C07"/>
    <w:rsid w:val="00965D2D"/>
    <w:rsid w:val="0096678A"/>
    <w:rsid w:val="009673F5"/>
    <w:rsid w:val="00967953"/>
    <w:rsid w:val="00970A16"/>
    <w:rsid w:val="0097150B"/>
    <w:rsid w:val="00971847"/>
    <w:rsid w:val="00972964"/>
    <w:rsid w:val="00976956"/>
    <w:rsid w:val="0097762F"/>
    <w:rsid w:val="009816B8"/>
    <w:rsid w:val="00983B45"/>
    <w:rsid w:val="00983B5C"/>
    <w:rsid w:val="0098466C"/>
    <w:rsid w:val="00985858"/>
    <w:rsid w:val="0098766F"/>
    <w:rsid w:val="00990F3F"/>
    <w:rsid w:val="00992E35"/>
    <w:rsid w:val="0099304B"/>
    <w:rsid w:val="00993912"/>
    <w:rsid w:val="00994050"/>
    <w:rsid w:val="009962CF"/>
    <w:rsid w:val="009967F6"/>
    <w:rsid w:val="009969D6"/>
    <w:rsid w:val="009A0426"/>
    <w:rsid w:val="009A1612"/>
    <w:rsid w:val="009A2E15"/>
    <w:rsid w:val="009A3283"/>
    <w:rsid w:val="009A3A91"/>
    <w:rsid w:val="009A4543"/>
    <w:rsid w:val="009A57E9"/>
    <w:rsid w:val="009A5DB1"/>
    <w:rsid w:val="009A5EDE"/>
    <w:rsid w:val="009A7C5A"/>
    <w:rsid w:val="009A7E51"/>
    <w:rsid w:val="009B21B9"/>
    <w:rsid w:val="009B2527"/>
    <w:rsid w:val="009B2FAD"/>
    <w:rsid w:val="009B3214"/>
    <w:rsid w:val="009B447F"/>
    <w:rsid w:val="009B4ACE"/>
    <w:rsid w:val="009B4CD0"/>
    <w:rsid w:val="009B4DA7"/>
    <w:rsid w:val="009B5114"/>
    <w:rsid w:val="009B51B7"/>
    <w:rsid w:val="009B5D46"/>
    <w:rsid w:val="009B62FE"/>
    <w:rsid w:val="009C0346"/>
    <w:rsid w:val="009C092A"/>
    <w:rsid w:val="009C1FA5"/>
    <w:rsid w:val="009C20D6"/>
    <w:rsid w:val="009C21C6"/>
    <w:rsid w:val="009C383B"/>
    <w:rsid w:val="009C3A80"/>
    <w:rsid w:val="009C41EC"/>
    <w:rsid w:val="009C5238"/>
    <w:rsid w:val="009C60F1"/>
    <w:rsid w:val="009D0B21"/>
    <w:rsid w:val="009D11A0"/>
    <w:rsid w:val="009D12B4"/>
    <w:rsid w:val="009D1621"/>
    <w:rsid w:val="009D1E70"/>
    <w:rsid w:val="009D2135"/>
    <w:rsid w:val="009D2D44"/>
    <w:rsid w:val="009D2FA7"/>
    <w:rsid w:val="009D3540"/>
    <w:rsid w:val="009D4917"/>
    <w:rsid w:val="009D4CAE"/>
    <w:rsid w:val="009D55F9"/>
    <w:rsid w:val="009D5A11"/>
    <w:rsid w:val="009D68D4"/>
    <w:rsid w:val="009D7035"/>
    <w:rsid w:val="009D765F"/>
    <w:rsid w:val="009D7760"/>
    <w:rsid w:val="009E01B5"/>
    <w:rsid w:val="009E16E6"/>
    <w:rsid w:val="009E1E62"/>
    <w:rsid w:val="009E247B"/>
    <w:rsid w:val="009E2953"/>
    <w:rsid w:val="009E30CE"/>
    <w:rsid w:val="009E3BA0"/>
    <w:rsid w:val="009E4618"/>
    <w:rsid w:val="009E4A53"/>
    <w:rsid w:val="009E4CDF"/>
    <w:rsid w:val="009E5F15"/>
    <w:rsid w:val="009E672B"/>
    <w:rsid w:val="009F04C3"/>
    <w:rsid w:val="009F0760"/>
    <w:rsid w:val="009F1174"/>
    <w:rsid w:val="009F1FB9"/>
    <w:rsid w:val="009F2CF7"/>
    <w:rsid w:val="009F3B29"/>
    <w:rsid w:val="009F4860"/>
    <w:rsid w:val="009F4C7A"/>
    <w:rsid w:val="009F4FBF"/>
    <w:rsid w:val="00A00057"/>
    <w:rsid w:val="00A00485"/>
    <w:rsid w:val="00A00E48"/>
    <w:rsid w:val="00A0119F"/>
    <w:rsid w:val="00A01544"/>
    <w:rsid w:val="00A01A5F"/>
    <w:rsid w:val="00A025AC"/>
    <w:rsid w:val="00A02C96"/>
    <w:rsid w:val="00A02E65"/>
    <w:rsid w:val="00A0340A"/>
    <w:rsid w:val="00A03956"/>
    <w:rsid w:val="00A0440C"/>
    <w:rsid w:val="00A047AE"/>
    <w:rsid w:val="00A0585F"/>
    <w:rsid w:val="00A0694A"/>
    <w:rsid w:val="00A077AC"/>
    <w:rsid w:val="00A07A33"/>
    <w:rsid w:val="00A10697"/>
    <w:rsid w:val="00A10A30"/>
    <w:rsid w:val="00A1137C"/>
    <w:rsid w:val="00A113D7"/>
    <w:rsid w:val="00A11F0F"/>
    <w:rsid w:val="00A133EF"/>
    <w:rsid w:val="00A14133"/>
    <w:rsid w:val="00A16126"/>
    <w:rsid w:val="00A2042D"/>
    <w:rsid w:val="00A21C6C"/>
    <w:rsid w:val="00A22F80"/>
    <w:rsid w:val="00A2330A"/>
    <w:rsid w:val="00A2365A"/>
    <w:rsid w:val="00A24133"/>
    <w:rsid w:val="00A262BF"/>
    <w:rsid w:val="00A27809"/>
    <w:rsid w:val="00A30323"/>
    <w:rsid w:val="00A30533"/>
    <w:rsid w:val="00A317B0"/>
    <w:rsid w:val="00A32486"/>
    <w:rsid w:val="00A34591"/>
    <w:rsid w:val="00A345FD"/>
    <w:rsid w:val="00A34E44"/>
    <w:rsid w:val="00A3640F"/>
    <w:rsid w:val="00A37ECF"/>
    <w:rsid w:val="00A40415"/>
    <w:rsid w:val="00A406F8"/>
    <w:rsid w:val="00A40ABA"/>
    <w:rsid w:val="00A40CE2"/>
    <w:rsid w:val="00A420A6"/>
    <w:rsid w:val="00A42FAE"/>
    <w:rsid w:val="00A4321A"/>
    <w:rsid w:val="00A45251"/>
    <w:rsid w:val="00A4666D"/>
    <w:rsid w:val="00A47176"/>
    <w:rsid w:val="00A475C5"/>
    <w:rsid w:val="00A4768C"/>
    <w:rsid w:val="00A50969"/>
    <w:rsid w:val="00A50A68"/>
    <w:rsid w:val="00A50D3B"/>
    <w:rsid w:val="00A50E38"/>
    <w:rsid w:val="00A510C6"/>
    <w:rsid w:val="00A518AA"/>
    <w:rsid w:val="00A525E7"/>
    <w:rsid w:val="00A52767"/>
    <w:rsid w:val="00A52F9E"/>
    <w:rsid w:val="00A53E90"/>
    <w:rsid w:val="00A551A9"/>
    <w:rsid w:val="00A55AA1"/>
    <w:rsid w:val="00A5614F"/>
    <w:rsid w:val="00A56348"/>
    <w:rsid w:val="00A5703F"/>
    <w:rsid w:val="00A57D39"/>
    <w:rsid w:val="00A6214F"/>
    <w:rsid w:val="00A6316B"/>
    <w:rsid w:val="00A63992"/>
    <w:rsid w:val="00A65316"/>
    <w:rsid w:val="00A674FF"/>
    <w:rsid w:val="00A67D7E"/>
    <w:rsid w:val="00A70F69"/>
    <w:rsid w:val="00A72611"/>
    <w:rsid w:val="00A72B05"/>
    <w:rsid w:val="00A73ABB"/>
    <w:rsid w:val="00A751A1"/>
    <w:rsid w:val="00A76D2C"/>
    <w:rsid w:val="00A77746"/>
    <w:rsid w:val="00A801D9"/>
    <w:rsid w:val="00A806AA"/>
    <w:rsid w:val="00A80C56"/>
    <w:rsid w:val="00A80CE2"/>
    <w:rsid w:val="00A80E67"/>
    <w:rsid w:val="00A8285A"/>
    <w:rsid w:val="00A83BF6"/>
    <w:rsid w:val="00A85CDC"/>
    <w:rsid w:val="00A8633A"/>
    <w:rsid w:val="00A87A9B"/>
    <w:rsid w:val="00A87B4F"/>
    <w:rsid w:val="00A87C83"/>
    <w:rsid w:val="00A87D7D"/>
    <w:rsid w:val="00A87F31"/>
    <w:rsid w:val="00A90D27"/>
    <w:rsid w:val="00A91018"/>
    <w:rsid w:val="00A9103B"/>
    <w:rsid w:val="00A91284"/>
    <w:rsid w:val="00A918A7"/>
    <w:rsid w:val="00A92113"/>
    <w:rsid w:val="00A92871"/>
    <w:rsid w:val="00A928E0"/>
    <w:rsid w:val="00A92A22"/>
    <w:rsid w:val="00A939EF"/>
    <w:rsid w:val="00A954DD"/>
    <w:rsid w:val="00A955EB"/>
    <w:rsid w:val="00A95919"/>
    <w:rsid w:val="00A97A26"/>
    <w:rsid w:val="00AA1F49"/>
    <w:rsid w:val="00AA1FC6"/>
    <w:rsid w:val="00AA2150"/>
    <w:rsid w:val="00AA2B79"/>
    <w:rsid w:val="00AA3939"/>
    <w:rsid w:val="00AA3A2E"/>
    <w:rsid w:val="00AA4099"/>
    <w:rsid w:val="00AA5694"/>
    <w:rsid w:val="00AA6178"/>
    <w:rsid w:val="00AA6913"/>
    <w:rsid w:val="00AB01B1"/>
    <w:rsid w:val="00AB2190"/>
    <w:rsid w:val="00AB39EB"/>
    <w:rsid w:val="00AB3F27"/>
    <w:rsid w:val="00AB3FD9"/>
    <w:rsid w:val="00AB404C"/>
    <w:rsid w:val="00AB4AC3"/>
    <w:rsid w:val="00AB4B98"/>
    <w:rsid w:val="00AB7DE7"/>
    <w:rsid w:val="00AC03AB"/>
    <w:rsid w:val="00AC0650"/>
    <w:rsid w:val="00AC1BE7"/>
    <w:rsid w:val="00AC275F"/>
    <w:rsid w:val="00AC3097"/>
    <w:rsid w:val="00AC3EE4"/>
    <w:rsid w:val="00AC433B"/>
    <w:rsid w:val="00AC47BF"/>
    <w:rsid w:val="00AC4E57"/>
    <w:rsid w:val="00AC50A4"/>
    <w:rsid w:val="00AC5A95"/>
    <w:rsid w:val="00AC6074"/>
    <w:rsid w:val="00AC6471"/>
    <w:rsid w:val="00AC6A48"/>
    <w:rsid w:val="00AC70D3"/>
    <w:rsid w:val="00AC7609"/>
    <w:rsid w:val="00AD1751"/>
    <w:rsid w:val="00AD2B6E"/>
    <w:rsid w:val="00AD3443"/>
    <w:rsid w:val="00AD344C"/>
    <w:rsid w:val="00AD4B3C"/>
    <w:rsid w:val="00AD4B51"/>
    <w:rsid w:val="00AD64FC"/>
    <w:rsid w:val="00AD68A5"/>
    <w:rsid w:val="00AD72CC"/>
    <w:rsid w:val="00AE185D"/>
    <w:rsid w:val="00AE1BFE"/>
    <w:rsid w:val="00AE3842"/>
    <w:rsid w:val="00AE3D83"/>
    <w:rsid w:val="00AE4374"/>
    <w:rsid w:val="00AE466A"/>
    <w:rsid w:val="00AE485C"/>
    <w:rsid w:val="00AE48D8"/>
    <w:rsid w:val="00AE5CD9"/>
    <w:rsid w:val="00AE683E"/>
    <w:rsid w:val="00AE6A3F"/>
    <w:rsid w:val="00AE6DA9"/>
    <w:rsid w:val="00AE7358"/>
    <w:rsid w:val="00AE7D4F"/>
    <w:rsid w:val="00AE7FE4"/>
    <w:rsid w:val="00AF0117"/>
    <w:rsid w:val="00AF0D96"/>
    <w:rsid w:val="00AF17D3"/>
    <w:rsid w:val="00AF1D77"/>
    <w:rsid w:val="00AF38BA"/>
    <w:rsid w:val="00AF45EA"/>
    <w:rsid w:val="00AF4F67"/>
    <w:rsid w:val="00AF5811"/>
    <w:rsid w:val="00AF6509"/>
    <w:rsid w:val="00B00BBE"/>
    <w:rsid w:val="00B014DE"/>
    <w:rsid w:val="00B04252"/>
    <w:rsid w:val="00B0456E"/>
    <w:rsid w:val="00B06A05"/>
    <w:rsid w:val="00B06BF6"/>
    <w:rsid w:val="00B06E56"/>
    <w:rsid w:val="00B06F7F"/>
    <w:rsid w:val="00B07906"/>
    <w:rsid w:val="00B100F0"/>
    <w:rsid w:val="00B10E5B"/>
    <w:rsid w:val="00B1372B"/>
    <w:rsid w:val="00B1402E"/>
    <w:rsid w:val="00B14865"/>
    <w:rsid w:val="00B173B0"/>
    <w:rsid w:val="00B203F9"/>
    <w:rsid w:val="00B21D50"/>
    <w:rsid w:val="00B22E3B"/>
    <w:rsid w:val="00B22F9B"/>
    <w:rsid w:val="00B23747"/>
    <w:rsid w:val="00B23E0A"/>
    <w:rsid w:val="00B24090"/>
    <w:rsid w:val="00B257E3"/>
    <w:rsid w:val="00B258E7"/>
    <w:rsid w:val="00B260C7"/>
    <w:rsid w:val="00B26AEB"/>
    <w:rsid w:val="00B27494"/>
    <w:rsid w:val="00B279B9"/>
    <w:rsid w:val="00B27BFD"/>
    <w:rsid w:val="00B31148"/>
    <w:rsid w:val="00B31A4F"/>
    <w:rsid w:val="00B34F48"/>
    <w:rsid w:val="00B362C0"/>
    <w:rsid w:val="00B36AB9"/>
    <w:rsid w:val="00B3722F"/>
    <w:rsid w:val="00B37F67"/>
    <w:rsid w:val="00B4182D"/>
    <w:rsid w:val="00B420EB"/>
    <w:rsid w:val="00B46619"/>
    <w:rsid w:val="00B51BA0"/>
    <w:rsid w:val="00B535BD"/>
    <w:rsid w:val="00B53701"/>
    <w:rsid w:val="00B548D7"/>
    <w:rsid w:val="00B55597"/>
    <w:rsid w:val="00B555A2"/>
    <w:rsid w:val="00B56A26"/>
    <w:rsid w:val="00B6021A"/>
    <w:rsid w:val="00B6110A"/>
    <w:rsid w:val="00B61175"/>
    <w:rsid w:val="00B6176A"/>
    <w:rsid w:val="00B62D10"/>
    <w:rsid w:val="00B6301A"/>
    <w:rsid w:val="00B636E2"/>
    <w:rsid w:val="00B64CAD"/>
    <w:rsid w:val="00B651FA"/>
    <w:rsid w:val="00B66470"/>
    <w:rsid w:val="00B66751"/>
    <w:rsid w:val="00B6763C"/>
    <w:rsid w:val="00B67AA6"/>
    <w:rsid w:val="00B70357"/>
    <w:rsid w:val="00B7066C"/>
    <w:rsid w:val="00B717D8"/>
    <w:rsid w:val="00B724E8"/>
    <w:rsid w:val="00B72DF3"/>
    <w:rsid w:val="00B73519"/>
    <w:rsid w:val="00B738D4"/>
    <w:rsid w:val="00B74146"/>
    <w:rsid w:val="00B749F2"/>
    <w:rsid w:val="00B758C3"/>
    <w:rsid w:val="00B75FB5"/>
    <w:rsid w:val="00B76F6C"/>
    <w:rsid w:val="00B8080B"/>
    <w:rsid w:val="00B811EF"/>
    <w:rsid w:val="00B812FF"/>
    <w:rsid w:val="00B825BB"/>
    <w:rsid w:val="00B831B9"/>
    <w:rsid w:val="00B83AC0"/>
    <w:rsid w:val="00B84C92"/>
    <w:rsid w:val="00B853DF"/>
    <w:rsid w:val="00B85675"/>
    <w:rsid w:val="00B86C31"/>
    <w:rsid w:val="00B86EF1"/>
    <w:rsid w:val="00B87839"/>
    <w:rsid w:val="00B90674"/>
    <w:rsid w:val="00B910BE"/>
    <w:rsid w:val="00B91F92"/>
    <w:rsid w:val="00B91FFF"/>
    <w:rsid w:val="00B92331"/>
    <w:rsid w:val="00B934E3"/>
    <w:rsid w:val="00B94323"/>
    <w:rsid w:val="00B94444"/>
    <w:rsid w:val="00B94A6C"/>
    <w:rsid w:val="00B954CF"/>
    <w:rsid w:val="00B9566B"/>
    <w:rsid w:val="00B95F92"/>
    <w:rsid w:val="00B961B7"/>
    <w:rsid w:val="00B963D4"/>
    <w:rsid w:val="00B9772B"/>
    <w:rsid w:val="00B9796B"/>
    <w:rsid w:val="00BA07D3"/>
    <w:rsid w:val="00BA2DEF"/>
    <w:rsid w:val="00BA2DF5"/>
    <w:rsid w:val="00BA3421"/>
    <w:rsid w:val="00BA35F2"/>
    <w:rsid w:val="00BA3BE9"/>
    <w:rsid w:val="00BA42FB"/>
    <w:rsid w:val="00BA4768"/>
    <w:rsid w:val="00BA4A92"/>
    <w:rsid w:val="00BA516F"/>
    <w:rsid w:val="00BA54D3"/>
    <w:rsid w:val="00BA5998"/>
    <w:rsid w:val="00BA6010"/>
    <w:rsid w:val="00BA6087"/>
    <w:rsid w:val="00BA628C"/>
    <w:rsid w:val="00BA7059"/>
    <w:rsid w:val="00BB0051"/>
    <w:rsid w:val="00BB02C6"/>
    <w:rsid w:val="00BB063A"/>
    <w:rsid w:val="00BB1082"/>
    <w:rsid w:val="00BB16CB"/>
    <w:rsid w:val="00BB2104"/>
    <w:rsid w:val="00BB2127"/>
    <w:rsid w:val="00BB2764"/>
    <w:rsid w:val="00BB3805"/>
    <w:rsid w:val="00BB38A3"/>
    <w:rsid w:val="00BB4589"/>
    <w:rsid w:val="00BB52A5"/>
    <w:rsid w:val="00BB5893"/>
    <w:rsid w:val="00BB5A55"/>
    <w:rsid w:val="00BB5E27"/>
    <w:rsid w:val="00BB6740"/>
    <w:rsid w:val="00BB7225"/>
    <w:rsid w:val="00BB7EA1"/>
    <w:rsid w:val="00BB7F81"/>
    <w:rsid w:val="00BC09F0"/>
    <w:rsid w:val="00BC21B2"/>
    <w:rsid w:val="00BC269B"/>
    <w:rsid w:val="00BC27D2"/>
    <w:rsid w:val="00BC6390"/>
    <w:rsid w:val="00BC6C74"/>
    <w:rsid w:val="00BC7B07"/>
    <w:rsid w:val="00BD0E8E"/>
    <w:rsid w:val="00BD12AC"/>
    <w:rsid w:val="00BD218E"/>
    <w:rsid w:val="00BD35E1"/>
    <w:rsid w:val="00BD428C"/>
    <w:rsid w:val="00BD5084"/>
    <w:rsid w:val="00BD54FC"/>
    <w:rsid w:val="00BD63C3"/>
    <w:rsid w:val="00BD67CE"/>
    <w:rsid w:val="00BD71B7"/>
    <w:rsid w:val="00BD72D0"/>
    <w:rsid w:val="00BD76A4"/>
    <w:rsid w:val="00BE15B0"/>
    <w:rsid w:val="00BE1C8A"/>
    <w:rsid w:val="00BE3220"/>
    <w:rsid w:val="00BE42AA"/>
    <w:rsid w:val="00BE4857"/>
    <w:rsid w:val="00BE5145"/>
    <w:rsid w:val="00BE5847"/>
    <w:rsid w:val="00BE5BE0"/>
    <w:rsid w:val="00BE697B"/>
    <w:rsid w:val="00BE6C41"/>
    <w:rsid w:val="00BE70E8"/>
    <w:rsid w:val="00BE757D"/>
    <w:rsid w:val="00BE7920"/>
    <w:rsid w:val="00BF0B9C"/>
    <w:rsid w:val="00BF0E76"/>
    <w:rsid w:val="00BF1036"/>
    <w:rsid w:val="00BF135C"/>
    <w:rsid w:val="00BF19DC"/>
    <w:rsid w:val="00BF2B3E"/>
    <w:rsid w:val="00BF2DAF"/>
    <w:rsid w:val="00BF3B3B"/>
    <w:rsid w:val="00BF4937"/>
    <w:rsid w:val="00BF4E1B"/>
    <w:rsid w:val="00BF4E8D"/>
    <w:rsid w:val="00BF5EE2"/>
    <w:rsid w:val="00C00022"/>
    <w:rsid w:val="00C01083"/>
    <w:rsid w:val="00C02E0F"/>
    <w:rsid w:val="00C0480F"/>
    <w:rsid w:val="00C101EA"/>
    <w:rsid w:val="00C1043C"/>
    <w:rsid w:val="00C11969"/>
    <w:rsid w:val="00C12A51"/>
    <w:rsid w:val="00C12CD1"/>
    <w:rsid w:val="00C15222"/>
    <w:rsid w:val="00C1591E"/>
    <w:rsid w:val="00C16763"/>
    <w:rsid w:val="00C168A2"/>
    <w:rsid w:val="00C173EE"/>
    <w:rsid w:val="00C20D36"/>
    <w:rsid w:val="00C21038"/>
    <w:rsid w:val="00C2157F"/>
    <w:rsid w:val="00C21B41"/>
    <w:rsid w:val="00C2286B"/>
    <w:rsid w:val="00C22E15"/>
    <w:rsid w:val="00C2396B"/>
    <w:rsid w:val="00C247F3"/>
    <w:rsid w:val="00C2561A"/>
    <w:rsid w:val="00C25645"/>
    <w:rsid w:val="00C26865"/>
    <w:rsid w:val="00C26B66"/>
    <w:rsid w:val="00C2785F"/>
    <w:rsid w:val="00C30BA6"/>
    <w:rsid w:val="00C3135A"/>
    <w:rsid w:val="00C31467"/>
    <w:rsid w:val="00C32802"/>
    <w:rsid w:val="00C33E1C"/>
    <w:rsid w:val="00C33F0C"/>
    <w:rsid w:val="00C34CCB"/>
    <w:rsid w:val="00C34D57"/>
    <w:rsid w:val="00C35515"/>
    <w:rsid w:val="00C35807"/>
    <w:rsid w:val="00C35A4B"/>
    <w:rsid w:val="00C36696"/>
    <w:rsid w:val="00C36720"/>
    <w:rsid w:val="00C36777"/>
    <w:rsid w:val="00C37518"/>
    <w:rsid w:val="00C37EB9"/>
    <w:rsid w:val="00C37F00"/>
    <w:rsid w:val="00C407E4"/>
    <w:rsid w:val="00C421C9"/>
    <w:rsid w:val="00C42A3A"/>
    <w:rsid w:val="00C437C6"/>
    <w:rsid w:val="00C4517F"/>
    <w:rsid w:val="00C45232"/>
    <w:rsid w:val="00C46E94"/>
    <w:rsid w:val="00C4713F"/>
    <w:rsid w:val="00C47A7A"/>
    <w:rsid w:val="00C50EA1"/>
    <w:rsid w:val="00C52097"/>
    <w:rsid w:val="00C520F8"/>
    <w:rsid w:val="00C52BA5"/>
    <w:rsid w:val="00C52F47"/>
    <w:rsid w:val="00C53323"/>
    <w:rsid w:val="00C538CE"/>
    <w:rsid w:val="00C54D8C"/>
    <w:rsid w:val="00C56013"/>
    <w:rsid w:val="00C56E15"/>
    <w:rsid w:val="00C57325"/>
    <w:rsid w:val="00C57493"/>
    <w:rsid w:val="00C605E6"/>
    <w:rsid w:val="00C613BF"/>
    <w:rsid w:val="00C62656"/>
    <w:rsid w:val="00C64D07"/>
    <w:rsid w:val="00C659EC"/>
    <w:rsid w:val="00C661D4"/>
    <w:rsid w:val="00C66CEF"/>
    <w:rsid w:val="00C670FE"/>
    <w:rsid w:val="00C71087"/>
    <w:rsid w:val="00C71E3C"/>
    <w:rsid w:val="00C726EA"/>
    <w:rsid w:val="00C72B48"/>
    <w:rsid w:val="00C72C5F"/>
    <w:rsid w:val="00C7335D"/>
    <w:rsid w:val="00C73C17"/>
    <w:rsid w:val="00C75492"/>
    <w:rsid w:val="00C76694"/>
    <w:rsid w:val="00C769E2"/>
    <w:rsid w:val="00C77C78"/>
    <w:rsid w:val="00C80C5D"/>
    <w:rsid w:val="00C8146C"/>
    <w:rsid w:val="00C8231E"/>
    <w:rsid w:val="00C8262C"/>
    <w:rsid w:val="00C82F35"/>
    <w:rsid w:val="00C8306D"/>
    <w:rsid w:val="00C83F5A"/>
    <w:rsid w:val="00C846DD"/>
    <w:rsid w:val="00C84C69"/>
    <w:rsid w:val="00C85312"/>
    <w:rsid w:val="00C85CA6"/>
    <w:rsid w:val="00C86E6A"/>
    <w:rsid w:val="00C873DA"/>
    <w:rsid w:val="00C8771E"/>
    <w:rsid w:val="00C90A7F"/>
    <w:rsid w:val="00C9147E"/>
    <w:rsid w:val="00C925ED"/>
    <w:rsid w:val="00C9268D"/>
    <w:rsid w:val="00C9339F"/>
    <w:rsid w:val="00C94870"/>
    <w:rsid w:val="00C94ECF"/>
    <w:rsid w:val="00C95743"/>
    <w:rsid w:val="00C96443"/>
    <w:rsid w:val="00C96801"/>
    <w:rsid w:val="00C96A10"/>
    <w:rsid w:val="00C96CD4"/>
    <w:rsid w:val="00C9753B"/>
    <w:rsid w:val="00CA0C87"/>
    <w:rsid w:val="00CA19CD"/>
    <w:rsid w:val="00CA1B10"/>
    <w:rsid w:val="00CA48C3"/>
    <w:rsid w:val="00CA4A62"/>
    <w:rsid w:val="00CA561E"/>
    <w:rsid w:val="00CA5B38"/>
    <w:rsid w:val="00CA5B58"/>
    <w:rsid w:val="00CA659E"/>
    <w:rsid w:val="00CB059F"/>
    <w:rsid w:val="00CB23DD"/>
    <w:rsid w:val="00CB2757"/>
    <w:rsid w:val="00CB2FE7"/>
    <w:rsid w:val="00CB36CD"/>
    <w:rsid w:val="00CB3B57"/>
    <w:rsid w:val="00CB42AE"/>
    <w:rsid w:val="00CB44F6"/>
    <w:rsid w:val="00CB454F"/>
    <w:rsid w:val="00CB547B"/>
    <w:rsid w:val="00CB5DA2"/>
    <w:rsid w:val="00CB60C1"/>
    <w:rsid w:val="00CB6768"/>
    <w:rsid w:val="00CB7777"/>
    <w:rsid w:val="00CC17DB"/>
    <w:rsid w:val="00CC20BE"/>
    <w:rsid w:val="00CC2F01"/>
    <w:rsid w:val="00CC37AD"/>
    <w:rsid w:val="00CC3E43"/>
    <w:rsid w:val="00CC47CA"/>
    <w:rsid w:val="00CC48AE"/>
    <w:rsid w:val="00CC6343"/>
    <w:rsid w:val="00CC6453"/>
    <w:rsid w:val="00CC667B"/>
    <w:rsid w:val="00CD049D"/>
    <w:rsid w:val="00CD1227"/>
    <w:rsid w:val="00CD2BDF"/>
    <w:rsid w:val="00CD2D8A"/>
    <w:rsid w:val="00CD31EA"/>
    <w:rsid w:val="00CD3BD0"/>
    <w:rsid w:val="00CD5B9C"/>
    <w:rsid w:val="00CD692F"/>
    <w:rsid w:val="00CD7CB7"/>
    <w:rsid w:val="00CE019F"/>
    <w:rsid w:val="00CE0392"/>
    <w:rsid w:val="00CE20FF"/>
    <w:rsid w:val="00CE2303"/>
    <w:rsid w:val="00CE5481"/>
    <w:rsid w:val="00CE5866"/>
    <w:rsid w:val="00CE61BA"/>
    <w:rsid w:val="00CF003F"/>
    <w:rsid w:val="00CF0045"/>
    <w:rsid w:val="00CF037F"/>
    <w:rsid w:val="00CF0984"/>
    <w:rsid w:val="00CF2773"/>
    <w:rsid w:val="00CF2952"/>
    <w:rsid w:val="00CF5D79"/>
    <w:rsid w:val="00CF6523"/>
    <w:rsid w:val="00CF7194"/>
    <w:rsid w:val="00CF7C90"/>
    <w:rsid w:val="00CF7EA0"/>
    <w:rsid w:val="00CF7F3A"/>
    <w:rsid w:val="00D001EE"/>
    <w:rsid w:val="00D00600"/>
    <w:rsid w:val="00D00A29"/>
    <w:rsid w:val="00D00C6F"/>
    <w:rsid w:val="00D02169"/>
    <w:rsid w:val="00D02612"/>
    <w:rsid w:val="00D0329F"/>
    <w:rsid w:val="00D03AC0"/>
    <w:rsid w:val="00D03BCD"/>
    <w:rsid w:val="00D04899"/>
    <w:rsid w:val="00D04F9C"/>
    <w:rsid w:val="00D06299"/>
    <w:rsid w:val="00D1045D"/>
    <w:rsid w:val="00D10B10"/>
    <w:rsid w:val="00D10FA4"/>
    <w:rsid w:val="00D11E12"/>
    <w:rsid w:val="00D1269B"/>
    <w:rsid w:val="00D12B2C"/>
    <w:rsid w:val="00D133AA"/>
    <w:rsid w:val="00D13B0B"/>
    <w:rsid w:val="00D13CCF"/>
    <w:rsid w:val="00D14CF7"/>
    <w:rsid w:val="00D1557C"/>
    <w:rsid w:val="00D1576E"/>
    <w:rsid w:val="00D15E67"/>
    <w:rsid w:val="00D16356"/>
    <w:rsid w:val="00D16AEB"/>
    <w:rsid w:val="00D17141"/>
    <w:rsid w:val="00D20ABB"/>
    <w:rsid w:val="00D24AEE"/>
    <w:rsid w:val="00D26A19"/>
    <w:rsid w:val="00D26A33"/>
    <w:rsid w:val="00D26C5E"/>
    <w:rsid w:val="00D27DB3"/>
    <w:rsid w:val="00D30339"/>
    <w:rsid w:val="00D3073E"/>
    <w:rsid w:val="00D30EF3"/>
    <w:rsid w:val="00D31676"/>
    <w:rsid w:val="00D316C8"/>
    <w:rsid w:val="00D33103"/>
    <w:rsid w:val="00D337D5"/>
    <w:rsid w:val="00D34817"/>
    <w:rsid w:val="00D34F3F"/>
    <w:rsid w:val="00D365BB"/>
    <w:rsid w:val="00D37810"/>
    <w:rsid w:val="00D3795A"/>
    <w:rsid w:val="00D37AB5"/>
    <w:rsid w:val="00D40A65"/>
    <w:rsid w:val="00D40C74"/>
    <w:rsid w:val="00D410BC"/>
    <w:rsid w:val="00D43282"/>
    <w:rsid w:val="00D43EA4"/>
    <w:rsid w:val="00D44508"/>
    <w:rsid w:val="00D46AE5"/>
    <w:rsid w:val="00D47810"/>
    <w:rsid w:val="00D5096E"/>
    <w:rsid w:val="00D5128E"/>
    <w:rsid w:val="00D51B31"/>
    <w:rsid w:val="00D52C72"/>
    <w:rsid w:val="00D52FD0"/>
    <w:rsid w:val="00D531CE"/>
    <w:rsid w:val="00D53406"/>
    <w:rsid w:val="00D5427B"/>
    <w:rsid w:val="00D54385"/>
    <w:rsid w:val="00D56EAE"/>
    <w:rsid w:val="00D60A59"/>
    <w:rsid w:val="00D6259C"/>
    <w:rsid w:val="00D62C9A"/>
    <w:rsid w:val="00D631EB"/>
    <w:rsid w:val="00D633DF"/>
    <w:rsid w:val="00D63774"/>
    <w:rsid w:val="00D63B91"/>
    <w:rsid w:val="00D6489D"/>
    <w:rsid w:val="00D64A4A"/>
    <w:rsid w:val="00D650B1"/>
    <w:rsid w:val="00D6679C"/>
    <w:rsid w:val="00D701DC"/>
    <w:rsid w:val="00D71181"/>
    <w:rsid w:val="00D72F5D"/>
    <w:rsid w:val="00D73EE6"/>
    <w:rsid w:val="00D742D2"/>
    <w:rsid w:val="00D744DC"/>
    <w:rsid w:val="00D75CF7"/>
    <w:rsid w:val="00D75F59"/>
    <w:rsid w:val="00D76B63"/>
    <w:rsid w:val="00D776C3"/>
    <w:rsid w:val="00D80153"/>
    <w:rsid w:val="00D809BA"/>
    <w:rsid w:val="00D81AC7"/>
    <w:rsid w:val="00D81CE6"/>
    <w:rsid w:val="00D825B6"/>
    <w:rsid w:val="00D82E86"/>
    <w:rsid w:val="00D83E45"/>
    <w:rsid w:val="00D841CA"/>
    <w:rsid w:val="00D842CD"/>
    <w:rsid w:val="00D8495C"/>
    <w:rsid w:val="00D86737"/>
    <w:rsid w:val="00D8696A"/>
    <w:rsid w:val="00D90F5A"/>
    <w:rsid w:val="00D9153B"/>
    <w:rsid w:val="00D9215B"/>
    <w:rsid w:val="00D9310E"/>
    <w:rsid w:val="00D93339"/>
    <w:rsid w:val="00D9366A"/>
    <w:rsid w:val="00D955EA"/>
    <w:rsid w:val="00D95903"/>
    <w:rsid w:val="00D95D78"/>
    <w:rsid w:val="00D964A5"/>
    <w:rsid w:val="00D978FC"/>
    <w:rsid w:val="00DA0810"/>
    <w:rsid w:val="00DA3FCE"/>
    <w:rsid w:val="00DA7E88"/>
    <w:rsid w:val="00DB2BE7"/>
    <w:rsid w:val="00DB4203"/>
    <w:rsid w:val="00DB5AD6"/>
    <w:rsid w:val="00DB6212"/>
    <w:rsid w:val="00DB7CA1"/>
    <w:rsid w:val="00DB7D4C"/>
    <w:rsid w:val="00DC094F"/>
    <w:rsid w:val="00DC0BD8"/>
    <w:rsid w:val="00DC15AB"/>
    <w:rsid w:val="00DC1619"/>
    <w:rsid w:val="00DC24B5"/>
    <w:rsid w:val="00DC25DA"/>
    <w:rsid w:val="00DC28A6"/>
    <w:rsid w:val="00DC4C59"/>
    <w:rsid w:val="00DC5149"/>
    <w:rsid w:val="00DC5FBE"/>
    <w:rsid w:val="00DC68E1"/>
    <w:rsid w:val="00DC7FCE"/>
    <w:rsid w:val="00DD10F6"/>
    <w:rsid w:val="00DD1B88"/>
    <w:rsid w:val="00DD289D"/>
    <w:rsid w:val="00DD3071"/>
    <w:rsid w:val="00DD334C"/>
    <w:rsid w:val="00DD3C08"/>
    <w:rsid w:val="00DD403E"/>
    <w:rsid w:val="00DD4480"/>
    <w:rsid w:val="00DD4DA1"/>
    <w:rsid w:val="00DE0476"/>
    <w:rsid w:val="00DE0DB6"/>
    <w:rsid w:val="00DE1B2F"/>
    <w:rsid w:val="00DE1C5A"/>
    <w:rsid w:val="00DE1E6C"/>
    <w:rsid w:val="00DE2AAC"/>
    <w:rsid w:val="00DE3E53"/>
    <w:rsid w:val="00DE45C9"/>
    <w:rsid w:val="00DE4817"/>
    <w:rsid w:val="00DE4CC3"/>
    <w:rsid w:val="00DE5E04"/>
    <w:rsid w:val="00DE6634"/>
    <w:rsid w:val="00DE736D"/>
    <w:rsid w:val="00DF10AC"/>
    <w:rsid w:val="00DF1125"/>
    <w:rsid w:val="00DF27AC"/>
    <w:rsid w:val="00DF28E7"/>
    <w:rsid w:val="00DF2FD1"/>
    <w:rsid w:val="00DF380E"/>
    <w:rsid w:val="00DF399A"/>
    <w:rsid w:val="00DF3EF2"/>
    <w:rsid w:val="00DF447B"/>
    <w:rsid w:val="00DF5395"/>
    <w:rsid w:val="00DF5D90"/>
    <w:rsid w:val="00DF6280"/>
    <w:rsid w:val="00DF7B14"/>
    <w:rsid w:val="00E00009"/>
    <w:rsid w:val="00E01EF4"/>
    <w:rsid w:val="00E0280C"/>
    <w:rsid w:val="00E02CF2"/>
    <w:rsid w:val="00E04604"/>
    <w:rsid w:val="00E04912"/>
    <w:rsid w:val="00E04947"/>
    <w:rsid w:val="00E05583"/>
    <w:rsid w:val="00E0595C"/>
    <w:rsid w:val="00E069F7"/>
    <w:rsid w:val="00E06C35"/>
    <w:rsid w:val="00E0710D"/>
    <w:rsid w:val="00E07F71"/>
    <w:rsid w:val="00E10088"/>
    <w:rsid w:val="00E114D8"/>
    <w:rsid w:val="00E1256E"/>
    <w:rsid w:val="00E1347F"/>
    <w:rsid w:val="00E1456E"/>
    <w:rsid w:val="00E15E3B"/>
    <w:rsid w:val="00E1621B"/>
    <w:rsid w:val="00E21114"/>
    <w:rsid w:val="00E225D8"/>
    <w:rsid w:val="00E22B84"/>
    <w:rsid w:val="00E23BB6"/>
    <w:rsid w:val="00E24986"/>
    <w:rsid w:val="00E24C53"/>
    <w:rsid w:val="00E25FF9"/>
    <w:rsid w:val="00E26045"/>
    <w:rsid w:val="00E26BDB"/>
    <w:rsid w:val="00E27304"/>
    <w:rsid w:val="00E300BA"/>
    <w:rsid w:val="00E304D5"/>
    <w:rsid w:val="00E304E5"/>
    <w:rsid w:val="00E31654"/>
    <w:rsid w:val="00E31A9E"/>
    <w:rsid w:val="00E32BB0"/>
    <w:rsid w:val="00E33084"/>
    <w:rsid w:val="00E337F5"/>
    <w:rsid w:val="00E339E4"/>
    <w:rsid w:val="00E34593"/>
    <w:rsid w:val="00E34EBC"/>
    <w:rsid w:val="00E37211"/>
    <w:rsid w:val="00E37228"/>
    <w:rsid w:val="00E37848"/>
    <w:rsid w:val="00E37A9E"/>
    <w:rsid w:val="00E4034D"/>
    <w:rsid w:val="00E404B3"/>
    <w:rsid w:val="00E40A8F"/>
    <w:rsid w:val="00E41EE7"/>
    <w:rsid w:val="00E42084"/>
    <w:rsid w:val="00E421A7"/>
    <w:rsid w:val="00E423F8"/>
    <w:rsid w:val="00E43F55"/>
    <w:rsid w:val="00E44854"/>
    <w:rsid w:val="00E4721D"/>
    <w:rsid w:val="00E472F8"/>
    <w:rsid w:val="00E51B6D"/>
    <w:rsid w:val="00E520AA"/>
    <w:rsid w:val="00E527D4"/>
    <w:rsid w:val="00E533BF"/>
    <w:rsid w:val="00E546F7"/>
    <w:rsid w:val="00E54B71"/>
    <w:rsid w:val="00E55312"/>
    <w:rsid w:val="00E55808"/>
    <w:rsid w:val="00E559EA"/>
    <w:rsid w:val="00E55AEC"/>
    <w:rsid w:val="00E55F1D"/>
    <w:rsid w:val="00E5696D"/>
    <w:rsid w:val="00E56E45"/>
    <w:rsid w:val="00E61092"/>
    <w:rsid w:val="00E6161C"/>
    <w:rsid w:val="00E617F4"/>
    <w:rsid w:val="00E62DEC"/>
    <w:rsid w:val="00E6313F"/>
    <w:rsid w:val="00E63233"/>
    <w:rsid w:val="00E63FE6"/>
    <w:rsid w:val="00E643E3"/>
    <w:rsid w:val="00E6481A"/>
    <w:rsid w:val="00E649F5"/>
    <w:rsid w:val="00E65960"/>
    <w:rsid w:val="00E65F8A"/>
    <w:rsid w:val="00E66ECB"/>
    <w:rsid w:val="00E67486"/>
    <w:rsid w:val="00E727CE"/>
    <w:rsid w:val="00E73D84"/>
    <w:rsid w:val="00E74083"/>
    <w:rsid w:val="00E749E1"/>
    <w:rsid w:val="00E753FD"/>
    <w:rsid w:val="00E76760"/>
    <w:rsid w:val="00E772A9"/>
    <w:rsid w:val="00E77518"/>
    <w:rsid w:val="00E8007A"/>
    <w:rsid w:val="00E80578"/>
    <w:rsid w:val="00E80816"/>
    <w:rsid w:val="00E80B43"/>
    <w:rsid w:val="00E820BF"/>
    <w:rsid w:val="00E83104"/>
    <w:rsid w:val="00E833CB"/>
    <w:rsid w:val="00E83995"/>
    <w:rsid w:val="00E839F2"/>
    <w:rsid w:val="00E83CBA"/>
    <w:rsid w:val="00E83D2E"/>
    <w:rsid w:val="00E83FB2"/>
    <w:rsid w:val="00E844D4"/>
    <w:rsid w:val="00E854AD"/>
    <w:rsid w:val="00E86D28"/>
    <w:rsid w:val="00E87880"/>
    <w:rsid w:val="00E90615"/>
    <w:rsid w:val="00E919F5"/>
    <w:rsid w:val="00E91FE0"/>
    <w:rsid w:val="00E93201"/>
    <w:rsid w:val="00E932E6"/>
    <w:rsid w:val="00E93812"/>
    <w:rsid w:val="00E95AC2"/>
    <w:rsid w:val="00E97167"/>
    <w:rsid w:val="00E97DBB"/>
    <w:rsid w:val="00EA0169"/>
    <w:rsid w:val="00EA093A"/>
    <w:rsid w:val="00EA2E92"/>
    <w:rsid w:val="00EA3781"/>
    <w:rsid w:val="00EA3AE5"/>
    <w:rsid w:val="00EA3EEA"/>
    <w:rsid w:val="00EA46C5"/>
    <w:rsid w:val="00EA5023"/>
    <w:rsid w:val="00EA56AB"/>
    <w:rsid w:val="00EA7061"/>
    <w:rsid w:val="00EA7C5B"/>
    <w:rsid w:val="00EB129B"/>
    <w:rsid w:val="00EB13FE"/>
    <w:rsid w:val="00EB254B"/>
    <w:rsid w:val="00EB39F1"/>
    <w:rsid w:val="00EB460F"/>
    <w:rsid w:val="00EB472E"/>
    <w:rsid w:val="00EB5434"/>
    <w:rsid w:val="00EB5D6C"/>
    <w:rsid w:val="00EB6A9B"/>
    <w:rsid w:val="00EB6CD4"/>
    <w:rsid w:val="00EB76D6"/>
    <w:rsid w:val="00EC0178"/>
    <w:rsid w:val="00EC049F"/>
    <w:rsid w:val="00EC11E3"/>
    <w:rsid w:val="00EC195A"/>
    <w:rsid w:val="00EC74EA"/>
    <w:rsid w:val="00ED024E"/>
    <w:rsid w:val="00ED17F1"/>
    <w:rsid w:val="00ED194C"/>
    <w:rsid w:val="00ED2636"/>
    <w:rsid w:val="00ED2C26"/>
    <w:rsid w:val="00ED3898"/>
    <w:rsid w:val="00ED3E8C"/>
    <w:rsid w:val="00ED3F6E"/>
    <w:rsid w:val="00ED496B"/>
    <w:rsid w:val="00ED4BDD"/>
    <w:rsid w:val="00ED5EC2"/>
    <w:rsid w:val="00EE0DF2"/>
    <w:rsid w:val="00EE0E4F"/>
    <w:rsid w:val="00EE1124"/>
    <w:rsid w:val="00EE1148"/>
    <w:rsid w:val="00EE21DD"/>
    <w:rsid w:val="00EE3388"/>
    <w:rsid w:val="00EE3E2E"/>
    <w:rsid w:val="00EE4554"/>
    <w:rsid w:val="00EE56DF"/>
    <w:rsid w:val="00EE5D47"/>
    <w:rsid w:val="00EE5ED7"/>
    <w:rsid w:val="00EE64CC"/>
    <w:rsid w:val="00EE6D6B"/>
    <w:rsid w:val="00EF0451"/>
    <w:rsid w:val="00EF0EE4"/>
    <w:rsid w:val="00EF103C"/>
    <w:rsid w:val="00EF1776"/>
    <w:rsid w:val="00EF1A24"/>
    <w:rsid w:val="00EF1BF1"/>
    <w:rsid w:val="00EF3BAE"/>
    <w:rsid w:val="00EF466A"/>
    <w:rsid w:val="00EF5240"/>
    <w:rsid w:val="00EF5388"/>
    <w:rsid w:val="00EF5E52"/>
    <w:rsid w:val="00EF71E1"/>
    <w:rsid w:val="00EF7812"/>
    <w:rsid w:val="00F00403"/>
    <w:rsid w:val="00F00E20"/>
    <w:rsid w:val="00F01BD5"/>
    <w:rsid w:val="00F024E3"/>
    <w:rsid w:val="00F0264E"/>
    <w:rsid w:val="00F02815"/>
    <w:rsid w:val="00F02CF4"/>
    <w:rsid w:val="00F04035"/>
    <w:rsid w:val="00F04DFF"/>
    <w:rsid w:val="00F05EAF"/>
    <w:rsid w:val="00F06D7C"/>
    <w:rsid w:val="00F07317"/>
    <w:rsid w:val="00F1049D"/>
    <w:rsid w:val="00F1181F"/>
    <w:rsid w:val="00F119F0"/>
    <w:rsid w:val="00F12218"/>
    <w:rsid w:val="00F1370A"/>
    <w:rsid w:val="00F147FD"/>
    <w:rsid w:val="00F14FBF"/>
    <w:rsid w:val="00F15FC1"/>
    <w:rsid w:val="00F16051"/>
    <w:rsid w:val="00F166CE"/>
    <w:rsid w:val="00F16790"/>
    <w:rsid w:val="00F17762"/>
    <w:rsid w:val="00F21E9B"/>
    <w:rsid w:val="00F23C5A"/>
    <w:rsid w:val="00F23E22"/>
    <w:rsid w:val="00F23E91"/>
    <w:rsid w:val="00F261BC"/>
    <w:rsid w:val="00F26964"/>
    <w:rsid w:val="00F2736F"/>
    <w:rsid w:val="00F277D4"/>
    <w:rsid w:val="00F27E1D"/>
    <w:rsid w:val="00F31104"/>
    <w:rsid w:val="00F31F1E"/>
    <w:rsid w:val="00F33366"/>
    <w:rsid w:val="00F33AAE"/>
    <w:rsid w:val="00F33E65"/>
    <w:rsid w:val="00F34D73"/>
    <w:rsid w:val="00F34E93"/>
    <w:rsid w:val="00F36BB6"/>
    <w:rsid w:val="00F379FA"/>
    <w:rsid w:val="00F41C68"/>
    <w:rsid w:val="00F425AB"/>
    <w:rsid w:val="00F43F5A"/>
    <w:rsid w:val="00F44511"/>
    <w:rsid w:val="00F4474B"/>
    <w:rsid w:val="00F46051"/>
    <w:rsid w:val="00F478EE"/>
    <w:rsid w:val="00F5097D"/>
    <w:rsid w:val="00F50F4A"/>
    <w:rsid w:val="00F513E5"/>
    <w:rsid w:val="00F5219B"/>
    <w:rsid w:val="00F5277D"/>
    <w:rsid w:val="00F52F12"/>
    <w:rsid w:val="00F53138"/>
    <w:rsid w:val="00F534C0"/>
    <w:rsid w:val="00F538DC"/>
    <w:rsid w:val="00F54930"/>
    <w:rsid w:val="00F54D76"/>
    <w:rsid w:val="00F5523B"/>
    <w:rsid w:val="00F55BAD"/>
    <w:rsid w:val="00F57CBE"/>
    <w:rsid w:val="00F60A45"/>
    <w:rsid w:val="00F623B6"/>
    <w:rsid w:val="00F6280F"/>
    <w:rsid w:val="00F62819"/>
    <w:rsid w:val="00F62FAB"/>
    <w:rsid w:val="00F6394B"/>
    <w:rsid w:val="00F639BB"/>
    <w:rsid w:val="00F64A1A"/>
    <w:rsid w:val="00F66502"/>
    <w:rsid w:val="00F6653B"/>
    <w:rsid w:val="00F66B23"/>
    <w:rsid w:val="00F708D9"/>
    <w:rsid w:val="00F708FE"/>
    <w:rsid w:val="00F70D4D"/>
    <w:rsid w:val="00F71E12"/>
    <w:rsid w:val="00F720FB"/>
    <w:rsid w:val="00F721C2"/>
    <w:rsid w:val="00F72FBB"/>
    <w:rsid w:val="00F80602"/>
    <w:rsid w:val="00F81376"/>
    <w:rsid w:val="00F81FCB"/>
    <w:rsid w:val="00F82353"/>
    <w:rsid w:val="00F831FC"/>
    <w:rsid w:val="00F832A8"/>
    <w:rsid w:val="00F839E1"/>
    <w:rsid w:val="00F84C20"/>
    <w:rsid w:val="00F85726"/>
    <w:rsid w:val="00F87261"/>
    <w:rsid w:val="00F87614"/>
    <w:rsid w:val="00F87D2E"/>
    <w:rsid w:val="00F90E0B"/>
    <w:rsid w:val="00F92112"/>
    <w:rsid w:val="00F922B6"/>
    <w:rsid w:val="00F9230A"/>
    <w:rsid w:val="00F92366"/>
    <w:rsid w:val="00F926D5"/>
    <w:rsid w:val="00F92753"/>
    <w:rsid w:val="00F9287E"/>
    <w:rsid w:val="00F929DD"/>
    <w:rsid w:val="00F940A3"/>
    <w:rsid w:val="00F9412D"/>
    <w:rsid w:val="00F9598E"/>
    <w:rsid w:val="00F96B32"/>
    <w:rsid w:val="00F9735A"/>
    <w:rsid w:val="00FA1042"/>
    <w:rsid w:val="00FA10AA"/>
    <w:rsid w:val="00FA13FF"/>
    <w:rsid w:val="00FA15CC"/>
    <w:rsid w:val="00FA42F4"/>
    <w:rsid w:val="00FA4927"/>
    <w:rsid w:val="00FA4DE8"/>
    <w:rsid w:val="00FA549F"/>
    <w:rsid w:val="00FA5F92"/>
    <w:rsid w:val="00FA62C5"/>
    <w:rsid w:val="00FA6502"/>
    <w:rsid w:val="00FA70C2"/>
    <w:rsid w:val="00FA728B"/>
    <w:rsid w:val="00FA7928"/>
    <w:rsid w:val="00FB06A5"/>
    <w:rsid w:val="00FB0730"/>
    <w:rsid w:val="00FB0BC1"/>
    <w:rsid w:val="00FB11D7"/>
    <w:rsid w:val="00FB14A0"/>
    <w:rsid w:val="00FB2BBF"/>
    <w:rsid w:val="00FB38AE"/>
    <w:rsid w:val="00FB4E4A"/>
    <w:rsid w:val="00FB5170"/>
    <w:rsid w:val="00FB5F8C"/>
    <w:rsid w:val="00FB66CC"/>
    <w:rsid w:val="00FB6D3A"/>
    <w:rsid w:val="00FB7924"/>
    <w:rsid w:val="00FB7E7D"/>
    <w:rsid w:val="00FB7F35"/>
    <w:rsid w:val="00FC0957"/>
    <w:rsid w:val="00FC0DDD"/>
    <w:rsid w:val="00FC11D6"/>
    <w:rsid w:val="00FC2AE4"/>
    <w:rsid w:val="00FC48DD"/>
    <w:rsid w:val="00FC569E"/>
    <w:rsid w:val="00FC67D2"/>
    <w:rsid w:val="00FC67E5"/>
    <w:rsid w:val="00FC6BFF"/>
    <w:rsid w:val="00FC740E"/>
    <w:rsid w:val="00FC7B5F"/>
    <w:rsid w:val="00FD04EB"/>
    <w:rsid w:val="00FD0F72"/>
    <w:rsid w:val="00FD0FA6"/>
    <w:rsid w:val="00FD1036"/>
    <w:rsid w:val="00FD131D"/>
    <w:rsid w:val="00FD5177"/>
    <w:rsid w:val="00FD7207"/>
    <w:rsid w:val="00FE0B83"/>
    <w:rsid w:val="00FE0C35"/>
    <w:rsid w:val="00FE2B68"/>
    <w:rsid w:val="00FE35E1"/>
    <w:rsid w:val="00FE3AFC"/>
    <w:rsid w:val="00FE4011"/>
    <w:rsid w:val="00FE4279"/>
    <w:rsid w:val="00FE5C0B"/>
    <w:rsid w:val="00FE6D86"/>
    <w:rsid w:val="00FF0DA7"/>
    <w:rsid w:val="00FF2D85"/>
    <w:rsid w:val="00FF3276"/>
    <w:rsid w:val="00FF3A30"/>
    <w:rsid w:val="00FF3C71"/>
    <w:rsid w:val="00FF3D08"/>
    <w:rsid w:val="00FF4397"/>
    <w:rsid w:val="00FF4514"/>
    <w:rsid w:val="00FF5B26"/>
    <w:rsid w:val="00FF646A"/>
    <w:rsid w:val="00FF69CB"/>
    <w:rsid w:val="00FF6D52"/>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0F78E21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Footnote Text Char1,Char"/>
    <w:basedOn w:val="Normal"/>
    <w:link w:val="FootnoteTextChar"/>
    <w:uiPriority w:val="99"/>
    <w:qFormat/>
    <w:rsid w:val="006E1978"/>
    <w:pPr>
      <w:widowControl w:val="0"/>
    </w:pPr>
    <w:rPr>
      <w:sz w:val="16"/>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Char Char"/>
    <w:basedOn w:val="DefaultParagraphFont"/>
    <w:link w:val="FootnoteText"/>
    <w:uiPriority w:val="99"/>
    <w:rsid w:val="006E1978"/>
    <w:rPr>
      <w:sz w:val="16"/>
      <w:lang w:val="en-US" w:eastAsia="en-US"/>
    </w:rPr>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TOCHeading">
    <w:name w:val="TOC Heading"/>
    <w:basedOn w:val="Heading1"/>
    <w:next w:val="Normal"/>
    <w:uiPriority w:val="39"/>
    <w:unhideWhenUsed/>
    <w:qFormat/>
    <w:rsid w:val="009E5F15"/>
    <w:pPr>
      <w:keepLines/>
      <w:widowControl/>
      <w:suppressAutoHyphens w:val="0"/>
      <w:spacing w:before="24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9E5F15"/>
    <w:pPr>
      <w:spacing w:after="100"/>
    </w:pPr>
  </w:style>
  <w:style w:type="paragraph" w:styleId="TOC2">
    <w:name w:val="toc 2"/>
    <w:basedOn w:val="Normal"/>
    <w:next w:val="Normal"/>
    <w:autoRedefine/>
    <w:uiPriority w:val="39"/>
    <w:unhideWhenUsed/>
    <w:rsid w:val="009E5F15"/>
    <w:pPr>
      <w:spacing w:after="100"/>
      <w:ind w:left="200"/>
    </w:pPr>
  </w:style>
  <w:style w:type="table" w:styleId="TableGrid">
    <w:name w:val="Table Grid"/>
    <w:basedOn w:val="TableNormal"/>
    <w:uiPriority w:val="39"/>
    <w:rsid w:val="0018028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D00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353045857">
      <w:bodyDiv w:val="1"/>
      <w:marLeft w:val="0"/>
      <w:marRight w:val="0"/>
      <w:marTop w:val="0"/>
      <w:marBottom w:val="0"/>
      <w:divBdr>
        <w:top w:val="none" w:sz="0" w:space="0" w:color="auto"/>
        <w:left w:val="none" w:sz="0" w:space="0" w:color="auto"/>
        <w:bottom w:val="none" w:sz="0" w:space="0" w:color="auto"/>
        <w:right w:val="none" w:sz="0" w:space="0" w:color="auto"/>
      </w:divBdr>
    </w:div>
    <w:div w:id="623734844">
      <w:bodyDiv w:val="1"/>
      <w:marLeft w:val="0"/>
      <w:marRight w:val="0"/>
      <w:marTop w:val="0"/>
      <w:marBottom w:val="0"/>
      <w:divBdr>
        <w:top w:val="none" w:sz="0" w:space="0" w:color="auto"/>
        <w:left w:val="none" w:sz="0" w:space="0" w:color="auto"/>
        <w:bottom w:val="none" w:sz="0" w:space="0" w:color="auto"/>
        <w:right w:val="none" w:sz="0" w:space="0" w:color="auto"/>
      </w:divBdr>
    </w:div>
    <w:div w:id="702364784">
      <w:bodyDiv w:val="1"/>
      <w:marLeft w:val="0"/>
      <w:marRight w:val="0"/>
      <w:marTop w:val="0"/>
      <w:marBottom w:val="0"/>
      <w:divBdr>
        <w:top w:val="none" w:sz="0" w:space="0" w:color="auto"/>
        <w:left w:val="none" w:sz="0" w:space="0" w:color="auto"/>
        <w:bottom w:val="none" w:sz="0" w:space="0" w:color="auto"/>
        <w:right w:val="none" w:sz="0" w:space="0" w:color="auto"/>
      </w:divBdr>
    </w:div>
    <w:div w:id="749546905">
      <w:bodyDiv w:val="1"/>
      <w:marLeft w:val="0"/>
      <w:marRight w:val="0"/>
      <w:marTop w:val="0"/>
      <w:marBottom w:val="0"/>
      <w:divBdr>
        <w:top w:val="none" w:sz="0" w:space="0" w:color="auto"/>
        <w:left w:val="none" w:sz="0" w:space="0" w:color="auto"/>
        <w:bottom w:val="none" w:sz="0" w:space="0" w:color="auto"/>
        <w:right w:val="none" w:sz="0" w:space="0" w:color="auto"/>
      </w:divBdr>
    </w:div>
    <w:div w:id="791634661">
      <w:bodyDiv w:val="1"/>
      <w:marLeft w:val="0"/>
      <w:marRight w:val="0"/>
      <w:marTop w:val="0"/>
      <w:marBottom w:val="0"/>
      <w:divBdr>
        <w:top w:val="none" w:sz="0" w:space="0" w:color="auto"/>
        <w:left w:val="none" w:sz="0" w:space="0" w:color="auto"/>
        <w:bottom w:val="none" w:sz="0" w:space="0" w:color="auto"/>
        <w:right w:val="none" w:sz="0" w:space="0" w:color="auto"/>
      </w:divBdr>
    </w:div>
    <w:div w:id="828600367">
      <w:bodyDiv w:val="1"/>
      <w:marLeft w:val="0"/>
      <w:marRight w:val="0"/>
      <w:marTop w:val="0"/>
      <w:marBottom w:val="0"/>
      <w:divBdr>
        <w:top w:val="none" w:sz="0" w:space="0" w:color="auto"/>
        <w:left w:val="none" w:sz="0" w:space="0" w:color="auto"/>
        <w:bottom w:val="none" w:sz="0" w:space="0" w:color="auto"/>
        <w:right w:val="none" w:sz="0" w:space="0" w:color="auto"/>
      </w:divBdr>
    </w:div>
    <w:div w:id="887839786">
      <w:bodyDiv w:val="1"/>
      <w:marLeft w:val="0"/>
      <w:marRight w:val="0"/>
      <w:marTop w:val="0"/>
      <w:marBottom w:val="0"/>
      <w:divBdr>
        <w:top w:val="none" w:sz="0" w:space="0" w:color="auto"/>
        <w:left w:val="none" w:sz="0" w:space="0" w:color="auto"/>
        <w:bottom w:val="none" w:sz="0" w:space="0" w:color="auto"/>
        <w:right w:val="none" w:sz="0" w:space="0" w:color="auto"/>
      </w:divBdr>
    </w:div>
    <w:div w:id="926841878">
      <w:bodyDiv w:val="1"/>
      <w:marLeft w:val="0"/>
      <w:marRight w:val="0"/>
      <w:marTop w:val="0"/>
      <w:marBottom w:val="0"/>
      <w:divBdr>
        <w:top w:val="none" w:sz="0" w:space="0" w:color="auto"/>
        <w:left w:val="none" w:sz="0" w:space="0" w:color="auto"/>
        <w:bottom w:val="none" w:sz="0" w:space="0" w:color="auto"/>
        <w:right w:val="none" w:sz="0" w:space="0" w:color="auto"/>
      </w:divBdr>
    </w:div>
    <w:div w:id="1027292401">
      <w:bodyDiv w:val="1"/>
      <w:marLeft w:val="0"/>
      <w:marRight w:val="0"/>
      <w:marTop w:val="0"/>
      <w:marBottom w:val="0"/>
      <w:divBdr>
        <w:top w:val="none" w:sz="0" w:space="0" w:color="auto"/>
        <w:left w:val="none" w:sz="0" w:space="0" w:color="auto"/>
        <w:bottom w:val="none" w:sz="0" w:space="0" w:color="auto"/>
        <w:right w:val="none" w:sz="0" w:space="0" w:color="auto"/>
      </w:divBdr>
    </w:div>
    <w:div w:id="109308562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43839527">
      <w:bodyDiv w:val="1"/>
      <w:marLeft w:val="0"/>
      <w:marRight w:val="0"/>
      <w:marTop w:val="0"/>
      <w:marBottom w:val="0"/>
      <w:divBdr>
        <w:top w:val="none" w:sz="0" w:space="0" w:color="auto"/>
        <w:left w:val="none" w:sz="0" w:space="0" w:color="auto"/>
        <w:bottom w:val="none" w:sz="0" w:space="0" w:color="auto"/>
        <w:right w:val="none" w:sz="0" w:space="0" w:color="auto"/>
      </w:divBdr>
    </w:div>
    <w:div w:id="1467817805">
      <w:bodyDiv w:val="1"/>
      <w:marLeft w:val="0"/>
      <w:marRight w:val="0"/>
      <w:marTop w:val="0"/>
      <w:marBottom w:val="0"/>
      <w:divBdr>
        <w:top w:val="none" w:sz="0" w:space="0" w:color="auto"/>
        <w:left w:val="none" w:sz="0" w:space="0" w:color="auto"/>
        <w:bottom w:val="none" w:sz="0" w:space="0" w:color="auto"/>
        <w:right w:val="none" w:sz="0" w:space="0" w:color="auto"/>
      </w:divBdr>
    </w:div>
    <w:div w:id="1474370790">
      <w:bodyDiv w:val="1"/>
      <w:marLeft w:val="0"/>
      <w:marRight w:val="0"/>
      <w:marTop w:val="0"/>
      <w:marBottom w:val="0"/>
      <w:divBdr>
        <w:top w:val="none" w:sz="0" w:space="0" w:color="auto"/>
        <w:left w:val="none" w:sz="0" w:space="0" w:color="auto"/>
        <w:bottom w:val="none" w:sz="0" w:space="0" w:color="auto"/>
        <w:right w:val="none" w:sz="0" w:space="0" w:color="auto"/>
      </w:divBdr>
    </w:div>
    <w:div w:id="1523586097">
      <w:bodyDiv w:val="1"/>
      <w:marLeft w:val="0"/>
      <w:marRight w:val="0"/>
      <w:marTop w:val="0"/>
      <w:marBottom w:val="0"/>
      <w:divBdr>
        <w:top w:val="none" w:sz="0" w:space="0" w:color="auto"/>
        <w:left w:val="none" w:sz="0" w:space="0" w:color="auto"/>
        <w:bottom w:val="none" w:sz="0" w:space="0" w:color="auto"/>
        <w:right w:val="none" w:sz="0" w:space="0" w:color="auto"/>
      </w:divBdr>
    </w:div>
    <w:div w:id="1616674360">
      <w:bodyDiv w:val="1"/>
      <w:marLeft w:val="0"/>
      <w:marRight w:val="0"/>
      <w:marTop w:val="0"/>
      <w:marBottom w:val="0"/>
      <w:divBdr>
        <w:top w:val="none" w:sz="0" w:space="0" w:color="auto"/>
        <w:left w:val="none" w:sz="0" w:space="0" w:color="auto"/>
        <w:bottom w:val="none" w:sz="0" w:space="0" w:color="auto"/>
        <w:right w:val="none" w:sz="0" w:space="0" w:color="auto"/>
      </w:divBdr>
    </w:div>
    <w:div w:id="2027828988">
      <w:bodyDiv w:val="1"/>
      <w:marLeft w:val="0"/>
      <w:marRight w:val="0"/>
      <w:marTop w:val="0"/>
      <w:marBottom w:val="0"/>
      <w:divBdr>
        <w:top w:val="none" w:sz="0" w:space="0" w:color="auto"/>
        <w:left w:val="none" w:sz="0" w:space="0" w:color="auto"/>
        <w:bottom w:val="none" w:sz="0" w:space="0" w:color="auto"/>
        <w:right w:val="none" w:sz="0" w:space="0" w:color="auto"/>
      </w:divBdr>
    </w:div>
    <w:div w:id="21061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POPP-11-2424</_dlc_DocId>
    <_dlc_DocIdUrl xmlns="8264c5cc-ec60-4b56-8111-ce635d3d139a">
      <Url>https://popp.undp.org/_layouts/15/DocIdRedir.aspx?ID=POPP-11-2424</Url>
      <Description>POPP-11-2424</Description>
    </_dlc_DocIdUrl>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2/8/2017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2017-02-08T23:00:00+00:00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CPD template - 2017</UNDP_POPP_TITLE_EN>
    <UNDP_POPP_FOCALPOINT xmlns="8264c5cc-ec60-4b56-8111-ce635d3d139a">
      <UserInfo>
        <DisplayName>Jessica Murray</DisplayName>
        <AccountId>68</AccountId>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DLCPolicyLabelValue xmlns="e560140e-7b2f-4392-90df-e7567e3021a3">Effective Date: 2/8/2017                                                Version #: 9.0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61DF-94A5-4A62-9F17-E3CFAB4C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B60E3-00A5-4523-943D-88A8E69B177A}">
  <ds:schemaRefs>
    <ds:schemaRef ds:uri="http://schemas.microsoft.com/sharepoint/events"/>
  </ds:schemaRefs>
</ds:datastoreItem>
</file>

<file path=customXml/itemProps3.xml><?xml version="1.0" encoding="utf-8"?>
<ds:datastoreItem xmlns:ds="http://schemas.openxmlformats.org/officeDocument/2006/customXml" ds:itemID="{27856045-984C-4B01-98AC-C787EE0C89F8}">
  <ds:schemaRefs>
    <ds:schemaRef ds:uri="office.server.policy"/>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6.xml><?xml version="1.0" encoding="utf-8"?>
<ds:datastoreItem xmlns:ds="http://schemas.openxmlformats.org/officeDocument/2006/customXml" ds:itemID="{AA4C5606-908D-4FDB-9C56-CFADE839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5681</Words>
  <Characters>35910</Characters>
  <Application>Microsoft Office Word</Application>
  <DocSecurity>0</DocSecurity>
  <Lines>875</Lines>
  <Paragraphs>303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CPD NAMIBIA 2019-7 March (002)(CO)</vt:lpstr>
      <vt:lpstr>CPD NAMIBIA-draft version 1- Namibia 2018-2023</vt:lpstr>
    </vt:vector>
  </TitlesOfParts>
  <Company>Microsoft</Company>
  <LinksUpToDate>false</LinksUpToDate>
  <CharactersWithSpaces>41288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NAMIBIA 2019-7 March (002)(CO)</dc:title>
  <dc:creator>Martha Talamondjila NAANDA;Anna Kangombe;Geraldine A. Van Wyk;Chikako Miwa;alka.bhatia;Izumi Morota-Alakija</dc:creator>
  <cp:keywords>draft CPD Nam</cp:keywords>
  <cp:lastModifiedBy>Svetlana Iazykova</cp:lastModifiedBy>
  <cp:revision>7</cp:revision>
  <cp:lastPrinted>2018-05-07T07:06:00Z</cp:lastPrinted>
  <dcterms:created xsi:type="dcterms:W3CDTF">2018-05-07T21:06:00Z</dcterms:created>
  <dcterms:modified xsi:type="dcterms:W3CDTF">2018-05-25T19:55:00Z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13b70ff1-437e-43cd-801d-b45cb0ae5d8a</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