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47C" w:rsidRPr="00261620" w:rsidRDefault="001A547C" w:rsidP="001A547C">
      <w:pPr>
        <w:spacing w:after="80"/>
        <w:jc w:val="both"/>
        <w:rPr>
          <w:rFonts w:asciiTheme="majorHAnsi" w:hAnsiTheme="majorHAnsi" w:cstheme="majorHAnsi"/>
          <w:sz w:val="24"/>
          <w:szCs w:val="24"/>
        </w:rPr>
      </w:pPr>
      <w:r w:rsidRPr="00261620">
        <w:rPr>
          <w:rFonts w:asciiTheme="majorHAnsi" w:hAnsiTheme="majorHAnsi" w:cstheme="majorHAnsi"/>
          <w:noProof/>
          <w:sz w:val="24"/>
          <w:szCs w:val="24"/>
          <w:lang w:val="en-US" w:eastAsia="zh-CN"/>
        </w:rPr>
        <w:drawing>
          <wp:inline distT="114300" distB="114300" distL="114300" distR="114300" wp14:anchorId="1B56923E" wp14:editId="6335054D">
            <wp:extent cx="5943600" cy="1028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028700"/>
                    </a:xfrm>
                    <a:prstGeom prst="rect">
                      <a:avLst/>
                    </a:prstGeom>
                    <a:ln/>
                  </pic:spPr>
                </pic:pic>
              </a:graphicData>
            </a:graphic>
          </wp:inline>
        </w:drawing>
      </w:r>
    </w:p>
    <w:p w:rsidR="001A547C" w:rsidRPr="00261620" w:rsidRDefault="001A547C" w:rsidP="001A547C">
      <w:pPr>
        <w:jc w:val="both"/>
        <w:rPr>
          <w:rFonts w:asciiTheme="majorHAnsi" w:hAnsiTheme="majorHAnsi" w:cstheme="majorHAnsi"/>
        </w:rPr>
      </w:pPr>
    </w:p>
    <w:p w:rsidR="001A547C" w:rsidRPr="00261620" w:rsidRDefault="001A547C" w:rsidP="001A547C">
      <w:pPr>
        <w:jc w:val="center"/>
        <w:rPr>
          <w:rFonts w:asciiTheme="majorHAnsi" w:hAnsiTheme="majorHAnsi" w:cstheme="majorHAnsi"/>
          <w:b/>
        </w:rPr>
      </w:pPr>
      <w:r w:rsidRPr="00261620">
        <w:rPr>
          <w:rFonts w:asciiTheme="majorHAnsi" w:hAnsiTheme="majorHAnsi" w:cstheme="majorHAnsi"/>
          <w:b/>
        </w:rPr>
        <w:t>Working together to support implementation of the 2030 Agenda</w:t>
      </w:r>
      <w:r>
        <w:rPr>
          <w:rFonts w:asciiTheme="majorHAnsi" w:hAnsiTheme="majorHAnsi" w:cstheme="majorHAnsi"/>
          <w:b/>
        </w:rPr>
        <w:t xml:space="preserve"> for Sustainable Development</w:t>
      </w:r>
    </w:p>
    <w:p w:rsidR="001A547C" w:rsidRPr="00261620" w:rsidRDefault="001A547C" w:rsidP="001A547C">
      <w:pPr>
        <w:jc w:val="center"/>
        <w:rPr>
          <w:rFonts w:asciiTheme="majorHAnsi" w:hAnsiTheme="majorHAnsi" w:cs="Calibri"/>
        </w:rPr>
      </w:pPr>
      <w:r w:rsidRPr="00261620">
        <w:rPr>
          <w:rFonts w:asciiTheme="majorHAnsi" w:hAnsiTheme="majorHAnsi" w:cs="Calibri"/>
        </w:rPr>
        <w:t xml:space="preserve">Joint </w:t>
      </w:r>
      <w:r>
        <w:rPr>
          <w:rFonts w:asciiTheme="majorHAnsi" w:hAnsiTheme="majorHAnsi" w:cs="Calibri"/>
        </w:rPr>
        <w:t>a</w:t>
      </w:r>
      <w:r w:rsidRPr="00261620">
        <w:rPr>
          <w:rFonts w:asciiTheme="majorHAnsi" w:hAnsiTheme="majorHAnsi" w:cs="Calibri"/>
        </w:rPr>
        <w:t xml:space="preserve">nnex on </w:t>
      </w:r>
      <w:r>
        <w:rPr>
          <w:rFonts w:asciiTheme="majorHAnsi" w:hAnsiTheme="majorHAnsi" w:cs="Calibri"/>
        </w:rPr>
        <w:t>i</w:t>
      </w:r>
      <w:r w:rsidRPr="00261620">
        <w:rPr>
          <w:rFonts w:asciiTheme="majorHAnsi" w:hAnsiTheme="majorHAnsi" w:cs="Calibri"/>
        </w:rPr>
        <w:t xml:space="preserve">mplementation of the </w:t>
      </w:r>
      <w:r>
        <w:rPr>
          <w:rFonts w:asciiTheme="majorHAnsi" w:hAnsiTheme="majorHAnsi" w:cs="Calibri"/>
        </w:rPr>
        <w:t>common chapter</w:t>
      </w:r>
      <w:r w:rsidRPr="00261620">
        <w:rPr>
          <w:rFonts w:asciiTheme="majorHAnsi" w:hAnsiTheme="majorHAnsi" w:cs="Calibri"/>
        </w:rPr>
        <w:t xml:space="preserve"> of </w:t>
      </w:r>
      <w:r>
        <w:rPr>
          <w:rFonts w:asciiTheme="majorHAnsi" w:hAnsiTheme="majorHAnsi" w:cs="Calibri"/>
        </w:rPr>
        <w:t xml:space="preserve">the </w:t>
      </w:r>
      <w:r w:rsidRPr="00261620">
        <w:rPr>
          <w:rFonts w:asciiTheme="majorHAnsi" w:hAnsiTheme="majorHAnsi" w:cs="Calibri"/>
        </w:rPr>
        <w:t xml:space="preserve">Strategic Plans 2018-2021 of </w:t>
      </w:r>
    </w:p>
    <w:p w:rsidR="001A547C" w:rsidRPr="00261620" w:rsidRDefault="001A547C" w:rsidP="001A547C">
      <w:pPr>
        <w:jc w:val="center"/>
        <w:rPr>
          <w:rFonts w:asciiTheme="majorHAnsi" w:hAnsiTheme="majorHAnsi" w:cs="Calibri"/>
        </w:rPr>
      </w:pPr>
      <w:r w:rsidRPr="00261620">
        <w:rPr>
          <w:rFonts w:asciiTheme="majorHAnsi" w:hAnsiTheme="majorHAnsi" w:cs="Calibri"/>
        </w:rPr>
        <w:t>UNDP, UNFPA, UNICEF and UN-Women</w:t>
      </w:r>
    </w:p>
    <w:p w:rsidR="001A547C" w:rsidRPr="00261620" w:rsidRDefault="001A547C" w:rsidP="001A547C">
      <w:pPr>
        <w:jc w:val="both"/>
        <w:rPr>
          <w:rFonts w:asciiTheme="majorHAnsi" w:hAnsiTheme="majorHAnsi" w:cstheme="majorHAnsi"/>
        </w:rPr>
      </w:pPr>
    </w:p>
    <w:tbl>
      <w:tblPr>
        <w:tblStyle w:val="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A547C" w:rsidRPr="00261620" w:rsidTr="00346C63">
        <w:tc>
          <w:tcPr>
            <w:tcW w:w="9360" w:type="dxa"/>
            <w:shd w:val="clear" w:color="auto" w:fill="auto"/>
            <w:tcMar>
              <w:top w:w="100" w:type="dxa"/>
              <w:left w:w="100" w:type="dxa"/>
              <w:bottom w:w="100" w:type="dxa"/>
              <w:right w:w="100" w:type="dxa"/>
            </w:tcMar>
          </w:tcPr>
          <w:p w:rsidR="001A547C" w:rsidRPr="00261620" w:rsidRDefault="001A547C" w:rsidP="00346C63">
            <w:pPr>
              <w:spacing w:line="240" w:lineRule="auto"/>
              <w:jc w:val="both"/>
              <w:rPr>
                <w:rFonts w:asciiTheme="majorHAnsi" w:hAnsiTheme="majorHAnsi" w:cstheme="majorHAnsi"/>
                <w:b/>
              </w:rPr>
            </w:pPr>
            <w:r w:rsidRPr="00261620">
              <w:rPr>
                <w:rFonts w:asciiTheme="majorHAnsi" w:hAnsiTheme="majorHAnsi" w:cstheme="majorHAnsi"/>
                <w:b/>
              </w:rPr>
              <w:t>Summary</w:t>
            </w:r>
          </w:p>
          <w:p w:rsidR="001A547C" w:rsidRPr="00FC50B0" w:rsidRDefault="001A547C" w:rsidP="00346C63">
            <w:pPr>
              <w:spacing w:line="240" w:lineRule="auto"/>
              <w:jc w:val="both"/>
              <w:rPr>
                <w:rFonts w:asciiTheme="majorHAnsi" w:hAnsiTheme="majorHAnsi" w:cstheme="majorHAnsi"/>
              </w:rPr>
            </w:pPr>
            <w:r w:rsidRPr="00FC50B0">
              <w:rPr>
                <w:rFonts w:asciiTheme="majorHAnsi" w:hAnsiTheme="majorHAnsi" w:cs="Calibri"/>
              </w:rPr>
              <w:t>This joint annex presents progress o</w:t>
            </w:r>
            <w:r>
              <w:rPr>
                <w:rFonts w:asciiTheme="majorHAnsi" w:hAnsiTheme="majorHAnsi" w:cs="Calibri"/>
              </w:rPr>
              <w:t>n</w:t>
            </w:r>
            <w:r w:rsidRPr="00FC50B0">
              <w:rPr>
                <w:rFonts w:asciiTheme="majorHAnsi" w:hAnsiTheme="majorHAnsi" w:cs="Calibri"/>
              </w:rPr>
              <w:t xml:space="preserve"> the implementation of the </w:t>
            </w:r>
            <w:r>
              <w:rPr>
                <w:rFonts w:asciiTheme="majorHAnsi" w:hAnsiTheme="majorHAnsi" w:cs="Calibri"/>
              </w:rPr>
              <w:t>c</w:t>
            </w:r>
            <w:r w:rsidRPr="00FC50B0">
              <w:rPr>
                <w:rFonts w:asciiTheme="majorHAnsi" w:hAnsiTheme="majorHAnsi" w:cs="Calibri"/>
              </w:rPr>
              <w:t xml:space="preserve">ommon </w:t>
            </w:r>
            <w:r>
              <w:rPr>
                <w:rFonts w:asciiTheme="majorHAnsi" w:hAnsiTheme="majorHAnsi" w:cs="Calibri"/>
              </w:rPr>
              <w:t>c</w:t>
            </w:r>
            <w:r w:rsidRPr="00FC50B0">
              <w:rPr>
                <w:rFonts w:asciiTheme="majorHAnsi" w:hAnsiTheme="majorHAnsi" w:cs="Calibri"/>
              </w:rPr>
              <w:t xml:space="preserve">hapter of the Strategic Plans, 2018-2021, of the United Nations Development Programme (UNDP), United Nations Population Fund (UNFPA), United Nations Children's Fund (UNICEF) and United Nations Entity for Gender Equality and the Empowerment of Women (UN-Women), in response to a request by the Executive Boards of the four agencies for “details on the implementation of the </w:t>
            </w:r>
            <w:r>
              <w:rPr>
                <w:rFonts w:asciiTheme="majorHAnsi" w:hAnsiTheme="majorHAnsi" w:cs="Calibri"/>
              </w:rPr>
              <w:t>c</w:t>
            </w:r>
            <w:r w:rsidRPr="00FC50B0">
              <w:rPr>
                <w:rFonts w:asciiTheme="majorHAnsi" w:hAnsiTheme="majorHAnsi" w:cs="Calibri"/>
              </w:rPr>
              <w:t xml:space="preserve">ommon </w:t>
            </w:r>
            <w:r>
              <w:rPr>
                <w:rFonts w:asciiTheme="majorHAnsi" w:hAnsiTheme="majorHAnsi" w:cs="Calibri"/>
              </w:rPr>
              <w:t>c</w:t>
            </w:r>
            <w:r w:rsidRPr="00FC50B0">
              <w:rPr>
                <w:rFonts w:asciiTheme="majorHAnsi" w:hAnsiTheme="majorHAnsi" w:cs="Calibri"/>
              </w:rPr>
              <w:t xml:space="preserve">hapter in </w:t>
            </w:r>
            <w:r>
              <w:rPr>
                <w:rFonts w:asciiTheme="majorHAnsi" w:hAnsiTheme="majorHAnsi" w:cs="Calibri"/>
              </w:rPr>
              <w:t>[their]</w:t>
            </w:r>
            <w:r w:rsidRPr="00FC50B0">
              <w:rPr>
                <w:rFonts w:asciiTheme="majorHAnsi" w:hAnsiTheme="majorHAnsi" w:cs="Calibri"/>
              </w:rPr>
              <w:t xml:space="preserve"> annual reporting and, when applicable and as appropriate, at the joint meeting of the Executive Boards”. </w:t>
            </w:r>
            <w:r w:rsidRPr="00FC50B0">
              <w:rPr>
                <w:rFonts w:asciiTheme="majorHAnsi" w:hAnsiTheme="majorHAnsi"/>
              </w:rPr>
              <w:t xml:space="preserve">The approach of working together is also measured annually by indicators from the 2016 quadrennial comprehensive policy review of operational activities for development of the United Nations system (QCPR) contained in the QCPR </w:t>
            </w:r>
            <w:r>
              <w:rPr>
                <w:rFonts w:asciiTheme="majorHAnsi" w:hAnsiTheme="majorHAnsi"/>
              </w:rPr>
              <w:t>a</w:t>
            </w:r>
            <w:r w:rsidRPr="00FC50B0">
              <w:rPr>
                <w:rFonts w:asciiTheme="majorHAnsi" w:hAnsiTheme="majorHAnsi"/>
              </w:rPr>
              <w:t xml:space="preserve">nnexes attached to </w:t>
            </w:r>
            <w:r>
              <w:rPr>
                <w:rFonts w:asciiTheme="majorHAnsi" w:hAnsiTheme="majorHAnsi"/>
              </w:rPr>
              <w:t>the</w:t>
            </w:r>
            <w:r w:rsidRPr="00FC50B0">
              <w:rPr>
                <w:rFonts w:asciiTheme="majorHAnsi" w:hAnsiTheme="majorHAnsi"/>
              </w:rPr>
              <w:t xml:space="preserve"> respective annual report</w:t>
            </w:r>
            <w:r>
              <w:rPr>
                <w:rFonts w:asciiTheme="majorHAnsi" w:hAnsiTheme="majorHAnsi"/>
              </w:rPr>
              <w:t xml:space="preserve"> of each agency.</w:t>
            </w:r>
            <w:r w:rsidRPr="00FC50B0">
              <w:rPr>
                <w:rFonts w:asciiTheme="majorHAnsi" w:hAnsiTheme="majorHAnsi"/>
              </w:rPr>
              <w:t xml:space="preserve"> </w:t>
            </w:r>
          </w:p>
        </w:tc>
      </w:tr>
    </w:tbl>
    <w:p w:rsidR="001A547C" w:rsidRPr="00261620" w:rsidRDefault="001A547C" w:rsidP="001A547C">
      <w:pPr>
        <w:spacing w:line="240" w:lineRule="auto"/>
        <w:jc w:val="both"/>
        <w:rPr>
          <w:rFonts w:asciiTheme="majorHAnsi" w:hAnsiTheme="majorHAnsi" w:cstheme="majorHAnsi"/>
          <w:b/>
        </w:rPr>
      </w:pPr>
    </w:p>
    <w:p w:rsidR="001A547C" w:rsidRPr="00261620" w:rsidRDefault="001A547C" w:rsidP="001A547C">
      <w:pPr>
        <w:spacing w:line="240" w:lineRule="auto"/>
        <w:rPr>
          <w:rFonts w:asciiTheme="majorHAnsi" w:hAnsiTheme="majorHAnsi" w:cstheme="majorHAnsi"/>
          <w:b/>
        </w:rPr>
      </w:pPr>
      <w:r w:rsidRPr="00261620">
        <w:rPr>
          <w:rFonts w:asciiTheme="majorHAnsi" w:hAnsiTheme="majorHAnsi" w:cstheme="majorHAnsi"/>
          <w:b/>
        </w:rPr>
        <w:br w:type="page"/>
      </w:r>
    </w:p>
    <w:p w:rsidR="001A547C" w:rsidRDefault="001A547C" w:rsidP="001A547C">
      <w:pPr>
        <w:pStyle w:val="ListParagraph"/>
        <w:numPr>
          <w:ilvl w:val="0"/>
          <w:numId w:val="45"/>
        </w:numPr>
        <w:jc w:val="both"/>
        <w:rPr>
          <w:rFonts w:asciiTheme="majorHAnsi" w:hAnsiTheme="majorHAnsi" w:cs="Calibri"/>
          <w:b/>
        </w:rPr>
      </w:pPr>
      <w:r>
        <w:rPr>
          <w:rFonts w:asciiTheme="majorHAnsi" w:hAnsiTheme="majorHAnsi" w:cs="Calibri"/>
          <w:b/>
        </w:rPr>
        <w:lastRenderedPageBreak/>
        <w:t>Executive summary</w:t>
      </w:r>
    </w:p>
    <w:p w:rsidR="001A547C" w:rsidRDefault="001A547C" w:rsidP="001A547C">
      <w:pPr>
        <w:jc w:val="both"/>
        <w:rPr>
          <w:rFonts w:asciiTheme="majorHAnsi" w:hAnsiTheme="majorHAnsi" w:cs="Calibri"/>
          <w:b/>
        </w:rPr>
      </w:pPr>
    </w:p>
    <w:p w:rsidR="001A547C" w:rsidRPr="00966567" w:rsidRDefault="001A547C" w:rsidP="001A547C">
      <w:pPr>
        <w:pStyle w:val="ListParagraph"/>
        <w:numPr>
          <w:ilvl w:val="0"/>
          <w:numId w:val="22"/>
        </w:numPr>
        <w:ind w:left="0" w:firstLine="0"/>
        <w:jc w:val="both"/>
        <w:rPr>
          <w:rFonts w:asciiTheme="majorHAnsi" w:hAnsiTheme="majorHAnsi" w:cs="Calibri"/>
          <w:sz w:val="22"/>
          <w:szCs w:val="22"/>
        </w:rPr>
      </w:pPr>
      <w:r w:rsidRPr="00261620">
        <w:rPr>
          <w:rFonts w:asciiTheme="majorHAnsi" w:hAnsiTheme="majorHAnsi" w:cs="Calibri"/>
          <w:sz w:val="22"/>
          <w:szCs w:val="22"/>
        </w:rPr>
        <w:t>This report presents progress o</w:t>
      </w:r>
      <w:r>
        <w:rPr>
          <w:rFonts w:asciiTheme="majorHAnsi" w:hAnsiTheme="majorHAnsi" w:cs="Calibri"/>
          <w:sz w:val="22"/>
          <w:szCs w:val="22"/>
        </w:rPr>
        <w:t>n</w:t>
      </w:r>
      <w:r w:rsidRPr="00261620">
        <w:rPr>
          <w:rFonts w:asciiTheme="majorHAnsi" w:hAnsiTheme="majorHAnsi" w:cs="Calibri"/>
          <w:sz w:val="22"/>
          <w:szCs w:val="22"/>
        </w:rPr>
        <w:t xml:space="preserve"> the first year of implementation of the </w:t>
      </w:r>
      <w:r>
        <w:rPr>
          <w:rFonts w:asciiTheme="majorHAnsi" w:hAnsiTheme="majorHAnsi" w:cs="Calibri"/>
          <w:sz w:val="22"/>
          <w:szCs w:val="22"/>
        </w:rPr>
        <w:t>c</w:t>
      </w:r>
      <w:r w:rsidRPr="00261620">
        <w:rPr>
          <w:rFonts w:asciiTheme="majorHAnsi" w:hAnsiTheme="majorHAnsi" w:cs="Calibri"/>
          <w:sz w:val="22"/>
          <w:szCs w:val="22"/>
        </w:rPr>
        <w:t xml:space="preserve">ommon </w:t>
      </w:r>
      <w:r>
        <w:rPr>
          <w:rFonts w:asciiTheme="majorHAnsi" w:hAnsiTheme="majorHAnsi" w:cs="Calibri"/>
          <w:sz w:val="22"/>
          <w:szCs w:val="22"/>
        </w:rPr>
        <w:t>c</w:t>
      </w:r>
      <w:r w:rsidRPr="00261620">
        <w:rPr>
          <w:rFonts w:asciiTheme="majorHAnsi" w:hAnsiTheme="majorHAnsi" w:cs="Calibri"/>
          <w:sz w:val="22"/>
          <w:szCs w:val="22"/>
        </w:rPr>
        <w:t xml:space="preserve">hapter of </w:t>
      </w:r>
      <w:r>
        <w:rPr>
          <w:rFonts w:asciiTheme="majorHAnsi" w:hAnsiTheme="majorHAnsi" w:cs="Calibri"/>
          <w:sz w:val="22"/>
          <w:szCs w:val="22"/>
        </w:rPr>
        <w:t xml:space="preserve">the </w:t>
      </w:r>
      <w:r w:rsidRPr="00261620">
        <w:rPr>
          <w:rFonts w:asciiTheme="majorHAnsi" w:hAnsiTheme="majorHAnsi" w:cs="Calibri"/>
          <w:sz w:val="22"/>
          <w:szCs w:val="22"/>
        </w:rPr>
        <w:t xml:space="preserve">Strategic Plans, 2018-2021 of UNDP, UNFPA, UNICEF and </w:t>
      </w:r>
      <w:r>
        <w:rPr>
          <w:rFonts w:asciiTheme="majorHAnsi" w:hAnsiTheme="majorHAnsi" w:cs="Calibri"/>
          <w:sz w:val="22"/>
          <w:szCs w:val="22"/>
        </w:rPr>
        <w:t>UN-Women. The ch</w:t>
      </w:r>
      <w:r w:rsidRPr="00261620">
        <w:rPr>
          <w:rFonts w:asciiTheme="majorHAnsi" w:hAnsiTheme="majorHAnsi" w:cs="Calibri"/>
          <w:sz w:val="22"/>
          <w:szCs w:val="22"/>
        </w:rPr>
        <w:t xml:space="preserve">apter spells out a commitment of the four agencies to work collaboratively in compliance with their respective mandates and in partnership </w:t>
      </w:r>
      <w:r w:rsidRPr="00966567">
        <w:rPr>
          <w:rFonts w:asciiTheme="majorHAnsi" w:hAnsiTheme="majorHAnsi" w:cs="Calibri"/>
          <w:sz w:val="22"/>
          <w:szCs w:val="22"/>
        </w:rPr>
        <w:t xml:space="preserve">with other members of the United Nations family to contribute to the implementation of the 2030 Agenda for Sustainable Development and Sustainable Development Goals, committed to the principles of universality, equality and leaving no one behind. </w:t>
      </w:r>
    </w:p>
    <w:p w:rsidR="001A547C" w:rsidRPr="00966567" w:rsidRDefault="001A547C" w:rsidP="001A547C">
      <w:pPr>
        <w:pStyle w:val="ListParagraph"/>
        <w:ind w:left="0"/>
        <w:jc w:val="both"/>
        <w:rPr>
          <w:rFonts w:asciiTheme="majorHAnsi" w:hAnsiTheme="majorHAnsi" w:cs="Calibri"/>
          <w:sz w:val="22"/>
          <w:szCs w:val="22"/>
        </w:rPr>
      </w:pPr>
    </w:p>
    <w:p w:rsidR="001A547C" w:rsidRDefault="001A547C" w:rsidP="001A547C">
      <w:pPr>
        <w:pStyle w:val="ListParagraph"/>
        <w:numPr>
          <w:ilvl w:val="0"/>
          <w:numId w:val="22"/>
        </w:numPr>
        <w:ind w:left="0" w:firstLine="0"/>
        <w:jc w:val="both"/>
        <w:rPr>
          <w:rFonts w:asciiTheme="majorHAnsi" w:hAnsiTheme="majorHAnsi" w:cstheme="majorHAnsi"/>
          <w:sz w:val="22"/>
          <w:szCs w:val="22"/>
        </w:rPr>
      </w:pPr>
      <w:r w:rsidRPr="00966567">
        <w:rPr>
          <w:rFonts w:asciiTheme="majorHAnsi" w:hAnsiTheme="majorHAnsi" w:cs="Calibri"/>
          <w:sz w:val="22"/>
          <w:szCs w:val="22"/>
        </w:rPr>
        <w:t>The implementation of the common chapter builds on existing partnerships and collaborative approaches among the four agencies to support Member States to implement the 2030 Agenda. In 2018, the first year of implementation of the agencies’ Strategic Plans, 2018-2021, the common chapter initiative created a strong enabling environment to enhance joined-up work among agencies.</w:t>
      </w:r>
      <w:r w:rsidRPr="00261620">
        <w:rPr>
          <w:rFonts w:asciiTheme="majorHAnsi" w:hAnsiTheme="majorHAnsi"/>
          <w:sz w:val="22"/>
          <w:szCs w:val="22"/>
        </w:rPr>
        <w:t xml:space="preserve"> </w:t>
      </w:r>
    </w:p>
    <w:p w:rsidR="001A547C" w:rsidRPr="00F76CF7" w:rsidRDefault="001A547C" w:rsidP="001A547C">
      <w:pPr>
        <w:jc w:val="both"/>
        <w:rPr>
          <w:rFonts w:asciiTheme="majorHAnsi" w:hAnsiTheme="majorHAnsi" w:cstheme="majorHAnsi"/>
        </w:rPr>
      </w:pPr>
    </w:p>
    <w:p w:rsidR="001A547C" w:rsidRDefault="001A547C" w:rsidP="001A547C">
      <w:pPr>
        <w:pStyle w:val="ListParagraph"/>
        <w:numPr>
          <w:ilvl w:val="0"/>
          <w:numId w:val="22"/>
        </w:numPr>
        <w:ind w:left="0" w:firstLine="0"/>
        <w:jc w:val="both"/>
        <w:rPr>
          <w:rFonts w:asciiTheme="majorHAnsi" w:hAnsiTheme="majorHAnsi" w:cstheme="majorHAnsi"/>
          <w:sz w:val="22"/>
          <w:szCs w:val="22"/>
        </w:rPr>
      </w:pPr>
      <w:r w:rsidRPr="00261620">
        <w:rPr>
          <w:rFonts w:asciiTheme="majorHAnsi" w:hAnsiTheme="majorHAnsi" w:cstheme="majorHAnsi"/>
          <w:sz w:val="22"/>
          <w:szCs w:val="22"/>
        </w:rPr>
        <w:t xml:space="preserve">Key </w:t>
      </w:r>
      <w:r>
        <w:rPr>
          <w:rFonts w:asciiTheme="majorHAnsi" w:hAnsiTheme="majorHAnsi" w:cstheme="majorHAnsi"/>
          <w:sz w:val="22"/>
          <w:szCs w:val="22"/>
        </w:rPr>
        <w:t>common chapter</w:t>
      </w:r>
      <w:r w:rsidRPr="00261620">
        <w:rPr>
          <w:rFonts w:asciiTheme="majorHAnsi" w:hAnsiTheme="majorHAnsi" w:cstheme="majorHAnsi"/>
          <w:sz w:val="22"/>
          <w:szCs w:val="22"/>
        </w:rPr>
        <w:t xml:space="preserve"> achi</w:t>
      </w:r>
      <w:r>
        <w:rPr>
          <w:rFonts w:asciiTheme="majorHAnsi" w:hAnsiTheme="majorHAnsi" w:cstheme="majorHAnsi"/>
          <w:sz w:val="22"/>
          <w:szCs w:val="22"/>
        </w:rPr>
        <w:t>evements include:</w:t>
      </w:r>
    </w:p>
    <w:p w:rsidR="001A547C" w:rsidRPr="003A6E73" w:rsidRDefault="001A547C" w:rsidP="001A547C">
      <w:pPr>
        <w:pStyle w:val="ListParagraph"/>
        <w:ind w:left="0"/>
        <w:jc w:val="both"/>
        <w:rPr>
          <w:rFonts w:asciiTheme="majorHAnsi" w:hAnsiTheme="majorHAnsi" w:cstheme="majorHAnsi"/>
          <w:sz w:val="22"/>
          <w:szCs w:val="22"/>
        </w:rPr>
      </w:pPr>
    </w:p>
    <w:p w:rsidR="001A547C" w:rsidRPr="00261620" w:rsidRDefault="001A547C" w:rsidP="001A547C">
      <w:pPr>
        <w:pStyle w:val="ListParagraph"/>
        <w:numPr>
          <w:ilvl w:val="0"/>
          <w:numId w:val="33"/>
        </w:numPr>
        <w:ind w:left="360"/>
        <w:jc w:val="both"/>
        <w:rPr>
          <w:rFonts w:asciiTheme="majorHAnsi" w:hAnsiTheme="majorHAnsi" w:cstheme="majorHAnsi"/>
          <w:sz w:val="22"/>
          <w:szCs w:val="22"/>
        </w:rPr>
      </w:pPr>
      <w:r>
        <w:rPr>
          <w:rFonts w:asciiTheme="majorHAnsi" w:hAnsiTheme="majorHAnsi" w:cstheme="majorHAnsi"/>
          <w:sz w:val="22"/>
          <w:szCs w:val="22"/>
        </w:rPr>
        <w:t>E</w:t>
      </w:r>
      <w:r w:rsidRPr="00261620">
        <w:rPr>
          <w:rFonts w:asciiTheme="majorHAnsi" w:hAnsiTheme="majorHAnsi" w:cstheme="majorHAnsi"/>
          <w:sz w:val="22"/>
          <w:szCs w:val="22"/>
        </w:rPr>
        <w:t xml:space="preserve">stablishment of effective implementation and coordination arrangements to advance the </w:t>
      </w:r>
      <w:r>
        <w:rPr>
          <w:rFonts w:asciiTheme="majorHAnsi" w:hAnsiTheme="majorHAnsi" w:cstheme="majorHAnsi"/>
          <w:sz w:val="22"/>
          <w:szCs w:val="22"/>
        </w:rPr>
        <w:t>common chapter</w:t>
      </w:r>
      <w:r w:rsidRPr="00261620">
        <w:rPr>
          <w:rFonts w:asciiTheme="majorHAnsi" w:hAnsiTheme="majorHAnsi" w:cstheme="majorHAnsi"/>
          <w:sz w:val="22"/>
          <w:szCs w:val="22"/>
        </w:rPr>
        <w:t xml:space="preserve"> at </w:t>
      </w:r>
      <w:r>
        <w:rPr>
          <w:rFonts w:asciiTheme="majorHAnsi" w:hAnsiTheme="majorHAnsi" w:cstheme="majorHAnsi"/>
          <w:sz w:val="22"/>
          <w:szCs w:val="22"/>
        </w:rPr>
        <w:t xml:space="preserve">headquarters </w:t>
      </w:r>
      <w:r w:rsidRPr="00261620">
        <w:rPr>
          <w:rFonts w:asciiTheme="majorHAnsi" w:hAnsiTheme="majorHAnsi" w:cstheme="majorHAnsi"/>
          <w:sz w:val="22"/>
          <w:szCs w:val="22"/>
        </w:rPr>
        <w:t xml:space="preserve">and regional levels; </w:t>
      </w:r>
    </w:p>
    <w:p w:rsidR="001A547C" w:rsidRPr="00261620" w:rsidRDefault="001A547C" w:rsidP="001A547C">
      <w:pPr>
        <w:pStyle w:val="ListParagraph"/>
        <w:numPr>
          <w:ilvl w:val="0"/>
          <w:numId w:val="33"/>
        </w:numPr>
        <w:ind w:left="360"/>
        <w:jc w:val="both"/>
        <w:rPr>
          <w:rFonts w:asciiTheme="majorHAnsi" w:hAnsiTheme="majorHAnsi" w:cstheme="majorHAnsi"/>
          <w:sz w:val="22"/>
          <w:szCs w:val="22"/>
        </w:rPr>
      </w:pPr>
      <w:r>
        <w:rPr>
          <w:rFonts w:asciiTheme="majorHAnsi" w:hAnsiTheme="majorHAnsi" w:cstheme="majorHAnsi"/>
          <w:sz w:val="22"/>
          <w:szCs w:val="22"/>
        </w:rPr>
        <w:t>C</w:t>
      </w:r>
      <w:r w:rsidRPr="00261620">
        <w:rPr>
          <w:rFonts w:asciiTheme="majorHAnsi" w:hAnsiTheme="majorHAnsi" w:cstheme="majorHAnsi"/>
          <w:sz w:val="22"/>
          <w:szCs w:val="22"/>
        </w:rPr>
        <w:t>omplementary contribution</w:t>
      </w:r>
      <w:r>
        <w:rPr>
          <w:rFonts w:asciiTheme="majorHAnsi" w:hAnsiTheme="majorHAnsi" w:cstheme="majorHAnsi"/>
          <w:sz w:val="22"/>
          <w:szCs w:val="22"/>
        </w:rPr>
        <w:t>s</w:t>
      </w:r>
      <w:r w:rsidRPr="00261620">
        <w:rPr>
          <w:rFonts w:asciiTheme="majorHAnsi" w:hAnsiTheme="majorHAnsi" w:cstheme="majorHAnsi"/>
          <w:sz w:val="22"/>
          <w:szCs w:val="22"/>
        </w:rPr>
        <w:t xml:space="preserve"> to development results in each of the six key areas of collaboration</w:t>
      </w:r>
      <w:r>
        <w:rPr>
          <w:rFonts w:asciiTheme="majorHAnsi" w:hAnsiTheme="majorHAnsi" w:cstheme="majorHAnsi"/>
          <w:sz w:val="22"/>
          <w:szCs w:val="22"/>
        </w:rPr>
        <w:t xml:space="preserve"> specified in the common chapter</w:t>
      </w:r>
      <w:r w:rsidRPr="00261620">
        <w:rPr>
          <w:rFonts w:asciiTheme="majorHAnsi" w:hAnsiTheme="majorHAnsi" w:cstheme="majorHAnsi"/>
          <w:sz w:val="22"/>
          <w:szCs w:val="22"/>
        </w:rPr>
        <w:t xml:space="preserve"> as well as enhanced country and regional collaboration across all six areas to provide more integrated support to countries;</w:t>
      </w:r>
    </w:p>
    <w:p w:rsidR="001A547C" w:rsidRPr="00261620" w:rsidRDefault="001A547C" w:rsidP="001A547C">
      <w:pPr>
        <w:pStyle w:val="ListParagraph"/>
        <w:numPr>
          <w:ilvl w:val="0"/>
          <w:numId w:val="33"/>
        </w:numPr>
        <w:ind w:left="360"/>
        <w:jc w:val="both"/>
        <w:rPr>
          <w:rFonts w:asciiTheme="majorHAnsi" w:hAnsiTheme="majorHAnsi" w:cstheme="majorHAnsi"/>
          <w:sz w:val="22"/>
          <w:szCs w:val="22"/>
        </w:rPr>
      </w:pPr>
      <w:r>
        <w:rPr>
          <w:rFonts w:asciiTheme="majorHAnsi" w:hAnsiTheme="majorHAnsi" w:cstheme="majorHAnsi"/>
          <w:sz w:val="22"/>
          <w:szCs w:val="22"/>
        </w:rPr>
        <w:t>Leveraging</w:t>
      </w:r>
      <w:r w:rsidRPr="00261620">
        <w:rPr>
          <w:rFonts w:asciiTheme="majorHAnsi" w:hAnsiTheme="majorHAnsi" w:cstheme="majorHAnsi"/>
          <w:sz w:val="22"/>
          <w:szCs w:val="22"/>
        </w:rPr>
        <w:t xml:space="preserve"> important collaborative partnerships with other U</w:t>
      </w:r>
      <w:r>
        <w:rPr>
          <w:rFonts w:asciiTheme="majorHAnsi" w:hAnsiTheme="majorHAnsi" w:cstheme="majorHAnsi"/>
          <w:sz w:val="22"/>
          <w:szCs w:val="22"/>
        </w:rPr>
        <w:t xml:space="preserve">nited </w:t>
      </w:r>
      <w:r w:rsidRPr="00261620">
        <w:rPr>
          <w:rFonts w:asciiTheme="majorHAnsi" w:hAnsiTheme="majorHAnsi" w:cstheme="majorHAnsi"/>
          <w:sz w:val="22"/>
          <w:szCs w:val="22"/>
        </w:rPr>
        <w:t>N</w:t>
      </w:r>
      <w:r>
        <w:rPr>
          <w:rFonts w:asciiTheme="majorHAnsi" w:hAnsiTheme="majorHAnsi" w:cstheme="majorHAnsi"/>
          <w:sz w:val="22"/>
          <w:szCs w:val="22"/>
        </w:rPr>
        <w:t>ations</w:t>
      </w:r>
      <w:r w:rsidRPr="00261620">
        <w:rPr>
          <w:rFonts w:asciiTheme="majorHAnsi" w:hAnsiTheme="majorHAnsi" w:cstheme="majorHAnsi"/>
          <w:sz w:val="22"/>
          <w:szCs w:val="22"/>
        </w:rPr>
        <w:t xml:space="preserve"> entities as well as </w:t>
      </w:r>
      <w:r>
        <w:rPr>
          <w:rFonts w:asciiTheme="majorHAnsi" w:hAnsiTheme="majorHAnsi" w:cstheme="majorHAnsi"/>
          <w:sz w:val="22"/>
          <w:szCs w:val="22"/>
        </w:rPr>
        <w:t>i</w:t>
      </w:r>
      <w:r w:rsidRPr="00261620">
        <w:rPr>
          <w:rFonts w:asciiTheme="majorHAnsi" w:hAnsiTheme="majorHAnsi" w:cstheme="majorHAnsi"/>
          <w:sz w:val="22"/>
          <w:szCs w:val="22"/>
        </w:rPr>
        <w:t xml:space="preserve">nternational </w:t>
      </w:r>
      <w:r>
        <w:rPr>
          <w:rFonts w:asciiTheme="majorHAnsi" w:hAnsiTheme="majorHAnsi" w:cstheme="majorHAnsi"/>
          <w:sz w:val="22"/>
          <w:szCs w:val="22"/>
        </w:rPr>
        <w:t>f</w:t>
      </w:r>
      <w:r w:rsidRPr="00261620">
        <w:rPr>
          <w:rFonts w:asciiTheme="majorHAnsi" w:hAnsiTheme="majorHAnsi" w:cstheme="majorHAnsi"/>
          <w:sz w:val="22"/>
          <w:szCs w:val="22"/>
        </w:rPr>
        <w:t xml:space="preserve">inancial </w:t>
      </w:r>
      <w:r>
        <w:rPr>
          <w:rFonts w:asciiTheme="majorHAnsi" w:hAnsiTheme="majorHAnsi" w:cstheme="majorHAnsi"/>
          <w:sz w:val="22"/>
          <w:szCs w:val="22"/>
        </w:rPr>
        <w:t>i</w:t>
      </w:r>
      <w:r w:rsidRPr="00261620">
        <w:rPr>
          <w:rFonts w:asciiTheme="majorHAnsi" w:hAnsiTheme="majorHAnsi" w:cstheme="majorHAnsi"/>
          <w:sz w:val="22"/>
          <w:szCs w:val="22"/>
        </w:rPr>
        <w:t>nstitutions and other partners;</w:t>
      </w:r>
    </w:p>
    <w:p w:rsidR="001A547C" w:rsidRPr="00261620" w:rsidRDefault="001A547C" w:rsidP="001A547C">
      <w:pPr>
        <w:pStyle w:val="ListParagraph"/>
        <w:numPr>
          <w:ilvl w:val="0"/>
          <w:numId w:val="33"/>
        </w:numPr>
        <w:ind w:left="360"/>
        <w:jc w:val="both"/>
        <w:rPr>
          <w:rFonts w:asciiTheme="majorHAnsi" w:hAnsiTheme="majorHAnsi" w:cstheme="majorHAnsi"/>
          <w:sz w:val="22"/>
          <w:szCs w:val="22"/>
        </w:rPr>
      </w:pPr>
      <w:r w:rsidRPr="00261620">
        <w:rPr>
          <w:rFonts w:asciiTheme="majorHAnsi" w:hAnsiTheme="majorHAnsi" w:cstheme="majorHAnsi"/>
          <w:sz w:val="22"/>
          <w:szCs w:val="22"/>
        </w:rPr>
        <w:t xml:space="preserve">Identification of </w:t>
      </w:r>
      <w:r>
        <w:rPr>
          <w:rFonts w:asciiTheme="majorHAnsi" w:hAnsiTheme="majorHAnsi" w:cstheme="majorHAnsi"/>
          <w:sz w:val="22"/>
          <w:szCs w:val="22"/>
        </w:rPr>
        <w:t xml:space="preserve">eight regionally-based </w:t>
      </w:r>
      <w:r w:rsidRPr="00261620">
        <w:rPr>
          <w:rFonts w:asciiTheme="majorHAnsi" w:hAnsiTheme="majorHAnsi" w:cstheme="majorHAnsi"/>
          <w:sz w:val="22"/>
          <w:szCs w:val="22"/>
        </w:rPr>
        <w:t>accelerator initi</w:t>
      </w:r>
      <w:r>
        <w:rPr>
          <w:rFonts w:asciiTheme="majorHAnsi" w:hAnsiTheme="majorHAnsi" w:cstheme="majorHAnsi"/>
          <w:sz w:val="22"/>
          <w:szCs w:val="22"/>
        </w:rPr>
        <w:t>atives,</w:t>
      </w:r>
      <w:r w:rsidRPr="00261620">
        <w:rPr>
          <w:rFonts w:asciiTheme="majorHAnsi" w:hAnsiTheme="majorHAnsi" w:cstheme="majorHAnsi"/>
          <w:sz w:val="22"/>
          <w:szCs w:val="22"/>
        </w:rPr>
        <w:t xml:space="preserve"> laying the foundation for work in 2019 to accelerate the achievement of collective results; </w:t>
      </w:r>
    </w:p>
    <w:p w:rsidR="001A547C" w:rsidRPr="00261620" w:rsidRDefault="001A547C" w:rsidP="001A547C">
      <w:pPr>
        <w:pStyle w:val="ListParagraph"/>
        <w:numPr>
          <w:ilvl w:val="0"/>
          <w:numId w:val="33"/>
        </w:numPr>
        <w:ind w:left="360"/>
        <w:jc w:val="both"/>
        <w:rPr>
          <w:rFonts w:asciiTheme="majorHAnsi" w:hAnsiTheme="majorHAnsi" w:cstheme="majorHAnsi"/>
          <w:sz w:val="22"/>
          <w:szCs w:val="22"/>
        </w:rPr>
      </w:pPr>
      <w:r>
        <w:rPr>
          <w:rFonts w:asciiTheme="majorHAnsi" w:hAnsiTheme="majorHAnsi" w:cstheme="majorHAnsi"/>
          <w:sz w:val="22"/>
          <w:szCs w:val="22"/>
        </w:rPr>
        <w:t>C</w:t>
      </w:r>
      <w:r w:rsidRPr="00261620">
        <w:rPr>
          <w:rFonts w:asciiTheme="majorHAnsi" w:hAnsiTheme="majorHAnsi" w:cstheme="majorHAnsi"/>
          <w:sz w:val="22"/>
          <w:szCs w:val="22"/>
        </w:rPr>
        <w:t xml:space="preserve">ontinued progress in implementing common services at country level, improving transparency and further harmonizing results-based management; </w:t>
      </w:r>
      <w:r>
        <w:rPr>
          <w:rFonts w:asciiTheme="majorHAnsi" w:hAnsiTheme="majorHAnsi" w:cstheme="majorHAnsi"/>
          <w:sz w:val="22"/>
          <w:szCs w:val="22"/>
        </w:rPr>
        <w:t>and</w:t>
      </w:r>
    </w:p>
    <w:p w:rsidR="001A547C" w:rsidRDefault="001A547C" w:rsidP="001A547C">
      <w:pPr>
        <w:pStyle w:val="ListParagraph"/>
        <w:numPr>
          <w:ilvl w:val="0"/>
          <w:numId w:val="33"/>
        </w:numPr>
        <w:ind w:left="360"/>
        <w:jc w:val="both"/>
        <w:rPr>
          <w:rFonts w:asciiTheme="majorHAnsi" w:hAnsiTheme="majorHAnsi" w:cstheme="majorHAnsi"/>
          <w:sz w:val="22"/>
          <w:szCs w:val="22"/>
        </w:rPr>
      </w:pPr>
      <w:r>
        <w:rPr>
          <w:rFonts w:asciiTheme="majorHAnsi" w:hAnsiTheme="majorHAnsi" w:cstheme="majorHAnsi"/>
          <w:sz w:val="22"/>
          <w:szCs w:val="22"/>
        </w:rPr>
        <w:t>J</w:t>
      </w:r>
      <w:r w:rsidRPr="00261620">
        <w:rPr>
          <w:rFonts w:asciiTheme="majorHAnsi" w:hAnsiTheme="majorHAnsi" w:cstheme="majorHAnsi"/>
          <w:sz w:val="22"/>
          <w:szCs w:val="22"/>
        </w:rPr>
        <w:t xml:space="preserve">oint planning by the four evaluation offices for an evaluation of the </w:t>
      </w:r>
      <w:r>
        <w:rPr>
          <w:rFonts w:asciiTheme="majorHAnsi" w:hAnsiTheme="majorHAnsi" w:cstheme="majorHAnsi"/>
          <w:sz w:val="22"/>
          <w:szCs w:val="22"/>
        </w:rPr>
        <w:t>c</w:t>
      </w:r>
      <w:r w:rsidRPr="00261620">
        <w:rPr>
          <w:rFonts w:asciiTheme="majorHAnsi" w:hAnsiTheme="majorHAnsi" w:cstheme="majorHAnsi"/>
          <w:sz w:val="22"/>
          <w:szCs w:val="22"/>
        </w:rPr>
        <w:t xml:space="preserve">ommon </w:t>
      </w:r>
      <w:r>
        <w:rPr>
          <w:rFonts w:asciiTheme="majorHAnsi" w:hAnsiTheme="majorHAnsi" w:cstheme="majorHAnsi"/>
          <w:sz w:val="22"/>
          <w:szCs w:val="22"/>
        </w:rPr>
        <w:t>c</w:t>
      </w:r>
      <w:r w:rsidRPr="00261620">
        <w:rPr>
          <w:rFonts w:asciiTheme="majorHAnsi" w:hAnsiTheme="majorHAnsi" w:cstheme="majorHAnsi"/>
          <w:sz w:val="22"/>
          <w:szCs w:val="22"/>
        </w:rPr>
        <w:t xml:space="preserve">hapter over </w:t>
      </w:r>
      <w:r>
        <w:rPr>
          <w:rFonts w:asciiTheme="majorHAnsi" w:hAnsiTheme="majorHAnsi" w:cstheme="majorHAnsi"/>
          <w:sz w:val="22"/>
          <w:szCs w:val="22"/>
        </w:rPr>
        <w:t xml:space="preserve">the period </w:t>
      </w:r>
      <w:r w:rsidRPr="00261620">
        <w:rPr>
          <w:rFonts w:asciiTheme="majorHAnsi" w:hAnsiTheme="majorHAnsi" w:cstheme="majorHAnsi"/>
          <w:sz w:val="22"/>
          <w:szCs w:val="22"/>
        </w:rPr>
        <w:t>2019</w:t>
      </w:r>
      <w:r>
        <w:rPr>
          <w:rFonts w:asciiTheme="majorHAnsi" w:hAnsiTheme="majorHAnsi" w:cstheme="majorHAnsi"/>
          <w:sz w:val="22"/>
          <w:szCs w:val="22"/>
        </w:rPr>
        <w:t xml:space="preserve"> to </w:t>
      </w:r>
      <w:r w:rsidRPr="00261620">
        <w:rPr>
          <w:rFonts w:asciiTheme="majorHAnsi" w:hAnsiTheme="majorHAnsi" w:cstheme="majorHAnsi"/>
          <w:sz w:val="22"/>
          <w:szCs w:val="22"/>
        </w:rPr>
        <w:t xml:space="preserve">2021. </w:t>
      </w:r>
    </w:p>
    <w:p w:rsidR="001A547C" w:rsidRDefault="001A547C" w:rsidP="001A547C">
      <w:pPr>
        <w:jc w:val="both"/>
        <w:rPr>
          <w:rFonts w:asciiTheme="majorHAnsi" w:hAnsiTheme="majorHAnsi" w:cstheme="majorHAnsi"/>
        </w:rPr>
      </w:pPr>
    </w:p>
    <w:p w:rsidR="001A547C" w:rsidRPr="00261620" w:rsidRDefault="001A547C" w:rsidP="001A547C">
      <w:pPr>
        <w:pStyle w:val="ListParagraph"/>
        <w:numPr>
          <w:ilvl w:val="0"/>
          <w:numId w:val="22"/>
        </w:numPr>
        <w:ind w:left="0" w:firstLine="0"/>
        <w:rPr>
          <w:rFonts w:asciiTheme="majorHAnsi" w:hAnsiTheme="majorHAnsi"/>
          <w:sz w:val="22"/>
          <w:szCs w:val="22"/>
        </w:rPr>
      </w:pPr>
      <w:r>
        <w:rPr>
          <w:rFonts w:asciiTheme="majorHAnsi" w:hAnsiTheme="majorHAnsi" w:cstheme="majorHAnsi"/>
          <w:sz w:val="22"/>
          <w:szCs w:val="22"/>
        </w:rPr>
        <w:t>P</w:t>
      </w:r>
      <w:r w:rsidRPr="00261620">
        <w:rPr>
          <w:rFonts w:asciiTheme="majorHAnsi" w:hAnsiTheme="majorHAnsi" w:cstheme="majorHAnsi"/>
          <w:sz w:val="22"/>
          <w:szCs w:val="22"/>
        </w:rPr>
        <w:t xml:space="preserve">erformance in </w:t>
      </w:r>
      <w:r>
        <w:rPr>
          <w:rFonts w:asciiTheme="majorHAnsi" w:hAnsiTheme="majorHAnsi" w:cstheme="majorHAnsi"/>
          <w:sz w:val="22"/>
          <w:szCs w:val="22"/>
        </w:rPr>
        <w:t>each of these areas is reported</w:t>
      </w:r>
      <w:r w:rsidRPr="00261620">
        <w:rPr>
          <w:rFonts w:asciiTheme="majorHAnsi" w:hAnsiTheme="majorHAnsi" w:cstheme="majorHAnsi"/>
          <w:sz w:val="22"/>
          <w:szCs w:val="22"/>
        </w:rPr>
        <w:t xml:space="preserve">, concluding with a set of year-one reflections on lessons and challenges. </w:t>
      </w:r>
    </w:p>
    <w:p w:rsidR="001A547C" w:rsidRPr="00F76CF7" w:rsidRDefault="001A547C" w:rsidP="001A547C">
      <w:pPr>
        <w:jc w:val="both"/>
        <w:rPr>
          <w:rFonts w:asciiTheme="majorHAnsi" w:hAnsiTheme="majorHAnsi" w:cs="Calibri"/>
          <w:b/>
        </w:rPr>
      </w:pPr>
    </w:p>
    <w:p w:rsidR="001A547C" w:rsidRDefault="001A547C" w:rsidP="001A547C">
      <w:pPr>
        <w:pStyle w:val="ListParagraph"/>
        <w:numPr>
          <w:ilvl w:val="0"/>
          <w:numId w:val="45"/>
        </w:numPr>
        <w:jc w:val="both"/>
        <w:rPr>
          <w:rFonts w:asciiTheme="majorHAnsi" w:hAnsiTheme="majorHAnsi" w:cs="Calibri"/>
          <w:b/>
        </w:rPr>
      </w:pPr>
      <w:r w:rsidRPr="00261620">
        <w:rPr>
          <w:rFonts w:asciiTheme="majorHAnsi" w:hAnsiTheme="majorHAnsi" w:cs="Calibri"/>
          <w:b/>
        </w:rPr>
        <w:t>Introduction</w:t>
      </w:r>
    </w:p>
    <w:p w:rsidR="001A547C" w:rsidRPr="00261620" w:rsidRDefault="001A547C" w:rsidP="001A547C">
      <w:pPr>
        <w:spacing w:line="240" w:lineRule="auto"/>
        <w:jc w:val="both"/>
        <w:rPr>
          <w:rFonts w:asciiTheme="majorHAnsi" w:hAnsiTheme="majorHAnsi" w:cstheme="majorHAnsi"/>
        </w:rPr>
      </w:pPr>
    </w:p>
    <w:p w:rsidR="001A547C" w:rsidRDefault="001A547C" w:rsidP="001A547C">
      <w:pPr>
        <w:pStyle w:val="ListParagraph"/>
        <w:numPr>
          <w:ilvl w:val="0"/>
          <w:numId w:val="22"/>
        </w:numPr>
        <w:ind w:left="0" w:firstLine="0"/>
        <w:jc w:val="both"/>
        <w:rPr>
          <w:rFonts w:asciiTheme="majorHAnsi" w:hAnsiTheme="majorHAnsi" w:cstheme="majorHAnsi"/>
          <w:sz w:val="22"/>
          <w:szCs w:val="22"/>
        </w:rPr>
      </w:pPr>
      <w:r w:rsidRPr="00261620">
        <w:rPr>
          <w:rFonts w:asciiTheme="majorHAnsi" w:hAnsiTheme="majorHAnsi" w:cstheme="majorHAnsi"/>
          <w:sz w:val="22"/>
          <w:szCs w:val="22"/>
        </w:rPr>
        <w:t>In May 2018, the General Assembly adopted resolution 72/279 on repositioning the U</w:t>
      </w:r>
      <w:r>
        <w:rPr>
          <w:rFonts w:asciiTheme="majorHAnsi" w:hAnsiTheme="majorHAnsi" w:cstheme="majorHAnsi"/>
          <w:sz w:val="22"/>
          <w:szCs w:val="22"/>
        </w:rPr>
        <w:t xml:space="preserve">nited </w:t>
      </w:r>
      <w:r w:rsidRPr="00261620">
        <w:rPr>
          <w:rFonts w:asciiTheme="majorHAnsi" w:hAnsiTheme="majorHAnsi" w:cstheme="majorHAnsi"/>
          <w:sz w:val="22"/>
          <w:szCs w:val="22"/>
        </w:rPr>
        <w:t>N</w:t>
      </w:r>
      <w:r>
        <w:rPr>
          <w:rFonts w:asciiTheme="majorHAnsi" w:hAnsiTheme="majorHAnsi" w:cstheme="majorHAnsi"/>
          <w:sz w:val="22"/>
          <w:szCs w:val="22"/>
        </w:rPr>
        <w:t>ations</w:t>
      </w:r>
      <w:r w:rsidRPr="00261620">
        <w:rPr>
          <w:rFonts w:asciiTheme="majorHAnsi" w:hAnsiTheme="majorHAnsi" w:cstheme="majorHAnsi"/>
          <w:sz w:val="22"/>
          <w:szCs w:val="22"/>
        </w:rPr>
        <w:t xml:space="preserve"> development system (UNDS)</w:t>
      </w:r>
      <w:r>
        <w:rPr>
          <w:rFonts w:asciiTheme="majorHAnsi" w:hAnsiTheme="majorHAnsi" w:cstheme="majorHAnsi"/>
          <w:sz w:val="22"/>
          <w:szCs w:val="22"/>
        </w:rPr>
        <w:t xml:space="preserve"> in </w:t>
      </w:r>
      <w:r w:rsidRPr="00966567">
        <w:rPr>
          <w:rFonts w:asciiTheme="majorHAnsi" w:hAnsiTheme="majorHAnsi" w:cstheme="majorHAnsi"/>
          <w:sz w:val="22"/>
          <w:szCs w:val="22"/>
        </w:rPr>
        <w:t>the context of the quadrennial comprehensive policy review of operational activities for development of the United Nations system (QCPR)</w:t>
      </w:r>
      <w:r w:rsidRPr="00261620">
        <w:rPr>
          <w:rFonts w:asciiTheme="majorHAnsi" w:hAnsiTheme="majorHAnsi" w:cstheme="majorHAnsi"/>
          <w:sz w:val="22"/>
          <w:szCs w:val="22"/>
        </w:rPr>
        <w:t>. To operationali</w:t>
      </w:r>
      <w:r>
        <w:rPr>
          <w:rFonts w:asciiTheme="majorHAnsi" w:hAnsiTheme="majorHAnsi" w:cstheme="majorHAnsi"/>
          <w:sz w:val="22"/>
          <w:szCs w:val="22"/>
        </w:rPr>
        <w:t>z</w:t>
      </w:r>
      <w:r w:rsidRPr="00261620">
        <w:rPr>
          <w:rFonts w:asciiTheme="majorHAnsi" w:hAnsiTheme="majorHAnsi" w:cstheme="majorHAnsi"/>
          <w:sz w:val="22"/>
          <w:szCs w:val="22"/>
        </w:rPr>
        <w:t>e this resolution, the United Nations ha</w:t>
      </w:r>
      <w:r>
        <w:rPr>
          <w:rFonts w:asciiTheme="majorHAnsi" w:hAnsiTheme="majorHAnsi" w:cstheme="majorHAnsi"/>
          <w:sz w:val="22"/>
          <w:szCs w:val="22"/>
        </w:rPr>
        <w:t>s</w:t>
      </w:r>
      <w:r w:rsidRPr="00261620">
        <w:rPr>
          <w:rFonts w:asciiTheme="majorHAnsi" w:hAnsiTheme="majorHAnsi" w:cstheme="majorHAnsi"/>
          <w:sz w:val="22"/>
          <w:szCs w:val="22"/>
        </w:rPr>
        <w:t xml:space="preserve"> embarked on a far-reaching and ambitious reform that will make it more effective and efficient in supporting </w:t>
      </w:r>
      <w:r>
        <w:rPr>
          <w:rFonts w:asciiTheme="majorHAnsi" w:hAnsiTheme="majorHAnsi" w:cstheme="majorHAnsi"/>
          <w:sz w:val="22"/>
          <w:szCs w:val="22"/>
        </w:rPr>
        <w:t>M</w:t>
      </w:r>
      <w:r w:rsidRPr="00261620">
        <w:rPr>
          <w:rFonts w:asciiTheme="majorHAnsi" w:hAnsiTheme="majorHAnsi" w:cstheme="majorHAnsi"/>
          <w:sz w:val="22"/>
          <w:szCs w:val="22"/>
        </w:rPr>
        <w:t xml:space="preserve">ember </w:t>
      </w:r>
      <w:r>
        <w:rPr>
          <w:rFonts w:asciiTheme="majorHAnsi" w:hAnsiTheme="majorHAnsi" w:cstheme="majorHAnsi"/>
          <w:sz w:val="22"/>
          <w:szCs w:val="22"/>
        </w:rPr>
        <w:t>S</w:t>
      </w:r>
      <w:r w:rsidRPr="00261620">
        <w:rPr>
          <w:rFonts w:asciiTheme="majorHAnsi" w:hAnsiTheme="majorHAnsi" w:cstheme="majorHAnsi"/>
          <w:sz w:val="22"/>
          <w:szCs w:val="22"/>
        </w:rPr>
        <w:t xml:space="preserve">tates to achieve global aspirations. The </w:t>
      </w:r>
      <w:r>
        <w:rPr>
          <w:rFonts w:asciiTheme="majorHAnsi" w:hAnsiTheme="majorHAnsi" w:cstheme="majorHAnsi"/>
          <w:sz w:val="22"/>
          <w:szCs w:val="22"/>
        </w:rPr>
        <w:t>c</w:t>
      </w:r>
      <w:r w:rsidRPr="00261620">
        <w:rPr>
          <w:rFonts w:asciiTheme="majorHAnsi" w:hAnsiTheme="majorHAnsi" w:cstheme="majorHAnsi"/>
          <w:sz w:val="22"/>
          <w:szCs w:val="22"/>
        </w:rPr>
        <w:t xml:space="preserve">ommon </w:t>
      </w:r>
      <w:r>
        <w:rPr>
          <w:rFonts w:asciiTheme="majorHAnsi" w:hAnsiTheme="majorHAnsi" w:cstheme="majorHAnsi"/>
          <w:sz w:val="22"/>
          <w:szCs w:val="22"/>
        </w:rPr>
        <w:t>c</w:t>
      </w:r>
      <w:r w:rsidRPr="00261620">
        <w:rPr>
          <w:rFonts w:asciiTheme="majorHAnsi" w:hAnsiTheme="majorHAnsi" w:cstheme="majorHAnsi"/>
          <w:sz w:val="22"/>
          <w:szCs w:val="22"/>
        </w:rPr>
        <w:t xml:space="preserve">hapter </w:t>
      </w:r>
      <w:r>
        <w:rPr>
          <w:rFonts w:asciiTheme="majorHAnsi" w:hAnsiTheme="majorHAnsi" w:cstheme="majorHAnsi"/>
          <w:sz w:val="22"/>
          <w:szCs w:val="22"/>
        </w:rPr>
        <w:t>anticipates</w:t>
      </w:r>
      <w:r w:rsidRPr="00261620">
        <w:rPr>
          <w:rFonts w:asciiTheme="majorHAnsi" w:hAnsiTheme="majorHAnsi" w:cstheme="majorHAnsi"/>
          <w:sz w:val="22"/>
          <w:szCs w:val="22"/>
        </w:rPr>
        <w:t xml:space="preserve"> a re</w:t>
      </w:r>
      <w:r>
        <w:rPr>
          <w:rFonts w:asciiTheme="majorHAnsi" w:hAnsiTheme="majorHAnsi" w:cstheme="majorHAnsi"/>
          <w:sz w:val="22"/>
          <w:szCs w:val="22"/>
        </w:rPr>
        <w:t xml:space="preserve">positioned UNDS, in the context of the QCPR, </w:t>
      </w:r>
      <w:r w:rsidRPr="00261620">
        <w:rPr>
          <w:rFonts w:asciiTheme="majorHAnsi" w:hAnsiTheme="majorHAnsi" w:cstheme="majorHAnsi"/>
          <w:sz w:val="22"/>
          <w:szCs w:val="22"/>
        </w:rPr>
        <w:t xml:space="preserve">that offers </w:t>
      </w:r>
      <w:r>
        <w:rPr>
          <w:rFonts w:asciiTheme="majorHAnsi" w:hAnsiTheme="majorHAnsi" w:cstheme="majorHAnsi"/>
          <w:sz w:val="22"/>
          <w:szCs w:val="22"/>
        </w:rPr>
        <w:t xml:space="preserve">a </w:t>
      </w:r>
      <w:r w:rsidRPr="00261620">
        <w:rPr>
          <w:rFonts w:asciiTheme="majorHAnsi" w:hAnsiTheme="majorHAnsi" w:cstheme="majorHAnsi"/>
          <w:sz w:val="22"/>
          <w:szCs w:val="22"/>
        </w:rPr>
        <w:t xml:space="preserve">coherent and harmonized value proposition </w:t>
      </w:r>
      <w:r>
        <w:rPr>
          <w:rFonts w:asciiTheme="majorHAnsi" w:hAnsiTheme="majorHAnsi" w:cstheme="majorHAnsi"/>
          <w:sz w:val="22"/>
          <w:szCs w:val="22"/>
        </w:rPr>
        <w:t>t</w:t>
      </w:r>
      <w:r w:rsidRPr="00261620">
        <w:rPr>
          <w:rFonts w:asciiTheme="majorHAnsi" w:hAnsiTheme="majorHAnsi" w:cstheme="majorHAnsi"/>
          <w:sz w:val="22"/>
          <w:szCs w:val="22"/>
        </w:rPr>
        <w:t xml:space="preserve">o support Member States towards achievement of the 2030 Agenda for Sustainable Development. </w:t>
      </w:r>
      <w:r>
        <w:rPr>
          <w:rFonts w:asciiTheme="majorHAnsi" w:hAnsiTheme="majorHAnsi" w:cstheme="majorHAnsi"/>
          <w:sz w:val="22"/>
          <w:szCs w:val="22"/>
        </w:rPr>
        <w:t xml:space="preserve">During 2018, the four agencies acted using the common chapter to leverage their collective collaborative advantage and to “crowd in” collaboration within United Nations country teams (UNCTs). </w:t>
      </w:r>
    </w:p>
    <w:p w:rsidR="001A547C" w:rsidRPr="00FC50B0" w:rsidRDefault="001A547C" w:rsidP="001A547C">
      <w:pPr>
        <w:pStyle w:val="ListParagraph"/>
        <w:jc w:val="both"/>
        <w:rPr>
          <w:rFonts w:asciiTheme="majorHAnsi" w:hAnsiTheme="majorHAnsi" w:cstheme="majorHAnsi"/>
          <w:sz w:val="22"/>
          <w:szCs w:val="22"/>
        </w:rPr>
      </w:pPr>
    </w:p>
    <w:p w:rsidR="001A547C" w:rsidRPr="009F6195" w:rsidRDefault="001A547C" w:rsidP="001A547C">
      <w:pPr>
        <w:pStyle w:val="ListParagraph"/>
        <w:numPr>
          <w:ilvl w:val="0"/>
          <w:numId w:val="22"/>
        </w:numPr>
        <w:ind w:left="0" w:firstLine="0"/>
        <w:jc w:val="both"/>
        <w:rPr>
          <w:rFonts w:asciiTheme="majorHAnsi" w:hAnsiTheme="majorHAnsi" w:cstheme="majorHAnsi"/>
          <w:sz w:val="22"/>
          <w:szCs w:val="22"/>
        </w:rPr>
      </w:pPr>
      <w:r w:rsidRPr="00966567">
        <w:rPr>
          <w:rFonts w:asciiTheme="majorHAnsi" w:hAnsiTheme="majorHAnsi" w:cstheme="majorHAnsi"/>
          <w:sz w:val="22"/>
          <w:szCs w:val="22"/>
        </w:rPr>
        <w:t xml:space="preserve">Through the establishment of a common chapter coordination structure at the global, regional and country levels, </w:t>
      </w:r>
      <w:r>
        <w:rPr>
          <w:rFonts w:asciiTheme="majorHAnsi" w:hAnsiTheme="majorHAnsi" w:cstheme="majorHAnsi"/>
          <w:sz w:val="22"/>
          <w:szCs w:val="22"/>
        </w:rPr>
        <w:t>the four agencies</w:t>
      </w:r>
      <w:r w:rsidRPr="009F6195">
        <w:rPr>
          <w:rFonts w:asciiTheme="majorHAnsi" w:hAnsiTheme="majorHAnsi" w:cstheme="majorHAnsi"/>
          <w:sz w:val="22"/>
          <w:szCs w:val="22"/>
        </w:rPr>
        <w:t xml:space="preserve"> further strengthened</w:t>
      </w:r>
      <w:r>
        <w:rPr>
          <w:rFonts w:asciiTheme="majorHAnsi" w:hAnsiTheme="majorHAnsi" w:cstheme="majorHAnsi"/>
          <w:sz w:val="22"/>
          <w:szCs w:val="22"/>
        </w:rPr>
        <w:t xml:space="preserve"> work</w:t>
      </w:r>
      <w:r w:rsidRPr="009F6195">
        <w:rPr>
          <w:rFonts w:asciiTheme="majorHAnsi" w:hAnsiTheme="majorHAnsi" w:cstheme="majorHAnsi"/>
          <w:sz w:val="22"/>
          <w:szCs w:val="22"/>
        </w:rPr>
        <w:t xml:space="preserve"> to accelerate together towards achieving the </w:t>
      </w:r>
      <w:r w:rsidRPr="009F6195">
        <w:rPr>
          <w:rFonts w:asciiTheme="majorHAnsi" w:hAnsiTheme="majorHAnsi" w:cstheme="majorHAnsi"/>
          <w:sz w:val="22"/>
          <w:szCs w:val="22"/>
        </w:rPr>
        <w:lastRenderedPageBreak/>
        <w:t>Sustainable Development Goals, through doing four things differently: planning together</w:t>
      </w:r>
      <w:r>
        <w:rPr>
          <w:rFonts w:asciiTheme="majorHAnsi" w:hAnsiTheme="majorHAnsi" w:cstheme="majorHAnsi"/>
          <w:sz w:val="22"/>
          <w:szCs w:val="22"/>
        </w:rPr>
        <w:t>;</w:t>
      </w:r>
      <w:r w:rsidRPr="009F6195">
        <w:rPr>
          <w:rFonts w:asciiTheme="majorHAnsi" w:hAnsiTheme="majorHAnsi" w:cstheme="majorHAnsi"/>
          <w:sz w:val="22"/>
          <w:szCs w:val="22"/>
        </w:rPr>
        <w:t xml:space="preserve"> implementing collaboratively</w:t>
      </w:r>
      <w:r>
        <w:rPr>
          <w:rFonts w:asciiTheme="majorHAnsi" w:hAnsiTheme="majorHAnsi" w:cstheme="majorHAnsi"/>
          <w:sz w:val="22"/>
          <w:szCs w:val="22"/>
        </w:rPr>
        <w:t>;</w:t>
      </w:r>
      <w:r w:rsidRPr="009F6195">
        <w:rPr>
          <w:rFonts w:asciiTheme="majorHAnsi" w:hAnsiTheme="majorHAnsi" w:cstheme="majorHAnsi"/>
          <w:sz w:val="22"/>
          <w:szCs w:val="22"/>
        </w:rPr>
        <w:t xml:space="preserve"> enhancing multi-stakeholder partnerships</w:t>
      </w:r>
      <w:r>
        <w:rPr>
          <w:rFonts w:asciiTheme="majorHAnsi" w:hAnsiTheme="majorHAnsi" w:cstheme="majorHAnsi"/>
          <w:sz w:val="22"/>
          <w:szCs w:val="22"/>
        </w:rPr>
        <w:t>;</w:t>
      </w:r>
      <w:r w:rsidRPr="009F6195">
        <w:rPr>
          <w:rFonts w:asciiTheme="majorHAnsi" w:hAnsiTheme="majorHAnsi" w:cstheme="majorHAnsi"/>
          <w:sz w:val="22"/>
          <w:szCs w:val="22"/>
        </w:rPr>
        <w:t xml:space="preserve"> and enhancing efficiency across the six key areas of collaborative advantage:</w:t>
      </w:r>
      <w:r w:rsidRPr="00966567">
        <w:rPr>
          <w:rFonts w:asciiTheme="majorHAnsi" w:hAnsiTheme="majorHAnsi" w:cstheme="majorHAnsi"/>
          <w:sz w:val="22"/>
          <w:szCs w:val="22"/>
        </w:rPr>
        <w:t xml:space="preserve"> (a) eradicating poverty; (b) addressing climate change; (c) improving adolescent and maternal health; (d) achieving gender equality and the empowerment of women and girls; (e) ensuring greater availability and use of disaggregated data for development; and (f) emphasizing that development is a central goal in itself, and that in countries in conflict and post-conflict situations the development work of the entities of the UNDS can contribute to peacebuilding and sustaining peace, in accordance with national plans, needs and priorities and respecting national ownership</w:t>
      </w:r>
    </w:p>
    <w:p w:rsidR="001A547C" w:rsidRPr="009755DC" w:rsidRDefault="001A547C" w:rsidP="001A547C">
      <w:pPr>
        <w:pStyle w:val="ListParagraph"/>
        <w:ind w:left="0"/>
        <w:jc w:val="both"/>
        <w:rPr>
          <w:rFonts w:asciiTheme="majorHAnsi" w:hAnsiTheme="majorHAnsi" w:cstheme="majorHAnsi"/>
          <w:sz w:val="22"/>
          <w:szCs w:val="22"/>
        </w:rPr>
      </w:pPr>
    </w:p>
    <w:p w:rsidR="001A547C" w:rsidRPr="00966567" w:rsidRDefault="001A547C" w:rsidP="001A547C">
      <w:pPr>
        <w:pStyle w:val="ListParagraph"/>
        <w:numPr>
          <w:ilvl w:val="0"/>
          <w:numId w:val="22"/>
        </w:numPr>
        <w:ind w:left="0" w:firstLine="0"/>
        <w:jc w:val="both"/>
        <w:rPr>
          <w:rFonts w:asciiTheme="majorHAnsi" w:hAnsiTheme="majorHAnsi" w:cstheme="majorHAnsi"/>
          <w:sz w:val="22"/>
          <w:szCs w:val="22"/>
        </w:rPr>
      </w:pPr>
      <w:r w:rsidRPr="00966567">
        <w:rPr>
          <w:rFonts w:asciiTheme="majorHAnsi" w:hAnsiTheme="majorHAnsi" w:cstheme="majorHAnsi"/>
          <w:sz w:val="22"/>
          <w:szCs w:val="22"/>
        </w:rPr>
        <w:t>Reporting on the common set of Sustainable Development Goal indicators in the integrated results and resources framework (IRRF) tracks the collaborative contributions of the four agencies to the Goals through the implementation of the common chapter and is attached as an annex. Other indicators that reflect the contribution of each agency are also presented in the respective agency IRRFs. Relevant QCPR indicators are incorporated in the respective QCPR annexes of the agencies’ annual results reports to monitor how the agencies work together to achieve organizational effectiveness and efficiency.</w:t>
      </w:r>
    </w:p>
    <w:p w:rsidR="001A547C" w:rsidRPr="00966567" w:rsidRDefault="001A547C" w:rsidP="001A547C">
      <w:pPr>
        <w:pStyle w:val="ListParagraph"/>
        <w:ind w:left="0"/>
        <w:jc w:val="both"/>
        <w:rPr>
          <w:rFonts w:asciiTheme="majorHAnsi" w:hAnsiTheme="majorHAnsi" w:cstheme="majorHAnsi"/>
          <w:sz w:val="22"/>
          <w:szCs w:val="22"/>
        </w:rPr>
      </w:pPr>
    </w:p>
    <w:p w:rsidR="001A547C" w:rsidRPr="00966567" w:rsidRDefault="001A547C" w:rsidP="001A547C">
      <w:pPr>
        <w:pStyle w:val="ListParagraph"/>
        <w:numPr>
          <w:ilvl w:val="0"/>
          <w:numId w:val="22"/>
        </w:numPr>
        <w:ind w:left="0" w:firstLine="0"/>
        <w:jc w:val="both"/>
        <w:rPr>
          <w:rFonts w:asciiTheme="majorHAnsi" w:hAnsiTheme="majorHAnsi" w:cstheme="majorHAnsi"/>
          <w:sz w:val="22"/>
          <w:szCs w:val="22"/>
        </w:rPr>
      </w:pPr>
      <w:r w:rsidRPr="00966567">
        <w:rPr>
          <w:rFonts w:asciiTheme="majorHAnsi" w:hAnsiTheme="majorHAnsi" w:cstheme="majorHAnsi"/>
          <w:sz w:val="22"/>
          <w:szCs w:val="22"/>
        </w:rPr>
        <w:t xml:space="preserve">Agencies provided two joint briefings in 2018 to their Executive Boards on progress on the implementation of the common chapter, at the joint meeting of the Boards in June and </w:t>
      </w:r>
      <w:r>
        <w:rPr>
          <w:rFonts w:asciiTheme="majorHAnsi" w:hAnsiTheme="majorHAnsi" w:cstheme="majorHAnsi"/>
          <w:sz w:val="22"/>
          <w:szCs w:val="22"/>
        </w:rPr>
        <w:t xml:space="preserve">during </w:t>
      </w:r>
      <w:r w:rsidRPr="00966567">
        <w:rPr>
          <w:rFonts w:asciiTheme="majorHAnsi" w:hAnsiTheme="majorHAnsi" w:cstheme="majorHAnsi"/>
          <w:sz w:val="22"/>
          <w:szCs w:val="22"/>
        </w:rPr>
        <w:t>a joint informal consultation in August</w:t>
      </w:r>
      <w:r>
        <w:rPr>
          <w:rFonts w:asciiTheme="majorHAnsi" w:hAnsiTheme="majorHAnsi" w:cstheme="majorHAnsi"/>
          <w:sz w:val="22"/>
          <w:szCs w:val="22"/>
        </w:rPr>
        <w:t>.</w:t>
      </w:r>
    </w:p>
    <w:p w:rsidR="001A547C" w:rsidRPr="00261620" w:rsidRDefault="001A547C" w:rsidP="001A547C">
      <w:pPr>
        <w:spacing w:line="240" w:lineRule="auto"/>
        <w:jc w:val="both"/>
        <w:rPr>
          <w:rFonts w:asciiTheme="majorHAnsi" w:hAnsiTheme="majorHAnsi" w:cstheme="majorHAnsi"/>
        </w:rPr>
      </w:pPr>
    </w:p>
    <w:p w:rsidR="001A547C" w:rsidRPr="0061116B" w:rsidRDefault="001A547C" w:rsidP="001A547C">
      <w:pPr>
        <w:pStyle w:val="ListParagraph"/>
        <w:numPr>
          <w:ilvl w:val="0"/>
          <w:numId w:val="45"/>
        </w:numPr>
        <w:jc w:val="both"/>
        <w:rPr>
          <w:rFonts w:asciiTheme="majorHAnsi" w:hAnsiTheme="majorHAnsi" w:cstheme="majorHAnsi"/>
          <w:b/>
        </w:rPr>
      </w:pPr>
      <w:r w:rsidRPr="0061116B">
        <w:rPr>
          <w:rFonts w:asciiTheme="majorHAnsi" w:hAnsiTheme="majorHAnsi" w:cstheme="majorHAnsi"/>
          <w:b/>
        </w:rPr>
        <w:t xml:space="preserve">Effective </w:t>
      </w:r>
      <w:r>
        <w:rPr>
          <w:rFonts w:asciiTheme="majorHAnsi" w:hAnsiTheme="majorHAnsi" w:cstheme="majorHAnsi"/>
          <w:b/>
        </w:rPr>
        <w:t>i</w:t>
      </w:r>
      <w:r w:rsidRPr="0061116B">
        <w:rPr>
          <w:rFonts w:asciiTheme="majorHAnsi" w:hAnsiTheme="majorHAnsi" w:cstheme="majorHAnsi"/>
          <w:b/>
        </w:rPr>
        <w:t xml:space="preserve">mplementation and </w:t>
      </w:r>
      <w:r>
        <w:rPr>
          <w:rFonts w:asciiTheme="majorHAnsi" w:hAnsiTheme="majorHAnsi" w:cstheme="majorHAnsi"/>
          <w:b/>
        </w:rPr>
        <w:t>c</w:t>
      </w:r>
      <w:r w:rsidRPr="0061116B">
        <w:rPr>
          <w:rFonts w:asciiTheme="majorHAnsi" w:hAnsiTheme="majorHAnsi" w:cstheme="majorHAnsi"/>
          <w:b/>
        </w:rPr>
        <w:t xml:space="preserve">oordination </w:t>
      </w:r>
    </w:p>
    <w:p w:rsidR="001A547C" w:rsidRPr="00261620" w:rsidRDefault="001A547C" w:rsidP="001A547C">
      <w:pPr>
        <w:spacing w:line="240" w:lineRule="auto"/>
        <w:rPr>
          <w:rFonts w:asciiTheme="majorHAnsi" w:hAnsiTheme="majorHAnsi"/>
        </w:rPr>
      </w:pPr>
    </w:p>
    <w:p w:rsidR="001A547C" w:rsidRPr="00D153DC" w:rsidRDefault="001A547C" w:rsidP="001A547C">
      <w:pPr>
        <w:pStyle w:val="ListParagraph"/>
        <w:numPr>
          <w:ilvl w:val="0"/>
          <w:numId w:val="22"/>
        </w:numPr>
        <w:ind w:left="0" w:firstLine="0"/>
        <w:jc w:val="both"/>
        <w:rPr>
          <w:rFonts w:asciiTheme="majorHAnsi" w:hAnsiTheme="majorHAnsi" w:cstheme="majorHAnsi"/>
          <w:sz w:val="22"/>
          <w:szCs w:val="22"/>
        </w:rPr>
      </w:pPr>
      <w:r w:rsidRPr="00D153DC">
        <w:rPr>
          <w:rFonts w:asciiTheme="majorHAnsi" w:hAnsiTheme="majorHAnsi" w:cstheme="majorHAnsi"/>
          <w:sz w:val="22"/>
          <w:szCs w:val="22"/>
        </w:rPr>
        <w:t xml:space="preserve">The implementation of the common chapter is integral to the implementation of the Strategic Plans of the four agencies. </w:t>
      </w:r>
      <w:r w:rsidRPr="00261620">
        <w:rPr>
          <w:rFonts w:asciiTheme="majorHAnsi" w:hAnsiTheme="majorHAnsi" w:cstheme="majorHAnsi"/>
          <w:sz w:val="22"/>
          <w:szCs w:val="22"/>
        </w:rPr>
        <w:t xml:space="preserve">The </w:t>
      </w:r>
      <w:r>
        <w:rPr>
          <w:rFonts w:asciiTheme="majorHAnsi" w:hAnsiTheme="majorHAnsi" w:cstheme="majorHAnsi"/>
          <w:sz w:val="22"/>
          <w:szCs w:val="22"/>
        </w:rPr>
        <w:t>c</w:t>
      </w:r>
      <w:r w:rsidRPr="00261620">
        <w:rPr>
          <w:rFonts w:asciiTheme="majorHAnsi" w:hAnsiTheme="majorHAnsi" w:cstheme="majorHAnsi"/>
          <w:sz w:val="22"/>
          <w:szCs w:val="22"/>
        </w:rPr>
        <w:t xml:space="preserve">ommon </w:t>
      </w:r>
      <w:r>
        <w:rPr>
          <w:rFonts w:asciiTheme="majorHAnsi" w:hAnsiTheme="majorHAnsi" w:cstheme="majorHAnsi"/>
          <w:sz w:val="22"/>
          <w:szCs w:val="22"/>
        </w:rPr>
        <w:t>c</w:t>
      </w:r>
      <w:r w:rsidRPr="00261620">
        <w:rPr>
          <w:rFonts w:asciiTheme="majorHAnsi" w:hAnsiTheme="majorHAnsi" w:cstheme="majorHAnsi"/>
          <w:sz w:val="22"/>
          <w:szCs w:val="22"/>
        </w:rPr>
        <w:t xml:space="preserve">hapter requires the four agencies to go beyond business-as-usual approaches, to more effectively offer responses to global development challenges and aspirations and demonstrate </w:t>
      </w:r>
      <w:r>
        <w:rPr>
          <w:rFonts w:asciiTheme="majorHAnsi" w:hAnsiTheme="majorHAnsi" w:cstheme="majorHAnsi"/>
          <w:sz w:val="22"/>
          <w:szCs w:val="22"/>
        </w:rPr>
        <w:t xml:space="preserve">the </w:t>
      </w:r>
      <w:r w:rsidRPr="00261620">
        <w:rPr>
          <w:rFonts w:asciiTheme="majorHAnsi" w:hAnsiTheme="majorHAnsi" w:cstheme="majorHAnsi"/>
          <w:sz w:val="22"/>
          <w:szCs w:val="22"/>
        </w:rPr>
        <w:t xml:space="preserve">value added of working together. In this regard, the four agencies made distinct management and technical arrangements in order to provide strong momentum for </w:t>
      </w:r>
      <w:r>
        <w:rPr>
          <w:rFonts w:asciiTheme="majorHAnsi" w:hAnsiTheme="majorHAnsi" w:cstheme="majorHAnsi"/>
          <w:sz w:val="22"/>
          <w:szCs w:val="22"/>
        </w:rPr>
        <w:t>c</w:t>
      </w:r>
      <w:r w:rsidRPr="00261620">
        <w:rPr>
          <w:rFonts w:asciiTheme="majorHAnsi" w:hAnsiTheme="majorHAnsi" w:cstheme="majorHAnsi"/>
          <w:sz w:val="22"/>
          <w:szCs w:val="22"/>
        </w:rPr>
        <w:t xml:space="preserve">ommon </w:t>
      </w:r>
      <w:r>
        <w:rPr>
          <w:rFonts w:asciiTheme="majorHAnsi" w:hAnsiTheme="majorHAnsi" w:cstheme="majorHAnsi"/>
          <w:sz w:val="22"/>
          <w:szCs w:val="22"/>
        </w:rPr>
        <w:t>c</w:t>
      </w:r>
      <w:r w:rsidRPr="00261620">
        <w:rPr>
          <w:rFonts w:asciiTheme="majorHAnsi" w:hAnsiTheme="majorHAnsi" w:cstheme="majorHAnsi"/>
          <w:sz w:val="22"/>
          <w:szCs w:val="22"/>
        </w:rPr>
        <w:t xml:space="preserve">hapter implementation. </w:t>
      </w:r>
    </w:p>
    <w:p w:rsidR="001A547C" w:rsidRPr="00D153DC" w:rsidRDefault="001A547C" w:rsidP="001A547C">
      <w:pPr>
        <w:pStyle w:val="ListParagraph"/>
        <w:ind w:left="0"/>
        <w:jc w:val="both"/>
        <w:rPr>
          <w:rFonts w:asciiTheme="majorHAnsi" w:hAnsiTheme="majorHAnsi" w:cstheme="majorHAnsi"/>
          <w:sz w:val="22"/>
          <w:szCs w:val="22"/>
        </w:rPr>
      </w:pPr>
    </w:p>
    <w:p w:rsidR="001A547C" w:rsidRPr="00D153DC" w:rsidRDefault="001A547C" w:rsidP="001A547C">
      <w:pPr>
        <w:pStyle w:val="ListParagraph"/>
        <w:numPr>
          <w:ilvl w:val="0"/>
          <w:numId w:val="22"/>
        </w:numPr>
        <w:ind w:left="0" w:firstLine="0"/>
        <w:jc w:val="both"/>
        <w:rPr>
          <w:rFonts w:asciiTheme="majorHAnsi" w:hAnsiTheme="majorHAnsi" w:cstheme="majorHAnsi"/>
          <w:sz w:val="22"/>
          <w:szCs w:val="22"/>
        </w:rPr>
      </w:pPr>
      <w:r w:rsidRPr="00D153DC">
        <w:rPr>
          <w:rFonts w:asciiTheme="majorHAnsi" w:hAnsiTheme="majorHAnsi" w:cstheme="majorHAnsi"/>
          <w:sz w:val="22"/>
          <w:szCs w:val="22"/>
        </w:rPr>
        <w:t xml:space="preserve">The heads of the four agencies provided an early internal communication to regional and country offices in May 2018, outlining the way forward in implementation of the common chapter. In order to provide effective and ongoing support for operationalizing the common chapter, Assistant Secretaries-General from the four agencies constituted a management team for the implementation of the common chapter, meeting quarterly to review progress and set priorities and ensuring regular communication to regional directors. These arrangements are supported by a technical team comprised of senior technical experts from the four agencies to take forward implementation and coordinate actions at headquarters level. Programmatic support is provided by thematic advisers from each agency in each of the six areas of collaboration as required. </w:t>
      </w:r>
    </w:p>
    <w:p w:rsidR="001A547C" w:rsidRPr="00D153DC" w:rsidRDefault="001A547C" w:rsidP="001A547C">
      <w:pPr>
        <w:pStyle w:val="ListParagraph"/>
        <w:ind w:left="0"/>
        <w:jc w:val="both"/>
        <w:rPr>
          <w:rFonts w:asciiTheme="majorHAnsi" w:hAnsiTheme="majorHAnsi" w:cstheme="majorHAnsi"/>
          <w:sz w:val="22"/>
          <w:szCs w:val="22"/>
        </w:rPr>
      </w:pPr>
      <w:r w:rsidRPr="00D153DC">
        <w:rPr>
          <w:rFonts w:asciiTheme="majorHAnsi" w:hAnsiTheme="majorHAnsi" w:cstheme="majorHAnsi"/>
          <w:sz w:val="22"/>
          <w:szCs w:val="22"/>
        </w:rPr>
        <w:t xml:space="preserve">  </w:t>
      </w:r>
    </w:p>
    <w:p w:rsidR="001A547C" w:rsidRPr="00261620" w:rsidRDefault="001A547C" w:rsidP="001A547C">
      <w:pPr>
        <w:pStyle w:val="ListParagraph"/>
        <w:numPr>
          <w:ilvl w:val="0"/>
          <w:numId w:val="22"/>
        </w:numPr>
        <w:ind w:left="0" w:firstLine="0"/>
        <w:jc w:val="both"/>
        <w:rPr>
          <w:rFonts w:asciiTheme="majorHAnsi" w:hAnsiTheme="majorHAnsi" w:cs="Calibri"/>
          <w:sz w:val="22"/>
          <w:szCs w:val="22"/>
        </w:rPr>
      </w:pPr>
      <w:r w:rsidRPr="00D153DC">
        <w:rPr>
          <w:rFonts w:asciiTheme="majorHAnsi" w:hAnsiTheme="majorHAnsi" w:cstheme="majorHAnsi"/>
          <w:sz w:val="22"/>
          <w:szCs w:val="22"/>
        </w:rPr>
        <w:t xml:space="preserve">At the regional level, the regional directors of the four agencies manage coordination of the common chapter, with a lead agency designated in each region as follows: Arab States and Asia and the Pacific, UNFPA; West and Central Africa and Latin America and the Caribbean, UNDP; Eastern and Southern Africa, UNICEF; and Europe and Central Asia, UN-Women. Regional directors coordinate communication on the common chapter with their country offices, with the focus of action driven by the respective </w:t>
      </w:r>
      <w:r>
        <w:rPr>
          <w:rFonts w:asciiTheme="majorHAnsi" w:hAnsiTheme="majorHAnsi" w:cstheme="majorHAnsi"/>
          <w:sz w:val="22"/>
          <w:szCs w:val="22"/>
        </w:rPr>
        <w:t>UNCTs</w:t>
      </w:r>
      <w:r w:rsidRPr="00D153DC">
        <w:rPr>
          <w:rFonts w:asciiTheme="majorHAnsi" w:hAnsiTheme="majorHAnsi" w:cstheme="majorHAnsi"/>
          <w:sz w:val="22"/>
          <w:szCs w:val="22"/>
        </w:rPr>
        <w:t xml:space="preserve"> based on their specific contexts.</w:t>
      </w:r>
      <w:r w:rsidRPr="00261620">
        <w:rPr>
          <w:rFonts w:asciiTheme="majorHAnsi" w:hAnsiTheme="majorHAnsi" w:cs="Calibri"/>
          <w:sz w:val="22"/>
          <w:szCs w:val="22"/>
        </w:rPr>
        <w:t xml:space="preserve"> </w:t>
      </w:r>
    </w:p>
    <w:p w:rsidR="008B4015" w:rsidRDefault="008B4015" w:rsidP="001A547C">
      <w:pPr>
        <w:rPr>
          <w:rFonts w:asciiTheme="majorHAnsi" w:hAnsiTheme="majorHAnsi" w:cs="Calibri"/>
          <w:b/>
        </w:rPr>
      </w:pPr>
    </w:p>
    <w:p w:rsidR="008B4015" w:rsidRDefault="008B4015" w:rsidP="001A547C">
      <w:pPr>
        <w:rPr>
          <w:rFonts w:asciiTheme="majorHAnsi" w:hAnsiTheme="majorHAnsi" w:cs="Calibri"/>
          <w:b/>
        </w:rPr>
      </w:pPr>
    </w:p>
    <w:p w:rsidR="001A547C" w:rsidRDefault="001A547C" w:rsidP="001A547C">
      <w:pPr>
        <w:rPr>
          <w:rFonts w:asciiTheme="majorHAnsi" w:hAnsiTheme="majorHAnsi" w:cs="Calibri"/>
          <w:b/>
        </w:rPr>
      </w:pPr>
      <w:r w:rsidRPr="008E43BC">
        <w:rPr>
          <w:rFonts w:asciiTheme="majorHAnsi" w:hAnsiTheme="majorHAnsi" w:cs="Calibri"/>
          <w:b/>
        </w:rPr>
        <w:lastRenderedPageBreak/>
        <w:t>Figure</w:t>
      </w:r>
      <w:r>
        <w:rPr>
          <w:rFonts w:asciiTheme="majorHAnsi" w:hAnsiTheme="majorHAnsi" w:cs="Calibri"/>
          <w:b/>
        </w:rPr>
        <w:t xml:space="preserve">: </w:t>
      </w:r>
      <w:r w:rsidRPr="008E43BC">
        <w:rPr>
          <w:rFonts w:asciiTheme="majorHAnsi" w:hAnsiTheme="majorHAnsi" w:cs="Calibri"/>
          <w:b/>
        </w:rPr>
        <w:t xml:space="preserve">Implementation and coordination arrangements </w:t>
      </w:r>
    </w:p>
    <w:p w:rsidR="001A547C" w:rsidRPr="008E43BC" w:rsidRDefault="001A547C" w:rsidP="001A547C">
      <w:pPr>
        <w:rPr>
          <w:rFonts w:asciiTheme="majorHAnsi" w:hAnsiTheme="majorHAnsi" w:cs="Calibri"/>
          <w:b/>
        </w:rPr>
      </w:pPr>
    </w:p>
    <w:p w:rsidR="001A547C" w:rsidRPr="00261620" w:rsidRDefault="001A547C" w:rsidP="001A547C">
      <w:pPr>
        <w:pStyle w:val="ListParagraph"/>
        <w:ind w:left="0"/>
        <w:jc w:val="center"/>
        <w:rPr>
          <w:rFonts w:asciiTheme="majorHAnsi" w:hAnsiTheme="majorHAnsi" w:cs="Calibri"/>
          <w:sz w:val="22"/>
          <w:szCs w:val="22"/>
        </w:rPr>
      </w:pPr>
      <w:r w:rsidRPr="00A60BDC">
        <w:rPr>
          <w:rFonts w:asciiTheme="majorHAnsi" w:hAnsiTheme="majorHAnsi" w:cs="Calibri"/>
          <w:noProof/>
          <w:sz w:val="22"/>
          <w:szCs w:val="22"/>
        </w:rPr>
        <w:drawing>
          <wp:inline distT="0" distB="0" distL="0" distR="0" wp14:anchorId="04193E55" wp14:editId="5778F0CF">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rsidR="001A547C" w:rsidRDefault="001A547C" w:rsidP="001A547C">
      <w:pPr>
        <w:pStyle w:val="ListParagraph"/>
        <w:ind w:left="1080"/>
        <w:jc w:val="both"/>
        <w:rPr>
          <w:rFonts w:asciiTheme="majorHAnsi" w:hAnsiTheme="majorHAnsi" w:cs="Calibri"/>
          <w:b/>
        </w:rPr>
      </w:pPr>
    </w:p>
    <w:p w:rsidR="001A547C" w:rsidRDefault="001A547C" w:rsidP="001A547C">
      <w:pPr>
        <w:pStyle w:val="ListParagraph"/>
        <w:ind w:left="1080"/>
        <w:jc w:val="both"/>
        <w:rPr>
          <w:rFonts w:asciiTheme="majorHAnsi" w:hAnsiTheme="majorHAnsi" w:cs="Calibri"/>
          <w:b/>
        </w:rPr>
      </w:pPr>
    </w:p>
    <w:p w:rsidR="001A547C" w:rsidRPr="00FC50B0" w:rsidRDefault="001A547C" w:rsidP="001A547C">
      <w:pPr>
        <w:pStyle w:val="ListParagraph"/>
        <w:numPr>
          <w:ilvl w:val="0"/>
          <w:numId w:val="46"/>
        </w:numPr>
        <w:jc w:val="both"/>
        <w:rPr>
          <w:rFonts w:asciiTheme="majorHAnsi" w:hAnsiTheme="majorHAnsi" w:cs="Calibri"/>
          <w:b/>
        </w:rPr>
      </w:pPr>
      <w:r w:rsidRPr="00FC50B0">
        <w:rPr>
          <w:rFonts w:asciiTheme="majorHAnsi" w:hAnsiTheme="majorHAnsi" w:cs="Calibri"/>
          <w:b/>
        </w:rPr>
        <w:t xml:space="preserve">Joint </w:t>
      </w:r>
      <w:r>
        <w:rPr>
          <w:rFonts w:asciiTheme="majorHAnsi" w:hAnsiTheme="majorHAnsi" w:cs="Calibri"/>
          <w:b/>
        </w:rPr>
        <w:t>a</w:t>
      </w:r>
      <w:r w:rsidRPr="00FC50B0">
        <w:rPr>
          <w:rFonts w:asciiTheme="majorHAnsi" w:hAnsiTheme="majorHAnsi" w:cs="Calibri"/>
          <w:b/>
        </w:rPr>
        <w:t xml:space="preserve">pproaches to support </w:t>
      </w:r>
      <w:r>
        <w:rPr>
          <w:rFonts w:asciiTheme="majorHAnsi" w:hAnsiTheme="majorHAnsi" w:cs="Calibri"/>
          <w:b/>
        </w:rPr>
        <w:t xml:space="preserve">the 2030 </w:t>
      </w:r>
      <w:r w:rsidRPr="00FC50B0">
        <w:rPr>
          <w:rFonts w:asciiTheme="majorHAnsi" w:hAnsiTheme="majorHAnsi" w:cs="Calibri"/>
          <w:b/>
        </w:rPr>
        <w:t>Agenda</w:t>
      </w:r>
    </w:p>
    <w:p w:rsidR="001A547C" w:rsidRPr="00261620" w:rsidRDefault="001A547C" w:rsidP="001A547C">
      <w:pPr>
        <w:spacing w:line="240" w:lineRule="auto"/>
        <w:jc w:val="both"/>
        <w:rPr>
          <w:rFonts w:asciiTheme="majorHAnsi" w:hAnsiTheme="majorHAnsi" w:cs="Calibri"/>
          <w:b/>
        </w:rPr>
      </w:pPr>
    </w:p>
    <w:p w:rsidR="001A547C" w:rsidRDefault="001A547C" w:rsidP="001A547C">
      <w:pPr>
        <w:pStyle w:val="ListParagraph"/>
        <w:numPr>
          <w:ilvl w:val="0"/>
          <w:numId w:val="22"/>
        </w:numPr>
        <w:ind w:left="0" w:firstLine="0"/>
        <w:jc w:val="both"/>
        <w:rPr>
          <w:rFonts w:asciiTheme="majorHAnsi" w:hAnsiTheme="majorHAnsi" w:cs="Calibri"/>
          <w:sz w:val="22"/>
          <w:szCs w:val="22"/>
        </w:rPr>
      </w:pPr>
      <w:r w:rsidRPr="00261620">
        <w:rPr>
          <w:rFonts w:asciiTheme="majorHAnsi" w:hAnsiTheme="majorHAnsi" w:cs="Calibri"/>
          <w:sz w:val="22"/>
          <w:szCs w:val="22"/>
        </w:rPr>
        <w:t>Over 2018</w:t>
      </w:r>
      <w:r>
        <w:rPr>
          <w:rFonts w:asciiTheme="majorHAnsi" w:hAnsiTheme="majorHAnsi" w:cs="Calibri"/>
          <w:sz w:val="22"/>
          <w:szCs w:val="22"/>
        </w:rPr>
        <w:t>,</w:t>
      </w:r>
      <w:r w:rsidRPr="00261620">
        <w:rPr>
          <w:rFonts w:asciiTheme="majorHAnsi" w:hAnsiTheme="majorHAnsi" w:cs="Calibri"/>
          <w:sz w:val="22"/>
          <w:szCs w:val="22"/>
        </w:rPr>
        <w:t xml:space="preserve"> there has been steady progress driven by regional and country teams towards closer and expanded collaboration in the six areas of collaborative advantage. </w:t>
      </w:r>
    </w:p>
    <w:p w:rsidR="001A547C" w:rsidRPr="00261620" w:rsidRDefault="001A547C" w:rsidP="001A547C">
      <w:pPr>
        <w:pStyle w:val="ListParagraph"/>
        <w:ind w:left="0"/>
        <w:jc w:val="both"/>
        <w:rPr>
          <w:rFonts w:asciiTheme="majorHAnsi" w:hAnsiTheme="majorHAnsi" w:cs="Calibri"/>
          <w:sz w:val="22"/>
          <w:szCs w:val="22"/>
        </w:rPr>
      </w:pPr>
      <w:r w:rsidRPr="00261620">
        <w:rPr>
          <w:rFonts w:asciiTheme="majorHAnsi" w:hAnsiTheme="majorHAnsi" w:cs="Calibri"/>
          <w:sz w:val="22"/>
          <w:szCs w:val="22"/>
        </w:rPr>
        <w:t xml:space="preserve"> </w:t>
      </w:r>
    </w:p>
    <w:p w:rsidR="001A547C" w:rsidRPr="00FC50B0" w:rsidRDefault="001A547C" w:rsidP="001A547C">
      <w:pPr>
        <w:jc w:val="both"/>
        <w:rPr>
          <w:rFonts w:asciiTheme="majorHAnsi" w:hAnsiTheme="majorHAnsi" w:cs="Calibri"/>
          <w:b/>
        </w:rPr>
      </w:pPr>
      <w:r w:rsidRPr="00FC50B0">
        <w:rPr>
          <w:rFonts w:asciiTheme="majorHAnsi" w:hAnsiTheme="majorHAnsi" w:cs="Calibri"/>
          <w:b/>
        </w:rPr>
        <w:t xml:space="preserve">Joint </w:t>
      </w:r>
      <w:r>
        <w:rPr>
          <w:rFonts w:asciiTheme="majorHAnsi" w:hAnsiTheme="majorHAnsi" w:cs="Calibri"/>
          <w:b/>
        </w:rPr>
        <w:t>p</w:t>
      </w:r>
      <w:r w:rsidRPr="00FC50B0">
        <w:rPr>
          <w:rFonts w:asciiTheme="majorHAnsi" w:hAnsiTheme="majorHAnsi" w:cs="Calibri"/>
          <w:b/>
        </w:rPr>
        <w:t xml:space="preserve">lanning and </w:t>
      </w:r>
      <w:r>
        <w:rPr>
          <w:rFonts w:asciiTheme="majorHAnsi" w:hAnsiTheme="majorHAnsi" w:cs="Calibri"/>
          <w:b/>
        </w:rPr>
        <w:t>a</w:t>
      </w:r>
      <w:r w:rsidRPr="00FC50B0">
        <w:rPr>
          <w:rFonts w:asciiTheme="majorHAnsi" w:hAnsiTheme="majorHAnsi" w:cs="Calibri"/>
          <w:b/>
        </w:rPr>
        <w:t xml:space="preserve">dvocacy </w:t>
      </w:r>
    </w:p>
    <w:p w:rsidR="001A547C" w:rsidRPr="00261620" w:rsidRDefault="001A547C" w:rsidP="001A547C">
      <w:pPr>
        <w:pStyle w:val="ListParagraph"/>
        <w:ind w:left="0"/>
        <w:jc w:val="both"/>
        <w:rPr>
          <w:rFonts w:asciiTheme="majorHAnsi" w:hAnsiTheme="majorHAnsi" w:cs="Calibri"/>
          <w:sz w:val="22"/>
          <w:szCs w:val="22"/>
        </w:rPr>
      </w:pPr>
    </w:p>
    <w:p w:rsidR="001A547C" w:rsidRPr="00261620" w:rsidRDefault="001A547C" w:rsidP="001A547C">
      <w:pPr>
        <w:pStyle w:val="ListParagraph"/>
        <w:numPr>
          <w:ilvl w:val="0"/>
          <w:numId w:val="22"/>
        </w:numPr>
        <w:ind w:left="0" w:firstLine="0"/>
        <w:jc w:val="both"/>
        <w:rPr>
          <w:rFonts w:asciiTheme="majorHAnsi" w:hAnsiTheme="majorHAnsi" w:cs="Calibri"/>
          <w:sz w:val="22"/>
          <w:szCs w:val="22"/>
        </w:rPr>
      </w:pPr>
      <w:r>
        <w:rPr>
          <w:rFonts w:asciiTheme="majorHAnsi" w:hAnsiTheme="majorHAnsi" w:cs="Calibri"/>
          <w:sz w:val="22"/>
          <w:szCs w:val="22"/>
        </w:rPr>
        <w:t>Common chapter</w:t>
      </w:r>
      <w:r w:rsidRPr="00261620">
        <w:rPr>
          <w:rFonts w:asciiTheme="majorHAnsi" w:hAnsiTheme="majorHAnsi" w:cs="Calibri"/>
          <w:sz w:val="22"/>
          <w:szCs w:val="22"/>
        </w:rPr>
        <w:t xml:space="preserve"> implementation is mainstreamed though existing planning and programming approaches at country level. </w:t>
      </w:r>
      <w:r w:rsidRPr="00261620">
        <w:rPr>
          <w:rFonts w:asciiTheme="majorHAnsi" w:hAnsiTheme="majorHAnsi" w:cstheme="majorHAnsi"/>
          <w:sz w:val="22"/>
          <w:szCs w:val="22"/>
        </w:rPr>
        <w:t xml:space="preserve">The </w:t>
      </w:r>
      <w:r>
        <w:rPr>
          <w:rFonts w:asciiTheme="majorHAnsi" w:hAnsiTheme="majorHAnsi" w:cstheme="majorHAnsi"/>
          <w:sz w:val="22"/>
          <w:szCs w:val="22"/>
        </w:rPr>
        <w:t>United Nations Development Assistance Framework (</w:t>
      </w:r>
      <w:r w:rsidRPr="00261620">
        <w:rPr>
          <w:rFonts w:asciiTheme="majorHAnsi" w:hAnsiTheme="majorHAnsi" w:cstheme="majorHAnsi"/>
          <w:sz w:val="22"/>
          <w:szCs w:val="22"/>
        </w:rPr>
        <w:t>UNDAF</w:t>
      </w:r>
      <w:r>
        <w:rPr>
          <w:rFonts w:asciiTheme="majorHAnsi" w:hAnsiTheme="majorHAnsi" w:cstheme="majorHAnsi"/>
          <w:sz w:val="22"/>
          <w:szCs w:val="22"/>
        </w:rPr>
        <w:t>)</w:t>
      </w:r>
      <w:r w:rsidRPr="00261620">
        <w:rPr>
          <w:rFonts w:asciiTheme="majorHAnsi" w:hAnsiTheme="majorHAnsi" w:cstheme="majorHAnsi"/>
          <w:sz w:val="22"/>
          <w:szCs w:val="22"/>
        </w:rPr>
        <w:t xml:space="preserve"> formulation process is a key focus for joint engagement</w:t>
      </w:r>
      <w:r>
        <w:rPr>
          <w:rFonts w:asciiTheme="majorHAnsi" w:hAnsiTheme="majorHAnsi" w:cstheme="majorHAnsi"/>
          <w:sz w:val="22"/>
          <w:szCs w:val="22"/>
        </w:rPr>
        <w:t xml:space="preserve">, and under the UNDS reforms will be the most important instrument for planning and implementation of United Nations development activities at country level in support of the implementation of the 2030 Agenda for Sustainable Development. </w:t>
      </w:r>
      <w:r w:rsidRPr="00261620">
        <w:rPr>
          <w:rFonts w:asciiTheme="majorHAnsi" w:hAnsiTheme="majorHAnsi" w:cstheme="majorHAnsi"/>
          <w:sz w:val="22"/>
          <w:szCs w:val="22"/>
        </w:rPr>
        <w:t xml:space="preserve">In the Europe and Central Asia </w:t>
      </w:r>
      <w:r>
        <w:rPr>
          <w:rFonts w:asciiTheme="majorHAnsi" w:hAnsiTheme="majorHAnsi" w:cstheme="majorHAnsi"/>
          <w:sz w:val="22"/>
          <w:szCs w:val="22"/>
        </w:rPr>
        <w:t>r</w:t>
      </w:r>
      <w:r w:rsidRPr="00261620">
        <w:rPr>
          <w:rFonts w:asciiTheme="majorHAnsi" w:hAnsiTheme="majorHAnsi" w:cstheme="majorHAnsi"/>
          <w:sz w:val="22"/>
          <w:szCs w:val="22"/>
        </w:rPr>
        <w:t xml:space="preserve">egion, the four agencies are galvanizing support to the </w:t>
      </w:r>
      <w:r>
        <w:rPr>
          <w:rFonts w:asciiTheme="majorHAnsi" w:hAnsiTheme="majorHAnsi" w:cstheme="majorHAnsi"/>
          <w:sz w:val="22"/>
          <w:szCs w:val="22"/>
        </w:rPr>
        <w:t>C</w:t>
      </w:r>
      <w:r w:rsidRPr="00261620">
        <w:rPr>
          <w:rFonts w:asciiTheme="majorHAnsi" w:hAnsiTheme="majorHAnsi" w:cstheme="majorHAnsi"/>
          <w:sz w:val="22"/>
          <w:szCs w:val="22"/>
        </w:rPr>
        <w:t xml:space="preserve">ommon </w:t>
      </w:r>
      <w:r>
        <w:rPr>
          <w:rFonts w:asciiTheme="majorHAnsi" w:hAnsiTheme="majorHAnsi" w:cstheme="majorHAnsi"/>
          <w:sz w:val="22"/>
          <w:szCs w:val="22"/>
        </w:rPr>
        <w:t>C</w:t>
      </w:r>
      <w:r w:rsidRPr="00261620">
        <w:rPr>
          <w:rFonts w:asciiTheme="majorHAnsi" w:hAnsiTheme="majorHAnsi" w:cstheme="majorHAnsi"/>
          <w:sz w:val="22"/>
          <w:szCs w:val="22"/>
        </w:rPr>
        <w:t xml:space="preserve">ountry </w:t>
      </w:r>
      <w:r>
        <w:rPr>
          <w:rFonts w:asciiTheme="majorHAnsi" w:hAnsiTheme="majorHAnsi" w:cstheme="majorHAnsi"/>
          <w:sz w:val="22"/>
          <w:szCs w:val="22"/>
        </w:rPr>
        <w:t xml:space="preserve">Assessments and planning </w:t>
      </w:r>
      <w:r w:rsidRPr="00261620">
        <w:rPr>
          <w:rFonts w:asciiTheme="majorHAnsi" w:hAnsiTheme="majorHAnsi" w:cstheme="majorHAnsi"/>
          <w:sz w:val="22"/>
          <w:szCs w:val="22"/>
        </w:rPr>
        <w:t>process</w:t>
      </w:r>
      <w:r>
        <w:rPr>
          <w:rFonts w:asciiTheme="majorHAnsi" w:hAnsiTheme="majorHAnsi" w:cstheme="majorHAnsi"/>
          <w:sz w:val="22"/>
          <w:szCs w:val="22"/>
        </w:rPr>
        <w:t xml:space="preserve">es in order to prepare </w:t>
      </w:r>
      <w:r w:rsidRPr="00261620">
        <w:rPr>
          <w:rFonts w:asciiTheme="majorHAnsi" w:hAnsiTheme="majorHAnsi" w:cstheme="majorHAnsi"/>
          <w:sz w:val="22"/>
          <w:szCs w:val="22"/>
        </w:rPr>
        <w:t xml:space="preserve">for the completion of </w:t>
      </w:r>
      <w:r>
        <w:rPr>
          <w:rFonts w:asciiTheme="majorHAnsi" w:hAnsiTheme="majorHAnsi" w:cstheme="majorHAnsi"/>
          <w:sz w:val="22"/>
          <w:szCs w:val="22"/>
        </w:rPr>
        <w:t xml:space="preserve">more than 10 </w:t>
      </w:r>
      <w:r w:rsidRPr="00261620">
        <w:rPr>
          <w:rFonts w:asciiTheme="majorHAnsi" w:hAnsiTheme="majorHAnsi" w:cstheme="majorHAnsi"/>
          <w:sz w:val="22"/>
          <w:szCs w:val="22"/>
        </w:rPr>
        <w:t xml:space="preserve">UNDAFs in 2019. In Ecuador, </w:t>
      </w:r>
      <w:r>
        <w:rPr>
          <w:rFonts w:asciiTheme="majorHAnsi" w:hAnsiTheme="majorHAnsi" w:cstheme="majorHAnsi"/>
          <w:sz w:val="22"/>
          <w:szCs w:val="22"/>
        </w:rPr>
        <w:t>among several other countries, the common chapter</w:t>
      </w:r>
      <w:r w:rsidRPr="00261620">
        <w:rPr>
          <w:rFonts w:asciiTheme="majorHAnsi" w:hAnsiTheme="majorHAnsi" w:cstheme="majorHAnsi"/>
          <w:sz w:val="22"/>
          <w:szCs w:val="22"/>
        </w:rPr>
        <w:t xml:space="preserve"> is reflected in the </w:t>
      </w:r>
      <w:r>
        <w:rPr>
          <w:rFonts w:asciiTheme="majorHAnsi" w:hAnsiTheme="majorHAnsi" w:cstheme="majorHAnsi"/>
          <w:sz w:val="22"/>
          <w:szCs w:val="22"/>
        </w:rPr>
        <w:t xml:space="preserve">2019-2022 </w:t>
      </w:r>
      <w:r w:rsidRPr="00261620">
        <w:rPr>
          <w:rFonts w:asciiTheme="majorHAnsi" w:hAnsiTheme="majorHAnsi" w:cstheme="majorHAnsi"/>
          <w:sz w:val="22"/>
          <w:szCs w:val="22"/>
        </w:rPr>
        <w:t xml:space="preserve">UNDAF and the new country programme documents of the four </w:t>
      </w:r>
      <w:r>
        <w:rPr>
          <w:rFonts w:asciiTheme="majorHAnsi" w:hAnsiTheme="majorHAnsi" w:cstheme="majorHAnsi"/>
          <w:sz w:val="22"/>
          <w:szCs w:val="22"/>
        </w:rPr>
        <w:t>a</w:t>
      </w:r>
      <w:r w:rsidRPr="00261620">
        <w:rPr>
          <w:rFonts w:asciiTheme="majorHAnsi" w:hAnsiTheme="majorHAnsi" w:cstheme="majorHAnsi"/>
          <w:sz w:val="22"/>
          <w:szCs w:val="22"/>
        </w:rPr>
        <w:t>gencies</w:t>
      </w:r>
      <w:r>
        <w:rPr>
          <w:rFonts w:asciiTheme="majorHAnsi" w:hAnsiTheme="majorHAnsi" w:cstheme="majorHAnsi"/>
          <w:sz w:val="22"/>
          <w:szCs w:val="22"/>
        </w:rPr>
        <w:t xml:space="preserve">, with a focus on </w:t>
      </w:r>
      <w:r>
        <w:rPr>
          <w:rFonts w:asciiTheme="majorHAnsi" w:hAnsiTheme="majorHAnsi" w:cs="Calibri"/>
          <w:sz w:val="22"/>
          <w:szCs w:val="22"/>
        </w:rPr>
        <w:t xml:space="preserve">working together to support the </w:t>
      </w:r>
      <w:r w:rsidRPr="00261620">
        <w:rPr>
          <w:rFonts w:asciiTheme="majorHAnsi" w:hAnsiTheme="majorHAnsi" w:cs="Calibri"/>
          <w:sz w:val="22"/>
          <w:szCs w:val="22"/>
        </w:rPr>
        <w:t xml:space="preserve">implementation of the </w:t>
      </w:r>
      <w:r>
        <w:rPr>
          <w:rFonts w:asciiTheme="majorHAnsi" w:hAnsiTheme="majorHAnsi" w:cs="Calibri"/>
          <w:sz w:val="22"/>
          <w:szCs w:val="22"/>
        </w:rPr>
        <w:t xml:space="preserve">2030 </w:t>
      </w:r>
      <w:r w:rsidRPr="00261620">
        <w:rPr>
          <w:rFonts w:asciiTheme="majorHAnsi" w:hAnsiTheme="majorHAnsi" w:cs="Calibri"/>
          <w:sz w:val="22"/>
          <w:szCs w:val="22"/>
        </w:rPr>
        <w:t>Agenda in Ecuador</w:t>
      </w:r>
      <w:r>
        <w:rPr>
          <w:rFonts w:asciiTheme="majorHAnsi" w:hAnsiTheme="majorHAnsi" w:cs="Calibri"/>
          <w:sz w:val="22"/>
          <w:szCs w:val="22"/>
        </w:rPr>
        <w:t xml:space="preserve">; </w:t>
      </w:r>
      <w:r w:rsidRPr="00261620">
        <w:rPr>
          <w:rFonts w:asciiTheme="majorHAnsi" w:hAnsiTheme="majorHAnsi" w:cstheme="majorHAnsi"/>
          <w:sz w:val="22"/>
          <w:szCs w:val="22"/>
        </w:rPr>
        <w:t>specific areas of collaboration</w:t>
      </w:r>
      <w:r>
        <w:rPr>
          <w:rFonts w:asciiTheme="majorHAnsi" w:hAnsiTheme="majorHAnsi" w:cstheme="majorHAnsi"/>
          <w:sz w:val="22"/>
          <w:szCs w:val="22"/>
        </w:rPr>
        <w:t xml:space="preserve"> are now under development</w:t>
      </w:r>
      <w:r w:rsidRPr="00261620">
        <w:rPr>
          <w:rFonts w:asciiTheme="majorHAnsi" w:hAnsiTheme="majorHAnsi" w:cstheme="majorHAnsi"/>
          <w:sz w:val="22"/>
          <w:szCs w:val="22"/>
        </w:rPr>
        <w:t xml:space="preserve">. </w:t>
      </w:r>
    </w:p>
    <w:p w:rsidR="001A547C" w:rsidRPr="00261620" w:rsidRDefault="001A547C" w:rsidP="001A547C">
      <w:pPr>
        <w:pStyle w:val="ListParagraph"/>
        <w:rPr>
          <w:rFonts w:asciiTheme="majorHAnsi" w:hAnsiTheme="majorHAnsi" w:cstheme="majorHAnsi"/>
          <w:sz w:val="22"/>
          <w:szCs w:val="22"/>
        </w:rPr>
      </w:pPr>
    </w:p>
    <w:p w:rsidR="001A547C" w:rsidRPr="00F42172" w:rsidRDefault="001A547C" w:rsidP="001A547C">
      <w:pPr>
        <w:pStyle w:val="ListParagraph"/>
        <w:numPr>
          <w:ilvl w:val="0"/>
          <w:numId w:val="22"/>
        </w:numPr>
        <w:ind w:left="0" w:firstLine="0"/>
        <w:jc w:val="both"/>
        <w:rPr>
          <w:rFonts w:asciiTheme="majorHAnsi" w:hAnsiTheme="majorHAnsi" w:cs="Calibri"/>
          <w:sz w:val="22"/>
          <w:szCs w:val="22"/>
        </w:rPr>
      </w:pPr>
      <w:r w:rsidRPr="00261620">
        <w:rPr>
          <w:rFonts w:asciiTheme="majorHAnsi" w:hAnsiTheme="majorHAnsi" w:cs="Calibri"/>
          <w:sz w:val="22"/>
          <w:szCs w:val="22"/>
        </w:rPr>
        <w:t xml:space="preserve">Across the regions, coordination between the four agencies is being enhanced with agencies systematically collaborating through regional coordination mechanisms and through thematic working groups or issue-based coalitions. </w:t>
      </w:r>
      <w:r w:rsidRPr="00261620">
        <w:rPr>
          <w:rFonts w:asciiTheme="majorHAnsi" w:hAnsiTheme="majorHAnsi" w:cstheme="majorHAnsi"/>
          <w:sz w:val="22"/>
          <w:szCs w:val="22"/>
        </w:rPr>
        <w:t xml:space="preserve">Regional </w:t>
      </w:r>
      <w:r>
        <w:rPr>
          <w:rFonts w:asciiTheme="majorHAnsi" w:hAnsiTheme="majorHAnsi" w:cstheme="majorHAnsi"/>
          <w:sz w:val="22"/>
          <w:szCs w:val="22"/>
        </w:rPr>
        <w:t>o</w:t>
      </w:r>
      <w:r w:rsidRPr="00261620">
        <w:rPr>
          <w:rFonts w:asciiTheme="majorHAnsi" w:hAnsiTheme="majorHAnsi" w:cstheme="majorHAnsi"/>
          <w:sz w:val="22"/>
          <w:szCs w:val="22"/>
        </w:rPr>
        <w:t xml:space="preserve">ffices and many UNCTs used the opportunity of the </w:t>
      </w:r>
      <w:r>
        <w:rPr>
          <w:rFonts w:asciiTheme="majorHAnsi" w:hAnsiTheme="majorHAnsi" w:cstheme="majorHAnsi"/>
          <w:sz w:val="22"/>
          <w:szCs w:val="22"/>
        </w:rPr>
        <w:t>common chapter</w:t>
      </w:r>
      <w:r w:rsidRPr="00261620">
        <w:rPr>
          <w:rFonts w:asciiTheme="majorHAnsi" w:hAnsiTheme="majorHAnsi" w:cstheme="majorHAnsi"/>
          <w:sz w:val="22"/>
          <w:szCs w:val="22"/>
        </w:rPr>
        <w:t xml:space="preserve"> to take stock of the joint work, discuss the new ways forward and identify pot</w:t>
      </w:r>
      <w:r>
        <w:rPr>
          <w:rFonts w:asciiTheme="majorHAnsi" w:hAnsiTheme="majorHAnsi" w:cstheme="majorHAnsi"/>
          <w:sz w:val="22"/>
          <w:szCs w:val="22"/>
        </w:rPr>
        <w:t xml:space="preserve">ential areas and </w:t>
      </w:r>
      <w:r>
        <w:rPr>
          <w:rFonts w:asciiTheme="majorHAnsi" w:hAnsiTheme="majorHAnsi" w:cstheme="majorHAnsi"/>
          <w:sz w:val="22"/>
          <w:szCs w:val="22"/>
        </w:rPr>
        <w:lastRenderedPageBreak/>
        <w:t>partnerships for</w:t>
      </w:r>
      <w:r w:rsidRPr="00261620">
        <w:rPr>
          <w:rFonts w:asciiTheme="majorHAnsi" w:hAnsiTheme="majorHAnsi" w:cstheme="majorHAnsi"/>
          <w:sz w:val="22"/>
          <w:szCs w:val="22"/>
        </w:rPr>
        <w:t xml:space="preserve"> collaboration. In the </w:t>
      </w:r>
      <w:r>
        <w:rPr>
          <w:rFonts w:asciiTheme="majorHAnsi" w:hAnsiTheme="majorHAnsi" w:cstheme="majorHAnsi"/>
          <w:sz w:val="22"/>
          <w:szCs w:val="22"/>
        </w:rPr>
        <w:t xml:space="preserve">Latin American and the Caribbean </w:t>
      </w:r>
      <w:r w:rsidRPr="00261620">
        <w:rPr>
          <w:rFonts w:asciiTheme="majorHAnsi" w:hAnsiTheme="majorHAnsi" w:cstheme="majorHAnsi"/>
          <w:sz w:val="22"/>
          <w:szCs w:val="22"/>
        </w:rPr>
        <w:t xml:space="preserve">region, 15 UNCTs have joint workplans for UNDAF results, where not only the interventions of the four </w:t>
      </w:r>
      <w:r>
        <w:rPr>
          <w:rFonts w:asciiTheme="majorHAnsi" w:hAnsiTheme="majorHAnsi" w:cstheme="majorHAnsi"/>
          <w:sz w:val="22"/>
          <w:szCs w:val="22"/>
        </w:rPr>
        <w:t>a</w:t>
      </w:r>
      <w:r w:rsidRPr="00261620">
        <w:rPr>
          <w:rFonts w:asciiTheme="majorHAnsi" w:hAnsiTheme="majorHAnsi" w:cstheme="majorHAnsi"/>
          <w:sz w:val="22"/>
          <w:szCs w:val="22"/>
        </w:rPr>
        <w:t xml:space="preserve">gencies contribute to a common result, but in many cases, complementary programmes are implemented together. </w:t>
      </w:r>
    </w:p>
    <w:p w:rsidR="001A547C" w:rsidRPr="00FC50B0" w:rsidRDefault="001A547C" w:rsidP="001A547C">
      <w:pPr>
        <w:pStyle w:val="ListParagraph"/>
        <w:rPr>
          <w:rFonts w:asciiTheme="majorHAnsi" w:hAnsiTheme="majorHAnsi" w:cs="Calibri"/>
          <w:sz w:val="22"/>
          <w:szCs w:val="22"/>
        </w:rPr>
      </w:pPr>
    </w:p>
    <w:p w:rsidR="001A547C" w:rsidRPr="00FC50B0" w:rsidRDefault="001A547C" w:rsidP="001A547C">
      <w:pPr>
        <w:pStyle w:val="ListParagraph"/>
        <w:numPr>
          <w:ilvl w:val="0"/>
          <w:numId w:val="22"/>
        </w:numPr>
        <w:tabs>
          <w:tab w:val="left" w:pos="0"/>
        </w:tabs>
        <w:ind w:left="0" w:firstLine="0"/>
        <w:jc w:val="both"/>
        <w:rPr>
          <w:rFonts w:asciiTheme="majorHAnsi" w:hAnsiTheme="majorHAnsi" w:cs="Calibri"/>
          <w:sz w:val="22"/>
          <w:szCs w:val="22"/>
        </w:rPr>
      </w:pPr>
      <w:r w:rsidRPr="00FC50B0">
        <w:rPr>
          <w:rFonts w:asciiTheme="majorHAnsi" w:hAnsiTheme="majorHAnsi" w:cs="Calibri"/>
          <w:sz w:val="22"/>
          <w:szCs w:val="22"/>
        </w:rPr>
        <w:t xml:space="preserve">Agencies are also collaborating on joint planning and advocacy tools. In the </w:t>
      </w:r>
      <w:r w:rsidRPr="004A1649">
        <w:rPr>
          <w:rFonts w:asciiTheme="majorHAnsi" w:hAnsiTheme="majorHAnsi" w:cs="Calibri"/>
          <w:sz w:val="22"/>
          <w:szCs w:val="22"/>
        </w:rPr>
        <w:t>Eastern Europe and Central Asia region</w:t>
      </w:r>
      <w:r>
        <w:rPr>
          <w:rFonts w:asciiTheme="majorHAnsi" w:hAnsiTheme="majorHAnsi" w:cs="Calibri"/>
          <w:sz w:val="22"/>
          <w:szCs w:val="22"/>
        </w:rPr>
        <w:t>,</w:t>
      </w:r>
      <w:r w:rsidRPr="004A1649">
        <w:rPr>
          <w:rFonts w:asciiTheme="majorHAnsi" w:hAnsiTheme="majorHAnsi" w:cs="Calibri"/>
          <w:sz w:val="22"/>
          <w:szCs w:val="22"/>
        </w:rPr>
        <w:t xml:space="preserve"> agencies have formed issue-based coalitions and prioritized advoc</w:t>
      </w:r>
      <w:r w:rsidRPr="00FC50B0">
        <w:rPr>
          <w:rFonts w:asciiTheme="majorHAnsi" w:hAnsiTheme="majorHAnsi" w:cs="Calibri"/>
          <w:sz w:val="22"/>
          <w:szCs w:val="22"/>
        </w:rPr>
        <w:t xml:space="preserve">acy efforts </w:t>
      </w:r>
      <w:r>
        <w:rPr>
          <w:rFonts w:asciiTheme="majorHAnsi" w:hAnsiTheme="majorHAnsi" w:cs="Calibri"/>
          <w:sz w:val="22"/>
          <w:szCs w:val="22"/>
        </w:rPr>
        <w:t>towards: (a</w:t>
      </w:r>
      <w:r w:rsidRPr="00FC50B0">
        <w:rPr>
          <w:rFonts w:asciiTheme="majorHAnsi" w:hAnsiTheme="majorHAnsi" w:cs="Calibri"/>
          <w:sz w:val="22"/>
          <w:szCs w:val="22"/>
        </w:rPr>
        <w:t>) strengthening the resilience and well</w:t>
      </w:r>
      <w:r>
        <w:rPr>
          <w:rFonts w:asciiTheme="majorHAnsi" w:hAnsiTheme="majorHAnsi" w:cs="Calibri"/>
          <w:sz w:val="22"/>
          <w:szCs w:val="22"/>
        </w:rPr>
        <w:t>-</w:t>
      </w:r>
      <w:r w:rsidRPr="00FC50B0">
        <w:rPr>
          <w:rFonts w:asciiTheme="majorHAnsi" w:hAnsiTheme="majorHAnsi" w:cs="Calibri"/>
          <w:sz w:val="22"/>
          <w:szCs w:val="22"/>
        </w:rPr>
        <w:t xml:space="preserve">being of adolescents and young people and fostering their participation and engagement in their communities and society; </w:t>
      </w:r>
      <w:r>
        <w:rPr>
          <w:rFonts w:asciiTheme="majorHAnsi" w:hAnsiTheme="majorHAnsi" w:cs="Calibri"/>
          <w:sz w:val="22"/>
          <w:szCs w:val="22"/>
        </w:rPr>
        <w:t>(b</w:t>
      </w:r>
      <w:r w:rsidRPr="00FC50B0">
        <w:rPr>
          <w:rFonts w:asciiTheme="majorHAnsi" w:hAnsiTheme="majorHAnsi" w:cs="Calibri"/>
          <w:sz w:val="22"/>
          <w:szCs w:val="22"/>
        </w:rPr>
        <w:t>) gender equality and women’s empowerment</w:t>
      </w:r>
      <w:r>
        <w:rPr>
          <w:rFonts w:asciiTheme="majorHAnsi" w:hAnsiTheme="majorHAnsi" w:cs="Calibri"/>
          <w:sz w:val="22"/>
          <w:szCs w:val="22"/>
        </w:rPr>
        <w:t>;</w:t>
      </w:r>
      <w:r w:rsidRPr="00FC50B0">
        <w:rPr>
          <w:rFonts w:asciiTheme="majorHAnsi" w:hAnsiTheme="majorHAnsi" w:cs="Calibri"/>
          <w:sz w:val="22"/>
          <w:szCs w:val="22"/>
        </w:rPr>
        <w:t xml:space="preserve"> and </w:t>
      </w:r>
      <w:r>
        <w:rPr>
          <w:rFonts w:asciiTheme="majorHAnsi" w:hAnsiTheme="majorHAnsi" w:cs="Calibri"/>
          <w:sz w:val="22"/>
          <w:szCs w:val="22"/>
        </w:rPr>
        <w:t>(c</w:t>
      </w:r>
      <w:r w:rsidRPr="00FC50B0">
        <w:rPr>
          <w:rFonts w:asciiTheme="majorHAnsi" w:hAnsiTheme="majorHAnsi" w:cs="Calibri"/>
          <w:sz w:val="22"/>
          <w:szCs w:val="22"/>
        </w:rPr>
        <w:t xml:space="preserve">) data and </w:t>
      </w:r>
      <w:r>
        <w:rPr>
          <w:rFonts w:asciiTheme="majorHAnsi" w:hAnsiTheme="majorHAnsi" w:cs="Calibri"/>
          <w:sz w:val="22"/>
          <w:szCs w:val="22"/>
        </w:rPr>
        <w:t>Sustainable Development Goal</w:t>
      </w:r>
      <w:r w:rsidRPr="00FC50B0">
        <w:rPr>
          <w:rFonts w:asciiTheme="majorHAnsi" w:hAnsiTheme="majorHAnsi" w:cs="Calibri"/>
          <w:sz w:val="22"/>
          <w:szCs w:val="22"/>
        </w:rPr>
        <w:t xml:space="preserve"> monitoring. In 2018, a joint advocacy paper on social protection floors was developed, along with a common position paper on HIV and other communicable diseases, and a</w:t>
      </w:r>
      <w:r>
        <w:rPr>
          <w:rFonts w:asciiTheme="majorHAnsi" w:hAnsiTheme="majorHAnsi" w:cs="Calibri"/>
          <w:sz w:val="22"/>
          <w:szCs w:val="22"/>
        </w:rPr>
        <w:t>n</w:t>
      </w:r>
      <w:r w:rsidRPr="00FC50B0">
        <w:rPr>
          <w:rFonts w:asciiTheme="majorHAnsi" w:hAnsiTheme="majorHAnsi" w:cs="Calibri"/>
          <w:sz w:val="22"/>
          <w:szCs w:val="22"/>
        </w:rPr>
        <w:t xml:space="preserve"> inter-agency guidance note</w:t>
      </w:r>
      <w:r>
        <w:rPr>
          <w:rFonts w:asciiTheme="majorHAnsi" w:hAnsiTheme="majorHAnsi" w:cs="Calibri"/>
          <w:sz w:val="22"/>
          <w:szCs w:val="22"/>
        </w:rPr>
        <w:t xml:space="preserve"> on </w:t>
      </w:r>
      <w:r w:rsidRPr="00FC50B0">
        <w:rPr>
          <w:rFonts w:asciiTheme="majorHAnsi" w:hAnsiTheme="majorHAnsi" w:cs="Calibri"/>
          <w:sz w:val="22"/>
          <w:szCs w:val="22"/>
        </w:rPr>
        <w:t>gender equality</w:t>
      </w:r>
      <w:r>
        <w:rPr>
          <w:rFonts w:asciiTheme="majorHAnsi" w:hAnsiTheme="majorHAnsi" w:cs="Calibri"/>
          <w:sz w:val="22"/>
          <w:szCs w:val="22"/>
        </w:rPr>
        <w:t xml:space="preserve"> and the Goals</w:t>
      </w:r>
      <w:r w:rsidRPr="00FC50B0">
        <w:rPr>
          <w:rFonts w:asciiTheme="majorHAnsi" w:hAnsiTheme="majorHAnsi" w:cs="Calibri"/>
          <w:sz w:val="22"/>
          <w:szCs w:val="22"/>
        </w:rPr>
        <w:t xml:space="preserve">. </w:t>
      </w:r>
    </w:p>
    <w:p w:rsidR="001A547C" w:rsidRPr="00261620" w:rsidRDefault="001A547C" w:rsidP="001A547C">
      <w:pPr>
        <w:pStyle w:val="ListParagraph"/>
        <w:ind w:left="0"/>
        <w:jc w:val="both"/>
        <w:rPr>
          <w:rFonts w:asciiTheme="majorHAnsi" w:hAnsiTheme="majorHAnsi" w:cs="Calibri"/>
          <w:sz w:val="22"/>
          <w:szCs w:val="22"/>
        </w:rPr>
      </w:pPr>
      <w:r w:rsidRPr="00261620">
        <w:rPr>
          <w:rFonts w:asciiTheme="majorHAnsi" w:hAnsiTheme="majorHAnsi" w:cstheme="majorHAnsi"/>
          <w:sz w:val="22"/>
          <w:szCs w:val="22"/>
        </w:rPr>
        <w:t xml:space="preserve"> </w:t>
      </w:r>
    </w:p>
    <w:p w:rsidR="001A547C" w:rsidRPr="00261620" w:rsidRDefault="001A547C" w:rsidP="001A547C">
      <w:pPr>
        <w:pStyle w:val="ListParagraph"/>
        <w:numPr>
          <w:ilvl w:val="0"/>
          <w:numId w:val="22"/>
        </w:numPr>
        <w:ind w:left="0" w:firstLine="0"/>
        <w:jc w:val="both"/>
        <w:rPr>
          <w:rFonts w:asciiTheme="majorHAnsi" w:hAnsiTheme="majorHAnsi" w:cs="Calibri"/>
          <w:sz w:val="22"/>
          <w:szCs w:val="22"/>
        </w:rPr>
      </w:pPr>
      <w:r w:rsidRPr="00261620">
        <w:rPr>
          <w:rFonts w:asciiTheme="majorHAnsi" w:hAnsiTheme="majorHAnsi" w:cs="Calibri"/>
          <w:sz w:val="22"/>
          <w:szCs w:val="22"/>
        </w:rPr>
        <w:t xml:space="preserve">In 2018, two or more agencies working on the </w:t>
      </w:r>
      <w:r>
        <w:rPr>
          <w:rFonts w:asciiTheme="majorHAnsi" w:hAnsiTheme="majorHAnsi" w:cs="Calibri"/>
          <w:sz w:val="22"/>
          <w:szCs w:val="22"/>
        </w:rPr>
        <w:t>common chapter</w:t>
      </w:r>
      <w:r w:rsidRPr="00261620">
        <w:rPr>
          <w:rFonts w:asciiTheme="majorHAnsi" w:hAnsiTheme="majorHAnsi" w:cs="Calibri"/>
          <w:sz w:val="22"/>
          <w:szCs w:val="22"/>
        </w:rPr>
        <w:t xml:space="preserve"> participated in 14 Mainstreaming, Acceleration and Policy Support (MAPS) missions</w:t>
      </w:r>
      <w:r w:rsidRPr="00261620">
        <w:rPr>
          <w:rFonts w:asciiTheme="majorHAnsi" w:hAnsiTheme="majorHAnsi" w:cs="Calibri"/>
          <w:b/>
          <w:sz w:val="22"/>
          <w:szCs w:val="22"/>
        </w:rPr>
        <w:t>,</w:t>
      </w:r>
      <w:r w:rsidRPr="00261620">
        <w:rPr>
          <w:rFonts w:asciiTheme="majorHAnsi" w:hAnsiTheme="majorHAnsi" w:cs="Calibri"/>
          <w:sz w:val="22"/>
          <w:szCs w:val="22"/>
        </w:rPr>
        <w:t xml:space="preserve"> with all four agencies participating in the Haiti and Palestine missions. </w:t>
      </w:r>
      <w:r>
        <w:rPr>
          <w:rFonts w:asciiTheme="majorHAnsi" w:hAnsiTheme="majorHAnsi" w:cs="Calibri"/>
          <w:sz w:val="22"/>
          <w:szCs w:val="22"/>
        </w:rPr>
        <w:t>“</w:t>
      </w:r>
      <w:r w:rsidRPr="00261620">
        <w:rPr>
          <w:rFonts w:asciiTheme="majorHAnsi" w:hAnsiTheme="majorHAnsi" w:cs="Calibri"/>
          <w:sz w:val="22"/>
          <w:szCs w:val="22"/>
        </w:rPr>
        <w:t>SDG Road</w:t>
      </w:r>
      <w:r>
        <w:rPr>
          <w:rFonts w:asciiTheme="majorHAnsi" w:hAnsiTheme="majorHAnsi" w:cs="Calibri"/>
          <w:sz w:val="22"/>
          <w:szCs w:val="22"/>
        </w:rPr>
        <w:t xml:space="preserve"> M</w:t>
      </w:r>
      <w:r w:rsidRPr="00261620">
        <w:rPr>
          <w:rFonts w:asciiTheme="majorHAnsi" w:hAnsiTheme="majorHAnsi" w:cs="Calibri"/>
          <w:sz w:val="22"/>
          <w:szCs w:val="22"/>
        </w:rPr>
        <w:t>aps</w:t>
      </w:r>
      <w:r>
        <w:rPr>
          <w:rFonts w:asciiTheme="majorHAnsi" w:hAnsiTheme="majorHAnsi" w:cs="Calibri"/>
          <w:sz w:val="22"/>
          <w:szCs w:val="22"/>
        </w:rPr>
        <w:t>”</w:t>
      </w:r>
      <w:r w:rsidRPr="00261620">
        <w:rPr>
          <w:rFonts w:asciiTheme="majorHAnsi" w:hAnsiTheme="majorHAnsi" w:cs="Calibri"/>
          <w:sz w:val="22"/>
          <w:szCs w:val="22"/>
        </w:rPr>
        <w:t xml:space="preserve"> resulting from the missions are now in progress and will include joint actions from the UN</w:t>
      </w:r>
      <w:r>
        <w:rPr>
          <w:rFonts w:asciiTheme="majorHAnsi" w:hAnsiTheme="majorHAnsi" w:cs="Calibri"/>
          <w:sz w:val="22"/>
          <w:szCs w:val="22"/>
        </w:rPr>
        <w:t>CTs</w:t>
      </w:r>
      <w:r w:rsidRPr="00261620">
        <w:rPr>
          <w:rFonts w:asciiTheme="majorHAnsi" w:hAnsiTheme="majorHAnsi" w:cs="Calibri"/>
          <w:sz w:val="22"/>
          <w:szCs w:val="22"/>
        </w:rPr>
        <w:t xml:space="preserve">, including </w:t>
      </w:r>
      <w:r>
        <w:rPr>
          <w:rFonts w:asciiTheme="majorHAnsi" w:hAnsiTheme="majorHAnsi" w:cs="Calibri"/>
          <w:sz w:val="22"/>
          <w:szCs w:val="22"/>
        </w:rPr>
        <w:t xml:space="preserve">the four </w:t>
      </w:r>
      <w:r w:rsidRPr="00261620">
        <w:rPr>
          <w:rFonts w:asciiTheme="majorHAnsi" w:hAnsiTheme="majorHAnsi" w:cs="Calibri"/>
          <w:sz w:val="22"/>
          <w:szCs w:val="22"/>
        </w:rPr>
        <w:t>agencies. MAPS missions have also provided fertile ground for the four agencies to ramp up work together with</w:t>
      </w:r>
      <w:r>
        <w:rPr>
          <w:rFonts w:asciiTheme="majorHAnsi" w:hAnsiTheme="majorHAnsi" w:cs="Calibri"/>
          <w:sz w:val="22"/>
          <w:szCs w:val="22"/>
        </w:rPr>
        <w:t>,</w:t>
      </w:r>
      <w:r w:rsidRPr="00261620">
        <w:rPr>
          <w:rFonts w:asciiTheme="majorHAnsi" w:hAnsiTheme="majorHAnsi" w:cs="Calibri"/>
          <w:sz w:val="22"/>
          <w:szCs w:val="22"/>
        </w:rPr>
        <w:t xml:space="preserve"> for example, in the Europe and Central Asia region, a common focus on data through the </w:t>
      </w:r>
      <w:r>
        <w:rPr>
          <w:rFonts w:asciiTheme="majorHAnsi" w:hAnsiTheme="majorHAnsi" w:cs="Calibri"/>
          <w:sz w:val="22"/>
          <w:szCs w:val="22"/>
        </w:rPr>
        <w:t>i</w:t>
      </w:r>
      <w:r w:rsidRPr="00261620">
        <w:rPr>
          <w:rFonts w:asciiTheme="majorHAnsi" w:hAnsiTheme="majorHAnsi" w:cs="Calibri"/>
          <w:sz w:val="22"/>
          <w:szCs w:val="22"/>
        </w:rPr>
        <w:t>ssue</w:t>
      </w:r>
      <w:r>
        <w:rPr>
          <w:rFonts w:asciiTheme="majorHAnsi" w:hAnsiTheme="majorHAnsi" w:cs="Calibri"/>
          <w:sz w:val="22"/>
          <w:szCs w:val="22"/>
        </w:rPr>
        <w:t>-b</w:t>
      </w:r>
      <w:r w:rsidRPr="00261620">
        <w:rPr>
          <w:rFonts w:asciiTheme="majorHAnsi" w:hAnsiTheme="majorHAnsi" w:cs="Calibri"/>
          <w:sz w:val="22"/>
          <w:szCs w:val="22"/>
        </w:rPr>
        <w:t xml:space="preserve">ased </w:t>
      </w:r>
      <w:r>
        <w:rPr>
          <w:rFonts w:asciiTheme="majorHAnsi" w:hAnsiTheme="majorHAnsi" w:cs="Calibri"/>
          <w:sz w:val="22"/>
          <w:szCs w:val="22"/>
        </w:rPr>
        <w:t>c</w:t>
      </w:r>
      <w:r w:rsidRPr="00261620">
        <w:rPr>
          <w:rFonts w:asciiTheme="majorHAnsi" w:hAnsiTheme="majorHAnsi" w:cs="Calibri"/>
          <w:sz w:val="22"/>
          <w:szCs w:val="22"/>
        </w:rPr>
        <w:t xml:space="preserve">oalition on </w:t>
      </w:r>
      <w:r>
        <w:rPr>
          <w:rFonts w:asciiTheme="majorHAnsi" w:hAnsiTheme="majorHAnsi" w:cs="Calibri"/>
          <w:sz w:val="22"/>
          <w:szCs w:val="22"/>
        </w:rPr>
        <w:t>Sustainable Development Goal</w:t>
      </w:r>
      <w:r w:rsidRPr="00FC50B0">
        <w:rPr>
          <w:rFonts w:asciiTheme="majorHAnsi" w:hAnsiTheme="majorHAnsi" w:cs="Calibri"/>
          <w:sz w:val="22"/>
          <w:szCs w:val="22"/>
        </w:rPr>
        <w:t xml:space="preserve"> </w:t>
      </w:r>
      <w:r w:rsidRPr="00261620">
        <w:rPr>
          <w:rFonts w:asciiTheme="majorHAnsi" w:hAnsiTheme="majorHAnsi" w:cs="Calibri"/>
          <w:sz w:val="22"/>
          <w:szCs w:val="22"/>
        </w:rPr>
        <w:t xml:space="preserve">data. </w:t>
      </w:r>
    </w:p>
    <w:p w:rsidR="001A547C" w:rsidRPr="00261620" w:rsidRDefault="001A547C" w:rsidP="001A547C">
      <w:pPr>
        <w:pStyle w:val="ListParagraph"/>
        <w:ind w:left="360"/>
        <w:jc w:val="both"/>
        <w:rPr>
          <w:rFonts w:asciiTheme="majorHAnsi" w:hAnsiTheme="majorHAnsi" w:cstheme="majorHAnsi"/>
          <w:b/>
          <w:sz w:val="22"/>
          <w:szCs w:val="22"/>
          <w:u w:val="single"/>
        </w:rPr>
      </w:pPr>
    </w:p>
    <w:p w:rsidR="001A547C" w:rsidRDefault="001A547C" w:rsidP="001A547C">
      <w:pPr>
        <w:jc w:val="both"/>
        <w:rPr>
          <w:rFonts w:asciiTheme="majorHAnsi" w:hAnsiTheme="majorHAnsi" w:cstheme="majorHAnsi"/>
          <w:b/>
        </w:rPr>
      </w:pPr>
      <w:r>
        <w:rPr>
          <w:rFonts w:asciiTheme="majorHAnsi" w:hAnsiTheme="majorHAnsi" w:cstheme="majorHAnsi"/>
          <w:b/>
        </w:rPr>
        <w:t>J</w:t>
      </w:r>
      <w:r w:rsidRPr="00BE2FB2">
        <w:rPr>
          <w:rFonts w:asciiTheme="majorHAnsi" w:hAnsiTheme="majorHAnsi" w:cstheme="majorHAnsi"/>
          <w:b/>
        </w:rPr>
        <w:t xml:space="preserve">oint </w:t>
      </w:r>
      <w:r>
        <w:rPr>
          <w:rFonts w:asciiTheme="majorHAnsi" w:hAnsiTheme="majorHAnsi" w:cstheme="majorHAnsi"/>
          <w:b/>
        </w:rPr>
        <w:t>i</w:t>
      </w:r>
      <w:r w:rsidRPr="00BE2FB2">
        <w:rPr>
          <w:rFonts w:asciiTheme="majorHAnsi" w:hAnsiTheme="majorHAnsi" w:cstheme="majorHAnsi"/>
          <w:b/>
        </w:rPr>
        <w:t xml:space="preserve">mplementation </w:t>
      </w:r>
    </w:p>
    <w:p w:rsidR="001A547C" w:rsidRPr="00BE2FB2" w:rsidRDefault="001A547C" w:rsidP="001A547C">
      <w:pPr>
        <w:jc w:val="both"/>
        <w:rPr>
          <w:rFonts w:asciiTheme="majorHAnsi" w:hAnsiTheme="majorHAnsi" w:cstheme="majorHAnsi"/>
          <w:b/>
        </w:rPr>
      </w:pPr>
    </w:p>
    <w:p w:rsidR="001A547C" w:rsidRPr="00313C91" w:rsidRDefault="001A547C" w:rsidP="001A547C">
      <w:pPr>
        <w:pStyle w:val="ListParagraph"/>
        <w:numPr>
          <w:ilvl w:val="0"/>
          <w:numId w:val="22"/>
        </w:numPr>
        <w:ind w:left="0" w:firstLine="0"/>
        <w:jc w:val="both"/>
        <w:rPr>
          <w:rFonts w:asciiTheme="majorHAnsi" w:hAnsiTheme="majorHAnsi" w:cs="Calibri"/>
          <w:sz w:val="22"/>
          <w:szCs w:val="22"/>
        </w:rPr>
      </w:pPr>
      <w:bookmarkStart w:id="0" w:name="_8uh8eknxmll1" w:colFirst="0" w:colLast="0"/>
      <w:bookmarkEnd w:id="0"/>
      <w:r w:rsidRPr="00313C91">
        <w:rPr>
          <w:rFonts w:asciiTheme="majorHAnsi" w:hAnsiTheme="majorHAnsi" w:cs="Calibri"/>
          <w:sz w:val="22"/>
          <w:szCs w:val="22"/>
        </w:rPr>
        <w:t xml:space="preserve">A significant number of joint </w:t>
      </w:r>
      <w:r>
        <w:rPr>
          <w:rFonts w:asciiTheme="majorHAnsi" w:hAnsiTheme="majorHAnsi" w:cs="Calibri"/>
          <w:sz w:val="22"/>
          <w:szCs w:val="22"/>
        </w:rPr>
        <w:t xml:space="preserve">efforts </w:t>
      </w:r>
      <w:r w:rsidRPr="00313C91">
        <w:rPr>
          <w:rFonts w:asciiTheme="majorHAnsi" w:hAnsiTheme="majorHAnsi" w:cs="Calibri"/>
          <w:sz w:val="22"/>
          <w:szCs w:val="22"/>
        </w:rPr>
        <w:t xml:space="preserve">have been developed in 2018 in each of the six key </w:t>
      </w:r>
      <w:r>
        <w:rPr>
          <w:rFonts w:asciiTheme="majorHAnsi" w:hAnsiTheme="majorHAnsi" w:cs="Calibri"/>
          <w:sz w:val="22"/>
          <w:szCs w:val="22"/>
        </w:rPr>
        <w:t>c</w:t>
      </w:r>
      <w:r w:rsidRPr="00313C91">
        <w:rPr>
          <w:rFonts w:asciiTheme="majorHAnsi" w:hAnsiTheme="majorHAnsi" w:cs="Calibri"/>
          <w:sz w:val="22"/>
          <w:szCs w:val="22"/>
        </w:rPr>
        <w:t xml:space="preserve">ommon </w:t>
      </w:r>
      <w:r>
        <w:rPr>
          <w:rFonts w:asciiTheme="majorHAnsi" w:hAnsiTheme="majorHAnsi" w:cs="Calibri"/>
          <w:sz w:val="22"/>
          <w:szCs w:val="22"/>
        </w:rPr>
        <w:t>c</w:t>
      </w:r>
      <w:r w:rsidRPr="00313C91">
        <w:rPr>
          <w:rFonts w:asciiTheme="majorHAnsi" w:hAnsiTheme="majorHAnsi" w:cs="Calibri"/>
          <w:sz w:val="22"/>
          <w:szCs w:val="22"/>
        </w:rPr>
        <w:t xml:space="preserve">hapter areas of collaboration, involving two or more of the agencies and often involving additional development partners for stronger results for the </w:t>
      </w:r>
      <w:r>
        <w:rPr>
          <w:rFonts w:asciiTheme="majorHAnsi" w:hAnsiTheme="majorHAnsi" w:cs="Calibri"/>
          <w:sz w:val="22"/>
          <w:szCs w:val="22"/>
        </w:rPr>
        <w:t>Goals</w:t>
      </w:r>
      <w:r w:rsidRPr="00313C91">
        <w:rPr>
          <w:rFonts w:asciiTheme="majorHAnsi" w:hAnsiTheme="majorHAnsi" w:cs="Calibri"/>
          <w:sz w:val="22"/>
          <w:szCs w:val="22"/>
        </w:rPr>
        <w:t xml:space="preserve">. The following section </w:t>
      </w:r>
      <w:r>
        <w:rPr>
          <w:rFonts w:asciiTheme="majorHAnsi" w:hAnsiTheme="majorHAnsi" w:cs="Calibri"/>
          <w:sz w:val="22"/>
          <w:szCs w:val="22"/>
        </w:rPr>
        <w:t>outlines the results contributions from</w:t>
      </w:r>
      <w:r w:rsidRPr="00313C91">
        <w:rPr>
          <w:rFonts w:asciiTheme="majorHAnsi" w:hAnsiTheme="majorHAnsi" w:cs="Calibri"/>
          <w:sz w:val="22"/>
          <w:szCs w:val="22"/>
        </w:rPr>
        <w:t xml:space="preserve"> a selection</w:t>
      </w:r>
      <w:r>
        <w:rPr>
          <w:rFonts w:asciiTheme="majorHAnsi" w:hAnsiTheme="majorHAnsi" w:cs="Calibri"/>
          <w:sz w:val="22"/>
          <w:szCs w:val="22"/>
        </w:rPr>
        <w:t xml:space="preserve"> </w:t>
      </w:r>
      <w:r w:rsidRPr="00313C91">
        <w:rPr>
          <w:rFonts w:asciiTheme="majorHAnsi" w:hAnsiTheme="majorHAnsi" w:cs="Calibri"/>
          <w:sz w:val="22"/>
          <w:szCs w:val="22"/>
        </w:rPr>
        <w:t xml:space="preserve">of the many initiatives under each of the </w:t>
      </w:r>
      <w:r>
        <w:rPr>
          <w:rFonts w:asciiTheme="majorHAnsi" w:hAnsiTheme="majorHAnsi" w:cs="Calibri"/>
          <w:sz w:val="22"/>
          <w:szCs w:val="22"/>
        </w:rPr>
        <w:t>c</w:t>
      </w:r>
      <w:r w:rsidRPr="00313C91">
        <w:rPr>
          <w:rFonts w:asciiTheme="majorHAnsi" w:hAnsiTheme="majorHAnsi" w:cs="Calibri"/>
          <w:sz w:val="22"/>
          <w:szCs w:val="22"/>
        </w:rPr>
        <w:t xml:space="preserve">ommon </w:t>
      </w:r>
      <w:r>
        <w:rPr>
          <w:rFonts w:asciiTheme="majorHAnsi" w:hAnsiTheme="majorHAnsi" w:cs="Calibri"/>
          <w:sz w:val="22"/>
          <w:szCs w:val="22"/>
        </w:rPr>
        <w:t>c</w:t>
      </w:r>
      <w:r w:rsidRPr="00313C91">
        <w:rPr>
          <w:rFonts w:asciiTheme="majorHAnsi" w:hAnsiTheme="majorHAnsi" w:cs="Calibri"/>
          <w:sz w:val="22"/>
          <w:szCs w:val="22"/>
        </w:rPr>
        <w:t>hapter collaborative areas.</w:t>
      </w:r>
      <w:r w:rsidRPr="00A60BDC">
        <w:rPr>
          <w:rStyle w:val="FootnoteReference"/>
          <w:rFonts w:asciiTheme="majorHAnsi" w:hAnsiTheme="majorHAnsi" w:cs="Calibri"/>
          <w:sz w:val="20"/>
          <w:szCs w:val="22"/>
        </w:rPr>
        <w:footnoteReference w:id="1"/>
      </w:r>
    </w:p>
    <w:p w:rsidR="001A547C" w:rsidRPr="00261620" w:rsidRDefault="001A547C" w:rsidP="001A547C">
      <w:pPr>
        <w:spacing w:line="240" w:lineRule="auto"/>
        <w:jc w:val="both"/>
        <w:rPr>
          <w:rFonts w:asciiTheme="majorHAnsi" w:hAnsiTheme="majorHAnsi" w:cs="Calibri"/>
        </w:rPr>
      </w:pPr>
    </w:p>
    <w:p w:rsidR="001A547C" w:rsidRPr="00261620" w:rsidRDefault="001A547C" w:rsidP="001A547C">
      <w:pPr>
        <w:spacing w:line="240" w:lineRule="auto"/>
        <w:jc w:val="both"/>
        <w:rPr>
          <w:rFonts w:asciiTheme="majorHAnsi" w:hAnsiTheme="majorHAnsi" w:cs="Calibri"/>
          <w:b/>
        </w:rPr>
      </w:pPr>
      <w:r w:rsidRPr="00261620">
        <w:rPr>
          <w:rFonts w:asciiTheme="majorHAnsi" w:hAnsiTheme="majorHAnsi" w:cs="Calibri"/>
          <w:b/>
        </w:rPr>
        <w:t>Eradicating poverty</w:t>
      </w:r>
    </w:p>
    <w:p w:rsidR="001A547C" w:rsidRDefault="001A547C" w:rsidP="001A547C">
      <w:pPr>
        <w:pStyle w:val="ListParagraph"/>
        <w:numPr>
          <w:ilvl w:val="0"/>
          <w:numId w:val="22"/>
        </w:numPr>
        <w:ind w:left="0" w:firstLine="0"/>
        <w:jc w:val="both"/>
        <w:rPr>
          <w:rFonts w:asciiTheme="majorHAnsi" w:hAnsiTheme="majorHAnsi" w:cs="Calibri"/>
          <w:sz w:val="22"/>
          <w:szCs w:val="22"/>
        </w:rPr>
      </w:pPr>
      <w:r>
        <w:rPr>
          <w:rFonts w:asciiTheme="majorHAnsi" w:hAnsiTheme="majorHAnsi" w:cs="Calibri"/>
          <w:sz w:val="22"/>
          <w:szCs w:val="22"/>
        </w:rPr>
        <w:t xml:space="preserve">The focus of the common chapter is to enable full integration of the 2030 Agenda, as relevant in each context, in national, subnational and sectoral development plans, policies and investment frameworks; and to support the adoption of substantial, context-responsive and targeted measures designed to benefit the poorest and most disadvantaged groups in society to improve their social and economic status. Joint work under the common chapter </w:t>
      </w:r>
      <w:r w:rsidRPr="00261620">
        <w:rPr>
          <w:rFonts w:asciiTheme="majorHAnsi" w:hAnsiTheme="majorHAnsi" w:cs="Calibri"/>
          <w:sz w:val="22"/>
          <w:szCs w:val="22"/>
        </w:rPr>
        <w:t>in 2018</w:t>
      </w:r>
      <w:r>
        <w:rPr>
          <w:rFonts w:asciiTheme="majorHAnsi" w:hAnsiTheme="majorHAnsi" w:cs="Calibri"/>
          <w:sz w:val="22"/>
          <w:szCs w:val="22"/>
        </w:rPr>
        <w:t xml:space="preserve"> contributed to: </w:t>
      </w:r>
    </w:p>
    <w:p w:rsidR="001A547C" w:rsidRPr="00261620" w:rsidRDefault="001A547C" w:rsidP="001A547C">
      <w:pPr>
        <w:pStyle w:val="ListParagraph"/>
        <w:ind w:left="0"/>
        <w:jc w:val="both"/>
        <w:rPr>
          <w:rFonts w:asciiTheme="majorHAnsi" w:hAnsiTheme="majorHAnsi" w:cs="Calibri"/>
          <w:sz w:val="22"/>
          <w:szCs w:val="22"/>
        </w:rPr>
      </w:pPr>
      <w:r w:rsidRPr="00261620">
        <w:rPr>
          <w:rFonts w:asciiTheme="majorHAnsi" w:hAnsiTheme="majorHAnsi" w:cs="Calibri"/>
          <w:sz w:val="22"/>
          <w:szCs w:val="22"/>
        </w:rPr>
        <w:t xml:space="preserve">  </w:t>
      </w:r>
    </w:p>
    <w:p w:rsidR="001A547C" w:rsidRDefault="001A547C" w:rsidP="001A547C">
      <w:pPr>
        <w:pStyle w:val="ListParagraph"/>
        <w:numPr>
          <w:ilvl w:val="0"/>
          <w:numId w:val="18"/>
        </w:numPr>
        <w:jc w:val="both"/>
        <w:rPr>
          <w:rFonts w:asciiTheme="majorHAnsi" w:hAnsiTheme="majorHAnsi" w:cs="Calibri"/>
          <w:sz w:val="22"/>
          <w:szCs w:val="22"/>
        </w:rPr>
      </w:pPr>
      <w:r>
        <w:rPr>
          <w:rFonts w:asciiTheme="majorHAnsi" w:hAnsiTheme="majorHAnsi" w:cs="Calibri"/>
          <w:b/>
          <w:sz w:val="22"/>
          <w:szCs w:val="22"/>
        </w:rPr>
        <w:t>P</w:t>
      </w:r>
      <w:r w:rsidRPr="00261620">
        <w:rPr>
          <w:rFonts w:asciiTheme="majorHAnsi" w:hAnsiTheme="majorHAnsi" w:cs="Calibri"/>
          <w:b/>
          <w:sz w:val="22"/>
          <w:szCs w:val="22"/>
        </w:rPr>
        <w:t>rot</w:t>
      </w:r>
      <w:r>
        <w:rPr>
          <w:rFonts w:asciiTheme="majorHAnsi" w:hAnsiTheme="majorHAnsi" w:cs="Calibri"/>
          <w:b/>
          <w:sz w:val="22"/>
          <w:szCs w:val="22"/>
        </w:rPr>
        <w:t>ect and provide opportunities for</w:t>
      </w:r>
      <w:r w:rsidRPr="00261620">
        <w:rPr>
          <w:rFonts w:asciiTheme="majorHAnsi" w:hAnsiTheme="majorHAnsi" w:cs="Calibri"/>
          <w:b/>
          <w:sz w:val="22"/>
          <w:szCs w:val="22"/>
        </w:rPr>
        <w:t xml:space="preserve"> the most vulnerable population</w:t>
      </w:r>
      <w:r>
        <w:rPr>
          <w:rFonts w:asciiTheme="majorHAnsi" w:hAnsiTheme="majorHAnsi" w:cs="Calibri"/>
          <w:b/>
          <w:sz w:val="22"/>
          <w:szCs w:val="22"/>
        </w:rPr>
        <w:t xml:space="preserve">. </w:t>
      </w:r>
      <w:r w:rsidRPr="00261620">
        <w:rPr>
          <w:rFonts w:asciiTheme="majorHAnsi" w:hAnsiTheme="majorHAnsi" w:cs="Calibri"/>
          <w:sz w:val="22"/>
          <w:szCs w:val="22"/>
        </w:rPr>
        <w:t>UNDP</w:t>
      </w:r>
      <w:r>
        <w:rPr>
          <w:rFonts w:asciiTheme="majorHAnsi" w:hAnsiTheme="majorHAnsi" w:cs="Calibri"/>
          <w:sz w:val="22"/>
          <w:szCs w:val="22"/>
        </w:rPr>
        <w:t xml:space="preserve"> and</w:t>
      </w:r>
      <w:r w:rsidRPr="00261620">
        <w:rPr>
          <w:rFonts w:asciiTheme="majorHAnsi" w:hAnsiTheme="majorHAnsi" w:cs="Calibri"/>
          <w:sz w:val="22"/>
          <w:szCs w:val="22"/>
        </w:rPr>
        <w:t xml:space="preserve"> UNICEF</w:t>
      </w:r>
      <w:r>
        <w:rPr>
          <w:rFonts w:asciiTheme="majorHAnsi" w:hAnsiTheme="majorHAnsi" w:cs="Calibri"/>
          <w:sz w:val="22"/>
          <w:szCs w:val="22"/>
        </w:rPr>
        <w:t>,</w:t>
      </w:r>
      <w:r w:rsidRPr="00261620">
        <w:rPr>
          <w:rFonts w:asciiTheme="majorHAnsi" w:hAnsiTheme="majorHAnsi" w:cs="Calibri"/>
          <w:sz w:val="22"/>
          <w:szCs w:val="22"/>
        </w:rPr>
        <w:t xml:space="preserve"> together with the African Development Bank and the World Food Programme (WFP)</w:t>
      </w:r>
      <w:r>
        <w:rPr>
          <w:rFonts w:asciiTheme="majorHAnsi" w:hAnsiTheme="majorHAnsi" w:cs="Calibri"/>
          <w:sz w:val="22"/>
          <w:szCs w:val="22"/>
        </w:rPr>
        <w:t>,</w:t>
      </w:r>
      <w:r w:rsidRPr="00261620">
        <w:rPr>
          <w:rFonts w:asciiTheme="majorHAnsi" w:hAnsiTheme="majorHAnsi" w:cs="Calibri"/>
          <w:sz w:val="22"/>
          <w:szCs w:val="22"/>
        </w:rPr>
        <w:t xml:space="preserve"> conducted a rapid assessment on the impact of the economic crisis on the urban population</w:t>
      </w:r>
      <w:r>
        <w:rPr>
          <w:rFonts w:asciiTheme="majorHAnsi" w:hAnsiTheme="majorHAnsi" w:cs="Calibri"/>
          <w:sz w:val="22"/>
          <w:szCs w:val="22"/>
        </w:rPr>
        <w:t xml:space="preserve"> in Sudan to form the basis for joint interventions for poverty eradication in 2019. </w:t>
      </w:r>
      <w:r w:rsidRPr="00261620">
        <w:rPr>
          <w:rFonts w:asciiTheme="majorHAnsi" w:hAnsiTheme="majorHAnsi" w:cs="Calibri"/>
          <w:sz w:val="22"/>
          <w:szCs w:val="22"/>
        </w:rPr>
        <w:t>A landmark study on the socioeconomic status</w:t>
      </w:r>
      <w:r>
        <w:rPr>
          <w:rFonts w:asciiTheme="majorHAnsi" w:hAnsiTheme="majorHAnsi" w:cs="Calibri"/>
          <w:sz w:val="22"/>
          <w:szCs w:val="22"/>
        </w:rPr>
        <w:t xml:space="preserve"> of the </w:t>
      </w:r>
      <w:r w:rsidRPr="00261620">
        <w:rPr>
          <w:rFonts w:asciiTheme="majorHAnsi" w:hAnsiTheme="majorHAnsi" w:cs="Calibri"/>
          <w:sz w:val="22"/>
          <w:szCs w:val="22"/>
        </w:rPr>
        <w:t>undocumented population in Sabah</w:t>
      </w:r>
      <w:r>
        <w:rPr>
          <w:rFonts w:asciiTheme="majorHAnsi" w:hAnsiTheme="majorHAnsi" w:cs="Calibri"/>
          <w:sz w:val="22"/>
          <w:szCs w:val="22"/>
        </w:rPr>
        <w:t>, Malaysia</w:t>
      </w:r>
      <w:r w:rsidRPr="00261620">
        <w:rPr>
          <w:rFonts w:asciiTheme="majorHAnsi" w:hAnsiTheme="majorHAnsi" w:cs="Calibri"/>
          <w:sz w:val="22"/>
          <w:szCs w:val="22"/>
        </w:rPr>
        <w:t xml:space="preserve"> by UNDP, UNFPA and UNICEF</w:t>
      </w:r>
      <w:r>
        <w:rPr>
          <w:rFonts w:asciiTheme="majorHAnsi" w:hAnsiTheme="majorHAnsi" w:cs="Calibri"/>
          <w:sz w:val="22"/>
          <w:szCs w:val="22"/>
        </w:rPr>
        <w:t xml:space="preserve"> </w:t>
      </w:r>
      <w:r w:rsidRPr="00261620">
        <w:rPr>
          <w:rFonts w:asciiTheme="majorHAnsi" w:hAnsiTheme="majorHAnsi" w:cs="Calibri"/>
          <w:sz w:val="22"/>
          <w:szCs w:val="22"/>
        </w:rPr>
        <w:t xml:space="preserve">identified challenges and solutions to support poverty reduction and assessed </w:t>
      </w:r>
      <w:r>
        <w:rPr>
          <w:rFonts w:asciiTheme="majorHAnsi" w:hAnsiTheme="majorHAnsi" w:cs="Calibri"/>
          <w:sz w:val="22"/>
          <w:szCs w:val="22"/>
        </w:rPr>
        <w:t xml:space="preserve">the </w:t>
      </w:r>
      <w:r w:rsidRPr="00261620">
        <w:rPr>
          <w:rFonts w:asciiTheme="majorHAnsi" w:hAnsiTheme="majorHAnsi" w:cs="Calibri"/>
          <w:sz w:val="22"/>
          <w:szCs w:val="22"/>
        </w:rPr>
        <w:t xml:space="preserve">risks of inaction. </w:t>
      </w:r>
      <w:r>
        <w:rPr>
          <w:rFonts w:asciiTheme="majorHAnsi" w:hAnsiTheme="majorHAnsi" w:cs="Calibri"/>
          <w:sz w:val="22"/>
          <w:szCs w:val="22"/>
        </w:rPr>
        <w:t>In Thailand, e</w:t>
      </w:r>
      <w:r w:rsidRPr="00261620">
        <w:rPr>
          <w:rFonts w:asciiTheme="majorHAnsi" w:hAnsiTheme="majorHAnsi" w:cs="Calibri"/>
          <w:sz w:val="22"/>
          <w:szCs w:val="22"/>
        </w:rPr>
        <w:t>vidence provided by the UN</w:t>
      </w:r>
      <w:r>
        <w:rPr>
          <w:rFonts w:asciiTheme="majorHAnsi" w:hAnsiTheme="majorHAnsi" w:cs="Calibri"/>
          <w:sz w:val="22"/>
          <w:szCs w:val="22"/>
        </w:rPr>
        <w:t>CT</w:t>
      </w:r>
      <w:r w:rsidRPr="00261620">
        <w:rPr>
          <w:rFonts w:asciiTheme="majorHAnsi" w:hAnsiTheme="majorHAnsi" w:cs="Calibri"/>
          <w:sz w:val="22"/>
          <w:szCs w:val="22"/>
        </w:rPr>
        <w:t xml:space="preserve"> contributed to the nationalization of the child multidimensional poverty index.</w:t>
      </w:r>
      <w:r>
        <w:rPr>
          <w:rFonts w:asciiTheme="majorHAnsi" w:hAnsiTheme="majorHAnsi" w:cs="Calibri"/>
          <w:sz w:val="22"/>
          <w:szCs w:val="22"/>
        </w:rPr>
        <w:t xml:space="preserve"> </w:t>
      </w:r>
      <w:r w:rsidRPr="00F6064A">
        <w:rPr>
          <w:rFonts w:asciiTheme="majorHAnsi" w:hAnsiTheme="majorHAnsi" w:cs="Calibri"/>
          <w:sz w:val="22"/>
          <w:szCs w:val="22"/>
        </w:rPr>
        <w:t xml:space="preserve">In Albania, the four agencies </w:t>
      </w:r>
      <w:r>
        <w:rPr>
          <w:rFonts w:asciiTheme="majorHAnsi" w:hAnsiTheme="majorHAnsi" w:cs="Calibri"/>
          <w:sz w:val="22"/>
          <w:szCs w:val="22"/>
        </w:rPr>
        <w:t>are</w:t>
      </w:r>
      <w:r w:rsidRPr="00F6064A">
        <w:rPr>
          <w:rFonts w:asciiTheme="majorHAnsi" w:hAnsiTheme="majorHAnsi" w:cs="Calibri"/>
          <w:sz w:val="22"/>
          <w:szCs w:val="22"/>
        </w:rPr>
        <w:t xml:space="preserve"> </w:t>
      </w:r>
      <w:r>
        <w:rPr>
          <w:rFonts w:asciiTheme="majorHAnsi" w:hAnsiTheme="majorHAnsi" w:cs="Calibri"/>
          <w:sz w:val="22"/>
          <w:szCs w:val="22"/>
        </w:rPr>
        <w:t>working together</w:t>
      </w:r>
      <w:r w:rsidRPr="00F6064A">
        <w:rPr>
          <w:rFonts w:asciiTheme="majorHAnsi" w:hAnsiTheme="majorHAnsi" w:cs="Calibri"/>
          <w:sz w:val="22"/>
          <w:szCs w:val="22"/>
        </w:rPr>
        <w:t xml:space="preserve"> </w:t>
      </w:r>
      <w:r>
        <w:rPr>
          <w:rFonts w:asciiTheme="majorHAnsi" w:hAnsiTheme="majorHAnsi" w:cs="Calibri"/>
          <w:sz w:val="22"/>
          <w:szCs w:val="22"/>
        </w:rPr>
        <w:t xml:space="preserve">to </w:t>
      </w:r>
      <w:r w:rsidRPr="00F6064A">
        <w:rPr>
          <w:rFonts w:asciiTheme="majorHAnsi" w:hAnsiTheme="majorHAnsi" w:cs="Calibri"/>
          <w:sz w:val="22"/>
          <w:szCs w:val="22"/>
        </w:rPr>
        <w:t>ensure a fully</w:t>
      </w:r>
      <w:r>
        <w:rPr>
          <w:rFonts w:asciiTheme="majorHAnsi" w:hAnsiTheme="majorHAnsi" w:cs="Calibri"/>
          <w:sz w:val="22"/>
          <w:szCs w:val="22"/>
        </w:rPr>
        <w:t>-</w:t>
      </w:r>
      <w:r w:rsidRPr="00F6064A">
        <w:rPr>
          <w:rFonts w:asciiTheme="majorHAnsi" w:hAnsiTheme="majorHAnsi" w:cs="Calibri"/>
          <w:sz w:val="22"/>
          <w:szCs w:val="22"/>
        </w:rPr>
        <w:t>funded system of social care service at local level for the most vulnerable people. The four agencies with other partners also engaged in promoting legal reform, strengthening service delivery capacity and empowering the vulnerable groups to participate and lobby for their rights and entitlements</w:t>
      </w:r>
      <w:r>
        <w:rPr>
          <w:rFonts w:asciiTheme="majorHAnsi" w:hAnsiTheme="majorHAnsi" w:cs="Calibri"/>
          <w:sz w:val="22"/>
          <w:szCs w:val="22"/>
        </w:rPr>
        <w:t>;</w:t>
      </w:r>
    </w:p>
    <w:p w:rsidR="001A547C" w:rsidRDefault="001A547C" w:rsidP="001A547C">
      <w:pPr>
        <w:pStyle w:val="ListParagraph"/>
        <w:ind w:left="360"/>
        <w:jc w:val="both"/>
        <w:rPr>
          <w:rFonts w:asciiTheme="majorHAnsi" w:hAnsiTheme="majorHAnsi" w:cs="Calibri"/>
          <w:sz w:val="22"/>
          <w:szCs w:val="22"/>
        </w:rPr>
      </w:pPr>
    </w:p>
    <w:p w:rsidR="001A547C" w:rsidRPr="009373E2" w:rsidRDefault="001A547C" w:rsidP="001A547C">
      <w:pPr>
        <w:pStyle w:val="ListParagraph"/>
        <w:numPr>
          <w:ilvl w:val="0"/>
          <w:numId w:val="18"/>
        </w:numPr>
        <w:jc w:val="both"/>
        <w:rPr>
          <w:rFonts w:asciiTheme="majorHAnsi" w:hAnsiTheme="majorHAnsi" w:cs="Calibri"/>
          <w:sz w:val="22"/>
          <w:szCs w:val="22"/>
        </w:rPr>
      </w:pPr>
      <w:r>
        <w:rPr>
          <w:rFonts w:asciiTheme="majorHAnsi" w:hAnsiTheme="majorHAnsi" w:cs="Calibri"/>
          <w:b/>
          <w:sz w:val="22"/>
          <w:szCs w:val="22"/>
        </w:rPr>
        <w:t>Improved service delivery.</w:t>
      </w:r>
      <w:r>
        <w:rPr>
          <w:rFonts w:asciiTheme="majorHAnsi" w:hAnsiTheme="majorHAnsi" w:cs="Calibri"/>
          <w:sz w:val="22"/>
          <w:szCs w:val="22"/>
        </w:rPr>
        <w:t xml:space="preserve"> </w:t>
      </w:r>
      <w:r w:rsidRPr="009373E2">
        <w:rPr>
          <w:rFonts w:asciiTheme="majorHAnsi" w:hAnsiTheme="majorHAnsi" w:cs="Calibri"/>
          <w:sz w:val="22"/>
          <w:szCs w:val="22"/>
        </w:rPr>
        <w:t>In Mongolia, UNDP, UNFPA and UNICEF, in collaboration with the World Health Organi</w:t>
      </w:r>
      <w:r>
        <w:rPr>
          <w:rFonts w:asciiTheme="majorHAnsi" w:hAnsiTheme="majorHAnsi" w:cs="Calibri"/>
          <w:sz w:val="22"/>
          <w:szCs w:val="22"/>
        </w:rPr>
        <w:t>z</w:t>
      </w:r>
      <w:r w:rsidRPr="009373E2">
        <w:rPr>
          <w:rFonts w:asciiTheme="majorHAnsi" w:hAnsiTheme="majorHAnsi" w:cs="Calibri"/>
          <w:sz w:val="22"/>
          <w:szCs w:val="22"/>
        </w:rPr>
        <w:t>ation</w:t>
      </w:r>
      <w:r>
        <w:rPr>
          <w:rFonts w:asciiTheme="majorHAnsi" w:hAnsiTheme="majorHAnsi" w:cs="Calibri"/>
          <w:sz w:val="22"/>
          <w:szCs w:val="22"/>
        </w:rPr>
        <w:t xml:space="preserve"> (WHO) and the Asian Development Back, worked with the Government to identify and address bottlenecks in service delivery for the poor through institutional strengthening and public finance management;</w:t>
      </w:r>
    </w:p>
    <w:p w:rsidR="001A547C" w:rsidRPr="00454BD8" w:rsidRDefault="001A547C" w:rsidP="001A547C">
      <w:pPr>
        <w:pStyle w:val="ListParagraph"/>
        <w:ind w:left="360"/>
        <w:jc w:val="both"/>
        <w:rPr>
          <w:rFonts w:asciiTheme="majorHAnsi" w:hAnsiTheme="majorHAnsi" w:cs="Calibri"/>
          <w:sz w:val="22"/>
          <w:szCs w:val="22"/>
        </w:rPr>
      </w:pPr>
    </w:p>
    <w:p w:rsidR="001A547C" w:rsidRPr="00361FC1" w:rsidRDefault="001A547C" w:rsidP="001A547C">
      <w:pPr>
        <w:pStyle w:val="ListParagraph"/>
        <w:numPr>
          <w:ilvl w:val="0"/>
          <w:numId w:val="18"/>
        </w:numPr>
        <w:jc w:val="both"/>
        <w:rPr>
          <w:rFonts w:asciiTheme="majorHAnsi" w:hAnsiTheme="majorHAnsi" w:cs="Calibri"/>
          <w:sz w:val="22"/>
          <w:szCs w:val="22"/>
        </w:rPr>
      </w:pPr>
      <w:r w:rsidRPr="00361FC1">
        <w:rPr>
          <w:rFonts w:asciiTheme="majorHAnsi" w:hAnsiTheme="majorHAnsi" w:cs="Calibri"/>
          <w:b/>
          <w:sz w:val="22"/>
          <w:szCs w:val="22"/>
        </w:rPr>
        <w:t xml:space="preserve">Social inclusion of </w:t>
      </w:r>
      <w:r>
        <w:rPr>
          <w:rFonts w:asciiTheme="majorHAnsi" w:hAnsiTheme="majorHAnsi" w:cs="Calibri"/>
          <w:b/>
          <w:sz w:val="22"/>
          <w:szCs w:val="22"/>
        </w:rPr>
        <w:t xml:space="preserve">persons </w:t>
      </w:r>
      <w:r w:rsidRPr="00361FC1">
        <w:rPr>
          <w:rFonts w:asciiTheme="majorHAnsi" w:hAnsiTheme="majorHAnsi" w:cs="Calibri"/>
          <w:b/>
          <w:sz w:val="22"/>
          <w:szCs w:val="22"/>
        </w:rPr>
        <w:t>with disability</w:t>
      </w:r>
      <w:r>
        <w:rPr>
          <w:rFonts w:asciiTheme="majorHAnsi" w:hAnsiTheme="majorHAnsi" w:cs="Calibri"/>
          <w:b/>
          <w:sz w:val="22"/>
          <w:szCs w:val="22"/>
        </w:rPr>
        <w:t>.</w:t>
      </w:r>
      <w:r w:rsidRPr="00361FC1">
        <w:rPr>
          <w:rFonts w:asciiTheme="majorHAnsi" w:hAnsiTheme="majorHAnsi" w:cs="Calibri"/>
          <w:sz w:val="22"/>
          <w:szCs w:val="22"/>
        </w:rPr>
        <w:t xml:space="preserve"> </w:t>
      </w:r>
      <w:r>
        <w:rPr>
          <w:rFonts w:asciiTheme="majorHAnsi" w:hAnsiTheme="majorHAnsi" w:cs="Calibri"/>
          <w:sz w:val="22"/>
          <w:szCs w:val="22"/>
        </w:rPr>
        <w:t>I</w:t>
      </w:r>
      <w:r w:rsidRPr="00361FC1">
        <w:rPr>
          <w:rFonts w:asciiTheme="majorHAnsi" w:hAnsiTheme="majorHAnsi" w:cs="Calibri"/>
          <w:sz w:val="22"/>
          <w:szCs w:val="22"/>
        </w:rPr>
        <w:t>n Dominican Republic</w:t>
      </w:r>
      <w:r>
        <w:rPr>
          <w:rFonts w:asciiTheme="majorHAnsi" w:hAnsiTheme="majorHAnsi" w:cs="Calibri"/>
          <w:sz w:val="22"/>
          <w:szCs w:val="22"/>
        </w:rPr>
        <w:t>,</w:t>
      </w:r>
      <w:r w:rsidRPr="00361FC1">
        <w:rPr>
          <w:rFonts w:asciiTheme="majorHAnsi" w:hAnsiTheme="majorHAnsi" w:cs="Calibri"/>
          <w:sz w:val="22"/>
          <w:szCs w:val="22"/>
        </w:rPr>
        <w:t xml:space="preserve"> agencies </w:t>
      </w:r>
      <w:r>
        <w:rPr>
          <w:rFonts w:asciiTheme="majorHAnsi" w:hAnsiTheme="majorHAnsi" w:cs="Calibri"/>
          <w:sz w:val="22"/>
          <w:szCs w:val="22"/>
        </w:rPr>
        <w:t xml:space="preserve">worked to </w:t>
      </w:r>
      <w:r w:rsidRPr="00361FC1">
        <w:rPr>
          <w:rFonts w:asciiTheme="majorHAnsi" w:hAnsiTheme="majorHAnsi" w:cs="Calibri"/>
          <w:sz w:val="22"/>
          <w:szCs w:val="22"/>
        </w:rPr>
        <w:t xml:space="preserve">strengthen capacities for building a disability-inclusive development model. The joint efforts supported girls and boys with disabilities </w:t>
      </w:r>
      <w:r>
        <w:rPr>
          <w:rFonts w:asciiTheme="majorHAnsi" w:hAnsiTheme="majorHAnsi" w:cs="Calibri"/>
          <w:sz w:val="22"/>
          <w:szCs w:val="22"/>
        </w:rPr>
        <w:t xml:space="preserve">to </w:t>
      </w:r>
      <w:r w:rsidRPr="00361FC1">
        <w:rPr>
          <w:rFonts w:asciiTheme="majorHAnsi" w:hAnsiTheme="majorHAnsi" w:cs="Calibri"/>
          <w:sz w:val="22"/>
          <w:szCs w:val="22"/>
        </w:rPr>
        <w:t>access school education, along with decent work and employment and social participation, in a more integrated, cohesive and cost-efficient way.</w:t>
      </w:r>
    </w:p>
    <w:p w:rsidR="001A547C" w:rsidRPr="00261620" w:rsidRDefault="001A547C" w:rsidP="001A547C">
      <w:pPr>
        <w:pStyle w:val="Heading2"/>
        <w:spacing w:after="0" w:line="240" w:lineRule="auto"/>
        <w:rPr>
          <w:rFonts w:asciiTheme="majorHAnsi" w:hAnsiTheme="majorHAnsi" w:cs="Calibri"/>
          <w:b/>
          <w:sz w:val="22"/>
          <w:szCs w:val="22"/>
        </w:rPr>
      </w:pPr>
      <w:r w:rsidRPr="00261620">
        <w:rPr>
          <w:rFonts w:asciiTheme="majorHAnsi" w:hAnsiTheme="majorHAnsi" w:cs="Calibri"/>
          <w:b/>
          <w:sz w:val="22"/>
          <w:szCs w:val="22"/>
        </w:rPr>
        <w:t xml:space="preserve">Addressing climate change </w:t>
      </w:r>
    </w:p>
    <w:p w:rsidR="001A547C" w:rsidRDefault="001A547C" w:rsidP="001A547C">
      <w:pPr>
        <w:pStyle w:val="ListParagraph"/>
        <w:numPr>
          <w:ilvl w:val="0"/>
          <w:numId w:val="22"/>
        </w:numPr>
        <w:ind w:left="0" w:firstLine="0"/>
        <w:jc w:val="both"/>
        <w:rPr>
          <w:rFonts w:asciiTheme="majorHAnsi" w:hAnsiTheme="majorHAnsi" w:cs="Calibri"/>
          <w:sz w:val="22"/>
          <w:szCs w:val="22"/>
        </w:rPr>
      </w:pPr>
      <w:r>
        <w:rPr>
          <w:rFonts w:asciiTheme="majorHAnsi" w:hAnsiTheme="majorHAnsi" w:cs="Calibri"/>
          <w:sz w:val="22"/>
          <w:szCs w:val="22"/>
        </w:rPr>
        <w:t xml:space="preserve">The focus of common chapter work is to raise policy and public awareness of climate change and the urgency of a multisectoral response; and to assist countries to make the fastest possible progress towards sustainability and inclusion as they meet their commitments under the Paris Agreement on Climate Change. Collaboration under the common chapter contributed to the following in 2018: </w:t>
      </w:r>
    </w:p>
    <w:p w:rsidR="001A547C" w:rsidRPr="00261620" w:rsidRDefault="001A547C" w:rsidP="001A547C">
      <w:pPr>
        <w:pStyle w:val="ListParagraph"/>
        <w:ind w:left="0"/>
        <w:jc w:val="both"/>
        <w:rPr>
          <w:rFonts w:asciiTheme="majorHAnsi" w:hAnsiTheme="majorHAnsi" w:cs="Calibri"/>
          <w:sz w:val="22"/>
          <w:szCs w:val="22"/>
        </w:rPr>
      </w:pPr>
    </w:p>
    <w:p w:rsidR="001A547C" w:rsidRDefault="001A547C" w:rsidP="001A547C">
      <w:pPr>
        <w:pStyle w:val="ListParagraph"/>
        <w:numPr>
          <w:ilvl w:val="0"/>
          <w:numId w:val="38"/>
        </w:numPr>
        <w:ind w:left="360"/>
        <w:jc w:val="both"/>
        <w:rPr>
          <w:rFonts w:asciiTheme="majorHAnsi" w:eastAsia="Arial" w:hAnsiTheme="majorHAnsi" w:cs="Calibri"/>
          <w:sz w:val="22"/>
          <w:szCs w:val="22"/>
          <w:lang w:val="en"/>
        </w:rPr>
      </w:pPr>
      <w:r w:rsidRPr="00657A36">
        <w:rPr>
          <w:rFonts w:asciiTheme="majorHAnsi" w:hAnsiTheme="majorHAnsi" w:cs="Calibri"/>
          <w:b/>
          <w:sz w:val="22"/>
          <w:szCs w:val="22"/>
        </w:rPr>
        <w:t xml:space="preserve">Improved </w:t>
      </w:r>
      <w:r>
        <w:rPr>
          <w:rFonts w:asciiTheme="majorHAnsi" w:hAnsiTheme="majorHAnsi" w:cs="Calibri"/>
          <w:b/>
          <w:sz w:val="22"/>
          <w:szCs w:val="22"/>
        </w:rPr>
        <w:t>r</w:t>
      </w:r>
      <w:r w:rsidRPr="00657A36">
        <w:rPr>
          <w:rFonts w:asciiTheme="majorHAnsi" w:hAnsiTheme="majorHAnsi" w:cs="Calibri"/>
          <w:b/>
          <w:sz w:val="22"/>
          <w:szCs w:val="22"/>
        </w:rPr>
        <w:t>esilience</w:t>
      </w:r>
      <w:r>
        <w:rPr>
          <w:rFonts w:asciiTheme="majorHAnsi" w:hAnsiTheme="majorHAnsi" w:cs="Calibri"/>
          <w:b/>
          <w:sz w:val="22"/>
          <w:szCs w:val="22"/>
        </w:rPr>
        <w:t xml:space="preserve">. </w:t>
      </w:r>
      <w:r w:rsidRPr="00261620">
        <w:rPr>
          <w:rFonts w:asciiTheme="majorHAnsi" w:eastAsia="Arial" w:hAnsiTheme="majorHAnsi" w:cs="Calibri"/>
          <w:sz w:val="22"/>
          <w:szCs w:val="22"/>
          <w:lang w:val="en"/>
        </w:rPr>
        <w:t xml:space="preserve">As part of </w:t>
      </w:r>
      <w:r>
        <w:rPr>
          <w:rFonts w:asciiTheme="majorHAnsi" w:eastAsia="Arial" w:hAnsiTheme="majorHAnsi" w:cs="Calibri"/>
          <w:sz w:val="22"/>
          <w:szCs w:val="22"/>
          <w:lang w:val="en"/>
        </w:rPr>
        <w:t xml:space="preserve">their efforts </w:t>
      </w:r>
      <w:r w:rsidRPr="00261620">
        <w:rPr>
          <w:rFonts w:asciiTheme="majorHAnsi" w:eastAsia="Arial" w:hAnsiTheme="majorHAnsi" w:cs="Calibri"/>
          <w:sz w:val="22"/>
          <w:szCs w:val="22"/>
          <w:lang w:val="en"/>
        </w:rPr>
        <w:t xml:space="preserve">to </w:t>
      </w:r>
      <w:r w:rsidRPr="0054160F">
        <w:rPr>
          <w:rFonts w:asciiTheme="majorHAnsi" w:eastAsia="Arial" w:hAnsiTheme="majorHAnsi" w:cs="Calibri"/>
          <w:sz w:val="22"/>
          <w:szCs w:val="22"/>
          <w:lang w:val="en"/>
        </w:rPr>
        <w:t>strengthen resilience</w:t>
      </w:r>
      <w:r w:rsidRPr="00261620">
        <w:rPr>
          <w:rFonts w:asciiTheme="majorHAnsi" w:eastAsia="Arial" w:hAnsiTheme="majorHAnsi" w:cs="Calibri"/>
          <w:sz w:val="22"/>
          <w:szCs w:val="22"/>
          <w:lang w:val="en"/>
        </w:rPr>
        <w:t xml:space="preserve"> of families and vulnerable groups affected by drought in the Cuban province of Santiago, UNDP, UNICEF and WFP developed a </w:t>
      </w:r>
      <w:r>
        <w:rPr>
          <w:rFonts w:asciiTheme="majorHAnsi" w:eastAsia="Arial" w:hAnsiTheme="majorHAnsi" w:cs="Calibri"/>
          <w:sz w:val="22"/>
          <w:szCs w:val="22"/>
          <w:lang w:val="en"/>
        </w:rPr>
        <w:t>w</w:t>
      </w:r>
      <w:r w:rsidRPr="00261620">
        <w:rPr>
          <w:rFonts w:asciiTheme="majorHAnsi" w:eastAsia="Arial" w:hAnsiTheme="majorHAnsi" w:cs="Calibri"/>
          <w:sz w:val="22"/>
          <w:szCs w:val="22"/>
          <w:lang w:val="en"/>
        </w:rPr>
        <w:t xml:space="preserve">ater </w:t>
      </w:r>
      <w:r>
        <w:rPr>
          <w:rFonts w:asciiTheme="majorHAnsi" w:eastAsia="Arial" w:hAnsiTheme="majorHAnsi" w:cs="Calibri"/>
          <w:sz w:val="22"/>
          <w:szCs w:val="22"/>
          <w:lang w:val="en"/>
        </w:rPr>
        <w:t>m</w:t>
      </w:r>
      <w:r w:rsidRPr="00261620">
        <w:rPr>
          <w:rFonts w:asciiTheme="majorHAnsi" w:eastAsia="Arial" w:hAnsiTheme="majorHAnsi" w:cs="Calibri"/>
          <w:sz w:val="22"/>
          <w:szCs w:val="22"/>
          <w:lang w:val="en"/>
        </w:rPr>
        <w:t xml:space="preserve">anagement </w:t>
      </w:r>
      <w:r>
        <w:rPr>
          <w:rFonts w:asciiTheme="majorHAnsi" w:eastAsia="Arial" w:hAnsiTheme="majorHAnsi" w:cs="Calibri"/>
          <w:sz w:val="22"/>
          <w:szCs w:val="22"/>
          <w:lang w:val="en"/>
        </w:rPr>
        <w:t>c</w:t>
      </w:r>
      <w:r w:rsidRPr="00261620">
        <w:rPr>
          <w:rFonts w:asciiTheme="majorHAnsi" w:eastAsia="Arial" w:hAnsiTheme="majorHAnsi" w:cs="Calibri"/>
          <w:sz w:val="22"/>
          <w:szCs w:val="22"/>
          <w:lang w:val="en"/>
        </w:rPr>
        <w:t xml:space="preserve">hain with articulated results and strengthened local-level partnerships among different actors, </w:t>
      </w:r>
      <w:r>
        <w:rPr>
          <w:rFonts w:asciiTheme="majorHAnsi" w:eastAsia="Arial" w:hAnsiTheme="majorHAnsi" w:cs="Calibri"/>
          <w:sz w:val="22"/>
          <w:szCs w:val="22"/>
          <w:lang w:val="en"/>
        </w:rPr>
        <w:t xml:space="preserve">promoting </w:t>
      </w:r>
      <w:r w:rsidRPr="00261620">
        <w:rPr>
          <w:rFonts w:asciiTheme="majorHAnsi" w:eastAsia="Arial" w:hAnsiTheme="majorHAnsi" w:cs="Calibri"/>
          <w:sz w:val="22"/>
          <w:szCs w:val="22"/>
          <w:lang w:val="en"/>
        </w:rPr>
        <w:t xml:space="preserve">capacity strengthening and community participation and empowerment. In the Dominican Republic, UNICEF and UNDP worked jointly with the </w:t>
      </w:r>
      <w:r>
        <w:rPr>
          <w:rFonts w:asciiTheme="majorHAnsi" w:eastAsia="Arial" w:hAnsiTheme="majorHAnsi" w:cs="Calibri"/>
          <w:sz w:val="22"/>
          <w:szCs w:val="22"/>
          <w:lang w:val="en"/>
        </w:rPr>
        <w:t>G</w:t>
      </w:r>
      <w:r w:rsidRPr="00261620">
        <w:rPr>
          <w:rFonts w:asciiTheme="majorHAnsi" w:eastAsia="Arial" w:hAnsiTheme="majorHAnsi" w:cs="Calibri"/>
          <w:sz w:val="22"/>
          <w:szCs w:val="22"/>
          <w:lang w:val="en"/>
        </w:rPr>
        <w:t>overnment on the design of the National Action Protocol for Social Protection Against Climate Shocks, to strengthen the capabilities of the social protection system for emergency preparedness</w:t>
      </w:r>
      <w:r>
        <w:rPr>
          <w:rFonts w:asciiTheme="majorHAnsi" w:eastAsia="Arial" w:hAnsiTheme="majorHAnsi" w:cs="Calibri"/>
          <w:sz w:val="22"/>
          <w:szCs w:val="22"/>
          <w:lang w:val="en"/>
        </w:rPr>
        <w:t>,</w:t>
      </w:r>
      <w:r w:rsidRPr="00261620">
        <w:rPr>
          <w:rFonts w:asciiTheme="majorHAnsi" w:eastAsia="Arial" w:hAnsiTheme="majorHAnsi" w:cs="Calibri"/>
          <w:sz w:val="22"/>
          <w:szCs w:val="22"/>
          <w:lang w:val="en"/>
        </w:rPr>
        <w:t xml:space="preserve"> response</w:t>
      </w:r>
      <w:r>
        <w:rPr>
          <w:rFonts w:asciiTheme="majorHAnsi" w:eastAsia="Arial" w:hAnsiTheme="majorHAnsi" w:cs="Calibri"/>
          <w:sz w:val="22"/>
          <w:szCs w:val="22"/>
          <w:lang w:val="en"/>
        </w:rPr>
        <w:t xml:space="preserve"> and </w:t>
      </w:r>
      <w:r w:rsidRPr="00261620">
        <w:rPr>
          <w:rFonts w:asciiTheme="majorHAnsi" w:eastAsia="Arial" w:hAnsiTheme="majorHAnsi" w:cs="Calibri"/>
          <w:sz w:val="22"/>
          <w:szCs w:val="22"/>
          <w:lang w:val="en"/>
        </w:rPr>
        <w:t>recovery</w:t>
      </w:r>
      <w:r>
        <w:rPr>
          <w:rFonts w:asciiTheme="majorHAnsi" w:eastAsia="Arial" w:hAnsiTheme="majorHAnsi" w:cs="Calibri"/>
          <w:sz w:val="22"/>
          <w:szCs w:val="22"/>
          <w:lang w:val="en"/>
        </w:rPr>
        <w:t>;</w:t>
      </w:r>
    </w:p>
    <w:p w:rsidR="001A547C" w:rsidRDefault="001A547C" w:rsidP="001A547C">
      <w:pPr>
        <w:pStyle w:val="ListParagraph"/>
        <w:ind w:left="360"/>
        <w:jc w:val="both"/>
        <w:rPr>
          <w:rFonts w:asciiTheme="majorHAnsi" w:eastAsia="Arial" w:hAnsiTheme="majorHAnsi" w:cs="Calibri"/>
          <w:sz w:val="22"/>
          <w:szCs w:val="22"/>
          <w:lang w:val="en"/>
        </w:rPr>
      </w:pPr>
    </w:p>
    <w:p w:rsidR="001A547C" w:rsidRPr="00D31208" w:rsidRDefault="001A547C" w:rsidP="001A547C">
      <w:pPr>
        <w:pStyle w:val="ListParagraph"/>
        <w:numPr>
          <w:ilvl w:val="0"/>
          <w:numId w:val="38"/>
        </w:numPr>
        <w:ind w:left="360"/>
        <w:jc w:val="both"/>
        <w:rPr>
          <w:rFonts w:asciiTheme="majorHAnsi" w:eastAsia="Arial" w:hAnsiTheme="majorHAnsi" w:cs="Calibri"/>
          <w:sz w:val="22"/>
          <w:szCs w:val="22"/>
          <w:lang w:val="en"/>
        </w:rPr>
      </w:pPr>
      <w:r w:rsidRPr="00D31208">
        <w:rPr>
          <w:rFonts w:asciiTheme="majorHAnsi" w:eastAsia="Arial" w:hAnsiTheme="majorHAnsi" w:cs="Calibri"/>
          <w:b/>
          <w:sz w:val="22"/>
          <w:szCs w:val="22"/>
          <w:lang w:val="en"/>
        </w:rPr>
        <w:t>Disaster preparedness</w:t>
      </w:r>
      <w:r w:rsidRPr="00D31208">
        <w:rPr>
          <w:rFonts w:asciiTheme="majorHAnsi" w:eastAsia="Arial" w:hAnsiTheme="majorHAnsi" w:cs="Calibri"/>
          <w:sz w:val="22"/>
          <w:szCs w:val="22"/>
          <w:lang w:val="en"/>
        </w:rPr>
        <w:t>. In Viet Nam, UNDP, UNICEF and UN-Women, as part of the United Nations Result Group on Disaster Risk Reduction and Resilience, mobilized seed funding from the Delivery Together Facility to implement data layering for disaster preparedness;</w:t>
      </w:r>
    </w:p>
    <w:p w:rsidR="001A547C" w:rsidRPr="00261620" w:rsidRDefault="001A547C" w:rsidP="001A547C">
      <w:pPr>
        <w:pStyle w:val="ListParagraph"/>
        <w:ind w:left="360"/>
        <w:jc w:val="both"/>
        <w:rPr>
          <w:rFonts w:asciiTheme="majorHAnsi" w:eastAsia="Arial" w:hAnsiTheme="majorHAnsi" w:cs="Calibri"/>
          <w:sz w:val="22"/>
          <w:szCs w:val="22"/>
          <w:lang w:val="en"/>
        </w:rPr>
      </w:pPr>
    </w:p>
    <w:p w:rsidR="001A547C" w:rsidRDefault="001A547C" w:rsidP="001A547C">
      <w:pPr>
        <w:pStyle w:val="ListParagraph"/>
        <w:numPr>
          <w:ilvl w:val="0"/>
          <w:numId w:val="38"/>
        </w:numPr>
        <w:ind w:left="360"/>
        <w:jc w:val="both"/>
        <w:rPr>
          <w:rFonts w:asciiTheme="majorHAnsi" w:eastAsia="Arial" w:hAnsiTheme="majorHAnsi" w:cs="Calibri"/>
          <w:sz w:val="22"/>
          <w:szCs w:val="22"/>
          <w:lang w:val="en"/>
        </w:rPr>
      </w:pPr>
      <w:r w:rsidRPr="004E098C">
        <w:rPr>
          <w:rFonts w:asciiTheme="majorHAnsi" w:eastAsia="Arial" w:hAnsiTheme="majorHAnsi" w:cs="Calibri"/>
          <w:b/>
          <w:sz w:val="22"/>
          <w:szCs w:val="22"/>
          <w:lang w:val="en"/>
        </w:rPr>
        <w:t xml:space="preserve">Disaster </w:t>
      </w:r>
      <w:r>
        <w:rPr>
          <w:rFonts w:asciiTheme="majorHAnsi" w:eastAsia="Arial" w:hAnsiTheme="majorHAnsi" w:cs="Calibri"/>
          <w:b/>
          <w:sz w:val="22"/>
          <w:szCs w:val="22"/>
          <w:lang w:val="en"/>
        </w:rPr>
        <w:t>r</w:t>
      </w:r>
      <w:r w:rsidRPr="004E098C">
        <w:rPr>
          <w:rFonts w:asciiTheme="majorHAnsi" w:eastAsia="Arial" w:hAnsiTheme="majorHAnsi" w:cs="Calibri"/>
          <w:b/>
          <w:sz w:val="22"/>
          <w:szCs w:val="22"/>
          <w:lang w:val="en"/>
        </w:rPr>
        <w:t xml:space="preserve">isk </w:t>
      </w:r>
      <w:r>
        <w:rPr>
          <w:rFonts w:asciiTheme="majorHAnsi" w:eastAsia="Arial" w:hAnsiTheme="majorHAnsi" w:cs="Calibri"/>
          <w:b/>
          <w:sz w:val="22"/>
          <w:szCs w:val="22"/>
          <w:lang w:val="en"/>
        </w:rPr>
        <w:t>r</w:t>
      </w:r>
      <w:r w:rsidRPr="004E098C">
        <w:rPr>
          <w:rFonts w:asciiTheme="majorHAnsi" w:eastAsia="Arial" w:hAnsiTheme="majorHAnsi" w:cs="Calibri"/>
          <w:b/>
          <w:sz w:val="22"/>
          <w:szCs w:val="22"/>
          <w:lang w:val="en"/>
        </w:rPr>
        <w:t>eduction</w:t>
      </w:r>
      <w:r>
        <w:rPr>
          <w:rFonts w:asciiTheme="majorHAnsi" w:eastAsia="Arial" w:hAnsiTheme="majorHAnsi" w:cs="Calibri"/>
          <w:b/>
          <w:sz w:val="22"/>
          <w:szCs w:val="22"/>
          <w:lang w:val="en"/>
        </w:rPr>
        <w:t xml:space="preserve"> (DRR)</w:t>
      </w:r>
      <w:r>
        <w:rPr>
          <w:rFonts w:asciiTheme="majorHAnsi" w:eastAsia="Arial" w:hAnsiTheme="majorHAnsi" w:cs="Calibri"/>
          <w:sz w:val="22"/>
          <w:szCs w:val="22"/>
          <w:lang w:val="en"/>
        </w:rPr>
        <w:t xml:space="preserve">. </w:t>
      </w:r>
      <w:r w:rsidRPr="00261620">
        <w:rPr>
          <w:rFonts w:asciiTheme="majorHAnsi" w:eastAsia="Arial" w:hAnsiTheme="majorHAnsi" w:cs="Calibri"/>
          <w:sz w:val="22"/>
          <w:szCs w:val="22"/>
          <w:lang w:val="en"/>
        </w:rPr>
        <w:t xml:space="preserve">In Bosnia and Herzegovina, </w:t>
      </w:r>
      <w:r>
        <w:rPr>
          <w:rFonts w:asciiTheme="majorHAnsi" w:eastAsia="Arial" w:hAnsiTheme="majorHAnsi" w:cs="Calibri"/>
          <w:sz w:val="22"/>
          <w:szCs w:val="22"/>
          <w:lang w:val="en"/>
        </w:rPr>
        <w:t>a</w:t>
      </w:r>
      <w:r w:rsidRPr="00261620">
        <w:rPr>
          <w:rFonts w:asciiTheme="majorHAnsi" w:eastAsia="Arial" w:hAnsiTheme="majorHAnsi" w:cs="Calibri"/>
          <w:sz w:val="22"/>
          <w:szCs w:val="22"/>
          <w:lang w:val="en"/>
        </w:rPr>
        <w:t xml:space="preserve"> new </w:t>
      </w:r>
      <w:r>
        <w:rPr>
          <w:rFonts w:asciiTheme="majorHAnsi" w:eastAsia="Arial" w:hAnsiTheme="majorHAnsi" w:cs="Calibri"/>
          <w:sz w:val="22"/>
          <w:szCs w:val="22"/>
          <w:lang w:val="en"/>
        </w:rPr>
        <w:t>j</w:t>
      </w:r>
      <w:r w:rsidRPr="00261620">
        <w:rPr>
          <w:rFonts w:asciiTheme="majorHAnsi" w:eastAsia="Arial" w:hAnsiTheme="majorHAnsi" w:cs="Calibri"/>
          <w:sz w:val="22"/>
          <w:szCs w:val="22"/>
          <w:lang w:val="en"/>
        </w:rPr>
        <w:t xml:space="preserve">oint </w:t>
      </w:r>
      <w:r>
        <w:rPr>
          <w:rFonts w:asciiTheme="majorHAnsi" w:eastAsia="Arial" w:hAnsiTheme="majorHAnsi" w:cs="Calibri"/>
          <w:sz w:val="22"/>
          <w:szCs w:val="22"/>
          <w:lang w:val="en"/>
        </w:rPr>
        <w:t>initiative</w:t>
      </w:r>
      <w:r w:rsidRPr="00261620">
        <w:rPr>
          <w:rFonts w:asciiTheme="majorHAnsi" w:eastAsia="Arial" w:hAnsiTheme="majorHAnsi" w:cs="Calibri"/>
          <w:sz w:val="22"/>
          <w:szCs w:val="22"/>
          <w:lang w:val="en"/>
        </w:rPr>
        <w:t xml:space="preserve"> on DRR involving UNICEF, UNDP</w:t>
      </w:r>
      <w:r>
        <w:rPr>
          <w:rFonts w:asciiTheme="majorHAnsi" w:eastAsia="Arial" w:hAnsiTheme="majorHAnsi" w:cs="Calibri"/>
          <w:sz w:val="22"/>
          <w:szCs w:val="22"/>
          <w:lang w:val="en"/>
        </w:rPr>
        <w:t xml:space="preserve"> and</w:t>
      </w:r>
      <w:r w:rsidRPr="00261620">
        <w:rPr>
          <w:rFonts w:asciiTheme="majorHAnsi" w:eastAsia="Arial" w:hAnsiTheme="majorHAnsi" w:cs="Calibri"/>
          <w:sz w:val="22"/>
          <w:szCs w:val="22"/>
          <w:lang w:val="en"/>
        </w:rPr>
        <w:t xml:space="preserve"> </w:t>
      </w:r>
      <w:r>
        <w:rPr>
          <w:rFonts w:asciiTheme="majorHAnsi" w:eastAsia="Arial" w:hAnsiTheme="majorHAnsi" w:cs="Calibri"/>
          <w:sz w:val="22"/>
          <w:szCs w:val="22"/>
          <w:lang w:val="en"/>
        </w:rPr>
        <w:t>UNFPA, as well as the Food and Agricultural Organization of the United Nations (</w:t>
      </w:r>
      <w:r w:rsidRPr="00261620">
        <w:rPr>
          <w:rFonts w:asciiTheme="majorHAnsi" w:eastAsia="Arial" w:hAnsiTheme="majorHAnsi" w:cs="Calibri"/>
          <w:sz w:val="22"/>
          <w:szCs w:val="22"/>
          <w:lang w:val="en"/>
        </w:rPr>
        <w:t>FAO</w:t>
      </w:r>
      <w:r>
        <w:rPr>
          <w:rFonts w:asciiTheme="majorHAnsi" w:eastAsia="Arial" w:hAnsiTheme="majorHAnsi" w:cs="Calibri"/>
          <w:sz w:val="22"/>
          <w:szCs w:val="22"/>
          <w:lang w:val="en"/>
        </w:rPr>
        <w:t>) and the United Nations Educational, Scientific and Cultural Organization (</w:t>
      </w:r>
      <w:r w:rsidRPr="00261620">
        <w:rPr>
          <w:rFonts w:asciiTheme="majorHAnsi" w:eastAsia="Arial" w:hAnsiTheme="majorHAnsi" w:cs="Calibri"/>
          <w:sz w:val="22"/>
          <w:szCs w:val="22"/>
          <w:lang w:val="en"/>
        </w:rPr>
        <w:t>UNESCO</w:t>
      </w:r>
      <w:r>
        <w:rPr>
          <w:rFonts w:asciiTheme="majorHAnsi" w:eastAsia="Arial" w:hAnsiTheme="majorHAnsi" w:cs="Calibri"/>
          <w:sz w:val="22"/>
          <w:szCs w:val="22"/>
          <w:lang w:val="en"/>
        </w:rPr>
        <w:t>)</w:t>
      </w:r>
      <w:r w:rsidRPr="00261620">
        <w:rPr>
          <w:rFonts w:asciiTheme="majorHAnsi" w:eastAsia="Arial" w:hAnsiTheme="majorHAnsi" w:cs="Calibri"/>
          <w:sz w:val="22"/>
          <w:szCs w:val="22"/>
          <w:lang w:val="en"/>
        </w:rPr>
        <w:t>, was finali</w:t>
      </w:r>
      <w:r>
        <w:rPr>
          <w:rFonts w:asciiTheme="majorHAnsi" w:eastAsia="Arial" w:hAnsiTheme="majorHAnsi" w:cs="Calibri"/>
          <w:sz w:val="22"/>
          <w:szCs w:val="22"/>
          <w:lang w:val="en"/>
        </w:rPr>
        <w:t>z</w:t>
      </w:r>
      <w:r w:rsidRPr="00261620">
        <w:rPr>
          <w:rFonts w:asciiTheme="majorHAnsi" w:eastAsia="Arial" w:hAnsiTheme="majorHAnsi" w:cs="Calibri"/>
          <w:sz w:val="22"/>
          <w:szCs w:val="22"/>
          <w:lang w:val="en"/>
        </w:rPr>
        <w:t xml:space="preserve">ed. </w:t>
      </w:r>
      <w:r>
        <w:rPr>
          <w:rFonts w:asciiTheme="majorHAnsi" w:eastAsia="Arial" w:hAnsiTheme="majorHAnsi" w:cs="Calibri"/>
          <w:sz w:val="22"/>
          <w:szCs w:val="22"/>
          <w:lang w:val="en"/>
        </w:rPr>
        <w:t>I</w:t>
      </w:r>
      <w:r w:rsidRPr="00261620">
        <w:rPr>
          <w:rFonts w:asciiTheme="majorHAnsi" w:eastAsia="Arial" w:hAnsiTheme="majorHAnsi" w:cs="Calibri"/>
          <w:sz w:val="22"/>
          <w:szCs w:val="22"/>
          <w:lang w:val="en"/>
        </w:rPr>
        <w:t>mplementation</w:t>
      </w:r>
      <w:r>
        <w:rPr>
          <w:rFonts w:asciiTheme="majorHAnsi" w:eastAsia="Arial" w:hAnsiTheme="majorHAnsi" w:cs="Calibri"/>
          <w:sz w:val="22"/>
          <w:szCs w:val="22"/>
          <w:lang w:val="en"/>
        </w:rPr>
        <w:t xml:space="preserve"> will start</w:t>
      </w:r>
      <w:r w:rsidRPr="00261620">
        <w:rPr>
          <w:rFonts w:asciiTheme="majorHAnsi" w:eastAsia="Arial" w:hAnsiTheme="majorHAnsi" w:cs="Calibri"/>
          <w:sz w:val="22"/>
          <w:szCs w:val="22"/>
          <w:lang w:val="en"/>
        </w:rPr>
        <w:t xml:space="preserve"> in 2019 in 10 selected locations to improve DRR capacities at the local level.</w:t>
      </w:r>
      <w:r>
        <w:rPr>
          <w:rFonts w:asciiTheme="majorHAnsi" w:eastAsia="Arial" w:hAnsiTheme="majorHAnsi" w:cs="Calibri"/>
          <w:sz w:val="22"/>
          <w:szCs w:val="22"/>
          <w:lang w:val="en"/>
        </w:rPr>
        <w:t xml:space="preserve"> </w:t>
      </w:r>
      <w:r w:rsidRPr="00261620">
        <w:rPr>
          <w:rFonts w:asciiTheme="majorHAnsi" w:hAnsiTheme="majorHAnsi" w:cs="Calibri"/>
          <w:sz w:val="22"/>
          <w:szCs w:val="22"/>
        </w:rPr>
        <w:t xml:space="preserve">UNDP, </w:t>
      </w:r>
      <w:r>
        <w:rPr>
          <w:rFonts w:asciiTheme="majorHAnsi" w:hAnsiTheme="majorHAnsi" w:cs="Calibri"/>
          <w:sz w:val="22"/>
          <w:szCs w:val="22"/>
        </w:rPr>
        <w:t xml:space="preserve">UN-Women </w:t>
      </w:r>
      <w:r w:rsidRPr="00261620">
        <w:rPr>
          <w:rFonts w:asciiTheme="majorHAnsi" w:hAnsiTheme="majorHAnsi" w:cs="Calibri"/>
          <w:sz w:val="22"/>
          <w:szCs w:val="22"/>
        </w:rPr>
        <w:t xml:space="preserve">and </w:t>
      </w:r>
      <w:r>
        <w:rPr>
          <w:rFonts w:asciiTheme="majorHAnsi" w:hAnsiTheme="majorHAnsi" w:cs="Calibri"/>
          <w:sz w:val="22"/>
          <w:szCs w:val="22"/>
        </w:rPr>
        <w:t xml:space="preserve">UNESCO </w:t>
      </w:r>
      <w:r w:rsidRPr="00261620">
        <w:rPr>
          <w:rFonts w:asciiTheme="majorHAnsi" w:hAnsiTheme="majorHAnsi" w:cs="Calibri"/>
          <w:sz w:val="22"/>
          <w:szCs w:val="22"/>
        </w:rPr>
        <w:t xml:space="preserve">jointly implemented the </w:t>
      </w:r>
      <w:r w:rsidRPr="00657A36">
        <w:rPr>
          <w:rFonts w:asciiTheme="majorHAnsi" w:hAnsiTheme="majorHAnsi" w:cs="Calibri"/>
          <w:sz w:val="22"/>
          <w:szCs w:val="22"/>
        </w:rPr>
        <w:t>strengthening human security</w:t>
      </w:r>
      <w:r w:rsidRPr="00261620">
        <w:rPr>
          <w:rFonts w:asciiTheme="majorHAnsi" w:hAnsiTheme="majorHAnsi" w:cs="Calibri"/>
          <w:sz w:val="22"/>
          <w:szCs w:val="22"/>
        </w:rPr>
        <w:t xml:space="preserve"> project in Haiti, which empowers vulnerable communities and builds their capacit</w:t>
      </w:r>
      <w:r>
        <w:rPr>
          <w:rFonts w:asciiTheme="majorHAnsi" w:hAnsiTheme="majorHAnsi" w:cs="Calibri"/>
          <w:sz w:val="22"/>
          <w:szCs w:val="22"/>
        </w:rPr>
        <w:t xml:space="preserve">ies </w:t>
      </w:r>
      <w:r w:rsidRPr="00261620">
        <w:rPr>
          <w:rFonts w:asciiTheme="majorHAnsi" w:hAnsiTheme="majorHAnsi" w:cs="Calibri"/>
          <w:sz w:val="22"/>
          <w:szCs w:val="22"/>
        </w:rPr>
        <w:t>for reducing the impact of disaster risks.</w:t>
      </w:r>
      <w:r>
        <w:rPr>
          <w:rFonts w:asciiTheme="majorHAnsi" w:hAnsiTheme="majorHAnsi" w:cs="Calibri"/>
          <w:sz w:val="22"/>
          <w:szCs w:val="22"/>
        </w:rPr>
        <w:t xml:space="preserve"> </w:t>
      </w:r>
      <w:r w:rsidRPr="00261620">
        <w:rPr>
          <w:rFonts w:asciiTheme="majorHAnsi" w:eastAsia="Arial" w:hAnsiTheme="majorHAnsi" w:cs="Calibri"/>
          <w:sz w:val="22"/>
          <w:szCs w:val="22"/>
          <w:lang w:val="en"/>
        </w:rPr>
        <w:t>In Ca</w:t>
      </w:r>
      <w:r>
        <w:rPr>
          <w:rFonts w:asciiTheme="majorHAnsi" w:eastAsia="Arial" w:hAnsiTheme="majorHAnsi" w:cs="Calibri"/>
          <w:sz w:val="22"/>
          <w:szCs w:val="22"/>
          <w:lang w:val="en"/>
        </w:rPr>
        <w:t>bo</w:t>
      </w:r>
      <w:r w:rsidRPr="00261620">
        <w:rPr>
          <w:rFonts w:asciiTheme="majorHAnsi" w:eastAsia="Arial" w:hAnsiTheme="majorHAnsi" w:cs="Calibri"/>
          <w:sz w:val="22"/>
          <w:szCs w:val="22"/>
          <w:lang w:val="en"/>
        </w:rPr>
        <w:t xml:space="preserve"> Verde, UNICEF, UNDP and UNFPA jointly commissioned a </w:t>
      </w:r>
      <w:r>
        <w:rPr>
          <w:rFonts w:asciiTheme="majorHAnsi" w:eastAsia="Arial" w:hAnsiTheme="majorHAnsi" w:cs="Calibri"/>
          <w:sz w:val="22"/>
          <w:szCs w:val="22"/>
          <w:lang w:val="en"/>
        </w:rPr>
        <w:t>c</w:t>
      </w:r>
      <w:r w:rsidRPr="00261620">
        <w:rPr>
          <w:rFonts w:asciiTheme="majorHAnsi" w:eastAsia="Arial" w:hAnsiTheme="majorHAnsi" w:cs="Calibri"/>
          <w:sz w:val="22"/>
          <w:szCs w:val="22"/>
          <w:lang w:val="en"/>
        </w:rPr>
        <w:t xml:space="preserve">limate </w:t>
      </w:r>
      <w:r>
        <w:rPr>
          <w:rFonts w:asciiTheme="majorHAnsi" w:eastAsia="Arial" w:hAnsiTheme="majorHAnsi" w:cs="Calibri"/>
          <w:sz w:val="22"/>
          <w:szCs w:val="22"/>
          <w:lang w:val="en"/>
        </w:rPr>
        <w:t>l</w:t>
      </w:r>
      <w:r w:rsidRPr="00261620">
        <w:rPr>
          <w:rFonts w:asciiTheme="majorHAnsi" w:eastAsia="Arial" w:hAnsiTheme="majorHAnsi" w:cs="Calibri"/>
          <w:sz w:val="22"/>
          <w:szCs w:val="22"/>
          <w:lang w:val="en"/>
        </w:rPr>
        <w:t xml:space="preserve">andscape </w:t>
      </w:r>
      <w:r>
        <w:rPr>
          <w:rFonts w:asciiTheme="majorHAnsi" w:eastAsia="Arial" w:hAnsiTheme="majorHAnsi" w:cs="Calibri"/>
          <w:sz w:val="22"/>
          <w:szCs w:val="22"/>
          <w:lang w:val="en"/>
        </w:rPr>
        <w:t>a</w:t>
      </w:r>
      <w:r w:rsidRPr="00261620">
        <w:rPr>
          <w:rFonts w:asciiTheme="majorHAnsi" w:eastAsia="Arial" w:hAnsiTheme="majorHAnsi" w:cs="Calibri"/>
          <w:sz w:val="22"/>
          <w:szCs w:val="22"/>
          <w:lang w:val="en"/>
        </w:rPr>
        <w:t xml:space="preserve">nalysis for </w:t>
      </w:r>
      <w:r>
        <w:rPr>
          <w:rFonts w:asciiTheme="majorHAnsi" w:eastAsia="Arial" w:hAnsiTheme="majorHAnsi" w:cs="Calibri"/>
          <w:sz w:val="22"/>
          <w:szCs w:val="22"/>
          <w:lang w:val="en"/>
        </w:rPr>
        <w:t>c</w:t>
      </w:r>
      <w:r w:rsidRPr="00261620">
        <w:rPr>
          <w:rFonts w:asciiTheme="majorHAnsi" w:eastAsia="Arial" w:hAnsiTheme="majorHAnsi" w:cs="Calibri"/>
          <w:sz w:val="22"/>
          <w:szCs w:val="22"/>
          <w:lang w:val="en"/>
        </w:rPr>
        <w:t>hildren</w:t>
      </w:r>
      <w:r>
        <w:rPr>
          <w:rFonts w:asciiTheme="majorHAnsi" w:eastAsia="Arial" w:hAnsiTheme="majorHAnsi" w:cs="Calibri"/>
          <w:sz w:val="22"/>
          <w:szCs w:val="22"/>
          <w:lang w:val="en"/>
        </w:rPr>
        <w:t xml:space="preserve"> that addressed: </w:t>
      </w:r>
      <w:r w:rsidRPr="00261620">
        <w:rPr>
          <w:rFonts w:asciiTheme="majorHAnsi" w:eastAsia="Arial" w:hAnsiTheme="majorHAnsi" w:cs="Calibri"/>
          <w:sz w:val="22"/>
          <w:szCs w:val="22"/>
          <w:lang w:val="en"/>
        </w:rPr>
        <w:t xml:space="preserve">an overview of the climate, environment and energy situation, how children are being impacted by </w:t>
      </w:r>
      <w:r>
        <w:rPr>
          <w:rFonts w:asciiTheme="majorHAnsi" w:eastAsia="Arial" w:hAnsiTheme="majorHAnsi" w:cs="Calibri"/>
          <w:sz w:val="22"/>
          <w:szCs w:val="22"/>
          <w:lang w:val="en"/>
        </w:rPr>
        <w:t xml:space="preserve">related </w:t>
      </w:r>
      <w:r w:rsidRPr="00261620">
        <w:rPr>
          <w:rFonts w:asciiTheme="majorHAnsi" w:eastAsia="Arial" w:hAnsiTheme="majorHAnsi" w:cs="Calibri"/>
          <w:sz w:val="22"/>
          <w:szCs w:val="22"/>
          <w:lang w:val="en"/>
        </w:rPr>
        <w:t xml:space="preserve">issues and how the Government and development partners are responding to children’s needs. The recommendations of the study form a basis for increased collaboration in the areas of </w:t>
      </w:r>
      <w:r>
        <w:rPr>
          <w:rFonts w:asciiTheme="majorHAnsi" w:eastAsia="Arial" w:hAnsiTheme="majorHAnsi" w:cs="Calibri"/>
          <w:sz w:val="22"/>
          <w:szCs w:val="22"/>
          <w:lang w:val="en"/>
        </w:rPr>
        <w:t xml:space="preserve">DRR </w:t>
      </w:r>
      <w:r w:rsidRPr="00261620">
        <w:rPr>
          <w:rFonts w:asciiTheme="majorHAnsi" w:eastAsia="Arial" w:hAnsiTheme="majorHAnsi" w:cs="Calibri"/>
          <w:sz w:val="22"/>
          <w:szCs w:val="22"/>
          <w:lang w:val="en"/>
        </w:rPr>
        <w:t>reduction planning, the inclusion of climate change adaptation in water and sanitation programmes in schools and inclusion of children and young people as climate champions</w:t>
      </w:r>
      <w:r>
        <w:rPr>
          <w:rFonts w:asciiTheme="majorHAnsi" w:eastAsia="Arial" w:hAnsiTheme="majorHAnsi" w:cs="Calibri"/>
          <w:sz w:val="22"/>
          <w:szCs w:val="22"/>
          <w:lang w:val="en"/>
        </w:rPr>
        <w:t>;</w:t>
      </w:r>
    </w:p>
    <w:p w:rsidR="001A547C" w:rsidRPr="00261620" w:rsidRDefault="001A547C" w:rsidP="001A547C">
      <w:pPr>
        <w:pStyle w:val="ListParagraph"/>
        <w:ind w:left="360"/>
        <w:jc w:val="both"/>
        <w:rPr>
          <w:rFonts w:asciiTheme="majorHAnsi" w:eastAsia="Arial" w:hAnsiTheme="majorHAnsi" w:cs="Calibri"/>
          <w:sz w:val="22"/>
          <w:szCs w:val="22"/>
          <w:lang w:val="en"/>
        </w:rPr>
      </w:pPr>
    </w:p>
    <w:p w:rsidR="001A547C" w:rsidRPr="00261620" w:rsidRDefault="001A547C" w:rsidP="001A547C">
      <w:pPr>
        <w:pStyle w:val="ListParagraph"/>
        <w:numPr>
          <w:ilvl w:val="0"/>
          <w:numId w:val="38"/>
        </w:numPr>
        <w:ind w:left="360"/>
        <w:jc w:val="both"/>
        <w:rPr>
          <w:rFonts w:asciiTheme="majorHAnsi" w:eastAsia="Arial" w:hAnsiTheme="majorHAnsi" w:cs="Calibri"/>
          <w:sz w:val="22"/>
          <w:szCs w:val="22"/>
          <w:lang w:val="en"/>
        </w:rPr>
      </w:pPr>
      <w:r w:rsidRPr="009B28FF">
        <w:rPr>
          <w:rFonts w:asciiTheme="majorHAnsi" w:eastAsia="Arial" w:hAnsiTheme="majorHAnsi" w:cs="Calibri"/>
          <w:b/>
          <w:sz w:val="22"/>
          <w:szCs w:val="22"/>
          <w:lang w:val="en"/>
        </w:rPr>
        <w:t>Low carbon development strategies</w:t>
      </w:r>
      <w:r>
        <w:rPr>
          <w:rFonts w:asciiTheme="majorHAnsi" w:eastAsia="Arial" w:hAnsiTheme="majorHAnsi" w:cs="Calibri"/>
          <w:sz w:val="22"/>
          <w:szCs w:val="22"/>
          <w:lang w:val="en"/>
        </w:rPr>
        <w:t xml:space="preserve">. </w:t>
      </w:r>
      <w:r w:rsidRPr="00261620">
        <w:rPr>
          <w:rFonts w:asciiTheme="majorHAnsi" w:eastAsia="Arial" w:hAnsiTheme="majorHAnsi" w:cs="Calibri"/>
          <w:sz w:val="22"/>
          <w:szCs w:val="22"/>
          <w:lang w:val="en"/>
        </w:rPr>
        <w:t xml:space="preserve">In Malawi, UNDP and UNICEF collaborated to draft a </w:t>
      </w:r>
      <w:r>
        <w:rPr>
          <w:rFonts w:asciiTheme="majorHAnsi" w:eastAsia="Arial" w:hAnsiTheme="majorHAnsi" w:cs="Calibri"/>
          <w:sz w:val="22"/>
          <w:szCs w:val="22"/>
          <w:lang w:val="en"/>
        </w:rPr>
        <w:t>“p</w:t>
      </w:r>
      <w:r w:rsidRPr="00261620">
        <w:rPr>
          <w:rFonts w:asciiTheme="majorHAnsi" w:eastAsia="Arial" w:hAnsiTheme="majorHAnsi" w:cs="Calibri"/>
          <w:sz w:val="22"/>
          <w:szCs w:val="22"/>
          <w:lang w:val="en"/>
        </w:rPr>
        <w:t>ower</w:t>
      </w:r>
      <w:r>
        <w:rPr>
          <w:rFonts w:asciiTheme="majorHAnsi" w:eastAsia="Arial" w:hAnsiTheme="majorHAnsi" w:cs="Calibri"/>
          <w:sz w:val="22"/>
          <w:szCs w:val="22"/>
          <w:lang w:val="en"/>
        </w:rPr>
        <w:t xml:space="preserve"> </w:t>
      </w:r>
      <w:r w:rsidRPr="00261620">
        <w:rPr>
          <w:rFonts w:asciiTheme="majorHAnsi" w:eastAsia="Arial" w:hAnsiTheme="majorHAnsi" w:cs="Calibri"/>
          <w:sz w:val="22"/>
          <w:szCs w:val="22"/>
          <w:lang w:val="en"/>
        </w:rPr>
        <w:t>for</w:t>
      </w:r>
      <w:r>
        <w:rPr>
          <w:rFonts w:asciiTheme="majorHAnsi" w:eastAsia="Arial" w:hAnsiTheme="majorHAnsi" w:cs="Calibri"/>
          <w:sz w:val="22"/>
          <w:szCs w:val="22"/>
          <w:lang w:val="en"/>
        </w:rPr>
        <w:t xml:space="preserve"> h</w:t>
      </w:r>
      <w:r w:rsidRPr="00261620">
        <w:rPr>
          <w:rFonts w:asciiTheme="majorHAnsi" w:eastAsia="Arial" w:hAnsiTheme="majorHAnsi" w:cs="Calibri"/>
          <w:sz w:val="22"/>
          <w:szCs w:val="22"/>
          <w:lang w:val="en"/>
        </w:rPr>
        <w:t>ealth</w:t>
      </w:r>
      <w:r>
        <w:rPr>
          <w:rFonts w:asciiTheme="majorHAnsi" w:eastAsia="Arial" w:hAnsiTheme="majorHAnsi" w:cs="Calibri"/>
          <w:sz w:val="22"/>
          <w:szCs w:val="22"/>
          <w:lang w:val="en"/>
        </w:rPr>
        <w:t>”</w:t>
      </w:r>
      <w:r w:rsidRPr="00261620">
        <w:rPr>
          <w:rFonts w:asciiTheme="majorHAnsi" w:eastAsia="Arial" w:hAnsiTheme="majorHAnsi" w:cs="Calibri"/>
          <w:sz w:val="22"/>
          <w:szCs w:val="22"/>
          <w:lang w:val="en"/>
        </w:rPr>
        <w:t xml:space="preserve"> </w:t>
      </w:r>
      <w:r>
        <w:rPr>
          <w:rFonts w:asciiTheme="majorHAnsi" w:eastAsia="Arial" w:hAnsiTheme="majorHAnsi" w:cs="Calibri"/>
          <w:sz w:val="22"/>
          <w:szCs w:val="22"/>
          <w:lang w:val="en"/>
        </w:rPr>
        <w:t>m</w:t>
      </w:r>
      <w:r w:rsidRPr="00261620">
        <w:rPr>
          <w:rFonts w:asciiTheme="majorHAnsi" w:eastAsia="Arial" w:hAnsiTheme="majorHAnsi" w:cs="Calibri"/>
          <w:sz w:val="22"/>
          <w:szCs w:val="22"/>
          <w:lang w:val="en"/>
        </w:rPr>
        <w:t>aster plan to guide the implementation of renewable energy in support of a low-carbon development strategy for the health sector.</w:t>
      </w:r>
    </w:p>
    <w:p w:rsidR="001A547C" w:rsidRPr="00261620" w:rsidRDefault="001A547C" w:rsidP="001A547C">
      <w:pPr>
        <w:pStyle w:val="Heading2"/>
        <w:spacing w:after="0" w:line="240" w:lineRule="auto"/>
        <w:rPr>
          <w:rFonts w:asciiTheme="majorHAnsi" w:hAnsiTheme="majorHAnsi" w:cs="Calibri"/>
          <w:b/>
          <w:sz w:val="22"/>
          <w:szCs w:val="22"/>
        </w:rPr>
      </w:pPr>
      <w:r w:rsidRPr="00261620">
        <w:rPr>
          <w:rFonts w:asciiTheme="majorHAnsi" w:hAnsiTheme="majorHAnsi" w:cs="Calibri"/>
          <w:b/>
          <w:sz w:val="22"/>
          <w:szCs w:val="22"/>
        </w:rPr>
        <w:lastRenderedPageBreak/>
        <w:t>Improving adolescent and maternal health</w:t>
      </w:r>
    </w:p>
    <w:p w:rsidR="001A547C" w:rsidRDefault="001A547C" w:rsidP="001A547C">
      <w:pPr>
        <w:pStyle w:val="ListParagraph"/>
        <w:numPr>
          <w:ilvl w:val="0"/>
          <w:numId w:val="22"/>
        </w:numPr>
        <w:ind w:left="0" w:firstLine="0"/>
        <w:jc w:val="both"/>
        <w:rPr>
          <w:rFonts w:asciiTheme="majorHAnsi" w:hAnsiTheme="majorHAnsi" w:cs="Calibri"/>
          <w:sz w:val="22"/>
          <w:szCs w:val="22"/>
        </w:rPr>
      </w:pPr>
      <w:r>
        <w:rPr>
          <w:rFonts w:asciiTheme="majorHAnsi" w:hAnsiTheme="majorHAnsi" w:cs="Calibri"/>
          <w:sz w:val="22"/>
          <w:szCs w:val="22"/>
        </w:rPr>
        <w:t>The focus of common chapter work is to support advocacy and policy dialogue and provision of an essential package for improving maternal and newborn health; provision of information and services for preventing HIV infection among adolescents and youth, and preventing mother-to-child transmission of HIV; and acceleration of progress towards universal access to reproductive health services. Initiatives in 2018 contributed to:</w:t>
      </w:r>
    </w:p>
    <w:p w:rsidR="001A547C" w:rsidRPr="00261620" w:rsidRDefault="001A547C" w:rsidP="001A547C">
      <w:pPr>
        <w:pStyle w:val="ListParagraph"/>
        <w:ind w:left="0"/>
        <w:jc w:val="both"/>
        <w:rPr>
          <w:rFonts w:asciiTheme="majorHAnsi" w:hAnsiTheme="majorHAnsi" w:cs="Calibri"/>
          <w:sz w:val="22"/>
          <w:szCs w:val="22"/>
        </w:rPr>
      </w:pPr>
    </w:p>
    <w:p w:rsidR="001A547C" w:rsidRPr="009208C1" w:rsidRDefault="001A547C" w:rsidP="001A547C">
      <w:pPr>
        <w:pStyle w:val="ListParagraph"/>
        <w:numPr>
          <w:ilvl w:val="0"/>
          <w:numId w:val="19"/>
        </w:numPr>
        <w:jc w:val="both"/>
        <w:rPr>
          <w:rFonts w:asciiTheme="majorHAnsi" w:hAnsiTheme="majorHAnsi" w:cs="Calibri"/>
          <w:b/>
          <w:sz w:val="22"/>
          <w:szCs w:val="22"/>
        </w:rPr>
      </w:pPr>
      <w:r>
        <w:rPr>
          <w:rFonts w:asciiTheme="majorHAnsi" w:hAnsiTheme="majorHAnsi" w:cs="Calibri"/>
          <w:b/>
          <w:sz w:val="22"/>
          <w:szCs w:val="22"/>
        </w:rPr>
        <w:t>E</w:t>
      </w:r>
      <w:r w:rsidRPr="00261620">
        <w:rPr>
          <w:rFonts w:asciiTheme="majorHAnsi" w:hAnsiTheme="majorHAnsi" w:cs="Calibri"/>
          <w:b/>
          <w:sz w:val="22"/>
          <w:szCs w:val="22"/>
        </w:rPr>
        <w:t>vidence to foster innovative and improved solutions</w:t>
      </w:r>
      <w:r w:rsidRPr="00261620">
        <w:rPr>
          <w:rFonts w:asciiTheme="majorHAnsi" w:hAnsiTheme="majorHAnsi" w:cs="Calibri"/>
          <w:sz w:val="22"/>
          <w:szCs w:val="22"/>
        </w:rPr>
        <w:t xml:space="preserve">. UNFPA, UNICEF and </w:t>
      </w:r>
      <w:r>
        <w:rPr>
          <w:rFonts w:asciiTheme="majorHAnsi" w:hAnsiTheme="majorHAnsi" w:cs="Calibri"/>
          <w:sz w:val="22"/>
          <w:szCs w:val="22"/>
        </w:rPr>
        <w:t>UN-Women</w:t>
      </w:r>
      <w:r w:rsidRPr="00261620">
        <w:rPr>
          <w:rFonts w:asciiTheme="majorHAnsi" w:hAnsiTheme="majorHAnsi" w:cs="Calibri"/>
          <w:sz w:val="22"/>
          <w:szCs w:val="22"/>
        </w:rPr>
        <w:t xml:space="preserve"> in Albania jointly funded and supported the Demographic </w:t>
      </w:r>
      <w:r>
        <w:rPr>
          <w:rFonts w:asciiTheme="majorHAnsi" w:hAnsiTheme="majorHAnsi" w:cs="Calibri"/>
          <w:sz w:val="22"/>
          <w:szCs w:val="22"/>
        </w:rPr>
        <w:t xml:space="preserve">and </w:t>
      </w:r>
      <w:r w:rsidRPr="00261620">
        <w:rPr>
          <w:rFonts w:asciiTheme="majorHAnsi" w:hAnsiTheme="majorHAnsi" w:cs="Calibri"/>
          <w:sz w:val="22"/>
          <w:szCs w:val="22"/>
        </w:rPr>
        <w:t xml:space="preserve">Health Survey in obtaining important demographic, health and gender data. The data and evidence of health inequities and their multisectoral determinants provided by the Every Woman Every Child </w:t>
      </w:r>
      <w:r>
        <w:rPr>
          <w:rFonts w:asciiTheme="majorHAnsi" w:hAnsiTheme="majorHAnsi" w:cs="Calibri"/>
          <w:sz w:val="22"/>
          <w:szCs w:val="22"/>
        </w:rPr>
        <w:t xml:space="preserve">programme </w:t>
      </w:r>
      <w:r w:rsidRPr="00261620">
        <w:rPr>
          <w:rFonts w:asciiTheme="majorHAnsi" w:hAnsiTheme="majorHAnsi" w:cs="Calibri"/>
          <w:sz w:val="22"/>
          <w:szCs w:val="22"/>
        </w:rPr>
        <w:t>in the Latin America and the Caribbean region, were essential for the adoption and implementation of pro-equity health strategies and interventions</w:t>
      </w:r>
      <w:r>
        <w:rPr>
          <w:rFonts w:asciiTheme="majorHAnsi" w:hAnsiTheme="majorHAnsi" w:cs="Calibri"/>
          <w:sz w:val="22"/>
          <w:szCs w:val="22"/>
        </w:rPr>
        <w:t>;</w:t>
      </w:r>
    </w:p>
    <w:p w:rsidR="001A547C" w:rsidRPr="00261620" w:rsidRDefault="001A547C" w:rsidP="001A547C">
      <w:pPr>
        <w:pStyle w:val="ListParagraph"/>
        <w:ind w:left="360"/>
        <w:jc w:val="both"/>
        <w:rPr>
          <w:rFonts w:asciiTheme="majorHAnsi" w:hAnsiTheme="majorHAnsi" w:cs="Calibri"/>
          <w:b/>
          <w:sz w:val="22"/>
          <w:szCs w:val="22"/>
        </w:rPr>
      </w:pPr>
      <w:r w:rsidRPr="00261620">
        <w:rPr>
          <w:rFonts w:asciiTheme="majorHAnsi" w:hAnsiTheme="majorHAnsi" w:cs="Calibri"/>
          <w:sz w:val="22"/>
          <w:szCs w:val="22"/>
        </w:rPr>
        <w:t xml:space="preserve"> </w:t>
      </w:r>
    </w:p>
    <w:p w:rsidR="001A547C" w:rsidRPr="009208C1" w:rsidRDefault="001A547C" w:rsidP="001A547C">
      <w:pPr>
        <w:pStyle w:val="ListParagraph"/>
        <w:numPr>
          <w:ilvl w:val="0"/>
          <w:numId w:val="19"/>
        </w:numPr>
        <w:jc w:val="both"/>
        <w:rPr>
          <w:rFonts w:asciiTheme="majorHAnsi" w:hAnsiTheme="majorHAnsi" w:cs="Calibri"/>
          <w:sz w:val="22"/>
          <w:szCs w:val="22"/>
        </w:rPr>
      </w:pPr>
      <w:r w:rsidRPr="009208C1">
        <w:rPr>
          <w:rFonts w:asciiTheme="majorHAnsi" w:hAnsiTheme="majorHAnsi" w:cs="Calibri"/>
          <w:b/>
          <w:sz w:val="22"/>
          <w:szCs w:val="22"/>
        </w:rPr>
        <w:t>Improved strategies for adolescent and maternal health.</w:t>
      </w:r>
      <w:r w:rsidRPr="009208C1">
        <w:rPr>
          <w:rFonts w:asciiTheme="majorHAnsi" w:hAnsiTheme="majorHAnsi" w:cs="Calibri"/>
          <w:sz w:val="22"/>
          <w:szCs w:val="22"/>
        </w:rPr>
        <w:t xml:space="preserve"> In 2018, the H6 partnership</w:t>
      </w:r>
      <w:r>
        <w:rPr>
          <w:rStyle w:val="FootnoteReference"/>
          <w:rFonts w:asciiTheme="majorHAnsi" w:hAnsiTheme="majorHAnsi" w:cs="Calibri"/>
          <w:sz w:val="22"/>
          <w:szCs w:val="22"/>
        </w:rPr>
        <w:footnoteReference w:id="2"/>
      </w:r>
      <w:r w:rsidRPr="009208C1">
        <w:rPr>
          <w:rFonts w:asciiTheme="majorHAnsi" w:hAnsiTheme="majorHAnsi" w:cs="Calibri"/>
          <w:sz w:val="22"/>
          <w:szCs w:val="22"/>
        </w:rPr>
        <w:t xml:space="preserve"> provided joint support to Every Woman Every Child at the global level and coordinated technical support to countries. The joint support of UNFPA and UNICEF, with WHO, culminated in the first reproductive, maternal, neonatal, child</w:t>
      </w:r>
      <w:r>
        <w:rPr>
          <w:rFonts w:asciiTheme="majorHAnsi" w:hAnsiTheme="majorHAnsi" w:cs="Calibri"/>
          <w:sz w:val="22"/>
          <w:szCs w:val="22"/>
        </w:rPr>
        <w:t xml:space="preserve"> and</w:t>
      </w:r>
      <w:r w:rsidRPr="009208C1">
        <w:rPr>
          <w:rFonts w:asciiTheme="majorHAnsi" w:hAnsiTheme="majorHAnsi" w:cs="Calibri"/>
          <w:sz w:val="22"/>
          <w:szCs w:val="22"/>
        </w:rPr>
        <w:t xml:space="preserve"> adolescent health strategy in Libya, with coordinated action including a package of low-cost and high-impact programmes for actions and scaling-up. The Guide for Implementing the Global Strategy for Women’s, Children’s and Adolescents’ Health in the Latin America and the Caribbean, developed under the joint efforts of the four agencies and beyond</w:t>
      </w:r>
      <w:r>
        <w:rPr>
          <w:rFonts w:asciiTheme="majorHAnsi" w:hAnsiTheme="majorHAnsi" w:cs="Calibri"/>
          <w:sz w:val="22"/>
          <w:szCs w:val="22"/>
        </w:rPr>
        <w:t>,</w:t>
      </w:r>
      <w:r w:rsidRPr="009208C1">
        <w:rPr>
          <w:rFonts w:asciiTheme="majorHAnsi" w:hAnsiTheme="majorHAnsi" w:cs="Calibri"/>
          <w:sz w:val="22"/>
          <w:szCs w:val="22"/>
        </w:rPr>
        <w:t xml:space="preserve"> became an important tool for countries to adapt and reach their health goals;</w:t>
      </w:r>
    </w:p>
    <w:p w:rsidR="001A547C" w:rsidRPr="00FC50B0" w:rsidRDefault="001A547C" w:rsidP="001A547C">
      <w:pPr>
        <w:pStyle w:val="ListParagraph"/>
        <w:ind w:left="360"/>
        <w:jc w:val="both"/>
        <w:rPr>
          <w:rFonts w:asciiTheme="majorHAnsi" w:hAnsiTheme="majorHAnsi" w:cs="Calibri"/>
          <w:b/>
          <w:sz w:val="22"/>
          <w:szCs w:val="22"/>
        </w:rPr>
      </w:pPr>
      <w:r w:rsidRPr="00261620">
        <w:rPr>
          <w:rFonts w:asciiTheme="majorHAnsi" w:hAnsiTheme="majorHAnsi" w:cs="Calibri"/>
          <w:sz w:val="22"/>
          <w:szCs w:val="22"/>
        </w:rPr>
        <w:t xml:space="preserve">  </w:t>
      </w:r>
    </w:p>
    <w:p w:rsidR="001A547C" w:rsidRDefault="001A547C" w:rsidP="001A547C">
      <w:pPr>
        <w:pStyle w:val="ListParagraph"/>
        <w:numPr>
          <w:ilvl w:val="0"/>
          <w:numId w:val="19"/>
        </w:numPr>
        <w:jc w:val="both"/>
        <w:rPr>
          <w:rFonts w:asciiTheme="majorHAnsi" w:hAnsiTheme="majorHAnsi" w:cs="Calibri"/>
          <w:sz w:val="22"/>
          <w:szCs w:val="22"/>
        </w:rPr>
      </w:pPr>
      <w:r>
        <w:rPr>
          <w:rFonts w:asciiTheme="majorHAnsi" w:hAnsiTheme="majorHAnsi" w:cs="Calibri"/>
          <w:b/>
          <w:sz w:val="22"/>
          <w:szCs w:val="22"/>
        </w:rPr>
        <w:t>Eliminating female genital mut</w:t>
      </w:r>
      <w:r w:rsidRPr="00F65635">
        <w:rPr>
          <w:rFonts w:asciiTheme="majorHAnsi" w:hAnsiTheme="majorHAnsi" w:cs="Calibri"/>
          <w:b/>
          <w:sz w:val="22"/>
          <w:szCs w:val="22"/>
        </w:rPr>
        <w:t>ilation</w:t>
      </w:r>
      <w:r>
        <w:rPr>
          <w:rFonts w:asciiTheme="majorHAnsi" w:hAnsiTheme="majorHAnsi" w:cs="Calibri"/>
          <w:b/>
          <w:sz w:val="22"/>
          <w:szCs w:val="22"/>
        </w:rPr>
        <w:t xml:space="preserve"> (FGM)</w:t>
      </w:r>
      <w:r>
        <w:rPr>
          <w:rFonts w:asciiTheme="majorHAnsi" w:hAnsiTheme="majorHAnsi" w:cs="Calibri"/>
          <w:sz w:val="22"/>
          <w:szCs w:val="22"/>
        </w:rPr>
        <w:t xml:space="preserve">. The joint work of </w:t>
      </w:r>
      <w:r w:rsidRPr="00FC50B0">
        <w:rPr>
          <w:rFonts w:asciiTheme="majorHAnsi" w:hAnsiTheme="majorHAnsi" w:cs="Calibri"/>
          <w:sz w:val="22"/>
          <w:szCs w:val="22"/>
        </w:rPr>
        <w:t>UNFPA</w:t>
      </w:r>
      <w:r w:rsidRPr="00261620">
        <w:rPr>
          <w:rFonts w:asciiTheme="majorHAnsi" w:hAnsiTheme="majorHAnsi" w:cs="Calibri"/>
          <w:sz w:val="22"/>
          <w:szCs w:val="22"/>
        </w:rPr>
        <w:t xml:space="preserve"> and </w:t>
      </w:r>
      <w:r w:rsidRPr="00FC50B0">
        <w:rPr>
          <w:rFonts w:asciiTheme="majorHAnsi" w:hAnsiTheme="majorHAnsi" w:cs="Calibri"/>
          <w:sz w:val="22"/>
          <w:szCs w:val="22"/>
        </w:rPr>
        <w:t>UNICEF</w:t>
      </w:r>
      <w:r w:rsidRPr="00261620">
        <w:rPr>
          <w:rFonts w:asciiTheme="majorHAnsi" w:hAnsiTheme="majorHAnsi" w:cs="Calibri"/>
          <w:sz w:val="22"/>
          <w:szCs w:val="22"/>
        </w:rPr>
        <w:t xml:space="preserve"> to e</w:t>
      </w:r>
      <w:r w:rsidRPr="00FC50B0">
        <w:rPr>
          <w:rFonts w:asciiTheme="majorHAnsi" w:hAnsiTheme="majorHAnsi" w:cs="Calibri"/>
          <w:sz w:val="22"/>
          <w:szCs w:val="22"/>
        </w:rPr>
        <w:t xml:space="preserve">liminate </w:t>
      </w:r>
      <w:r>
        <w:rPr>
          <w:rFonts w:asciiTheme="majorHAnsi" w:hAnsiTheme="majorHAnsi" w:cs="Calibri"/>
          <w:sz w:val="22"/>
          <w:szCs w:val="22"/>
        </w:rPr>
        <w:t>FGM</w:t>
      </w:r>
      <w:r w:rsidRPr="00FC50B0">
        <w:rPr>
          <w:rFonts w:asciiTheme="majorHAnsi" w:hAnsiTheme="majorHAnsi" w:cs="Calibri"/>
          <w:sz w:val="22"/>
          <w:szCs w:val="22"/>
        </w:rPr>
        <w:t xml:space="preserve"> reached nearly 100,000 girls and women </w:t>
      </w:r>
      <w:r>
        <w:rPr>
          <w:rFonts w:asciiTheme="majorHAnsi" w:hAnsiTheme="majorHAnsi" w:cs="Calibri"/>
          <w:sz w:val="22"/>
          <w:szCs w:val="22"/>
        </w:rPr>
        <w:t xml:space="preserve">who </w:t>
      </w:r>
      <w:r w:rsidRPr="00FC50B0">
        <w:rPr>
          <w:rFonts w:asciiTheme="majorHAnsi" w:hAnsiTheme="majorHAnsi" w:cs="Calibri"/>
          <w:sz w:val="22"/>
          <w:szCs w:val="22"/>
        </w:rPr>
        <w:t>received prevention and protection services on FGM and nearly 7 million people participated in education, communication and social mobilization platforms to promote the elimination of FGM</w:t>
      </w:r>
      <w:r>
        <w:rPr>
          <w:rFonts w:asciiTheme="majorHAnsi" w:hAnsiTheme="majorHAnsi" w:cs="Calibri"/>
          <w:sz w:val="22"/>
          <w:szCs w:val="22"/>
        </w:rPr>
        <w:t>;</w:t>
      </w:r>
    </w:p>
    <w:p w:rsidR="001A547C" w:rsidRPr="009208C1" w:rsidRDefault="001A547C" w:rsidP="001A547C">
      <w:pPr>
        <w:pStyle w:val="ListParagraph"/>
        <w:rPr>
          <w:rFonts w:asciiTheme="majorHAnsi" w:hAnsiTheme="majorHAnsi" w:cs="Calibri"/>
          <w:sz w:val="22"/>
          <w:szCs w:val="22"/>
        </w:rPr>
      </w:pPr>
    </w:p>
    <w:p w:rsidR="001A547C" w:rsidRPr="00261620" w:rsidRDefault="001A547C" w:rsidP="001A547C">
      <w:pPr>
        <w:pStyle w:val="ListParagraph"/>
        <w:numPr>
          <w:ilvl w:val="0"/>
          <w:numId w:val="19"/>
        </w:numPr>
        <w:jc w:val="both"/>
        <w:rPr>
          <w:rFonts w:asciiTheme="majorHAnsi" w:hAnsiTheme="majorHAnsi" w:cs="Calibri"/>
          <w:b/>
          <w:sz w:val="22"/>
          <w:szCs w:val="22"/>
        </w:rPr>
      </w:pPr>
      <w:r w:rsidRPr="00952810">
        <w:rPr>
          <w:rFonts w:asciiTheme="majorHAnsi" w:hAnsiTheme="majorHAnsi" w:cs="Calibri"/>
          <w:b/>
          <w:sz w:val="22"/>
          <w:szCs w:val="22"/>
        </w:rPr>
        <w:t>Improving the</w:t>
      </w:r>
      <w:r w:rsidRPr="00261620">
        <w:rPr>
          <w:rFonts w:asciiTheme="majorHAnsi" w:hAnsiTheme="majorHAnsi" w:cs="Calibri"/>
          <w:sz w:val="22"/>
          <w:szCs w:val="22"/>
        </w:rPr>
        <w:t xml:space="preserve"> </w:t>
      </w:r>
      <w:r w:rsidRPr="00261620">
        <w:rPr>
          <w:rFonts w:asciiTheme="majorHAnsi" w:hAnsiTheme="majorHAnsi" w:cs="Calibri"/>
          <w:b/>
          <w:sz w:val="22"/>
          <w:szCs w:val="22"/>
        </w:rPr>
        <w:t>quality of reproductive maternal, newborn, child and adolescent health</w:t>
      </w:r>
      <w:r w:rsidRPr="00261620">
        <w:rPr>
          <w:rFonts w:asciiTheme="majorHAnsi" w:hAnsiTheme="majorHAnsi" w:cs="Calibri"/>
          <w:sz w:val="22"/>
          <w:szCs w:val="22"/>
        </w:rPr>
        <w:t xml:space="preserve">. In </w:t>
      </w:r>
      <w:r>
        <w:rPr>
          <w:rFonts w:asciiTheme="majorHAnsi" w:hAnsiTheme="majorHAnsi" w:cs="Calibri"/>
          <w:sz w:val="22"/>
          <w:szCs w:val="22"/>
        </w:rPr>
        <w:t xml:space="preserve">the Islamic Republic of </w:t>
      </w:r>
      <w:r w:rsidRPr="00261620">
        <w:rPr>
          <w:rFonts w:asciiTheme="majorHAnsi" w:hAnsiTheme="majorHAnsi" w:cs="Calibri"/>
          <w:sz w:val="22"/>
          <w:szCs w:val="22"/>
        </w:rPr>
        <w:t>Iran, UNFPA and UNICEF enhanced coordinated support to the Ministry of Health and Medical Education to improve the quality of maternal health and neonatal care through the development of sexual and reproductive health and neonatal essential service package</w:t>
      </w:r>
      <w:r>
        <w:rPr>
          <w:rFonts w:asciiTheme="majorHAnsi" w:hAnsiTheme="majorHAnsi" w:cs="Calibri"/>
          <w:sz w:val="22"/>
          <w:szCs w:val="22"/>
        </w:rPr>
        <w:t>s</w:t>
      </w:r>
      <w:r w:rsidRPr="00261620">
        <w:rPr>
          <w:rFonts w:asciiTheme="majorHAnsi" w:hAnsiTheme="majorHAnsi" w:cs="Calibri"/>
          <w:sz w:val="22"/>
          <w:szCs w:val="22"/>
        </w:rPr>
        <w:t>. In the Philippines, UNDP, UNFPA and UNICEF</w:t>
      </w:r>
      <w:r>
        <w:rPr>
          <w:rFonts w:asciiTheme="majorHAnsi" w:hAnsiTheme="majorHAnsi" w:cs="Calibri"/>
          <w:sz w:val="22"/>
          <w:szCs w:val="22"/>
        </w:rPr>
        <w:t>,</w:t>
      </w:r>
      <w:r w:rsidRPr="00261620">
        <w:rPr>
          <w:rFonts w:asciiTheme="majorHAnsi" w:hAnsiTheme="majorHAnsi" w:cs="Calibri"/>
          <w:sz w:val="22"/>
          <w:szCs w:val="22"/>
        </w:rPr>
        <w:t xml:space="preserve"> in partnership with </w:t>
      </w:r>
      <w:r>
        <w:rPr>
          <w:rFonts w:asciiTheme="majorHAnsi" w:hAnsiTheme="majorHAnsi" w:cs="Calibri"/>
          <w:sz w:val="22"/>
          <w:szCs w:val="22"/>
        </w:rPr>
        <w:t>the International Labour Organization (ILO), Joint United Nations Programme on HIV/AIDS (</w:t>
      </w:r>
      <w:r w:rsidRPr="00261620">
        <w:rPr>
          <w:rFonts w:asciiTheme="majorHAnsi" w:hAnsiTheme="majorHAnsi" w:cs="Calibri"/>
          <w:sz w:val="22"/>
          <w:szCs w:val="22"/>
        </w:rPr>
        <w:t>UNAIDS</w:t>
      </w:r>
      <w:r>
        <w:rPr>
          <w:rFonts w:asciiTheme="majorHAnsi" w:hAnsiTheme="majorHAnsi" w:cs="Calibri"/>
          <w:sz w:val="22"/>
          <w:szCs w:val="22"/>
        </w:rPr>
        <w:t>)</w:t>
      </w:r>
      <w:r w:rsidRPr="00261620">
        <w:rPr>
          <w:rFonts w:asciiTheme="majorHAnsi" w:hAnsiTheme="majorHAnsi" w:cs="Calibri"/>
          <w:sz w:val="22"/>
          <w:szCs w:val="22"/>
        </w:rPr>
        <w:t xml:space="preserve">, </w:t>
      </w:r>
      <w:r>
        <w:rPr>
          <w:rFonts w:asciiTheme="majorHAnsi" w:hAnsiTheme="majorHAnsi" w:cs="Calibri"/>
          <w:sz w:val="22"/>
          <w:szCs w:val="22"/>
        </w:rPr>
        <w:t xml:space="preserve">United Nations Office on Drugs and Crime and </w:t>
      </w:r>
      <w:r w:rsidRPr="00261620">
        <w:rPr>
          <w:rFonts w:asciiTheme="majorHAnsi" w:hAnsiTheme="majorHAnsi" w:cs="Calibri"/>
          <w:sz w:val="22"/>
          <w:szCs w:val="22"/>
        </w:rPr>
        <w:t xml:space="preserve">WHO, supported the passage of the HIV and AIDS Policy Act in 2018, which allows persons aged 15 to 17 years to undergo HIV testing without the consent of a parent or guardian. The </w:t>
      </w:r>
      <w:r>
        <w:rPr>
          <w:rFonts w:asciiTheme="majorHAnsi" w:hAnsiTheme="majorHAnsi" w:cs="Calibri"/>
          <w:sz w:val="22"/>
          <w:szCs w:val="22"/>
        </w:rPr>
        <w:t>common</w:t>
      </w:r>
      <w:r w:rsidRPr="00261620">
        <w:rPr>
          <w:rFonts w:asciiTheme="majorHAnsi" w:hAnsiTheme="majorHAnsi" w:cs="Calibri"/>
          <w:sz w:val="22"/>
          <w:szCs w:val="22"/>
        </w:rPr>
        <w:t xml:space="preserve"> programme in Kenya as part </w:t>
      </w:r>
      <w:r>
        <w:rPr>
          <w:rFonts w:asciiTheme="majorHAnsi" w:hAnsiTheme="majorHAnsi" w:cs="Calibri"/>
          <w:sz w:val="22"/>
          <w:szCs w:val="22"/>
        </w:rPr>
        <w:t>of the H6 partnership harnessed</w:t>
      </w:r>
      <w:r w:rsidRPr="00261620">
        <w:rPr>
          <w:rFonts w:asciiTheme="majorHAnsi" w:hAnsiTheme="majorHAnsi" w:cs="Calibri"/>
          <w:sz w:val="22"/>
          <w:szCs w:val="22"/>
        </w:rPr>
        <w:t xml:space="preserve"> the collective strengths of UNFPA, UNICEF, </w:t>
      </w:r>
      <w:r>
        <w:rPr>
          <w:rFonts w:asciiTheme="majorHAnsi" w:hAnsiTheme="majorHAnsi" w:cs="Calibri"/>
          <w:sz w:val="22"/>
          <w:szCs w:val="22"/>
        </w:rPr>
        <w:t>UN-Women</w:t>
      </w:r>
      <w:r w:rsidRPr="00261620">
        <w:rPr>
          <w:rFonts w:asciiTheme="majorHAnsi" w:hAnsiTheme="majorHAnsi" w:cs="Calibri"/>
          <w:sz w:val="22"/>
          <w:szCs w:val="22"/>
        </w:rPr>
        <w:t xml:space="preserve">, UNAIDS, </w:t>
      </w:r>
      <w:r>
        <w:rPr>
          <w:rFonts w:asciiTheme="majorHAnsi" w:hAnsiTheme="majorHAnsi" w:cs="Calibri"/>
          <w:sz w:val="22"/>
          <w:szCs w:val="22"/>
        </w:rPr>
        <w:t xml:space="preserve">WHO </w:t>
      </w:r>
      <w:r w:rsidRPr="00261620">
        <w:rPr>
          <w:rFonts w:asciiTheme="majorHAnsi" w:hAnsiTheme="majorHAnsi" w:cs="Calibri"/>
          <w:sz w:val="22"/>
          <w:szCs w:val="22"/>
        </w:rPr>
        <w:t>and the World Bank Group to increase the utilization of integrated quality reproductive maternal, newborn, child and adolescent health</w:t>
      </w:r>
      <w:r>
        <w:rPr>
          <w:rFonts w:asciiTheme="majorHAnsi" w:hAnsiTheme="majorHAnsi" w:cs="Calibri"/>
          <w:sz w:val="22"/>
          <w:szCs w:val="22"/>
        </w:rPr>
        <w:t xml:space="preserve"> services</w:t>
      </w:r>
      <w:r w:rsidRPr="00261620">
        <w:rPr>
          <w:rFonts w:asciiTheme="majorHAnsi" w:hAnsiTheme="majorHAnsi" w:cs="Calibri"/>
          <w:sz w:val="22"/>
          <w:szCs w:val="22"/>
        </w:rPr>
        <w:t xml:space="preserve">. In Kenya, </w:t>
      </w:r>
      <w:r>
        <w:rPr>
          <w:rFonts w:asciiTheme="majorHAnsi" w:hAnsiTheme="majorHAnsi" w:cs="Calibri"/>
          <w:sz w:val="22"/>
          <w:szCs w:val="22"/>
        </w:rPr>
        <w:t>joint efforts</w:t>
      </w:r>
      <w:r w:rsidRPr="00261620">
        <w:rPr>
          <w:rFonts w:asciiTheme="majorHAnsi" w:eastAsia="Arial" w:hAnsiTheme="majorHAnsi" w:cs="Calibri"/>
          <w:sz w:val="22"/>
          <w:szCs w:val="22"/>
        </w:rPr>
        <w:t xml:space="preserve"> for reproductive, maternal, neonatal, child and adolescent health included a new partnership with Safaricom, the largest </w:t>
      </w:r>
      <w:r>
        <w:rPr>
          <w:rFonts w:asciiTheme="majorHAnsi" w:eastAsia="Arial" w:hAnsiTheme="majorHAnsi" w:cs="Calibri"/>
          <w:sz w:val="22"/>
          <w:szCs w:val="22"/>
        </w:rPr>
        <w:t>cellular phone</w:t>
      </w:r>
      <w:r w:rsidRPr="00261620">
        <w:rPr>
          <w:rFonts w:asciiTheme="majorHAnsi" w:eastAsia="Arial" w:hAnsiTheme="majorHAnsi" w:cs="Calibri"/>
          <w:sz w:val="22"/>
          <w:szCs w:val="22"/>
        </w:rPr>
        <w:t xml:space="preserve"> network provider in Kenya, utilizing mobile technology to </w:t>
      </w:r>
      <w:r w:rsidRPr="005F691F">
        <w:rPr>
          <w:rFonts w:asciiTheme="majorHAnsi" w:eastAsia="Arial" w:hAnsiTheme="majorHAnsi" w:cs="Calibri"/>
          <w:sz w:val="22"/>
          <w:szCs w:val="22"/>
        </w:rPr>
        <w:t xml:space="preserve">develop a joint </w:t>
      </w:r>
      <w:r>
        <w:rPr>
          <w:rFonts w:asciiTheme="majorHAnsi" w:eastAsia="Arial" w:hAnsiTheme="majorHAnsi" w:cs="Calibri"/>
          <w:sz w:val="22"/>
          <w:szCs w:val="22"/>
        </w:rPr>
        <w:t>m</w:t>
      </w:r>
      <w:r w:rsidRPr="005F691F">
        <w:rPr>
          <w:rFonts w:asciiTheme="majorHAnsi" w:eastAsia="Arial" w:hAnsiTheme="majorHAnsi" w:cs="Calibri"/>
          <w:sz w:val="22"/>
          <w:szCs w:val="22"/>
        </w:rPr>
        <w:t xml:space="preserve">aternal and </w:t>
      </w:r>
      <w:r>
        <w:rPr>
          <w:rFonts w:asciiTheme="majorHAnsi" w:eastAsia="Arial" w:hAnsiTheme="majorHAnsi" w:cs="Calibri"/>
          <w:sz w:val="22"/>
          <w:szCs w:val="22"/>
        </w:rPr>
        <w:t>c</w:t>
      </w:r>
      <w:r w:rsidRPr="005F691F">
        <w:rPr>
          <w:rFonts w:asciiTheme="majorHAnsi" w:eastAsia="Arial" w:hAnsiTheme="majorHAnsi" w:cs="Calibri"/>
          <w:sz w:val="22"/>
          <w:szCs w:val="22"/>
        </w:rPr>
        <w:t xml:space="preserve">hild </w:t>
      </w:r>
      <w:r>
        <w:rPr>
          <w:rFonts w:asciiTheme="majorHAnsi" w:eastAsia="Arial" w:hAnsiTheme="majorHAnsi" w:cs="Calibri"/>
          <w:sz w:val="22"/>
          <w:szCs w:val="22"/>
        </w:rPr>
        <w:t>h</w:t>
      </w:r>
      <w:r w:rsidRPr="005F691F">
        <w:rPr>
          <w:rFonts w:asciiTheme="majorHAnsi" w:eastAsia="Arial" w:hAnsiTheme="majorHAnsi" w:cs="Calibri"/>
          <w:sz w:val="22"/>
          <w:szCs w:val="22"/>
        </w:rPr>
        <w:t>ealth programme in Lamu County</w:t>
      </w:r>
      <w:r>
        <w:rPr>
          <w:rFonts w:asciiTheme="majorHAnsi" w:eastAsia="Arial" w:hAnsiTheme="majorHAnsi" w:cs="Calibri"/>
          <w:sz w:val="22"/>
          <w:szCs w:val="22"/>
        </w:rPr>
        <w:t>.</w:t>
      </w:r>
      <w:r w:rsidRPr="005F691F">
        <w:rPr>
          <w:rFonts w:asciiTheme="majorHAnsi" w:eastAsia="Arial" w:hAnsiTheme="majorHAnsi" w:cs="Calibri"/>
          <w:sz w:val="22"/>
          <w:szCs w:val="22"/>
        </w:rPr>
        <w:t xml:space="preserve"> </w:t>
      </w:r>
    </w:p>
    <w:p w:rsidR="001A547C" w:rsidRDefault="001A547C" w:rsidP="001A547C">
      <w:pPr>
        <w:pStyle w:val="Heading2"/>
        <w:spacing w:after="0" w:line="240" w:lineRule="auto"/>
        <w:rPr>
          <w:rFonts w:asciiTheme="majorHAnsi" w:hAnsiTheme="majorHAnsi" w:cs="Calibri"/>
          <w:b/>
          <w:sz w:val="22"/>
          <w:szCs w:val="22"/>
        </w:rPr>
      </w:pPr>
      <w:r w:rsidRPr="00261620">
        <w:rPr>
          <w:rFonts w:asciiTheme="majorHAnsi" w:hAnsiTheme="majorHAnsi" w:cs="Calibri"/>
          <w:b/>
          <w:sz w:val="22"/>
          <w:szCs w:val="22"/>
        </w:rPr>
        <w:lastRenderedPageBreak/>
        <w:t>Achieving gender equality and the empowerment of women and girls</w:t>
      </w:r>
      <w:r>
        <w:rPr>
          <w:rFonts w:asciiTheme="majorHAnsi" w:hAnsiTheme="majorHAnsi" w:cs="Calibri"/>
          <w:b/>
          <w:sz w:val="22"/>
          <w:szCs w:val="22"/>
        </w:rPr>
        <w:t xml:space="preserve">. </w:t>
      </w:r>
    </w:p>
    <w:p w:rsidR="001A547C" w:rsidRDefault="001A547C" w:rsidP="001A547C">
      <w:pPr>
        <w:pStyle w:val="ListParagraph"/>
        <w:numPr>
          <w:ilvl w:val="0"/>
          <w:numId w:val="22"/>
        </w:numPr>
        <w:ind w:left="0" w:firstLine="0"/>
        <w:jc w:val="both"/>
        <w:rPr>
          <w:rFonts w:asciiTheme="majorHAnsi" w:hAnsiTheme="majorHAnsi" w:cs="Calibri"/>
          <w:sz w:val="22"/>
          <w:szCs w:val="22"/>
        </w:rPr>
      </w:pPr>
      <w:r w:rsidRPr="00494778">
        <w:rPr>
          <w:rFonts w:asciiTheme="majorHAnsi" w:hAnsiTheme="majorHAnsi" w:cs="Calibri"/>
          <w:sz w:val="22"/>
          <w:szCs w:val="22"/>
        </w:rPr>
        <w:t xml:space="preserve">The </w:t>
      </w:r>
      <w:r>
        <w:rPr>
          <w:rFonts w:asciiTheme="majorHAnsi" w:hAnsiTheme="majorHAnsi" w:cs="Calibri"/>
          <w:sz w:val="22"/>
          <w:szCs w:val="22"/>
        </w:rPr>
        <w:t>c</w:t>
      </w:r>
      <w:r w:rsidRPr="00494778">
        <w:rPr>
          <w:rFonts w:asciiTheme="majorHAnsi" w:hAnsiTheme="majorHAnsi" w:cs="Calibri"/>
          <w:sz w:val="22"/>
          <w:szCs w:val="22"/>
        </w:rPr>
        <w:t xml:space="preserve">ommon </w:t>
      </w:r>
      <w:r>
        <w:rPr>
          <w:rFonts w:asciiTheme="majorHAnsi" w:hAnsiTheme="majorHAnsi" w:cs="Calibri"/>
          <w:sz w:val="22"/>
          <w:szCs w:val="22"/>
        </w:rPr>
        <w:t>c</w:t>
      </w:r>
      <w:r w:rsidRPr="00494778">
        <w:rPr>
          <w:rFonts w:asciiTheme="majorHAnsi" w:hAnsiTheme="majorHAnsi" w:cs="Calibri"/>
          <w:sz w:val="22"/>
          <w:szCs w:val="22"/>
        </w:rPr>
        <w:t>hapter promotes the participation of women in decision</w:t>
      </w:r>
      <w:r>
        <w:rPr>
          <w:rFonts w:asciiTheme="majorHAnsi" w:hAnsiTheme="majorHAnsi" w:cs="Calibri"/>
          <w:sz w:val="22"/>
          <w:szCs w:val="22"/>
        </w:rPr>
        <w:t>-</w:t>
      </w:r>
      <w:r w:rsidRPr="00494778">
        <w:rPr>
          <w:rFonts w:asciiTheme="majorHAnsi" w:hAnsiTheme="majorHAnsi" w:cs="Calibri"/>
          <w:sz w:val="22"/>
          <w:szCs w:val="22"/>
        </w:rPr>
        <w:t>making and helps achieve women’s economic empowerment</w:t>
      </w:r>
      <w:r>
        <w:rPr>
          <w:rFonts w:asciiTheme="majorHAnsi" w:hAnsiTheme="majorHAnsi" w:cs="Calibri"/>
          <w:sz w:val="22"/>
          <w:szCs w:val="22"/>
        </w:rPr>
        <w:t>;</w:t>
      </w:r>
      <w:r w:rsidRPr="00494778">
        <w:rPr>
          <w:rFonts w:asciiTheme="majorHAnsi" w:hAnsiTheme="majorHAnsi" w:cs="Calibri"/>
          <w:sz w:val="22"/>
          <w:szCs w:val="22"/>
        </w:rPr>
        <w:t xml:space="preserve"> </w:t>
      </w:r>
      <w:r>
        <w:rPr>
          <w:rFonts w:asciiTheme="majorHAnsi" w:hAnsiTheme="majorHAnsi" w:cs="Calibri"/>
          <w:sz w:val="22"/>
          <w:szCs w:val="22"/>
        </w:rPr>
        <w:t>strengthens</w:t>
      </w:r>
      <w:r w:rsidRPr="00494778">
        <w:rPr>
          <w:rFonts w:asciiTheme="majorHAnsi" w:hAnsiTheme="majorHAnsi" w:cs="Calibri"/>
          <w:sz w:val="22"/>
          <w:szCs w:val="22"/>
        </w:rPr>
        <w:t xml:space="preserve"> the health of women and adolescents</w:t>
      </w:r>
      <w:r>
        <w:rPr>
          <w:rFonts w:asciiTheme="majorHAnsi" w:hAnsiTheme="majorHAnsi" w:cs="Calibri"/>
          <w:sz w:val="22"/>
          <w:szCs w:val="22"/>
        </w:rPr>
        <w:t>;</w:t>
      </w:r>
      <w:r w:rsidRPr="00494778">
        <w:rPr>
          <w:rFonts w:asciiTheme="majorHAnsi" w:hAnsiTheme="majorHAnsi" w:cs="Calibri"/>
          <w:sz w:val="22"/>
          <w:szCs w:val="22"/>
        </w:rPr>
        <w:t xml:space="preserve"> supports ending violence against women and girls</w:t>
      </w:r>
      <w:r>
        <w:rPr>
          <w:rFonts w:asciiTheme="majorHAnsi" w:hAnsiTheme="majorHAnsi" w:cs="Calibri"/>
          <w:sz w:val="22"/>
          <w:szCs w:val="22"/>
        </w:rPr>
        <w:t xml:space="preserve"> and </w:t>
      </w:r>
      <w:r w:rsidRPr="00494778">
        <w:rPr>
          <w:rFonts w:asciiTheme="majorHAnsi" w:hAnsiTheme="majorHAnsi" w:cs="Calibri"/>
          <w:sz w:val="22"/>
          <w:szCs w:val="22"/>
        </w:rPr>
        <w:t>eliminat</w:t>
      </w:r>
      <w:r>
        <w:rPr>
          <w:rFonts w:asciiTheme="majorHAnsi" w:hAnsiTheme="majorHAnsi" w:cs="Calibri"/>
          <w:sz w:val="22"/>
          <w:szCs w:val="22"/>
        </w:rPr>
        <w:t xml:space="preserve">ing </w:t>
      </w:r>
      <w:r w:rsidRPr="00494778">
        <w:rPr>
          <w:rFonts w:asciiTheme="majorHAnsi" w:hAnsiTheme="majorHAnsi" w:cs="Calibri"/>
          <w:sz w:val="22"/>
          <w:szCs w:val="22"/>
        </w:rPr>
        <w:t>harmful practices</w:t>
      </w:r>
      <w:r>
        <w:rPr>
          <w:rFonts w:asciiTheme="majorHAnsi" w:hAnsiTheme="majorHAnsi" w:cs="Calibri"/>
          <w:sz w:val="22"/>
          <w:szCs w:val="22"/>
        </w:rPr>
        <w:t>;</w:t>
      </w:r>
      <w:r w:rsidRPr="00494778">
        <w:rPr>
          <w:rFonts w:asciiTheme="majorHAnsi" w:hAnsiTheme="majorHAnsi" w:cs="Calibri"/>
          <w:sz w:val="22"/>
          <w:szCs w:val="22"/>
        </w:rPr>
        <w:t xml:space="preserve"> promote</w:t>
      </w:r>
      <w:r>
        <w:rPr>
          <w:rFonts w:asciiTheme="majorHAnsi" w:hAnsiTheme="majorHAnsi" w:cs="Calibri"/>
          <w:sz w:val="22"/>
          <w:szCs w:val="22"/>
        </w:rPr>
        <w:t>s</w:t>
      </w:r>
      <w:r w:rsidRPr="00494778">
        <w:rPr>
          <w:rFonts w:asciiTheme="majorHAnsi" w:hAnsiTheme="majorHAnsi" w:cs="Calibri"/>
          <w:sz w:val="22"/>
          <w:szCs w:val="22"/>
        </w:rPr>
        <w:t xml:space="preserve"> the well</w:t>
      </w:r>
      <w:r>
        <w:rPr>
          <w:rFonts w:asciiTheme="majorHAnsi" w:hAnsiTheme="majorHAnsi" w:cs="Calibri"/>
          <w:sz w:val="22"/>
          <w:szCs w:val="22"/>
        </w:rPr>
        <w:t>-</w:t>
      </w:r>
      <w:r w:rsidRPr="00494778">
        <w:rPr>
          <w:rFonts w:asciiTheme="majorHAnsi" w:hAnsiTheme="majorHAnsi" w:cs="Calibri"/>
          <w:sz w:val="22"/>
          <w:szCs w:val="22"/>
        </w:rPr>
        <w:t>being of women and girls in all settings</w:t>
      </w:r>
      <w:r>
        <w:rPr>
          <w:rFonts w:asciiTheme="majorHAnsi" w:hAnsiTheme="majorHAnsi" w:cs="Calibri"/>
          <w:sz w:val="22"/>
          <w:szCs w:val="22"/>
        </w:rPr>
        <w:t>; and</w:t>
      </w:r>
      <w:r w:rsidRPr="00494778">
        <w:rPr>
          <w:rFonts w:asciiTheme="majorHAnsi" w:hAnsiTheme="majorHAnsi" w:cs="Calibri"/>
          <w:sz w:val="22"/>
          <w:szCs w:val="22"/>
        </w:rPr>
        <w:t xml:space="preserve"> </w:t>
      </w:r>
      <w:r>
        <w:rPr>
          <w:rFonts w:asciiTheme="majorHAnsi" w:hAnsiTheme="majorHAnsi" w:cs="Calibri"/>
          <w:sz w:val="22"/>
          <w:szCs w:val="22"/>
        </w:rPr>
        <w:t xml:space="preserve">involves </w:t>
      </w:r>
      <w:r w:rsidRPr="00494778">
        <w:rPr>
          <w:rFonts w:asciiTheme="majorHAnsi" w:hAnsiTheme="majorHAnsi" w:cs="Calibri"/>
          <w:sz w:val="22"/>
          <w:szCs w:val="22"/>
        </w:rPr>
        <w:t xml:space="preserve">men and boys in advancing gender equality. Joint </w:t>
      </w:r>
      <w:r>
        <w:rPr>
          <w:rFonts w:asciiTheme="majorHAnsi" w:hAnsiTheme="majorHAnsi" w:cs="Calibri"/>
          <w:sz w:val="22"/>
          <w:szCs w:val="22"/>
        </w:rPr>
        <w:t xml:space="preserve">efforts </w:t>
      </w:r>
      <w:r w:rsidRPr="00494778">
        <w:rPr>
          <w:rFonts w:asciiTheme="majorHAnsi" w:hAnsiTheme="majorHAnsi" w:cs="Calibri"/>
          <w:sz w:val="22"/>
          <w:szCs w:val="22"/>
        </w:rPr>
        <w:t>by the four agencies contributed to:</w:t>
      </w:r>
    </w:p>
    <w:p w:rsidR="001A547C" w:rsidRPr="00494778" w:rsidRDefault="001A547C" w:rsidP="001A547C">
      <w:pPr>
        <w:pStyle w:val="ListParagraph"/>
        <w:ind w:left="0"/>
        <w:jc w:val="both"/>
        <w:rPr>
          <w:rFonts w:asciiTheme="majorHAnsi" w:hAnsiTheme="majorHAnsi" w:cs="Calibri"/>
          <w:sz w:val="22"/>
          <w:szCs w:val="22"/>
        </w:rPr>
      </w:pPr>
    </w:p>
    <w:p w:rsidR="001A547C" w:rsidRDefault="001A547C" w:rsidP="001A547C">
      <w:pPr>
        <w:pStyle w:val="ListParagraph"/>
        <w:numPr>
          <w:ilvl w:val="0"/>
          <w:numId w:val="13"/>
        </w:numPr>
        <w:tabs>
          <w:tab w:val="left" w:pos="0"/>
        </w:tabs>
        <w:jc w:val="both"/>
        <w:rPr>
          <w:rFonts w:asciiTheme="majorHAnsi" w:hAnsiTheme="majorHAnsi" w:cs="Calibri"/>
          <w:sz w:val="22"/>
          <w:szCs w:val="22"/>
        </w:rPr>
      </w:pPr>
      <w:r w:rsidRPr="003A49C7">
        <w:rPr>
          <w:rFonts w:asciiTheme="majorHAnsi" w:hAnsiTheme="majorHAnsi" w:cs="Calibri"/>
          <w:b/>
          <w:sz w:val="22"/>
          <w:szCs w:val="22"/>
        </w:rPr>
        <w:t xml:space="preserve">Eliminating </w:t>
      </w:r>
      <w:r>
        <w:rPr>
          <w:rFonts w:asciiTheme="majorHAnsi" w:hAnsiTheme="majorHAnsi" w:cs="Calibri"/>
          <w:b/>
          <w:sz w:val="22"/>
          <w:szCs w:val="22"/>
        </w:rPr>
        <w:t>v</w:t>
      </w:r>
      <w:r w:rsidRPr="003A49C7">
        <w:rPr>
          <w:rFonts w:asciiTheme="majorHAnsi" w:hAnsiTheme="majorHAnsi" w:cs="Calibri"/>
          <w:b/>
          <w:sz w:val="22"/>
          <w:szCs w:val="22"/>
        </w:rPr>
        <w:t xml:space="preserve">iolence </w:t>
      </w:r>
      <w:r>
        <w:rPr>
          <w:rFonts w:asciiTheme="majorHAnsi" w:hAnsiTheme="majorHAnsi" w:cs="Calibri"/>
          <w:b/>
          <w:sz w:val="22"/>
          <w:szCs w:val="22"/>
        </w:rPr>
        <w:t>a</w:t>
      </w:r>
      <w:r w:rsidRPr="003A49C7">
        <w:rPr>
          <w:rFonts w:asciiTheme="majorHAnsi" w:hAnsiTheme="majorHAnsi" w:cs="Calibri"/>
          <w:b/>
          <w:sz w:val="22"/>
          <w:szCs w:val="22"/>
        </w:rPr>
        <w:t xml:space="preserve">gainst </w:t>
      </w:r>
      <w:r>
        <w:rPr>
          <w:rFonts w:asciiTheme="majorHAnsi" w:hAnsiTheme="majorHAnsi" w:cs="Calibri"/>
          <w:b/>
          <w:sz w:val="22"/>
          <w:szCs w:val="22"/>
        </w:rPr>
        <w:t>w</w:t>
      </w:r>
      <w:r w:rsidRPr="003A49C7">
        <w:rPr>
          <w:rFonts w:asciiTheme="majorHAnsi" w:hAnsiTheme="majorHAnsi" w:cs="Calibri"/>
          <w:b/>
          <w:sz w:val="22"/>
          <w:szCs w:val="22"/>
        </w:rPr>
        <w:t>oman</w:t>
      </w:r>
      <w:r>
        <w:rPr>
          <w:rFonts w:asciiTheme="majorHAnsi" w:hAnsiTheme="majorHAnsi" w:cs="Calibri"/>
          <w:sz w:val="22"/>
          <w:szCs w:val="22"/>
        </w:rPr>
        <w:t>. In Europe and Central Asia, a</w:t>
      </w:r>
      <w:r w:rsidRPr="003A49C7">
        <w:rPr>
          <w:rFonts w:asciiTheme="majorHAnsi" w:hAnsiTheme="majorHAnsi" w:cs="Calibri"/>
          <w:sz w:val="22"/>
          <w:szCs w:val="22"/>
        </w:rPr>
        <w:t xml:space="preserve"> </w:t>
      </w:r>
      <w:r>
        <w:rPr>
          <w:rFonts w:asciiTheme="majorHAnsi" w:hAnsiTheme="majorHAnsi" w:cs="Calibri"/>
          <w:sz w:val="22"/>
          <w:szCs w:val="22"/>
        </w:rPr>
        <w:t>joint study undertaken by</w:t>
      </w:r>
      <w:r w:rsidRPr="003A49C7">
        <w:rPr>
          <w:rFonts w:asciiTheme="majorHAnsi" w:hAnsiTheme="majorHAnsi" w:cs="Calibri"/>
          <w:sz w:val="22"/>
          <w:szCs w:val="22"/>
        </w:rPr>
        <w:t xml:space="preserve"> UNFPA, UNICEF, UN-Women and the Organization for Security and Cooperation in Europe</w:t>
      </w:r>
      <w:r>
        <w:rPr>
          <w:rFonts w:asciiTheme="majorHAnsi" w:hAnsiTheme="majorHAnsi" w:cs="Calibri"/>
          <w:sz w:val="22"/>
          <w:szCs w:val="22"/>
        </w:rPr>
        <w:t xml:space="preserve"> (OSCE)</w:t>
      </w:r>
      <w:r w:rsidRPr="003A49C7">
        <w:rPr>
          <w:rFonts w:asciiTheme="majorHAnsi" w:hAnsiTheme="majorHAnsi" w:cs="Calibri"/>
          <w:sz w:val="22"/>
          <w:szCs w:val="22"/>
        </w:rPr>
        <w:t xml:space="preserve"> a</w:t>
      </w:r>
      <w:r>
        <w:rPr>
          <w:rFonts w:asciiTheme="majorHAnsi" w:hAnsiTheme="majorHAnsi" w:cs="Calibri"/>
          <w:sz w:val="22"/>
          <w:szCs w:val="22"/>
        </w:rPr>
        <w:t>nalys</w:t>
      </w:r>
      <w:r w:rsidRPr="003A49C7">
        <w:rPr>
          <w:rFonts w:asciiTheme="majorHAnsi" w:hAnsiTheme="majorHAnsi" w:cs="Calibri"/>
          <w:sz w:val="22"/>
          <w:szCs w:val="22"/>
        </w:rPr>
        <w:t xml:space="preserve">ed the root causes </w:t>
      </w:r>
      <w:r>
        <w:rPr>
          <w:rFonts w:asciiTheme="majorHAnsi" w:hAnsiTheme="majorHAnsi" w:cs="Calibri"/>
          <w:sz w:val="22"/>
          <w:szCs w:val="22"/>
        </w:rPr>
        <w:t xml:space="preserve">of </w:t>
      </w:r>
      <w:r w:rsidRPr="003A49C7">
        <w:rPr>
          <w:rFonts w:asciiTheme="majorHAnsi" w:hAnsiTheme="majorHAnsi" w:cs="Calibri"/>
          <w:sz w:val="22"/>
          <w:szCs w:val="22"/>
        </w:rPr>
        <w:t xml:space="preserve">all forms of violence against women and girls, and provided systematic recommendations to address physical, sexual, psychological and economic violence. To support countries in Central Asia in their efforts </w:t>
      </w:r>
      <w:r>
        <w:rPr>
          <w:rFonts w:asciiTheme="majorHAnsi" w:hAnsiTheme="majorHAnsi" w:cs="Calibri"/>
          <w:sz w:val="22"/>
          <w:szCs w:val="22"/>
        </w:rPr>
        <w:t xml:space="preserve">to </w:t>
      </w:r>
      <w:r w:rsidRPr="003A49C7">
        <w:rPr>
          <w:rFonts w:asciiTheme="majorHAnsi" w:hAnsiTheme="majorHAnsi" w:cs="Calibri"/>
          <w:sz w:val="22"/>
          <w:szCs w:val="22"/>
        </w:rPr>
        <w:t>eliminat</w:t>
      </w:r>
      <w:r>
        <w:rPr>
          <w:rFonts w:asciiTheme="majorHAnsi" w:hAnsiTheme="majorHAnsi" w:cs="Calibri"/>
          <w:sz w:val="22"/>
          <w:szCs w:val="22"/>
        </w:rPr>
        <w:t xml:space="preserve">e </w:t>
      </w:r>
      <w:r w:rsidRPr="003A49C7">
        <w:rPr>
          <w:rFonts w:asciiTheme="majorHAnsi" w:hAnsiTheme="majorHAnsi" w:cs="Calibri"/>
          <w:sz w:val="22"/>
          <w:szCs w:val="22"/>
        </w:rPr>
        <w:t xml:space="preserve">gender-based violence against women and girls, the four agencies organized a regional conference </w:t>
      </w:r>
      <w:r>
        <w:rPr>
          <w:rFonts w:asciiTheme="majorHAnsi" w:hAnsiTheme="majorHAnsi" w:cs="Calibri"/>
          <w:sz w:val="22"/>
          <w:szCs w:val="22"/>
        </w:rPr>
        <w:t>which</w:t>
      </w:r>
      <w:r w:rsidRPr="003A49C7">
        <w:rPr>
          <w:rFonts w:asciiTheme="majorHAnsi" w:hAnsiTheme="majorHAnsi" w:cs="Calibri"/>
          <w:sz w:val="22"/>
          <w:szCs w:val="22"/>
        </w:rPr>
        <w:t xml:space="preserve"> brought together parliamentarians, representatives of key line ministries, national human rights and gender activists</w:t>
      </w:r>
      <w:r>
        <w:rPr>
          <w:rFonts w:asciiTheme="majorHAnsi" w:hAnsiTheme="majorHAnsi" w:cs="Calibri"/>
          <w:sz w:val="22"/>
          <w:szCs w:val="22"/>
        </w:rPr>
        <w:t xml:space="preserve"> and members of</w:t>
      </w:r>
      <w:r w:rsidRPr="003A49C7">
        <w:rPr>
          <w:rFonts w:asciiTheme="majorHAnsi" w:hAnsiTheme="majorHAnsi" w:cs="Calibri"/>
          <w:sz w:val="22"/>
          <w:szCs w:val="22"/>
        </w:rPr>
        <w:t xml:space="preserve"> civil society from Kazakhstan, Kyrgyzstan, Tajikistan, Turkmenistan and Uzbekistan, together with regional and international experts and representatives of U</w:t>
      </w:r>
      <w:r>
        <w:rPr>
          <w:rFonts w:asciiTheme="majorHAnsi" w:hAnsiTheme="majorHAnsi" w:cs="Calibri"/>
          <w:sz w:val="22"/>
          <w:szCs w:val="22"/>
        </w:rPr>
        <w:t xml:space="preserve">nited </w:t>
      </w:r>
      <w:r w:rsidRPr="003A49C7">
        <w:rPr>
          <w:rFonts w:asciiTheme="majorHAnsi" w:hAnsiTheme="majorHAnsi" w:cs="Calibri"/>
          <w:sz w:val="22"/>
          <w:szCs w:val="22"/>
        </w:rPr>
        <w:t>N</w:t>
      </w:r>
      <w:r>
        <w:rPr>
          <w:rFonts w:asciiTheme="majorHAnsi" w:hAnsiTheme="majorHAnsi" w:cs="Calibri"/>
          <w:sz w:val="22"/>
          <w:szCs w:val="22"/>
        </w:rPr>
        <w:t>ations</w:t>
      </w:r>
      <w:r w:rsidRPr="003A49C7">
        <w:rPr>
          <w:rFonts w:asciiTheme="majorHAnsi" w:hAnsiTheme="majorHAnsi" w:cs="Calibri"/>
          <w:sz w:val="22"/>
          <w:szCs w:val="22"/>
        </w:rPr>
        <w:t xml:space="preserve"> agencies and other international and regional organizations</w:t>
      </w:r>
      <w:r>
        <w:rPr>
          <w:rFonts w:asciiTheme="majorHAnsi" w:hAnsiTheme="majorHAnsi" w:cs="Calibri"/>
          <w:sz w:val="22"/>
          <w:szCs w:val="22"/>
        </w:rPr>
        <w:t>,</w:t>
      </w:r>
      <w:r w:rsidRPr="003A49C7">
        <w:rPr>
          <w:rFonts w:asciiTheme="majorHAnsi" w:hAnsiTheme="majorHAnsi" w:cs="Calibri"/>
          <w:sz w:val="22"/>
          <w:szCs w:val="22"/>
        </w:rPr>
        <w:t xml:space="preserve"> for innovative and multi</w:t>
      </w:r>
      <w:r>
        <w:rPr>
          <w:rFonts w:asciiTheme="majorHAnsi" w:hAnsiTheme="majorHAnsi" w:cs="Calibri"/>
          <w:sz w:val="22"/>
          <w:szCs w:val="22"/>
        </w:rPr>
        <w:t>s</w:t>
      </w:r>
      <w:r w:rsidRPr="003A49C7">
        <w:rPr>
          <w:rFonts w:asciiTheme="majorHAnsi" w:hAnsiTheme="majorHAnsi" w:cs="Calibri"/>
          <w:sz w:val="22"/>
          <w:szCs w:val="22"/>
        </w:rPr>
        <w:t>ectoral partnerships</w:t>
      </w:r>
      <w:r>
        <w:rPr>
          <w:rFonts w:asciiTheme="majorHAnsi" w:hAnsiTheme="majorHAnsi" w:cs="Calibri"/>
          <w:sz w:val="22"/>
          <w:szCs w:val="22"/>
        </w:rPr>
        <w:t>;</w:t>
      </w:r>
    </w:p>
    <w:p w:rsidR="001A547C" w:rsidRPr="003A49C7" w:rsidRDefault="001A547C" w:rsidP="001A547C">
      <w:pPr>
        <w:pStyle w:val="ListParagraph"/>
        <w:tabs>
          <w:tab w:val="left" w:pos="0"/>
        </w:tabs>
        <w:ind w:left="360"/>
        <w:jc w:val="both"/>
        <w:rPr>
          <w:rFonts w:asciiTheme="majorHAnsi" w:hAnsiTheme="majorHAnsi" w:cs="Calibri"/>
          <w:sz w:val="22"/>
          <w:szCs w:val="22"/>
        </w:rPr>
      </w:pPr>
      <w:r w:rsidRPr="003A49C7">
        <w:rPr>
          <w:rFonts w:asciiTheme="majorHAnsi" w:hAnsiTheme="majorHAnsi" w:cs="Calibri"/>
          <w:sz w:val="22"/>
          <w:szCs w:val="22"/>
        </w:rPr>
        <w:t xml:space="preserve"> </w:t>
      </w:r>
    </w:p>
    <w:p w:rsidR="001A547C" w:rsidRDefault="001A547C" w:rsidP="001A547C">
      <w:pPr>
        <w:pStyle w:val="ListParagraph"/>
        <w:numPr>
          <w:ilvl w:val="0"/>
          <w:numId w:val="13"/>
        </w:numPr>
        <w:jc w:val="both"/>
        <w:rPr>
          <w:rFonts w:asciiTheme="majorHAnsi" w:hAnsiTheme="majorHAnsi" w:cs="Calibri"/>
          <w:sz w:val="22"/>
          <w:szCs w:val="22"/>
        </w:rPr>
      </w:pPr>
      <w:r>
        <w:rPr>
          <w:rFonts w:asciiTheme="majorHAnsi" w:hAnsiTheme="majorHAnsi" w:cs="Calibri"/>
          <w:b/>
          <w:sz w:val="22"/>
          <w:szCs w:val="22"/>
        </w:rPr>
        <w:t>Gender d</w:t>
      </w:r>
      <w:r w:rsidRPr="00A541C1">
        <w:rPr>
          <w:rFonts w:asciiTheme="majorHAnsi" w:hAnsiTheme="majorHAnsi" w:cs="Calibri"/>
          <w:b/>
          <w:sz w:val="22"/>
          <w:szCs w:val="22"/>
        </w:rPr>
        <w:t xml:space="preserve">ata and </w:t>
      </w:r>
      <w:r>
        <w:rPr>
          <w:rFonts w:asciiTheme="majorHAnsi" w:hAnsiTheme="majorHAnsi" w:cs="Calibri"/>
          <w:b/>
          <w:sz w:val="22"/>
          <w:szCs w:val="22"/>
        </w:rPr>
        <w:t>a</w:t>
      </w:r>
      <w:r w:rsidRPr="00A541C1">
        <w:rPr>
          <w:rFonts w:asciiTheme="majorHAnsi" w:hAnsiTheme="majorHAnsi" w:cs="Calibri"/>
          <w:b/>
          <w:sz w:val="22"/>
          <w:szCs w:val="22"/>
        </w:rPr>
        <w:t>nalysis</w:t>
      </w:r>
      <w:r>
        <w:rPr>
          <w:rFonts w:asciiTheme="majorHAnsi" w:hAnsiTheme="majorHAnsi" w:cs="Calibri"/>
          <w:sz w:val="22"/>
          <w:szCs w:val="22"/>
        </w:rPr>
        <w:t xml:space="preserve">. </w:t>
      </w:r>
      <w:r w:rsidRPr="00AB5939">
        <w:rPr>
          <w:rFonts w:asciiTheme="majorHAnsi" w:hAnsiTheme="majorHAnsi" w:cs="Calibri"/>
          <w:sz w:val="22"/>
          <w:szCs w:val="22"/>
        </w:rPr>
        <w:t>In Cuba, an inter</w:t>
      </w:r>
      <w:r>
        <w:rPr>
          <w:rFonts w:asciiTheme="majorHAnsi" w:hAnsiTheme="majorHAnsi" w:cs="Calibri"/>
          <w:sz w:val="22"/>
          <w:szCs w:val="22"/>
        </w:rPr>
        <w:t>-</w:t>
      </w:r>
      <w:r w:rsidRPr="00AB5939">
        <w:rPr>
          <w:rFonts w:asciiTheme="majorHAnsi" w:hAnsiTheme="majorHAnsi" w:cs="Calibri"/>
          <w:sz w:val="22"/>
          <w:szCs w:val="22"/>
        </w:rPr>
        <w:t>agency project supported data analysis of gender inequality and helped the country incorporate gender equality into decision-making processes</w:t>
      </w:r>
      <w:r>
        <w:rPr>
          <w:rFonts w:asciiTheme="majorHAnsi" w:hAnsiTheme="majorHAnsi" w:cs="Calibri"/>
          <w:sz w:val="22"/>
          <w:szCs w:val="22"/>
        </w:rPr>
        <w:t>;</w:t>
      </w:r>
    </w:p>
    <w:p w:rsidR="001A547C" w:rsidRDefault="001A547C" w:rsidP="001A547C">
      <w:pPr>
        <w:pStyle w:val="ListParagraph"/>
        <w:ind w:left="360"/>
        <w:jc w:val="both"/>
        <w:rPr>
          <w:rFonts w:asciiTheme="majorHAnsi" w:hAnsiTheme="majorHAnsi" w:cs="Calibri"/>
          <w:sz w:val="22"/>
          <w:szCs w:val="22"/>
        </w:rPr>
      </w:pPr>
      <w:r w:rsidRPr="00AB5939">
        <w:rPr>
          <w:rFonts w:asciiTheme="majorHAnsi" w:hAnsiTheme="majorHAnsi" w:cs="Calibri"/>
          <w:sz w:val="22"/>
          <w:szCs w:val="22"/>
        </w:rPr>
        <w:t xml:space="preserve"> </w:t>
      </w:r>
    </w:p>
    <w:p w:rsidR="001A547C" w:rsidRPr="005835DB" w:rsidRDefault="001A547C" w:rsidP="001A547C">
      <w:pPr>
        <w:pStyle w:val="ListParagraph"/>
        <w:numPr>
          <w:ilvl w:val="0"/>
          <w:numId w:val="13"/>
        </w:numPr>
        <w:jc w:val="both"/>
        <w:rPr>
          <w:rFonts w:asciiTheme="majorHAnsi" w:hAnsiTheme="majorHAnsi" w:cs="Calibri"/>
          <w:b/>
          <w:sz w:val="22"/>
          <w:szCs w:val="22"/>
        </w:rPr>
      </w:pPr>
      <w:r>
        <w:rPr>
          <w:rFonts w:asciiTheme="majorHAnsi" w:hAnsiTheme="majorHAnsi" w:cs="Calibri"/>
          <w:b/>
          <w:sz w:val="22"/>
          <w:szCs w:val="22"/>
        </w:rPr>
        <w:t xml:space="preserve">Ending child marriage. </w:t>
      </w:r>
      <w:r w:rsidRPr="00570590">
        <w:rPr>
          <w:rFonts w:asciiTheme="majorHAnsi" w:hAnsiTheme="majorHAnsi" w:cs="Calibri"/>
          <w:sz w:val="22"/>
          <w:szCs w:val="22"/>
        </w:rPr>
        <w:t>Joint</w:t>
      </w:r>
      <w:r>
        <w:rPr>
          <w:rFonts w:asciiTheme="majorHAnsi" w:hAnsiTheme="majorHAnsi" w:cs="Calibri"/>
          <w:b/>
          <w:sz w:val="22"/>
          <w:szCs w:val="22"/>
        </w:rPr>
        <w:t xml:space="preserve"> </w:t>
      </w:r>
      <w:r w:rsidRPr="00AB5939">
        <w:rPr>
          <w:rFonts w:asciiTheme="majorHAnsi" w:hAnsiTheme="majorHAnsi" w:cs="Calibri"/>
          <w:sz w:val="22"/>
          <w:szCs w:val="22"/>
        </w:rPr>
        <w:t xml:space="preserve">UNFPA and UNICEF work to accelerate action to end child marriage provided 3 million adolescent girls aged 10-19 with prevention and care interventions to address child marriage in 2018. UNFPA and UNICEF in Nepal contributed to the revision of the National Strategy to End Child Marriage in 2018 and supported </w:t>
      </w:r>
      <w:r>
        <w:rPr>
          <w:rFonts w:asciiTheme="majorHAnsi" w:hAnsiTheme="majorHAnsi" w:cs="Calibri"/>
          <w:sz w:val="22"/>
          <w:szCs w:val="22"/>
        </w:rPr>
        <w:t>efforts</w:t>
      </w:r>
      <w:r w:rsidRPr="00AB5939">
        <w:rPr>
          <w:rFonts w:asciiTheme="majorHAnsi" w:hAnsiTheme="majorHAnsi" w:cs="Calibri"/>
          <w:sz w:val="22"/>
          <w:szCs w:val="22"/>
        </w:rPr>
        <w:t xml:space="preserve"> to </w:t>
      </w:r>
      <w:r>
        <w:rPr>
          <w:rFonts w:asciiTheme="majorHAnsi" w:hAnsiTheme="majorHAnsi" w:cs="Calibri"/>
          <w:sz w:val="22"/>
          <w:szCs w:val="22"/>
        </w:rPr>
        <w:t>e</w:t>
      </w:r>
      <w:r w:rsidRPr="00AB5939">
        <w:rPr>
          <w:rFonts w:asciiTheme="majorHAnsi" w:hAnsiTheme="majorHAnsi" w:cs="Calibri"/>
          <w:sz w:val="22"/>
          <w:szCs w:val="22"/>
        </w:rPr>
        <w:t xml:space="preserve">nd </w:t>
      </w:r>
      <w:r>
        <w:rPr>
          <w:rFonts w:asciiTheme="majorHAnsi" w:hAnsiTheme="majorHAnsi" w:cs="Calibri"/>
          <w:sz w:val="22"/>
          <w:szCs w:val="22"/>
        </w:rPr>
        <w:t>c</w:t>
      </w:r>
      <w:r w:rsidRPr="00AB5939">
        <w:rPr>
          <w:rFonts w:asciiTheme="majorHAnsi" w:hAnsiTheme="majorHAnsi" w:cs="Calibri"/>
          <w:sz w:val="22"/>
          <w:szCs w:val="22"/>
        </w:rPr>
        <w:t xml:space="preserve">hild </w:t>
      </w:r>
      <w:r>
        <w:rPr>
          <w:rFonts w:asciiTheme="majorHAnsi" w:hAnsiTheme="majorHAnsi" w:cs="Calibri"/>
          <w:sz w:val="22"/>
          <w:szCs w:val="22"/>
        </w:rPr>
        <w:t>m</w:t>
      </w:r>
      <w:r w:rsidRPr="00AB5939">
        <w:rPr>
          <w:rFonts w:asciiTheme="majorHAnsi" w:hAnsiTheme="majorHAnsi" w:cs="Calibri"/>
          <w:sz w:val="22"/>
          <w:szCs w:val="22"/>
        </w:rPr>
        <w:t>arriage using a multisectoral approach, promoting both the retention of girls in school and enhancing access to adolescent</w:t>
      </w:r>
      <w:r>
        <w:rPr>
          <w:rFonts w:asciiTheme="majorHAnsi" w:hAnsiTheme="majorHAnsi" w:cs="Calibri"/>
          <w:sz w:val="22"/>
          <w:szCs w:val="22"/>
        </w:rPr>
        <w:t>-</w:t>
      </w:r>
      <w:r w:rsidRPr="00AB5939">
        <w:rPr>
          <w:rFonts w:asciiTheme="majorHAnsi" w:hAnsiTheme="majorHAnsi" w:cs="Calibri"/>
          <w:sz w:val="22"/>
          <w:szCs w:val="22"/>
        </w:rPr>
        <w:t xml:space="preserve">friendly health services. </w:t>
      </w:r>
      <w:r>
        <w:rPr>
          <w:rFonts w:asciiTheme="majorHAnsi" w:hAnsiTheme="majorHAnsi" w:cs="Calibri"/>
          <w:sz w:val="22"/>
          <w:szCs w:val="22"/>
        </w:rPr>
        <w:t xml:space="preserve">In Niger, </w:t>
      </w:r>
      <w:r w:rsidRPr="00AB5939">
        <w:rPr>
          <w:rFonts w:asciiTheme="majorHAnsi" w:hAnsiTheme="majorHAnsi" w:cs="Calibri"/>
          <w:sz w:val="22"/>
          <w:szCs w:val="22"/>
        </w:rPr>
        <w:t xml:space="preserve">where </w:t>
      </w:r>
      <w:r>
        <w:rPr>
          <w:rFonts w:asciiTheme="majorHAnsi" w:hAnsiTheme="majorHAnsi" w:cs="Calibri"/>
          <w:sz w:val="22"/>
          <w:szCs w:val="22"/>
        </w:rPr>
        <w:t>it is</w:t>
      </w:r>
      <w:r w:rsidRPr="00AB5939">
        <w:rPr>
          <w:rFonts w:asciiTheme="majorHAnsi" w:hAnsiTheme="majorHAnsi" w:cs="Calibri"/>
          <w:sz w:val="22"/>
          <w:szCs w:val="22"/>
        </w:rPr>
        <w:t xml:space="preserve"> estimated that around </w:t>
      </w:r>
      <w:r>
        <w:rPr>
          <w:rFonts w:asciiTheme="majorHAnsi" w:hAnsiTheme="majorHAnsi" w:cs="Calibri"/>
          <w:sz w:val="22"/>
          <w:szCs w:val="22"/>
        </w:rPr>
        <w:t xml:space="preserve">three of every four </w:t>
      </w:r>
      <w:r w:rsidRPr="00AB5939">
        <w:rPr>
          <w:rFonts w:asciiTheme="majorHAnsi" w:hAnsiTheme="majorHAnsi" w:cs="Calibri"/>
          <w:sz w:val="22"/>
          <w:szCs w:val="22"/>
        </w:rPr>
        <w:t>young girls were married before the age of 18</w:t>
      </w:r>
      <w:r>
        <w:rPr>
          <w:rFonts w:asciiTheme="majorHAnsi" w:hAnsiTheme="majorHAnsi" w:cs="Calibri"/>
          <w:sz w:val="22"/>
          <w:szCs w:val="22"/>
        </w:rPr>
        <w:t xml:space="preserve">, </w:t>
      </w:r>
      <w:r w:rsidRPr="00AB5939">
        <w:rPr>
          <w:rFonts w:asciiTheme="majorHAnsi" w:hAnsiTheme="majorHAnsi" w:cs="Calibri"/>
          <w:sz w:val="22"/>
          <w:szCs w:val="22"/>
        </w:rPr>
        <w:t xml:space="preserve">the multipronged </w:t>
      </w:r>
      <w:r w:rsidRPr="00AB5939">
        <w:rPr>
          <w:rFonts w:asciiTheme="majorHAnsi" w:hAnsiTheme="majorHAnsi" w:cs="Calibri"/>
          <w:i/>
          <w:sz w:val="22"/>
          <w:szCs w:val="22"/>
        </w:rPr>
        <w:t>Illimin</w:t>
      </w:r>
      <w:r w:rsidRPr="00AB5939">
        <w:rPr>
          <w:rFonts w:asciiTheme="majorHAnsi" w:hAnsiTheme="majorHAnsi" w:cs="Calibri"/>
          <w:sz w:val="22"/>
          <w:szCs w:val="22"/>
        </w:rPr>
        <w:t xml:space="preserve"> programme engaged religious and traditional leaders, expanded village child protection committees, organized community dialogues on the harms of child marriage and intervened with parents seeking to marry off their daughters.</w:t>
      </w:r>
      <w:r>
        <w:rPr>
          <w:rFonts w:asciiTheme="majorHAnsi" w:hAnsiTheme="majorHAnsi" w:cs="Calibri"/>
          <w:sz w:val="22"/>
          <w:szCs w:val="22"/>
        </w:rPr>
        <w:t xml:space="preserve"> </w:t>
      </w:r>
      <w:r w:rsidRPr="00261620">
        <w:rPr>
          <w:rFonts w:asciiTheme="majorHAnsi" w:hAnsiTheme="majorHAnsi" w:cs="Calibri"/>
          <w:sz w:val="22"/>
          <w:szCs w:val="22"/>
        </w:rPr>
        <w:t xml:space="preserve">In Latin </w:t>
      </w:r>
      <w:r>
        <w:rPr>
          <w:rFonts w:asciiTheme="majorHAnsi" w:hAnsiTheme="majorHAnsi" w:cs="Calibri"/>
          <w:sz w:val="22"/>
          <w:szCs w:val="22"/>
        </w:rPr>
        <w:t xml:space="preserve">America </w:t>
      </w:r>
      <w:r w:rsidRPr="00261620">
        <w:rPr>
          <w:rFonts w:asciiTheme="majorHAnsi" w:hAnsiTheme="majorHAnsi" w:cs="Calibri"/>
          <w:sz w:val="22"/>
          <w:szCs w:val="22"/>
        </w:rPr>
        <w:t xml:space="preserve">and </w:t>
      </w:r>
      <w:r>
        <w:rPr>
          <w:rFonts w:asciiTheme="majorHAnsi" w:hAnsiTheme="majorHAnsi" w:cs="Calibri"/>
          <w:sz w:val="22"/>
          <w:szCs w:val="22"/>
        </w:rPr>
        <w:t xml:space="preserve">the </w:t>
      </w:r>
      <w:r w:rsidRPr="00261620">
        <w:rPr>
          <w:rFonts w:asciiTheme="majorHAnsi" w:hAnsiTheme="majorHAnsi" w:cs="Calibri"/>
          <w:sz w:val="22"/>
          <w:szCs w:val="22"/>
        </w:rPr>
        <w:t>Caribbean, UNFPA, UNICEF</w:t>
      </w:r>
      <w:r>
        <w:rPr>
          <w:rFonts w:asciiTheme="majorHAnsi" w:hAnsiTheme="majorHAnsi" w:cs="Calibri"/>
          <w:sz w:val="22"/>
          <w:szCs w:val="22"/>
        </w:rPr>
        <w:t xml:space="preserve"> and</w:t>
      </w:r>
      <w:r w:rsidRPr="00261620">
        <w:rPr>
          <w:rFonts w:asciiTheme="majorHAnsi" w:hAnsiTheme="majorHAnsi" w:cs="Calibri"/>
          <w:sz w:val="22"/>
          <w:szCs w:val="22"/>
        </w:rPr>
        <w:t xml:space="preserve"> UN-Women are implementing the Region Free of Child Marriage and Early Unions: 2018-2022 </w:t>
      </w:r>
      <w:r>
        <w:rPr>
          <w:rFonts w:asciiTheme="majorHAnsi" w:hAnsiTheme="majorHAnsi" w:cs="Calibri"/>
          <w:sz w:val="22"/>
          <w:szCs w:val="22"/>
        </w:rPr>
        <w:t>i</w:t>
      </w:r>
      <w:r w:rsidRPr="00261620">
        <w:rPr>
          <w:rFonts w:asciiTheme="majorHAnsi" w:hAnsiTheme="majorHAnsi" w:cs="Calibri"/>
          <w:sz w:val="22"/>
          <w:szCs w:val="22"/>
        </w:rPr>
        <w:t xml:space="preserve">nitiative to address </w:t>
      </w:r>
      <w:r>
        <w:rPr>
          <w:rFonts w:asciiTheme="majorHAnsi" w:hAnsiTheme="majorHAnsi" w:cs="Calibri"/>
          <w:sz w:val="22"/>
          <w:szCs w:val="22"/>
        </w:rPr>
        <w:t xml:space="preserve">the </w:t>
      </w:r>
      <w:r w:rsidRPr="00261620">
        <w:rPr>
          <w:rFonts w:asciiTheme="majorHAnsi" w:hAnsiTheme="majorHAnsi" w:cs="Calibri"/>
          <w:sz w:val="22"/>
          <w:szCs w:val="22"/>
        </w:rPr>
        <w:t>most challenging causes and consequences of child marriage and early unions</w:t>
      </w:r>
      <w:r>
        <w:rPr>
          <w:rFonts w:asciiTheme="majorHAnsi" w:hAnsiTheme="majorHAnsi" w:cs="Calibri"/>
          <w:sz w:val="22"/>
          <w:szCs w:val="22"/>
        </w:rPr>
        <w:t>;</w:t>
      </w:r>
    </w:p>
    <w:p w:rsidR="001A547C" w:rsidRPr="00D361A4" w:rsidRDefault="001A547C" w:rsidP="001A547C">
      <w:pPr>
        <w:pStyle w:val="ListParagraph"/>
        <w:ind w:left="360"/>
        <w:jc w:val="both"/>
        <w:rPr>
          <w:rFonts w:asciiTheme="majorHAnsi" w:hAnsiTheme="majorHAnsi" w:cs="Calibri"/>
          <w:b/>
          <w:sz w:val="22"/>
          <w:szCs w:val="22"/>
        </w:rPr>
      </w:pPr>
      <w:r w:rsidRPr="00261620">
        <w:rPr>
          <w:rFonts w:asciiTheme="majorHAnsi" w:hAnsiTheme="majorHAnsi" w:cs="Calibri"/>
          <w:sz w:val="22"/>
          <w:szCs w:val="22"/>
        </w:rPr>
        <w:t xml:space="preserve"> </w:t>
      </w:r>
    </w:p>
    <w:p w:rsidR="001A547C" w:rsidRPr="00570590" w:rsidRDefault="001A547C" w:rsidP="001A547C">
      <w:pPr>
        <w:pStyle w:val="ListParagraph"/>
        <w:numPr>
          <w:ilvl w:val="0"/>
          <w:numId w:val="13"/>
        </w:numPr>
        <w:jc w:val="both"/>
        <w:rPr>
          <w:rFonts w:asciiTheme="majorHAnsi" w:hAnsiTheme="majorHAnsi" w:cs="Calibri"/>
          <w:b/>
          <w:sz w:val="22"/>
          <w:szCs w:val="22"/>
        </w:rPr>
      </w:pPr>
      <w:r w:rsidRPr="00570590">
        <w:rPr>
          <w:rFonts w:asciiTheme="majorHAnsi" w:hAnsiTheme="majorHAnsi" w:cs="Calibri"/>
          <w:b/>
          <w:sz w:val="22"/>
          <w:szCs w:val="22"/>
        </w:rPr>
        <w:t>Promoting the well-being of women with disabilities</w:t>
      </w:r>
      <w:r w:rsidRPr="00570590">
        <w:rPr>
          <w:rFonts w:asciiTheme="majorHAnsi" w:hAnsiTheme="majorHAnsi" w:cs="Calibri"/>
          <w:sz w:val="22"/>
          <w:szCs w:val="22"/>
        </w:rPr>
        <w:t xml:space="preserve">. In Serbia, through the programme on autonomy, voice and participation of women with disabilities in sustainable and measurable terms, UNDP, UNFPA and UN-Women, together with ILO and the Office of the United Nations High Commissioner for Human Rights (OHCHR), worked to strengthen voice and participation of women with disabilities. The collective interventions went beyond addressing discriminatory actions to also providing channels for voice and agency, raising the women’s self-confidence and increasing their power and authority to take decisions in all areas; </w:t>
      </w:r>
    </w:p>
    <w:p w:rsidR="001A547C" w:rsidRDefault="001A547C" w:rsidP="001A547C">
      <w:pPr>
        <w:pStyle w:val="ListParagraph"/>
        <w:ind w:left="360"/>
        <w:jc w:val="both"/>
        <w:rPr>
          <w:rFonts w:asciiTheme="majorHAnsi" w:hAnsiTheme="majorHAnsi" w:cs="Calibri"/>
          <w:b/>
          <w:sz w:val="22"/>
          <w:szCs w:val="22"/>
        </w:rPr>
      </w:pPr>
    </w:p>
    <w:p w:rsidR="001A547C" w:rsidRPr="00D361A4" w:rsidRDefault="001A547C" w:rsidP="001A547C">
      <w:pPr>
        <w:pStyle w:val="ListParagraph"/>
        <w:numPr>
          <w:ilvl w:val="0"/>
          <w:numId w:val="13"/>
        </w:numPr>
        <w:jc w:val="both"/>
        <w:rPr>
          <w:rFonts w:asciiTheme="majorHAnsi" w:hAnsiTheme="majorHAnsi" w:cs="Calibri"/>
          <w:b/>
          <w:sz w:val="22"/>
          <w:szCs w:val="22"/>
        </w:rPr>
      </w:pPr>
      <w:r>
        <w:rPr>
          <w:rFonts w:asciiTheme="majorHAnsi" w:hAnsiTheme="majorHAnsi" w:cs="Calibri"/>
          <w:b/>
          <w:sz w:val="22"/>
          <w:szCs w:val="22"/>
        </w:rPr>
        <w:t>Preventing violent extremism</w:t>
      </w:r>
      <w:r w:rsidRPr="00D361A4">
        <w:rPr>
          <w:rFonts w:asciiTheme="majorHAnsi" w:hAnsiTheme="majorHAnsi" w:cs="Calibri"/>
          <w:sz w:val="22"/>
          <w:szCs w:val="22"/>
        </w:rPr>
        <w:t>.</w:t>
      </w:r>
      <w:r>
        <w:rPr>
          <w:rFonts w:asciiTheme="majorHAnsi" w:hAnsiTheme="majorHAnsi" w:cs="Calibri"/>
          <w:sz w:val="22"/>
          <w:szCs w:val="22"/>
        </w:rPr>
        <w:t xml:space="preserve"> </w:t>
      </w:r>
      <w:r w:rsidRPr="00D361A4">
        <w:rPr>
          <w:rFonts w:asciiTheme="majorHAnsi" w:hAnsiTheme="majorHAnsi" w:cs="Calibri"/>
          <w:sz w:val="22"/>
          <w:szCs w:val="22"/>
        </w:rPr>
        <w:t xml:space="preserve">In April 2018, the </w:t>
      </w:r>
      <w:r>
        <w:rPr>
          <w:rFonts w:asciiTheme="majorHAnsi" w:hAnsiTheme="majorHAnsi" w:cs="Calibri"/>
          <w:sz w:val="22"/>
          <w:szCs w:val="22"/>
        </w:rPr>
        <w:t>r</w:t>
      </w:r>
      <w:r w:rsidRPr="00D361A4">
        <w:rPr>
          <w:rFonts w:asciiTheme="majorHAnsi" w:hAnsiTheme="majorHAnsi" w:cs="Calibri"/>
          <w:sz w:val="22"/>
          <w:szCs w:val="22"/>
        </w:rPr>
        <w:t xml:space="preserve">egional </w:t>
      </w:r>
      <w:r>
        <w:rPr>
          <w:rFonts w:asciiTheme="majorHAnsi" w:hAnsiTheme="majorHAnsi" w:cs="Calibri"/>
          <w:sz w:val="22"/>
          <w:szCs w:val="22"/>
        </w:rPr>
        <w:t>g</w:t>
      </w:r>
      <w:r w:rsidRPr="00D361A4">
        <w:rPr>
          <w:rFonts w:asciiTheme="majorHAnsi" w:hAnsiTheme="majorHAnsi" w:cs="Calibri"/>
          <w:sz w:val="22"/>
          <w:szCs w:val="22"/>
        </w:rPr>
        <w:t xml:space="preserve">ender </w:t>
      </w:r>
      <w:r>
        <w:rPr>
          <w:rFonts w:asciiTheme="majorHAnsi" w:hAnsiTheme="majorHAnsi" w:cs="Calibri"/>
          <w:sz w:val="22"/>
          <w:szCs w:val="22"/>
        </w:rPr>
        <w:t>t</w:t>
      </w:r>
      <w:r w:rsidRPr="00D361A4">
        <w:rPr>
          <w:rFonts w:asciiTheme="majorHAnsi" w:hAnsiTheme="majorHAnsi" w:cs="Calibri"/>
          <w:sz w:val="22"/>
          <w:szCs w:val="22"/>
        </w:rPr>
        <w:t xml:space="preserve">hematic </w:t>
      </w:r>
      <w:r>
        <w:rPr>
          <w:rFonts w:asciiTheme="majorHAnsi" w:hAnsiTheme="majorHAnsi" w:cs="Calibri"/>
          <w:sz w:val="22"/>
          <w:szCs w:val="22"/>
        </w:rPr>
        <w:t>g</w:t>
      </w:r>
      <w:r w:rsidRPr="00D361A4">
        <w:rPr>
          <w:rFonts w:asciiTheme="majorHAnsi" w:hAnsiTheme="majorHAnsi" w:cs="Calibri"/>
          <w:sz w:val="22"/>
          <w:szCs w:val="22"/>
        </w:rPr>
        <w:t xml:space="preserve">roup issued a position paper on </w:t>
      </w:r>
      <w:r>
        <w:rPr>
          <w:rFonts w:asciiTheme="majorHAnsi" w:hAnsiTheme="majorHAnsi" w:cs="Calibri"/>
          <w:sz w:val="22"/>
          <w:szCs w:val="22"/>
        </w:rPr>
        <w:t>g</w:t>
      </w:r>
      <w:r w:rsidRPr="00D361A4">
        <w:rPr>
          <w:rFonts w:asciiTheme="majorHAnsi" w:hAnsiTheme="majorHAnsi" w:cs="Calibri"/>
          <w:sz w:val="22"/>
          <w:szCs w:val="22"/>
        </w:rPr>
        <w:t>ender and violent extremism at the high-level event</w:t>
      </w:r>
      <w:r>
        <w:rPr>
          <w:rFonts w:asciiTheme="majorHAnsi" w:hAnsiTheme="majorHAnsi" w:cs="Calibri"/>
          <w:sz w:val="22"/>
          <w:szCs w:val="22"/>
        </w:rPr>
        <w:t>,</w:t>
      </w:r>
      <w:r w:rsidRPr="00D361A4">
        <w:rPr>
          <w:rFonts w:asciiTheme="majorHAnsi" w:hAnsiTheme="majorHAnsi" w:cs="Calibri"/>
          <w:sz w:val="22"/>
          <w:szCs w:val="22"/>
        </w:rPr>
        <w:t xml:space="preserve"> </w:t>
      </w:r>
      <w:r>
        <w:rPr>
          <w:rFonts w:asciiTheme="majorHAnsi" w:hAnsiTheme="majorHAnsi" w:cs="Calibri"/>
          <w:sz w:val="22"/>
          <w:szCs w:val="22"/>
        </w:rPr>
        <w:t>‘</w:t>
      </w:r>
      <w:r w:rsidRPr="005835DB">
        <w:rPr>
          <w:rFonts w:asciiTheme="majorHAnsi" w:hAnsiTheme="majorHAnsi" w:cs="Calibri"/>
          <w:sz w:val="22"/>
          <w:szCs w:val="22"/>
        </w:rPr>
        <w:t xml:space="preserve">Women, violence </w:t>
      </w:r>
      <w:r>
        <w:rPr>
          <w:rFonts w:asciiTheme="majorHAnsi" w:hAnsiTheme="majorHAnsi" w:cs="Calibri"/>
          <w:sz w:val="22"/>
          <w:szCs w:val="22"/>
        </w:rPr>
        <w:t xml:space="preserve">and terrorism </w:t>
      </w:r>
      <w:r w:rsidRPr="005835DB">
        <w:rPr>
          <w:rFonts w:asciiTheme="majorHAnsi" w:hAnsiTheme="majorHAnsi" w:cs="Calibri"/>
          <w:sz w:val="22"/>
          <w:szCs w:val="22"/>
        </w:rPr>
        <w:t>in West Africa and the Sahel region: Towards a regional and international response</w:t>
      </w:r>
      <w:r>
        <w:rPr>
          <w:rFonts w:asciiTheme="majorHAnsi" w:hAnsiTheme="majorHAnsi" w:cs="Calibri"/>
          <w:sz w:val="22"/>
          <w:szCs w:val="22"/>
        </w:rPr>
        <w:t>’</w:t>
      </w:r>
      <w:r w:rsidRPr="00D361A4">
        <w:rPr>
          <w:rFonts w:asciiTheme="majorHAnsi" w:hAnsiTheme="majorHAnsi" w:cs="Calibri"/>
          <w:sz w:val="22"/>
          <w:szCs w:val="22"/>
        </w:rPr>
        <w:t>. The work contributed to a call to action for the international community, States and Governments of West Africa, U</w:t>
      </w:r>
      <w:r>
        <w:rPr>
          <w:rFonts w:asciiTheme="majorHAnsi" w:hAnsiTheme="majorHAnsi" w:cs="Calibri"/>
          <w:sz w:val="22"/>
          <w:szCs w:val="22"/>
        </w:rPr>
        <w:t xml:space="preserve">nited </w:t>
      </w:r>
      <w:r w:rsidRPr="00D361A4">
        <w:rPr>
          <w:rFonts w:asciiTheme="majorHAnsi" w:hAnsiTheme="majorHAnsi" w:cs="Calibri"/>
          <w:sz w:val="22"/>
          <w:szCs w:val="22"/>
        </w:rPr>
        <w:t>N</w:t>
      </w:r>
      <w:r>
        <w:rPr>
          <w:rFonts w:asciiTheme="majorHAnsi" w:hAnsiTheme="majorHAnsi" w:cs="Calibri"/>
          <w:sz w:val="22"/>
          <w:szCs w:val="22"/>
        </w:rPr>
        <w:t xml:space="preserve">ations </w:t>
      </w:r>
      <w:r w:rsidRPr="00D361A4">
        <w:rPr>
          <w:rFonts w:asciiTheme="majorHAnsi" w:hAnsiTheme="majorHAnsi" w:cs="Calibri"/>
          <w:sz w:val="22"/>
          <w:szCs w:val="22"/>
        </w:rPr>
        <w:t xml:space="preserve">agencies </w:t>
      </w:r>
      <w:r>
        <w:rPr>
          <w:rFonts w:asciiTheme="majorHAnsi" w:hAnsiTheme="majorHAnsi" w:cs="Calibri"/>
          <w:sz w:val="22"/>
          <w:szCs w:val="22"/>
        </w:rPr>
        <w:t>and</w:t>
      </w:r>
      <w:r w:rsidRPr="00D361A4">
        <w:rPr>
          <w:rFonts w:asciiTheme="majorHAnsi" w:hAnsiTheme="majorHAnsi" w:cs="Calibri"/>
          <w:sz w:val="22"/>
          <w:szCs w:val="22"/>
        </w:rPr>
        <w:t xml:space="preserve"> international and local </w:t>
      </w:r>
      <w:r>
        <w:rPr>
          <w:rFonts w:asciiTheme="majorHAnsi" w:hAnsiTheme="majorHAnsi" w:cs="Calibri"/>
          <w:sz w:val="22"/>
          <w:szCs w:val="22"/>
        </w:rPr>
        <w:t xml:space="preserve">non-governmental organizations </w:t>
      </w:r>
      <w:r w:rsidRPr="00D361A4">
        <w:rPr>
          <w:rFonts w:asciiTheme="majorHAnsi" w:hAnsiTheme="majorHAnsi" w:cs="Calibri"/>
          <w:sz w:val="22"/>
          <w:szCs w:val="22"/>
        </w:rPr>
        <w:t xml:space="preserve">to take effective measures to </w:t>
      </w:r>
      <w:r w:rsidRPr="00D361A4">
        <w:rPr>
          <w:rFonts w:asciiTheme="majorHAnsi" w:hAnsiTheme="majorHAnsi" w:cs="Calibri"/>
          <w:sz w:val="22"/>
          <w:szCs w:val="22"/>
        </w:rPr>
        <w:lastRenderedPageBreak/>
        <w:t>systematically involve women in all initiatives aimed at preventing violent extremism and fighting terrorism.</w:t>
      </w:r>
      <w:r w:rsidRPr="00495AAD">
        <w:rPr>
          <w:noProof/>
        </w:rPr>
        <w:t xml:space="preserve"> </w:t>
      </w:r>
    </w:p>
    <w:p w:rsidR="001A547C" w:rsidRPr="00261620" w:rsidRDefault="001A547C" w:rsidP="001A547C">
      <w:pPr>
        <w:pStyle w:val="Heading2"/>
        <w:spacing w:after="0" w:line="240" w:lineRule="auto"/>
        <w:rPr>
          <w:rFonts w:asciiTheme="majorHAnsi" w:hAnsiTheme="majorHAnsi" w:cs="Calibri"/>
          <w:b/>
          <w:sz w:val="22"/>
          <w:szCs w:val="22"/>
        </w:rPr>
      </w:pPr>
      <w:r w:rsidRPr="00261620">
        <w:rPr>
          <w:rFonts w:asciiTheme="majorHAnsi" w:hAnsiTheme="majorHAnsi" w:cs="Calibri"/>
          <w:b/>
          <w:sz w:val="22"/>
          <w:szCs w:val="22"/>
        </w:rPr>
        <w:t>Ensuring greater availability and use of disaggregated data for sustainable development</w:t>
      </w:r>
    </w:p>
    <w:p w:rsidR="001A547C" w:rsidRPr="00ED56FD" w:rsidRDefault="001A547C" w:rsidP="001A547C">
      <w:pPr>
        <w:pStyle w:val="ListParagraph"/>
        <w:numPr>
          <w:ilvl w:val="0"/>
          <w:numId w:val="22"/>
        </w:numPr>
        <w:ind w:left="0" w:firstLine="0"/>
        <w:jc w:val="both"/>
        <w:rPr>
          <w:rFonts w:asciiTheme="majorHAnsi" w:hAnsiTheme="majorHAnsi" w:cs="Calibri"/>
          <w:sz w:val="22"/>
          <w:szCs w:val="22"/>
        </w:rPr>
      </w:pPr>
      <w:r>
        <w:rPr>
          <w:rFonts w:asciiTheme="majorHAnsi" w:hAnsiTheme="majorHAnsi" w:cs="Calibri"/>
          <w:sz w:val="22"/>
          <w:szCs w:val="22"/>
        </w:rPr>
        <w:t xml:space="preserve">Joint work under the common chapter aims to increase the availability of high-quality, timely, reliable and disaggregated data for sustainable development and support the development of national statistical capacities that are vital for monitoring progress towards the </w:t>
      </w:r>
      <w:bookmarkStart w:id="1" w:name="_Hlk7282311"/>
      <w:r>
        <w:rPr>
          <w:rFonts w:asciiTheme="majorHAnsi" w:hAnsiTheme="majorHAnsi" w:cs="Calibri"/>
          <w:sz w:val="22"/>
          <w:szCs w:val="22"/>
        </w:rPr>
        <w:t>Sustainable Development Goals</w:t>
      </w:r>
      <w:bookmarkEnd w:id="1"/>
      <w:r>
        <w:rPr>
          <w:rFonts w:asciiTheme="majorHAnsi" w:hAnsiTheme="majorHAnsi" w:cs="Calibri"/>
          <w:sz w:val="22"/>
          <w:szCs w:val="22"/>
        </w:rPr>
        <w:t xml:space="preserve">, as </w:t>
      </w:r>
      <w:r w:rsidRPr="00ED56FD">
        <w:rPr>
          <w:rFonts w:asciiTheme="majorHAnsi" w:hAnsiTheme="majorHAnsi" w:cs="Calibri"/>
          <w:sz w:val="22"/>
          <w:szCs w:val="22"/>
        </w:rPr>
        <w:t xml:space="preserve">adapted in each country context. Programmes in 2018 contributed to: </w:t>
      </w:r>
    </w:p>
    <w:p w:rsidR="001A547C" w:rsidRPr="00ED56FD" w:rsidRDefault="001A547C" w:rsidP="001A547C">
      <w:pPr>
        <w:pStyle w:val="ListParagraph"/>
        <w:ind w:left="0"/>
        <w:jc w:val="both"/>
        <w:rPr>
          <w:rFonts w:asciiTheme="majorHAnsi" w:hAnsiTheme="majorHAnsi" w:cs="Calibri"/>
          <w:sz w:val="22"/>
          <w:szCs w:val="22"/>
        </w:rPr>
      </w:pPr>
    </w:p>
    <w:p w:rsidR="001A547C" w:rsidRPr="00ED56FD" w:rsidRDefault="001A547C" w:rsidP="001A547C">
      <w:pPr>
        <w:pStyle w:val="ListParagraph"/>
        <w:numPr>
          <w:ilvl w:val="0"/>
          <w:numId w:val="20"/>
        </w:numPr>
        <w:jc w:val="both"/>
        <w:rPr>
          <w:sz w:val="22"/>
          <w:szCs w:val="22"/>
          <w:lang w:eastAsia="ja-JP"/>
        </w:rPr>
      </w:pPr>
      <w:r w:rsidRPr="00ED56FD">
        <w:rPr>
          <w:rFonts w:asciiTheme="majorHAnsi" w:hAnsiTheme="majorHAnsi" w:cs="Calibri"/>
          <w:b/>
          <w:sz w:val="22"/>
          <w:szCs w:val="22"/>
        </w:rPr>
        <w:t xml:space="preserve">Nationalization of the </w:t>
      </w:r>
      <w:r w:rsidRPr="00ED56FD">
        <w:rPr>
          <w:rFonts w:asciiTheme="majorHAnsi" w:hAnsiTheme="majorHAnsi" w:cs="Calibri"/>
          <w:b/>
          <w:sz w:val="22"/>
          <w:szCs w:val="22"/>
          <w:lang w:val="en"/>
        </w:rPr>
        <w:t>Sustainable Development Goals</w:t>
      </w:r>
      <w:r w:rsidRPr="00ED56FD" w:rsidDel="005835DB">
        <w:rPr>
          <w:rFonts w:asciiTheme="majorHAnsi" w:hAnsiTheme="majorHAnsi" w:cs="Calibri"/>
          <w:b/>
          <w:sz w:val="22"/>
          <w:szCs w:val="22"/>
          <w:lang w:val="en"/>
        </w:rPr>
        <w:t xml:space="preserve"> </w:t>
      </w:r>
      <w:r w:rsidRPr="00ED56FD">
        <w:rPr>
          <w:rFonts w:asciiTheme="majorHAnsi" w:hAnsiTheme="majorHAnsi" w:cs="Calibri"/>
          <w:b/>
          <w:sz w:val="22"/>
          <w:szCs w:val="22"/>
        </w:rPr>
        <w:t>supported by comprehensive and consistent data systems</w:t>
      </w:r>
      <w:r w:rsidRPr="00ED56FD">
        <w:rPr>
          <w:rFonts w:asciiTheme="majorHAnsi" w:hAnsiTheme="majorHAnsi" w:cs="Calibri"/>
          <w:sz w:val="22"/>
          <w:szCs w:val="22"/>
        </w:rPr>
        <w:t>. In Tunisia, 2018 saw a completed data gap analysis of indicators for the Goals, rapid assessment of the level of alignment of national and sectoral development strategies with the targets for the Goals, and the development of strategic paper on leaving no one behind. In Morocco, cross-cutting analysis of the national gender equality agenda, the national strategy on disabilities and the national strategy on children, helped the Ministry of</w:t>
      </w:r>
      <w:r>
        <w:rPr>
          <w:rFonts w:asciiTheme="majorHAnsi" w:hAnsiTheme="majorHAnsi" w:cs="Calibri"/>
          <w:sz w:val="22"/>
          <w:szCs w:val="22"/>
        </w:rPr>
        <w:t xml:space="preserve"> </w:t>
      </w:r>
      <w:r w:rsidRPr="005F691F">
        <w:rPr>
          <w:rFonts w:asciiTheme="majorHAnsi" w:hAnsiTheme="majorHAnsi" w:cs="Calibri"/>
          <w:sz w:val="22"/>
          <w:szCs w:val="22"/>
        </w:rPr>
        <w:t>Family, Solidarity, Equality and Social Development</w:t>
      </w:r>
      <w:r w:rsidRPr="00ED56FD">
        <w:rPr>
          <w:rFonts w:asciiTheme="majorHAnsi" w:hAnsiTheme="majorHAnsi" w:cs="Calibri"/>
          <w:sz w:val="22"/>
          <w:szCs w:val="22"/>
        </w:rPr>
        <w:t xml:space="preserve"> to identify linkages between targets for the Goals and the Ministry's policies and programmes, and prioritize targets and adapted indicators to monitor the Ministry’s contribution to the Goals. In Indonesia, the UNCT Data for SDGs Working Group supported the Government to apply internationally accepted definitions and metadata, enrich the interactive and user-friendly dashboard for all Goals for monitoring and reporting and for policy development. In Myanmar, the Government was supported to undertake a review of availability of Goal-related data and prepare a plan for filling gaps;</w:t>
      </w:r>
    </w:p>
    <w:p w:rsidR="001A547C" w:rsidRPr="00261620" w:rsidRDefault="001A547C" w:rsidP="001A547C">
      <w:pPr>
        <w:pStyle w:val="ListParagraph"/>
        <w:ind w:left="360"/>
        <w:jc w:val="both"/>
        <w:rPr>
          <w:rFonts w:asciiTheme="majorHAnsi" w:hAnsiTheme="majorHAnsi" w:cs="Calibri"/>
          <w:sz w:val="22"/>
          <w:szCs w:val="22"/>
        </w:rPr>
      </w:pPr>
      <w:r>
        <w:rPr>
          <w:rFonts w:asciiTheme="majorHAnsi" w:hAnsiTheme="majorHAnsi" w:cs="Calibri"/>
          <w:sz w:val="22"/>
          <w:szCs w:val="22"/>
        </w:rPr>
        <w:t xml:space="preserve"> </w:t>
      </w:r>
    </w:p>
    <w:p w:rsidR="001A547C" w:rsidRPr="00570590" w:rsidRDefault="001A547C" w:rsidP="001A547C">
      <w:pPr>
        <w:pStyle w:val="ListParagraph"/>
        <w:numPr>
          <w:ilvl w:val="0"/>
          <w:numId w:val="20"/>
        </w:numPr>
        <w:jc w:val="both"/>
        <w:rPr>
          <w:rFonts w:asciiTheme="majorHAnsi" w:hAnsiTheme="majorHAnsi" w:cs="Calibri"/>
          <w:sz w:val="22"/>
          <w:szCs w:val="22"/>
        </w:rPr>
      </w:pPr>
      <w:r w:rsidRPr="00570590">
        <w:rPr>
          <w:rFonts w:asciiTheme="majorHAnsi" w:hAnsiTheme="majorHAnsi" w:cs="Calibri"/>
          <w:b/>
          <w:sz w:val="22"/>
          <w:szCs w:val="22"/>
        </w:rPr>
        <w:t>Availability and use of disaggregated data</w:t>
      </w:r>
      <w:r w:rsidRPr="00570590">
        <w:rPr>
          <w:rFonts w:asciiTheme="majorHAnsi" w:hAnsiTheme="majorHAnsi" w:cs="Calibri"/>
          <w:sz w:val="22"/>
          <w:szCs w:val="22"/>
        </w:rPr>
        <w:t>. The four agencies supported national household surveys in the Europe and Central Asia region, including Multiple Indicator Cluster Survey (MICS), and violence against women and population censuses in Albania, Bosnia and Herzegovina, Georgia, Kazakhstan, Kosovo,</w:t>
      </w:r>
      <w:r>
        <w:rPr>
          <w:rStyle w:val="FootnoteReference"/>
          <w:rFonts w:asciiTheme="majorHAnsi" w:hAnsiTheme="majorHAnsi" w:cs="Calibri"/>
          <w:sz w:val="22"/>
          <w:szCs w:val="22"/>
        </w:rPr>
        <w:footnoteReference w:id="3"/>
      </w:r>
      <w:r w:rsidRPr="00570590">
        <w:rPr>
          <w:rFonts w:asciiTheme="majorHAnsi" w:hAnsiTheme="majorHAnsi" w:cs="Calibri"/>
          <w:sz w:val="22"/>
          <w:szCs w:val="22"/>
        </w:rPr>
        <w:t xml:space="preserve"> Tajikistan, Kyrgyzstan, Turkmenistan and Uzbekistan. In Kiribati, UNFPA and UNICEF provided support for much-needed information on the situation of children and women in the country across a range of Goal-related indicators</w:t>
      </w:r>
      <w:r w:rsidRPr="00570590">
        <w:rPr>
          <w:rFonts w:asciiTheme="majorHAnsi" w:hAnsiTheme="majorHAnsi" w:cs="Calibri"/>
          <w:b/>
          <w:sz w:val="22"/>
          <w:szCs w:val="22"/>
        </w:rPr>
        <w:t xml:space="preserve">. </w:t>
      </w:r>
      <w:r w:rsidRPr="00570590">
        <w:rPr>
          <w:rFonts w:asciiTheme="majorHAnsi" w:hAnsiTheme="majorHAnsi" w:cs="Calibri"/>
          <w:sz w:val="22"/>
          <w:szCs w:val="22"/>
        </w:rPr>
        <w:t>UNDP, UNFPA, UNICEF and UN-Women enabled data collection, dissemination and national consultations on the findings of the OSCE survey on the well-being and security of women in South-East Europe and Eastern Europe in conflict and post-conflict contexts. The four agencies supported MAPS missions, especially in Eastern Europe/Central Asia, in person and with remote commentary on data issues;</w:t>
      </w:r>
    </w:p>
    <w:p w:rsidR="001A547C" w:rsidRPr="00261620" w:rsidRDefault="001A547C" w:rsidP="001A547C">
      <w:pPr>
        <w:pStyle w:val="ListParagraph"/>
        <w:ind w:left="360"/>
        <w:jc w:val="both"/>
        <w:rPr>
          <w:rFonts w:asciiTheme="majorHAnsi" w:hAnsiTheme="majorHAnsi" w:cs="Calibri"/>
          <w:sz w:val="22"/>
          <w:szCs w:val="22"/>
        </w:rPr>
      </w:pPr>
    </w:p>
    <w:p w:rsidR="001A547C" w:rsidRPr="00FC50B0" w:rsidRDefault="001A547C" w:rsidP="001A547C">
      <w:pPr>
        <w:pStyle w:val="ListParagraph"/>
        <w:numPr>
          <w:ilvl w:val="0"/>
          <w:numId w:val="20"/>
        </w:numPr>
        <w:jc w:val="both"/>
        <w:rPr>
          <w:rFonts w:asciiTheme="majorHAnsi" w:hAnsiTheme="majorHAnsi" w:cstheme="majorHAnsi"/>
          <w:sz w:val="22"/>
          <w:szCs w:val="22"/>
        </w:rPr>
      </w:pPr>
      <w:r w:rsidRPr="00406A4D">
        <w:rPr>
          <w:rFonts w:asciiTheme="majorHAnsi" w:hAnsiTheme="majorHAnsi" w:cstheme="majorHAnsi"/>
          <w:b/>
          <w:sz w:val="22"/>
          <w:szCs w:val="22"/>
        </w:rPr>
        <w:t xml:space="preserve">Data for </w:t>
      </w:r>
      <w:r>
        <w:rPr>
          <w:rFonts w:asciiTheme="majorHAnsi" w:hAnsiTheme="majorHAnsi" w:cstheme="majorHAnsi"/>
          <w:b/>
          <w:sz w:val="22"/>
          <w:szCs w:val="22"/>
        </w:rPr>
        <w:t xml:space="preserve">development </w:t>
      </w:r>
      <w:r w:rsidRPr="00406A4D">
        <w:rPr>
          <w:rFonts w:asciiTheme="majorHAnsi" w:hAnsiTheme="majorHAnsi" w:cstheme="majorHAnsi"/>
          <w:b/>
          <w:sz w:val="22"/>
          <w:szCs w:val="22"/>
        </w:rPr>
        <w:t>planning</w:t>
      </w:r>
      <w:r>
        <w:rPr>
          <w:rFonts w:asciiTheme="majorHAnsi" w:hAnsiTheme="majorHAnsi" w:cstheme="majorHAnsi"/>
          <w:sz w:val="22"/>
          <w:szCs w:val="22"/>
        </w:rPr>
        <w:t xml:space="preserve">. </w:t>
      </w:r>
      <w:r w:rsidRPr="00FC50B0">
        <w:rPr>
          <w:rFonts w:asciiTheme="majorHAnsi" w:hAnsiTheme="majorHAnsi" w:cstheme="majorHAnsi"/>
          <w:sz w:val="22"/>
          <w:szCs w:val="22"/>
        </w:rPr>
        <w:t xml:space="preserve">In West and Central Africa, the </w:t>
      </w:r>
      <w:r>
        <w:rPr>
          <w:rFonts w:asciiTheme="majorHAnsi" w:hAnsiTheme="majorHAnsi" w:cstheme="majorHAnsi"/>
          <w:sz w:val="22"/>
          <w:szCs w:val="22"/>
        </w:rPr>
        <w:t>sixth round of MICS</w:t>
      </w:r>
      <w:r w:rsidRPr="00FC50B0">
        <w:rPr>
          <w:rFonts w:asciiTheme="majorHAnsi" w:hAnsiTheme="majorHAnsi" w:cstheme="majorHAnsi"/>
          <w:sz w:val="22"/>
          <w:szCs w:val="22"/>
        </w:rPr>
        <w:t xml:space="preserve"> has been conducted in nine countries (Central African Republic, Chad</w:t>
      </w:r>
      <w:r>
        <w:rPr>
          <w:rFonts w:asciiTheme="majorHAnsi" w:hAnsiTheme="majorHAnsi" w:cstheme="majorHAnsi"/>
          <w:sz w:val="22"/>
          <w:szCs w:val="22"/>
        </w:rPr>
        <w:t xml:space="preserve">, </w:t>
      </w:r>
      <w:r w:rsidRPr="00FC50B0">
        <w:rPr>
          <w:rFonts w:asciiTheme="majorHAnsi" w:hAnsiTheme="majorHAnsi" w:cstheme="majorHAnsi"/>
          <w:sz w:val="22"/>
          <w:szCs w:val="22"/>
        </w:rPr>
        <w:t xml:space="preserve">Democratic Republic of </w:t>
      </w:r>
      <w:r>
        <w:rPr>
          <w:rFonts w:asciiTheme="majorHAnsi" w:hAnsiTheme="majorHAnsi" w:cstheme="majorHAnsi"/>
          <w:sz w:val="22"/>
          <w:szCs w:val="22"/>
        </w:rPr>
        <w:t xml:space="preserve">the </w:t>
      </w:r>
      <w:r w:rsidRPr="00FC50B0">
        <w:rPr>
          <w:rFonts w:asciiTheme="majorHAnsi" w:hAnsiTheme="majorHAnsi" w:cstheme="majorHAnsi"/>
          <w:sz w:val="22"/>
          <w:szCs w:val="22"/>
        </w:rPr>
        <w:t>Congo</w:t>
      </w:r>
      <w:r>
        <w:rPr>
          <w:rFonts w:asciiTheme="majorHAnsi" w:hAnsiTheme="majorHAnsi" w:cstheme="majorHAnsi"/>
          <w:sz w:val="22"/>
          <w:szCs w:val="22"/>
        </w:rPr>
        <w:t xml:space="preserve">, the Gambia, </w:t>
      </w:r>
      <w:r w:rsidRPr="00FC50B0">
        <w:rPr>
          <w:rFonts w:asciiTheme="majorHAnsi" w:hAnsiTheme="majorHAnsi" w:cstheme="majorHAnsi"/>
          <w:sz w:val="22"/>
          <w:szCs w:val="22"/>
        </w:rPr>
        <w:t>Ghana, Guinea</w:t>
      </w:r>
      <w:r>
        <w:rPr>
          <w:rFonts w:asciiTheme="majorHAnsi" w:hAnsiTheme="majorHAnsi" w:cstheme="majorHAnsi"/>
          <w:sz w:val="22"/>
          <w:szCs w:val="22"/>
        </w:rPr>
        <w:t>-</w:t>
      </w:r>
      <w:r w:rsidRPr="00FC50B0">
        <w:rPr>
          <w:rFonts w:asciiTheme="majorHAnsi" w:hAnsiTheme="majorHAnsi" w:cstheme="majorHAnsi"/>
          <w:sz w:val="22"/>
          <w:szCs w:val="22"/>
        </w:rPr>
        <w:t>Bissau</w:t>
      </w:r>
      <w:r>
        <w:rPr>
          <w:rFonts w:asciiTheme="majorHAnsi" w:hAnsiTheme="majorHAnsi" w:cstheme="majorHAnsi"/>
          <w:sz w:val="22"/>
          <w:szCs w:val="22"/>
        </w:rPr>
        <w:t xml:space="preserve">, </w:t>
      </w:r>
      <w:r w:rsidRPr="00FC50B0">
        <w:rPr>
          <w:rFonts w:asciiTheme="majorHAnsi" w:hAnsiTheme="majorHAnsi" w:cstheme="majorHAnsi"/>
          <w:sz w:val="22"/>
          <w:szCs w:val="22"/>
        </w:rPr>
        <w:t>Sao</w:t>
      </w:r>
      <w:r>
        <w:rPr>
          <w:rFonts w:asciiTheme="majorHAnsi" w:hAnsiTheme="majorHAnsi" w:cstheme="majorHAnsi"/>
          <w:sz w:val="22"/>
          <w:szCs w:val="22"/>
        </w:rPr>
        <w:t xml:space="preserve"> </w:t>
      </w:r>
      <w:r w:rsidRPr="00FC50B0">
        <w:rPr>
          <w:rFonts w:asciiTheme="majorHAnsi" w:hAnsiTheme="majorHAnsi" w:cstheme="majorHAnsi"/>
          <w:sz w:val="22"/>
          <w:szCs w:val="22"/>
        </w:rPr>
        <w:t>Tome</w:t>
      </w:r>
      <w:r>
        <w:rPr>
          <w:rFonts w:asciiTheme="majorHAnsi" w:hAnsiTheme="majorHAnsi" w:cstheme="majorHAnsi"/>
          <w:sz w:val="22"/>
          <w:szCs w:val="22"/>
        </w:rPr>
        <w:t xml:space="preserve"> and </w:t>
      </w:r>
      <w:r w:rsidRPr="00FC50B0">
        <w:rPr>
          <w:rFonts w:asciiTheme="majorHAnsi" w:hAnsiTheme="majorHAnsi" w:cstheme="majorHAnsi"/>
          <w:sz w:val="22"/>
          <w:szCs w:val="22"/>
        </w:rPr>
        <w:t>Principe, Sierra</w:t>
      </w:r>
      <w:r>
        <w:rPr>
          <w:rFonts w:asciiTheme="majorHAnsi" w:hAnsiTheme="majorHAnsi" w:cstheme="majorHAnsi"/>
          <w:sz w:val="22"/>
          <w:szCs w:val="22"/>
        </w:rPr>
        <w:t xml:space="preserve"> </w:t>
      </w:r>
      <w:r w:rsidRPr="00FC50B0">
        <w:rPr>
          <w:rFonts w:asciiTheme="majorHAnsi" w:hAnsiTheme="majorHAnsi" w:cstheme="majorHAnsi"/>
          <w:sz w:val="22"/>
          <w:szCs w:val="22"/>
        </w:rPr>
        <w:t>Leone</w:t>
      </w:r>
      <w:r>
        <w:rPr>
          <w:rFonts w:asciiTheme="majorHAnsi" w:hAnsiTheme="majorHAnsi" w:cstheme="majorHAnsi"/>
          <w:sz w:val="22"/>
          <w:szCs w:val="22"/>
        </w:rPr>
        <w:t xml:space="preserve"> and </w:t>
      </w:r>
      <w:r w:rsidRPr="00FC50B0">
        <w:rPr>
          <w:rFonts w:asciiTheme="majorHAnsi" w:hAnsiTheme="majorHAnsi" w:cstheme="majorHAnsi"/>
          <w:sz w:val="22"/>
          <w:szCs w:val="22"/>
        </w:rPr>
        <w:t xml:space="preserve">Togo) </w:t>
      </w:r>
      <w:r>
        <w:rPr>
          <w:rFonts w:asciiTheme="majorHAnsi" w:hAnsiTheme="majorHAnsi" w:cstheme="majorHAnsi"/>
          <w:sz w:val="22"/>
          <w:szCs w:val="22"/>
        </w:rPr>
        <w:t xml:space="preserve">by </w:t>
      </w:r>
      <w:r w:rsidRPr="00FC50B0">
        <w:rPr>
          <w:rFonts w:asciiTheme="majorHAnsi" w:hAnsiTheme="majorHAnsi" w:cstheme="majorHAnsi"/>
          <w:sz w:val="22"/>
          <w:szCs w:val="22"/>
        </w:rPr>
        <w:t>the four agencies in collaboration with other key technical and financial partners (</w:t>
      </w:r>
      <w:r>
        <w:rPr>
          <w:rFonts w:asciiTheme="majorHAnsi" w:hAnsiTheme="majorHAnsi" w:cstheme="majorHAnsi"/>
          <w:sz w:val="22"/>
          <w:szCs w:val="22"/>
        </w:rPr>
        <w:t xml:space="preserve">WFP, </w:t>
      </w:r>
      <w:r w:rsidRPr="00FC50B0">
        <w:rPr>
          <w:rFonts w:asciiTheme="majorHAnsi" w:hAnsiTheme="majorHAnsi" w:cstheme="majorHAnsi"/>
          <w:sz w:val="22"/>
          <w:szCs w:val="22"/>
        </w:rPr>
        <w:t>WHO, E</w:t>
      </w:r>
      <w:r>
        <w:rPr>
          <w:rFonts w:asciiTheme="majorHAnsi" w:hAnsiTheme="majorHAnsi" w:cstheme="majorHAnsi"/>
          <w:sz w:val="22"/>
          <w:szCs w:val="22"/>
        </w:rPr>
        <w:t xml:space="preserve">uropean </w:t>
      </w:r>
      <w:r w:rsidRPr="00FC50B0">
        <w:rPr>
          <w:rFonts w:asciiTheme="majorHAnsi" w:hAnsiTheme="majorHAnsi" w:cstheme="majorHAnsi"/>
          <w:sz w:val="22"/>
          <w:szCs w:val="22"/>
        </w:rPr>
        <w:t>U</w:t>
      </w:r>
      <w:r>
        <w:rPr>
          <w:rFonts w:asciiTheme="majorHAnsi" w:hAnsiTheme="majorHAnsi" w:cstheme="majorHAnsi"/>
          <w:sz w:val="22"/>
          <w:szCs w:val="22"/>
        </w:rPr>
        <w:t>nion</w:t>
      </w:r>
      <w:r w:rsidRPr="00FC50B0">
        <w:rPr>
          <w:rFonts w:asciiTheme="majorHAnsi" w:hAnsiTheme="majorHAnsi" w:cstheme="majorHAnsi"/>
          <w:sz w:val="22"/>
          <w:szCs w:val="22"/>
        </w:rPr>
        <w:t>, W</w:t>
      </w:r>
      <w:r>
        <w:rPr>
          <w:rFonts w:asciiTheme="majorHAnsi" w:hAnsiTheme="majorHAnsi" w:cstheme="majorHAnsi"/>
          <w:sz w:val="22"/>
          <w:szCs w:val="22"/>
        </w:rPr>
        <w:t xml:space="preserve">orld </w:t>
      </w:r>
      <w:r w:rsidRPr="00FC50B0">
        <w:rPr>
          <w:rFonts w:asciiTheme="majorHAnsi" w:hAnsiTheme="majorHAnsi" w:cstheme="majorHAnsi"/>
          <w:sz w:val="22"/>
          <w:szCs w:val="22"/>
        </w:rPr>
        <w:t>B</w:t>
      </w:r>
      <w:r>
        <w:rPr>
          <w:rFonts w:asciiTheme="majorHAnsi" w:hAnsiTheme="majorHAnsi" w:cstheme="majorHAnsi"/>
          <w:sz w:val="22"/>
          <w:szCs w:val="22"/>
        </w:rPr>
        <w:t>ank</w:t>
      </w:r>
      <w:r w:rsidRPr="00FC50B0">
        <w:rPr>
          <w:rFonts w:asciiTheme="majorHAnsi" w:hAnsiTheme="majorHAnsi" w:cstheme="majorHAnsi"/>
          <w:sz w:val="22"/>
          <w:szCs w:val="22"/>
        </w:rPr>
        <w:t xml:space="preserve">, </w:t>
      </w:r>
      <w:r>
        <w:rPr>
          <w:rFonts w:asciiTheme="majorHAnsi" w:hAnsiTheme="majorHAnsi" w:cstheme="majorHAnsi"/>
          <w:sz w:val="22"/>
          <w:szCs w:val="22"/>
        </w:rPr>
        <w:t>Global Fund to Fight AIDS, Tuberculosis and Malaria, French Development Agency, Korean International Cooperation Agency</w:t>
      </w:r>
      <w:r w:rsidRPr="00FC50B0">
        <w:rPr>
          <w:rFonts w:asciiTheme="majorHAnsi" w:hAnsiTheme="majorHAnsi" w:cstheme="majorHAnsi"/>
          <w:sz w:val="22"/>
          <w:szCs w:val="22"/>
        </w:rPr>
        <w:t xml:space="preserve">, </w:t>
      </w:r>
      <w:r>
        <w:rPr>
          <w:rFonts w:asciiTheme="majorHAnsi" w:hAnsiTheme="majorHAnsi" w:cstheme="majorHAnsi"/>
          <w:sz w:val="22"/>
          <w:szCs w:val="22"/>
        </w:rPr>
        <w:t>United States Agency for International Development</w:t>
      </w:r>
      <w:r w:rsidRPr="00FC50B0">
        <w:rPr>
          <w:rFonts w:asciiTheme="majorHAnsi" w:hAnsiTheme="majorHAnsi" w:cstheme="majorHAnsi"/>
          <w:sz w:val="22"/>
          <w:szCs w:val="22"/>
        </w:rPr>
        <w:t>). The informatio</w:t>
      </w:r>
      <w:r>
        <w:rPr>
          <w:rFonts w:asciiTheme="majorHAnsi" w:hAnsiTheme="majorHAnsi" w:cstheme="majorHAnsi"/>
          <w:sz w:val="22"/>
          <w:szCs w:val="22"/>
        </w:rPr>
        <w:t xml:space="preserve">n </w:t>
      </w:r>
      <w:r w:rsidRPr="00FC50B0">
        <w:rPr>
          <w:rFonts w:asciiTheme="majorHAnsi" w:hAnsiTheme="majorHAnsi" w:cstheme="majorHAnsi"/>
          <w:sz w:val="22"/>
          <w:szCs w:val="22"/>
        </w:rPr>
        <w:t>provide</w:t>
      </w:r>
      <w:r>
        <w:rPr>
          <w:rFonts w:asciiTheme="majorHAnsi" w:hAnsiTheme="majorHAnsi" w:cstheme="majorHAnsi"/>
          <w:sz w:val="22"/>
          <w:szCs w:val="22"/>
        </w:rPr>
        <w:t>d</w:t>
      </w:r>
      <w:r w:rsidRPr="00FC50B0">
        <w:rPr>
          <w:rFonts w:asciiTheme="majorHAnsi" w:hAnsiTheme="majorHAnsi" w:cstheme="majorHAnsi"/>
          <w:sz w:val="22"/>
          <w:szCs w:val="22"/>
        </w:rPr>
        <w:t xml:space="preserve"> reliable, consistent and disaggregated data on child</w:t>
      </w:r>
      <w:r>
        <w:rPr>
          <w:rFonts w:asciiTheme="majorHAnsi" w:hAnsiTheme="majorHAnsi" w:cstheme="majorHAnsi"/>
          <w:sz w:val="22"/>
          <w:szCs w:val="22"/>
        </w:rPr>
        <w:t>-</w:t>
      </w:r>
      <w:r w:rsidRPr="00FC50B0">
        <w:rPr>
          <w:rFonts w:asciiTheme="majorHAnsi" w:hAnsiTheme="majorHAnsi" w:cstheme="majorHAnsi"/>
          <w:sz w:val="22"/>
          <w:szCs w:val="22"/>
        </w:rPr>
        <w:t xml:space="preserve"> an</w:t>
      </w:r>
      <w:r>
        <w:rPr>
          <w:rFonts w:asciiTheme="majorHAnsi" w:hAnsiTheme="majorHAnsi" w:cstheme="majorHAnsi"/>
          <w:sz w:val="22"/>
          <w:szCs w:val="22"/>
        </w:rPr>
        <w:t>d adolescent-related</w:t>
      </w:r>
      <w:r w:rsidRPr="00FC50B0">
        <w:rPr>
          <w:rFonts w:asciiTheme="majorHAnsi" w:hAnsiTheme="majorHAnsi" w:cstheme="majorHAnsi"/>
          <w:sz w:val="22"/>
          <w:szCs w:val="22"/>
        </w:rPr>
        <w:t xml:space="preserve"> </w:t>
      </w:r>
      <w:r>
        <w:rPr>
          <w:rFonts w:asciiTheme="majorHAnsi" w:hAnsiTheme="majorHAnsi" w:cstheme="majorHAnsi"/>
          <w:sz w:val="22"/>
          <w:szCs w:val="22"/>
        </w:rPr>
        <w:t xml:space="preserve">issues </w:t>
      </w:r>
      <w:r w:rsidRPr="00FC50B0">
        <w:rPr>
          <w:rFonts w:asciiTheme="majorHAnsi" w:hAnsiTheme="majorHAnsi" w:cstheme="majorHAnsi"/>
          <w:sz w:val="22"/>
          <w:szCs w:val="22"/>
        </w:rPr>
        <w:t xml:space="preserve">for advocacy, planning </w:t>
      </w:r>
      <w:r>
        <w:rPr>
          <w:rFonts w:asciiTheme="majorHAnsi" w:hAnsiTheme="majorHAnsi" w:cstheme="majorHAnsi"/>
          <w:sz w:val="22"/>
          <w:szCs w:val="22"/>
        </w:rPr>
        <w:t xml:space="preserve">and </w:t>
      </w:r>
      <w:r w:rsidRPr="00FC50B0">
        <w:rPr>
          <w:rFonts w:asciiTheme="majorHAnsi" w:hAnsiTheme="majorHAnsi" w:cstheme="majorHAnsi"/>
          <w:sz w:val="22"/>
          <w:szCs w:val="22"/>
        </w:rPr>
        <w:t xml:space="preserve">reporting of progress towards </w:t>
      </w:r>
      <w:r>
        <w:rPr>
          <w:rFonts w:asciiTheme="majorHAnsi" w:hAnsiTheme="majorHAnsi" w:cstheme="majorHAnsi"/>
          <w:sz w:val="22"/>
          <w:szCs w:val="22"/>
        </w:rPr>
        <w:t>the Goals</w:t>
      </w:r>
      <w:r w:rsidRPr="00FC50B0">
        <w:rPr>
          <w:rFonts w:asciiTheme="majorHAnsi" w:hAnsiTheme="majorHAnsi" w:cstheme="majorHAnsi"/>
          <w:sz w:val="22"/>
          <w:szCs w:val="22"/>
        </w:rPr>
        <w:t xml:space="preserve"> (including through </w:t>
      </w:r>
      <w:r>
        <w:rPr>
          <w:rFonts w:asciiTheme="majorHAnsi" w:hAnsiTheme="majorHAnsi" w:cstheme="majorHAnsi"/>
          <w:sz w:val="22"/>
          <w:szCs w:val="22"/>
        </w:rPr>
        <w:t>v</w:t>
      </w:r>
      <w:r w:rsidRPr="00FC50B0">
        <w:rPr>
          <w:rFonts w:asciiTheme="majorHAnsi" w:hAnsiTheme="majorHAnsi" w:cstheme="majorHAnsi"/>
          <w:sz w:val="22"/>
          <w:szCs w:val="22"/>
        </w:rPr>
        <w:t xml:space="preserve">oluntary </w:t>
      </w:r>
      <w:r>
        <w:rPr>
          <w:rFonts w:asciiTheme="majorHAnsi" w:hAnsiTheme="majorHAnsi" w:cstheme="majorHAnsi"/>
          <w:sz w:val="22"/>
          <w:szCs w:val="22"/>
        </w:rPr>
        <w:t>n</w:t>
      </w:r>
      <w:r w:rsidRPr="00FC50B0">
        <w:rPr>
          <w:rFonts w:asciiTheme="majorHAnsi" w:hAnsiTheme="majorHAnsi" w:cstheme="majorHAnsi"/>
          <w:sz w:val="22"/>
          <w:szCs w:val="22"/>
        </w:rPr>
        <w:t xml:space="preserve">ational </w:t>
      </w:r>
      <w:r>
        <w:rPr>
          <w:rFonts w:asciiTheme="majorHAnsi" w:hAnsiTheme="majorHAnsi" w:cstheme="majorHAnsi"/>
          <w:sz w:val="22"/>
          <w:szCs w:val="22"/>
        </w:rPr>
        <w:t>r</w:t>
      </w:r>
      <w:r w:rsidRPr="00FC50B0">
        <w:rPr>
          <w:rFonts w:asciiTheme="majorHAnsi" w:hAnsiTheme="majorHAnsi" w:cstheme="majorHAnsi"/>
          <w:sz w:val="22"/>
          <w:szCs w:val="22"/>
        </w:rPr>
        <w:t>eviews</w:t>
      </w:r>
      <w:r>
        <w:rPr>
          <w:rFonts w:asciiTheme="majorHAnsi" w:hAnsiTheme="majorHAnsi" w:cstheme="majorHAnsi"/>
          <w:sz w:val="22"/>
          <w:szCs w:val="22"/>
        </w:rPr>
        <w:t>)</w:t>
      </w:r>
      <w:r w:rsidRPr="00FC50B0">
        <w:rPr>
          <w:rFonts w:asciiTheme="majorHAnsi" w:hAnsiTheme="majorHAnsi" w:cstheme="majorHAnsi"/>
          <w:sz w:val="22"/>
          <w:szCs w:val="22"/>
        </w:rPr>
        <w:t>.</w:t>
      </w:r>
    </w:p>
    <w:p w:rsidR="001A547C" w:rsidRDefault="001A547C" w:rsidP="001A547C">
      <w:pPr>
        <w:rPr>
          <w:rFonts w:asciiTheme="majorHAnsi" w:hAnsiTheme="majorHAnsi" w:cstheme="majorHAnsi"/>
          <w:b/>
          <w:color w:val="000000"/>
          <w:szCs w:val="20"/>
        </w:rPr>
      </w:pPr>
    </w:p>
    <w:p w:rsidR="001A547C" w:rsidRDefault="001A547C" w:rsidP="001A547C">
      <w:pPr>
        <w:spacing w:line="240" w:lineRule="auto"/>
        <w:rPr>
          <w:rFonts w:asciiTheme="majorHAnsi" w:hAnsiTheme="majorHAnsi" w:cstheme="majorHAnsi"/>
          <w:b/>
          <w:color w:val="000000"/>
          <w:szCs w:val="20"/>
        </w:rPr>
      </w:pPr>
      <w:r w:rsidRPr="00FC50B0">
        <w:rPr>
          <w:rFonts w:asciiTheme="majorHAnsi" w:hAnsiTheme="majorHAnsi" w:cstheme="majorHAnsi"/>
          <w:b/>
          <w:color w:val="000000"/>
          <w:szCs w:val="20"/>
        </w:rPr>
        <w:t>Emphasizing that development is a central goal in itself, and that in countries in conflict and post-conflict situations the development work of the entities of the U</w:t>
      </w:r>
      <w:r>
        <w:rPr>
          <w:rFonts w:asciiTheme="majorHAnsi" w:hAnsiTheme="majorHAnsi" w:cstheme="majorHAnsi"/>
          <w:b/>
          <w:color w:val="000000"/>
          <w:szCs w:val="20"/>
        </w:rPr>
        <w:t>NDS</w:t>
      </w:r>
      <w:r w:rsidRPr="00FC50B0">
        <w:rPr>
          <w:rFonts w:asciiTheme="majorHAnsi" w:hAnsiTheme="majorHAnsi" w:cstheme="majorHAnsi"/>
          <w:b/>
          <w:color w:val="000000"/>
          <w:szCs w:val="20"/>
        </w:rPr>
        <w:t xml:space="preserve"> can contribute to peacebuilding and </w:t>
      </w:r>
      <w:r w:rsidRPr="00FC50B0">
        <w:rPr>
          <w:rFonts w:asciiTheme="majorHAnsi" w:hAnsiTheme="majorHAnsi" w:cstheme="majorHAnsi"/>
          <w:b/>
          <w:color w:val="000000"/>
          <w:szCs w:val="20"/>
        </w:rPr>
        <w:lastRenderedPageBreak/>
        <w:t>sustaining peace, in accordance with national plans, needs and priorities and respecting national ownershi</w:t>
      </w:r>
      <w:r w:rsidRPr="00261620">
        <w:rPr>
          <w:rFonts w:asciiTheme="majorHAnsi" w:hAnsiTheme="majorHAnsi" w:cstheme="majorHAnsi"/>
          <w:b/>
          <w:color w:val="000000"/>
          <w:szCs w:val="20"/>
        </w:rPr>
        <w:t>p</w:t>
      </w:r>
    </w:p>
    <w:p w:rsidR="001A547C" w:rsidRDefault="001A547C" w:rsidP="001A547C">
      <w:pPr>
        <w:pStyle w:val="ListParagraph"/>
        <w:numPr>
          <w:ilvl w:val="0"/>
          <w:numId w:val="22"/>
        </w:numPr>
        <w:ind w:left="0" w:firstLine="0"/>
        <w:jc w:val="both"/>
        <w:rPr>
          <w:rFonts w:asciiTheme="majorHAnsi" w:hAnsiTheme="majorHAnsi" w:cs="Calibri"/>
          <w:sz w:val="22"/>
          <w:szCs w:val="22"/>
        </w:rPr>
      </w:pPr>
      <w:r w:rsidRPr="004E4DF8">
        <w:rPr>
          <w:rFonts w:asciiTheme="majorHAnsi" w:hAnsiTheme="majorHAnsi" w:cs="Calibri"/>
          <w:sz w:val="22"/>
          <w:szCs w:val="22"/>
        </w:rPr>
        <w:t xml:space="preserve">Through the </w:t>
      </w:r>
      <w:r>
        <w:rPr>
          <w:rFonts w:asciiTheme="majorHAnsi" w:hAnsiTheme="majorHAnsi" w:cs="Calibri"/>
          <w:sz w:val="22"/>
          <w:szCs w:val="22"/>
        </w:rPr>
        <w:t>c</w:t>
      </w:r>
      <w:r w:rsidRPr="004E4DF8">
        <w:rPr>
          <w:rFonts w:asciiTheme="majorHAnsi" w:hAnsiTheme="majorHAnsi" w:cs="Calibri"/>
          <w:sz w:val="22"/>
          <w:szCs w:val="22"/>
        </w:rPr>
        <w:t xml:space="preserve">ommon </w:t>
      </w:r>
      <w:r>
        <w:rPr>
          <w:rFonts w:asciiTheme="majorHAnsi" w:hAnsiTheme="majorHAnsi" w:cs="Calibri"/>
          <w:sz w:val="22"/>
          <w:szCs w:val="22"/>
        </w:rPr>
        <w:t>c</w:t>
      </w:r>
      <w:r w:rsidRPr="004E4DF8">
        <w:rPr>
          <w:rFonts w:asciiTheme="majorHAnsi" w:hAnsiTheme="majorHAnsi" w:cs="Calibri"/>
          <w:sz w:val="22"/>
          <w:szCs w:val="22"/>
        </w:rPr>
        <w:t>hapter</w:t>
      </w:r>
      <w:r>
        <w:rPr>
          <w:rFonts w:asciiTheme="majorHAnsi" w:hAnsiTheme="majorHAnsi" w:cs="Calibri"/>
          <w:sz w:val="22"/>
          <w:szCs w:val="22"/>
        </w:rPr>
        <w:t>,</w:t>
      </w:r>
      <w:r w:rsidRPr="004E4DF8">
        <w:rPr>
          <w:rFonts w:asciiTheme="majorHAnsi" w:hAnsiTheme="majorHAnsi" w:cs="Calibri"/>
          <w:sz w:val="22"/>
          <w:szCs w:val="22"/>
        </w:rPr>
        <w:t xml:space="preserve"> agencies are working on analysis, dialogue and action in response to humanitarian emergencies and situations of protracted crisis. Efforts in 2018 contributed to: </w:t>
      </w:r>
    </w:p>
    <w:p w:rsidR="001A547C" w:rsidRPr="004E4DF8" w:rsidRDefault="001A547C" w:rsidP="001A547C">
      <w:pPr>
        <w:pStyle w:val="ListParagraph"/>
        <w:ind w:left="0"/>
        <w:jc w:val="both"/>
        <w:rPr>
          <w:rFonts w:asciiTheme="majorHAnsi" w:hAnsiTheme="majorHAnsi" w:cs="Calibri"/>
          <w:sz w:val="22"/>
          <w:szCs w:val="22"/>
        </w:rPr>
      </w:pPr>
    </w:p>
    <w:p w:rsidR="001A547C" w:rsidRDefault="001A547C" w:rsidP="001A547C">
      <w:pPr>
        <w:pStyle w:val="ListParagraph"/>
        <w:numPr>
          <w:ilvl w:val="0"/>
          <w:numId w:val="14"/>
        </w:numPr>
        <w:jc w:val="both"/>
        <w:rPr>
          <w:rFonts w:asciiTheme="majorHAnsi" w:eastAsia="Arial" w:hAnsiTheme="majorHAnsi" w:cs="Calibri"/>
          <w:sz w:val="22"/>
          <w:szCs w:val="22"/>
          <w:lang w:val="en"/>
        </w:rPr>
      </w:pPr>
      <w:r w:rsidRPr="007E6BF9">
        <w:rPr>
          <w:rFonts w:asciiTheme="majorHAnsi" w:eastAsia="Arial" w:hAnsiTheme="majorHAnsi" w:cs="Calibri"/>
          <w:b/>
          <w:sz w:val="22"/>
          <w:szCs w:val="22"/>
          <w:lang w:val="en"/>
        </w:rPr>
        <w:t xml:space="preserve">Reducing </w:t>
      </w:r>
      <w:r>
        <w:rPr>
          <w:rFonts w:asciiTheme="majorHAnsi" w:eastAsia="Arial" w:hAnsiTheme="majorHAnsi" w:cs="Calibri"/>
          <w:b/>
          <w:sz w:val="22"/>
          <w:szCs w:val="22"/>
          <w:lang w:val="en"/>
        </w:rPr>
        <w:t>v</w:t>
      </w:r>
      <w:r w:rsidRPr="007E6BF9">
        <w:rPr>
          <w:rFonts w:asciiTheme="majorHAnsi" w:eastAsia="Arial" w:hAnsiTheme="majorHAnsi" w:cs="Calibri"/>
          <w:b/>
          <w:sz w:val="22"/>
          <w:szCs w:val="22"/>
          <w:lang w:val="en"/>
        </w:rPr>
        <w:t>iolence</w:t>
      </w:r>
      <w:r>
        <w:rPr>
          <w:rFonts w:asciiTheme="majorHAnsi" w:eastAsia="Arial" w:hAnsiTheme="majorHAnsi" w:cs="Calibri"/>
          <w:sz w:val="22"/>
          <w:szCs w:val="22"/>
          <w:lang w:val="en"/>
        </w:rPr>
        <w:t xml:space="preserve"> </w:t>
      </w:r>
      <w:r w:rsidRPr="009C263E">
        <w:rPr>
          <w:rFonts w:asciiTheme="majorHAnsi" w:eastAsia="Arial" w:hAnsiTheme="majorHAnsi" w:cs="Calibri"/>
          <w:b/>
          <w:sz w:val="22"/>
          <w:szCs w:val="22"/>
          <w:lang w:val="en"/>
        </w:rPr>
        <w:t xml:space="preserve">and improving access to </w:t>
      </w:r>
      <w:r>
        <w:rPr>
          <w:rFonts w:asciiTheme="majorHAnsi" w:eastAsia="Arial" w:hAnsiTheme="majorHAnsi" w:cs="Calibri"/>
          <w:b/>
          <w:sz w:val="22"/>
          <w:szCs w:val="22"/>
          <w:lang w:val="en"/>
        </w:rPr>
        <w:t>j</w:t>
      </w:r>
      <w:r w:rsidRPr="009C263E">
        <w:rPr>
          <w:rFonts w:asciiTheme="majorHAnsi" w:eastAsia="Arial" w:hAnsiTheme="majorHAnsi" w:cs="Calibri"/>
          <w:b/>
          <w:sz w:val="22"/>
          <w:szCs w:val="22"/>
          <w:lang w:val="en"/>
        </w:rPr>
        <w:t>ustice</w:t>
      </w:r>
      <w:r>
        <w:rPr>
          <w:rFonts w:asciiTheme="majorHAnsi" w:eastAsia="Arial" w:hAnsiTheme="majorHAnsi" w:cs="Calibri"/>
          <w:sz w:val="22"/>
          <w:szCs w:val="22"/>
          <w:lang w:val="en"/>
        </w:rPr>
        <w:t xml:space="preserve">. </w:t>
      </w:r>
      <w:r w:rsidRPr="007E6BF9">
        <w:rPr>
          <w:rFonts w:asciiTheme="majorHAnsi" w:eastAsia="Arial" w:hAnsiTheme="majorHAnsi" w:cs="Calibri"/>
          <w:sz w:val="22"/>
          <w:szCs w:val="22"/>
          <w:lang w:val="en"/>
        </w:rPr>
        <w:t>Recogni</w:t>
      </w:r>
      <w:r>
        <w:rPr>
          <w:rFonts w:asciiTheme="majorHAnsi" w:eastAsia="Arial" w:hAnsiTheme="majorHAnsi" w:cs="Calibri"/>
          <w:sz w:val="22"/>
          <w:szCs w:val="22"/>
          <w:lang w:val="en"/>
        </w:rPr>
        <w:t>z</w:t>
      </w:r>
      <w:r w:rsidRPr="007E6BF9">
        <w:rPr>
          <w:rFonts w:asciiTheme="majorHAnsi" w:eastAsia="Arial" w:hAnsiTheme="majorHAnsi" w:cs="Calibri"/>
          <w:sz w:val="22"/>
          <w:szCs w:val="22"/>
          <w:lang w:val="en"/>
        </w:rPr>
        <w:t xml:space="preserve">ing that traditional approaches to citizen security and governance have proven to be of little impact in </w:t>
      </w:r>
      <w:r>
        <w:rPr>
          <w:rFonts w:asciiTheme="majorHAnsi" w:eastAsia="Arial" w:hAnsiTheme="majorHAnsi" w:cs="Calibri"/>
          <w:sz w:val="22"/>
          <w:szCs w:val="22"/>
          <w:lang w:val="en"/>
        </w:rPr>
        <w:t xml:space="preserve">El Salvador, </w:t>
      </w:r>
      <w:r w:rsidRPr="007E6BF9">
        <w:rPr>
          <w:rFonts w:asciiTheme="majorHAnsi" w:eastAsia="Arial" w:hAnsiTheme="majorHAnsi" w:cs="Calibri"/>
          <w:sz w:val="22"/>
          <w:szCs w:val="22"/>
          <w:lang w:val="en"/>
        </w:rPr>
        <w:t>Guatemala</w:t>
      </w:r>
      <w:r>
        <w:rPr>
          <w:rFonts w:asciiTheme="majorHAnsi" w:eastAsia="Arial" w:hAnsiTheme="majorHAnsi" w:cs="Calibri"/>
          <w:sz w:val="22"/>
          <w:szCs w:val="22"/>
          <w:lang w:val="en"/>
        </w:rPr>
        <w:t xml:space="preserve"> and </w:t>
      </w:r>
      <w:r w:rsidRPr="007E6BF9">
        <w:rPr>
          <w:rFonts w:asciiTheme="majorHAnsi" w:eastAsia="Arial" w:hAnsiTheme="majorHAnsi" w:cs="Calibri"/>
          <w:sz w:val="22"/>
          <w:szCs w:val="22"/>
          <w:lang w:val="en"/>
        </w:rPr>
        <w:t xml:space="preserve">Honduras, new approaches were developed including defining a common goal of violence reduction and using a multidimensional index as a yardstick for effective monitoring and accountability. The </w:t>
      </w:r>
      <w:r>
        <w:rPr>
          <w:rFonts w:asciiTheme="majorHAnsi" w:eastAsia="Arial" w:hAnsiTheme="majorHAnsi" w:cs="Calibri"/>
          <w:sz w:val="22"/>
          <w:szCs w:val="22"/>
          <w:lang w:val="en"/>
        </w:rPr>
        <w:t>j</w:t>
      </w:r>
      <w:r w:rsidRPr="007E6BF9">
        <w:rPr>
          <w:rFonts w:asciiTheme="majorHAnsi" w:eastAsia="Arial" w:hAnsiTheme="majorHAnsi" w:cs="Calibri"/>
          <w:sz w:val="22"/>
          <w:szCs w:val="22"/>
          <w:lang w:val="en"/>
        </w:rPr>
        <w:t xml:space="preserve">oint </w:t>
      </w:r>
      <w:r>
        <w:rPr>
          <w:rFonts w:asciiTheme="majorHAnsi" w:eastAsia="Arial" w:hAnsiTheme="majorHAnsi" w:cs="Calibri"/>
          <w:sz w:val="22"/>
          <w:szCs w:val="22"/>
          <w:lang w:val="en"/>
        </w:rPr>
        <w:t>p</w:t>
      </w:r>
      <w:r w:rsidRPr="007E6BF9">
        <w:rPr>
          <w:rFonts w:asciiTheme="majorHAnsi" w:eastAsia="Arial" w:hAnsiTheme="majorHAnsi" w:cs="Calibri"/>
          <w:sz w:val="22"/>
          <w:szCs w:val="22"/>
          <w:lang w:val="en"/>
        </w:rPr>
        <w:t xml:space="preserve">rogramme on the </w:t>
      </w:r>
      <w:r>
        <w:rPr>
          <w:rFonts w:asciiTheme="majorHAnsi" w:eastAsia="Arial" w:hAnsiTheme="majorHAnsi" w:cs="Calibri"/>
          <w:sz w:val="22"/>
          <w:szCs w:val="22"/>
          <w:lang w:val="en"/>
        </w:rPr>
        <w:t>r</w:t>
      </w:r>
      <w:r w:rsidRPr="007E6BF9">
        <w:rPr>
          <w:rFonts w:asciiTheme="majorHAnsi" w:eastAsia="Arial" w:hAnsiTheme="majorHAnsi" w:cs="Calibri"/>
          <w:sz w:val="22"/>
          <w:szCs w:val="22"/>
          <w:lang w:val="en"/>
        </w:rPr>
        <w:t xml:space="preserve">ule of </w:t>
      </w:r>
      <w:r>
        <w:rPr>
          <w:rFonts w:asciiTheme="majorHAnsi" w:eastAsia="Arial" w:hAnsiTheme="majorHAnsi" w:cs="Calibri"/>
          <w:sz w:val="22"/>
          <w:szCs w:val="22"/>
          <w:lang w:val="en"/>
        </w:rPr>
        <w:t>l</w:t>
      </w:r>
      <w:r w:rsidRPr="007E6BF9">
        <w:rPr>
          <w:rFonts w:asciiTheme="majorHAnsi" w:eastAsia="Arial" w:hAnsiTheme="majorHAnsi" w:cs="Calibri"/>
          <w:sz w:val="22"/>
          <w:szCs w:val="22"/>
          <w:lang w:val="en"/>
        </w:rPr>
        <w:t xml:space="preserve">aw in Somalia helped </w:t>
      </w:r>
      <w:r>
        <w:rPr>
          <w:rFonts w:asciiTheme="majorHAnsi" w:eastAsia="Arial" w:hAnsiTheme="majorHAnsi" w:cs="Calibri"/>
          <w:sz w:val="22"/>
          <w:szCs w:val="22"/>
          <w:lang w:val="en"/>
        </w:rPr>
        <w:t xml:space="preserve">to </w:t>
      </w:r>
      <w:r w:rsidRPr="007E6BF9">
        <w:rPr>
          <w:rFonts w:asciiTheme="majorHAnsi" w:eastAsia="Arial" w:hAnsiTheme="majorHAnsi" w:cs="Calibri"/>
          <w:sz w:val="22"/>
          <w:szCs w:val="22"/>
          <w:lang w:val="en"/>
        </w:rPr>
        <w:t xml:space="preserve">increase </w:t>
      </w:r>
      <w:r w:rsidRPr="009C263E">
        <w:rPr>
          <w:rFonts w:asciiTheme="majorHAnsi" w:eastAsia="Arial" w:hAnsiTheme="majorHAnsi" w:cs="Calibri"/>
          <w:sz w:val="22"/>
          <w:szCs w:val="22"/>
          <w:lang w:val="en"/>
        </w:rPr>
        <w:t>access to justice</w:t>
      </w:r>
      <w:r w:rsidRPr="007E6BF9">
        <w:rPr>
          <w:rFonts w:asciiTheme="majorHAnsi" w:eastAsia="Arial" w:hAnsiTheme="majorHAnsi" w:cs="Calibri"/>
          <w:b/>
          <w:sz w:val="22"/>
          <w:szCs w:val="22"/>
          <w:lang w:val="en"/>
        </w:rPr>
        <w:t xml:space="preserve"> </w:t>
      </w:r>
      <w:r w:rsidRPr="007E6BF9">
        <w:rPr>
          <w:rFonts w:asciiTheme="majorHAnsi" w:eastAsia="Arial" w:hAnsiTheme="majorHAnsi" w:cs="Calibri"/>
          <w:sz w:val="22"/>
          <w:szCs w:val="22"/>
          <w:lang w:val="en"/>
        </w:rPr>
        <w:t>through the expansion of mobile courts and community dispute resolution centres</w:t>
      </w:r>
      <w:r>
        <w:rPr>
          <w:rFonts w:asciiTheme="majorHAnsi" w:eastAsia="Arial" w:hAnsiTheme="majorHAnsi" w:cs="Calibri"/>
          <w:sz w:val="22"/>
          <w:szCs w:val="22"/>
          <w:lang w:val="en"/>
        </w:rPr>
        <w:t>;</w:t>
      </w:r>
    </w:p>
    <w:p w:rsidR="001A547C" w:rsidRPr="007E6BF9" w:rsidRDefault="001A547C" w:rsidP="001A547C">
      <w:pPr>
        <w:pStyle w:val="ListParagraph"/>
        <w:ind w:left="360"/>
        <w:jc w:val="both"/>
        <w:rPr>
          <w:rFonts w:asciiTheme="majorHAnsi" w:eastAsia="Arial" w:hAnsiTheme="majorHAnsi" w:cs="Calibri"/>
          <w:sz w:val="22"/>
          <w:szCs w:val="22"/>
          <w:lang w:val="en"/>
        </w:rPr>
      </w:pPr>
      <w:r w:rsidRPr="007E6BF9">
        <w:rPr>
          <w:rFonts w:asciiTheme="majorHAnsi" w:eastAsia="Arial" w:hAnsiTheme="majorHAnsi" w:cs="Calibri"/>
          <w:sz w:val="22"/>
          <w:szCs w:val="22"/>
          <w:lang w:val="en"/>
        </w:rPr>
        <w:t xml:space="preserve">  </w:t>
      </w:r>
    </w:p>
    <w:p w:rsidR="001A547C" w:rsidRDefault="001A547C" w:rsidP="001A547C">
      <w:pPr>
        <w:pStyle w:val="ListParagraph"/>
        <w:numPr>
          <w:ilvl w:val="0"/>
          <w:numId w:val="14"/>
        </w:numPr>
        <w:jc w:val="both"/>
        <w:rPr>
          <w:rFonts w:asciiTheme="majorHAnsi" w:hAnsiTheme="majorHAnsi" w:cs="Calibri"/>
          <w:sz w:val="22"/>
          <w:szCs w:val="22"/>
        </w:rPr>
      </w:pPr>
      <w:r w:rsidRPr="007E6BF9">
        <w:rPr>
          <w:rFonts w:asciiTheme="majorHAnsi" w:hAnsiTheme="majorHAnsi" w:cs="Calibri"/>
          <w:b/>
          <w:sz w:val="22"/>
          <w:szCs w:val="22"/>
        </w:rPr>
        <w:t xml:space="preserve">Sustaining </w:t>
      </w:r>
      <w:r>
        <w:rPr>
          <w:rFonts w:asciiTheme="majorHAnsi" w:hAnsiTheme="majorHAnsi" w:cs="Calibri"/>
          <w:b/>
          <w:sz w:val="22"/>
          <w:szCs w:val="22"/>
        </w:rPr>
        <w:t>p</w:t>
      </w:r>
      <w:r w:rsidRPr="007E6BF9">
        <w:rPr>
          <w:rFonts w:asciiTheme="majorHAnsi" w:hAnsiTheme="majorHAnsi" w:cs="Calibri"/>
          <w:b/>
          <w:sz w:val="22"/>
          <w:szCs w:val="22"/>
        </w:rPr>
        <w:t>eace</w:t>
      </w:r>
      <w:r>
        <w:rPr>
          <w:rFonts w:asciiTheme="majorHAnsi" w:hAnsiTheme="majorHAnsi" w:cs="Calibri"/>
          <w:sz w:val="22"/>
          <w:szCs w:val="22"/>
        </w:rPr>
        <w:t xml:space="preserve">. </w:t>
      </w:r>
      <w:r w:rsidRPr="00261620">
        <w:rPr>
          <w:rFonts w:asciiTheme="majorHAnsi" w:hAnsiTheme="majorHAnsi" w:cs="Calibri"/>
          <w:sz w:val="22"/>
          <w:szCs w:val="22"/>
        </w:rPr>
        <w:t xml:space="preserve">In 2018, several joint initiatives </w:t>
      </w:r>
      <w:r>
        <w:rPr>
          <w:rFonts w:asciiTheme="majorHAnsi" w:hAnsiTheme="majorHAnsi" w:cs="Calibri"/>
          <w:sz w:val="22"/>
          <w:szCs w:val="22"/>
        </w:rPr>
        <w:t xml:space="preserve">for sustainable peace </w:t>
      </w:r>
      <w:r w:rsidRPr="00261620">
        <w:rPr>
          <w:rFonts w:asciiTheme="majorHAnsi" w:hAnsiTheme="majorHAnsi" w:cs="Calibri"/>
          <w:sz w:val="22"/>
          <w:szCs w:val="22"/>
        </w:rPr>
        <w:t xml:space="preserve">were implemented in Sri Lanka in a more coordinated, coherent and integrated manner to address multidimensional </w:t>
      </w:r>
      <w:r>
        <w:rPr>
          <w:rFonts w:asciiTheme="majorHAnsi" w:hAnsiTheme="majorHAnsi" w:cs="Calibri"/>
          <w:sz w:val="22"/>
          <w:szCs w:val="22"/>
        </w:rPr>
        <w:t>c</w:t>
      </w:r>
      <w:r w:rsidRPr="00261620">
        <w:rPr>
          <w:rFonts w:asciiTheme="majorHAnsi" w:hAnsiTheme="majorHAnsi" w:cs="Calibri"/>
          <w:sz w:val="22"/>
          <w:szCs w:val="22"/>
        </w:rPr>
        <w:t xml:space="preserve">hallenges. UNDP, UNICEF and </w:t>
      </w:r>
      <w:r>
        <w:rPr>
          <w:rFonts w:asciiTheme="majorHAnsi" w:hAnsiTheme="majorHAnsi" w:cs="Calibri"/>
          <w:sz w:val="22"/>
          <w:szCs w:val="22"/>
        </w:rPr>
        <w:t>the United Nations Human Settlements Programme (</w:t>
      </w:r>
      <w:r w:rsidRPr="00261620">
        <w:rPr>
          <w:rFonts w:asciiTheme="majorHAnsi" w:hAnsiTheme="majorHAnsi" w:cs="Calibri"/>
          <w:sz w:val="22"/>
          <w:szCs w:val="22"/>
        </w:rPr>
        <w:t>UN-Habitat</w:t>
      </w:r>
      <w:r>
        <w:rPr>
          <w:rFonts w:asciiTheme="majorHAnsi" w:hAnsiTheme="majorHAnsi" w:cs="Calibri"/>
          <w:sz w:val="22"/>
          <w:szCs w:val="22"/>
        </w:rPr>
        <w:t>)</w:t>
      </w:r>
      <w:r w:rsidRPr="00261620">
        <w:rPr>
          <w:rFonts w:asciiTheme="majorHAnsi" w:hAnsiTheme="majorHAnsi" w:cs="Calibri"/>
          <w:sz w:val="22"/>
          <w:szCs w:val="22"/>
        </w:rPr>
        <w:t xml:space="preserve"> supported the Government’s framework on reconciliation reform for comprehensive resettlement solutions. UNDP, UNICEF and WHO promoted reconciliation-focused media programming. UNFPA, </w:t>
      </w:r>
      <w:r>
        <w:rPr>
          <w:rFonts w:asciiTheme="majorHAnsi" w:hAnsiTheme="majorHAnsi" w:cs="Calibri"/>
          <w:sz w:val="22"/>
          <w:szCs w:val="22"/>
        </w:rPr>
        <w:t>UN-Women</w:t>
      </w:r>
      <w:r w:rsidRPr="00261620">
        <w:rPr>
          <w:rFonts w:asciiTheme="majorHAnsi" w:hAnsiTheme="majorHAnsi" w:cs="Calibri"/>
          <w:sz w:val="22"/>
          <w:szCs w:val="22"/>
        </w:rPr>
        <w:t xml:space="preserve"> and </w:t>
      </w:r>
      <w:r>
        <w:rPr>
          <w:rFonts w:asciiTheme="majorHAnsi" w:hAnsiTheme="majorHAnsi" w:cs="Calibri"/>
          <w:sz w:val="22"/>
          <w:szCs w:val="22"/>
        </w:rPr>
        <w:t>United Nations Volunteers</w:t>
      </w:r>
      <w:r w:rsidRPr="00261620">
        <w:rPr>
          <w:rFonts w:asciiTheme="majorHAnsi" w:hAnsiTheme="majorHAnsi" w:cs="Calibri"/>
          <w:sz w:val="22"/>
          <w:szCs w:val="22"/>
        </w:rPr>
        <w:t xml:space="preserve"> promoted youth empowerment and women’s political representation at the local level for lasting peace. UNDP and </w:t>
      </w:r>
      <w:r>
        <w:rPr>
          <w:rFonts w:asciiTheme="majorHAnsi" w:hAnsiTheme="majorHAnsi" w:cs="Calibri"/>
          <w:sz w:val="22"/>
          <w:szCs w:val="22"/>
        </w:rPr>
        <w:t>UN-Women</w:t>
      </w:r>
      <w:r w:rsidRPr="00261620">
        <w:rPr>
          <w:rFonts w:asciiTheme="majorHAnsi" w:hAnsiTheme="majorHAnsi" w:cs="Calibri"/>
          <w:sz w:val="22"/>
          <w:szCs w:val="22"/>
        </w:rPr>
        <w:t xml:space="preserve"> supported combat</w:t>
      </w:r>
      <w:r>
        <w:rPr>
          <w:rFonts w:asciiTheme="majorHAnsi" w:hAnsiTheme="majorHAnsi" w:cs="Calibri"/>
          <w:sz w:val="22"/>
          <w:szCs w:val="22"/>
        </w:rPr>
        <w:t>ing</w:t>
      </w:r>
      <w:r w:rsidRPr="00261620">
        <w:rPr>
          <w:rFonts w:asciiTheme="majorHAnsi" w:hAnsiTheme="majorHAnsi" w:cs="Calibri"/>
          <w:sz w:val="22"/>
          <w:szCs w:val="22"/>
        </w:rPr>
        <w:t xml:space="preserve"> sexual bribery and sexual exploitation experienced by mili</w:t>
      </w:r>
      <w:r>
        <w:rPr>
          <w:rFonts w:asciiTheme="majorHAnsi" w:hAnsiTheme="majorHAnsi" w:cs="Calibri"/>
          <w:sz w:val="22"/>
          <w:szCs w:val="22"/>
        </w:rPr>
        <w:t>tary and war widows;</w:t>
      </w:r>
    </w:p>
    <w:p w:rsidR="001A547C" w:rsidRPr="00261620" w:rsidRDefault="001A547C" w:rsidP="001A547C">
      <w:pPr>
        <w:pStyle w:val="ListParagraph"/>
        <w:ind w:left="360"/>
        <w:jc w:val="both"/>
        <w:rPr>
          <w:rFonts w:asciiTheme="majorHAnsi" w:hAnsiTheme="majorHAnsi" w:cs="Calibri"/>
          <w:sz w:val="22"/>
          <w:szCs w:val="22"/>
        </w:rPr>
      </w:pPr>
    </w:p>
    <w:p w:rsidR="001A547C" w:rsidRPr="00F172BB" w:rsidRDefault="001A547C" w:rsidP="001A547C">
      <w:pPr>
        <w:pStyle w:val="ListParagraph"/>
        <w:numPr>
          <w:ilvl w:val="0"/>
          <w:numId w:val="14"/>
        </w:numPr>
        <w:jc w:val="both"/>
        <w:rPr>
          <w:rFonts w:asciiTheme="majorHAnsi" w:hAnsiTheme="majorHAnsi" w:cs="Calibri"/>
          <w:sz w:val="22"/>
          <w:szCs w:val="22"/>
        </w:rPr>
      </w:pPr>
      <w:r w:rsidRPr="00261620">
        <w:rPr>
          <w:rFonts w:asciiTheme="majorHAnsi" w:hAnsiTheme="majorHAnsi" w:cs="Calibri"/>
          <w:b/>
          <w:sz w:val="22"/>
          <w:szCs w:val="22"/>
        </w:rPr>
        <w:t>Engaging youth in peace and security initiatives</w:t>
      </w:r>
      <w:r w:rsidRPr="00261620">
        <w:rPr>
          <w:rFonts w:asciiTheme="majorHAnsi" w:hAnsiTheme="majorHAnsi" w:cs="Calibri"/>
          <w:sz w:val="22"/>
          <w:szCs w:val="22"/>
        </w:rPr>
        <w:t xml:space="preserve">. In the Europe and Central Asia </w:t>
      </w:r>
      <w:r>
        <w:rPr>
          <w:rFonts w:asciiTheme="majorHAnsi" w:hAnsiTheme="majorHAnsi" w:cs="Calibri"/>
          <w:sz w:val="22"/>
          <w:szCs w:val="22"/>
        </w:rPr>
        <w:t>r</w:t>
      </w:r>
      <w:r w:rsidRPr="00261620">
        <w:rPr>
          <w:rFonts w:asciiTheme="majorHAnsi" w:hAnsiTheme="majorHAnsi" w:cs="Calibri"/>
          <w:sz w:val="22"/>
          <w:szCs w:val="22"/>
        </w:rPr>
        <w:t xml:space="preserve">egion, UNDP and UNFPA worked closely in developing programming ideas as a direct follow-up to the joint consultation on </w:t>
      </w:r>
      <w:r>
        <w:rPr>
          <w:rFonts w:asciiTheme="majorHAnsi" w:hAnsiTheme="majorHAnsi" w:cs="Calibri"/>
          <w:sz w:val="22"/>
          <w:szCs w:val="22"/>
        </w:rPr>
        <w:t>y</w:t>
      </w:r>
      <w:r w:rsidRPr="00261620">
        <w:rPr>
          <w:rFonts w:asciiTheme="majorHAnsi" w:hAnsiTheme="majorHAnsi" w:cs="Calibri"/>
          <w:sz w:val="22"/>
          <w:szCs w:val="22"/>
        </w:rPr>
        <w:t xml:space="preserve">outh, </w:t>
      </w:r>
      <w:r>
        <w:rPr>
          <w:rFonts w:asciiTheme="majorHAnsi" w:hAnsiTheme="majorHAnsi" w:cs="Calibri"/>
          <w:sz w:val="22"/>
          <w:szCs w:val="22"/>
        </w:rPr>
        <w:t>p</w:t>
      </w:r>
      <w:r w:rsidRPr="00261620">
        <w:rPr>
          <w:rFonts w:asciiTheme="majorHAnsi" w:hAnsiTheme="majorHAnsi" w:cs="Calibri"/>
          <w:sz w:val="22"/>
          <w:szCs w:val="22"/>
        </w:rPr>
        <w:t xml:space="preserve">eace and </w:t>
      </w:r>
      <w:r>
        <w:rPr>
          <w:rFonts w:asciiTheme="majorHAnsi" w:hAnsiTheme="majorHAnsi" w:cs="Calibri"/>
          <w:sz w:val="22"/>
          <w:szCs w:val="22"/>
        </w:rPr>
        <w:t>s</w:t>
      </w:r>
      <w:r w:rsidRPr="00261620">
        <w:rPr>
          <w:rFonts w:asciiTheme="majorHAnsi" w:hAnsiTheme="majorHAnsi" w:cs="Calibri"/>
          <w:sz w:val="22"/>
          <w:szCs w:val="22"/>
        </w:rPr>
        <w:t xml:space="preserve">ecurity in Europe and </w:t>
      </w:r>
      <w:r>
        <w:rPr>
          <w:rFonts w:asciiTheme="majorHAnsi" w:hAnsiTheme="majorHAnsi" w:cs="Calibri"/>
          <w:sz w:val="22"/>
          <w:szCs w:val="22"/>
        </w:rPr>
        <w:t xml:space="preserve">in the Western Balkans region, </w:t>
      </w:r>
      <w:r w:rsidRPr="00261620">
        <w:rPr>
          <w:rFonts w:asciiTheme="majorHAnsi" w:hAnsiTheme="majorHAnsi" w:cs="Calibri"/>
          <w:sz w:val="22"/>
          <w:szCs w:val="22"/>
        </w:rPr>
        <w:t>including a large-scale youth-led youth perceptions survey exploring young people’s attitudes to peace and security</w:t>
      </w:r>
      <w:r>
        <w:rPr>
          <w:rFonts w:asciiTheme="majorHAnsi" w:hAnsiTheme="majorHAnsi" w:cs="Calibri"/>
          <w:sz w:val="22"/>
          <w:szCs w:val="22"/>
        </w:rPr>
        <w:t xml:space="preserve"> across the subregion. U</w:t>
      </w:r>
      <w:r w:rsidRPr="00261620">
        <w:rPr>
          <w:rFonts w:asciiTheme="majorHAnsi" w:hAnsiTheme="majorHAnsi" w:cs="Calibri"/>
          <w:sz w:val="22"/>
          <w:szCs w:val="22"/>
        </w:rPr>
        <w:t xml:space="preserve">NDP and </w:t>
      </w:r>
      <w:r>
        <w:rPr>
          <w:rFonts w:asciiTheme="majorHAnsi" w:hAnsiTheme="majorHAnsi" w:cs="Calibri"/>
          <w:sz w:val="22"/>
          <w:szCs w:val="22"/>
        </w:rPr>
        <w:t>UN-Women</w:t>
      </w:r>
      <w:r w:rsidRPr="00261620">
        <w:rPr>
          <w:rFonts w:asciiTheme="majorHAnsi" w:hAnsiTheme="majorHAnsi" w:cs="Calibri"/>
          <w:sz w:val="22"/>
          <w:szCs w:val="22"/>
        </w:rPr>
        <w:t xml:space="preserve"> conduct</w:t>
      </w:r>
      <w:r>
        <w:rPr>
          <w:rFonts w:asciiTheme="majorHAnsi" w:hAnsiTheme="majorHAnsi" w:cs="Calibri"/>
          <w:sz w:val="22"/>
          <w:szCs w:val="22"/>
        </w:rPr>
        <w:t>ed</w:t>
      </w:r>
      <w:r w:rsidRPr="00261620">
        <w:rPr>
          <w:rFonts w:asciiTheme="majorHAnsi" w:hAnsiTheme="majorHAnsi" w:cs="Calibri"/>
          <w:sz w:val="22"/>
          <w:szCs w:val="22"/>
        </w:rPr>
        <w:t xml:space="preserve"> research on violent extremism in Central Asia, together with other U</w:t>
      </w:r>
      <w:r>
        <w:rPr>
          <w:rFonts w:asciiTheme="majorHAnsi" w:hAnsiTheme="majorHAnsi" w:cs="Calibri"/>
          <w:sz w:val="22"/>
          <w:szCs w:val="22"/>
        </w:rPr>
        <w:t xml:space="preserve">nited </w:t>
      </w:r>
      <w:r w:rsidRPr="00261620">
        <w:rPr>
          <w:rFonts w:asciiTheme="majorHAnsi" w:hAnsiTheme="majorHAnsi" w:cs="Calibri"/>
          <w:sz w:val="22"/>
          <w:szCs w:val="22"/>
        </w:rPr>
        <w:t>N</w:t>
      </w:r>
      <w:r>
        <w:rPr>
          <w:rFonts w:asciiTheme="majorHAnsi" w:hAnsiTheme="majorHAnsi" w:cs="Calibri"/>
          <w:sz w:val="22"/>
          <w:szCs w:val="22"/>
        </w:rPr>
        <w:t>ations</w:t>
      </w:r>
      <w:r w:rsidRPr="00261620">
        <w:rPr>
          <w:rFonts w:asciiTheme="majorHAnsi" w:hAnsiTheme="majorHAnsi" w:cs="Calibri"/>
          <w:sz w:val="22"/>
          <w:szCs w:val="22"/>
        </w:rPr>
        <w:t xml:space="preserve"> agencies, not only</w:t>
      </w:r>
      <w:r>
        <w:rPr>
          <w:rFonts w:asciiTheme="majorHAnsi" w:hAnsiTheme="majorHAnsi" w:cs="Calibri"/>
          <w:sz w:val="22"/>
          <w:szCs w:val="22"/>
        </w:rPr>
        <w:t xml:space="preserve"> to</w:t>
      </w:r>
      <w:r w:rsidRPr="00261620">
        <w:rPr>
          <w:rFonts w:asciiTheme="majorHAnsi" w:hAnsiTheme="majorHAnsi" w:cs="Calibri"/>
          <w:sz w:val="22"/>
          <w:szCs w:val="22"/>
        </w:rPr>
        <w:t xml:space="preserve"> counter violent extremism but also prevent it.</w:t>
      </w:r>
      <w:bookmarkStart w:id="2" w:name="CAR1"/>
      <w:r>
        <w:rPr>
          <w:rFonts w:asciiTheme="majorHAnsi" w:hAnsiTheme="majorHAnsi" w:cs="Calibri"/>
          <w:sz w:val="22"/>
          <w:szCs w:val="22"/>
        </w:rPr>
        <w:t xml:space="preserve"> </w:t>
      </w:r>
      <w:r w:rsidRPr="00F172BB">
        <w:rPr>
          <w:rFonts w:asciiTheme="majorHAnsi" w:hAnsiTheme="majorHAnsi" w:cs="Calibri"/>
          <w:sz w:val="22"/>
          <w:szCs w:val="22"/>
        </w:rPr>
        <w:t>In the Central African Republic</w:t>
      </w:r>
      <w:bookmarkEnd w:id="2"/>
      <w:r w:rsidRPr="00F172BB">
        <w:rPr>
          <w:rFonts w:asciiTheme="majorHAnsi" w:hAnsiTheme="majorHAnsi" w:cs="Calibri"/>
          <w:sz w:val="22"/>
          <w:szCs w:val="22"/>
        </w:rPr>
        <w:t xml:space="preserve"> and in line with the national youth policy and a national youth charter that addresses the issue of adolescent development, </w:t>
      </w:r>
      <w:r>
        <w:rPr>
          <w:rFonts w:asciiTheme="majorHAnsi" w:hAnsiTheme="majorHAnsi" w:cs="Calibri"/>
          <w:sz w:val="22"/>
          <w:szCs w:val="22"/>
        </w:rPr>
        <w:t xml:space="preserve">UNFPA, </w:t>
      </w:r>
      <w:r w:rsidRPr="00F172BB">
        <w:rPr>
          <w:rFonts w:asciiTheme="majorHAnsi" w:hAnsiTheme="majorHAnsi" w:cs="Calibri"/>
          <w:sz w:val="22"/>
          <w:szCs w:val="22"/>
        </w:rPr>
        <w:t>UNICEF</w:t>
      </w:r>
      <w:r>
        <w:rPr>
          <w:rFonts w:asciiTheme="majorHAnsi" w:hAnsiTheme="majorHAnsi" w:cs="Calibri"/>
          <w:sz w:val="22"/>
          <w:szCs w:val="22"/>
        </w:rPr>
        <w:t xml:space="preserve"> and</w:t>
      </w:r>
      <w:r w:rsidRPr="00F172BB">
        <w:rPr>
          <w:rFonts w:asciiTheme="majorHAnsi" w:hAnsiTheme="majorHAnsi" w:cs="Calibri"/>
          <w:sz w:val="22"/>
          <w:szCs w:val="22"/>
        </w:rPr>
        <w:t xml:space="preserve"> FAO supported the </w:t>
      </w:r>
      <w:r>
        <w:rPr>
          <w:rFonts w:asciiTheme="majorHAnsi" w:hAnsiTheme="majorHAnsi" w:cs="Calibri"/>
          <w:sz w:val="22"/>
          <w:szCs w:val="22"/>
        </w:rPr>
        <w:t>G</w:t>
      </w:r>
      <w:r w:rsidRPr="00F172BB">
        <w:rPr>
          <w:rFonts w:asciiTheme="majorHAnsi" w:hAnsiTheme="majorHAnsi" w:cs="Calibri"/>
          <w:sz w:val="22"/>
          <w:szCs w:val="22"/>
        </w:rPr>
        <w:t>overnment to implement a joint project to involve adolescents and young people in social cohesion activities and conflict prevention, to reduce youth unemployment and the violence arising from frustrations due to their exclusion from the labo</w:t>
      </w:r>
      <w:r>
        <w:rPr>
          <w:rFonts w:asciiTheme="majorHAnsi" w:hAnsiTheme="majorHAnsi" w:cs="Calibri"/>
          <w:sz w:val="22"/>
          <w:szCs w:val="22"/>
        </w:rPr>
        <w:t>u</w:t>
      </w:r>
      <w:r w:rsidRPr="00F172BB">
        <w:rPr>
          <w:rFonts w:asciiTheme="majorHAnsi" w:hAnsiTheme="majorHAnsi" w:cs="Calibri"/>
          <w:sz w:val="22"/>
          <w:szCs w:val="22"/>
        </w:rPr>
        <w:t>r market. Building on previous results, the U</w:t>
      </w:r>
      <w:r>
        <w:rPr>
          <w:rFonts w:asciiTheme="majorHAnsi" w:hAnsiTheme="majorHAnsi" w:cs="Calibri"/>
          <w:sz w:val="22"/>
          <w:szCs w:val="22"/>
        </w:rPr>
        <w:t xml:space="preserve">nited </w:t>
      </w:r>
      <w:r w:rsidRPr="00F172BB">
        <w:rPr>
          <w:rFonts w:asciiTheme="majorHAnsi" w:hAnsiTheme="majorHAnsi" w:cs="Calibri"/>
          <w:sz w:val="22"/>
          <w:szCs w:val="22"/>
        </w:rPr>
        <w:t>N</w:t>
      </w:r>
      <w:r>
        <w:rPr>
          <w:rFonts w:asciiTheme="majorHAnsi" w:hAnsiTheme="majorHAnsi" w:cs="Calibri"/>
          <w:sz w:val="22"/>
          <w:szCs w:val="22"/>
        </w:rPr>
        <w:t>ations</w:t>
      </w:r>
      <w:r w:rsidRPr="00F172BB">
        <w:rPr>
          <w:rFonts w:asciiTheme="majorHAnsi" w:hAnsiTheme="majorHAnsi" w:cs="Calibri"/>
          <w:sz w:val="22"/>
          <w:szCs w:val="22"/>
        </w:rPr>
        <w:t xml:space="preserve"> supported the </w:t>
      </w:r>
      <w:r>
        <w:rPr>
          <w:rFonts w:asciiTheme="majorHAnsi" w:hAnsiTheme="majorHAnsi" w:cs="Calibri"/>
          <w:sz w:val="22"/>
          <w:szCs w:val="22"/>
        </w:rPr>
        <w:t>G</w:t>
      </w:r>
      <w:r w:rsidRPr="00F172BB">
        <w:rPr>
          <w:rFonts w:asciiTheme="majorHAnsi" w:hAnsiTheme="majorHAnsi" w:cs="Calibri"/>
          <w:sz w:val="22"/>
          <w:szCs w:val="22"/>
        </w:rPr>
        <w:t xml:space="preserve">overnment in reaching over 187,000 youth </w:t>
      </w:r>
      <w:r>
        <w:rPr>
          <w:rFonts w:asciiTheme="majorHAnsi" w:hAnsiTheme="majorHAnsi" w:cs="Calibri"/>
          <w:sz w:val="22"/>
          <w:szCs w:val="22"/>
        </w:rPr>
        <w:t xml:space="preserve">and adolescents (45 per cent </w:t>
      </w:r>
      <w:r w:rsidRPr="00F172BB">
        <w:rPr>
          <w:rFonts w:asciiTheme="majorHAnsi" w:hAnsiTheme="majorHAnsi" w:cs="Calibri"/>
          <w:sz w:val="22"/>
          <w:szCs w:val="22"/>
        </w:rPr>
        <w:t>girls) who participated or led civic engagement initiatives. In Niger, UNICEF, UNFPA and OHCHR supported the development of youth platform in 26 municipalities. These included 44 youth peace brigades, which promote a culture of peace and mediate community conflicts, and 19 youth dialogue structures, to help young people of both sexes participate in municipal decision-making. As of 2018, 1,600 youth including 320 girls/women were active in these 63 platforms.</w:t>
      </w:r>
    </w:p>
    <w:p w:rsidR="001A547C" w:rsidRDefault="001A547C" w:rsidP="001A547C">
      <w:pPr>
        <w:pStyle w:val="Heading2"/>
        <w:numPr>
          <w:ilvl w:val="0"/>
          <w:numId w:val="46"/>
        </w:numPr>
        <w:spacing w:after="0" w:line="240" w:lineRule="auto"/>
        <w:rPr>
          <w:rFonts w:asciiTheme="majorHAnsi" w:hAnsiTheme="majorHAnsi" w:cs="Calibri"/>
          <w:b/>
          <w:sz w:val="22"/>
          <w:szCs w:val="22"/>
        </w:rPr>
      </w:pPr>
      <w:bookmarkStart w:id="3" w:name="_5p9k0ogqnd4h" w:colFirst="0" w:colLast="0"/>
      <w:bookmarkEnd w:id="3"/>
      <w:r w:rsidRPr="00261620">
        <w:rPr>
          <w:rFonts w:asciiTheme="majorHAnsi" w:hAnsiTheme="majorHAnsi" w:cs="Calibri"/>
          <w:b/>
          <w:sz w:val="22"/>
          <w:szCs w:val="22"/>
        </w:rPr>
        <w:t xml:space="preserve">Accelerator </w:t>
      </w:r>
      <w:r>
        <w:rPr>
          <w:rFonts w:asciiTheme="majorHAnsi" w:hAnsiTheme="majorHAnsi" w:cs="Calibri"/>
          <w:b/>
          <w:sz w:val="22"/>
          <w:szCs w:val="22"/>
        </w:rPr>
        <w:t>i</w:t>
      </w:r>
      <w:r w:rsidRPr="00261620">
        <w:rPr>
          <w:rFonts w:asciiTheme="majorHAnsi" w:hAnsiTheme="majorHAnsi" w:cs="Calibri"/>
          <w:b/>
          <w:sz w:val="22"/>
          <w:szCs w:val="22"/>
        </w:rPr>
        <w:t xml:space="preserve">nitiatives </w:t>
      </w:r>
    </w:p>
    <w:p w:rsidR="001A547C" w:rsidRPr="00AB5939" w:rsidRDefault="001A547C" w:rsidP="001A547C">
      <w:pPr>
        <w:ind w:left="360"/>
      </w:pPr>
    </w:p>
    <w:p w:rsidR="001A547C" w:rsidRDefault="001A547C" w:rsidP="001A547C">
      <w:pPr>
        <w:pStyle w:val="ListParagraph"/>
        <w:numPr>
          <w:ilvl w:val="0"/>
          <w:numId w:val="22"/>
        </w:numPr>
        <w:spacing w:after="80"/>
        <w:ind w:left="0" w:firstLine="0"/>
        <w:jc w:val="both"/>
        <w:rPr>
          <w:rFonts w:asciiTheme="majorHAnsi" w:hAnsiTheme="majorHAnsi" w:cstheme="minorHAnsi"/>
          <w:color w:val="000000" w:themeColor="text1"/>
          <w:sz w:val="22"/>
          <w:szCs w:val="22"/>
          <w:lang w:val="en-GB"/>
        </w:rPr>
      </w:pPr>
      <w:r w:rsidRPr="007B161A">
        <w:rPr>
          <w:rFonts w:cstheme="minorHAnsi"/>
          <w:color w:val="000000" w:themeColor="text1"/>
          <w:sz w:val="20"/>
          <w:lang w:val="en-GB"/>
        </w:rPr>
        <w:t xml:space="preserve"> </w:t>
      </w:r>
      <w:r w:rsidRPr="00FC50B0">
        <w:rPr>
          <w:rFonts w:asciiTheme="majorHAnsi" w:hAnsiTheme="majorHAnsi" w:cstheme="minorHAnsi"/>
          <w:color w:val="000000" w:themeColor="text1"/>
          <w:sz w:val="22"/>
          <w:szCs w:val="22"/>
          <w:lang w:val="en-GB"/>
        </w:rPr>
        <w:t xml:space="preserve">Accelerator initiatives demonstrate how collaboration of the four </w:t>
      </w:r>
      <w:r>
        <w:rPr>
          <w:rFonts w:asciiTheme="majorHAnsi" w:hAnsiTheme="majorHAnsi" w:cstheme="minorHAnsi"/>
          <w:color w:val="000000" w:themeColor="text1"/>
          <w:sz w:val="22"/>
          <w:szCs w:val="22"/>
          <w:lang w:val="en-GB"/>
        </w:rPr>
        <w:t>c</w:t>
      </w:r>
      <w:r w:rsidRPr="00FC50B0">
        <w:rPr>
          <w:rFonts w:asciiTheme="majorHAnsi" w:hAnsiTheme="majorHAnsi" w:cstheme="minorHAnsi"/>
          <w:color w:val="000000" w:themeColor="text1"/>
          <w:sz w:val="22"/>
          <w:szCs w:val="22"/>
          <w:lang w:val="en-GB"/>
        </w:rPr>
        <w:t>ommon agencies and beyond contribute to accelerate and scale</w:t>
      </w:r>
      <w:r>
        <w:rPr>
          <w:rFonts w:asciiTheme="majorHAnsi" w:hAnsiTheme="majorHAnsi" w:cstheme="minorHAnsi"/>
          <w:color w:val="000000" w:themeColor="text1"/>
          <w:sz w:val="22"/>
          <w:szCs w:val="22"/>
          <w:lang w:val="en-GB"/>
        </w:rPr>
        <w:t xml:space="preserve"> </w:t>
      </w:r>
      <w:r w:rsidRPr="00FC50B0">
        <w:rPr>
          <w:rFonts w:asciiTheme="majorHAnsi" w:hAnsiTheme="majorHAnsi" w:cstheme="minorHAnsi"/>
          <w:color w:val="000000" w:themeColor="text1"/>
          <w:sz w:val="22"/>
          <w:szCs w:val="22"/>
          <w:lang w:val="en-GB"/>
        </w:rPr>
        <w:t xml:space="preserve">up achievement of greater and more transformational results around the </w:t>
      </w:r>
      <w:r>
        <w:rPr>
          <w:rFonts w:asciiTheme="majorHAnsi" w:hAnsiTheme="majorHAnsi" w:cstheme="minorHAnsi"/>
          <w:color w:val="000000" w:themeColor="text1"/>
          <w:sz w:val="22"/>
          <w:szCs w:val="22"/>
          <w:lang w:val="en-GB"/>
        </w:rPr>
        <w:t>Sustainable Development Goals</w:t>
      </w:r>
      <w:r w:rsidRPr="00FC50B0">
        <w:rPr>
          <w:rFonts w:asciiTheme="majorHAnsi" w:hAnsiTheme="majorHAnsi" w:cstheme="minorHAnsi"/>
          <w:color w:val="000000" w:themeColor="text1"/>
          <w:sz w:val="22"/>
          <w:szCs w:val="22"/>
          <w:lang w:val="en-GB"/>
        </w:rPr>
        <w:t xml:space="preserve">. They operate within the framework of the UNDAF and other processes such as MAPS, </w:t>
      </w:r>
      <w:r>
        <w:rPr>
          <w:rFonts w:asciiTheme="majorHAnsi" w:hAnsiTheme="majorHAnsi" w:cstheme="minorHAnsi"/>
          <w:color w:val="000000" w:themeColor="text1"/>
          <w:sz w:val="22"/>
          <w:szCs w:val="22"/>
          <w:lang w:val="en-GB"/>
        </w:rPr>
        <w:t>recovery and peacebuilding assessments</w:t>
      </w:r>
      <w:r w:rsidRPr="00FC50B0">
        <w:rPr>
          <w:rFonts w:asciiTheme="majorHAnsi" w:hAnsiTheme="majorHAnsi" w:cstheme="minorHAnsi"/>
          <w:color w:val="000000" w:themeColor="text1"/>
          <w:sz w:val="22"/>
          <w:szCs w:val="22"/>
          <w:lang w:val="en-GB"/>
        </w:rPr>
        <w:t xml:space="preserve">, </w:t>
      </w:r>
      <w:r>
        <w:rPr>
          <w:rFonts w:asciiTheme="majorHAnsi" w:hAnsiTheme="majorHAnsi" w:cstheme="minorHAnsi"/>
          <w:color w:val="000000" w:themeColor="text1"/>
          <w:sz w:val="22"/>
          <w:szCs w:val="22"/>
          <w:lang w:val="en-GB"/>
        </w:rPr>
        <w:t>post-disaster needs assessments</w:t>
      </w:r>
      <w:r w:rsidRPr="00FC50B0">
        <w:rPr>
          <w:rFonts w:asciiTheme="majorHAnsi" w:hAnsiTheme="majorHAnsi" w:cstheme="minorHAnsi"/>
          <w:color w:val="000000" w:themeColor="text1"/>
          <w:sz w:val="22"/>
          <w:szCs w:val="22"/>
          <w:lang w:val="en-GB"/>
        </w:rPr>
        <w:t xml:space="preserve"> and </w:t>
      </w:r>
      <w:r>
        <w:rPr>
          <w:rFonts w:asciiTheme="majorHAnsi" w:hAnsiTheme="majorHAnsi" w:cstheme="minorHAnsi"/>
          <w:color w:val="000000" w:themeColor="text1"/>
          <w:sz w:val="22"/>
          <w:szCs w:val="22"/>
          <w:lang w:val="en-GB"/>
        </w:rPr>
        <w:t>conflict and development assessments</w:t>
      </w:r>
      <w:r w:rsidRPr="00FC50B0">
        <w:rPr>
          <w:rFonts w:asciiTheme="majorHAnsi" w:hAnsiTheme="majorHAnsi" w:cstheme="minorHAnsi"/>
          <w:color w:val="000000" w:themeColor="text1"/>
          <w:sz w:val="22"/>
          <w:szCs w:val="22"/>
          <w:lang w:val="en-GB"/>
        </w:rPr>
        <w:t xml:space="preserve">. Accelerator initiatives leverage the operational assets and complementary </w:t>
      </w:r>
      <w:r w:rsidRPr="00FC50B0">
        <w:rPr>
          <w:rFonts w:asciiTheme="majorHAnsi" w:hAnsiTheme="majorHAnsi" w:cstheme="minorHAnsi"/>
          <w:color w:val="000000" w:themeColor="text1"/>
          <w:sz w:val="22"/>
          <w:szCs w:val="22"/>
          <w:lang w:val="en-GB"/>
        </w:rPr>
        <w:lastRenderedPageBreak/>
        <w:t xml:space="preserve">mandates of </w:t>
      </w:r>
      <w:r>
        <w:rPr>
          <w:rFonts w:asciiTheme="majorHAnsi" w:hAnsiTheme="majorHAnsi" w:cstheme="minorHAnsi"/>
          <w:color w:val="000000" w:themeColor="text1"/>
          <w:sz w:val="22"/>
          <w:szCs w:val="22"/>
          <w:lang w:val="en-GB"/>
        </w:rPr>
        <w:t>a</w:t>
      </w:r>
      <w:r w:rsidRPr="00FC50B0">
        <w:rPr>
          <w:rFonts w:asciiTheme="majorHAnsi" w:hAnsiTheme="majorHAnsi" w:cstheme="minorHAnsi"/>
          <w:color w:val="000000" w:themeColor="text1"/>
          <w:sz w:val="22"/>
          <w:szCs w:val="22"/>
          <w:lang w:val="en-GB"/>
        </w:rPr>
        <w:t xml:space="preserve">gencies to accelerate the achievement of collective results, while also forging partnerships beyond </w:t>
      </w:r>
      <w:r>
        <w:rPr>
          <w:rFonts w:asciiTheme="majorHAnsi" w:hAnsiTheme="majorHAnsi" w:cstheme="minorHAnsi"/>
          <w:color w:val="000000" w:themeColor="text1"/>
          <w:sz w:val="22"/>
          <w:szCs w:val="22"/>
          <w:lang w:val="en-GB"/>
        </w:rPr>
        <w:t xml:space="preserve">the four </w:t>
      </w:r>
      <w:r w:rsidRPr="00FC50B0">
        <w:rPr>
          <w:rFonts w:asciiTheme="majorHAnsi" w:hAnsiTheme="majorHAnsi" w:cstheme="minorHAnsi"/>
          <w:color w:val="000000" w:themeColor="text1"/>
          <w:sz w:val="22"/>
          <w:szCs w:val="22"/>
          <w:lang w:val="en-GB"/>
        </w:rPr>
        <w:t>agencies and the Unite</w:t>
      </w:r>
      <w:bookmarkStart w:id="4" w:name="_Hlk507757141"/>
      <w:r>
        <w:rPr>
          <w:rFonts w:asciiTheme="majorHAnsi" w:hAnsiTheme="majorHAnsi" w:cstheme="minorHAnsi"/>
          <w:color w:val="000000" w:themeColor="text1"/>
          <w:sz w:val="22"/>
          <w:szCs w:val="22"/>
          <w:lang w:val="en-GB"/>
        </w:rPr>
        <w:t>d Nations.</w:t>
      </w:r>
    </w:p>
    <w:p w:rsidR="001A547C" w:rsidRPr="009D08B6" w:rsidRDefault="001A547C" w:rsidP="001A547C">
      <w:pPr>
        <w:pStyle w:val="ListParagraph"/>
        <w:spacing w:after="80"/>
        <w:ind w:left="0"/>
        <w:jc w:val="both"/>
        <w:rPr>
          <w:rFonts w:asciiTheme="majorHAnsi" w:hAnsiTheme="majorHAnsi" w:cstheme="minorHAnsi"/>
          <w:color w:val="000000" w:themeColor="text1"/>
          <w:sz w:val="22"/>
          <w:szCs w:val="22"/>
          <w:lang w:val="en-GB"/>
        </w:rPr>
      </w:pPr>
    </w:p>
    <w:p w:rsidR="001A547C" w:rsidRDefault="001A547C" w:rsidP="001A547C">
      <w:pPr>
        <w:pStyle w:val="ListParagraph"/>
        <w:numPr>
          <w:ilvl w:val="0"/>
          <w:numId w:val="22"/>
        </w:numPr>
        <w:spacing w:after="80"/>
        <w:ind w:left="0" w:firstLine="0"/>
        <w:jc w:val="both"/>
        <w:rPr>
          <w:rFonts w:asciiTheme="majorHAnsi" w:hAnsiTheme="majorHAnsi" w:cstheme="minorHAnsi"/>
          <w:sz w:val="22"/>
          <w:szCs w:val="22"/>
          <w:lang w:val="en-GB"/>
        </w:rPr>
      </w:pPr>
      <w:r w:rsidRPr="00FC50B0">
        <w:rPr>
          <w:rFonts w:asciiTheme="majorHAnsi" w:hAnsiTheme="majorHAnsi" w:cstheme="minorHAnsi"/>
          <w:sz w:val="22"/>
          <w:szCs w:val="22"/>
          <w:lang w:val="en-GB"/>
        </w:rPr>
        <w:t xml:space="preserve"> Accelerator initiatives are characteri</w:t>
      </w:r>
      <w:r>
        <w:rPr>
          <w:rFonts w:asciiTheme="majorHAnsi" w:hAnsiTheme="majorHAnsi" w:cstheme="minorHAnsi"/>
          <w:sz w:val="22"/>
          <w:szCs w:val="22"/>
          <w:lang w:val="en-GB"/>
        </w:rPr>
        <w:t>z</w:t>
      </w:r>
      <w:r w:rsidRPr="00FC50B0">
        <w:rPr>
          <w:rFonts w:asciiTheme="majorHAnsi" w:hAnsiTheme="majorHAnsi" w:cstheme="minorHAnsi"/>
          <w:sz w:val="22"/>
          <w:szCs w:val="22"/>
          <w:lang w:val="en-GB"/>
        </w:rPr>
        <w:t xml:space="preserve">ed by: all </w:t>
      </w:r>
      <w:r>
        <w:rPr>
          <w:rFonts w:asciiTheme="majorHAnsi" w:hAnsiTheme="majorHAnsi" w:cstheme="minorHAnsi"/>
          <w:sz w:val="22"/>
          <w:szCs w:val="22"/>
          <w:lang w:val="en-GB"/>
        </w:rPr>
        <w:t xml:space="preserve">four </w:t>
      </w:r>
      <w:r w:rsidRPr="00FC50B0">
        <w:rPr>
          <w:rFonts w:asciiTheme="majorHAnsi" w:hAnsiTheme="majorHAnsi" w:cstheme="minorHAnsi"/>
          <w:sz w:val="22"/>
          <w:szCs w:val="22"/>
          <w:lang w:val="en-GB"/>
        </w:rPr>
        <w:t xml:space="preserve">agencies collaborating in one or more of six thematic areas or regionally; a focus on issues that have a strong cross-border dimension that exceeds the mandates or capabilities of individual teams; clear collaborative advantage in advancing large-scale impact; relevance to expressed demands for assistance/collaboration from programme countries and development partners to accelerate progress towards the </w:t>
      </w:r>
      <w:r>
        <w:rPr>
          <w:rFonts w:asciiTheme="majorHAnsi" w:hAnsiTheme="majorHAnsi" w:cstheme="minorHAnsi"/>
          <w:sz w:val="22"/>
          <w:szCs w:val="22"/>
          <w:lang w:val="en-GB"/>
        </w:rPr>
        <w:t>Goals</w:t>
      </w:r>
      <w:r w:rsidRPr="00FC50B0">
        <w:rPr>
          <w:rFonts w:asciiTheme="majorHAnsi" w:hAnsiTheme="majorHAnsi" w:cstheme="minorHAnsi"/>
          <w:sz w:val="22"/>
          <w:szCs w:val="22"/>
          <w:lang w:val="en-GB"/>
        </w:rPr>
        <w:t xml:space="preserve"> in the given context; critical mass of ongoing work and capacity for scaling-up; scope for innovation</w:t>
      </w:r>
      <w:bookmarkEnd w:id="4"/>
      <w:r w:rsidRPr="00FC50B0">
        <w:rPr>
          <w:rFonts w:asciiTheme="majorHAnsi" w:hAnsiTheme="majorHAnsi" w:cstheme="minorHAnsi"/>
          <w:sz w:val="22"/>
          <w:szCs w:val="22"/>
          <w:lang w:val="en-GB"/>
        </w:rPr>
        <w:t>; and the scope, feasibility and potential effectiveness of collaboration is based on programmatic elements such as a common theory of change</w:t>
      </w:r>
      <w:bookmarkStart w:id="5" w:name="_tyjcwt" w:colFirst="0" w:colLast="0"/>
      <w:bookmarkEnd w:id="5"/>
      <w:r w:rsidRPr="00FC50B0">
        <w:rPr>
          <w:rFonts w:asciiTheme="majorHAnsi" w:hAnsiTheme="majorHAnsi" w:cstheme="minorHAnsi"/>
          <w:sz w:val="22"/>
          <w:szCs w:val="22"/>
          <w:lang w:val="en-GB"/>
        </w:rPr>
        <w:t>, joint activities</w:t>
      </w:r>
      <w:bookmarkStart w:id="6" w:name="_3dy6vkm" w:colFirst="0" w:colLast="0"/>
      <w:bookmarkEnd w:id="6"/>
      <w:r w:rsidRPr="00FC50B0">
        <w:rPr>
          <w:rFonts w:asciiTheme="majorHAnsi" w:hAnsiTheme="majorHAnsi" w:cstheme="minorHAnsi"/>
          <w:sz w:val="22"/>
          <w:szCs w:val="22"/>
          <w:lang w:val="en-GB"/>
        </w:rPr>
        <w:t>, joint resource mobilization and communication</w:t>
      </w:r>
      <w:bookmarkStart w:id="7" w:name="_1t3h5sf" w:colFirst="0" w:colLast="0"/>
      <w:bookmarkEnd w:id="7"/>
      <w:r w:rsidRPr="00FC50B0">
        <w:rPr>
          <w:rFonts w:asciiTheme="majorHAnsi" w:hAnsiTheme="majorHAnsi" w:cstheme="minorHAnsi"/>
          <w:sz w:val="22"/>
          <w:szCs w:val="22"/>
          <w:lang w:val="en-GB"/>
        </w:rPr>
        <w:t xml:space="preserve"> as well as joint monitoring and reporting</w:t>
      </w:r>
      <w:r>
        <w:rPr>
          <w:rFonts w:asciiTheme="majorHAnsi" w:hAnsiTheme="majorHAnsi" w:cstheme="minorHAnsi"/>
          <w:sz w:val="22"/>
          <w:szCs w:val="22"/>
          <w:lang w:val="en-GB"/>
        </w:rPr>
        <w:t>.</w:t>
      </w:r>
    </w:p>
    <w:p w:rsidR="001A547C" w:rsidRPr="00ED56FD" w:rsidRDefault="001A547C" w:rsidP="001A547C">
      <w:pPr>
        <w:pStyle w:val="ListParagraph"/>
        <w:rPr>
          <w:rFonts w:asciiTheme="majorHAnsi" w:hAnsiTheme="majorHAnsi" w:cstheme="majorHAnsi"/>
        </w:rPr>
      </w:pPr>
    </w:p>
    <w:p w:rsidR="001A547C" w:rsidRPr="00ED56FD" w:rsidRDefault="001A547C" w:rsidP="001A547C">
      <w:pPr>
        <w:pStyle w:val="ListParagraph"/>
        <w:numPr>
          <w:ilvl w:val="0"/>
          <w:numId w:val="22"/>
        </w:numPr>
        <w:spacing w:after="80"/>
        <w:ind w:left="0" w:firstLine="0"/>
        <w:jc w:val="both"/>
        <w:rPr>
          <w:rFonts w:asciiTheme="majorHAnsi" w:hAnsiTheme="majorHAnsi" w:cstheme="minorHAnsi"/>
          <w:sz w:val="22"/>
          <w:szCs w:val="22"/>
          <w:lang w:val="en-GB"/>
        </w:rPr>
      </w:pPr>
      <w:r w:rsidRPr="00ED56FD">
        <w:rPr>
          <w:rFonts w:asciiTheme="majorHAnsi" w:hAnsiTheme="majorHAnsi" w:cstheme="majorHAnsi"/>
        </w:rPr>
        <w:t xml:space="preserve">The focus in 2018 was on identification and the early stages of development of regional and thematic common chapter accelerators with implementation to commence in 2019. Accelerators include: </w:t>
      </w:r>
    </w:p>
    <w:p w:rsidR="001A547C" w:rsidRPr="00E42945" w:rsidRDefault="001A547C" w:rsidP="001A547C">
      <w:pPr>
        <w:pStyle w:val="ListParagraph"/>
        <w:rPr>
          <w:rFonts w:asciiTheme="majorHAnsi" w:hAnsiTheme="majorHAnsi" w:cs="Calibri"/>
          <w:sz w:val="22"/>
          <w:szCs w:val="22"/>
        </w:rPr>
      </w:pPr>
    </w:p>
    <w:p w:rsidR="001A547C" w:rsidRPr="00E42945" w:rsidRDefault="001A547C" w:rsidP="001A547C">
      <w:pPr>
        <w:pStyle w:val="ListParagraph"/>
        <w:numPr>
          <w:ilvl w:val="0"/>
          <w:numId w:val="48"/>
        </w:numPr>
        <w:ind w:left="360"/>
        <w:jc w:val="both"/>
        <w:rPr>
          <w:rFonts w:asciiTheme="majorHAnsi" w:hAnsiTheme="majorHAnsi" w:cs="Calibri"/>
          <w:sz w:val="22"/>
          <w:szCs w:val="22"/>
        </w:rPr>
      </w:pPr>
      <w:r w:rsidRPr="00E42945">
        <w:rPr>
          <w:rFonts w:asciiTheme="majorHAnsi" w:hAnsiTheme="majorHAnsi" w:cs="Calibri"/>
          <w:sz w:val="22"/>
          <w:szCs w:val="22"/>
        </w:rPr>
        <w:t xml:space="preserve">In </w:t>
      </w:r>
      <w:r w:rsidRPr="00E42945">
        <w:rPr>
          <w:rFonts w:asciiTheme="majorHAnsi" w:hAnsiTheme="majorHAnsi" w:cs="Calibri"/>
          <w:b/>
          <w:sz w:val="22"/>
          <w:szCs w:val="22"/>
        </w:rPr>
        <w:t>Asia and the Pacific,</w:t>
      </w:r>
      <w:r w:rsidRPr="00E42945">
        <w:rPr>
          <w:rFonts w:asciiTheme="majorHAnsi" w:hAnsiTheme="majorHAnsi" w:cs="Calibri"/>
          <w:sz w:val="22"/>
          <w:szCs w:val="22"/>
        </w:rPr>
        <w:t xml:space="preserve"> ensuring the availability of disaggregated data for policymaking and tracking of progress of Sustainable Development Goals was identified as a cross-cutting issue, with a regional accelerator focus in the Pacific region, supported by the joint United Nations presence;</w:t>
      </w:r>
    </w:p>
    <w:p w:rsidR="001A547C" w:rsidRPr="00E42945" w:rsidRDefault="001A547C" w:rsidP="001A547C">
      <w:pPr>
        <w:pStyle w:val="ListParagraph"/>
        <w:ind w:left="360"/>
        <w:jc w:val="both"/>
        <w:rPr>
          <w:rFonts w:asciiTheme="majorHAnsi" w:hAnsiTheme="majorHAnsi" w:cs="Calibri"/>
          <w:sz w:val="22"/>
          <w:szCs w:val="22"/>
        </w:rPr>
      </w:pPr>
    </w:p>
    <w:p w:rsidR="001A547C" w:rsidRPr="00E42945" w:rsidRDefault="001A547C" w:rsidP="001A547C">
      <w:pPr>
        <w:pStyle w:val="ListParagraph"/>
        <w:numPr>
          <w:ilvl w:val="0"/>
          <w:numId w:val="48"/>
        </w:numPr>
        <w:ind w:left="360"/>
        <w:jc w:val="both"/>
        <w:rPr>
          <w:rFonts w:asciiTheme="majorHAnsi" w:hAnsiTheme="majorHAnsi" w:cs="Calibri"/>
          <w:sz w:val="22"/>
          <w:szCs w:val="22"/>
        </w:rPr>
      </w:pPr>
      <w:r w:rsidRPr="00E42945">
        <w:rPr>
          <w:rFonts w:asciiTheme="majorHAnsi" w:hAnsiTheme="majorHAnsi" w:cs="Calibri"/>
          <w:sz w:val="22"/>
          <w:szCs w:val="22"/>
        </w:rPr>
        <w:t xml:space="preserve">In </w:t>
      </w:r>
      <w:r w:rsidRPr="00E42945">
        <w:rPr>
          <w:rFonts w:asciiTheme="majorHAnsi" w:hAnsiTheme="majorHAnsi" w:cs="Calibri"/>
          <w:b/>
          <w:sz w:val="22"/>
          <w:szCs w:val="22"/>
        </w:rPr>
        <w:t>Eastern and Southern Africa region,</w:t>
      </w:r>
      <w:r w:rsidRPr="00E42945">
        <w:rPr>
          <w:rFonts w:asciiTheme="majorHAnsi" w:hAnsiTheme="majorHAnsi" w:cs="Calibri"/>
          <w:sz w:val="22"/>
          <w:szCs w:val="22"/>
        </w:rPr>
        <w:t xml:space="preserve"> three multi-country-level accelerator initiatives are in progress: (i) adolescent and youth development and empowerment through evidence-based advocacy around budgetary and policy investments for the middle income-countries of Botswana, Eswatini, Lesotho and Namibia; (ii) adolescents’, young people and women’s access to formal and informal education, sexual and reproductive health and rights information, livelihoods, employment, living free of gender-based violence and engaging and contributing to peacebuilding in the Great Lakes; and (</w:t>
      </w:r>
      <w:r>
        <w:rPr>
          <w:rFonts w:asciiTheme="majorHAnsi" w:hAnsiTheme="majorHAnsi" w:cs="Calibri"/>
          <w:sz w:val="22"/>
          <w:szCs w:val="22"/>
        </w:rPr>
        <w:t>iii</w:t>
      </w:r>
      <w:r w:rsidRPr="00E42945">
        <w:rPr>
          <w:rFonts w:asciiTheme="majorHAnsi" w:hAnsiTheme="majorHAnsi" w:cs="Calibri"/>
          <w:sz w:val="22"/>
          <w:szCs w:val="22"/>
        </w:rPr>
        <w:t xml:space="preserve">) children and young people on the move, preventing violent extremism, strengthening children’s and young people’s participation and civic engagement, education and skills development, </w:t>
      </w:r>
      <w:r>
        <w:rPr>
          <w:rFonts w:asciiTheme="majorHAnsi" w:hAnsiTheme="majorHAnsi" w:cs="Calibri"/>
          <w:sz w:val="22"/>
          <w:szCs w:val="22"/>
        </w:rPr>
        <w:t xml:space="preserve">and </w:t>
      </w:r>
      <w:r w:rsidRPr="00E42945">
        <w:rPr>
          <w:rFonts w:asciiTheme="majorHAnsi" w:hAnsiTheme="majorHAnsi" w:cs="Calibri"/>
          <w:sz w:val="22"/>
          <w:szCs w:val="22"/>
        </w:rPr>
        <w:t>adolescent health in the Horn of Africa area;</w:t>
      </w:r>
    </w:p>
    <w:p w:rsidR="001A547C" w:rsidRDefault="001A547C" w:rsidP="001A547C">
      <w:pPr>
        <w:pStyle w:val="ListParagraph"/>
        <w:ind w:left="360"/>
        <w:jc w:val="both"/>
        <w:rPr>
          <w:rFonts w:asciiTheme="majorHAnsi" w:hAnsiTheme="majorHAnsi" w:cs="Calibri"/>
          <w:sz w:val="22"/>
          <w:szCs w:val="22"/>
        </w:rPr>
      </w:pPr>
      <w:r w:rsidRPr="002E6123">
        <w:rPr>
          <w:rFonts w:asciiTheme="majorHAnsi" w:hAnsiTheme="majorHAnsi" w:cs="Calibri"/>
          <w:sz w:val="22"/>
          <w:szCs w:val="22"/>
        </w:rPr>
        <w:t xml:space="preserve"> </w:t>
      </w:r>
    </w:p>
    <w:p w:rsidR="001A547C" w:rsidRPr="00E42945" w:rsidRDefault="001A547C" w:rsidP="001A547C">
      <w:pPr>
        <w:pStyle w:val="ListParagraph"/>
        <w:numPr>
          <w:ilvl w:val="0"/>
          <w:numId w:val="48"/>
        </w:numPr>
        <w:ind w:left="360"/>
        <w:jc w:val="both"/>
        <w:rPr>
          <w:rFonts w:asciiTheme="majorHAnsi" w:hAnsiTheme="majorHAnsi" w:cs="Calibri"/>
          <w:sz w:val="22"/>
          <w:szCs w:val="22"/>
        </w:rPr>
      </w:pPr>
      <w:r w:rsidRPr="00E42945">
        <w:rPr>
          <w:rFonts w:asciiTheme="majorHAnsi" w:hAnsiTheme="majorHAnsi" w:cs="Calibri"/>
          <w:b/>
          <w:sz w:val="22"/>
          <w:szCs w:val="22"/>
        </w:rPr>
        <w:t>The Sahel</w:t>
      </w:r>
      <w:r w:rsidRPr="00E42945">
        <w:rPr>
          <w:rFonts w:asciiTheme="majorHAnsi" w:hAnsiTheme="majorHAnsi" w:cs="Calibri"/>
          <w:sz w:val="22"/>
          <w:szCs w:val="22"/>
        </w:rPr>
        <w:t xml:space="preserve"> support plan’s overarching goal is to scale up efforts to accelerate shared prosperity and lasting peace in the Sahel countries and the region at large by implementing priorities to achieve the 2030 Agenda and the African Union Agenda 2063. Key priority areas for common chapter collaboration include: reinforcing good governance; ensuring durable stability and resilience; inclusive economic growth; wider health coverage; nurturing resilience; and promoting the development of micro- and small-scale enterprises in relation to renewable energy;</w:t>
      </w:r>
    </w:p>
    <w:p w:rsidR="001A547C" w:rsidRPr="00E42945" w:rsidRDefault="001A547C" w:rsidP="001A547C">
      <w:pPr>
        <w:pStyle w:val="ListParagraph"/>
        <w:ind w:left="360"/>
        <w:jc w:val="both"/>
        <w:rPr>
          <w:rFonts w:asciiTheme="majorHAnsi" w:hAnsiTheme="majorHAnsi" w:cs="Calibri"/>
          <w:sz w:val="22"/>
          <w:szCs w:val="22"/>
        </w:rPr>
      </w:pPr>
    </w:p>
    <w:p w:rsidR="001A547C" w:rsidRPr="00E42945" w:rsidRDefault="001A547C" w:rsidP="001A547C">
      <w:pPr>
        <w:pStyle w:val="ListParagraph"/>
        <w:numPr>
          <w:ilvl w:val="0"/>
          <w:numId w:val="48"/>
        </w:numPr>
        <w:ind w:left="360"/>
        <w:jc w:val="both"/>
        <w:rPr>
          <w:rFonts w:asciiTheme="majorHAnsi" w:hAnsiTheme="majorHAnsi" w:cs="Calibri"/>
          <w:sz w:val="22"/>
          <w:szCs w:val="22"/>
        </w:rPr>
      </w:pPr>
      <w:r w:rsidRPr="00E42945">
        <w:rPr>
          <w:rFonts w:asciiTheme="majorHAnsi" w:hAnsiTheme="majorHAnsi" w:cs="Calibri"/>
          <w:b/>
          <w:sz w:val="22"/>
          <w:szCs w:val="22"/>
        </w:rPr>
        <w:t>In Latin America and the Caribbean</w:t>
      </w:r>
      <w:r>
        <w:rPr>
          <w:rFonts w:asciiTheme="majorHAnsi" w:hAnsiTheme="majorHAnsi" w:cs="Calibri"/>
          <w:b/>
          <w:sz w:val="22"/>
          <w:szCs w:val="22"/>
        </w:rPr>
        <w:t>,</w:t>
      </w:r>
      <w:r w:rsidRPr="00E42945">
        <w:rPr>
          <w:rFonts w:asciiTheme="majorHAnsi" w:hAnsiTheme="majorHAnsi" w:cs="Calibri"/>
          <w:sz w:val="22"/>
          <w:szCs w:val="22"/>
        </w:rPr>
        <w:t xml:space="preserve"> two multi-country initiatives are under implementation: </w:t>
      </w:r>
      <w:r>
        <w:rPr>
          <w:rFonts w:asciiTheme="majorHAnsi" w:hAnsiTheme="majorHAnsi" w:cs="Calibri"/>
          <w:sz w:val="22"/>
          <w:szCs w:val="22"/>
        </w:rPr>
        <w:t>(</w:t>
      </w:r>
      <w:r w:rsidRPr="00E42945">
        <w:rPr>
          <w:rFonts w:asciiTheme="majorHAnsi" w:hAnsiTheme="majorHAnsi" w:cs="Calibri"/>
          <w:sz w:val="22"/>
          <w:szCs w:val="22"/>
        </w:rPr>
        <w:t xml:space="preserve">i) reducing </w:t>
      </w:r>
      <w:r>
        <w:rPr>
          <w:rFonts w:asciiTheme="majorHAnsi" w:hAnsiTheme="majorHAnsi" w:cs="Calibri"/>
          <w:sz w:val="22"/>
          <w:szCs w:val="22"/>
        </w:rPr>
        <w:t>v</w:t>
      </w:r>
      <w:r w:rsidRPr="00E42945">
        <w:rPr>
          <w:rFonts w:asciiTheme="majorHAnsi" w:hAnsiTheme="majorHAnsi" w:cs="Calibri"/>
          <w:sz w:val="22"/>
          <w:szCs w:val="22"/>
        </w:rPr>
        <w:t xml:space="preserve">iolence in El Salvador, Guatemala and Honduras through a framework to promote data compilation and analysis on the impact of violence on women, children and youth to identify trends and policy responses to reduce violence; </w:t>
      </w:r>
      <w:r>
        <w:rPr>
          <w:rFonts w:asciiTheme="majorHAnsi" w:hAnsiTheme="majorHAnsi" w:cs="Calibri"/>
          <w:sz w:val="22"/>
          <w:szCs w:val="22"/>
        </w:rPr>
        <w:t>and (</w:t>
      </w:r>
      <w:r w:rsidRPr="00E42945">
        <w:rPr>
          <w:rFonts w:asciiTheme="majorHAnsi" w:hAnsiTheme="majorHAnsi" w:cs="Calibri"/>
          <w:sz w:val="22"/>
          <w:szCs w:val="22"/>
        </w:rPr>
        <w:t xml:space="preserve">ii) </w:t>
      </w:r>
      <w:r>
        <w:rPr>
          <w:rFonts w:asciiTheme="majorHAnsi" w:hAnsiTheme="majorHAnsi" w:cs="Calibri"/>
          <w:sz w:val="22"/>
          <w:szCs w:val="22"/>
        </w:rPr>
        <w:t>w</w:t>
      </w:r>
      <w:r w:rsidRPr="00E42945">
        <w:rPr>
          <w:rFonts w:asciiTheme="majorHAnsi" w:hAnsiTheme="majorHAnsi" w:cs="Calibri"/>
          <w:sz w:val="22"/>
          <w:szCs w:val="22"/>
        </w:rPr>
        <w:t>ithin the U</w:t>
      </w:r>
      <w:r>
        <w:rPr>
          <w:rFonts w:asciiTheme="majorHAnsi" w:hAnsiTheme="majorHAnsi" w:cs="Calibri"/>
          <w:sz w:val="22"/>
          <w:szCs w:val="22"/>
        </w:rPr>
        <w:t xml:space="preserve">nited </w:t>
      </w:r>
      <w:r w:rsidRPr="00E42945">
        <w:rPr>
          <w:rFonts w:asciiTheme="majorHAnsi" w:hAnsiTheme="majorHAnsi" w:cs="Calibri"/>
          <w:sz w:val="22"/>
          <w:szCs w:val="22"/>
        </w:rPr>
        <w:t>N</w:t>
      </w:r>
      <w:r>
        <w:rPr>
          <w:rFonts w:asciiTheme="majorHAnsi" w:hAnsiTheme="majorHAnsi" w:cs="Calibri"/>
          <w:sz w:val="22"/>
          <w:szCs w:val="22"/>
        </w:rPr>
        <w:t>ations</w:t>
      </w:r>
      <w:r w:rsidRPr="00E42945">
        <w:rPr>
          <w:rFonts w:asciiTheme="majorHAnsi" w:hAnsiTheme="majorHAnsi" w:cs="Calibri"/>
          <w:sz w:val="22"/>
          <w:szCs w:val="22"/>
        </w:rPr>
        <w:t xml:space="preserve"> Multi-Country Sustainable Development Framework with the 18 English- and Dutch-speaking Caribbean countries and </w:t>
      </w:r>
      <w:r>
        <w:rPr>
          <w:rFonts w:asciiTheme="majorHAnsi" w:hAnsiTheme="majorHAnsi" w:cs="Calibri"/>
          <w:sz w:val="22"/>
          <w:szCs w:val="22"/>
        </w:rPr>
        <w:t>o</w:t>
      </w:r>
      <w:r w:rsidRPr="00E42945">
        <w:rPr>
          <w:rFonts w:asciiTheme="majorHAnsi" w:hAnsiTheme="majorHAnsi" w:cs="Calibri"/>
          <w:sz w:val="22"/>
          <w:szCs w:val="22"/>
        </w:rPr>
        <w:t xml:space="preserve">verseas </w:t>
      </w:r>
      <w:r>
        <w:rPr>
          <w:rFonts w:asciiTheme="majorHAnsi" w:hAnsiTheme="majorHAnsi" w:cs="Calibri"/>
          <w:sz w:val="22"/>
          <w:szCs w:val="22"/>
        </w:rPr>
        <w:t>t</w:t>
      </w:r>
      <w:r w:rsidRPr="00E42945">
        <w:rPr>
          <w:rFonts w:asciiTheme="majorHAnsi" w:hAnsiTheme="majorHAnsi" w:cs="Calibri"/>
          <w:sz w:val="22"/>
          <w:szCs w:val="22"/>
        </w:rPr>
        <w:t>erritories, joint efforts under the common chapter will focus on disaster management, preparedness and resilience</w:t>
      </w:r>
      <w:r>
        <w:rPr>
          <w:rFonts w:asciiTheme="majorHAnsi" w:hAnsiTheme="majorHAnsi" w:cs="Calibri"/>
          <w:sz w:val="22"/>
          <w:szCs w:val="22"/>
        </w:rPr>
        <w:t>-</w:t>
      </w:r>
      <w:r w:rsidRPr="00E42945">
        <w:rPr>
          <w:rFonts w:asciiTheme="majorHAnsi" w:hAnsiTheme="majorHAnsi" w:cs="Calibri"/>
          <w:sz w:val="22"/>
          <w:szCs w:val="22"/>
        </w:rPr>
        <w:t xml:space="preserve">building. </w:t>
      </w:r>
    </w:p>
    <w:p w:rsidR="001A547C" w:rsidRDefault="001A547C" w:rsidP="001A547C">
      <w:pPr>
        <w:jc w:val="both"/>
        <w:rPr>
          <w:rFonts w:asciiTheme="majorHAnsi" w:hAnsiTheme="majorHAnsi" w:cs="Calibri"/>
        </w:rPr>
      </w:pPr>
    </w:p>
    <w:p w:rsidR="001A547C" w:rsidRPr="00224A0F" w:rsidRDefault="001A547C" w:rsidP="001A547C">
      <w:pPr>
        <w:rPr>
          <w:rFonts w:asciiTheme="majorHAnsi" w:eastAsia="Times New Roman" w:hAnsiTheme="majorHAnsi" w:cs="Calibri"/>
          <w:lang w:val="en-US"/>
        </w:rPr>
      </w:pPr>
      <w:r w:rsidRPr="00224A0F">
        <w:rPr>
          <w:rFonts w:ascii="Calibri Light" w:hAnsi="Calibri Light" w:cs="Calibri Light"/>
          <w:b/>
          <w:bCs/>
          <w:color w:val="404040"/>
        </w:rPr>
        <w:t xml:space="preserve"> </w:t>
      </w:r>
    </w:p>
    <w:p w:rsidR="001A547C" w:rsidRPr="00224A0F" w:rsidRDefault="001A547C" w:rsidP="001A547C">
      <w:pPr>
        <w:pStyle w:val="ListParagraph"/>
        <w:numPr>
          <w:ilvl w:val="0"/>
          <w:numId w:val="22"/>
        </w:numPr>
        <w:ind w:left="0" w:firstLine="0"/>
        <w:jc w:val="both"/>
        <w:rPr>
          <w:rFonts w:asciiTheme="majorHAnsi" w:hAnsiTheme="majorHAnsi" w:cs="Calibri"/>
          <w:sz w:val="22"/>
          <w:szCs w:val="22"/>
        </w:rPr>
      </w:pPr>
      <w:r w:rsidRPr="00224A0F">
        <w:rPr>
          <w:rFonts w:asciiTheme="majorHAnsi" w:hAnsiTheme="majorHAnsi" w:cs="Calibri"/>
          <w:sz w:val="22"/>
          <w:szCs w:val="22"/>
        </w:rPr>
        <w:lastRenderedPageBreak/>
        <w:t>In the Europe and Central Asia region, the development of more than 10 Common Country Assessments and UNDAFs in 2019 will be reinforced by the regional issue-based coalitions in the common chapter priority areas, including adolescents, youth, gender and data.  All four agencies have been actively engaged in MAPS missions, and follow-up actions will be taken as chairs of issue-based coalitions or individual agencies.</w:t>
      </w:r>
    </w:p>
    <w:p w:rsidR="001A547C" w:rsidRPr="00224A0F" w:rsidRDefault="001A547C" w:rsidP="001A547C">
      <w:pPr>
        <w:pStyle w:val="ListParagraph"/>
        <w:ind w:left="0"/>
        <w:jc w:val="both"/>
        <w:rPr>
          <w:rFonts w:asciiTheme="majorHAnsi" w:hAnsiTheme="majorHAnsi" w:cs="Calibri"/>
          <w:sz w:val="22"/>
          <w:szCs w:val="22"/>
        </w:rPr>
      </w:pPr>
    </w:p>
    <w:p w:rsidR="001A547C" w:rsidRPr="00370CBC" w:rsidRDefault="001A547C" w:rsidP="001A547C">
      <w:pPr>
        <w:pStyle w:val="ListParagraph"/>
        <w:numPr>
          <w:ilvl w:val="0"/>
          <w:numId w:val="22"/>
        </w:numPr>
        <w:ind w:left="0" w:firstLine="0"/>
        <w:jc w:val="both"/>
        <w:rPr>
          <w:rFonts w:asciiTheme="majorHAnsi" w:hAnsiTheme="majorHAnsi" w:cs="Calibri"/>
          <w:sz w:val="22"/>
          <w:szCs w:val="22"/>
        </w:rPr>
      </w:pPr>
      <w:r w:rsidRPr="00224A0F">
        <w:rPr>
          <w:rFonts w:asciiTheme="majorHAnsi" w:hAnsiTheme="majorHAnsi"/>
          <w:bCs/>
          <w:sz w:val="22"/>
          <w:szCs w:val="22"/>
        </w:rPr>
        <w:t>Globally, Argentina</w:t>
      </w:r>
      <w:r w:rsidRPr="00FC50B0">
        <w:rPr>
          <w:rFonts w:asciiTheme="majorHAnsi" w:hAnsiTheme="majorHAnsi"/>
          <w:bCs/>
          <w:sz w:val="22"/>
          <w:szCs w:val="22"/>
        </w:rPr>
        <w:t>, El Salvador, Guatemala, Honduras, Mexico, Liberia, Malawi, Mali, Mozambique, Niger, Nigeria, Uganda and Zimbabwe</w:t>
      </w:r>
      <w:r w:rsidRPr="00FC50B0">
        <w:rPr>
          <w:rFonts w:asciiTheme="majorHAnsi" w:hAnsiTheme="majorHAnsi"/>
          <w:sz w:val="22"/>
          <w:szCs w:val="22"/>
        </w:rPr>
        <w:t xml:space="preserve"> started working on the </w:t>
      </w:r>
      <w:r>
        <w:rPr>
          <w:rFonts w:asciiTheme="majorHAnsi" w:hAnsiTheme="majorHAnsi"/>
          <w:sz w:val="22"/>
          <w:szCs w:val="22"/>
        </w:rPr>
        <w:t>European Union-United Nations</w:t>
      </w:r>
      <w:r w:rsidRPr="00FC50B0">
        <w:rPr>
          <w:rFonts w:asciiTheme="majorHAnsi" w:hAnsiTheme="majorHAnsi"/>
          <w:sz w:val="22"/>
          <w:szCs w:val="22"/>
        </w:rPr>
        <w:t xml:space="preserve"> Spotlight Initiative</w:t>
      </w:r>
      <w:r>
        <w:rPr>
          <w:rFonts w:asciiTheme="majorHAnsi" w:hAnsiTheme="majorHAnsi"/>
          <w:sz w:val="22"/>
          <w:szCs w:val="22"/>
        </w:rPr>
        <w:t xml:space="preserve">, </w:t>
      </w:r>
      <w:r w:rsidRPr="00FC50B0">
        <w:rPr>
          <w:rFonts w:asciiTheme="majorHAnsi" w:hAnsiTheme="majorHAnsi"/>
          <w:sz w:val="22"/>
          <w:szCs w:val="22"/>
        </w:rPr>
        <w:t>a global partnership to eliminate all forms of violence against women and girls. The Spotlight Initiative has been designed by the U</w:t>
      </w:r>
      <w:r>
        <w:rPr>
          <w:rFonts w:asciiTheme="majorHAnsi" w:hAnsiTheme="majorHAnsi"/>
          <w:sz w:val="22"/>
          <w:szCs w:val="22"/>
        </w:rPr>
        <w:t xml:space="preserve">nited </w:t>
      </w:r>
      <w:r w:rsidRPr="00FC50B0">
        <w:rPr>
          <w:rFonts w:asciiTheme="majorHAnsi" w:hAnsiTheme="majorHAnsi"/>
          <w:sz w:val="22"/>
          <w:szCs w:val="22"/>
        </w:rPr>
        <w:t>N</w:t>
      </w:r>
      <w:r>
        <w:rPr>
          <w:rFonts w:asciiTheme="majorHAnsi" w:hAnsiTheme="majorHAnsi"/>
          <w:sz w:val="22"/>
          <w:szCs w:val="22"/>
        </w:rPr>
        <w:t>ations</w:t>
      </w:r>
      <w:r w:rsidRPr="00FC50B0">
        <w:rPr>
          <w:rFonts w:asciiTheme="majorHAnsi" w:hAnsiTheme="majorHAnsi"/>
          <w:sz w:val="22"/>
          <w:szCs w:val="22"/>
        </w:rPr>
        <w:t xml:space="preserve"> and </w:t>
      </w:r>
      <w:r>
        <w:rPr>
          <w:rFonts w:asciiTheme="majorHAnsi" w:hAnsiTheme="majorHAnsi"/>
          <w:sz w:val="22"/>
          <w:szCs w:val="22"/>
        </w:rPr>
        <w:t>European Union</w:t>
      </w:r>
      <w:r w:rsidRPr="00FC50B0">
        <w:rPr>
          <w:rFonts w:asciiTheme="majorHAnsi" w:hAnsiTheme="majorHAnsi"/>
          <w:sz w:val="22"/>
          <w:szCs w:val="22"/>
        </w:rPr>
        <w:t xml:space="preserve"> as a global financing mechanism in support of the implementation of the </w:t>
      </w:r>
      <w:r>
        <w:rPr>
          <w:rFonts w:asciiTheme="majorHAnsi" w:hAnsiTheme="majorHAnsi"/>
          <w:sz w:val="22"/>
          <w:szCs w:val="22"/>
        </w:rPr>
        <w:t xml:space="preserve">Sustainable Development Goals, </w:t>
      </w:r>
      <w:r w:rsidRPr="00FC50B0">
        <w:rPr>
          <w:rFonts w:asciiTheme="majorHAnsi" w:hAnsiTheme="majorHAnsi"/>
          <w:sz w:val="22"/>
          <w:szCs w:val="22"/>
        </w:rPr>
        <w:t>mainly Goal</w:t>
      </w:r>
      <w:r>
        <w:rPr>
          <w:rFonts w:asciiTheme="majorHAnsi" w:hAnsiTheme="majorHAnsi"/>
          <w:sz w:val="22"/>
          <w:szCs w:val="22"/>
        </w:rPr>
        <w:t>s</w:t>
      </w:r>
      <w:r w:rsidRPr="00FC50B0">
        <w:rPr>
          <w:rFonts w:asciiTheme="majorHAnsi" w:hAnsiTheme="majorHAnsi"/>
          <w:sz w:val="22"/>
          <w:szCs w:val="22"/>
        </w:rPr>
        <w:t xml:space="preserve"> 5 and 16. The Initiative will contribute to accelerating the realignment of the </w:t>
      </w:r>
      <w:r>
        <w:rPr>
          <w:rFonts w:asciiTheme="majorHAnsi" w:hAnsiTheme="majorHAnsi"/>
          <w:sz w:val="22"/>
          <w:szCs w:val="22"/>
        </w:rPr>
        <w:t>UNDS</w:t>
      </w:r>
      <w:r w:rsidRPr="00FC50B0">
        <w:rPr>
          <w:rFonts w:asciiTheme="majorHAnsi" w:hAnsiTheme="majorHAnsi"/>
          <w:sz w:val="22"/>
          <w:szCs w:val="22"/>
        </w:rPr>
        <w:t xml:space="preserve"> with the 2030 Agenda and enable critical system-wide capacities that can lead to more impactful and synergi</w:t>
      </w:r>
      <w:r>
        <w:rPr>
          <w:rFonts w:asciiTheme="majorHAnsi" w:hAnsiTheme="majorHAnsi"/>
          <w:sz w:val="22"/>
          <w:szCs w:val="22"/>
        </w:rPr>
        <w:t>sti</w:t>
      </w:r>
      <w:r w:rsidRPr="00FC50B0">
        <w:rPr>
          <w:rFonts w:asciiTheme="majorHAnsi" w:hAnsiTheme="majorHAnsi"/>
          <w:sz w:val="22"/>
          <w:szCs w:val="22"/>
        </w:rPr>
        <w:t xml:space="preserve">c support by the </w:t>
      </w:r>
      <w:r>
        <w:rPr>
          <w:rFonts w:asciiTheme="majorHAnsi" w:hAnsiTheme="majorHAnsi"/>
          <w:sz w:val="22"/>
          <w:szCs w:val="22"/>
        </w:rPr>
        <w:t>UNCTs</w:t>
      </w:r>
      <w:r w:rsidRPr="00FC50B0">
        <w:rPr>
          <w:rFonts w:asciiTheme="majorHAnsi" w:hAnsiTheme="majorHAnsi"/>
          <w:sz w:val="22"/>
          <w:szCs w:val="22"/>
        </w:rPr>
        <w:t xml:space="preserve"> in line with the U</w:t>
      </w:r>
      <w:r>
        <w:rPr>
          <w:rFonts w:asciiTheme="majorHAnsi" w:hAnsiTheme="majorHAnsi"/>
          <w:sz w:val="22"/>
          <w:szCs w:val="22"/>
        </w:rPr>
        <w:t xml:space="preserve">nited </w:t>
      </w:r>
      <w:r w:rsidRPr="00FC50B0">
        <w:rPr>
          <w:rFonts w:asciiTheme="majorHAnsi" w:hAnsiTheme="majorHAnsi"/>
          <w:sz w:val="22"/>
          <w:szCs w:val="22"/>
        </w:rPr>
        <w:t>N</w:t>
      </w:r>
      <w:r>
        <w:rPr>
          <w:rFonts w:asciiTheme="majorHAnsi" w:hAnsiTheme="majorHAnsi"/>
          <w:sz w:val="22"/>
          <w:szCs w:val="22"/>
        </w:rPr>
        <w:t>ations</w:t>
      </w:r>
      <w:r w:rsidRPr="00FC50B0">
        <w:rPr>
          <w:rFonts w:asciiTheme="majorHAnsi" w:hAnsiTheme="majorHAnsi"/>
          <w:sz w:val="22"/>
          <w:szCs w:val="22"/>
        </w:rPr>
        <w:t xml:space="preserve"> </w:t>
      </w:r>
      <w:r>
        <w:rPr>
          <w:rFonts w:asciiTheme="majorHAnsi" w:hAnsiTheme="majorHAnsi"/>
          <w:sz w:val="22"/>
          <w:szCs w:val="22"/>
        </w:rPr>
        <w:t>s</w:t>
      </w:r>
      <w:r w:rsidRPr="00FC50B0">
        <w:rPr>
          <w:rFonts w:asciiTheme="majorHAnsi" w:hAnsiTheme="majorHAnsi"/>
          <w:sz w:val="22"/>
          <w:szCs w:val="22"/>
        </w:rPr>
        <w:t>ystem-</w:t>
      </w:r>
      <w:r>
        <w:rPr>
          <w:rFonts w:asciiTheme="majorHAnsi" w:hAnsiTheme="majorHAnsi"/>
          <w:sz w:val="22"/>
          <w:szCs w:val="22"/>
        </w:rPr>
        <w:t>w</w:t>
      </w:r>
      <w:r w:rsidRPr="00FC50B0">
        <w:rPr>
          <w:rFonts w:asciiTheme="majorHAnsi" w:hAnsiTheme="majorHAnsi"/>
          <w:sz w:val="22"/>
          <w:szCs w:val="22"/>
        </w:rPr>
        <w:t xml:space="preserve">ide </w:t>
      </w:r>
      <w:r>
        <w:rPr>
          <w:rFonts w:asciiTheme="majorHAnsi" w:hAnsiTheme="majorHAnsi"/>
          <w:sz w:val="22"/>
          <w:szCs w:val="22"/>
        </w:rPr>
        <w:t>s</w:t>
      </w:r>
      <w:r w:rsidRPr="00FC50B0">
        <w:rPr>
          <w:rFonts w:asciiTheme="majorHAnsi" w:hAnsiTheme="majorHAnsi"/>
          <w:sz w:val="22"/>
          <w:szCs w:val="22"/>
        </w:rPr>
        <w:t>trategic document.</w:t>
      </w:r>
      <w:r w:rsidRPr="00FC50B0">
        <w:rPr>
          <w:rFonts w:asciiTheme="majorHAnsi" w:hAnsiTheme="majorHAnsi"/>
          <w:b/>
          <w:bCs/>
          <w:sz w:val="22"/>
          <w:szCs w:val="22"/>
        </w:rPr>
        <w:t> </w:t>
      </w:r>
      <w:r w:rsidRPr="00FC50B0">
        <w:rPr>
          <w:rFonts w:asciiTheme="majorHAnsi" w:hAnsiTheme="majorHAnsi"/>
          <w:sz w:val="22"/>
          <w:szCs w:val="22"/>
        </w:rPr>
        <w:t xml:space="preserve">The Spotlight Initiative provides a unique opportunity to demonstrate that a significant investment in gender equality, backed by expertise, a comprehensive theory of change and strong partnerships, can make a transformative difference in the lives of women and girls, as well as contribute to the achievement of all the </w:t>
      </w:r>
      <w:r>
        <w:rPr>
          <w:rFonts w:asciiTheme="majorHAnsi" w:hAnsiTheme="majorHAnsi"/>
          <w:sz w:val="22"/>
          <w:szCs w:val="22"/>
        </w:rPr>
        <w:t>Sustainable Development Goals</w:t>
      </w:r>
      <w:r w:rsidRPr="00FC50B0">
        <w:rPr>
          <w:rFonts w:asciiTheme="majorHAnsi" w:hAnsiTheme="majorHAnsi"/>
          <w:sz w:val="22"/>
          <w:szCs w:val="22"/>
        </w:rPr>
        <w:t>.</w:t>
      </w:r>
    </w:p>
    <w:p w:rsidR="001A547C" w:rsidRPr="00261620" w:rsidRDefault="001A547C" w:rsidP="001A547C">
      <w:pPr>
        <w:spacing w:line="240" w:lineRule="auto"/>
        <w:jc w:val="both"/>
        <w:rPr>
          <w:rFonts w:asciiTheme="majorHAnsi" w:hAnsiTheme="majorHAnsi" w:cs="Calibri"/>
        </w:rPr>
      </w:pPr>
    </w:p>
    <w:p w:rsidR="001A547C" w:rsidRPr="002A1F3B" w:rsidRDefault="001A547C" w:rsidP="001A547C">
      <w:pPr>
        <w:pStyle w:val="ListParagraph"/>
        <w:numPr>
          <w:ilvl w:val="0"/>
          <w:numId w:val="46"/>
        </w:numPr>
        <w:jc w:val="both"/>
        <w:rPr>
          <w:rFonts w:asciiTheme="majorHAnsi" w:hAnsiTheme="majorHAnsi" w:cs="Calibri"/>
          <w:b/>
        </w:rPr>
      </w:pPr>
      <w:r w:rsidRPr="002A1F3B">
        <w:rPr>
          <w:rFonts w:asciiTheme="majorHAnsi" w:hAnsiTheme="majorHAnsi" w:cs="Calibri"/>
          <w:b/>
        </w:rPr>
        <w:t xml:space="preserve">Working together more effectively </w:t>
      </w:r>
    </w:p>
    <w:p w:rsidR="001A547C" w:rsidRPr="002A1F3B" w:rsidRDefault="001A547C" w:rsidP="001A547C">
      <w:pPr>
        <w:pStyle w:val="ListParagraph"/>
        <w:ind w:left="1080"/>
        <w:jc w:val="both"/>
        <w:rPr>
          <w:rFonts w:asciiTheme="majorHAnsi" w:hAnsiTheme="majorHAnsi" w:cs="Calibri"/>
          <w:b/>
        </w:rPr>
      </w:pPr>
    </w:p>
    <w:p w:rsidR="001A547C" w:rsidRDefault="001A547C" w:rsidP="001A547C">
      <w:pPr>
        <w:pStyle w:val="ListParagraph"/>
        <w:numPr>
          <w:ilvl w:val="0"/>
          <w:numId w:val="22"/>
        </w:numPr>
        <w:ind w:left="0" w:firstLine="0"/>
        <w:jc w:val="both"/>
        <w:rPr>
          <w:rFonts w:asciiTheme="majorHAnsi" w:hAnsiTheme="majorHAnsi" w:cs="Calibri"/>
          <w:sz w:val="22"/>
          <w:szCs w:val="22"/>
        </w:rPr>
      </w:pPr>
      <w:r w:rsidRPr="00261620">
        <w:rPr>
          <w:rFonts w:asciiTheme="majorHAnsi" w:hAnsiTheme="majorHAnsi" w:cs="Calibri"/>
          <w:sz w:val="22"/>
          <w:szCs w:val="22"/>
        </w:rPr>
        <w:t xml:space="preserve">The focus of </w:t>
      </w:r>
      <w:r>
        <w:rPr>
          <w:rFonts w:asciiTheme="majorHAnsi" w:hAnsiTheme="majorHAnsi" w:cs="Calibri"/>
          <w:sz w:val="22"/>
          <w:szCs w:val="22"/>
        </w:rPr>
        <w:t>common chapter</w:t>
      </w:r>
      <w:r w:rsidRPr="00261620">
        <w:rPr>
          <w:rFonts w:asciiTheme="majorHAnsi" w:hAnsiTheme="majorHAnsi" w:cs="Calibri"/>
          <w:sz w:val="22"/>
          <w:szCs w:val="22"/>
        </w:rPr>
        <w:t xml:space="preserve"> implementation in 2018 was on establishing the enabling environment for enhanced programmatic collaboration. Nonetheless, progress was made in several areas for more effectiveness and efficiency in working together. This included:</w:t>
      </w:r>
    </w:p>
    <w:p w:rsidR="001A547C" w:rsidRPr="00261620" w:rsidRDefault="001A547C" w:rsidP="001A547C">
      <w:pPr>
        <w:pStyle w:val="ListParagraph"/>
        <w:ind w:left="0"/>
        <w:jc w:val="both"/>
        <w:rPr>
          <w:rFonts w:asciiTheme="majorHAnsi" w:hAnsiTheme="majorHAnsi" w:cs="Calibri"/>
          <w:sz w:val="22"/>
          <w:szCs w:val="22"/>
        </w:rPr>
      </w:pPr>
      <w:r w:rsidRPr="00261620">
        <w:rPr>
          <w:rFonts w:asciiTheme="majorHAnsi" w:hAnsiTheme="majorHAnsi" w:cs="Calibri"/>
          <w:sz w:val="22"/>
          <w:szCs w:val="22"/>
        </w:rPr>
        <w:t xml:space="preserve"> </w:t>
      </w:r>
    </w:p>
    <w:p w:rsidR="001A547C" w:rsidRDefault="001A547C" w:rsidP="001A547C">
      <w:pPr>
        <w:pStyle w:val="ListParagraph"/>
        <w:numPr>
          <w:ilvl w:val="0"/>
          <w:numId w:val="47"/>
        </w:numPr>
        <w:ind w:left="540" w:hanging="540"/>
        <w:jc w:val="both"/>
        <w:rPr>
          <w:rFonts w:asciiTheme="majorHAnsi" w:hAnsiTheme="majorHAnsi" w:cs="Calibri"/>
          <w:sz w:val="22"/>
          <w:szCs w:val="22"/>
        </w:rPr>
      </w:pPr>
      <w:r>
        <w:rPr>
          <w:rFonts w:asciiTheme="majorHAnsi" w:hAnsiTheme="majorHAnsi" w:cs="Calibri"/>
          <w:b/>
          <w:sz w:val="22"/>
          <w:szCs w:val="22"/>
        </w:rPr>
        <w:t>H</w:t>
      </w:r>
      <w:r w:rsidRPr="00261620">
        <w:rPr>
          <w:rFonts w:asciiTheme="majorHAnsi" w:hAnsiTheme="majorHAnsi" w:cs="Calibri"/>
          <w:b/>
          <w:sz w:val="22"/>
          <w:szCs w:val="22"/>
        </w:rPr>
        <w:t>armonization of reporting of development and organizational results</w:t>
      </w:r>
      <w:r w:rsidRPr="00261620">
        <w:rPr>
          <w:rFonts w:asciiTheme="majorHAnsi" w:hAnsiTheme="majorHAnsi" w:cs="Calibri"/>
          <w:sz w:val="22"/>
          <w:szCs w:val="22"/>
        </w:rPr>
        <w:t xml:space="preserve">, </w:t>
      </w:r>
      <w:r>
        <w:rPr>
          <w:rFonts w:asciiTheme="majorHAnsi" w:hAnsiTheme="majorHAnsi" w:cs="Calibri"/>
          <w:sz w:val="22"/>
          <w:szCs w:val="22"/>
        </w:rPr>
        <w:t xml:space="preserve">of </w:t>
      </w:r>
      <w:r w:rsidRPr="00261620">
        <w:rPr>
          <w:rFonts w:asciiTheme="majorHAnsi" w:hAnsiTheme="majorHAnsi" w:cs="Calibri"/>
          <w:sz w:val="22"/>
          <w:szCs w:val="22"/>
        </w:rPr>
        <w:t xml:space="preserve">QCPR </w:t>
      </w:r>
      <w:r>
        <w:rPr>
          <w:rFonts w:asciiTheme="majorHAnsi" w:hAnsiTheme="majorHAnsi" w:cs="Calibri"/>
          <w:sz w:val="22"/>
          <w:szCs w:val="22"/>
        </w:rPr>
        <w:t xml:space="preserve">mandates </w:t>
      </w:r>
      <w:r w:rsidRPr="00261620">
        <w:rPr>
          <w:rFonts w:asciiTheme="majorHAnsi" w:hAnsiTheme="majorHAnsi" w:cs="Calibri"/>
          <w:sz w:val="22"/>
          <w:szCs w:val="22"/>
        </w:rPr>
        <w:t xml:space="preserve">and their underlying technical methodologies, reflected in the respective agency </w:t>
      </w:r>
      <w:r>
        <w:rPr>
          <w:rFonts w:asciiTheme="majorHAnsi" w:hAnsiTheme="majorHAnsi" w:cs="Calibri"/>
          <w:sz w:val="22"/>
          <w:szCs w:val="22"/>
        </w:rPr>
        <w:t>a</w:t>
      </w:r>
      <w:r w:rsidRPr="00261620">
        <w:rPr>
          <w:rFonts w:asciiTheme="majorHAnsi" w:hAnsiTheme="majorHAnsi" w:cs="Calibri"/>
          <w:sz w:val="22"/>
          <w:szCs w:val="22"/>
        </w:rPr>
        <w:t xml:space="preserve">nnual </w:t>
      </w:r>
      <w:r>
        <w:rPr>
          <w:rFonts w:asciiTheme="majorHAnsi" w:hAnsiTheme="majorHAnsi" w:cs="Calibri"/>
          <w:sz w:val="22"/>
          <w:szCs w:val="22"/>
        </w:rPr>
        <w:t>r</w:t>
      </w:r>
      <w:r w:rsidRPr="00261620">
        <w:rPr>
          <w:rFonts w:asciiTheme="majorHAnsi" w:hAnsiTheme="majorHAnsi" w:cs="Calibri"/>
          <w:sz w:val="22"/>
          <w:szCs w:val="22"/>
        </w:rPr>
        <w:t>eports and their I</w:t>
      </w:r>
      <w:r>
        <w:rPr>
          <w:rFonts w:asciiTheme="majorHAnsi" w:hAnsiTheme="majorHAnsi" w:cs="Calibri"/>
          <w:sz w:val="22"/>
          <w:szCs w:val="22"/>
        </w:rPr>
        <w:t xml:space="preserve">RRFs </w:t>
      </w:r>
      <w:r w:rsidRPr="00261620">
        <w:rPr>
          <w:rFonts w:asciiTheme="majorHAnsi" w:hAnsiTheme="majorHAnsi" w:cs="Calibri"/>
          <w:sz w:val="22"/>
          <w:szCs w:val="22"/>
        </w:rPr>
        <w:t xml:space="preserve">and </w:t>
      </w:r>
      <w:r>
        <w:rPr>
          <w:rFonts w:asciiTheme="majorHAnsi" w:hAnsiTheme="majorHAnsi" w:cs="Calibri"/>
          <w:sz w:val="22"/>
          <w:szCs w:val="22"/>
        </w:rPr>
        <w:t xml:space="preserve">report </w:t>
      </w:r>
      <w:r w:rsidRPr="00261620">
        <w:rPr>
          <w:rFonts w:asciiTheme="majorHAnsi" w:hAnsiTheme="majorHAnsi" w:cs="Calibri"/>
          <w:sz w:val="22"/>
          <w:szCs w:val="22"/>
        </w:rPr>
        <w:t>cards submitted to the respective Executive Boards</w:t>
      </w:r>
      <w:r>
        <w:rPr>
          <w:rFonts w:asciiTheme="majorHAnsi" w:hAnsiTheme="majorHAnsi" w:cs="Calibri"/>
          <w:sz w:val="22"/>
          <w:szCs w:val="22"/>
        </w:rPr>
        <w:t xml:space="preserve"> at their annual sessions;</w:t>
      </w:r>
    </w:p>
    <w:p w:rsidR="001A547C" w:rsidRDefault="001A547C" w:rsidP="001A547C">
      <w:pPr>
        <w:pStyle w:val="ListParagraph"/>
        <w:ind w:left="540"/>
        <w:jc w:val="both"/>
        <w:rPr>
          <w:rFonts w:asciiTheme="majorHAnsi" w:hAnsiTheme="majorHAnsi" w:cs="Calibri"/>
          <w:sz w:val="22"/>
          <w:szCs w:val="22"/>
        </w:rPr>
      </w:pPr>
    </w:p>
    <w:p w:rsidR="001A547C" w:rsidRPr="00AC7673" w:rsidRDefault="001A547C" w:rsidP="001A547C">
      <w:pPr>
        <w:pStyle w:val="ListParagraph"/>
        <w:numPr>
          <w:ilvl w:val="0"/>
          <w:numId w:val="47"/>
        </w:numPr>
        <w:ind w:left="540" w:hanging="540"/>
        <w:jc w:val="both"/>
        <w:rPr>
          <w:rFonts w:asciiTheme="majorHAnsi" w:hAnsiTheme="majorHAnsi"/>
          <w:sz w:val="22"/>
          <w:szCs w:val="22"/>
        </w:rPr>
      </w:pPr>
      <w:r w:rsidRPr="00AC7673">
        <w:rPr>
          <w:rFonts w:asciiTheme="majorHAnsi" w:hAnsiTheme="majorHAnsi"/>
          <w:b/>
          <w:sz w:val="22"/>
          <w:szCs w:val="22"/>
        </w:rPr>
        <w:t xml:space="preserve">Enhanced transparency. </w:t>
      </w:r>
      <w:r w:rsidRPr="00AC7673">
        <w:rPr>
          <w:rFonts w:asciiTheme="majorHAnsi" w:hAnsiTheme="majorHAnsi"/>
          <w:sz w:val="22"/>
          <w:szCs w:val="22"/>
        </w:rPr>
        <w:t>The four agencies worked together and supported each other to enhance transparency in accordance with the standard set by the International Aid Transparency Initiative (IATI), using a common indicator to monitor and improve the level of transparency using the IATI summary statistics. UNDP closely worked with UN-Women and UNFPA by providing guidance to enhance the comprehensiveness and timeliness of their data publication to IATI. All agencies achieved a ‘</w:t>
      </w:r>
      <w:r>
        <w:rPr>
          <w:rFonts w:asciiTheme="majorHAnsi" w:hAnsiTheme="majorHAnsi"/>
          <w:sz w:val="22"/>
          <w:szCs w:val="22"/>
        </w:rPr>
        <w:t>v</w:t>
      </w:r>
      <w:r w:rsidRPr="00AC7673">
        <w:rPr>
          <w:rFonts w:asciiTheme="majorHAnsi" w:hAnsiTheme="majorHAnsi"/>
          <w:sz w:val="22"/>
          <w:szCs w:val="22"/>
        </w:rPr>
        <w:t xml:space="preserve">ery </w:t>
      </w:r>
      <w:r>
        <w:rPr>
          <w:rFonts w:asciiTheme="majorHAnsi" w:hAnsiTheme="majorHAnsi"/>
          <w:sz w:val="22"/>
          <w:szCs w:val="22"/>
        </w:rPr>
        <w:t>s</w:t>
      </w:r>
      <w:r w:rsidRPr="00AC7673">
        <w:rPr>
          <w:rFonts w:asciiTheme="majorHAnsi" w:hAnsiTheme="majorHAnsi"/>
          <w:sz w:val="22"/>
          <w:szCs w:val="22"/>
        </w:rPr>
        <w:t>trong’ rating for the comprehensiveness of their data publication, with all agencies ‘strong’ or ‘very strong’ in relation to timeliness;</w:t>
      </w:r>
      <w:r>
        <w:rPr>
          <w:rStyle w:val="FootnoteReference"/>
          <w:rFonts w:asciiTheme="majorHAnsi" w:hAnsiTheme="majorHAnsi"/>
          <w:sz w:val="22"/>
          <w:szCs w:val="22"/>
        </w:rPr>
        <w:footnoteReference w:id="4"/>
      </w:r>
    </w:p>
    <w:p w:rsidR="001A547C" w:rsidRPr="00F75035" w:rsidRDefault="001A547C" w:rsidP="001A547C">
      <w:pPr>
        <w:pStyle w:val="ListParagraph"/>
        <w:ind w:left="540"/>
        <w:jc w:val="both"/>
        <w:rPr>
          <w:rFonts w:asciiTheme="majorHAnsi" w:hAnsiTheme="majorHAnsi" w:cs="Calibri"/>
          <w:sz w:val="22"/>
          <w:szCs w:val="22"/>
        </w:rPr>
      </w:pPr>
      <w:r w:rsidRPr="003545E8">
        <w:rPr>
          <w:rFonts w:asciiTheme="majorHAnsi" w:hAnsiTheme="majorHAnsi"/>
          <w:sz w:val="22"/>
          <w:szCs w:val="22"/>
        </w:rPr>
        <w:t>   </w:t>
      </w:r>
    </w:p>
    <w:p w:rsidR="001A547C" w:rsidRPr="00AC7673" w:rsidRDefault="001A547C" w:rsidP="001A547C">
      <w:pPr>
        <w:pStyle w:val="ListParagraph"/>
        <w:numPr>
          <w:ilvl w:val="0"/>
          <w:numId w:val="47"/>
        </w:numPr>
        <w:ind w:left="540" w:hanging="540"/>
        <w:jc w:val="both"/>
        <w:rPr>
          <w:rFonts w:asciiTheme="majorHAnsi" w:hAnsiTheme="majorHAnsi" w:cs="Calibri"/>
          <w:sz w:val="22"/>
          <w:szCs w:val="22"/>
        </w:rPr>
      </w:pPr>
      <w:r w:rsidRPr="00AC7673">
        <w:rPr>
          <w:rFonts w:asciiTheme="majorHAnsi" w:hAnsiTheme="majorHAnsi" w:cs="Calibri"/>
          <w:b/>
          <w:sz w:val="22"/>
          <w:szCs w:val="22"/>
        </w:rPr>
        <w:t>Implementing common services</w:t>
      </w:r>
      <w:r w:rsidRPr="00AC7673">
        <w:rPr>
          <w:rFonts w:asciiTheme="majorHAnsi" w:hAnsiTheme="majorHAnsi" w:cs="Calibri"/>
          <w:sz w:val="22"/>
          <w:szCs w:val="22"/>
        </w:rPr>
        <w:t xml:space="preserve">. The four agencies continued to make good progress in implementing common services – including procurement, finance, </w:t>
      </w:r>
      <w:r>
        <w:rPr>
          <w:rFonts w:asciiTheme="majorHAnsi" w:hAnsiTheme="majorHAnsi" w:cs="Calibri"/>
          <w:sz w:val="22"/>
          <w:szCs w:val="22"/>
        </w:rPr>
        <w:t>information and communication technology</w:t>
      </w:r>
      <w:r w:rsidRPr="00AC7673">
        <w:rPr>
          <w:rFonts w:asciiTheme="majorHAnsi" w:hAnsiTheme="majorHAnsi" w:cs="Calibri"/>
          <w:sz w:val="22"/>
          <w:szCs w:val="22"/>
        </w:rPr>
        <w:t>, logistics, human resources and common facilities, including common premises – with the percentage of country offices adopting these service lines uniformly tracking up;</w:t>
      </w:r>
    </w:p>
    <w:p w:rsidR="001A547C" w:rsidRPr="00F75035" w:rsidRDefault="001A547C" w:rsidP="001A547C">
      <w:pPr>
        <w:pStyle w:val="ListParagraph"/>
        <w:ind w:left="540"/>
        <w:jc w:val="both"/>
        <w:rPr>
          <w:rFonts w:asciiTheme="majorHAnsi" w:hAnsiTheme="majorHAnsi" w:cs="Calibri"/>
          <w:sz w:val="22"/>
          <w:szCs w:val="22"/>
        </w:rPr>
      </w:pPr>
      <w:r w:rsidRPr="00F75035">
        <w:rPr>
          <w:rFonts w:asciiTheme="majorHAnsi" w:hAnsiTheme="majorHAnsi" w:cs="Calibri"/>
          <w:sz w:val="22"/>
          <w:szCs w:val="22"/>
        </w:rPr>
        <w:t xml:space="preserve">  </w:t>
      </w:r>
    </w:p>
    <w:p w:rsidR="001A547C" w:rsidRPr="00C83369" w:rsidRDefault="001A547C" w:rsidP="001A547C">
      <w:pPr>
        <w:pStyle w:val="SingleTxt"/>
        <w:numPr>
          <w:ilvl w:val="0"/>
          <w:numId w:val="47"/>
        </w:numPr>
        <w:spacing w:after="0"/>
        <w:ind w:left="540" w:right="0" w:hanging="540"/>
        <w:rPr>
          <w:rFonts w:asciiTheme="majorHAnsi" w:hAnsiTheme="majorHAnsi" w:cs="Calibri"/>
          <w:sz w:val="22"/>
          <w:szCs w:val="22"/>
        </w:rPr>
      </w:pPr>
      <w:r w:rsidRPr="00C83369">
        <w:rPr>
          <w:rFonts w:asciiTheme="majorHAnsi" w:hAnsiTheme="majorHAnsi" w:cs="Calibri"/>
          <w:b/>
          <w:sz w:val="22"/>
          <w:szCs w:val="22"/>
        </w:rPr>
        <w:t>Business operations strategy</w:t>
      </w:r>
      <w:r w:rsidRPr="00C83369">
        <w:rPr>
          <w:rFonts w:asciiTheme="majorHAnsi" w:hAnsiTheme="majorHAnsi" w:cs="Calibri"/>
          <w:sz w:val="22"/>
          <w:szCs w:val="22"/>
        </w:rPr>
        <w:t xml:space="preserve">. In the </w:t>
      </w:r>
      <w:r>
        <w:rPr>
          <w:rFonts w:asciiTheme="majorHAnsi" w:hAnsiTheme="majorHAnsi" w:cs="Calibri"/>
          <w:sz w:val="22"/>
          <w:szCs w:val="22"/>
        </w:rPr>
        <w:t xml:space="preserve">Latin America and Caribbean </w:t>
      </w:r>
      <w:r w:rsidRPr="00C83369">
        <w:rPr>
          <w:rFonts w:asciiTheme="majorHAnsi" w:hAnsiTheme="majorHAnsi" w:cs="Calibri"/>
          <w:sz w:val="22"/>
          <w:szCs w:val="22"/>
        </w:rPr>
        <w:t xml:space="preserve">region, </w:t>
      </w:r>
      <w:r>
        <w:rPr>
          <w:rFonts w:asciiTheme="majorHAnsi" w:hAnsiTheme="majorHAnsi" w:cs="Calibri"/>
          <w:sz w:val="22"/>
          <w:szCs w:val="22"/>
        </w:rPr>
        <w:t xml:space="preserve">the harmonization of business processes was supported. Through </w:t>
      </w:r>
      <w:r w:rsidRPr="00C83369">
        <w:rPr>
          <w:rFonts w:asciiTheme="majorHAnsi" w:hAnsiTheme="majorHAnsi" w:cs="Calibri"/>
          <w:sz w:val="22"/>
          <w:szCs w:val="22"/>
        </w:rPr>
        <w:t>UNICEF a</w:t>
      </w:r>
      <w:r>
        <w:rPr>
          <w:rFonts w:asciiTheme="majorHAnsi" w:hAnsiTheme="majorHAnsi" w:cs="Calibri"/>
          <w:sz w:val="22"/>
          <w:szCs w:val="22"/>
        </w:rPr>
        <w:t xml:space="preserve">nd UNFPA </w:t>
      </w:r>
      <w:r w:rsidRPr="00C83369">
        <w:rPr>
          <w:rFonts w:asciiTheme="majorHAnsi" w:hAnsiTheme="majorHAnsi" w:cs="Calibri"/>
          <w:sz w:val="22"/>
          <w:szCs w:val="22"/>
        </w:rPr>
        <w:t>co-chair</w:t>
      </w:r>
      <w:r>
        <w:rPr>
          <w:rFonts w:asciiTheme="majorHAnsi" w:hAnsiTheme="majorHAnsi" w:cs="Calibri"/>
          <w:sz w:val="22"/>
          <w:szCs w:val="22"/>
        </w:rPr>
        <w:t>ing</w:t>
      </w:r>
      <w:r w:rsidRPr="00C83369">
        <w:rPr>
          <w:rFonts w:asciiTheme="majorHAnsi" w:hAnsiTheme="majorHAnsi" w:cs="Calibri"/>
          <w:sz w:val="22"/>
          <w:szCs w:val="22"/>
        </w:rPr>
        <w:t xml:space="preserve"> the Regi</w:t>
      </w:r>
      <w:r>
        <w:rPr>
          <w:rFonts w:asciiTheme="majorHAnsi" w:hAnsiTheme="majorHAnsi" w:cs="Calibri"/>
          <w:sz w:val="22"/>
          <w:szCs w:val="22"/>
        </w:rPr>
        <w:t>on</w:t>
      </w:r>
      <w:r w:rsidRPr="00C83369">
        <w:rPr>
          <w:rFonts w:asciiTheme="majorHAnsi" w:hAnsiTheme="majorHAnsi" w:cs="Calibri"/>
          <w:sz w:val="22"/>
          <w:szCs w:val="22"/>
        </w:rPr>
        <w:t xml:space="preserve">al </w:t>
      </w:r>
      <w:r>
        <w:rPr>
          <w:rFonts w:asciiTheme="majorHAnsi" w:hAnsiTheme="majorHAnsi" w:cs="Calibri"/>
          <w:sz w:val="22"/>
          <w:szCs w:val="22"/>
        </w:rPr>
        <w:t>O</w:t>
      </w:r>
      <w:r w:rsidRPr="00C83369">
        <w:rPr>
          <w:rFonts w:asciiTheme="majorHAnsi" w:hAnsiTheme="majorHAnsi" w:cs="Calibri"/>
          <w:sz w:val="22"/>
          <w:szCs w:val="22"/>
        </w:rPr>
        <w:t xml:space="preserve">perations </w:t>
      </w:r>
      <w:r>
        <w:rPr>
          <w:rFonts w:asciiTheme="majorHAnsi" w:hAnsiTheme="majorHAnsi" w:cs="Calibri"/>
          <w:sz w:val="22"/>
          <w:szCs w:val="22"/>
        </w:rPr>
        <w:t>M</w:t>
      </w:r>
      <w:r w:rsidRPr="00C83369">
        <w:rPr>
          <w:rFonts w:asciiTheme="majorHAnsi" w:hAnsiTheme="majorHAnsi" w:cs="Calibri"/>
          <w:sz w:val="22"/>
          <w:szCs w:val="22"/>
        </w:rPr>
        <w:t xml:space="preserve">anagement Team, experts on the </w:t>
      </w:r>
      <w:r>
        <w:rPr>
          <w:rFonts w:asciiTheme="majorHAnsi" w:hAnsiTheme="majorHAnsi" w:cs="Calibri"/>
          <w:sz w:val="22"/>
          <w:szCs w:val="22"/>
        </w:rPr>
        <w:t xml:space="preserve">business operations strategy </w:t>
      </w:r>
      <w:r w:rsidRPr="00C83369">
        <w:rPr>
          <w:rFonts w:asciiTheme="majorHAnsi" w:hAnsiTheme="majorHAnsi" w:cs="Calibri"/>
          <w:sz w:val="22"/>
          <w:szCs w:val="22"/>
        </w:rPr>
        <w:t xml:space="preserve">as well as policy </w:t>
      </w:r>
      <w:r w:rsidRPr="00C83369">
        <w:rPr>
          <w:rFonts w:asciiTheme="majorHAnsi" w:hAnsiTheme="majorHAnsi" w:cs="Calibri"/>
          <w:sz w:val="22"/>
          <w:szCs w:val="22"/>
        </w:rPr>
        <w:lastRenderedPageBreak/>
        <w:t>guidance and incentives</w:t>
      </w:r>
      <w:r>
        <w:rPr>
          <w:rFonts w:asciiTheme="majorHAnsi" w:hAnsiTheme="majorHAnsi" w:cs="Calibri"/>
          <w:sz w:val="22"/>
          <w:szCs w:val="22"/>
        </w:rPr>
        <w:t xml:space="preserve">, were provided </w:t>
      </w:r>
      <w:r w:rsidRPr="00C83369">
        <w:rPr>
          <w:rFonts w:asciiTheme="majorHAnsi" w:hAnsiTheme="majorHAnsi" w:cs="Calibri"/>
          <w:sz w:val="22"/>
          <w:szCs w:val="22"/>
        </w:rPr>
        <w:t>to</w:t>
      </w:r>
      <w:r>
        <w:rPr>
          <w:rFonts w:asciiTheme="majorHAnsi" w:hAnsiTheme="majorHAnsi" w:cs="Calibri"/>
          <w:sz w:val="22"/>
          <w:szCs w:val="22"/>
        </w:rPr>
        <w:t xml:space="preserve"> support seven</w:t>
      </w:r>
      <w:r w:rsidRPr="00C83369">
        <w:rPr>
          <w:rFonts w:asciiTheme="majorHAnsi" w:hAnsiTheme="majorHAnsi" w:cs="Calibri"/>
          <w:sz w:val="22"/>
          <w:szCs w:val="22"/>
        </w:rPr>
        <w:t xml:space="preserve"> UNCTs </w:t>
      </w:r>
      <w:r>
        <w:rPr>
          <w:rFonts w:asciiTheme="majorHAnsi" w:hAnsiTheme="majorHAnsi" w:cs="Calibri"/>
          <w:sz w:val="22"/>
          <w:szCs w:val="22"/>
        </w:rPr>
        <w:t xml:space="preserve">in </w:t>
      </w:r>
      <w:r w:rsidRPr="00C83369">
        <w:rPr>
          <w:rFonts w:asciiTheme="majorHAnsi" w:hAnsiTheme="majorHAnsi" w:cs="Calibri"/>
          <w:sz w:val="22"/>
          <w:szCs w:val="22"/>
        </w:rPr>
        <w:t>finaliz</w:t>
      </w:r>
      <w:r>
        <w:rPr>
          <w:rFonts w:asciiTheme="majorHAnsi" w:hAnsiTheme="majorHAnsi" w:cs="Calibri"/>
          <w:sz w:val="22"/>
          <w:szCs w:val="22"/>
        </w:rPr>
        <w:t>ing</w:t>
      </w:r>
      <w:r w:rsidRPr="00C83369">
        <w:rPr>
          <w:rFonts w:asciiTheme="majorHAnsi" w:hAnsiTheme="majorHAnsi" w:cs="Calibri"/>
          <w:sz w:val="22"/>
          <w:szCs w:val="22"/>
        </w:rPr>
        <w:t xml:space="preserve"> their </w:t>
      </w:r>
      <w:r>
        <w:rPr>
          <w:rFonts w:asciiTheme="majorHAnsi" w:hAnsiTheme="majorHAnsi" w:cs="Calibri"/>
          <w:sz w:val="22"/>
          <w:szCs w:val="22"/>
        </w:rPr>
        <w:t>strategies</w:t>
      </w:r>
      <w:r w:rsidRPr="00C83369">
        <w:rPr>
          <w:rFonts w:asciiTheme="majorHAnsi" w:hAnsiTheme="majorHAnsi" w:cs="Calibri"/>
          <w:sz w:val="22"/>
          <w:szCs w:val="22"/>
        </w:rPr>
        <w:t>, a seven</w:t>
      </w:r>
      <w:r>
        <w:rPr>
          <w:rFonts w:asciiTheme="majorHAnsi" w:hAnsiTheme="majorHAnsi" w:cs="Calibri"/>
          <w:sz w:val="22"/>
          <w:szCs w:val="22"/>
        </w:rPr>
        <w:t>fold</w:t>
      </w:r>
      <w:r w:rsidRPr="00C83369">
        <w:rPr>
          <w:rFonts w:asciiTheme="majorHAnsi" w:hAnsiTheme="majorHAnsi" w:cs="Calibri"/>
          <w:sz w:val="22"/>
          <w:szCs w:val="22"/>
        </w:rPr>
        <w:t xml:space="preserve"> increase from the previous year. </w:t>
      </w:r>
    </w:p>
    <w:p w:rsidR="001A547C" w:rsidRPr="00CB7D16" w:rsidRDefault="001A547C" w:rsidP="001A547C">
      <w:pPr>
        <w:pStyle w:val="SingleTxt"/>
        <w:spacing w:after="0"/>
        <w:ind w:left="540" w:right="0"/>
        <w:rPr>
          <w:rFonts w:asciiTheme="majorHAnsi" w:hAnsiTheme="majorHAnsi" w:cs="Calibri"/>
          <w:b/>
          <w:sz w:val="24"/>
          <w:szCs w:val="24"/>
          <w:u w:val="single"/>
        </w:rPr>
      </w:pPr>
      <w:r w:rsidRPr="001073A6">
        <w:rPr>
          <w:rFonts w:asciiTheme="majorHAnsi" w:hAnsiTheme="majorHAnsi" w:cs="Calibri"/>
          <w:sz w:val="22"/>
          <w:szCs w:val="22"/>
        </w:rPr>
        <w:t xml:space="preserve"> </w:t>
      </w:r>
    </w:p>
    <w:p w:rsidR="001A547C" w:rsidRPr="00CB7D16" w:rsidRDefault="001A547C" w:rsidP="001A547C">
      <w:pPr>
        <w:pStyle w:val="ListParagraph"/>
        <w:numPr>
          <w:ilvl w:val="0"/>
          <w:numId w:val="46"/>
        </w:numPr>
        <w:jc w:val="both"/>
        <w:rPr>
          <w:rFonts w:asciiTheme="majorHAnsi" w:hAnsiTheme="majorHAnsi" w:cstheme="majorHAnsi"/>
          <w:b/>
          <w:sz w:val="22"/>
          <w:szCs w:val="22"/>
        </w:rPr>
      </w:pPr>
      <w:r w:rsidRPr="00CB7D16">
        <w:rPr>
          <w:rFonts w:asciiTheme="majorHAnsi" w:hAnsiTheme="majorHAnsi" w:cstheme="majorHAnsi"/>
          <w:b/>
          <w:sz w:val="22"/>
          <w:szCs w:val="22"/>
        </w:rPr>
        <w:t xml:space="preserve">Joint </w:t>
      </w:r>
      <w:r>
        <w:rPr>
          <w:rFonts w:asciiTheme="majorHAnsi" w:hAnsiTheme="majorHAnsi" w:cstheme="majorHAnsi"/>
          <w:b/>
          <w:sz w:val="22"/>
          <w:szCs w:val="22"/>
        </w:rPr>
        <w:t>e</w:t>
      </w:r>
      <w:r w:rsidRPr="00CB7D16">
        <w:rPr>
          <w:rFonts w:asciiTheme="majorHAnsi" w:hAnsiTheme="majorHAnsi" w:cstheme="majorHAnsi"/>
          <w:b/>
          <w:sz w:val="22"/>
          <w:szCs w:val="22"/>
        </w:rPr>
        <w:t xml:space="preserve">valuation of the </w:t>
      </w:r>
      <w:r>
        <w:rPr>
          <w:rFonts w:asciiTheme="majorHAnsi" w:hAnsiTheme="majorHAnsi" w:cstheme="majorHAnsi"/>
          <w:b/>
          <w:sz w:val="22"/>
          <w:szCs w:val="22"/>
        </w:rPr>
        <w:t>c</w:t>
      </w:r>
      <w:r w:rsidRPr="00CB7D16">
        <w:rPr>
          <w:rFonts w:asciiTheme="majorHAnsi" w:hAnsiTheme="majorHAnsi" w:cstheme="majorHAnsi"/>
          <w:b/>
          <w:sz w:val="22"/>
          <w:szCs w:val="22"/>
        </w:rPr>
        <w:t xml:space="preserve">ommon </w:t>
      </w:r>
      <w:r>
        <w:rPr>
          <w:rFonts w:asciiTheme="majorHAnsi" w:hAnsiTheme="majorHAnsi" w:cstheme="majorHAnsi"/>
          <w:b/>
          <w:sz w:val="22"/>
          <w:szCs w:val="22"/>
        </w:rPr>
        <w:t>c</w:t>
      </w:r>
      <w:r w:rsidRPr="00CB7D16">
        <w:rPr>
          <w:rFonts w:asciiTheme="majorHAnsi" w:hAnsiTheme="majorHAnsi" w:cstheme="majorHAnsi"/>
          <w:b/>
          <w:sz w:val="22"/>
          <w:szCs w:val="22"/>
        </w:rPr>
        <w:t>hapter</w:t>
      </w:r>
    </w:p>
    <w:p w:rsidR="001A547C" w:rsidRPr="00261620" w:rsidRDefault="001A547C" w:rsidP="001A547C">
      <w:pPr>
        <w:spacing w:line="240" w:lineRule="auto"/>
        <w:jc w:val="both"/>
        <w:rPr>
          <w:rFonts w:asciiTheme="majorHAnsi" w:hAnsiTheme="majorHAnsi" w:cstheme="majorHAnsi"/>
          <w:b/>
        </w:rPr>
      </w:pPr>
    </w:p>
    <w:p w:rsidR="001A547C" w:rsidRPr="00261620" w:rsidRDefault="001A547C" w:rsidP="001A547C">
      <w:pPr>
        <w:pStyle w:val="ListParagraph"/>
        <w:numPr>
          <w:ilvl w:val="0"/>
          <w:numId w:val="22"/>
        </w:numPr>
        <w:ind w:left="0" w:firstLine="0"/>
        <w:jc w:val="both"/>
        <w:rPr>
          <w:rFonts w:asciiTheme="majorHAnsi" w:hAnsiTheme="majorHAnsi" w:cstheme="majorHAnsi"/>
          <w:sz w:val="22"/>
          <w:szCs w:val="22"/>
        </w:rPr>
      </w:pPr>
      <w:r w:rsidRPr="00261620">
        <w:rPr>
          <w:rFonts w:asciiTheme="majorHAnsi" w:hAnsiTheme="majorHAnsi" w:cstheme="majorHAnsi"/>
          <w:sz w:val="22"/>
          <w:szCs w:val="22"/>
        </w:rPr>
        <w:t xml:space="preserve">As requested by the respective Executive Boards, the evaluation offices of UNDP, UNFPA, UNICEF and UN-Women will jointly evaluate the strategies, implementation modalities and initial results arising from the agreed joint actions in the collaborate areas set out in the </w:t>
      </w:r>
      <w:r>
        <w:rPr>
          <w:rFonts w:asciiTheme="majorHAnsi" w:hAnsiTheme="majorHAnsi" w:cstheme="majorHAnsi"/>
          <w:sz w:val="22"/>
          <w:szCs w:val="22"/>
        </w:rPr>
        <w:t>common chapter</w:t>
      </w:r>
      <w:r w:rsidRPr="00261620">
        <w:rPr>
          <w:rFonts w:asciiTheme="majorHAnsi" w:hAnsiTheme="majorHAnsi" w:cstheme="majorHAnsi"/>
          <w:sz w:val="22"/>
          <w:szCs w:val="22"/>
        </w:rPr>
        <w:t>. A concept note was developed and discussed with the agencies. A se</w:t>
      </w:r>
      <w:r>
        <w:rPr>
          <w:rFonts w:asciiTheme="majorHAnsi" w:hAnsiTheme="majorHAnsi" w:cstheme="majorHAnsi"/>
          <w:sz w:val="22"/>
          <w:szCs w:val="22"/>
        </w:rPr>
        <w:t xml:space="preserve">ries of outputs will </w:t>
      </w:r>
      <w:r w:rsidRPr="00261620">
        <w:rPr>
          <w:rFonts w:asciiTheme="majorHAnsi" w:hAnsiTheme="majorHAnsi" w:cstheme="majorHAnsi"/>
          <w:sz w:val="22"/>
          <w:szCs w:val="22"/>
        </w:rPr>
        <w:t xml:space="preserve">be presented to the respective Executive Boards including a baseline study in 2019, a report assessing the implementation of accelerator initiatives in 2020 and a final report on the evaluation of the </w:t>
      </w:r>
      <w:r>
        <w:rPr>
          <w:rFonts w:asciiTheme="majorHAnsi" w:hAnsiTheme="majorHAnsi" w:cstheme="majorHAnsi"/>
          <w:sz w:val="22"/>
          <w:szCs w:val="22"/>
        </w:rPr>
        <w:t>common chapter</w:t>
      </w:r>
      <w:r w:rsidRPr="00261620">
        <w:rPr>
          <w:rFonts w:asciiTheme="majorHAnsi" w:hAnsiTheme="majorHAnsi" w:cstheme="majorHAnsi"/>
          <w:sz w:val="22"/>
          <w:szCs w:val="22"/>
        </w:rPr>
        <w:t xml:space="preserve"> in 2021. </w:t>
      </w:r>
    </w:p>
    <w:p w:rsidR="001A547C" w:rsidRPr="001C3C44" w:rsidRDefault="001A547C" w:rsidP="001A547C">
      <w:pPr>
        <w:pStyle w:val="Heading1"/>
        <w:numPr>
          <w:ilvl w:val="0"/>
          <w:numId w:val="46"/>
        </w:numPr>
        <w:spacing w:after="0" w:line="240" w:lineRule="auto"/>
        <w:rPr>
          <w:rFonts w:asciiTheme="majorHAnsi" w:hAnsiTheme="majorHAnsi" w:cs="Calibri"/>
          <w:b/>
          <w:sz w:val="22"/>
          <w:szCs w:val="22"/>
        </w:rPr>
      </w:pPr>
      <w:bookmarkStart w:id="8" w:name="_858d60li75xf" w:colFirst="0" w:colLast="0"/>
      <w:bookmarkEnd w:id="8"/>
      <w:r w:rsidRPr="001C3C44">
        <w:rPr>
          <w:rFonts w:asciiTheme="majorHAnsi" w:hAnsiTheme="majorHAnsi" w:cs="Calibri"/>
          <w:b/>
          <w:sz w:val="22"/>
          <w:szCs w:val="22"/>
        </w:rPr>
        <w:t xml:space="preserve">Lessons </w:t>
      </w:r>
      <w:r>
        <w:rPr>
          <w:rFonts w:asciiTheme="majorHAnsi" w:hAnsiTheme="majorHAnsi" w:cs="Calibri"/>
          <w:b/>
          <w:sz w:val="22"/>
          <w:szCs w:val="22"/>
        </w:rPr>
        <w:t xml:space="preserve">and challenges </w:t>
      </w:r>
      <w:r w:rsidRPr="001C3C44">
        <w:rPr>
          <w:rFonts w:asciiTheme="majorHAnsi" w:hAnsiTheme="majorHAnsi" w:cs="Calibri"/>
          <w:b/>
          <w:sz w:val="22"/>
          <w:szCs w:val="22"/>
        </w:rPr>
        <w:t xml:space="preserve">from the first year of the </w:t>
      </w:r>
      <w:r>
        <w:rPr>
          <w:rFonts w:asciiTheme="majorHAnsi" w:hAnsiTheme="majorHAnsi" w:cs="Calibri"/>
          <w:b/>
          <w:sz w:val="22"/>
          <w:szCs w:val="22"/>
        </w:rPr>
        <w:t>c</w:t>
      </w:r>
      <w:r w:rsidRPr="001C3C44">
        <w:rPr>
          <w:rFonts w:asciiTheme="majorHAnsi" w:hAnsiTheme="majorHAnsi" w:cs="Calibri"/>
          <w:b/>
          <w:sz w:val="22"/>
          <w:szCs w:val="22"/>
        </w:rPr>
        <w:t xml:space="preserve">ommon </w:t>
      </w:r>
      <w:r>
        <w:rPr>
          <w:rFonts w:asciiTheme="majorHAnsi" w:hAnsiTheme="majorHAnsi" w:cs="Calibri"/>
          <w:b/>
          <w:sz w:val="22"/>
          <w:szCs w:val="22"/>
        </w:rPr>
        <w:t>c</w:t>
      </w:r>
      <w:r w:rsidRPr="001C3C44">
        <w:rPr>
          <w:rFonts w:asciiTheme="majorHAnsi" w:hAnsiTheme="majorHAnsi" w:cs="Calibri"/>
          <w:b/>
          <w:sz w:val="22"/>
          <w:szCs w:val="22"/>
        </w:rPr>
        <w:t xml:space="preserve">hapter </w:t>
      </w:r>
    </w:p>
    <w:p w:rsidR="001A547C" w:rsidRPr="00261620" w:rsidRDefault="001A547C" w:rsidP="001A547C"/>
    <w:p w:rsidR="001A547C" w:rsidRPr="00FC50B0" w:rsidRDefault="001A547C" w:rsidP="001A547C">
      <w:pPr>
        <w:pStyle w:val="ListParagraph"/>
        <w:numPr>
          <w:ilvl w:val="0"/>
          <w:numId w:val="22"/>
        </w:numPr>
        <w:ind w:left="0" w:firstLine="0"/>
        <w:jc w:val="both"/>
        <w:rPr>
          <w:rFonts w:asciiTheme="majorHAnsi" w:hAnsiTheme="majorHAnsi" w:cstheme="majorHAnsi"/>
          <w:sz w:val="22"/>
          <w:szCs w:val="22"/>
        </w:rPr>
      </w:pPr>
      <w:r w:rsidRPr="00261620">
        <w:rPr>
          <w:rFonts w:asciiTheme="majorHAnsi" w:hAnsiTheme="majorHAnsi" w:cstheme="majorHAnsi"/>
          <w:sz w:val="22"/>
          <w:szCs w:val="22"/>
        </w:rPr>
        <w:t xml:space="preserve">Overall, there is evidence of </w:t>
      </w:r>
      <w:r w:rsidRPr="00261620">
        <w:rPr>
          <w:rFonts w:asciiTheme="majorHAnsi" w:hAnsiTheme="majorHAnsi" w:cstheme="majorHAnsi"/>
          <w:b/>
          <w:sz w:val="22"/>
          <w:szCs w:val="22"/>
        </w:rPr>
        <w:t>an increase in communication and collaboration</w:t>
      </w:r>
      <w:r w:rsidRPr="00261620">
        <w:rPr>
          <w:rFonts w:asciiTheme="majorHAnsi" w:hAnsiTheme="majorHAnsi" w:cstheme="majorHAnsi"/>
          <w:sz w:val="22"/>
          <w:szCs w:val="22"/>
        </w:rPr>
        <w:t xml:space="preserve"> across the four agencies at country, regional and </w:t>
      </w:r>
      <w:r>
        <w:rPr>
          <w:rFonts w:asciiTheme="majorHAnsi" w:hAnsiTheme="majorHAnsi" w:cstheme="majorHAnsi"/>
          <w:sz w:val="22"/>
          <w:szCs w:val="22"/>
        </w:rPr>
        <w:t>headquarters</w:t>
      </w:r>
      <w:r w:rsidRPr="00261620">
        <w:rPr>
          <w:rFonts w:asciiTheme="majorHAnsi" w:hAnsiTheme="majorHAnsi" w:cstheme="majorHAnsi"/>
          <w:sz w:val="22"/>
          <w:szCs w:val="22"/>
        </w:rPr>
        <w:t xml:space="preserve"> level</w:t>
      </w:r>
      <w:r>
        <w:rPr>
          <w:rFonts w:asciiTheme="majorHAnsi" w:hAnsiTheme="majorHAnsi" w:cstheme="majorHAnsi"/>
          <w:sz w:val="22"/>
          <w:szCs w:val="22"/>
        </w:rPr>
        <w:t>s</w:t>
      </w:r>
      <w:r w:rsidRPr="00261620">
        <w:rPr>
          <w:rFonts w:asciiTheme="majorHAnsi" w:hAnsiTheme="majorHAnsi" w:cstheme="majorHAnsi"/>
          <w:sz w:val="22"/>
          <w:szCs w:val="22"/>
        </w:rPr>
        <w:t xml:space="preserve"> as well as the broader U</w:t>
      </w:r>
      <w:r>
        <w:rPr>
          <w:rFonts w:asciiTheme="majorHAnsi" w:hAnsiTheme="majorHAnsi" w:cstheme="majorHAnsi"/>
          <w:sz w:val="22"/>
          <w:szCs w:val="22"/>
        </w:rPr>
        <w:t xml:space="preserve">nited </w:t>
      </w:r>
      <w:r w:rsidRPr="00261620">
        <w:rPr>
          <w:rFonts w:asciiTheme="majorHAnsi" w:hAnsiTheme="majorHAnsi" w:cstheme="majorHAnsi"/>
          <w:sz w:val="22"/>
          <w:szCs w:val="22"/>
        </w:rPr>
        <w:t>N</w:t>
      </w:r>
      <w:r>
        <w:rPr>
          <w:rFonts w:asciiTheme="majorHAnsi" w:hAnsiTheme="majorHAnsi" w:cstheme="majorHAnsi"/>
          <w:sz w:val="22"/>
          <w:szCs w:val="22"/>
        </w:rPr>
        <w:t>ations</w:t>
      </w:r>
      <w:r w:rsidRPr="00261620">
        <w:rPr>
          <w:rFonts w:asciiTheme="majorHAnsi" w:hAnsiTheme="majorHAnsi" w:cstheme="majorHAnsi"/>
          <w:sz w:val="22"/>
          <w:szCs w:val="22"/>
        </w:rPr>
        <w:t xml:space="preserve"> system along with partnerships with domestic and international public, private and civil society actors that have the potential to deliver real impact on the ground</w:t>
      </w:r>
      <w:r>
        <w:rPr>
          <w:rFonts w:asciiTheme="majorHAnsi" w:hAnsiTheme="majorHAnsi" w:cstheme="majorHAnsi"/>
          <w:sz w:val="22"/>
          <w:szCs w:val="22"/>
        </w:rPr>
        <w:t xml:space="preserve">, and a solid and growing portfolio </w:t>
      </w:r>
      <w:r>
        <w:rPr>
          <w:rFonts w:asciiTheme="majorHAnsi" w:hAnsiTheme="majorHAnsi"/>
          <w:sz w:val="22"/>
          <w:szCs w:val="22"/>
        </w:rPr>
        <w:t xml:space="preserve">of joint programming at country level. </w:t>
      </w:r>
      <w:r w:rsidRPr="00AE044F">
        <w:rPr>
          <w:rFonts w:asciiTheme="majorHAnsi" w:hAnsiTheme="majorHAnsi" w:cstheme="majorHAnsi"/>
          <w:sz w:val="22"/>
          <w:szCs w:val="22"/>
        </w:rPr>
        <w:t xml:space="preserve">All regions used the </w:t>
      </w:r>
      <w:r>
        <w:rPr>
          <w:rFonts w:asciiTheme="majorHAnsi" w:hAnsiTheme="majorHAnsi" w:cstheme="majorHAnsi"/>
          <w:sz w:val="22"/>
          <w:szCs w:val="22"/>
        </w:rPr>
        <w:t>c</w:t>
      </w:r>
      <w:r w:rsidRPr="00321341">
        <w:rPr>
          <w:rFonts w:asciiTheme="majorHAnsi" w:hAnsiTheme="majorHAnsi" w:cstheme="majorHAnsi"/>
          <w:sz w:val="22"/>
          <w:szCs w:val="22"/>
        </w:rPr>
        <w:t xml:space="preserve">ommon </w:t>
      </w:r>
      <w:r>
        <w:rPr>
          <w:rFonts w:asciiTheme="majorHAnsi" w:hAnsiTheme="majorHAnsi" w:cstheme="majorHAnsi"/>
          <w:sz w:val="22"/>
          <w:szCs w:val="22"/>
        </w:rPr>
        <w:t>c</w:t>
      </w:r>
      <w:r w:rsidRPr="00321341">
        <w:rPr>
          <w:rFonts w:asciiTheme="majorHAnsi" w:hAnsiTheme="majorHAnsi" w:cstheme="majorHAnsi"/>
          <w:sz w:val="22"/>
          <w:szCs w:val="22"/>
        </w:rPr>
        <w:t>hapter</w:t>
      </w:r>
      <w:r w:rsidRPr="00FC50B0">
        <w:rPr>
          <w:rFonts w:asciiTheme="majorHAnsi" w:hAnsiTheme="majorHAnsi" w:cstheme="majorHAnsi"/>
          <w:sz w:val="22"/>
          <w:szCs w:val="22"/>
        </w:rPr>
        <w:t xml:space="preserve"> to enhance their coordination in compliance with the respective mandates of the four agencies and beyond. The UNDS repositioning had a mutually reinforcing influence on the </w:t>
      </w:r>
      <w:r>
        <w:rPr>
          <w:rFonts w:asciiTheme="majorHAnsi" w:hAnsiTheme="majorHAnsi" w:cstheme="majorHAnsi"/>
          <w:sz w:val="22"/>
          <w:szCs w:val="22"/>
        </w:rPr>
        <w:t>c</w:t>
      </w:r>
      <w:r w:rsidRPr="00FC50B0">
        <w:rPr>
          <w:rFonts w:asciiTheme="majorHAnsi" w:hAnsiTheme="majorHAnsi" w:cstheme="majorHAnsi"/>
          <w:sz w:val="22"/>
          <w:szCs w:val="22"/>
        </w:rPr>
        <w:t xml:space="preserve">ommon </w:t>
      </w:r>
      <w:r>
        <w:rPr>
          <w:rFonts w:asciiTheme="majorHAnsi" w:hAnsiTheme="majorHAnsi" w:cstheme="majorHAnsi"/>
          <w:sz w:val="22"/>
          <w:szCs w:val="22"/>
        </w:rPr>
        <w:t>c</w:t>
      </w:r>
      <w:r w:rsidRPr="00FC50B0">
        <w:rPr>
          <w:rFonts w:asciiTheme="majorHAnsi" w:hAnsiTheme="majorHAnsi" w:cstheme="majorHAnsi"/>
          <w:sz w:val="22"/>
          <w:szCs w:val="22"/>
        </w:rPr>
        <w:t xml:space="preserve">hapter implementation. </w:t>
      </w:r>
    </w:p>
    <w:p w:rsidR="001A547C" w:rsidRPr="00261620" w:rsidRDefault="001A547C" w:rsidP="001A547C">
      <w:pPr>
        <w:pStyle w:val="ListParagraph"/>
        <w:ind w:left="0"/>
        <w:jc w:val="both"/>
        <w:rPr>
          <w:rFonts w:asciiTheme="majorHAnsi" w:hAnsiTheme="majorHAnsi" w:cstheme="majorHAnsi"/>
          <w:sz w:val="22"/>
          <w:szCs w:val="22"/>
        </w:rPr>
      </w:pPr>
    </w:p>
    <w:p w:rsidR="001A547C" w:rsidRPr="00261620" w:rsidRDefault="001A547C" w:rsidP="001A547C">
      <w:pPr>
        <w:pStyle w:val="ListParagraph"/>
        <w:numPr>
          <w:ilvl w:val="0"/>
          <w:numId w:val="22"/>
        </w:numPr>
        <w:ind w:left="0" w:firstLine="0"/>
        <w:jc w:val="both"/>
        <w:rPr>
          <w:rFonts w:asciiTheme="majorHAnsi" w:hAnsiTheme="majorHAnsi" w:cstheme="majorHAnsi"/>
          <w:sz w:val="22"/>
          <w:szCs w:val="22"/>
        </w:rPr>
      </w:pPr>
      <w:r w:rsidRPr="00261620">
        <w:rPr>
          <w:rFonts w:asciiTheme="majorHAnsi" w:hAnsiTheme="majorHAnsi" w:cstheme="majorHAnsi"/>
          <w:sz w:val="22"/>
          <w:szCs w:val="22"/>
        </w:rPr>
        <w:t xml:space="preserve">The </w:t>
      </w:r>
      <w:r w:rsidRPr="00261620">
        <w:rPr>
          <w:rFonts w:asciiTheme="majorHAnsi" w:hAnsiTheme="majorHAnsi" w:cstheme="majorHAnsi"/>
          <w:b/>
          <w:sz w:val="22"/>
          <w:szCs w:val="22"/>
        </w:rPr>
        <w:t xml:space="preserve">implementation of the </w:t>
      </w:r>
      <w:r>
        <w:rPr>
          <w:rFonts w:asciiTheme="majorHAnsi" w:hAnsiTheme="majorHAnsi" w:cstheme="majorHAnsi"/>
          <w:b/>
          <w:sz w:val="22"/>
          <w:szCs w:val="22"/>
        </w:rPr>
        <w:t>common chapter</w:t>
      </w:r>
      <w:r w:rsidRPr="00261620">
        <w:rPr>
          <w:rFonts w:asciiTheme="majorHAnsi" w:hAnsiTheme="majorHAnsi" w:cstheme="majorHAnsi"/>
          <w:b/>
          <w:sz w:val="22"/>
          <w:szCs w:val="22"/>
        </w:rPr>
        <w:t xml:space="preserve"> is different in each region</w:t>
      </w:r>
      <w:r w:rsidRPr="00261620">
        <w:rPr>
          <w:rFonts w:asciiTheme="majorHAnsi" w:hAnsiTheme="majorHAnsi" w:cstheme="majorHAnsi"/>
          <w:sz w:val="22"/>
          <w:szCs w:val="22"/>
        </w:rPr>
        <w:t xml:space="preserve">. This flexibility is a strength and there is an associated opportunity for regions to exchange good practices and learning to enhance overall impact. The first </w:t>
      </w:r>
      <w:r>
        <w:rPr>
          <w:rFonts w:asciiTheme="majorHAnsi" w:hAnsiTheme="majorHAnsi" w:cstheme="majorHAnsi"/>
          <w:sz w:val="22"/>
          <w:szCs w:val="22"/>
        </w:rPr>
        <w:t>common chapter</w:t>
      </w:r>
      <w:r w:rsidRPr="00261620">
        <w:rPr>
          <w:rFonts w:asciiTheme="majorHAnsi" w:hAnsiTheme="majorHAnsi" w:cstheme="majorHAnsi"/>
          <w:sz w:val="22"/>
          <w:szCs w:val="22"/>
        </w:rPr>
        <w:t xml:space="preserve"> regional exchange was held in March 2019 and was appreciated by regional directors as a valuable forum. Efforts will be made to make this a regular feature and to develop a knowledge base and a repository of information and lessons learned on the implementation of the </w:t>
      </w:r>
      <w:r>
        <w:rPr>
          <w:rFonts w:asciiTheme="majorHAnsi" w:hAnsiTheme="majorHAnsi" w:cstheme="majorHAnsi"/>
          <w:sz w:val="22"/>
          <w:szCs w:val="22"/>
        </w:rPr>
        <w:t>common chapter</w:t>
      </w:r>
      <w:r w:rsidRPr="00261620">
        <w:rPr>
          <w:rFonts w:asciiTheme="majorHAnsi" w:hAnsiTheme="majorHAnsi" w:cstheme="majorHAnsi"/>
          <w:sz w:val="22"/>
          <w:szCs w:val="22"/>
        </w:rPr>
        <w:t xml:space="preserve"> at country, subregional/cross-border and regional levels. </w:t>
      </w:r>
    </w:p>
    <w:p w:rsidR="001A547C" w:rsidRPr="00261620" w:rsidRDefault="001A547C" w:rsidP="001A547C">
      <w:pPr>
        <w:pStyle w:val="ListParagraph"/>
        <w:ind w:left="90"/>
        <w:jc w:val="both"/>
        <w:rPr>
          <w:rFonts w:asciiTheme="majorHAnsi" w:hAnsiTheme="majorHAnsi" w:cstheme="majorHAnsi"/>
          <w:sz w:val="22"/>
          <w:szCs w:val="22"/>
        </w:rPr>
      </w:pPr>
    </w:p>
    <w:p w:rsidR="001A547C" w:rsidRPr="00261620" w:rsidRDefault="001A547C" w:rsidP="001A547C">
      <w:pPr>
        <w:pStyle w:val="ListParagraph"/>
        <w:numPr>
          <w:ilvl w:val="0"/>
          <w:numId w:val="22"/>
        </w:numPr>
        <w:ind w:left="0" w:firstLine="0"/>
        <w:jc w:val="both"/>
        <w:rPr>
          <w:rFonts w:asciiTheme="majorHAnsi" w:hAnsiTheme="majorHAnsi" w:cstheme="majorHAnsi"/>
          <w:sz w:val="22"/>
          <w:szCs w:val="22"/>
        </w:rPr>
      </w:pPr>
      <w:r w:rsidRPr="00261620">
        <w:rPr>
          <w:rFonts w:asciiTheme="majorHAnsi" w:hAnsiTheme="majorHAnsi" w:cstheme="majorHAnsi"/>
          <w:sz w:val="22"/>
          <w:szCs w:val="22"/>
        </w:rPr>
        <w:t xml:space="preserve">The </w:t>
      </w:r>
      <w:r>
        <w:rPr>
          <w:rFonts w:asciiTheme="majorHAnsi" w:hAnsiTheme="majorHAnsi" w:cstheme="majorHAnsi"/>
          <w:sz w:val="22"/>
          <w:szCs w:val="22"/>
        </w:rPr>
        <w:t>common chapter</w:t>
      </w:r>
      <w:r w:rsidRPr="00261620">
        <w:rPr>
          <w:rFonts w:asciiTheme="majorHAnsi" w:hAnsiTheme="majorHAnsi" w:cstheme="majorHAnsi"/>
          <w:sz w:val="22"/>
          <w:szCs w:val="22"/>
        </w:rPr>
        <w:t xml:space="preserve"> is seen to be </w:t>
      </w:r>
      <w:r w:rsidRPr="00B925A1">
        <w:rPr>
          <w:rFonts w:asciiTheme="majorHAnsi" w:hAnsiTheme="majorHAnsi" w:cstheme="majorHAnsi"/>
          <w:sz w:val="22"/>
          <w:szCs w:val="22"/>
        </w:rPr>
        <w:t>most effective when anchored in existing regional coordination mechanism</w:t>
      </w:r>
      <w:r w:rsidRPr="00261620">
        <w:rPr>
          <w:rFonts w:asciiTheme="majorHAnsi" w:hAnsiTheme="majorHAnsi" w:cstheme="majorHAnsi"/>
          <w:sz w:val="22"/>
          <w:szCs w:val="22"/>
        </w:rPr>
        <w:t xml:space="preserve">s. These established mechanisms provide ways for the four agencies to enhance their collaboration and efficiency through working together to address cross-border issues and common challenges. In all regions, the </w:t>
      </w:r>
      <w:r>
        <w:rPr>
          <w:rFonts w:asciiTheme="majorHAnsi" w:hAnsiTheme="majorHAnsi" w:cstheme="majorHAnsi"/>
          <w:sz w:val="22"/>
          <w:szCs w:val="22"/>
        </w:rPr>
        <w:t xml:space="preserve">work of the </w:t>
      </w:r>
      <w:r w:rsidRPr="00261620">
        <w:rPr>
          <w:rFonts w:asciiTheme="majorHAnsi" w:hAnsiTheme="majorHAnsi" w:cstheme="majorHAnsi"/>
          <w:sz w:val="22"/>
          <w:szCs w:val="22"/>
        </w:rPr>
        <w:t>regional</w:t>
      </w:r>
      <w:r>
        <w:rPr>
          <w:rFonts w:asciiTheme="majorHAnsi" w:hAnsiTheme="majorHAnsi" w:cstheme="majorHAnsi"/>
          <w:sz w:val="22"/>
          <w:szCs w:val="22"/>
        </w:rPr>
        <w:t>-</w:t>
      </w:r>
      <w:r w:rsidRPr="00261620">
        <w:rPr>
          <w:rFonts w:asciiTheme="majorHAnsi" w:hAnsiTheme="majorHAnsi" w:cstheme="majorHAnsi"/>
          <w:sz w:val="22"/>
          <w:szCs w:val="22"/>
        </w:rPr>
        <w:t xml:space="preserve">level joint task forces (or similar) on the six areas complemented and provided additional support to the work of UNCTs, and helped </w:t>
      </w:r>
      <w:r>
        <w:rPr>
          <w:rFonts w:asciiTheme="majorHAnsi" w:hAnsiTheme="majorHAnsi" w:cstheme="majorHAnsi"/>
          <w:sz w:val="22"/>
          <w:szCs w:val="22"/>
        </w:rPr>
        <w:t xml:space="preserve">to </w:t>
      </w:r>
      <w:r w:rsidRPr="00261620">
        <w:rPr>
          <w:rFonts w:asciiTheme="majorHAnsi" w:hAnsiTheme="majorHAnsi" w:cstheme="majorHAnsi"/>
          <w:sz w:val="22"/>
          <w:szCs w:val="22"/>
        </w:rPr>
        <w:t xml:space="preserve">address cross-border issues by pooling human and financial resource. </w:t>
      </w:r>
    </w:p>
    <w:p w:rsidR="001A547C" w:rsidRPr="00261620" w:rsidRDefault="001A547C" w:rsidP="001A547C">
      <w:pPr>
        <w:pStyle w:val="ListParagraph"/>
        <w:rPr>
          <w:rFonts w:asciiTheme="majorHAnsi" w:hAnsiTheme="majorHAnsi" w:cstheme="majorHAnsi"/>
          <w:sz w:val="22"/>
          <w:szCs w:val="22"/>
        </w:rPr>
      </w:pPr>
    </w:p>
    <w:p w:rsidR="001A547C" w:rsidRPr="00261620" w:rsidRDefault="001A547C" w:rsidP="001A547C">
      <w:pPr>
        <w:pStyle w:val="ListParagraph"/>
        <w:numPr>
          <w:ilvl w:val="0"/>
          <w:numId w:val="22"/>
        </w:numPr>
        <w:ind w:left="0" w:firstLine="0"/>
        <w:jc w:val="both"/>
        <w:rPr>
          <w:rFonts w:asciiTheme="majorHAnsi" w:hAnsiTheme="majorHAnsi" w:cstheme="majorHAnsi"/>
          <w:sz w:val="22"/>
          <w:szCs w:val="22"/>
        </w:rPr>
      </w:pPr>
      <w:r w:rsidRPr="00261620">
        <w:rPr>
          <w:rFonts w:asciiTheme="majorHAnsi" w:hAnsiTheme="majorHAnsi" w:cs="Calibri"/>
        </w:rPr>
        <w:t xml:space="preserve"> </w:t>
      </w:r>
      <w:r w:rsidRPr="00261620">
        <w:rPr>
          <w:rFonts w:asciiTheme="majorHAnsi" w:hAnsiTheme="majorHAnsi" w:cs="Calibri"/>
          <w:sz w:val="22"/>
          <w:szCs w:val="22"/>
        </w:rPr>
        <w:t xml:space="preserve">There is strong engagement of agencies to implement the </w:t>
      </w:r>
      <w:r>
        <w:rPr>
          <w:rFonts w:asciiTheme="majorHAnsi" w:hAnsiTheme="majorHAnsi" w:cs="Calibri"/>
          <w:sz w:val="22"/>
          <w:szCs w:val="22"/>
        </w:rPr>
        <w:t>common chapter</w:t>
      </w:r>
      <w:r w:rsidRPr="00261620">
        <w:rPr>
          <w:rFonts w:asciiTheme="majorHAnsi" w:hAnsiTheme="majorHAnsi" w:cs="Calibri"/>
          <w:sz w:val="22"/>
          <w:szCs w:val="22"/>
        </w:rPr>
        <w:t xml:space="preserve">, </w:t>
      </w:r>
      <w:r>
        <w:rPr>
          <w:rFonts w:asciiTheme="majorHAnsi" w:hAnsiTheme="majorHAnsi" w:cs="Calibri"/>
          <w:sz w:val="22"/>
          <w:szCs w:val="22"/>
        </w:rPr>
        <w:t xml:space="preserve">although </w:t>
      </w:r>
      <w:r w:rsidRPr="00261620">
        <w:rPr>
          <w:rFonts w:asciiTheme="majorHAnsi" w:hAnsiTheme="majorHAnsi" w:cs="Calibri"/>
          <w:sz w:val="22"/>
          <w:szCs w:val="22"/>
        </w:rPr>
        <w:t xml:space="preserve">some </w:t>
      </w:r>
      <w:r w:rsidRPr="00261620">
        <w:rPr>
          <w:rFonts w:asciiTheme="majorHAnsi" w:hAnsiTheme="majorHAnsi" w:cs="Calibri"/>
          <w:b/>
          <w:sz w:val="22"/>
          <w:szCs w:val="22"/>
        </w:rPr>
        <w:t>constraints</w:t>
      </w:r>
      <w:r w:rsidRPr="00261620">
        <w:rPr>
          <w:rFonts w:asciiTheme="majorHAnsi" w:hAnsiTheme="majorHAnsi" w:cs="Calibri"/>
          <w:sz w:val="22"/>
          <w:szCs w:val="22"/>
        </w:rPr>
        <w:t xml:space="preserve"> were identified at the country and regional level</w:t>
      </w:r>
      <w:r>
        <w:rPr>
          <w:rFonts w:asciiTheme="majorHAnsi" w:hAnsiTheme="majorHAnsi" w:cs="Calibri"/>
          <w:sz w:val="22"/>
          <w:szCs w:val="22"/>
        </w:rPr>
        <w:t>s</w:t>
      </w:r>
      <w:r w:rsidRPr="00261620">
        <w:rPr>
          <w:rFonts w:asciiTheme="majorHAnsi" w:hAnsiTheme="majorHAnsi" w:cs="Calibri"/>
          <w:sz w:val="22"/>
          <w:szCs w:val="22"/>
        </w:rPr>
        <w:t xml:space="preserve"> in 2018, which can be addressed to improve implementation in 2019</w:t>
      </w:r>
      <w:r w:rsidRPr="00261620">
        <w:rPr>
          <w:rFonts w:asciiTheme="majorHAnsi" w:hAnsiTheme="majorHAnsi" w:cstheme="majorHAnsi"/>
          <w:sz w:val="22"/>
          <w:szCs w:val="22"/>
        </w:rPr>
        <w:t xml:space="preserve">. There is demand for more communication, including in relation to positioning the </w:t>
      </w:r>
      <w:r>
        <w:rPr>
          <w:rFonts w:asciiTheme="majorHAnsi" w:hAnsiTheme="majorHAnsi" w:cstheme="majorHAnsi"/>
          <w:sz w:val="22"/>
          <w:szCs w:val="22"/>
        </w:rPr>
        <w:t>common chapter</w:t>
      </w:r>
      <w:r w:rsidRPr="00261620">
        <w:rPr>
          <w:rFonts w:asciiTheme="majorHAnsi" w:hAnsiTheme="majorHAnsi" w:cstheme="majorHAnsi"/>
          <w:sz w:val="22"/>
          <w:szCs w:val="22"/>
        </w:rPr>
        <w:t xml:space="preserve"> under the broader umbrella of U</w:t>
      </w:r>
      <w:r>
        <w:rPr>
          <w:rFonts w:asciiTheme="majorHAnsi" w:hAnsiTheme="majorHAnsi" w:cstheme="majorHAnsi"/>
          <w:sz w:val="22"/>
          <w:szCs w:val="22"/>
        </w:rPr>
        <w:t xml:space="preserve">nited </w:t>
      </w:r>
      <w:r w:rsidRPr="00261620">
        <w:rPr>
          <w:rFonts w:asciiTheme="majorHAnsi" w:hAnsiTheme="majorHAnsi" w:cstheme="majorHAnsi"/>
          <w:sz w:val="22"/>
          <w:szCs w:val="22"/>
        </w:rPr>
        <w:t>N</w:t>
      </w:r>
      <w:r>
        <w:rPr>
          <w:rFonts w:asciiTheme="majorHAnsi" w:hAnsiTheme="majorHAnsi" w:cstheme="majorHAnsi"/>
          <w:sz w:val="22"/>
          <w:szCs w:val="22"/>
        </w:rPr>
        <w:t>ations</w:t>
      </w:r>
      <w:r w:rsidRPr="00261620">
        <w:rPr>
          <w:rFonts w:asciiTheme="majorHAnsi" w:hAnsiTheme="majorHAnsi" w:cstheme="majorHAnsi"/>
          <w:sz w:val="22"/>
          <w:szCs w:val="22"/>
        </w:rPr>
        <w:t xml:space="preserve"> reform. </w:t>
      </w:r>
      <w:r>
        <w:rPr>
          <w:rFonts w:asciiTheme="majorHAnsi" w:hAnsiTheme="majorHAnsi" w:cstheme="majorHAnsi"/>
          <w:sz w:val="22"/>
          <w:szCs w:val="22"/>
        </w:rPr>
        <w:t>Common chapter d</w:t>
      </w:r>
      <w:r w:rsidRPr="00261620">
        <w:rPr>
          <w:rFonts w:asciiTheme="majorHAnsi" w:hAnsiTheme="majorHAnsi" w:cstheme="majorHAnsi"/>
          <w:sz w:val="22"/>
          <w:szCs w:val="22"/>
        </w:rPr>
        <w:t xml:space="preserve">irection and guidance need to be received ahead of country-level planning exercises to feed into stronger planning for joint initiatives. With no additional funding for </w:t>
      </w:r>
      <w:r>
        <w:rPr>
          <w:rFonts w:asciiTheme="majorHAnsi" w:hAnsiTheme="majorHAnsi" w:cstheme="majorHAnsi"/>
          <w:sz w:val="22"/>
          <w:szCs w:val="22"/>
        </w:rPr>
        <w:t>common chapter</w:t>
      </w:r>
      <w:r w:rsidRPr="00261620">
        <w:rPr>
          <w:rFonts w:asciiTheme="majorHAnsi" w:hAnsiTheme="majorHAnsi" w:cstheme="majorHAnsi"/>
          <w:sz w:val="22"/>
          <w:szCs w:val="22"/>
        </w:rPr>
        <w:t xml:space="preserve"> implementation, </w:t>
      </w:r>
      <w:r>
        <w:rPr>
          <w:rFonts w:asciiTheme="majorHAnsi" w:hAnsiTheme="majorHAnsi" w:cstheme="majorHAnsi"/>
          <w:sz w:val="22"/>
          <w:szCs w:val="22"/>
        </w:rPr>
        <w:t>a</w:t>
      </w:r>
      <w:r w:rsidRPr="00261620">
        <w:rPr>
          <w:rFonts w:asciiTheme="majorHAnsi" w:hAnsiTheme="majorHAnsi" w:cstheme="majorHAnsi"/>
          <w:sz w:val="22"/>
          <w:szCs w:val="22"/>
        </w:rPr>
        <w:t xml:space="preserve">gencies will submit, where appropriate, proposals to the joint </w:t>
      </w:r>
      <w:r>
        <w:rPr>
          <w:rFonts w:asciiTheme="majorHAnsi" w:hAnsiTheme="majorHAnsi" w:cstheme="majorHAnsi"/>
          <w:sz w:val="22"/>
          <w:szCs w:val="22"/>
        </w:rPr>
        <w:t>Sustainable Development Goals</w:t>
      </w:r>
      <w:r w:rsidRPr="00261620">
        <w:rPr>
          <w:rFonts w:asciiTheme="majorHAnsi" w:hAnsiTheme="majorHAnsi" w:cstheme="majorHAnsi"/>
          <w:sz w:val="22"/>
          <w:szCs w:val="22"/>
        </w:rPr>
        <w:t xml:space="preserve"> </w:t>
      </w:r>
      <w:r>
        <w:rPr>
          <w:rFonts w:asciiTheme="majorHAnsi" w:hAnsiTheme="majorHAnsi" w:cstheme="majorHAnsi"/>
          <w:sz w:val="22"/>
          <w:szCs w:val="22"/>
        </w:rPr>
        <w:t>F</w:t>
      </w:r>
      <w:r w:rsidRPr="00261620">
        <w:rPr>
          <w:rFonts w:asciiTheme="majorHAnsi" w:hAnsiTheme="majorHAnsi" w:cstheme="majorHAnsi"/>
          <w:sz w:val="22"/>
          <w:szCs w:val="22"/>
        </w:rPr>
        <w:t xml:space="preserve">und and other potential sources. As the </w:t>
      </w:r>
      <w:r>
        <w:rPr>
          <w:rFonts w:asciiTheme="majorHAnsi" w:hAnsiTheme="majorHAnsi" w:cstheme="majorHAnsi"/>
          <w:sz w:val="22"/>
          <w:szCs w:val="22"/>
        </w:rPr>
        <w:t>common chapter</w:t>
      </w:r>
      <w:r w:rsidRPr="00261620">
        <w:rPr>
          <w:rFonts w:asciiTheme="majorHAnsi" w:hAnsiTheme="majorHAnsi" w:cstheme="majorHAnsi"/>
          <w:sz w:val="22"/>
          <w:szCs w:val="22"/>
        </w:rPr>
        <w:t xml:space="preserve"> </w:t>
      </w:r>
      <w:r>
        <w:rPr>
          <w:rFonts w:asciiTheme="majorHAnsi" w:hAnsiTheme="majorHAnsi" w:cstheme="majorHAnsi"/>
          <w:sz w:val="22"/>
          <w:szCs w:val="22"/>
        </w:rPr>
        <w:t>a</w:t>
      </w:r>
      <w:r w:rsidRPr="00261620">
        <w:rPr>
          <w:rFonts w:asciiTheme="majorHAnsi" w:hAnsiTheme="majorHAnsi" w:cstheme="majorHAnsi"/>
          <w:sz w:val="22"/>
          <w:szCs w:val="22"/>
        </w:rPr>
        <w:t xml:space="preserve">ccelerator proposals are fully developed, resource mobilization strategies will be developed. </w:t>
      </w:r>
    </w:p>
    <w:p w:rsidR="001A547C" w:rsidRPr="00261620" w:rsidRDefault="001A547C" w:rsidP="001A547C">
      <w:pPr>
        <w:pStyle w:val="ListParagraph"/>
        <w:ind w:left="450"/>
        <w:jc w:val="both"/>
        <w:rPr>
          <w:rFonts w:asciiTheme="majorHAnsi" w:hAnsiTheme="majorHAnsi" w:cstheme="majorHAnsi"/>
          <w:sz w:val="22"/>
          <w:szCs w:val="22"/>
        </w:rPr>
      </w:pPr>
    </w:p>
    <w:p w:rsidR="001A547C" w:rsidRPr="001A547C" w:rsidRDefault="001A547C" w:rsidP="001A547C">
      <w:pPr>
        <w:pStyle w:val="ListParagraph"/>
        <w:numPr>
          <w:ilvl w:val="0"/>
          <w:numId w:val="22"/>
        </w:numPr>
        <w:ind w:left="0" w:firstLine="0"/>
        <w:jc w:val="both"/>
        <w:rPr>
          <w:rFonts w:asciiTheme="majorHAnsi" w:hAnsiTheme="majorHAnsi"/>
          <w:sz w:val="22"/>
          <w:szCs w:val="22"/>
        </w:rPr>
      </w:pPr>
      <w:bookmarkStart w:id="9" w:name="_cojar2s6vsba" w:colFirst="0" w:colLast="0"/>
      <w:bookmarkEnd w:id="9"/>
      <w:r w:rsidRPr="00261620">
        <w:rPr>
          <w:rFonts w:asciiTheme="majorHAnsi" w:hAnsiTheme="majorHAnsi"/>
          <w:sz w:val="22"/>
          <w:szCs w:val="22"/>
        </w:rPr>
        <w:lastRenderedPageBreak/>
        <w:t xml:space="preserve">The </w:t>
      </w:r>
      <w:r>
        <w:rPr>
          <w:rFonts w:asciiTheme="majorHAnsi" w:hAnsiTheme="majorHAnsi"/>
          <w:sz w:val="22"/>
          <w:szCs w:val="22"/>
        </w:rPr>
        <w:t>common chapter</w:t>
      </w:r>
      <w:r w:rsidRPr="00261620">
        <w:rPr>
          <w:rFonts w:asciiTheme="majorHAnsi" w:hAnsiTheme="majorHAnsi"/>
          <w:sz w:val="22"/>
          <w:szCs w:val="22"/>
        </w:rPr>
        <w:t xml:space="preserve"> is a good example of inter-agency initiatives </w:t>
      </w:r>
      <w:r w:rsidRPr="000B38EC">
        <w:rPr>
          <w:rFonts w:asciiTheme="majorHAnsi" w:hAnsiTheme="majorHAnsi"/>
          <w:b/>
          <w:sz w:val="22"/>
          <w:szCs w:val="22"/>
        </w:rPr>
        <w:t>reinforcing the objectives of the ongoing reform of the UN</w:t>
      </w:r>
      <w:r>
        <w:rPr>
          <w:rFonts w:asciiTheme="majorHAnsi" w:hAnsiTheme="majorHAnsi"/>
          <w:b/>
          <w:sz w:val="22"/>
          <w:szCs w:val="22"/>
        </w:rPr>
        <w:t>DS</w:t>
      </w:r>
      <w:r w:rsidRPr="000B38EC">
        <w:rPr>
          <w:rFonts w:asciiTheme="majorHAnsi" w:hAnsiTheme="majorHAnsi"/>
          <w:b/>
          <w:sz w:val="22"/>
          <w:szCs w:val="22"/>
        </w:rPr>
        <w:t xml:space="preserve"> </w:t>
      </w:r>
      <w:r w:rsidRPr="00E80C83">
        <w:rPr>
          <w:rFonts w:asciiTheme="majorHAnsi" w:hAnsiTheme="majorHAnsi"/>
          <w:sz w:val="22"/>
          <w:szCs w:val="22"/>
        </w:rPr>
        <w:t xml:space="preserve">at country, regional and global </w:t>
      </w:r>
      <w:r w:rsidRPr="00A55E76">
        <w:rPr>
          <w:rFonts w:asciiTheme="majorHAnsi" w:hAnsiTheme="majorHAnsi"/>
          <w:sz w:val="22"/>
          <w:szCs w:val="22"/>
        </w:rPr>
        <w:t>level</w:t>
      </w:r>
      <w:r>
        <w:rPr>
          <w:rFonts w:asciiTheme="majorHAnsi" w:hAnsiTheme="majorHAnsi"/>
          <w:sz w:val="22"/>
          <w:szCs w:val="22"/>
        </w:rPr>
        <w:t>s</w:t>
      </w:r>
      <w:r w:rsidRPr="00A55E76">
        <w:rPr>
          <w:rFonts w:asciiTheme="majorHAnsi" w:hAnsiTheme="majorHAnsi"/>
          <w:sz w:val="22"/>
          <w:szCs w:val="22"/>
        </w:rPr>
        <w:t xml:space="preserve"> and</w:t>
      </w:r>
      <w:r>
        <w:rPr>
          <w:rFonts w:asciiTheme="majorHAnsi" w:hAnsiTheme="majorHAnsi"/>
          <w:b/>
          <w:sz w:val="22"/>
          <w:szCs w:val="22"/>
        </w:rPr>
        <w:t xml:space="preserve"> </w:t>
      </w:r>
      <w:r w:rsidRPr="00261620">
        <w:rPr>
          <w:rFonts w:asciiTheme="majorHAnsi" w:hAnsiTheme="majorHAnsi"/>
          <w:sz w:val="22"/>
          <w:szCs w:val="22"/>
        </w:rPr>
        <w:t>creating “new ways of working” collectively including across the humanitarian</w:t>
      </w:r>
      <w:r>
        <w:rPr>
          <w:rFonts w:asciiTheme="majorHAnsi" w:hAnsiTheme="majorHAnsi"/>
          <w:sz w:val="22"/>
          <w:szCs w:val="22"/>
        </w:rPr>
        <w:t>-</w:t>
      </w:r>
      <w:r w:rsidRPr="00261620">
        <w:rPr>
          <w:rFonts w:asciiTheme="majorHAnsi" w:hAnsiTheme="majorHAnsi"/>
          <w:sz w:val="22"/>
          <w:szCs w:val="22"/>
        </w:rPr>
        <w:t>development continuum. Over the coming years, we will build on these lessons to further strengthen our common impact on the ground. To this end, the repositioning of the UN</w:t>
      </w:r>
      <w:r>
        <w:rPr>
          <w:rFonts w:asciiTheme="majorHAnsi" w:hAnsiTheme="majorHAnsi"/>
          <w:sz w:val="22"/>
          <w:szCs w:val="22"/>
        </w:rPr>
        <w:t>DS</w:t>
      </w:r>
      <w:r w:rsidRPr="00261620">
        <w:rPr>
          <w:rFonts w:asciiTheme="majorHAnsi" w:hAnsiTheme="majorHAnsi"/>
          <w:sz w:val="22"/>
          <w:szCs w:val="22"/>
        </w:rPr>
        <w:t xml:space="preserve"> opens the next chapter for U</w:t>
      </w:r>
      <w:r>
        <w:rPr>
          <w:rFonts w:asciiTheme="majorHAnsi" w:hAnsiTheme="majorHAnsi"/>
          <w:sz w:val="22"/>
          <w:szCs w:val="22"/>
        </w:rPr>
        <w:t xml:space="preserve">nited </w:t>
      </w:r>
      <w:r w:rsidRPr="00261620">
        <w:rPr>
          <w:rFonts w:asciiTheme="majorHAnsi" w:hAnsiTheme="majorHAnsi"/>
          <w:sz w:val="22"/>
          <w:szCs w:val="22"/>
        </w:rPr>
        <w:t>N</w:t>
      </w:r>
      <w:r>
        <w:rPr>
          <w:rFonts w:asciiTheme="majorHAnsi" w:hAnsiTheme="majorHAnsi"/>
          <w:sz w:val="22"/>
          <w:szCs w:val="22"/>
        </w:rPr>
        <w:t>ations</w:t>
      </w:r>
      <w:r w:rsidRPr="00261620">
        <w:rPr>
          <w:rFonts w:asciiTheme="majorHAnsi" w:hAnsiTheme="majorHAnsi"/>
          <w:sz w:val="22"/>
          <w:szCs w:val="22"/>
        </w:rPr>
        <w:t xml:space="preserve"> collaboration with a strong focus on integrated </w:t>
      </w:r>
      <w:r>
        <w:rPr>
          <w:rFonts w:asciiTheme="majorHAnsi" w:hAnsiTheme="majorHAnsi" w:cstheme="majorHAnsi"/>
          <w:sz w:val="22"/>
          <w:szCs w:val="22"/>
        </w:rPr>
        <w:t>Sustainable Development Goal</w:t>
      </w:r>
      <w:r>
        <w:rPr>
          <w:rFonts w:asciiTheme="majorHAnsi" w:hAnsiTheme="majorHAnsi"/>
          <w:sz w:val="22"/>
          <w:szCs w:val="22"/>
        </w:rPr>
        <w:t xml:space="preserve"> </w:t>
      </w:r>
      <w:r w:rsidRPr="00261620">
        <w:rPr>
          <w:rFonts w:asciiTheme="majorHAnsi" w:hAnsiTheme="majorHAnsi"/>
          <w:sz w:val="22"/>
          <w:szCs w:val="22"/>
        </w:rPr>
        <w:t>solutions in support of countries’ development priorities.</w:t>
      </w:r>
      <w:r w:rsidRPr="001A547C">
        <w:rPr>
          <w:rFonts w:asciiTheme="majorHAnsi" w:hAnsiTheme="majorHAnsi"/>
        </w:rPr>
        <w:br w:type="page"/>
      </w:r>
    </w:p>
    <w:p w:rsidR="001A547C" w:rsidRDefault="001A547C" w:rsidP="001A547C">
      <w:pPr>
        <w:pStyle w:val="ListParagraph"/>
        <w:ind w:left="0"/>
        <w:jc w:val="both"/>
        <w:rPr>
          <w:rFonts w:asciiTheme="majorHAnsi" w:hAnsiTheme="majorHAnsi"/>
          <w:sz w:val="22"/>
          <w:szCs w:val="22"/>
        </w:rPr>
        <w:sectPr w:rsidR="001A547C" w:rsidSect="001A547C">
          <w:footerReference w:type="default" r:id="rId9"/>
          <w:pgSz w:w="12240" w:h="15840"/>
          <w:pgMar w:top="1440" w:right="1440" w:bottom="1440" w:left="1440" w:header="720" w:footer="720" w:gutter="0"/>
          <w:pgNumType w:start="1"/>
          <w:cols w:space="720"/>
          <w:titlePg/>
          <w:docGrid w:linePitch="299"/>
        </w:sectPr>
      </w:pPr>
    </w:p>
    <w:p w:rsidR="001A547C" w:rsidRPr="000D27EF" w:rsidRDefault="001A547C" w:rsidP="001A547C">
      <w:pPr>
        <w:pStyle w:val="Heading1"/>
        <w:spacing w:before="0" w:after="0" w:line="240" w:lineRule="auto"/>
        <w:rPr>
          <w:rFonts w:ascii="Times New Roman" w:eastAsia="SimSun" w:hAnsi="Times New Roman" w:cs="Times New Roman"/>
          <w:sz w:val="28"/>
          <w:lang w:val="en-US"/>
        </w:rPr>
      </w:pPr>
      <w:bookmarkStart w:id="10" w:name="_Toc388268267"/>
      <w:bookmarkStart w:id="11" w:name="_Toc388012075"/>
      <w:r w:rsidRPr="000D27EF">
        <w:rPr>
          <w:rFonts w:ascii="Times New Roman" w:eastAsia="SimSun" w:hAnsi="Times New Roman" w:cs="Times New Roman"/>
          <w:sz w:val="28"/>
          <w:lang w:val="en-US"/>
        </w:rPr>
        <w:lastRenderedPageBreak/>
        <w:t>Status of the Common Sustainable Development Goal (SDG) Indicators</w:t>
      </w:r>
    </w:p>
    <w:p w:rsidR="001A547C" w:rsidRPr="000D27EF" w:rsidRDefault="001A547C" w:rsidP="001A547C">
      <w:pPr>
        <w:pStyle w:val="Heading1"/>
        <w:spacing w:before="0" w:after="0" w:line="240" w:lineRule="auto"/>
        <w:rPr>
          <w:rFonts w:ascii="Times New Roman" w:eastAsia="SimSun" w:hAnsi="Times New Roman" w:cs="Times New Roman"/>
          <w:sz w:val="21"/>
          <w:szCs w:val="20"/>
          <w:lang w:val="en-US" w:eastAsia="x-none"/>
        </w:rPr>
      </w:pPr>
    </w:p>
    <w:p w:rsidR="001A547C" w:rsidRPr="000D27EF" w:rsidRDefault="001A547C" w:rsidP="001A547C">
      <w:pPr>
        <w:rPr>
          <w:rFonts w:ascii="Times New Roman" w:hAnsi="Times New Roman" w:cs="Times New Roman"/>
          <w:sz w:val="20"/>
          <w:szCs w:val="20"/>
        </w:rPr>
      </w:pPr>
      <w:r w:rsidRPr="000D27EF">
        <w:rPr>
          <w:rFonts w:ascii="Times New Roman" w:hAnsi="Times New Roman" w:cs="Times New Roman"/>
          <w:sz w:val="20"/>
          <w:szCs w:val="20"/>
          <w:lang w:val="en-US" w:eastAsia="x-none"/>
        </w:rPr>
        <w:t xml:space="preserve">Data source:  </w:t>
      </w:r>
      <w:r w:rsidRPr="000D27EF">
        <w:rPr>
          <w:rFonts w:ascii="Times New Roman" w:hAnsi="Times New Roman" w:cs="Times New Roman"/>
          <w:sz w:val="20"/>
          <w:szCs w:val="20"/>
        </w:rPr>
        <w:t xml:space="preserve">The Sustainable Development Goals Report and Statistical Annex (published annually 2016, 2017 and 2018) </w:t>
      </w:r>
      <w:r w:rsidRPr="000D27EF">
        <w:rPr>
          <w:rFonts w:ascii="Times New Roman" w:hAnsi="Times New Roman" w:cs="Times New Roman"/>
        </w:rPr>
        <w:t>available</w:t>
      </w:r>
      <w:r w:rsidRPr="000D27EF">
        <w:rPr>
          <w:rFonts w:ascii="Times New Roman" w:hAnsi="Times New Roman" w:cs="Times New Roman"/>
          <w:sz w:val="20"/>
          <w:szCs w:val="20"/>
        </w:rPr>
        <w:t xml:space="preserve"> at </w:t>
      </w:r>
      <w:hyperlink r:id="rId10" w:history="1">
        <w:r w:rsidRPr="000D27EF">
          <w:rPr>
            <w:rStyle w:val="Hyperlink"/>
            <w:rFonts w:ascii="Times New Roman" w:hAnsi="Times New Roman" w:cs="Times New Roman"/>
          </w:rPr>
          <w:t>https://unstats.un.org/sdgs/</w:t>
        </w:r>
      </w:hyperlink>
      <w:r w:rsidRPr="000D27EF">
        <w:rPr>
          <w:rFonts w:ascii="Times New Roman" w:hAnsi="Times New Roman" w:cs="Times New Roman"/>
          <w:sz w:val="20"/>
          <w:szCs w:val="20"/>
        </w:rPr>
        <w:t xml:space="preserve"> </w:t>
      </w:r>
    </w:p>
    <w:p w:rsidR="001A547C" w:rsidRPr="000D27EF" w:rsidRDefault="001A547C" w:rsidP="001A547C">
      <w:pPr>
        <w:rPr>
          <w:rFonts w:ascii="Times New Roman" w:hAnsi="Times New Roman" w:cs="Times New Roman"/>
          <w:lang w:val="en-US" w:eastAsia="x-none"/>
        </w:rPr>
      </w:pPr>
    </w:p>
    <w:p w:rsidR="001A547C" w:rsidRPr="000D27EF" w:rsidRDefault="001A547C" w:rsidP="001A547C">
      <w:pPr>
        <w:pStyle w:val="Heading1"/>
        <w:spacing w:before="0" w:after="0" w:line="240" w:lineRule="auto"/>
        <w:rPr>
          <w:rFonts w:ascii="Times New Roman" w:eastAsia="SimSun" w:hAnsi="Times New Roman" w:cs="Times New Roman"/>
          <w:sz w:val="24"/>
          <w:lang w:val="en-US"/>
        </w:rPr>
      </w:pPr>
      <w:r w:rsidRPr="000D27EF">
        <w:rPr>
          <w:rFonts w:ascii="Times New Roman" w:eastAsia="SimSun" w:hAnsi="Times New Roman" w:cs="Times New Roman"/>
          <w:sz w:val="24"/>
          <w:lang w:val="en-US"/>
        </w:rPr>
        <w:t>(a) Poverty eradication and reduction of inequalities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2468"/>
        <w:gridCol w:w="2468"/>
        <w:gridCol w:w="2468"/>
        <w:gridCol w:w="2466"/>
      </w:tblGrid>
      <w:tr w:rsidR="001A547C" w:rsidRPr="000D27EF" w:rsidTr="00346C63">
        <w:trPr>
          <w:trHeight w:val="364"/>
          <w:tblHeader/>
          <w:jc w:val="center"/>
        </w:trPr>
        <w:tc>
          <w:tcPr>
            <w:tcW w:w="1189" w:type="pct"/>
            <w:tcBorders>
              <w:top w:val="single" w:sz="4" w:space="0" w:color="auto"/>
              <w:left w:val="single" w:sz="4" w:space="0" w:color="auto"/>
              <w:bottom w:val="single" w:sz="4" w:space="0" w:color="auto"/>
              <w:right w:val="single" w:sz="4" w:space="0" w:color="auto"/>
            </w:tcBorders>
            <w:shd w:val="clear" w:color="auto" w:fill="F2F2F2"/>
            <w:vAlign w:val="center"/>
            <w:hideMark/>
          </w:tcPr>
          <w:bookmarkEnd w:id="10"/>
          <w:bookmarkEnd w:id="11"/>
          <w:p w:rsidR="001A547C" w:rsidRPr="000D27EF" w:rsidRDefault="001A547C" w:rsidP="00346C63">
            <w:pPr>
              <w:spacing w:line="240" w:lineRule="auto"/>
              <w:rPr>
                <w:rFonts w:ascii="Times New Roman" w:eastAsia="Calibri" w:hAnsi="Times New Roman" w:cs="Times New Roman"/>
                <w:b/>
                <w:color w:val="000000"/>
                <w:sz w:val="20"/>
                <w:szCs w:val="20"/>
                <w:lang w:val="en-GB"/>
              </w:rPr>
            </w:pPr>
            <w:r w:rsidRPr="000D27EF">
              <w:rPr>
                <w:rFonts w:ascii="Times New Roman" w:eastAsia="Calibri" w:hAnsi="Times New Roman" w:cs="Times New Roman"/>
                <w:b/>
                <w:color w:val="000000"/>
                <w:sz w:val="20"/>
                <w:szCs w:val="20"/>
              </w:rPr>
              <w:t>Common SDG Indicator</w:t>
            </w:r>
          </w:p>
        </w:tc>
        <w:tc>
          <w:tcPr>
            <w:tcW w:w="95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2015</w:t>
            </w:r>
          </w:p>
        </w:tc>
        <w:tc>
          <w:tcPr>
            <w:tcW w:w="95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2016</w:t>
            </w:r>
          </w:p>
        </w:tc>
        <w:tc>
          <w:tcPr>
            <w:tcW w:w="95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2017</w:t>
            </w:r>
          </w:p>
        </w:tc>
        <w:tc>
          <w:tcPr>
            <w:tcW w:w="95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2018</w:t>
            </w:r>
          </w:p>
        </w:tc>
      </w:tr>
      <w:tr w:rsidR="001A547C" w:rsidRPr="000D27EF" w:rsidTr="00346C63">
        <w:trPr>
          <w:trHeight w:val="1439"/>
          <w:jc w:val="center"/>
        </w:trPr>
        <w:tc>
          <w:tcPr>
            <w:tcW w:w="1189" w:type="pct"/>
            <w:tcBorders>
              <w:top w:val="single" w:sz="4" w:space="0" w:color="auto"/>
              <w:left w:val="single" w:sz="4" w:space="0" w:color="auto"/>
              <w:bottom w:val="single" w:sz="4" w:space="0" w:color="auto"/>
              <w:right w:val="single" w:sz="4" w:space="0" w:color="auto"/>
            </w:tcBorders>
            <w:hideMark/>
          </w:tcPr>
          <w:p w:rsidR="001A547C" w:rsidRPr="000D27EF" w:rsidRDefault="001A547C" w:rsidP="00346C63">
            <w:pPr>
              <w:spacing w:line="240" w:lineRule="auto"/>
              <w:rPr>
                <w:rFonts w:ascii="Times New Roman" w:eastAsia="Calibri" w:hAnsi="Times New Roman" w:cs="Times New Roman"/>
                <w:color w:val="000000" w:themeColor="text1"/>
                <w:sz w:val="20"/>
                <w:szCs w:val="20"/>
              </w:rPr>
            </w:pPr>
            <w:r w:rsidRPr="000D27EF">
              <w:rPr>
                <w:rFonts w:ascii="Times New Roman" w:eastAsia="Yu Mincho" w:hAnsi="Times New Roman" w:cs="Times New Roman"/>
                <w:color w:val="000000"/>
                <w:sz w:val="20"/>
                <w:szCs w:val="20"/>
              </w:rPr>
              <w:t>SDG 1.1.1  Proportion of population below the international poverty line, by sex, age, employment status and geographical location (urban/rural)</w:t>
            </w:r>
          </w:p>
        </w:tc>
        <w:tc>
          <w:tcPr>
            <w:tcW w:w="952" w:type="pct"/>
            <w:tcBorders>
              <w:top w:val="single" w:sz="4" w:space="0" w:color="auto"/>
              <w:left w:val="single" w:sz="4" w:space="0" w:color="auto"/>
              <w:bottom w:val="single" w:sz="4" w:space="0" w:color="auto"/>
              <w:right w:val="single" w:sz="4" w:space="0" w:color="auto"/>
            </w:tcBorders>
            <w:hideMark/>
          </w:tcPr>
          <w:p w:rsidR="001A547C" w:rsidRPr="000D27EF" w:rsidRDefault="001A547C" w:rsidP="00346C63">
            <w:pPr>
              <w:spacing w:line="240" w:lineRule="auto"/>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World: 12.7% (2012)</w:t>
            </w:r>
          </w:p>
          <w:p w:rsidR="001A547C" w:rsidRPr="000D27EF" w:rsidRDefault="001A547C" w:rsidP="00346C63">
            <w:pPr>
              <w:spacing w:line="240" w:lineRule="auto"/>
              <w:ind w:left="-29"/>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 xml:space="preserve">- Employed Population: </w:t>
            </w:r>
            <w:r>
              <w:rPr>
                <w:rFonts w:ascii="Times New Roman" w:eastAsia="Calibri" w:hAnsi="Times New Roman" w:cs="Times New Roman"/>
                <w:color w:val="000000" w:themeColor="text1"/>
                <w:sz w:val="20"/>
                <w:szCs w:val="20"/>
              </w:rPr>
              <w:t>9.8</w:t>
            </w:r>
            <w:r w:rsidRPr="000D27EF">
              <w:rPr>
                <w:rFonts w:ascii="Times New Roman" w:eastAsia="Calibri" w:hAnsi="Times New Roman" w:cs="Times New Roman"/>
                <w:color w:val="000000" w:themeColor="text1"/>
                <w:sz w:val="20"/>
                <w:szCs w:val="20"/>
              </w:rPr>
              <w:t>%</w:t>
            </w:r>
          </w:p>
          <w:p w:rsidR="001A547C" w:rsidRPr="000D27EF" w:rsidRDefault="001A547C" w:rsidP="00346C63">
            <w:pPr>
              <w:spacing w:line="240" w:lineRule="auto"/>
              <w:ind w:left="-29"/>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 Employed Adults: 9.3%</w:t>
            </w:r>
          </w:p>
          <w:p w:rsidR="001A547C" w:rsidRPr="000D27EF" w:rsidRDefault="001A547C" w:rsidP="00346C63">
            <w:pPr>
              <w:spacing w:line="240" w:lineRule="auto"/>
              <w:ind w:left="-29"/>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 Employed Youth: 15.5%</w:t>
            </w:r>
          </w:p>
          <w:p w:rsidR="001A547C" w:rsidRPr="000D27EF" w:rsidRDefault="001A547C" w:rsidP="00346C63">
            <w:pPr>
              <w:spacing w:line="240" w:lineRule="auto"/>
              <w:ind w:left="-29"/>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 Employed Male: 10.2%</w:t>
            </w:r>
          </w:p>
          <w:p w:rsidR="001A547C" w:rsidRPr="000D27EF" w:rsidRDefault="001A547C" w:rsidP="00346C63">
            <w:pPr>
              <w:spacing w:line="240" w:lineRule="auto"/>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 Employed Female: 10.2%</w:t>
            </w:r>
          </w:p>
        </w:tc>
        <w:tc>
          <w:tcPr>
            <w:tcW w:w="953" w:type="pct"/>
            <w:tcBorders>
              <w:top w:val="single" w:sz="4" w:space="0" w:color="auto"/>
              <w:left w:val="single" w:sz="4" w:space="0" w:color="auto"/>
              <w:bottom w:val="single" w:sz="4" w:space="0" w:color="auto"/>
              <w:right w:val="single" w:sz="4" w:space="0" w:color="auto"/>
            </w:tcBorders>
            <w:hideMark/>
          </w:tcPr>
          <w:p w:rsidR="001A547C" w:rsidRPr="000D27EF" w:rsidRDefault="001A547C" w:rsidP="00346C63">
            <w:pPr>
              <w:spacing w:line="240" w:lineRule="auto"/>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World: 10.9% (2013)</w:t>
            </w:r>
          </w:p>
          <w:p w:rsidR="001A547C" w:rsidRPr="000D27EF" w:rsidRDefault="001A547C" w:rsidP="00346C63">
            <w:pPr>
              <w:spacing w:line="240" w:lineRule="auto"/>
              <w:ind w:left="-29"/>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 Employed Population: 9.9%</w:t>
            </w:r>
          </w:p>
          <w:p w:rsidR="001A547C" w:rsidRPr="000D27EF" w:rsidRDefault="001A547C" w:rsidP="00346C63">
            <w:pPr>
              <w:spacing w:line="240" w:lineRule="auto"/>
              <w:ind w:left="-29"/>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 Employed Adults: 9.0%</w:t>
            </w:r>
          </w:p>
          <w:p w:rsidR="001A547C" w:rsidRPr="000D27EF" w:rsidRDefault="001A547C" w:rsidP="00346C63">
            <w:pPr>
              <w:spacing w:line="240" w:lineRule="auto"/>
              <w:ind w:left="-29"/>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 Employed Youth: 15.1%</w:t>
            </w:r>
          </w:p>
          <w:p w:rsidR="001A547C" w:rsidRPr="000D27EF" w:rsidRDefault="001A547C" w:rsidP="00346C63">
            <w:pPr>
              <w:spacing w:line="240" w:lineRule="auto"/>
              <w:ind w:left="-29"/>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 Employed Male: 9.8%</w:t>
            </w:r>
          </w:p>
          <w:p w:rsidR="001A547C" w:rsidRPr="000D27EF" w:rsidRDefault="001A547C" w:rsidP="00346C63">
            <w:pPr>
              <w:spacing w:line="240" w:lineRule="auto"/>
              <w:ind w:left="-29"/>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 Employed Female: 9.9%</w:t>
            </w:r>
          </w:p>
        </w:tc>
        <w:tc>
          <w:tcPr>
            <w:tcW w:w="953" w:type="pct"/>
            <w:tcBorders>
              <w:top w:val="single" w:sz="4" w:space="0" w:color="auto"/>
              <w:left w:val="single" w:sz="4" w:space="0" w:color="auto"/>
              <w:bottom w:val="single" w:sz="4" w:space="0" w:color="auto"/>
              <w:right w:val="single" w:sz="4" w:space="0" w:color="auto"/>
            </w:tcBorders>
            <w:hideMark/>
          </w:tcPr>
          <w:p w:rsidR="001A547C" w:rsidRPr="000D27EF" w:rsidRDefault="001A547C" w:rsidP="00346C63">
            <w:pPr>
              <w:spacing w:line="240" w:lineRule="auto"/>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World: 10.9% (2013)</w:t>
            </w:r>
          </w:p>
          <w:p w:rsidR="001A547C" w:rsidRPr="000D27EF" w:rsidRDefault="001A547C" w:rsidP="00346C63">
            <w:pPr>
              <w:spacing w:line="240" w:lineRule="auto"/>
              <w:ind w:left="-25"/>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 Employed Population: 9.2%</w:t>
            </w:r>
          </w:p>
          <w:p w:rsidR="001A547C" w:rsidRPr="000D27EF" w:rsidRDefault="001A547C" w:rsidP="00346C63">
            <w:pPr>
              <w:spacing w:line="240" w:lineRule="auto"/>
              <w:ind w:left="-25"/>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 Employed Adults: 8.3%</w:t>
            </w:r>
          </w:p>
          <w:p w:rsidR="001A547C" w:rsidRPr="000D27EF" w:rsidRDefault="001A547C" w:rsidP="00346C63">
            <w:pPr>
              <w:spacing w:line="240" w:lineRule="auto"/>
              <w:ind w:left="-25"/>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 Employed Youth: 14.7%</w:t>
            </w:r>
          </w:p>
          <w:p w:rsidR="001A547C" w:rsidRPr="000D27EF" w:rsidRDefault="001A547C" w:rsidP="00346C63">
            <w:pPr>
              <w:spacing w:line="240" w:lineRule="auto"/>
              <w:ind w:left="-25"/>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 Employed Male: 9.1%</w:t>
            </w:r>
          </w:p>
          <w:p w:rsidR="001A547C" w:rsidRPr="000D27EF" w:rsidRDefault="001A547C" w:rsidP="00346C63">
            <w:pPr>
              <w:spacing w:line="240" w:lineRule="auto"/>
              <w:ind w:left="-25"/>
              <w:rPr>
                <w:rFonts w:ascii="Times New Roman" w:eastAsia="Calibri" w:hAnsi="Times New Roman" w:cs="Times New Roman"/>
                <w:color w:val="000000"/>
                <w:sz w:val="20"/>
                <w:szCs w:val="20"/>
              </w:rPr>
            </w:pPr>
            <w:r w:rsidRPr="000D27EF">
              <w:rPr>
                <w:rFonts w:ascii="Times New Roman" w:eastAsia="Calibri" w:hAnsi="Times New Roman" w:cs="Times New Roman"/>
                <w:color w:val="000000" w:themeColor="text1"/>
                <w:sz w:val="20"/>
                <w:szCs w:val="20"/>
              </w:rPr>
              <w:t>- Employed Female: 9.4%</w:t>
            </w:r>
          </w:p>
        </w:tc>
        <w:tc>
          <w:tcPr>
            <w:tcW w:w="953"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jc w:val="center"/>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No update</w:t>
            </w:r>
          </w:p>
        </w:tc>
      </w:tr>
      <w:tr w:rsidR="001A547C" w:rsidRPr="000D27EF" w:rsidTr="00346C63">
        <w:trPr>
          <w:trHeight w:val="95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7C" w:rsidRPr="000D27EF" w:rsidRDefault="001A547C" w:rsidP="00346C63">
            <w:pPr>
              <w:spacing w:line="240" w:lineRule="auto"/>
              <w:ind w:right="-105"/>
              <w:rPr>
                <w:rFonts w:ascii="Times New Roman" w:eastAsia="Yu Mincho" w:hAnsi="Times New Roman" w:cs="Times New Roman"/>
                <w:b/>
                <w:color w:val="000000"/>
                <w:sz w:val="20"/>
                <w:szCs w:val="20"/>
              </w:rPr>
            </w:pPr>
            <w:r w:rsidRPr="000D27EF">
              <w:rPr>
                <w:rFonts w:ascii="Times New Roman" w:eastAsia="Yu Mincho" w:hAnsi="Times New Roman" w:cs="Times New Roman"/>
                <w:b/>
                <w:color w:val="000000"/>
                <w:sz w:val="20"/>
                <w:szCs w:val="20"/>
              </w:rPr>
              <w:t>Note:</w:t>
            </w:r>
          </w:p>
          <w:p w:rsidR="001A547C" w:rsidRPr="000D27EF" w:rsidRDefault="001A547C" w:rsidP="00346C63">
            <w:pPr>
              <w:spacing w:line="240" w:lineRule="auto"/>
              <w:ind w:right="-105"/>
              <w:rPr>
                <w:rFonts w:ascii="Times New Roman" w:eastAsia="Yu Mincho" w:hAnsi="Times New Roman" w:cs="Times New Roman"/>
                <w:b/>
                <w:color w:val="000000"/>
                <w:sz w:val="20"/>
                <w:szCs w:val="20"/>
              </w:rPr>
            </w:pPr>
            <w:r w:rsidRPr="000D27EF">
              <w:rPr>
                <w:rFonts w:ascii="Times New Roman" w:hAnsi="Times New Roman" w:cs="Times New Roman"/>
                <w:sz w:val="20"/>
                <w:szCs w:val="20"/>
              </w:rPr>
              <w:t>Based on the International Poverty Line of US$1.90/day. Adults refer to persons aged 25 and above; youth refers to those between 15 and 24 inclusive. 2015, 2016 and 2017 numbers are cited from the Statistical Annex of the Secretary General’s Report on the Progress towards the Sustainable Development Goals, 2016, 2017 and 2018 versions, respectively.  Disaggregation by location is not available.</w:t>
            </w:r>
          </w:p>
        </w:tc>
      </w:tr>
      <w:tr w:rsidR="001A547C" w:rsidRPr="000D27EF" w:rsidTr="00346C63">
        <w:trPr>
          <w:trHeight w:val="426"/>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CAE9C0"/>
            <w:hideMark/>
          </w:tcPr>
          <w:p w:rsidR="001A547C" w:rsidRPr="000D27EF" w:rsidRDefault="001A547C" w:rsidP="00346C63">
            <w:pPr>
              <w:spacing w:line="240" w:lineRule="auto"/>
              <w:rPr>
                <w:rFonts w:ascii="Times New Roman" w:eastAsia="SimSun" w:hAnsi="Times New Roman" w:cs="Times New Roman"/>
                <w:b/>
                <w:color w:val="000000"/>
                <w:sz w:val="20"/>
                <w:szCs w:val="20"/>
              </w:rPr>
            </w:pPr>
            <w:r w:rsidRPr="000D27EF">
              <w:rPr>
                <w:rFonts w:ascii="Times New Roman" w:eastAsia="SimSun" w:hAnsi="Times New Roman" w:cs="Times New Roman"/>
                <w:b/>
                <w:color w:val="000000"/>
                <w:sz w:val="20"/>
                <w:szCs w:val="20"/>
              </w:rPr>
              <w:t>FUNDS AND PROGRAMMES COMMON CHAPTER INDICATOR</w:t>
            </w:r>
          </w:p>
          <w:p w:rsidR="001A547C" w:rsidRPr="000D27EF" w:rsidRDefault="001A547C" w:rsidP="00346C63">
            <w:pPr>
              <w:spacing w:line="240" w:lineRule="auto"/>
              <w:rPr>
                <w:rFonts w:ascii="Times New Roman" w:eastAsia="SimSun" w:hAnsi="Times New Roman" w:cs="Times New Roman"/>
                <w:b/>
                <w:color w:val="000000"/>
                <w:sz w:val="20"/>
                <w:szCs w:val="20"/>
              </w:rPr>
            </w:pPr>
            <w:r w:rsidRPr="000D27EF">
              <w:rPr>
                <w:rFonts w:ascii="Times New Roman" w:eastAsia="SimSun" w:hAnsi="Times New Roman" w:cs="Times New Roman"/>
                <w:b/>
                <w:color w:val="000000"/>
                <w:sz w:val="20"/>
                <w:szCs w:val="20"/>
              </w:rPr>
              <w:t xml:space="preserve">Corresponding SDG target: </w:t>
            </w:r>
            <w:r w:rsidRPr="000D27EF">
              <w:rPr>
                <w:rFonts w:ascii="Times New Roman" w:eastAsia="SimSun" w:hAnsi="Times New Roman" w:cs="Times New Roman"/>
                <w:color w:val="000000"/>
                <w:sz w:val="20"/>
                <w:szCs w:val="20"/>
              </w:rPr>
              <w:t xml:space="preserve">1.1 By 2030, eradicate extreme poverty for all people everywhere, currently measured as people living on less than $1.25 a day  </w:t>
            </w:r>
          </w:p>
        </w:tc>
      </w:tr>
      <w:tr w:rsidR="001A547C" w:rsidRPr="000D27EF" w:rsidTr="00346C63">
        <w:trPr>
          <w:trHeight w:val="260"/>
          <w:jc w:val="center"/>
        </w:trPr>
        <w:tc>
          <w:tcPr>
            <w:tcW w:w="118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A547C" w:rsidRPr="000D27EF" w:rsidRDefault="001A547C" w:rsidP="00346C63">
            <w:pPr>
              <w:spacing w:line="240" w:lineRule="auto"/>
              <w:ind w:right="-105"/>
              <w:rPr>
                <w:rFonts w:ascii="Times New Roman" w:eastAsia="Yu Mincho" w:hAnsi="Times New Roman" w:cs="Times New Roman"/>
                <w:color w:val="000000"/>
                <w:sz w:val="20"/>
                <w:szCs w:val="20"/>
              </w:rPr>
            </w:pPr>
            <w:r w:rsidRPr="000D27EF">
              <w:rPr>
                <w:rFonts w:ascii="Times New Roman" w:eastAsia="Yu Mincho" w:hAnsi="Times New Roman" w:cs="Times New Roman"/>
                <w:color w:val="000000"/>
                <w:sz w:val="20"/>
                <w:szCs w:val="20"/>
              </w:rPr>
              <w:t>SDG 1.3.1  Proportion of population covered by social protection floors/systems, by sex, distinguishing children, unemployed persons, older persons, persons with disabilities, pregnant women, new-borns, work-injury victims and the poor and the vulnerable</w:t>
            </w:r>
          </w:p>
        </w:tc>
        <w:tc>
          <w:tcPr>
            <w:tcW w:w="953"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jc w:val="center"/>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Not available</w:t>
            </w:r>
          </w:p>
        </w:tc>
        <w:tc>
          <w:tcPr>
            <w:tcW w:w="953" w:type="pct"/>
            <w:tcBorders>
              <w:top w:val="single" w:sz="4" w:space="0" w:color="auto"/>
              <w:left w:val="single" w:sz="4" w:space="0" w:color="auto"/>
              <w:bottom w:val="single" w:sz="4" w:space="0" w:color="auto"/>
              <w:right w:val="single" w:sz="4" w:space="0" w:color="auto"/>
            </w:tcBorders>
            <w:hideMark/>
          </w:tcPr>
          <w:p w:rsidR="001A547C" w:rsidRPr="000D27EF" w:rsidRDefault="001A547C" w:rsidP="00346C63">
            <w:pPr>
              <w:spacing w:line="240" w:lineRule="auto"/>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Children</w:t>
            </w:r>
            <w:r w:rsidRPr="000D27EF">
              <w:rPr>
                <w:rFonts w:ascii="Times New Roman" w:eastAsia="Calibri" w:hAnsi="Times New Roman" w:cs="Times New Roman"/>
                <w:color w:val="000000"/>
                <w:sz w:val="20"/>
                <w:szCs w:val="20"/>
                <w:vertAlign w:val="superscript"/>
              </w:rPr>
              <w:t>a</w:t>
            </w:r>
            <w:r w:rsidRPr="000D27EF">
              <w:rPr>
                <w:rFonts w:ascii="Times New Roman" w:eastAsia="Calibri" w:hAnsi="Times New Roman" w:cs="Times New Roman"/>
                <w:color w:val="000000"/>
                <w:sz w:val="20"/>
                <w:szCs w:val="20"/>
              </w:rPr>
              <w:t>: 34.9%</w:t>
            </w:r>
          </w:p>
          <w:p w:rsidR="001A547C" w:rsidRPr="000D27EF" w:rsidRDefault="001A547C" w:rsidP="00346C63">
            <w:pPr>
              <w:spacing w:line="240" w:lineRule="auto"/>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Mothers with newborns</w:t>
            </w:r>
            <w:r w:rsidRPr="000D27EF">
              <w:rPr>
                <w:rFonts w:ascii="Times New Roman" w:eastAsia="Calibri" w:hAnsi="Times New Roman" w:cs="Times New Roman"/>
                <w:color w:val="000000"/>
                <w:sz w:val="20"/>
                <w:szCs w:val="20"/>
                <w:vertAlign w:val="superscript"/>
              </w:rPr>
              <w:t>b</w:t>
            </w:r>
            <w:r w:rsidRPr="000D27EF">
              <w:rPr>
                <w:rFonts w:ascii="Times New Roman" w:eastAsia="Calibri" w:hAnsi="Times New Roman" w:cs="Times New Roman"/>
                <w:color w:val="000000"/>
                <w:sz w:val="20"/>
                <w:szCs w:val="20"/>
              </w:rPr>
              <w:t>: 41.1%</w:t>
            </w:r>
          </w:p>
          <w:p w:rsidR="001A547C" w:rsidRPr="000D27EF" w:rsidRDefault="001A547C" w:rsidP="00346C63">
            <w:pPr>
              <w:spacing w:line="240" w:lineRule="auto"/>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Older persons</w:t>
            </w:r>
            <w:r w:rsidRPr="000D27EF">
              <w:rPr>
                <w:rFonts w:ascii="Times New Roman" w:eastAsia="Calibri" w:hAnsi="Times New Roman" w:cs="Times New Roman"/>
                <w:color w:val="000000"/>
                <w:sz w:val="20"/>
                <w:szCs w:val="20"/>
                <w:vertAlign w:val="superscript"/>
              </w:rPr>
              <w:t>c</w:t>
            </w:r>
            <w:r w:rsidRPr="000D27EF">
              <w:rPr>
                <w:rFonts w:ascii="Times New Roman" w:eastAsia="Calibri" w:hAnsi="Times New Roman" w:cs="Times New Roman"/>
                <w:color w:val="000000"/>
                <w:sz w:val="20"/>
                <w:szCs w:val="20"/>
              </w:rPr>
              <w:t>: 67.9%</w:t>
            </w:r>
          </w:p>
          <w:p w:rsidR="001A547C" w:rsidRPr="000D27EF" w:rsidRDefault="001A547C" w:rsidP="00346C63">
            <w:pPr>
              <w:spacing w:line="240" w:lineRule="auto"/>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Unemployed</w:t>
            </w:r>
            <w:r w:rsidRPr="000D27EF">
              <w:rPr>
                <w:rFonts w:ascii="Times New Roman" w:eastAsia="Calibri" w:hAnsi="Times New Roman" w:cs="Times New Roman"/>
                <w:color w:val="000000"/>
                <w:sz w:val="20"/>
                <w:szCs w:val="20"/>
                <w:vertAlign w:val="superscript"/>
              </w:rPr>
              <w:t>d</w:t>
            </w:r>
            <w:r w:rsidRPr="000D27EF">
              <w:rPr>
                <w:rFonts w:ascii="Times New Roman" w:eastAsia="Calibri" w:hAnsi="Times New Roman" w:cs="Times New Roman"/>
                <w:color w:val="000000"/>
                <w:sz w:val="20"/>
                <w:szCs w:val="20"/>
              </w:rPr>
              <w:t>: 21.8%</w:t>
            </w:r>
          </w:p>
          <w:p w:rsidR="001A547C" w:rsidRPr="000D27EF" w:rsidRDefault="001A547C" w:rsidP="00346C63">
            <w:pPr>
              <w:spacing w:line="240" w:lineRule="auto"/>
              <w:ind w:left="262" w:hanging="262"/>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Persons with severe disability</w:t>
            </w:r>
            <w:r w:rsidRPr="000D27EF">
              <w:rPr>
                <w:rFonts w:ascii="Times New Roman" w:eastAsia="Calibri" w:hAnsi="Times New Roman" w:cs="Times New Roman"/>
                <w:color w:val="000000"/>
                <w:sz w:val="20"/>
                <w:szCs w:val="20"/>
                <w:vertAlign w:val="superscript"/>
              </w:rPr>
              <w:t>e</w:t>
            </w:r>
            <w:r w:rsidRPr="000D27EF">
              <w:rPr>
                <w:rFonts w:ascii="Times New Roman" w:eastAsia="Calibri" w:hAnsi="Times New Roman" w:cs="Times New Roman"/>
                <w:color w:val="000000"/>
                <w:sz w:val="20"/>
                <w:szCs w:val="20"/>
              </w:rPr>
              <w:t>: 27.8%</w:t>
            </w:r>
          </w:p>
          <w:p w:rsidR="001A547C" w:rsidRPr="000D27EF" w:rsidRDefault="001A547C" w:rsidP="00346C63">
            <w:pPr>
              <w:spacing w:line="240" w:lineRule="auto"/>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Vulnerable</w:t>
            </w:r>
            <w:r w:rsidRPr="000D27EF">
              <w:rPr>
                <w:rFonts w:ascii="Times New Roman" w:eastAsia="Calibri" w:hAnsi="Times New Roman" w:cs="Times New Roman"/>
                <w:color w:val="000000"/>
                <w:sz w:val="20"/>
                <w:szCs w:val="20"/>
                <w:vertAlign w:val="superscript"/>
              </w:rPr>
              <w:t>f</w:t>
            </w:r>
            <w:bookmarkStart w:id="12" w:name="_GoBack"/>
            <w:bookmarkEnd w:id="12"/>
            <w:r w:rsidRPr="000D27EF">
              <w:rPr>
                <w:rFonts w:ascii="Times New Roman" w:eastAsia="Calibri" w:hAnsi="Times New Roman" w:cs="Times New Roman"/>
                <w:color w:val="000000"/>
                <w:sz w:val="20"/>
                <w:szCs w:val="20"/>
              </w:rPr>
              <w:t>: 24.7%</w:t>
            </w:r>
          </w:p>
        </w:tc>
        <w:tc>
          <w:tcPr>
            <w:tcW w:w="953"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jc w:val="center"/>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No update</w:t>
            </w:r>
          </w:p>
        </w:tc>
        <w:tc>
          <w:tcPr>
            <w:tcW w:w="953"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jc w:val="center"/>
              <w:rPr>
                <w:rFonts w:ascii="Times New Roman" w:eastAsia="Calibri" w:hAnsi="Times New Roman" w:cs="Times New Roman"/>
                <w:color w:val="000000"/>
                <w:sz w:val="20"/>
                <w:szCs w:val="20"/>
              </w:rPr>
            </w:pPr>
            <w:r w:rsidRPr="000D27EF">
              <w:rPr>
                <w:rFonts w:ascii="Times New Roman" w:eastAsia="Calibri" w:hAnsi="Times New Roman" w:cs="Times New Roman"/>
                <w:color w:val="000000" w:themeColor="text1"/>
                <w:sz w:val="20"/>
                <w:szCs w:val="20"/>
              </w:rPr>
              <w:t>No update</w:t>
            </w:r>
          </w:p>
        </w:tc>
      </w:tr>
      <w:tr w:rsidR="001A547C" w:rsidRPr="000D27EF" w:rsidTr="00346C63">
        <w:trPr>
          <w:trHeight w:val="26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7C" w:rsidRPr="000D27EF" w:rsidRDefault="001A547C" w:rsidP="00346C63">
            <w:pPr>
              <w:spacing w:line="240" w:lineRule="auto"/>
              <w:ind w:right="-105"/>
              <w:rPr>
                <w:rFonts w:ascii="Times New Roman" w:eastAsia="Yu Mincho" w:hAnsi="Times New Roman" w:cs="Times New Roman"/>
                <w:color w:val="000000"/>
                <w:sz w:val="20"/>
                <w:szCs w:val="20"/>
              </w:rPr>
            </w:pPr>
            <w:r w:rsidRPr="000D27EF">
              <w:rPr>
                <w:rFonts w:ascii="Times New Roman" w:eastAsia="Yu Mincho" w:hAnsi="Times New Roman" w:cs="Times New Roman"/>
                <w:b/>
                <w:color w:val="000000"/>
                <w:sz w:val="20"/>
                <w:szCs w:val="20"/>
              </w:rPr>
              <w:t>Note</w:t>
            </w:r>
            <w:r w:rsidRPr="000D27EF">
              <w:rPr>
                <w:rFonts w:ascii="Times New Roman" w:eastAsia="Yu Mincho" w:hAnsi="Times New Roman" w:cs="Times New Roman"/>
                <w:color w:val="000000"/>
                <w:sz w:val="20"/>
                <w:szCs w:val="20"/>
              </w:rPr>
              <w:t>:</w:t>
            </w:r>
          </w:p>
          <w:p w:rsidR="001A547C" w:rsidRPr="000D27EF" w:rsidRDefault="001A547C" w:rsidP="00346C63">
            <w:pPr>
              <w:spacing w:line="240" w:lineRule="auto"/>
              <w:ind w:right="-105"/>
              <w:rPr>
                <w:rFonts w:ascii="Times New Roman" w:eastAsia="Yu Mincho" w:hAnsi="Times New Roman" w:cs="Times New Roman"/>
                <w:color w:val="000000"/>
                <w:sz w:val="20"/>
                <w:szCs w:val="20"/>
              </w:rPr>
            </w:pPr>
            <w:r w:rsidRPr="000D27EF">
              <w:rPr>
                <w:rFonts w:ascii="Times New Roman" w:eastAsia="Yu Mincho" w:hAnsi="Times New Roman" w:cs="Times New Roman"/>
                <w:color w:val="000000"/>
                <w:sz w:val="20"/>
                <w:szCs w:val="20"/>
              </w:rPr>
              <w:t>As published in “The Sustainable Development Goals Report 2018” and in the “Progress towards the Sustainable Development Goals Report of the Secretary-General Supplementary Information” 2018, also known as the “Statistical Annex.”  There is no update in 2017</w:t>
            </w:r>
            <w:r>
              <w:rPr>
                <w:rFonts w:ascii="Times New Roman" w:eastAsia="Yu Mincho" w:hAnsi="Times New Roman" w:cs="Times New Roman"/>
                <w:color w:val="000000"/>
                <w:sz w:val="20"/>
                <w:szCs w:val="20"/>
              </w:rPr>
              <w:t xml:space="preserve"> </w:t>
            </w:r>
            <w:r w:rsidRPr="000D27EF">
              <w:rPr>
                <w:rFonts w:ascii="Times New Roman" w:eastAsia="Yu Mincho" w:hAnsi="Times New Roman" w:cs="Times New Roman"/>
                <w:color w:val="000000"/>
                <w:sz w:val="20"/>
                <w:szCs w:val="20"/>
              </w:rPr>
              <w:t>available for this indicator. Social protection for different groups refers to:</w:t>
            </w:r>
          </w:p>
          <w:p w:rsidR="001A547C" w:rsidRPr="000D27EF" w:rsidRDefault="001A547C" w:rsidP="00346C63">
            <w:pPr>
              <w:spacing w:line="240" w:lineRule="auto"/>
              <w:ind w:right="-105"/>
              <w:rPr>
                <w:rFonts w:ascii="Times New Roman" w:eastAsia="Yu Mincho" w:hAnsi="Times New Roman" w:cs="Times New Roman"/>
                <w:color w:val="000000"/>
                <w:sz w:val="20"/>
                <w:szCs w:val="20"/>
              </w:rPr>
            </w:pPr>
            <w:r w:rsidRPr="000D27EF">
              <w:rPr>
                <w:rFonts w:ascii="Times New Roman" w:eastAsia="Yu Mincho" w:hAnsi="Times New Roman" w:cs="Times New Roman"/>
                <w:color w:val="000000"/>
                <w:sz w:val="20"/>
                <w:szCs w:val="20"/>
                <w:vertAlign w:val="superscript"/>
              </w:rPr>
              <w:t>a</w:t>
            </w:r>
            <w:r w:rsidRPr="000D27EF">
              <w:rPr>
                <w:rFonts w:ascii="Times New Roman" w:eastAsia="Yu Mincho" w:hAnsi="Times New Roman" w:cs="Times New Roman"/>
                <w:color w:val="000000"/>
                <w:sz w:val="20"/>
                <w:szCs w:val="20"/>
              </w:rPr>
              <w:t xml:space="preserve"> Proportion of children/households receiving child/family cash benefit.</w:t>
            </w:r>
          </w:p>
          <w:p w:rsidR="001A547C" w:rsidRPr="000D27EF" w:rsidRDefault="001A547C" w:rsidP="00346C63">
            <w:pPr>
              <w:spacing w:line="240" w:lineRule="auto"/>
              <w:ind w:right="-105"/>
              <w:rPr>
                <w:rFonts w:ascii="Times New Roman" w:eastAsia="Yu Mincho" w:hAnsi="Times New Roman" w:cs="Times New Roman"/>
                <w:color w:val="000000"/>
                <w:sz w:val="20"/>
                <w:szCs w:val="20"/>
              </w:rPr>
            </w:pPr>
            <w:r w:rsidRPr="000D27EF">
              <w:rPr>
                <w:rFonts w:ascii="Times New Roman" w:eastAsia="Yu Mincho" w:hAnsi="Times New Roman" w:cs="Times New Roman"/>
                <w:color w:val="000000"/>
                <w:sz w:val="20"/>
                <w:szCs w:val="20"/>
                <w:vertAlign w:val="superscript"/>
              </w:rPr>
              <w:t xml:space="preserve">b </w:t>
            </w:r>
            <w:r w:rsidRPr="000D27EF">
              <w:rPr>
                <w:rFonts w:ascii="Times New Roman" w:eastAsia="Yu Mincho" w:hAnsi="Times New Roman" w:cs="Times New Roman"/>
                <w:color w:val="000000"/>
                <w:sz w:val="20"/>
                <w:szCs w:val="20"/>
              </w:rPr>
              <w:t>Proportion of mothers with newborns receiving maternity cash benefit.</w:t>
            </w:r>
          </w:p>
          <w:p w:rsidR="001A547C" w:rsidRPr="000D27EF" w:rsidRDefault="001A547C" w:rsidP="00346C63">
            <w:pPr>
              <w:spacing w:line="240" w:lineRule="auto"/>
              <w:ind w:right="-105"/>
              <w:rPr>
                <w:rFonts w:ascii="Times New Roman" w:eastAsia="Yu Mincho" w:hAnsi="Times New Roman" w:cs="Times New Roman"/>
                <w:color w:val="000000"/>
                <w:sz w:val="20"/>
                <w:szCs w:val="20"/>
              </w:rPr>
            </w:pPr>
            <w:r w:rsidRPr="000D27EF">
              <w:rPr>
                <w:rFonts w:ascii="Times New Roman" w:eastAsia="Yu Mincho" w:hAnsi="Times New Roman" w:cs="Times New Roman"/>
                <w:color w:val="000000"/>
                <w:sz w:val="20"/>
                <w:szCs w:val="20"/>
                <w:vertAlign w:val="superscript"/>
              </w:rPr>
              <w:t xml:space="preserve">c </w:t>
            </w:r>
            <w:r w:rsidRPr="000D27EF">
              <w:rPr>
                <w:rFonts w:ascii="Times New Roman" w:eastAsia="Yu Mincho" w:hAnsi="Times New Roman" w:cs="Times New Roman"/>
                <w:color w:val="000000"/>
                <w:sz w:val="20"/>
                <w:szCs w:val="20"/>
              </w:rPr>
              <w:t>Proportion of population above statutory pensionable age receiving a pension.</w:t>
            </w:r>
          </w:p>
          <w:p w:rsidR="001A547C" w:rsidRPr="000D27EF" w:rsidRDefault="001A547C" w:rsidP="00346C63">
            <w:pPr>
              <w:spacing w:line="240" w:lineRule="auto"/>
              <w:ind w:right="-105"/>
              <w:rPr>
                <w:rFonts w:ascii="Times New Roman" w:eastAsia="Yu Mincho" w:hAnsi="Times New Roman" w:cs="Times New Roman"/>
                <w:color w:val="000000"/>
                <w:sz w:val="20"/>
                <w:szCs w:val="20"/>
              </w:rPr>
            </w:pPr>
            <w:r w:rsidRPr="000D27EF">
              <w:rPr>
                <w:rFonts w:ascii="Times New Roman" w:eastAsia="Yu Mincho" w:hAnsi="Times New Roman" w:cs="Times New Roman"/>
                <w:color w:val="000000"/>
                <w:sz w:val="20"/>
                <w:szCs w:val="20"/>
                <w:vertAlign w:val="superscript"/>
              </w:rPr>
              <w:t xml:space="preserve">d </w:t>
            </w:r>
            <w:r w:rsidRPr="000D27EF">
              <w:rPr>
                <w:rFonts w:ascii="Times New Roman" w:eastAsia="Yu Mincho" w:hAnsi="Times New Roman" w:cs="Times New Roman"/>
                <w:color w:val="000000"/>
                <w:sz w:val="20"/>
                <w:szCs w:val="20"/>
              </w:rPr>
              <w:t>Proportion of unemployed persons receiving unemployment cash benefits.</w:t>
            </w:r>
          </w:p>
          <w:p w:rsidR="001A547C" w:rsidRPr="000D27EF" w:rsidRDefault="001A547C" w:rsidP="00346C63">
            <w:pPr>
              <w:spacing w:line="240" w:lineRule="auto"/>
              <w:ind w:right="-105"/>
              <w:rPr>
                <w:rFonts w:ascii="Times New Roman" w:eastAsia="Yu Mincho" w:hAnsi="Times New Roman" w:cs="Times New Roman"/>
                <w:color w:val="000000"/>
                <w:sz w:val="20"/>
                <w:szCs w:val="20"/>
              </w:rPr>
            </w:pPr>
            <w:r w:rsidRPr="000D27EF">
              <w:rPr>
                <w:rFonts w:ascii="Times New Roman" w:eastAsia="Yu Mincho" w:hAnsi="Times New Roman" w:cs="Times New Roman"/>
                <w:color w:val="000000"/>
                <w:sz w:val="20"/>
                <w:szCs w:val="20"/>
                <w:vertAlign w:val="superscript"/>
              </w:rPr>
              <w:t xml:space="preserve">e </w:t>
            </w:r>
            <w:r w:rsidRPr="000D27EF">
              <w:rPr>
                <w:rFonts w:ascii="Times New Roman" w:eastAsia="Yu Mincho" w:hAnsi="Times New Roman" w:cs="Times New Roman"/>
                <w:color w:val="000000"/>
                <w:sz w:val="20"/>
                <w:szCs w:val="20"/>
              </w:rPr>
              <w:t>Proportion of population with severe disabilities collecting disability cash benefits.</w:t>
            </w:r>
          </w:p>
          <w:p w:rsidR="001A547C" w:rsidRPr="000D27EF" w:rsidRDefault="001A547C" w:rsidP="00346C63">
            <w:pPr>
              <w:spacing w:line="240" w:lineRule="auto"/>
              <w:ind w:right="-105"/>
              <w:rPr>
                <w:rFonts w:ascii="Times New Roman" w:eastAsia="Yu Mincho" w:hAnsi="Times New Roman" w:cs="Times New Roman"/>
                <w:b/>
                <w:color w:val="000000"/>
                <w:sz w:val="20"/>
                <w:szCs w:val="20"/>
              </w:rPr>
            </w:pPr>
            <w:r w:rsidRPr="000D27EF">
              <w:rPr>
                <w:rFonts w:ascii="Times New Roman" w:eastAsia="Yu Mincho" w:hAnsi="Times New Roman" w:cs="Times New Roman"/>
                <w:color w:val="000000"/>
                <w:sz w:val="20"/>
                <w:szCs w:val="20"/>
                <w:vertAlign w:val="superscript"/>
              </w:rPr>
              <w:t xml:space="preserve">f </w:t>
            </w:r>
            <w:r w:rsidRPr="000D27EF">
              <w:rPr>
                <w:rFonts w:ascii="Times New Roman" w:eastAsia="Yu Mincho" w:hAnsi="Times New Roman" w:cs="Times New Roman"/>
                <w:color w:val="000000"/>
                <w:sz w:val="20"/>
                <w:szCs w:val="20"/>
              </w:rPr>
              <w:t>Proportion of vulnerable population receiving social assistance cash benefit.</w:t>
            </w:r>
          </w:p>
        </w:tc>
      </w:tr>
      <w:tr w:rsidR="001A547C" w:rsidRPr="000D27EF" w:rsidTr="00346C63">
        <w:trPr>
          <w:trHeight w:val="26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CAE9C0"/>
            <w:hideMark/>
          </w:tcPr>
          <w:p w:rsidR="001A547C" w:rsidRPr="000D27EF" w:rsidRDefault="001A547C" w:rsidP="00346C63">
            <w:pPr>
              <w:spacing w:line="240" w:lineRule="auto"/>
              <w:rPr>
                <w:rFonts w:ascii="Times New Roman" w:eastAsia="SimSun" w:hAnsi="Times New Roman" w:cs="Times New Roman"/>
                <w:b/>
                <w:color w:val="000000"/>
                <w:sz w:val="20"/>
                <w:szCs w:val="20"/>
              </w:rPr>
            </w:pPr>
            <w:r w:rsidRPr="000D27EF">
              <w:rPr>
                <w:rFonts w:ascii="Times New Roman" w:eastAsia="SimSun" w:hAnsi="Times New Roman" w:cs="Times New Roman"/>
                <w:b/>
                <w:color w:val="000000"/>
                <w:sz w:val="20"/>
                <w:szCs w:val="20"/>
              </w:rPr>
              <w:lastRenderedPageBreak/>
              <w:t>Corresponding SDG target</w:t>
            </w:r>
            <w:r w:rsidRPr="000D27EF">
              <w:rPr>
                <w:rFonts w:ascii="Times New Roman" w:eastAsia="SimSun" w:hAnsi="Times New Roman" w:cs="Times New Roman"/>
                <w:color w:val="000000"/>
                <w:sz w:val="20"/>
                <w:szCs w:val="20"/>
              </w:rPr>
              <w:t>: 1.3 Implement nationally appropriate social protection systems and measures for all, including floors, and by 2030 achieve substantial coverage of the poor and the vulnerable</w:t>
            </w:r>
          </w:p>
        </w:tc>
      </w:tr>
    </w:tbl>
    <w:p w:rsidR="001A547C" w:rsidRPr="000D27EF" w:rsidRDefault="001A547C" w:rsidP="001A547C">
      <w:pPr>
        <w:spacing w:line="240" w:lineRule="auto"/>
        <w:rPr>
          <w:rFonts w:ascii="Times New Roman" w:eastAsia="Yu Mincho" w:hAnsi="Times New Roman" w:cs="Times New Roman"/>
          <w:color w:val="000000"/>
          <w:sz w:val="20"/>
          <w:szCs w:val="20"/>
          <w:lang w:val="en-GB"/>
        </w:rPr>
      </w:pPr>
    </w:p>
    <w:p w:rsidR="001A547C" w:rsidRPr="000D27EF" w:rsidRDefault="001A547C" w:rsidP="001A547C">
      <w:pPr>
        <w:spacing w:line="240" w:lineRule="auto"/>
        <w:rPr>
          <w:rFonts w:ascii="Times New Roman" w:eastAsiaTheme="minorEastAsia" w:hAnsi="Times New Roman" w:cs="Times New Roman"/>
          <w:sz w:val="18"/>
          <w:lang w:eastAsia="x-none"/>
        </w:rPr>
      </w:pPr>
    </w:p>
    <w:p w:rsidR="001A547C" w:rsidRPr="000D27EF" w:rsidRDefault="001A547C" w:rsidP="001A547C">
      <w:pPr>
        <w:pStyle w:val="Heading1"/>
        <w:spacing w:before="0" w:after="0" w:line="240" w:lineRule="auto"/>
        <w:rPr>
          <w:rFonts w:ascii="Times New Roman" w:eastAsia="SimSun" w:hAnsi="Times New Roman" w:cs="Times New Roman"/>
          <w:sz w:val="24"/>
          <w:lang w:val="en-US" w:eastAsia="x-none"/>
        </w:rPr>
      </w:pPr>
      <w:r w:rsidRPr="000D27EF">
        <w:rPr>
          <w:rFonts w:ascii="Times New Roman" w:eastAsia="SimSun" w:hAnsi="Times New Roman" w:cs="Times New Roman"/>
          <w:sz w:val="24"/>
          <w:lang w:val="en-US"/>
        </w:rPr>
        <w:t>(b) Addressing climate change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069"/>
        <w:gridCol w:w="2471"/>
        <w:gridCol w:w="2471"/>
        <w:gridCol w:w="2471"/>
        <w:gridCol w:w="2468"/>
      </w:tblGrid>
      <w:tr w:rsidR="001A547C" w:rsidRPr="000D27EF" w:rsidTr="00346C63">
        <w:trPr>
          <w:trHeight w:val="350"/>
        </w:trPr>
        <w:tc>
          <w:tcPr>
            <w:tcW w:w="118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ind w:right="-119"/>
              <w:jc w:val="center"/>
              <w:rPr>
                <w:rFonts w:ascii="Times New Roman" w:eastAsia="Calibri" w:hAnsi="Times New Roman" w:cs="Times New Roman"/>
                <w:b/>
                <w:color w:val="000000" w:themeColor="text1"/>
                <w:sz w:val="20"/>
                <w:szCs w:val="20"/>
                <w:lang w:val="en-GB"/>
              </w:rPr>
            </w:pPr>
            <w:r w:rsidRPr="000D27EF">
              <w:rPr>
                <w:rFonts w:ascii="Times New Roman" w:eastAsia="Calibri" w:hAnsi="Times New Roman" w:cs="Times New Roman"/>
                <w:b/>
                <w:color w:val="000000"/>
                <w:sz w:val="20"/>
                <w:szCs w:val="20"/>
              </w:rPr>
              <w:t>Common SDG Indicator</w:t>
            </w:r>
          </w:p>
        </w:tc>
        <w:tc>
          <w:tcPr>
            <w:tcW w:w="95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ind w:right="-119"/>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2015</w:t>
            </w:r>
          </w:p>
        </w:tc>
        <w:tc>
          <w:tcPr>
            <w:tcW w:w="95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ind w:right="-119"/>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2016</w:t>
            </w:r>
          </w:p>
        </w:tc>
        <w:tc>
          <w:tcPr>
            <w:tcW w:w="95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ind w:right="-119"/>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2017</w:t>
            </w:r>
          </w:p>
        </w:tc>
        <w:tc>
          <w:tcPr>
            <w:tcW w:w="95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ind w:right="-119"/>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2018</w:t>
            </w:r>
          </w:p>
        </w:tc>
      </w:tr>
      <w:tr w:rsidR="001A547C" w:rsidRPr="000D27EF" w:rsidTr="00346C63">
        <w:trPr>
          <w:trHeight w:val="488"/>
        </w:trPr>
        <w:tc>
          <w:tcPr>
            <w:tcW w:w="1185"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ind w:right="-119"/>
              <w:rPr>
                <w:rFonts w:ascii="Times New Roman" w:eastAsia="Calibri" w:hAnsi="Times New Roman" w:cs="Times New Roman"/>
                <w:color w:val="000000" w:themeColor="text1"/>
                <w:sz w:val="20"/>
                <w:szCs w:val="20"/>
              </w:rPr>
            </w:pPr>
            <w:r w:rsidRPr="000D27EF">
              <w:rPr>
                <w:rFonts w:ascii="Times New Roman" w:eastAsia="SimSun" w:hAnsi="Times New Roman" w:cs="Times New Roman"/>
                <w:color w:val="000000"/>
                <w:sz w:val="20"/>
                <w:szCs w:val="20"/>
              </w:rPr>
              <w:t>SDG 1.5.1, 11.5.1, 13.1.1  Number of deaths, missing persons and directly affected persons attributed to disasters per 100,000 population (disaggregated by sex to the extent possible)</w:t>
            </w:r>
          </w:p>
        </w:tc>
        <w:tc>
          <w:tcPr>
            <w:tcW w:w="954"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ind w:right="-119"/>
              <w:jc w:val="center"/>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Not published in the SDG report</w:t>
            </w:r>
          </w:p>
        </w:tc>
        <w:tc>
          <w:tcPr>
            <w:tcW w:w="954"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ind w:right="-119"/>
              <w:jc w:val="center"/>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Not published in the SDG report</w:t>
            </w:r>
          </w:p>
        </w:tc>
        <w:tc>
          <w:tcPr>
            <w:tcW w:w="954"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ind w:right="-119"/>
              <w:jc w:val="center"/>
              <w:rPr>
                <w:rFonts w:ascii="Times New Roman" w:eastAsia="Yu Mincho" w:hAnsi="Times New Roman" w:cs="Times New Roman"/>
                <w:color w:val="000000"/>
                <w:sz w:val="20"/>
                <w:szCs w:val="20"/>
              </w:rPr>
            </w:pPr>
            <w:r w:rsidRPr="000D27EF">
              <w:rPr>
                <w:rFonts w:ascii="Times New Roman" w:eastAsia="Calibri" w:hAnsi="Times New Roman" w:cs="Times New Roman"/>
                <w:color w:val="000000" w:themeColor="text1"/>
                <w:sz w:val="20"/>
                <w:szCs w:val="20"/>
              </w:rPr>
              <w:t>Not published in the SDG report</w:t>
            </w:r>
          </w:p>
        </w:tc>
        <w:tc>
          <w:tcPr>
            <w:tcW w:w="953"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ind w:right="-119"/>
              <w:jc w:val="center"/>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Not published in the SDG report</w:t>
            </w:r>
          </w:p>
        </w:tc>
      </w:tr>
      <w:tr w:rsidR="001A547C" w:rsidRPr="000D27EF" w:rsidTr="00346C63">
        <w:trPr>
          <w:trHeight w:val="257"/>
        </w:trPr>
        <w:tc>
          <w:tcPr>
            <w:tcW w:w="5000" w:type="pct"/>
            <w:gridSpan w:val="5"/>
            <w:tcBorders>
              <w:top w:val="single" w:sz="4" w:space="0" w:color="auto"/>
              <w:left w:val="single" w:sz="4" w:space="0" w:color="auto"/>
              <w:bottom w:val="single" w:sz="4" w:space="0" w:color="auto"/>
              <w:right w:val="single" w:sz="4" w:space="0" w:color="auto"/>
            </w:tcBorders>
            <w:shd w:val="clear" w:color="auto" w:fill="CAE9C0"/>
            <w:vAlign w:val="center"/>
            <w:hideMark/>
          </w:tcPr>
          <w:p w:rsidR="001A547C" w:rsidRPr="000D27EF" w:rsidRDefault="001A547C" w:rsidP="00346C63">
            <w:pPr>
              <w:spacing w:line="240" w:lineRule="auto"/>
              <w:rPr>
                <w:rFonts w:ascii="Times New Roman" w:eastAsia="SimSun" w:hAnsi="Times New Roman" w:cs="Times New Roman"/>
                <w:b/>
                <w:color w:val="000000"/>
                <w:sz w:val="20"/>
                <w:szCs w:val="20"/>
              </w:rPr>
            </w:pPr>
            <w:r w:rsidRPr="000D27EF">
              <w:rPr>
                <w:rFonts w:ascii="Times New Roman" w:eastAsia="SimSun" w:hAnsi="Times New Roman" w:cs="Times New Roman"/>
                <w:b/>
                <w:color w:val="000000"/>
                <w:sz w:val="20"/>
                <w:szCs w:val="20"/>
              </w:rPr>
              <w:t xml:space="preserve">Corresponding SDG target: </w:t>
            </w:r>
            <w:r w:rsidRPr="000D27EF">
              <w:rPr>
                <w:rFonts w:ascii="Times New Roman" w:eastAsia="SimSun" w:hAnsi="Times New Roman" w:cs="Times New Roman"/>
                <w:color w:val="000000"/>
                <w:sz w:val="20"/>
                <w:szCs w:val="20"/>
              </w:rPr>
              <w:t>1.5 By 2030, build the resilience of the poor and those in vulnerable situations and reduce their exposure and vulnerability to climate-related extreme events and other economic, social and environmental shocks and disasters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  13.1 Strengthen resilience and adaptive capacity to climate-related hazards and natural disasters in all countries</w:t>
            </w:r>
          </w:p>
        </w:tc>
      </w:tr>
    </w:tbl>
    <w:p w:rsidR="001A547C" w:rsidRPr="000D27EF" w:rsidRDefault="001A547C" w:rsidP="001A547C">
      <w:pPr>
        <w:spacing w:line="240" w:lineRule="auto"/>
        <w:rPr>
          <w:rFonts w:ascii="Times New Roman" w:eastAsiaTheme="minorEastAsia" w:hAnsi="Times New Roman" w:cs="Times New Roman"/>
          <w:sz w:val="18"/>
          <w:lang w:val="en-US" w:eastAsia="x-none"/>
        </w:rPr>
      </w:pPr>
    </w:p>
    <w:p w:rsidR="001A547C" w:rsidRPr="000D27EF" w:rsidRDefault="001A547C" w:rsidP="001A547C">
      <w:pPr>
        <w:pStyle w:val="Heading1"/>
        <w:spacing w:before="0" w:after="0" w:line="240" w:lineRule="auto"/>
        <w:rPr>
          <w:rFonts w:ascii="Times New Roman" w:eastAsia="SimSun" w:hAnsi="Times New Roman" w:cs="Times New Roman"/>
          <w:color w:val="000000" w:themeColor="text1"/>
          <w:sz w:val="24"/>
          <w:lang w:val="en-GB" w:eastAsia="x-none"/>
        </w:rPr>
      </w:pPr>
      <w:r w:rsidRPr="000D27EF">
        <w:rPr>
          <w:rFonts w:ascii="Times New Roman" w:eastAsia="SimSun" w:hAnsi="Times New Roman" w:cs="Times New Roman"/>
          <w:color w:val="000000" w:themeColor="text1"/>
          <w:sz w:val="24"/>
          <w:lang w:val="en-GB"/>
        </w:rPr>
        <w:t>(c) Improving adolescent and maternal health</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2471"/>
        <w:gridCol w:w="2471"/>
        <w:gridCol w:w="2471"/>
        <w:gridCol w:w="2468"/>
      </w:tblGrid>
      <w:tr w:rsidR="001A547C" w:rsidRPr="000D27EF" w:rsidTr="00346C63">
        <w:trPr>
          <w:trHeight w:val="364"/>
          <w:tblHeader/>
        </w:trPr>
        <w:tc>
          <w:tcPr>
            <w:tcW w:w="118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rPr>
                <w:rFonts w:ascii="Times New Roman" w:eastAsia="Calibri" w:hAnsi="Times New Roman" w:cs="Times New Roman"/>
                <w:b/>
                <w:color w:val="000000"/>
                <w:sz w:val="20"/>
                <w:szCs w:val="20"/>
                <w:lang w:val="en-GB"/>
              </w:rPr>
            </w:pPr>
            <w:r w:rsidRPr="000D27EF">
              <w:rPr>
                <w:rFonts w:ascii="Times New Roman" w:eastAsia="Calibri" w:hAnsi="Times New Roman" w:cs="Times New Roman"/>
                <w:b/>
                <w:color w:val="000000"/>
                <w:sz w:val="20"/>
                <w:szCs w:val="20"/>
              </w:rPr>
              <w:t>Common SDG Indicator</w:t>
            </w:r>
          </w:p>
        </w:tc>
        <w:tc>
          <w:tcPr>
            <w:tcW w:w="95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2015</w:t>
            </w:r>
          </w:p>
        </w:tc>
        <w:tc>
          <w:tcPr>
            <w:tcW w:w="95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2016</w:t>
            </w:r>
          </w:p>
        </w:tc>
        <w:tc>
          <w:tcPr>
            <w:tcW w:w="95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2017</w:t>
            </w:r>
          </w:p>
        </w:tc>
        <w:tc>
          <w:tcPr>
            <w:tcW w:w="95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2018</w:t>
            </w:r>
          </w:p>
        </w:tc>
      </w:tr>
      <w:tr w:rsidR="001A547C" w:rsidRPr="000D27EF" w:rsidTr="00346C63">
        <w:trPr>
          <w:trHeight w:val="133"/>
        </w:trPr>
        <w:tc>
          <w:tcPr>
            <w:tcW w:w="1185"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ind w:left="-30"/>
              <w:rPr>
                <w:rFonts w:ascii="Times New Roman" w:eastAsia="Calibri" w:hAnsi="Times New Roman" w:cs="Times New Roman"/>
                <w:b/>
                <w:color w:val="000000"/>
                <w:sz w:val="20"/>
                <w:szCs w:val="20"/>
              </w:rPr>
            </w:pPr>
            <w:r w:rsidRPr="000D27EF">
              <w:rPr>
                <w:rFonts w:ascii="Times New Roman" w:eastAsia="Yu Mincho" w:hAnsi="Times New Roman" w:cs="Times New Roman"/>
                <w:color w:val="000000"/>
                <w:sz w:val="20"/>
                <w:szCs w:val="20"/>
              </w:rPr>
              <w:t>SDG 3.3.1 Number of new HIV infections per 1,000 uninfected population, by sex, age and key populations</w:t>
            </w:r>
          </w:p>
        </w:tc>
        <w:tc>
          <w:tcPr>
            <w:tcW w:w="954" w:type="pct"/>
            <w:tcBorders>
              <w:top w:val="single" w:sz="4" w:space="0" w:color="auto"/>
              <w:left w:val="single" w:sz="4" w:space="0" w:color="auto"/>
              <w:bottom w:val="single" w:sz="4" w:space="0" w:color="auto"/>
              <w:right w:val="single" w:sz="4" w:space="0" w:color="auto"/>
            </w:tcBorders>
            <w:hideMark/>
          </w:tcPr>
          <w:p w:rsidR="001A547C" w:rsidRPr="000D27EF" w:rsidRDefault="001A547C" w:rsidP="00346C63">
            <w:pPr>
              <w:spacing w:line="240" w:lineRule="auto"/>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World: 0.27</w:t>
            </w:r>
          </w:p>
          <w:p w:rsidR="001A547C" w:rsidRPr="000D27EF" w:rsidRDefault="001A547C" w:rsidP="00346C63">
            <w:pPr>
              <w:spacing w:line="240" w:lineRule="auto"/>
              <w:ind w:left="252"/>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Male: 0.31</w:t>
            </w:r>
          </w:p>
          <w:p w:rsidR="001A547C" w:rsidRPr="000D27EF" w:rsidRDefault="001A547C" w:rsidP="00346C63">
            <w:pPr>
              <w:spacing w:line="240" w:lineRule="auto"/>
              <w:ind w:left="252"/>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Female: 0.28</w:t>
            </w:r>
          </w:p>
          <w:p w:rsidR="001A547C" w:rsidRPr="000D27EF" w:rsidRDefault="001A547C" w:rsidP="00346C63">
            <w:pPr>
              <w:spacing w:line="240" w:lineRule="auto"/>
              <w:ind w:left="252"/>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Adults (15+): 0.37</w:t>
            </w:r>
          </w:p>
          <w:p w:rsidR="001A547C" w:rsidRPr="000D27EF" w:rsidRDefault="001A547C" w:rsidP="00346C63">
            <w:pPr>
              <w:spacing w:line="240" w:lineRule="auto"/>
              <w:ind w:left="250"/>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Children (0-14): 0.08</w:t>
            </w:r>
          </w:p>
        </w:tc>
        <w:tc>
          <w:tcPr>
            <w:tcW w:w="954" w:type="pct"/>
            <w:tcBorders>
              <w:top w:val="single" w:sz="4" w:space="0" w:color="auto"/>
              <w:left w:val="single" w:sz="4" w:space="0" w:color="auto"/>
              <w:bottom w:val="single" w:sz="4" w:space="0" w:color="auto"/>
              <w:right w:val="single" w:sz="4" w:space="0" w:color="auto"/>
            </w:tcBorders>
            <w:hideMark/>
          </w:tcPr>
          <w:p w:rsidR="001A547C" w:rsidRPr="000D27EF" w:rsidRDefault="001A547C" w:rsidP="00346C63">
            <w:pPr>
              <w:spacing w:line="240" w:lineRule="auto"/>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World: 0.26</w:t>
            </w:r>
          </w:p>
          <w:p w:rsidR="001A547C" w:rsidRPr="000D27EF" w:rsidRDefault="001A547C" w:rsidP="00346C63">
            <w:pPr>
              <w:spacing w:line="240" w:lineRule="auto"/>
              <w:ind w:left="252"/>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Male: 0.27</w:t>
            </w:r>
          </w:p>
          <w:p w:rsidR="001A547C" w:rsidRPr="000D27EF" w:rsidRDefault="001A547C" w:rsidP="00346C63">
            <w:pPr>
              <w:spacing w:line="240" w:lineRule="auto"/>
              <w:ind w:left="252"/>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Female: 0.25</w:t>
            </w:r>
          </w:p>
          <w:p w:rsidR="001A547C" w:rsidRPr="000D27EF" w:rsidRDefault="001A547C" w:rsidP="00346C63">
            <w:pPr>
              <w:spacing w:line="240" w:lineRule="auto"/>
              <w:ind w:left="252"/>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Adults (15+): 0.32</w:t>
            </w:r>
          </w:p>
          <w:p w:rsidR="001A547C" w:rsidRPr="000D27EF" w:rsidRDefault="001A547C" w:rsidP="00346C63">
            <w:pPr>
              <w:spacing w:line="240" w:lineRule="auto"/>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 xml:space="preserve">     Children (0-14): 0.08</w:t>
            </w:r>
          </w:p>
        </w:tc>
        <w:tc>
          <w:tcPr>
            <w:tcW w:w="954"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jc w:val="center"/>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No update</w:t>
            </w:r>
          </w:p>
        </w:tc>
        <w:tc>
          <w:tcPr>
            <w:tcW w:w="954"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jc w:val="center"/>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No update</w:t>
            </w:r>
          </w:p>
        </w:tc>
      </w:tr>
      <w:tr w:rsidR="001A547C" w:rsidRPr="000D27EF" w:rsidTr="00346C63">
        <w:trPr>
          <w:trHeight w:val="133"/>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7C" w:rsidRPr="000D27EF" w:rsidRDefault="001A547C" w:rsidP="00346C63">
            <w:pPr>
              <w:spacing w:line="240" w:lineRule="auto"/>
              <w:ind w:right="-105"/>
              <w:rPr>
                <w:rFonts w:ascii="Times New Roman" w:eastAsia="Yu Mincho" w:hAnsi="Times New Roman" w:cs="Times New Roman"/>
                <w:color w:val="000000"/>
                <w:sz w:val="20"/>
                <w:szCs w:val="20"/>
              </w:rPr>
            </w:pPr>
            <w:r w:rsidRPr="000D27EF">
              <w:rPr>
                <w:rFonts w:ascii="Times New Roman" w:eastAsia="Yu Mincho" w:hAnsi="Times New Roman" w:cs="Times New Roman"/>
                <w:b/>
                <w:color w:val="000000"/>
                <w:sz w:val="20"/>
                <w:szCs w:val="20"/>
              </w:rPr>
              <w:t>Note</w:t>
            </w:r>
            <w:r w:rsidRPr="000D27EF">
              <w:rPr>
                <w:rFonts w:ascii="Times New Roman" w:eastAsia="Yu Mincho" w:hAnsi="Times New Roman" w:cs="Times New Roman"/>
                <w:color w:val="000000"/>
                <w:sz w:val="20"/>
                <w:szCs w:val="20"/>
              </w:rPr>
              <w:t>:</w:t>
            </w:r>
          </w:p>
          <w:p w:rsidR="001A547C" w:rsidRPr="000D27EF" w:rsidRDefault="001A547C" w:rsidP="00346C63">
            <w:pPr>
              <w:spacing w:line="240" w:lineRule="auto"/>
              <w:ind w:right="-105"/>
              <w:rPr>
                <w:rFonts w:ascii="Times New Roman" w:eastAsia="Yu Mincho" w:hAnsi="Times New Roman" w:cs="Times New Roman"/>
                <w:color w:val="000000"/>
                <w:sz w:val="20"/>
                <w:szCs w:val="20"/>
              </w:rPr>
            </w:pPr>
            <w:r w:rsidRPr="000D27EF">
              <w:rPr>
                <w:rFonts w:ascii="Times New Roman" w:eastAsia="Yu Mincho" w:hAnsi="Times New Roman" w:cs="Times New Roman"/>
                <w:color w:val="000000"/>
                <w:sz w:val="20"/>
                <w:szCs w:val="20"/>
              </w:rPr>
              <w:t>As published in “</w:t>
            </w:r>
            <w:r w:rsidRPr="000D27EF">
              <w:rPr>
                <w:rFonts w:ascii="Times New Roman" w:eastAsia="Yu Mincho" w:hAnsi="Times New Roman" w:cs="Times New Roman"/>
                <w:iCs/>
                <w:color w:val="000000"/>
                <w:sz w:val="20"/>
                <w:szCs w:val="20"/>
              </w:rPr>
              <w:t xml:space="preserve">The Sustainable Development Goals Report 2018” for the world aggregated estimate and </w:t>
            </w:r>
            <w:r w:rsidRPr="000D27EF">
              <w:rPr>
                <w:rFonts w:ascii="Times New Roman" w:eastAsia="SimSun" w:hAnsi="Times New Roman" w:cs="Times New Roman"/>
                <w:iCs/>
                <w:color w:val="000000"/>
                <w:sz w:val="20"/>
                <w:szCs w:val="20"/>
              </w:rPr>
              <w:t>in the “Progress towards the Sustainable Development Goals Report of the Secretary-General Supplementary Information” from 2018, also known as the “Statistical Annex,” for</w:t>
            </w:r>
            <w:r w:rsidRPr="000D27EF">
              <w:rPr>
                <w:rFonts w:ascii="Times New Roman" w:eastAsia="SimSun" w:hAnsi="Times New Roman" w:cs="Times New Roman"/>
                <w:color w:val="000000"/>
                <w:sz w:val="20"/>
                <w:szCs w:val="20"/>
              </w:rPr>
              <w:t xml:space="preserve"> disaggregated estimates. 2015 value for “World” is revised in the 2018 report.</w:t>
            </w:r>
          </w:p>
        </w:tc>
      </w:tr>
      <w:tr w:rsidR="001A547C" w:rsidRPr="000D27EF" w:rsidTr="00346C63">
        <w:trPr>
          <w:trHeight w:val="133"/>
        </w:trPr>
        <w:tc>
          <w:tcPr>
            <w:tcW w:w="5000" w:type="pct"/>
            <w:gridSpan w:val="5"/>
            <w:tcBorders>
              <w:top w:val="single" w:sz="4" w:space="0" w:color="auto"/>
              <w:left w:val="single" w:sz="4" w:space="0" w:color="auto"/>
              <w:bottom w:val="single" w:sz="4" w:space="0" w:color="auto"/>
              <w:right w:val="single" w:sz="4" w:space="0" w:color="auto"/>
            </w:tcBorders>
            <w:shd w:val="clear" w:color="auto" w:fill="CAE9C0"/>
            <w:hideMark/>
          </w:tcPr>
          <w:p w:rsidR="001A547C" w:rsidRPr="000D27EF" w:rsidRDefault="001A547C" w:rsidP="00346C63">
            <w:pPr>
              <w:spacing w:line="240" w:lineRule="auto"/>
              <w:rPr>
                <w:rFonts w:ascii="Times New Roman" w:eastAsia="SimSun" w:hAnsi="Times New Roman" w:cs="Times New Roman"/>
                <w:b/>
                <w:color w:val="000000"/>
                <w:sz w:val="20"/>
                <w:szCs w:val="20"/>
              </w:rPr>
            </w:pPr>
            <w:r w:rsidRPr="000D27EF">
              <w:rPr>
                <w:rFonts w:ascii="Times New Roman" w:eastAsia="SimSun" w:hAnsi="Times New Roman" w:cs="Times New Roman"/>
                <w:b/>
                <w:color w:val="000000"/>
                <w:sz w:val="20"/>
                <w:szCs w:val="20"/>
              </w:rPr>
              <w:t>Corresponding SDG target</w:t>
            </w:r>
            <w:r w:rsidRPr="000D27EF">
              <w:rPr>
                <w:rFonts w:ascii="Times New Roman" w:eastAsia="SimSun" w:hAnsi="Times New Roman" w:cs="Times New Roman"/>
                <w:color w:val="000000"/>
                <w:sz w:val="20"/>
                <w:szCs w:val="20"/>
              </w:rPr>
              <w:t>: 3.3 By 2030, end the epidemics of AIDS, tuberculosis, malaria and neglected tropical diseases and combat hepatitis, water-borne diseases and other communicable diseases</w:t>
            </w:r>
          </w:p>
        </w:tc>
      </w:tr>
    </w:tbl>
    <w:p w:rsidR="001A547C" w:rsidRPr="000D27EF" w:rsidRDefault="001A547C" w:rsidP="001A547C">
      <w:pPr>
        <w:spacing w:line="240" w:lineRule="auto"/>
        <w:rPr>
          <w:rFonts w:ascii="Times New Roman" w:eastAsiaTheme="minorEastAsia" w:hAnsi="Times New Roman" w:cs="Times New Roman"/>
          <w:sz w:val="18"/>
          <w:lang w:val="en-GB" w:eastAsia="x-none"/>
        </w:rPr>
      </w:pPr>
    </w:p>
    <w:p w:rsidR="001A547C" w:rsidRPr="000D27EF" w:rsidRDefault="001A547C" w:rsidP="001A547C">
      <w:pPr>
        <w:pStyle w:val="SingleTxt"/>
        <w:spacing w:after="0" w:line="240" w:lineRule="auto"/>
        <w:ind w:left="0"/>
        <w:rPr>
          <w:rFonts w:eastAsia="SimSun"/>
          <w:color w:val="000000" w:themeColor="text1"/>
          <w:spacing w:val="0"/>
          <w:sz w:val="24"/>
          <w:szCs w:val="40"/>
          <w:lang w:val="en-GB"/>
        </w:rPr>
      </w:pPr>
      <w:r w:rsidRPr="000D27EF">
        <w:rPr>
          <w:rFonts w:eastAsia="SimSun"/>
          <w:color w:val="000000" w:themeColor="text1"/>
          <w:spacing w:val="0"/>
          <w:sz w:val="24"/>
          <w:szCs w:val="40"/>
          <w:lang w:val="en-GB"/>
        </w:rPr>
        <w:t>(d)  Achieving gender equality and the empowerment of women and girls</w:t>
      </w:r>
    </w:p>
    <w:tbl>
      <w:tblPr>
        <w:tblpPr w:leftFromText="180" w:rightFromText="180" w:bottomFromText="160" w:vertAnchor="text" w:horzAnchor="margin" w:tblpY="2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471"/>
        <w:gridCol w:w="2471"/>
        <w:gridCol w:w="2471"/>
        <w:gridCol w:w="2473"/>
      </w:tblGrid>
      <w:tr w:rsidR="001A547C" w:rsidRPr="000D27EF" w:rsidTr="00346C63">
        <w:trPr>
          <w:trHeight w:val="364"/>
          <w:tblHeader/>
        </w:trPr>
        <w:tc>
          <w:tcPr>
            <w:tcW w:w="118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rPr>
                <w:rFonts w:ascii="Times New Roman" w:eastAsia="Calibri" w:hAnsi="Times New Roman" w:cs="Times New Roman"/>
                <w:b/>
                <w:color w:val="000000"/>
                <w:sz w:val="20"/>
                <w:szCs w:val="20"/>
                <w:lang w:eastAsia="ja-JP"/>
              </w:rPr>
            </w:pPr>
            <w:r w:rsidRPr="000D27EF">
              <w:rPr>
                <w:rFonts w:ascii="Times New Roman" w:eastAsia="Calibri" w:hAnsi="Times New Roman" w:cs="Times New Roman"/>
                <w:b/>
                <w:color w:val="000000"/>
                <w:sz w:val="20"/>
                <w:szCs w:val="20"/>
              </w:rPr>
              <w:lastRenderedPageBreak/>
              <w:t>Common SDG Indicator</w:t>
            </w:r>
          </w:p>
        </w:tc>
        <w:tc>
          <w:tcPr>
            <w:tcW w:w="95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2015</w:t>
            </w:r>
          </w:p>
        </w:tc>
        <w:tc>
          <w:tcPr>
            <w:tcW w:w="95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2016</w:t>
            </w:r>
          </w:p>
        </w:tc>
        <w:tc>
          <w:tcPr>
            <w:tcW w:w="95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2017</w:t>
            </w:r>
          </w:p>
        </w:tc>
        <w:tc>
          <w:tcPr>
            <w:tcW w:w="95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2018</w:t>
            </w:r>
          </w:p>
        </w:tc>
      </w:tr>
      <w:tr w:rsidR="001A547C" w:rsidRPr="000D27EF" w:rsidTr="00346C63">
        <w:trPr>
          <w:cantSplit/>
          <w:trHeight w:val="440"/>
        </w:trPr>
        <w:tc>
          <w:tcPr>
            <w:tcW w:w="11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1A547C" w:rsidRPr="000D27EF" w:rsidRDefault="001A547C" w:rsidP="00346C63">
            <w:pPr>
              <w:spacing w:line="240" w:lineRule="auto"/>
              <w:rPr>
                <w:rFonts w:ascii="Times New Roman" w:eastAsia="SimSun" w:hAnsi="Times New Roman" w:cs="Times New Roman"/>
                <w:b/>
                <w:color w:val="000000"/>
                <w:sz w:val="20"/>
                <w:szCs w:val="20"/>
              </w:rPr>
            </w:pPr>
            <w:r w:rsidRPr="000D27EF">
              <w:rPr>
                <w:rFonts w:ascii="Times New Roman" w:eastAsia="Yu Mincho" w:hAnsi="Times New Roman" w:cs="Times New Roman"/>
                <w:color w:val="000000"/>
                <w:sz w:val="20"/>
                <w:szCs w:val="20"/>
              </w:rPr>
              <w:t>SDG 5.2.1  Proportion of ever-partnered women and girls aged 15 years and older subjected to physical, sexual or psychological violence by a current or former intimate partner in the previous 12 months, by form of violence and age</w:t>
            </w:r>
          </w:p>
        </w:tc>
        <w:tc>
          <w:tcPr>
            <w:tcW w:w="954"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jc w:val="center"/>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Not available</w:t>
            </w:r>
          </w:p>
        </w:tc>
        <w:tc>
          <w:tcPr>
            <w:tcW w:w="954"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jc w:val="center"/>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19%</w:t>
            </w:r>
          </w:p>
        </w:tc>
        <w:tc>
          <w:tcPr>
            <w:tcW w:w="954"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jc w:val="center"/>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No update</w:t>
            </w:r>
          </w:p>
        </w:tc>
        <w:tc>
          <w:tcPr>
            <w:tcW w:w="955"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jc w:val="center"/>
              <w:rPr>
                <w:rFonts w:ascii="Times New Roman" w:eastAsia="Calibri" w:hAnsi="Times New Roman" w:cs="Times New Roman"/>
                <w:color w:val="000000"/>
                <w:sz w:val="20"/>
                <w:szCs w:val="20"/>
              </w:rPr>
            </w:pPr>
            <w:r w:rsidRPr="000D27EF">
              <w:rPr>
                <w:rFonts w:ascii="Times New Roman" w:eastAsia="Calibri" w:hAnsi="Times New Roman" w:cs="Times New Roman"/>
                <w:color w:val="000000"/>
                <w:sz w:val="20"/>
                <w:szCs w:val="20"/>
              </w:rPr>
              <w:t>No update</w:t>
            </w:r>
          </w:p>
        </w:tc>
      </w:tr>
      <w:tr w:rsidR="001A547C" w:rsidRPr="000D27EF" w:rsidTr="00346C63">
        <w:trPr>
          <w:cantSplit/>
          <w:trHeight w:val="395"/>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7C" w:rsidRPr="000D27EF" w:rsidRDefault="001A547C" w:rsidP="00346C63">
            <w:pPr>
              <w:spacing w:line="240" w:lineRule="auto"/>
              <w:rPr>
                <w:rFonts w:ascii="Times New Roman" w:eastAsia="SimSun" w:hAnsi="Times New Roman" w:cs="Times New Roman"/>
                <w:b/>
                <w:color w:val="000000"/>
                <w:sz w:val="20"/>
                <w:szCs w:val="20"/>
              </w:rPr>
            </w:pPr>
            <w:r w:rsidRPr="000D27EF">
              <w:rPr>
                <w:rFonts w:ascii="Times New Roman" w:eastAsia="SimSun" w:hAnsi="Times New Roman" w:cs="Times New Roman"/>
                <w:b/>
                <w:color w:val="000000"/>
                <w:sz w:val="20"/>
                <w:szCs w:val="20"/>
              </w:rPr>
              <w:t>Note:</w:t>
            </w:r>
          </w:p>
          <w:p w:rsidR="001A547C" w:rsidRPr="000D27EF" w:rsidRDefault="001A547C" w:rsidP="00346C63">
            <w:pPr>
              <w:pStyle w:val="FootnoteText"/>
              <w:rPr>
                <w:rFonts w:ascii="Times New Roman" w:hAnsi="Times New Roman" w:cs="Times New Roman"/>
                <w:lang w:val="en-US"/>
              </w:rPr>
            </w:pPr>
            <w:r w:rsidRPr="003C4643">
              <w:rPr>
                <w:rFonts w:ascii="Times New Roman" w:eastAsia="SimSun" w:hAnsi="Times New Roman" w:cs="Times New Roman"/>
                <w:color w:val="000000"/>
              </w:rPr>
              <w:t>As published in “The Sustainable Development Goals Report 2017” for the world aggregated estimate and in the “Progress towards the Sustainable Development Goals Report of the Secretary-General Supplementary Information” for 2017, also known as the “Statistical Annex.” The next update will be available in “The Sustainable Development Goals Report 2019”, scheduled for release in June 2019.</w:t>
            </w:r>
            <w:r w:rsidRPr="000D27EF">
              <w:rPr>
                <w:rFonts w:ascii="Times New Roman" w:eastAsia="SimSun" w:hAnsi="Times New Roman" w:cs="Times New Roman"/>
                <w:color w:val="000000"/>
              </w:rPr>
              <w:t xml:space="preserve"> </w:t>
            </w:r>
            <w:r w:rsidRPr="003C4643">
              <w:rPr>
                <w:rFonts w:ascii="Times New Roman" w:eastAsia="SimSun" w:hAnsi="Times New Roman" w:cs="Times New Roman"/>
                <w:color w:val="000000"/>
              </w:rPr>
              <w:t xml:space="preserve"> The data is from 2005-2016 and refers to “Proportion of ever-partnered women and girls aged 15-49 years subjected to physical or sexual violence by a current or former intimate partner in the previous 12 months”.</w:t>
            </w:r>
          </w:p>
        </w:tc>
      </w:tr>
      <w:tr w:rsidR="001A547C" w:rsidRPr="000D27EF" w:rsidTr="00346C63">
        <w:trPr>
          <w:cantSplit/>
          <w:trHeight w:val="134"/>
        </w:trPr>
        <w:tc>
          <w:tcPr>
            <w:tcW w:w="5000" w:type="pct"/>
            <w:gridSpan w:val="5"/>
            <w:tcBorders>
              <w:top w:val="single" w:sz="4" w:space="0" w:color="auto"/>
              <w:left w:val="single" w:sz="4" w:space="0" w:color="auto"/>
              <w:bottom w:val="single" w:sz="4" w:space="0" w:color="auto"/>
              <w:right w:val="single" w:sz="4" w:space="0" w:color="auto"/>
            </w:tcBorders>
            <w:shd w:val="clear" w:color="auto" w:fill="CAE9C0"/>
            <w:hideMark/>
          </w:tcPr>
          <w:p w:rsidR="001A547C" w:rsidRPr="000D27EF" w:rsidRDefault="001A547C" w:rsidP="00346C63">
            <w:pPr>
              <w:spacing w:line="240" w:lineRule="auto"/>
              <w:rPr>
                <w:rFonts w:ascii="Times New Roman" w:eastAsia="SimSun" w:hAnsi="Times New Roman" w:cs="Times New Roman"/>
                <w:b/>
                <w:color w:val="000000"/>
                <w:sz w:val="20"/>
                <w:szCs w:val="20"/>
              </w:rPr>
            </w:pPr>
            <w:r w:rsidRPr="000D27EF">
              <w:rPr>
                <w:rFonts w:ascii="Times New Roman" w:eastAsia="SimSun" w:hAnsi="Times New Roman" w:cs="Times New Roman"/>
                <w:b/>
                <w:color w:val="000000"/>
                <w:sz w:val="20"/>
                <w:szCs w:val="20"/>
              </w:rPr>
              <w:t>Corresponding SDG target</w:t>
            </w:r>
            <w:r w:rsidRPr="000D27EF">
              <w:rPr>
                <w:rFonts w:ascii="Times New Roman" w:eastAsia="SimSun" w:hAnsi="Times New Roman" w:cs="Times New Roman"/>
                <w:color w:val="000000"/>
                <w:sz w:val="20"/>
                <w:szCs w:val="20"/>
              </w:rPr>
              <w:t>: 5.2 Eliminate all forms of violence against all women and girls in the public and private spheres, including trafficking and sexual and other types of exploitation</w:t>
            </w:r>
          </w:p>
        </w:tc>
      </w:tr>
    </w:tbl>
    <w:p w:rsidR="001A547C" w:rsidRPr="000D27EF" w:rsidRDefault="001A547C" w:rsidP="001A547C">
      <w:pPr>
        <w:spacing w:line="240" w:lineRule="auto"/>
        <w:rPr>
          <w:rFonts w:ascii="Times New Roman" w:eastAsia="SimSun" w:hAnsi="Times New Roman" w:cs="Times New Roman"/>
          <w:b/>
          <w:color w:val="000000" w:themeColor="text1"/>
          <w:sz w:val="28"/>
          <w:szCs w:val="20"/>
          <w:lang w:val="en-GB" w:eastAsia="x-none"/>
        </w:rPr>
      </w:pPr>
    </w:p>
    <w:p w:rsidR="001A547C" w:rsidRPr="000D27EF" w:rsidRDefault="001A547C" w:rsidP="001A547C">
      <w:pPr>
        <w:spacing w:line="240" w:lineRule="auto"/>
        <w:rPr>
          <w:rFonts w:ascii="Times New Roman" w:eastAsia="SimSun" w:hAnsi="Times New Roman" w:cs="Times New Roman"/>
          <w:color w:val="000000" w:themeColor="text1"/>
          <w:sz w:val="24"/>
          <w:szCs w:val="40"/>
          <w:lang w:val="en-GB"/>
        </w:rPr>
      </w:pPr>
      <w:r w:rsidRPr="000D27EF">
        <w:rPr>
          <w:rFonts w:ascii="Times New Roman" w:eastAsia="SimSun" w:hAnsi="Times New Roman" w:cs="Times New Roman"/>
          <w:color w:val="000000" w:themeColor="text1"/>
          <w:sz w:val="24"/>
          <w:szCs w:val="40"/>
          <w:lang w:val="en-GB"/>
        </w:rPr>
        <w:t xml:space="preserve">(e) Ensuring greater availability and use of disaggregated data for sustainable development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2473"/>
        <w:gridCol w:w="2473"/>
        <w:gridCol w:w="2471"/>
        <w:gridCol w:w="2468"/>
      </w:tblGrid>
      <w:tr w:rsidR="001A547C" w:rsidRPr="000D27EF" w:rsidTr="00346C63">
        <w:trPr>
          <w:trHeight w:val="364"/>
          <w:tblHeader/>
          <w:jc w:val="center"/>
        </w:trPr>
        <w:tc>
          <w:tcPr>
            <w:tcW w:w="118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rPr>
                <w:rFonts w:ascii="Times New Roman" w:eastAsia="Calibri" w:hAnsi="Times New Roman" w:cs="Times New Roman"/>
                <w:b/>
                <w:color w:val="000000"/>
                <w:sz w:val="20"/>
                <w:szCs w:val="20"/>
                <w:lang w:eastAsia="ja-JP"/>
              </w:rPr>
            </w:pPr>
            <w:r w:rsidRPr="000D27EF">
              <w:rPr>
                <w:rFonts w:ascii="Times New Roman" w:eastAsia="Calibri" w:hAnsi="Times New Roman" w:cs="Times New Roman"/>
                <w:b/>
                <w:color w:val="000000"/>
                <w:sz w:val="20"/>
                <w:szCs w:val="20"/>
              </w:rPr>
              <w:t>Common SDG Indicator</w:t>
            </w:r>
          </w:p>
        </w:tc>
        <w:tc>
          <w:tcPr>
            <w:tcW w:w="95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2015</w:t>
            </w:r>
          </w:p>
        </w:tc>
        <w:tc>
          <w:tcPr>
            <w:tcW w:w="95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2016</w:t>
            </w:r>
          </w:p>
        </w:tc>
        <w:tc>
          <w:tcPr>
            <w:tcW w:w="95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2017</w:t>
            </w:r>
          </w:p>
        </w:tc>
        <w:tc>
          <w:tcPr>
            <w:tcW w:w="95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A547C" w:rsidRPr="000D27EF" w:rsidRDefault="001A547C" w:rsidP="00346C63">
            <w:pPr>
              <w:spacing w:line="240" w:lineRule="auto"/>
              <w:jc w:val="center"/>
              <w:rPr>
                <w:rFonts w:ascii="Times New Roman" w:eastAsia="Calibri" w:hAnsi="Times New Roman" w:cs="Times New Roman"/>
                <w:b/>
                <w:color w:val="000000"/>
                <w:sz w:val="20"/>
                <w:szCs w:val="20"/>
              </w:rPr>
            </w:pPr>
            <w:r w:rsidRPr="000D27EF">
              <w:rPr>
                <w:rFonts w:ascii="Times New Roman" w:eastAsia="Calibri" w:hAnsi="Times New Roman" w:cs="Times New Roman"/>
                <w:b/>
                <w:color w:val="000000"/>
                <w:sz w:val="20"/>
                <w:szCs w:val="20"/>
              </w:rPr>
              <w:t>2018</w:t>
            </w:r>
          </w:p>
        </w:tc>
      </w:tr>
      <w:tr w:rsidR="001A547C" w:rsidRPr="000D27EF" w:rsidTr="00346C63">
        <w:trPr>
          <w:trHeight w:val="314"/>
          <w:jc w:val="center"/>
        </w:trPr>
        <w:tc>
          <w:tcPr>
            <w:tcW w:w="1183"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rPr>
                <w:rFonts w:ascii="Times New Roman" w:eastAsia="Calibri" w:hAnsi="Times New Roman" w:cs="Times New Roman"/>
                <w:color w:val="FF0000"/>
                <w:sz w:val="20"/>
                <w:szCs w:val="20"/>
              </w:rPr>
            </w:pPr>
            <w:r w:rsidRPr="000D27EF">
              <w:rPr>
                <w:rFonts w:ascii="Times New Roman" w:eastAsia="Yu Mincho" w:hAnsi="Times New Roman" w:cs="Times New Roman"/>
                <w:color w:val="000000"/>
                <w:sz w:val="20"/>
                <w:szCs w:val="20"/>
              </w:rPr>
              <w:t>SDG 17.18.1  Proportion of sustainable development indicators produced at the national level with full disaggregation when relevant to the target, in accordance with the Fundamental Principles of Official Statistics</w:t>
            </w:r>
          </w:p>
        </w:tc>
        <w:tc>
          <w:tcPr>
            <w:tcW w:w="955"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jc w:val="center"/>
              <w:rPr>
                <w:rFonts w:ascii="Times New Roman" w:eastAsia="Calibri" w:hAnsi="Times New Roman" w:cs="Times New Roman"/>
                <w:color w:val="000000"/>
                <w:sz w:val="20"/>
                <w:szCs w:val="20"/>
              </w:rPr>
            </w:pPr>
            <w:r w:rsidRPr="000D27EF">
              <w:rPr>
                <w:rFonts w:ascii="Times New Roman" w:eastAsia="Calibri" w:hAnsi="Times New Roman" w:cs="Times New Roman"/>
                <w:color w:val="000000" w:themeColor="text1"/>
                <w:sz w:val="20"/>
                <w:szCs w:val="20"/>
              </w:rPr>
              <w:t>Not published in SDG Report</w:t>
            </w:r>
          </w:p>
        </w:tc>
        <w:tc>
          <w:tcPr>
            <w:tcW w:w="955"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jc w:val="center"/>
              <w:rPr>
                <w:rFonts w:ascii="Times New Roman" w:eastAsia="Calibri" w:hAnsi="Times New Roman" w:cs="Times New Roman"/>
                <w:color w:val="000000"/>
                <w:sz w:val="20"/>
                <w:szCs w:val="20"/>
              </w:rPr>
            </w:pPr>
            <w:r w:rsidRPr="000D27EF">
              <w:rPr>
                <w:rFonts w:ascii="Times New Roman" w:eastAsia="Calibri" w:hAnsi="Times New Roman" w:cs="Times New Roman"/>
                <w:color w:val="000000" w:themeColor="text1"/>
                <w:sz w:val="20"/>
                <w:szCs w:val="20"/>
              </w:rPr>
              <w:t>Not published in SDG Report</w:t>
            </w:r>
          </w:p>
        </w:tc>
        <w:tc>
          <w:tcPr>
            <w:tcW w:w="954"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jc w:val="center"/>
              <w:rPr>
                <w:rFonts w:ascii="Times New Roman" w:eastAsia="Calibri" w:hAnsi="Times New Roman" w:cs="Times New Roman"/>
                <w:color w:val="000000"/>
                <w:sz w:val="20"/>
                <w:szCs w:val="20"/>
              </w:rPr>
            </w:pPr>
            <w:r w:rsidRPr="000D27EF">
              <w:rPr>
                <w:rFonts w:ascii="Times New Roman" w:eastAsia="Calibri" w:hAnsi="Times New Roman" w:cs="Times New Roman"/>
                <w:color w:val="000000" w:themeColor="text1"/>
                <w:sz w:val="20"/>
                <w:szCs w:val="20"/>
              </w:rPr>
              <w:t>Not published in SDG Report</w:t>
            </w:r>
          </w:p>
        </w:tc>
        <w:tc>
          <w:tcPr>
            <w:tcW w:w="953" w:type="pct"/>
            <w:tcBorders>
              <w:top w:val="single" w:sz="4" w:space="0" w:color="auto"/>
              <w:left w:val="single" w:sz="4" w:space="0" w:color="auto"/>
              <w:bottom w:val="single" w:sz="4" w:space="0" w:color="auto"/>
              <w:right w:val="single" w:sz="4" w:space="0" w:color="auto"/>
            </w:tcBorders>
            <w:vAlign w:val="center"/>
            <w:hideMark/>
          </w:tcPr>
          <w:p w:rsidR="001A547C" w:rsidRPr="000D27EF" w:rsidRDefault="001A547C" w:rsidP="00346C63">
            <w:pPr>
              <w:spacing w:line="240" w:lineRule="auto"/>
              <w:jc w:val="center"/>
              <w:rPr>
                <w:rFonts w:ascii="Times New Roman" w:eastAsia="Calibri" w:hAnsi="Times New Roman" w:cs="Times New Roman"/>
                <w:color w:val="000000" w:themeColor="text1"/>
                <w:sz w:val="20"/>
                <w:szCs w:val="20"/>
              </w:rPr>
            </w:pPr>
            <w:r w:rsidRPr="000D27EF">
              <w:rPr>
                <w:rFonts w:ascii="Times New Roman" w:eastAsia="Calibri" w:hAnsi="Times New Roman" w:cs="Times New Roman"/>
                <w:color w:val="000000" w:themeColor="text1"/>
                <w:sz w:val="20"/>
                <w:szCs w:val="20"/>
              </w:rPr>
              <w:t>Not published in SDG Report</w:t>
            </w:r>
          </w:p>
        </w:tc>
      </w:tr>
      <w:tr w:rsidR="001A547C" w:rsidRPr="000D27EF" w:rsidTr="00346C63">
        <w:trPr>
          <w:trHeight w:val="53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CAE9C0"/>
            <w:hideMark/>
          </w:tcPr>
          <w:p w:rsidR="001A547C" w:rsidRPr="000D27EF" w:rsidRDefault="001A547C" w:rsidP="00346C63">
            <w:pPr>
              <w:spacing w:line="240" w:lineRule="auto"/>
              <w:rPr>
                <w:rFonts w:ascii="Times New Roman" w:eastAsia="SimSun" w:hAnsi="Times New Roman" w:cs="Times New Roman"/>
                <w:b/>
                <w:color w:val="000000"/>
                <w:sz w:val="20"/>
                <w:szCs w:val="20"/>
              </w:rPr>
            </w:pPr>
            <w:r w:rsidRPr="000D27EF">
              <w:rPr>
                <w:rFonts w:ascii="Times New Roman" w:eastAsia="SimSun" w:hAnsi="Times New Roman" w:cs="Times New Roman"/>
                <w:b/>
                <w:color w:val="000000"/>
                <w:sz w:val="20"/>
                <w:szCs w:val="20"/>
              </w:rPr>
              <w:t>FUNDS AND PROGRAMMES COMMON INDICATOR (UNFPA, UNICEF, UNWOMEN)</w:t>
            </w:r>
          </w:p>
          <w:p w:rsidR="001A547C" w:rsidRPr="000D27EF" w:rsidRDefault="001A547C" w:rsidP="00346C63">
            <w:pPr>
              <w:spacing w:line="240" w:lineRule="auto"/>
              <w:rPr>
                <w:rFonts w:ascii="Times New Roman" w:eastAsia="SimSun" w:hAnsi="Times New Roman" w:cs="Times New Roman"/>
                <w:b/>
                <w:color w:val="000000"/>
                <w:sz w:val="20"/>
                <w:szCs w:val="20"/>
              </w:rPr>
            </w:pPr>
            <w:r w:rsidRPr="000D27EF">
              <w:rPr>
                <w:rFonts w:ascii="Times New Roman" w:eastAsia="SimSun" w:hAnsi="Times New Roman" w:cs="Times New Roman"/>
                <w:b/>
                <w:color w:val="000000"/>
                <w:sz w:val="20"/>
                <w:szCs w:val="20"/>
              </w:rPr>
              <w:t xml:space="preserve">Corresponding SDG target: </w:t>
            </w:r>
            <w:r w:rsidRPr="000D27EF">
              <w:rPr>
                <w:rFonts w:ascii="Times New Roman" w:eastAsia="SimSun" w:hAnsi="Times New Roman" w:cs="Times New Roman"/>
                <w:color w:val="000000"/>
                <w:sz w:val="20"/>
                <w:szCs w:val="20"/>
              </w:rPr>
              <w:t>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tc>
      </w:tr>
    </w:tbl>
    <w:p w:rsidR="001A547C" w:rsidRPr="000D27EF" w:rsidRDefault="001A547C" w:rsidP="001A547C">
      <w:pPr>
        <w:spacing w:line="240" w:lineRule="auto"/>
        <w:rPr>
          <w:rFonts w:ascii="Times New Roman" w:hAnsi="Times New Roman" w:cs="Times New Roman"/>
        </w:rPr>
      </w:pPr>
    </w:p>
    <w:p w:rsidR="001A547C" w:rsidRPr="000D27EF" w:rsidRDefault="001A547C" w:rsidP="001A547C">
      <w:pPr>
        <w:spacing w:line="240" w:lineRule="auto"/>
        <w:jc w:val="both"/>
        <w:rPr>
          <w:rFonts w:ascii="Times New Roman" w:hAnsi="Times New Roman" w:cs="Times New Roman"/>
          <w:sz w:val="24"/>
          <w:szCs w:val="24"/>
          <w:lang w:val="en-US"/>
        </w:rPr>
      </w:pPr>
    </w:p>
    <w:p w:rsidR="001A547C" w:rsidRPr="00CC3D81" w:rsidRDefault="001A547C" w:rsidP="001A547C">
      <w:pPr>
        <w:pStyle w:val="ListParagraph"/>
        <w:ind w:left="0"/>
        <w:jc w:val="both"/>
        <w:rPr>
          <w:rFonts w:asciiTheme="majorHAnsi" w:hAnsiTheme="majorHAnsi"/>
          <w:sz w:val="22"/>
          <w:szCs w:val="22"/>
        </w:rPr>
      </w:pPr>
    </w:p>
    <w:p w:rsidR="00D6195B" w:rsidRDefault="005A4FFA"/>
    <w:sectPr w:rsidR="00D6195B" w:rsidSect="00307943">
      <w:headerReference w:type="default" r:id="rId11"/>
      <w:footerReference w:type="first" r:id="rId12"/>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FFA" w:rsidRDefault="005A4FFA" w:rsidP="001A547C">
      <w:pPr>
        <w:spacing w:line="240" w:lineRule="auto"/>
      </w:pPr>
      <w:r>
        <w:separator/>
      </w:r>
    </w:p>
  </w:endnote>
  <w:endnote w:type="continuationSeparator" w:id="0">
    <w:p w:rsidR="005A4FFA" w:rsidRDefault="005A4FFA" w:rsidP="001A54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766855"/>
      <w:docPartObj>
        <w:docPartGallery w:val="Page Numbers (Bottom of Page)"/>
        <w:docPartUnique/>
      </w:docPartObj>
    </w:sdtPr>
    <w:sdtEndPr>
      <w:rPr>
        <w:noProof/>
      </w:rPr>
    </w:sdtEndPr>
    <w:sdtContent>
      <w:p w:rsidR="001A547C" w:rsidRDefault="001A54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A547C" w:rsidRDefault="001A547C">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20A" w:rsidRDefault="005A4F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FFA" w:rsidRDefault="005A4FFA" w:rsidP="001A547C">
      <w:pPr>
        <w:spacing w:line="240" w:lineRule="auto"/>
      </w:pPr>
      <w:r>
        <w:separator/>
      </w:r>
    </w:p>
  </w:footnote>
  <w:footnote w:type="continuationSeparator" w:id="0">
    <w:p w:rsidR="005A4FFA" w:rsidRDefault="005A4FFA" w:rsidP="001A547C">
      <w:pPr>
        <w:spacing w:line="240" w:lineRule="auto"/>
      </w:pPr>
      <w:r>
        <w:continuationSeparator/>
      </w:r>
    </w:p>
  </w:footnote>
  <w:footnote w:id="1">
    <w:p w:rsidR="001A547C" w:rsidRPr="00EB20AF" w:rsidRDefault="001A547C" w:rsidP="001A547C">
      <w:pPr>
        <w:rPr>
          <w:i/>
          <w:iCs/>
        </w:rPr>
      </w:pPr>
      <w:r w:rsidRPr="003728D4">
        <w:rPr>
          <w:rStyle w:val="FootnoteReference"/>
          <w:sz w:val="14"/>
        </w:rPr>
        <w:footnoteRef/>
      </w:r>
      <w:r>
        <w:t xml:space="preserve"> </w:t>
      </w:r>
      <w:r w:rsidRPr="00EB20AF">
        <w:rPr>
          <w:rFonts w:asciiTheme="majorHAnsi" w:hAnsiTheme="majorHAnsi"/>
          <w:color w:val="808080"/>
          <w:sz w:val="18"/>
          <w:szCs w:val="18"/>
          <w:shd w:val="clear" w:color="auto" w:fill="FFFFFF"/>
        </w:rPr>
        <w:t xml:space="preserve">The </w:t>
      </w:r>
      <w:r>
        <w:rPr>
          <w:rFonts w:asciiTheme="majorHAnsi" w:hAnsiTheme="majorHAnsi"/>
          <w:color w:val="808080"/>
          <w:sz w:val="18"/>
          <w:szCs w:val="18"/>
          <w:shd w:val="clear" w:color="auto" w:fill="FFFFFF"/>
        </w:rPr>
        <w:t>following section</w:t>
      </w:r>
      <w:r w:rsidRPr="00EB20AF">
        <w:rPr>
          <w:rFonts w:asciiTheme="majorHAnsi" w:hAnsiTheme="majorHAnsi"/>
          <w:color w:val="808080"/>
          <w:sz w:val="18"/>
          <w:szCs w:val="18"/>
          <w:shd w:val="clear" w:color="auto" w:fill="FFFFFF"/>
        </w:rPr>
        <w:t xml:space="preserve"> provides selected examples of how the four agencies have work</w:t>
      </w:r>
      <w:r>
        <w:rPr>
          <w:rFonts w:asciiTheme="majorHAnsi" w:hAnsiTheme="majorHAnsi"/>
          <w:color w:val="808080"/>
          <w:sz w:val="18"/>
          <w:szCs w:val="18"/>
          <w:shd w:val="clear" w:color="auto" w:fill="FFFFFF"/>
        </w:rPr>
        <w:t>ed</w:t>
      </w:r>
      <w:r w:rsidRPr="00EB20AF">
        <w:rPr>
          <w:rFonts w:asciiTheme="majorHAnsi" w:hAnsiTheme="majorHAnsi"/>
          <w:color w:val="808080"/>
          <w:sz w:val="18"/>
          <w:szCs w:val="18"/>
          <w:shd w:val="clear" w:color="auto" w:fill="FFFFFF"/>
        </w:rPr>
        <w:t xml:space="preserve"> together in </w:t>
      </w:r>
      <w:r>
        <w:rPr>
          <w:rFonts w:asciiTheme="majorHAnsi" w:hAnsiTheme="majorHAnsi"/>
          <w:color w:val="808080"/>
          <w:sz w:val="18"/>
          <w:szCs w:val="18"/>
          <w:shd w:val="clear" w:color="auto" w:fill="FFFFFF"/>
        </w:rPr>
        <w:t xml:space="preserve">2018.  It is not intended to give </w:t>
      </w:r>
      <w:r w:rsidRPr="00EB20AF">
        <w:rPr>
          <w:rFonts w:asciiTheme="majorHAnsi" w:hAnsiTheme="majorHAnsi"/>
          <w:color w:val="808080"/>
          <w:sz w:val="18"/>
          <w:szCs w:val="18"/>
          <w:shd w:val="clear" w:color="auto" w:fill="FFFFFF"/>
        </w:rPr>
        <w:t xml:space="preserve">a full picture of the overall collaborative efforts </w:t>
      </w:r>
      <w:r>
        <w:rPr>
          <w:rFonts w:asciiTheme="majorHAnsi" w:hAnsiTheme="majorHAnsi"/>
          <w:color w:val="808080"/>
          <w:sz w:val="18"/>
          <w:szCs w:val="18"/>
          <w:shd w:val="clear" w:color="auto" w:fill="FFFFFF"/>
        </w:rPr>
        <w:t xml:space="preserve">undertaken </w:t>
      </w:r>
      <w:r w:rsidRPr="00EB20AF">
        <w:rPr>
          <w:rFonts w:asciiTheme="majorHAnsi" w:hAnsiTheme="majorHAnsi"/>
          <w:color w:val="808080"/>
          <w:sz w:val="18"/>
          <w:szCs w:val="18"/>
          <w:shd w:val="clear" w:color="auto" w:fill="FFFFFF"/>
        </w:rPr>
        <w:t>at the global, regional, sub-regional and country level</w:t>
      </w:r>
      <w:r>
        <w:rPr>
          <w:rFonts w:asciiTheme="majorHAnsi" w:hAnsiTheme="majorHAnsi"/>
          <w:color w:val="808080"/>
          <w:sz w:val="18"/>
          <w:szCs w:val="18"/>
          <w:shd w:val="clear" w:color="auto" w:fill="FFFFFF"/>
        </w:rPr>
        <w:t>s</w:t>
      </w:r>
      <w:r w:rsidRPr="00EB20AF">
        <w:rPr>
          <w:rFonts w:asciiTheme="majorHAnsi" w:hAnsiTheme="majorHAnsi"/>
          <w:color w:val="808080"/>
          <w:sz w:val="18"/>
          <w:szCs w:val="18"/>
          <w:shd w:val="clear" w:color="auto" w:fill="FFFFFF"/>
        </w:rPr>
        <w:t>.</w:t>
      </w:r>
    </w:p>
  </w:footnote>
  <w:footnote w:id="2">
    <w:p w:rsidR="001A547C" w:rsidRPr="00FC50B0" w:rsidRDefault="001A547C" w:rsidP="001A547C">
      <w:pPr>
        <w:pStyle w:val="FootnoteText"/>
        <w:rPr>
          <w:lang w:val="en-US"/>
        </w:rPr>
      </w:pPr>
      <w:r>
        <w:rPr>
          <w:rStyle w:val="FootnoteReference"/>
        </w:rPr>
        <w:footnoteRef/>
      </w:r>
      <w:r>
        <w:t xml:space="preserve"> </w:t>
      </w:r>
      <w:r w:rsidRPr="00FC50B0">
        <w:rPr>
          <w:rFonts w:asciiTheme="majorHAnsi" w:hAnsiTheme="majorHAnsi"/>
          <w:color w:val="808080"/>
          <w:sz w:val="18"/>
          <w:szCs w:val="18"/>
          <w:shd w:val="clear" w:color="auto" w:fill="FFFFFF"/>
        </w:rPr>
        <w:t>The H6 partnership (formerly H4+) harnesses the collective strengths of the UNFPA,</w:t>
      </w:r>
      <w:r w:rsidRPr="00FC50B0">
        <w:rPr>
          <w:rFonts w:asciiTheme="majorHAnsi" w:hAnsiTheme="majorHAnsi" w:hint="eastAsia"/>
          <w:color w:val="808080"/>
          <w:sz w:val="18"/>
          <w:szCs w:val="18"/>
          <w:shd w:val="clear" w:color="auto" w:fill="FFFFFF"/>
        </w:rPr>
        <w:t> </w:t>
      </w:r>
      <w:hyperlink r:id="rId1" w:tgtFrame="_blank" w:history="1">
        <w:r w:rsidRPr="00FC50B0">
          <w:rPr>
            <w:rStyle w:val="Hyperlink"/>
            <w:rFonts w:asciiTheme="majorHAnsi" w:hAnsiTheme="majorHAnsi"/>
            <w:color w:val="1C97C8"/>
            <w:sz w:val="18"/>
            <w:szCs w:val="18"/>
            <w:bdr w:val="none" w:sz="0" w:space="0" w:color="auto" w:frame="1"/>
            <w:shd w:val="clear" w:color="auto" w:fill="FFFFFF"/>
          </w:rPr>
          <w:t>UNICEF</w:t>
        </w:r>
      </w:hyperlink>
      <w:r w:rsidRPr="00FC50B0">
        <w:rPr>
          <w:rFonts w:asciiTheme="majorHAnsi" w:hAnsiTheme="majorHAnsi"/>
          <w:color w:val="808080"/>
          <w:sz w:val="18"/>
          <w:szCs w:val="18"/>
          <w:shd w:val="clear" w:color="auto" w:fill="FFFFFF"/>
        </w:rPr>
        <w:t>,</w:t>
      </w:r>
      <w:r w:rsidRPr="00FC50B0">
        <w:rPr>
          <w:rFonts w:asciiTheme="majorHAnsi" w:hAnsiTheme="majorHAnsi" w:hint="eastAsia"/>
          <w:color w:val="808080"/>
          <w:sz w:val="18"/>
          <w:szCs w:val="18"/>
          <w:shd w:val="clear" w:color="auto" w:fill="FFFFFF"/>
        </w:rPr>
        <w:t> </w:t>
      </w:r>
      <w:hyperlink r:id="rId2" w:tgtFrame="_blank" w:history="1">
        <w:r>
          <w:rPr>
            <w:rStyle w:val="Hyperlink"/>
            <w:rFonts w:asciiTheme="majorHAnsi" w:hAnsiTheme="majorHAnsi"/>
            <w:color w:val="1C97C8"/>
            <w:sz w:val="18"/>
            <w:szCs w:val="18"/>
            <w:bdr w:val="none" w:sz="0" w:space="0" w:color="auto" w:frame="1"/>
            <w:shd w:val="clear" w:color="auto" w:fill="FFFFFF"/>
          </w:rPr>
          <w:t>UN-Women</w:t>
        </w:r>
      </w:hyperlink>
      <w:r w:rsidRPr="00FC50B0">
        <w:rPr>
          <w:rFonts w:asciiTheme="majorHAnsi" w:hAnsiTheme="majorHAnsi"/>
          <w:color w:val="808080"/>
          <w:sz w:val="18"/>
          <w:szCs w:val="18"/>
          <w:shd w:val="clear" w:color="auto" w:fill="FFFFFF"/>
        </w:rPr>
        <w:t>,</w:t>
      </w:r>
      <w:r w:rsidRPr="00FC50B0">
        <w:rPr>
          <w:rFonts w:asciiTheme="majorHAnsi" w:hAnsiTheme="majorHAnsi" w:hint="eastAsia"/>
          <w:color w:val="808080"/>
          <w:sz w:val="18"/>
          <w:szCs w:val="18"/>
          <w:shd w:val="clear" w:color="auto" w:fill="FFFFFF"/>
        </w:rPr>
        <w:t> </w:t>
      </w:r>
      <w:hyperlink r:id="rId3" w:tgtFrame="_blank" w:history="1">
        <w:r w:rsidRPr="00FC50B0">
          <w:rPr>
            <w:rStyle w:val="Hyperlink"/>
            <w:rFonts w:asciiTheme="majorHAnsi" w:hAnsiTheme="majorHAnsi"/>
            <w:color w:val="1C97C8"/>
            <w:sz w:val="18"/>
            <w:szCs w:val="18"/>
            <w:bdr w:val="none" w:sz="0" w:space="0" w:color="auto" w:frame="1"/>
            <w:shd w:val="clear" w:color="auto" w:fill="FFFFFF"/>
          </w:rPr>
          <w:t>WHO</w:t>
        </w:r>
      </w:hyperlink>
      <w:r w:rsidRPr="00FC50B0">
        <w:rPr>
          <w:rFonts w:asciiTheme="majorHAnsi" w:hAnsiTheme="majorHAnsi"/>
          <w:color w:val="808080"/>
          <w:sz w:val="18"/>
          <w:szCs w:val="18"/>
          <w:shd w:val="clear" w:color="auto" w:fill="FFFFFF"/>
        </w:rPr>
        <w:t>,</w:t>
      </w:r>
      <w:r w:rsidRPr="00FC50B0">
        <w:rPr>
          <w:rFonts w:asciiTheme="majorHAnsi" w:hAnsiTheme="majorHAnsi" w:hint="eastAsia"/>
          <w:color w:val="808080"/>
          <w:sz w:val="18"/>
          <w:szCs w:val="18"/>
          <w:shd w:val="clear" w:color="auto" w:fill="FFFFFF"/>
        </w:rPr>
        <w:t> </w:t>
      </w:r>
      <w:hyperlink r:id="rId4" w:tgtFrame="_blank" w:history="1">
        <w:r w:rsidRPr="00FC50B0">
          <w:rPr>
            <w:rStyle w:val="Hyperlink"/>
            <w:rFonts w:asciiTheme="majorHAnsi" w:hAnsiTheme="majorHAnsi"/>
            <w:color w:val="1C97C8"/>
            <w:sz w:val="18"/>
            <w:szCs w:val="18"/>
            <w:bdr w:val="none" w:sz="0" w:space="0" w:color="auto" w:frame="1"/>
            <w:shd w:val="clear" w:color="auto" w:fill="FFFFFF"/>
          </w:rPr>
          <w:t>UNAIDS</w:t>
        </w:r>
      </w:hyperlink>
      <w:r w:rsidRPr="00FC50B0">
        <w:rPr>
          <w:rFonts w:asciiTheme="majorHAnsi" w:hAnsiTheme="majorHAnsi"/>
          <w:color w:val="808080"/>
          <w:sz w:val="18"/>
          <w:szCs w:val="18"/>
          <w:shd w:val="clear" w:color="auto" w:fill="FFFFFF"/>
        </w:rPr>
        <w:t>, and the</w:t>
      </w:r>
      <w:r w:rsidRPr="00FC50B0">
        <w:rPr>
          <w:rFonts w:asciiTheme="majorHAnsi" w:hAnsiTheme="majorHAnsi" w:hint="eastAsia"/>
          <w:color w:val="808080"/>
          <w:sz w:val="18"/>
          <w:szCs w:val="18"/>
          <w:shd w:val="clear" w:color="auto" w:fill="FFFFFF"/>
        </w:rPr>
        <w:t> </w:t>
      </w:r>
      <w:hyperlink r:id="rId5" w:tgtFrame="_blank" w:history="1">
        <w:r w:rsidRPr="00FC50B0">
          <w:rPr>
            <w:rStyle w:val="Hyperlink"/>
            <w:rFonts w:asciiTheme="majorHAnsi" w:hAnsiTheme="majorHAnsi"/>
            <w:color w:val="1C97C8"/>
            <w:sz w:val="18"/>
            <w:szCs w:val="18"/>
            <w:bdr w:val="none" w:sz="0" w:space="0" w:color="auto" w:frame="1"/>
            <w:shd w:val="clear" w:color="auto" w:fill="FFFFFF"/>
          </w:rPr>
          <w:t>World Bank Group</w:t>
        </w:r>
      </w:hyperlink>
      <w:r w:rsidRPr="00FC50B0">
        <w:rPr>
          <w:rFonts w:asciiTheme="majorHAnsi" w:hAnsiTheme="majorHAnsi" w:hint="eastAsia"/>
          <w:color w:val="808080"/>
          <w:sz w:val="18"/>
          <w:szCs w:val="18"/>
          <w:shd w:val="clear" w:color="auto" w:fill="FFFFFF"/>
        </w:rPr>
        <w:t> </w:t>
      </w:r>
      <w:r w:rsidRPr="00FC50B0">
        <w:rPr>
          <w:rFonts w:asciiTheme="majorHAnsi" w:hAnsiTheme="majorHAnsi"/>
          <w:color w:val="808080"/>
          <w:sz w:val="18"/>
          <w:szCs w:val="18"/>
          <w:shd w:val="clear" w:color="auto" w:fill="FFFFFF"/>
        </w:rPr>
        <w:t xml:space="preserve">to advance the </w:t>
      </w:r>
      <w:r w:rsidRPr="00FC50B0">
        <w:rPr>
          <w:rFonts w:asciiTheme="majorHAnsi" w:hAnsiTheme="majorHAnsi" w:hint="eastAsia"/>
          <w:color w:val="808080"/>
          <w:sz w:val="18"/>
          <w:szCs w:val="18"/>
          <w:shd w:val="clear" w:color="auto" w:fill="FFFFFF"/>
        </w:rPr>
        <w:t> </w:t>
      </w:r>
      <w:hyperlink r:id="rId6" w:tgtFrame="_blank" w:history="1">
        <w:r w:rsidRPr="00FC50B0">
          <w:rPr>
            <w:rStyle w:val="Hyperlink"/>
            <w:rFonts w:asciiTheme="majorHAnsi" w:hAnsiTheme="majorHAnsi"/>
            <w:color w:val="1C97C8"/>
            <w:sz w:val="18"/>
            <w:szCs w:val="18"/>
            <w:bdr w:val="none" w:sz="0" w:space="0" w:color="auto" w:frame="1"/>
            <w:shd w:val="clear" w:color="auto" w:fill="FFFFFF"/>
          </w:rPr>
          <w:t>Every Woman Every Child</w:t>
        </w:r>
      </w:hyperlink>
      <w:r w:rsidRPr="00FC50B0">
        <w:rPr>
          <w:rFonts w:asciiTheme="majorHAnsi" w:hAnsiTheme="majorHAnsi" w:hint="eastAsia"/>
          <w:color w:val="808080"/>
          <w:sz w:val="18"/>
          <w:szCs w:val="18"/>
          <w:shd w:val="clear" w:color="auto" w:fill="FFFFFF"/>
        </w:rPr>
        <w:t> </w:t>
      </w:r>
      <w:r w:rsidRPr="00FC50B0">
        <w:rPr>
          <w:rFonts w:asciiTheme="majorHAnsi" w:hAnsiTheme="majorHAnsi"/>
          <w:color w:val="808080"/>
          <w:sz w:val="18"/>
          <w:szCs w:val="18"/>
          <w:shd w:val="clear" w:color="auto" w:fill="FFFFFF"/>
        </w:rPr>
        <w:t>Global Strategy and support country leadership and action for women</w:t>
      </w:r>
      <w:r>
        <w:rPr>
          <w:rFonts w:asciiTheme="majorHAnsi" w:hAnsiTheme="majorHAnsi"/>
          <w:color w:val="808080"/>
          <w:sz w:val="18"/>
          <w:szCs w:val="18"/>
          <w:shd w:val="clear" w:color="auto" w:fill="FFFFFF"/>
        </w:rPr>
        <w:t>’</w:t>
      </w:r>
      <w:r w:rsidRPr="00FC50B0">
        <w:rPr>
          <w:rFonts w:asciiTheme="majorHAnsi" w:hAnsiTheme="majorHAnsi"/>
          <w:color w:val="808080"/>
          <w:sz w:val="18"/>
          <w:szCs w:val="18"/>
          <w:shd w:val="clear" w:color="auto" w:fill="FFFFFF"/>
        </w:rPr>
        <w:t>s, children</w:t>
      </w:r>
      <w:r>
        <w:rPr>
          <w:rFonts w:asciiTheme="majorHAnsi" w:hAnsiTheme="majorHAnsi"/>
          <w:color w:val="808080"/>
          <w:sz w:val="18"/>
          <w:szCs w:val="18"/>
          <w:shd w:val="clear" w:color="auto" w:fill="FFFFFF"/>
        </w:rPr>
        <w:t>’</w:t>
      </w:r>
      <w:r w:rsidRPr="00FC50B0">
        <w:rPr>
          <w:rFonts w:asciiTheme="majorHAnsi" w:hAnsiTheme="majorHAnsi"/>
          <w:color w:val="808080"/>
          <w:sz w:val="18"/>
          <w:szCs w:val="18"/>
          <w:shd w:val="clear" w:color="auto" w:fill="FFFFFF"/>
        </w:rPr>
        <w:t>s and adolescents</w:t>
      </w:r>
      <w:r>
        <w:rPr>
          <w:rFonts w:asciiTheme="majorHAnsi" w:hAnsiTheme="majorHAnsi"/>
          <w:color w:val="808080"/>
          <w:sz w:val="18"/>
          <w:szCs w:val="18"/>
          <w:shd w:val="clear" w:color="auto" w:fill="FFFFFF"/>
        </w:rPr>
        <w:t xml:space="preserve">’ </w:t>
      </w:r>
      <w:r w:rsidRPr="00FC50B0">
        <w:rPr>
          <w:rFonts w:asciiTheme="majorHAnsi" w:hAnsiTheme="majorHAnsi"/>
          <w:color w:val="808080"/>
          <w:sz w:val="18"/>
          <w:szCs w:val="18"/>
          <w:shd w:val="clear" w:color="auto" w:fill="FFFFFF"/>
        </w:rPr>
        <w:t>health</w:t>
      </w:r>
    </w:p>
  </w:footnote>
  <w:footnote w:id="3">
    <w:p w:rsidR="001A547C" w:rsidRPr="00372428" w:rsidRDefault="001A547C" w:rsidP="001A547C">
      <w:pPr>
        <w:pStyle w:val="FootnoteText"/>
        <w:rPr>
          <w:rFonts w:asciiTheme="majorHAnsi" w:hAnsiTheme="majorHAnsi"/>
          <w:sz w:val="18"/>
          <w:szCs w:val="18"/>
          <w:lang w:val="en-US"/>
        </w:rPr>
      </w:pPr>
      <w:r>
        <w:rPr>
          <w:rStyle w:val="FootnoteReference"/>
        </w:rPr>
        <w:footnoteRef/>
      </w:r>
      <w:r>
        <w:t xml:space="preserve"> </w:t>
      </w:r>
      <w:r w:rsidRPr="00372428">
        <w:rPr>
          <w:rFonts w:asciiTheme="majorHAnsi" w:hAnsiTheme="majorHAnsi"/>
          <w:sz w:val="18"/>
          <w:szCs w:val="18"/>
          <w:lang w:val="en-US"/>
        </w:rPr>
        <w:t>All references to Kosovo shall be understood to be in the context of the Security Council resolution 1244 (1999)</w:t>
      </w:r>
      <w:r>
        <w:rPr>
          <w:rFonts w:asciiTheme="majorHAnsi" w:hAnsiTheme="majorHAnsi"/>
          <w:sz w:val="18"/>
          <w:szCs w:val="18"/>
          <w:lang w:val="en-US"/>
        </w:rPr>
        <w:t>.</w:t>
      </w:r>
    </w:p>
  </w:footnote>
  <w:footnote w:id="4">
    <w:p w:rsidR="001A547C" w:rsidRPr="00261620" w:rsidRDefault="001A547C" w:rsidP="001A547C">
      <w:pPr>
        <w:pStyle w:val="SingleTxt"/>
        <w:spacing w:after="0"/>
        <w:ind w:left="0"/>
        <w:rPr>
          <w:rFonts w:asciiTheme="majorHAnsi" w:hAnsiTheme="majorHAnsi"/>
          <w:sz w:val="16"/>
          <w:szCs w:val="16"/>
        </w:rPr>
      </w:pPr>
      <w:r>
        <w:rPr>
          <w:rStyle w:val="FootnoteReference"/>
        </w:rPr>
        <w:footnoteRef/>
      </w:r>
      <w:r>
        <w:t xml:space="preserve"> </w:t>
      </w:r>
      <w:r w:rsidRPr="00261620">
        <w:rPr>
          <w:rFonts w:asciiTheme="majorHAnsi" w:hAnsiTheme="majorHAnsi"/>
          <w:sz w:val="16"/>
          <w:szCs w:val="16"/>
        </w:rPr>
        <w:t xml:space="preserve">Data source: </w:t>
      </w:r>
      <w:hyperlink r:id="rId7" w:history="1">
        <w:r w:rsidRPr="00261620">
          <w:rPr>
            <w:rStyle w:val="Hyperlink"/>
            <w:rFonts w:asciiTheme="majorHAnsi" w:hAnsiTheme="majorHAnsi"/>
            <w:sz w:val="16"/>
            <w:szCs w:val="16"/>
          </w:rPr>
          <w:t>IATI Summary Statistics</w:t>
        </w:r>
      </w:hyperlink>
      <w:r w:rsidRPr="00261620">
        <w:rPr>
          <w:rFonts w:asciiTheme="majorHAnsi" w:hAnsiTheme="majorHAnsi"/>
          <w:sz w:val="16"/>
          <w:szCs w:val="16"/>
        </w:rPr>
        <w:t xml:space="preserve">. Performance Rating: Very Strong (75-100), Strong (50-74), Weak (25-49), Very Weak (0-24) </w:t>
      </w:r>
    </w:p>
    <w:p w:rsidR="001A547C" w:rsidRPr="00A32C33" w:rsidRDefault="001A547C" w:rsidP="001A547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20A" w:rsidRDefault="005A4F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49C"/>
    <w:multiLevelType w:val="hybridMultilevel"/>
    <w:tmpl w:val="B6C06906"/>
    <w:lvl w:ilvl="0" w:tplc="099C24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467FE"/>
    <w:multiLevelType w:val="hybridMultilevel"/>
    <w:tmpl w:val="91B6959A"/>
    <w:lvl w:ilvl="0" w:tplc="099C24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197952"/>
    <w:multiLevelType w:val="hybridMultilevel"/>
    <w:tmpl w:val="454C0B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26F52"/>
    <w:multiLevelType w:val="hybridMultilevel"/>
    <w:tmpl w:val="A4468302"/>
    <w:lvl w:ilvl="0" w:tplc="66846074">
      <w:start w:val="1"/>
      <w:numFmt w:val="decimal"/>
      <w:lvlText w:val="%1."/>
      <w:lvlJc w:val="left"/>
      <w:pPr>
        <w:ind w:left="720" w:hanging="720"/>
      </w:pPr>
      <w:rPr>
        <w:rFonts w:asciiTheme="majorHAnsi" w:hAnsiTheme="majorHAnsi" w:cstheme="maj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41FCA"/>
    <w:multiLevelType w:val="multilevel"/>
    <w:tmpl w:val="764249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D21333"/>
    <w:multiLevelType w:val="multilevel"/>
    <w:tmpl w:val="6C9E7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86042F"/>
    <w:multiLevelType w:val="multilevel"/>
    <w:tmpl w:val="514EA2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6980A22"/>
    <w:multiLevelType w:val="hybridMultilevel"/>
    <w:tmpl w:val="136206E4"/>
    <w:lvl w:ilvl="0" w:tplc="099C242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4A5067"/>
    <w:multiLevelType w:val="hybridMultilevel"/>
    <w:tmpl w:val="840E6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B4DFB"/>
    <w:multiLevelType w:val="hybridMultilevel"/>
    <w:tmpl w:val="CF6035C2"/>
    <w:lvl w:ilvl="0" w:tplc="04090017">
      <w:start w:val="1"/>
      <w:numFmt w:val="lowerLetter"/>
      <w:lvlText w:val="%1)"/>
      <w:lvlJc w:val="left"/>
      <w:pPr>
        <w:ind w:left="915" w:hanging="360"/>
      </w:pPr>
    </w:lvl>
    <w:lvl w:ilvl="1" w:tplc="04090019">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0" w15:restartNumberingAfterBreak="0">
    <w:nsid w:val="203263B8"/>
    <w:multiLevelType w:val="hybridMultilevel"/>
    <w:tmpl w:val="B9EAD522"/>
    <w:lvl w:ilvl="0" w:tplc="A5D8CD5E">
      <w:start w:val="1"/>
      <w:numFmt w:val="decimal"/>
      <w:lvlText w:val="%1."/>
      <w:lvlJc w:val="left"/>
      <w:pPr>
        <w:ind w:left="1080" w:hanging="72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036B4"/>
    <w:multiLevelType w:val="multilevel"/>
    <w:tmpl w:val="9CFCF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23B655D"/>
    <w:multiLevelType w:val="hybridMultilevel"/>
    <w:tmpl w:val="7F2E9D2E"/>
    <w:lvl w:ilvl="0" w:tplc="348088B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E7C8B"/>
    <w:multiLevelType w:val="hybridMultilevel"/>
    <w:tmpl w:val="8ABE429E"/>
    <w:lvl w:ilvl="0" w:tplc="03B8FE6E">
      <w:start w:val="1"/>
      <w:numFmt w:val="lowerLetter"/>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89A5B16"/>
    <w:multiLevelType w:val="hybridMultilevel"/>
    <w:tmpl w:val="DD2C7D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A61110"/>
    <w:multiLevelType w:val="multilevel"/>
    <w:tmpl w:val="6BE461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2E117894"/>
    <w:multiLevelType w:val="hybridMultilevel"/>
    <w:tmpl w:val="8384BD5A"/>
    <w:lvl w:ilvl="0" w:tplc="3BA21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471251"/>
    <w:multiLevelType w:val="hybridMultilevel"/>
    <w:tmpl w:val="BE8EC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476DC"/>
    <w:multiLevelType w:val="hybridMultilevel"/>
    <w:tmpl w:val="B9DE1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BB6B7F"/>
    <w:multiLevelType w:val="hybridMultilevel"/>
    <w:tmpl w:val="51C09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C007B"/>
    <w:multiLevelType w:val="hybridMultilevel"/>
    <w:tmpl w:val="9AD801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545D0"/>
    <w:multiLevelType w:val="hybridMultilevel"/>
    <w:tmpl w:val="9C281500"/>
    <w:lvl w:ilvl="0" w:tplc="405A195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C6373C8"/>
    <w:multiLevelType w:val="hybridMultilevel"/>
    <w:tmpl w:val="70FA8200"/>
    <w:lvl w:ilvl="0" w:tplc="04090017">
      <w:start w:val="1"/>
      <w:numFmt w:val="lowerLetter"/>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0891564"/>
    <w:multiLevelType w:val="hybridMultilevel"/>
    <w:tmpl w:val="9D4284A4"/>
    <w:lvl w:ilvl="0" w:tplc="099C2422">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4" w15:restartNumberingAfterBreak="0">
    <w:nsid w:val="425C7529"/>
    <w:multiLevelType w:val="hybridMultilevel"/>
    <w:tmpl w:val="6BB69C86"/>
    <w:lvl w:ilvl="0" w:tplc="291C87A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441179"/>
    <w:multiLevelType w:val="hybridMultilevel"/>
    <w:tmpl w:val="214A8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B5FAA"/>
    <w:multiLevelType w:val="hybridMultilevel"/>
    <w:tmpl w:val="2EBEAF44"/>
    <w:lvl w:ilvl="0" w:tplc="099C2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FE4E37"/>
    <w:multiLevelType w:val="hybridMultilevel"/>
    <w:tmpl w:val="9C281500"/>
    <w:lvl w:ilvl="0" w:tplc="405A195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C7F4E12"/>
    <w:multiLevelType w:val="hybridMultilevel"/>
    <w:tmpl w:val="B22E1EE8"/>
    <w:lvl w:ilvl="0" w:tplc="C590C47E">
      <w:start w:val="2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D18215D"/>
    <w:multiLevelType w:val="hybridMultilevel"/>
    <w:tmpl w:val="D4A422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A64356"/>
    <w:multiLevelType w:val="multilevel"/>
    <w:tmpl w:val="152A71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EE241AE"/>
    <w:multiLevelType w:val="hybridMultilevel"/>
    <w:tmpl w:val="C38C4D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A148C4"/>
    <w:multiLevelType w:val="hybridMultilevel"/>
    <w:tmpl w:val="C37AA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952E3"/>
    <w:multiLevelType w:val="hybridMultilevel"/>
    <w:tmpl w:val="AF34EAD0"/>
    <w:lvl w:ilvl="0" w:tplc="099C242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7066C3"/>
    <w:multiLevelType w:val="multilevel"/>
    <w:tmpl w:val="1DF0C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715537"/>
    <w:multiLevelType w:val="hybridMultilevel"/>
    <w:tmpl w:val="65F28246"/>
    <w:lvl w:ilvl="0" w:tplc="A5D8CD5E">
      <w:start w:val="1"/>
      <w:numFmt w:val="decimal"/>
      <w:lvlText w:val="%1."/>
      <w:lvlJc w:val="left"/>
      <w:pPr>
        <w:ind w:left="720" w:hanging="720"/>
      </w:pPr>
      <w:rPr>
        <w:rFonts w:asciiTheme="majorHAnsi" w:hAnsiTheme="majorHAnsi" w:cs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17C6C"/>
    <w:multiLevelType w:val="hybridMultilevel"/>
    <w:tmpl w:val="0C7EBE5E"/>
    <w:lvl w:ilvl="0" w:tplc="04090001">
      <w:start w:val="1"/>
      <w:numFmt w:val="bullet"/>
      <w:lvlText w:val=""/>
      <w:lvlJc w:val="left"/>
      <w:pPr>
        <w:ind w:left="915" w:hanging="360"/>
      </w:pPr>
      <w:rPr>
        <w:rFonts w:ascii="Symbol" w:hAnsi="Symbol"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7" w15:restartNumberingAfterBreak="0">
    <w:nsid w:val="699C4874"/>
    <w:multiLevelType w:val="hybridMultilevel"/>
    <w:tmpl w:val="E716BB7A"/>
    <w:lvl w:ilvl="0" w:tplc="C4045D9C">
      <w:start w:val="1"/>
      <w:numFmt w:val="decimal"/>
      <w:lvlText w:val="%1."/>
      <w:lvlJc w:val="left"/>
      <w:pPr>
        <w:ind w:left="720" w:hanging="720"/>
      </w:pPr>
      <w:rPr>
        <w:rFonts w:asciiTheme="majorHAnsi" w:eastAsia="Arial" w:hAnsiTheme="majorHAnsi" w:cstheme="majorHAnsi"/>
        <w:b w:val="0"/>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8" w15:restartNumberingAfterBreak="0">
    <w:nsid w:val="6CD91248"/>
    <w:multiLevelType w:val="hybridMultilevel"/>
    <w:tmpl w:val="93FE0710"/>
    <w:lvl w:ilvl="0" w:tplc="099C24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E601C56"/>
    <w:multiLevelType w:val="multilevel"/>
    <w:tmpl w:val="ACD60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EE2187E"/>
    <w:multiLevelType w:val="hybridMultilevel"/>
    <w:tmpl w:val="0B7E243E"/>
    <w:lvl w:ilvl="0" w:tplc="47C8367E">
      <w:start w:val="1"/>
      <w:numFmt w:val="lowerLetter"/>
      <w:lvlText w:val="%1)"/>
      <w:lvlJc w:val="left"/>
      <w:pPr>
        <w:ind w:left="-120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240" w:hanging="180"/>
      </w:pPr>
    </w:lvl>
    <w:lvl w:ilvl="3" w:tplc="0409000F" w:tentative="1">
      <w:start w:val="1"/>
      <w:numFmt w:val="decimal"/>
      <w:lvlText w:val="%4."/>
      <w:lvlJc w:val="left"/>
      <w:pPr>
        <w:ind w:left="960" w:hanging="360"/>
      </w:pPr>
    </w:lvl>
    <w:lvl w:ilvl="4" w:tplc="04090019" w:tentative="1">
      <w:start w:val="1"/>
      <w:numFmt w:val="lowerLetter"/>
      <w:lvlText w:val="%5."/>
      <w:lvlJc w:val="left"/>
      <w:pPr>
        <w:ind w:left="1680" w:hanging="360"/>
      </w:pPr>
    </w:lvl>
    <w:lvl w:ilvl="5" w:tplc="0409001B" w:tentative="1">
      <w:start w:val="1"/>
      <w:numFmt w:val="lowerRoman"/>
      <w:lvlText w:val="%6."/>
      <w:lvlJc w:val="right"/>
      <w:pPr>
        <w:ind w:left="2400" w:hanging="180"/>
      </w:pPr>
    </w:lvl>
    <w:lvl w:ilvl="6" w:tplc="0409000F" w:tentative="1">
      <w:start w:val="1"/>
      <w:numFmt w:val="decimal"/>
      <w:lvlText w:val="%7."/>
      <w:lvlJc w:val="left"/>
      <w:pPr>
        <w:ind w:left="3120" w:hanging="360"/>
      </w:pPr>
    </w:lvl>
    <w:lvl w:ilvl="7" w:tplc="04090019" w:tentative="1">
      <w:start w:val="1"/>
      <w:numFmt w:val="lowerLetter"/>
      <w:lvlText w:val="%8."/>
      <w:lvlJc w:val="left"/>
      <w:pPr>
        <w:ind w:left="3840" w:hanging="360"/>
      </w:pPr>
    </w:lvl>
    <w:lvl w:ilvl="8" w:tplc="0409001B" w:tentative="1">
      <w:start w:val="1"/>
      <w:numFmt w:val="lowerRoman"/>
      <w:lvlText w:val="%9."/>
      <w:lvlJc w:val="right"/>
      <w:pPr>
        <w:ind w:left="4560" w:hanging="180"/>
      </w:pPr>
    </w:lvl>
  </w:abstractNum>
  <w:abstractNum w:abstractNumId="41" w15:restartNumberingAfterBreak="0">
    <w:nsid w:val="6FE43BFF"/>
    <w:multiLevelType w:val="hybridMultilevel"/>
    <w:tmpl w:val="D632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395563"/>
    <w:multiLevelType w:val="multilevel"/>
    <w:tmpl w:val="F89409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3EB57D1"/>
    <w:multiLevelType w:val="multilevel"/>
    <w:tmpl w:val="4F76E3A6"/>
    <w:lvl w:ilvl="0">
      <w:start w:val="1"/>
      <w:numFmt w:val="decimal"/>
      <w:lvlText w:val="%1."/>
      <w:lvlJc w:val="left"/>
      <w:pPr>
        <w:ind w:left="1080" w:firstLine="0"/>
      </w:pPr>
      <w:rPr>
        <w:rFonts w:ascii="Times New Roman" w:eastAsia="Times New Roman" w:hAnsi="Times New Roman" w:cs="Times New Roman"/>
        <w:b w:val="0"/>
        <w:strike w:val="0"/>
        <w:color w:val="000000"/>
        <w:sz w:val="20"/>
        <w:szCs w:val="20"/>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
        <w:szCs w:val="2"/>
        <w:highlight w:val="black"/>
        <w:u w:val="none"/>
        <w:vertAlign w:val="baseline"/>
      </w:rPr>
    </w:lvl>
    <w:lvl w:ilvl="2">
      <w:start w:val="100"/>
      <w:numFmt w:val="lowerRoman"/>
      <w:lvlText w:val="%3."/>
      <w:lvlJc w:val="righ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384789"/>
    <w:multiLevelType w:val="hybridMultilevel"/>
    <w:tmpl w:val="E3C80644"/>
    <w:lvl w:ilvl="0" w:tplc="511AD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234603"/>
    <w:multiLevelType w:val="hybridMultilevel"/>
    <w:tmpl w:val="119AA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57143"/>
    <w:multiLevelType w:val="hybridMultilevel"/>
    <w:tmpl w:val="13EEF8B0"/>
    <w:lvl w:ilvl="0" w:tplc="24AA1166">
      <w:start w:val="1"/>
      <w:numFmt w:val="lowerLetter"/>
      <w:lvlText w:val="(%1)"/>
      <w:lvlJc w:val="left"/>
      <w:pPr>
        <w:ind w:left="360" w:hanging="360"/>
      </w:pPr>
      <w:rPr>
        <w:rFonts w:asciiTheme="majorHAnsi" w:eastAsia="Arial" w:hAnsiTheme="majorHAnsi" w:cs="Calibr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9"/>
  </w:num>
  <w:num w:numId="3">
    <w:abstractNumId w:val="6"/>
  </w:num>
  <w:num w:numId="4">
    <w:abstractNumId w:val="5"/>
  </w:num>
  <w:num w:numId="5">
    <w:abstractNumId w:val="15"/>
  </w:num>
  <w:num w:numId="6">
    <w:abstractNumId w:val="34"/>
  </w:num>
  <w:num w:numId="7">
    <w:abstractNumId w:val="18"/>
  </w:num>
  <w:num w:numId="8">
    <w:abstractNumId w:val="30"/>
  </w:num>
  <w:num w:numId="9">
    <w:abstractNumId w:val="42"/>
  </w:num>
  <w:num w:numId="10">
    <w:abstractNumId w:val="25"/>
  </w:num>
  <w:num w:numId="11">
    <w:abstractNumId w:val="20"/>
  </w:num>
  <w:num w:numId="12">
    <w:abstractNumId w:val="16"/>
  </w:num>
  <w:num w:numId="13">
    <w:abstractNumId w:val="7"/>
  </w:num>
  <w:num w:numId="14">
    <w:abstractNumId w:val="0"/>
  </w:num>
  <w:num w:numId="15">
    <w:abstractNumId w:val="29"/>
  </w:num>
  <w:num w:numId="16">
    <w:abstractNumId w:val="40"/>
  </w:num>
  <w:num w:numId="17">
    <w:abstractNumId w:val="14"/>
  </w:num>
  <w:num w:numId="18">
    <w:abstractNumId w:val="1"/>
  </w:num>
  <w:num w:numId="19">
    <w:abstractNumId w:val="33"/>
  </w:num>
  <w:num w:numId="20">
    <w:abstractNumId w:val="46"/>
  </w:num>
  <w:num w:numId="21">
    <w:abstractNumId w:val="31"/>
  </w:num>
  <w:num w:numId="22">
    <w:abstractNumId w:val="37"/>
  </w:num>
  <w:num w:numId="23">
    <w:abstractNumId w:val="10"/>
  </w:num>
  <w:num w:numId="24">
    <w:abstractNumId w:val="43"/>
  </w:num>
  <w:num w:numId="25">
    <w:abstractNumId w:val="22"/>
  </w:num>
  <w:num w:numId="26">
    <w:abstractNumId w:val="13"/>
  </w:num>
  <w:num w:numId="27">
    <w:abstractNumId w:val="21"/>
  </w:num>
  <w:num w:numId="28">
    <w:abstractNumId w:val="27"/>
  </w:num>
  <w:num w:numId="29">
    <w:abstractNumId w:val="2"/>
  </w:num>
  <w:num w:numId="30">
    <w:abstractNumId w:val="32"/>
  </w:num>
  <w:num w:numId="31">
    <w:abstractNumId w:val="8"/>
  </w:num>
  <w:num w:numId="32">
    <w:abstractNumId w:val="35"/>
  </w:num>
  <w:num w:numId="33">
    <w:abstractNumId w:val="23"/>
  </w:num>
  <w:num w:numId="34">
    <w:abstractNumId w:val="3"/>
  </w:num>
  <w:num w:numId="35">
    <w:abstractNumId w:val="17"/>
  </w:num>
  <w:num w:numId="36">
    <w:abstractNumId w:val="45"/>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9"/>
  </w:num>
  <w:num w:numId="40">
    <w:abstractNumId w:val="28"/>
  </w:num>
  <w:num w:numId="41">
    <w:abstractNumId w:val="4"/>
  </w:num>
  <w:num w:numId="42">
    <w:abstractNumId w:val="41"/>
  </w:num>
  <w:num w:numId="43">
    <w:abstractNumId w:val="36"/>
  </w:num>
  <w:num w:numId="44">
    <w:abstractNumId w:val="19"/>
  </w:num>
  <w:num w:numId="45">
    <w:abstractNumId w:val="44"/>
  </w:num>
  <w:num w:numId="46">
    <w:abstractNumId w:val="12"/>
  </w:num>
  <w:num w:numId="47">
    <w:abstractNumId w:val="2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7C"/>
    <w:rsid w:val="00022496"/>
    <w:rsid w:val="001A547C"/>
    <w:rsid w:val="0047731D"/>
    <w:rsid w:val="00536DF1"/>
    <w:rsid w:val="00537028"/>
    <w:rsid w:val="005A4FFA"/>
    <w:rsid w:val="00711280"/>
    <w:rsid w:val="00740958"/>
    <w:rsid w:val="0089702C"/>
    <w:rsid w:val="008B4015"/>
    <w:rsid w:val="00A20077"/>
    <w:rsid w:val="00B15CC7"/>
    <w:rsid w:val="00F5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D2D67-0F84-41CC-A433-91C82A39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547C"/>
    <w:pPr>
      <w:spacing w:after="0" w:line="276" w:lineRule="auto"/>
    </w:pPr>
    <w:rPr>
      <w:rFonts w:ascii="Arial" w:eastAsia="Arial" w:hAnsi="Arial" w:cs="Arial"/>
      <w:lang w:val="en"/>
    </w:rPr>
  </w:style>
  <w:style w:type="paragraph" w:styleId="Heading1">
    <w:name w:val="heading 1"/>
    <w:basedOn w:val="Normal"/>
    <w:next w:val="Normal"/>
    <w:link w:val="Heading1Char"/>
    <w:rsid w:val="001A547C"/>
    <w:pPr>
      <w:keepNext/>
      <w:keepLines/>
      <w:spacing w:before="400" w:after="120"/>
      <w:outlineLvl w:val="0"/>
    </w:pPr>
    <w:rPr>
      <w:sz w:val="40"/>
      <w:szCs w:val="40"/>
    </w:rPr>
  </w:style>
  <w:style w:type="paragraph" w:styleId="Heading2">
    <w:name w:val="heading 2"/>
    <w:basedOn w:val="Normal"/>
    <w:next w:val="Normal"/>
    <w:link w:val="Heading2Char"/>
    <w:rsid w:val="001A547C"/>
    <w:pPr>
      <w:keepNext/>
      <w:keepLines/>
      <w:spacing w:before="360" w:after="120"/>
      <w:outlineLvl w:val="1"/>
    </w:pPr>
    <w:rPr>
      <w:sz w:val="32"/>
      <w:szCs w:val="32"/>
    </w:rPr>
  </w:style>
  <w:style w:type="paragraph" w:styleId="Heading3">
    <w:name w:val="heading 3"/>
    <w:basedOn w:val="Normal"/>
    <w:next w:val="Normal"/>
    <w:link w:val="Heading3Char"/>
    <w:rsid w:val="001A547C"/>
    <w:pPr>
      <w:keepNext/>
      <w:keepLines/>
      <w:spacing w:before="320" w:after="80"/>
      <w:outlineLvl w:val="2"/>
    </w:pPr>
    <w:rPr>
      <w:color w:val="434343"/>
      <w:sz w:val="28"/>
      <w:szCs w:val="28"/>
    </w:rPr>
  </w:style>
  <w:style w:type="paragraph" w:styleId="Heading4">
    <w:name w:val="heading 4"/>
    <w:basedOn w:val="Normal"/>
    <w:next w:val="Normal"/>
    <w:link w:val="Heading4Char"/>
    <w:rsid w:val="001A547C"/>
    <w:pPr>
      <w:keepNext/>
      <w:keepLines/>
      <w:spacing w:before="280" w:after="80"/>
      <w:outlineLvl w:val="3"/>
    </w:pPr>
    <w:rPr>
      <w:color w:val="666666"/>
      <w:sz w:val="24"/>
      <w:szCs w:val="24"/>
    </w:rPr>
  </w:style>
  <w:style w:type="paragraph" w:styleId="Heading5">
    <w:name w:val="heading 5"/>
    <w:basedOn w:val="Normal"/>
    <w:next w:val="Normal"/>
    <w:link w:val="Heading5Char"/>
    <w:rsid w:val="001A547C"/>
    <w:pPr>
      <w:keepNext/>
      <w:keepLines/>
      <w:spacing w:before="240" w:after="80"/>
      <w:outlineLvl w:val="4"/>
    </w:pPr>
    <w:rPr>
      <w:color w:val="666666"/>
    </w:rPr>
  </w:style>
  <w:style w:type="paragraph" w:styleId="Heading6">
    <w:name w:val="heading 6"/>
    <w:basedOn w:val="Normal"/>
    <w:next w:val="Normal"/>
    <w:link w:val="Heading6Char"/>
    <w:rsid w:val="001A547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47C"/>
    <w:rPr>
      <w:rFonts w:ascii="Arial" w:eastAsia="Arial" w:hAnsi="Arial" w:cs="Arial"/>
      <w:sz w:val="40"/>
      <w:szCs w:val="40"/>
      <w:lang w:val="en"/>
    </w:rPr>
  </w:style>
  <w:style w:type="character" w:customStyle="1" w:styleId="Heading2Char">
    <w:name w:val="Heading 2 Char"/>
    <w:basedOn w:val="DefaultParagraphFont"/>
    <w:link w:val="Heading2"/>
    <w:rsid w:val="001A547C"/>
    <w:rPr>
      <w:rFonts w:ascii="Arial" w:eastAsia="Arial" w:hAnsi="Arial" w:cs="Arial"/>
      <w:sz w:val="32"/>
      <w:szCs w:val="32"/>
      <w:lang w:val="en"/>
    </w:rPr>
  </w:style>
  <w:style w:type="character" w:customStyle="1" w:styleId="Heading3Char">
    <w:name w:val="Heading 3 Char"/>
    <w:basedOn w:val="DefaultParagraphFont"/>
    <w:link w:val="Heading3"/>
    <w:rsid w:val="001A547C"/>
    <w:rPr>
      <w:rFonts w:ascii="Arial" w:eastAsia="Arial" w:hAnsi="Arial" w:cs="Arial"/>
      <w:color w:val="434343"/>
      <w:sz w:val="28"/>
      <w:szCs w:val="28"/>
      <w:lang w:val="en"/>
    </w:rPr>
  </w:style>
  <w:style w:type="character" w:customStyle="1" w:styleId="Heading4Char">
    <w:name w:val="Heading 4 Char"/>
    <w:basedOn w:val="DefaultParagraphFont"/>
    <w:link w:val="Heading4"/>
    <w:rsid w:val="001A547C"/>
    <w:rPr>
      <w:rFonts w:ascii="Arial" w:eastAsia="Arial" w:hAnsi="Arial" w:cs="Arial"/>
      <w:color w:val="666666"/>
      <w:sz w:val="24"/>
      <w:szCs w:val="24"/>
      <w:lang w:val="en"/>
    </w:rPr>
  </w:style>
  <w:style w:type="character" w:customStyle="1" w:styleId="Heading5Char">
    <w:name w:val="Heading 5 Char"/>
    <w:basedOn w:val="DefaultParagraphFont"/>
    <w:link w:val="Heading5"/>
    <w:rsid w:val="001A547C"/>
    <w:rPr>
      <w:rFonts w:ascii="Arial" w:eastAsia="Arial" w:hAnsi="Arial" w:cs="Arial"/>
      <w:color w:val="666666"/>
      <w:lang w:val="en"/>
    </w:rPr>
  </w:style>
  <w:style w:type="character" w:customStyle="1" w:styleId="Heading6Char">
    <w:name w:val="Heading 6 Char"/>
    <w:basedOn w:val="DefaultParagraphFont"/>
    <w:link w:val="Heading6"/>
    <w:rsid w:val="001A547C"/>
    <w:rPr>
      <w:rFonts w:ascii="Arial" w:eastAsia="Arial" w:hAnsi="Arial" w:cs="Arial"/>
      <w:i/>
      <w:color w:val="666666"/>
      <w:lang w:val="en"/>
    </w:rPr>
  </w:style>
  <w:style w:type="paragraph" w:styleId="Title">
    <w:name w:val="Title"/>
    <w:basedOn w:val="Normal"/>
    <w:next w:val="Normal"/>
    <w:link w:val="TitleChar"/>
    <w:rsid w:val="001A547C"/>
    <w:pPr>
      <w:keepNext/>
      <w:keepLines/>
      <w:spacing w:after="60"/>
    </w:pPr>
    <w:rPr>
      <w:sz w:val="52"/>
      <w:szCs w:val="52"/>
    </w:rPr>
  </w:style>
  <w:style w:type="character" w:customStyle="1" w:styleId="TitleChar">
    <w:name w:val="Title Char"/>
    <w:basedOn w:val="DefaultParagraphFont"/>
    <w:link w:val="Title"/>
    <w:rsid w:val="001A547C"/>
    <w:rPr>
      <w:rFonts w:ascii="Arial" w:eastAsia="Arial" w:hAnsi="Arial" w:cs="Arial"/>
      <w:sz w:val="52"/>
      <w:szCs w:val="52"/>
      <w:lang w:val="en"/>
    </w:rPr>
  </w:style>
  <w:style w:type="paragraph" w:styleId="Subtitle">
    <w:name w:val="Subtitle"/>
    <w:basedOn w:val="Normal"/>
    <w:next w:val="Normal"/>
    <w:link w:val="SubtitleChar"/>
    <w:rsid w:val="001A547C"/>
    <w:pPr>
      <w:keepNext/>
      <w:keepLines/>
      <w:spacing w:after="320"/>
    </w:pPr>
    <w:rPr>
      <w:color w:val="666666"/>
      <w:sz w:val="30"/>
      <w:szCs w:val="30"/>
    </w:rPr>
  </w:style>
  <w:style w:type="character" w:customStyle="1" w:styleId="SubtitleChar">
    <w:name w:val="Subtitle Char"/>
    <w:basedOn w:val="DefaultParagraphFont"/>
    <w:link w:val="Subtitle"/>
    <w:rsid w:val="001A547C"/>
    <w:rPr>
      <w:rFonts w:ascii="Arial" w:eastAsia="Arial" w:hAnsi="Arial" w:cs="Arial"/>
      <w:color w:val="666666"/>
      <w:sz w:val="30"/>
      <w:szCs w:val="30"/>
      <w:lang w:val="en"/>
    </w:rPr>
  </w:style>
  <w:style w:type="table" w:customStyle="1" w:styleId="2">
    <w:name w:val="2"/>
    <w:basedOn w:val="TableNormal"/>
    <w:rsid w:val="001A547C"/>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1A547C"/>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A54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47C"/>
    <w:rPr>
      <w:rFonts w:ascii="Segoe UI" w:eastAsia="Arial" w:hAnsi="Segoe UI" w:cs="Segoe UI"/>
      <w:sz w:val="18"/>
      <w:szCs w:val="18"/>
      <w:lang w:val="en"/>
    </w:rPr>
  </w:style>
  <w:style w:type="character" w:styleId="CommentReference">
    <w:name w:val="annotation reference"/>
    <w:basedOn w:val="DefaultParagraphFont"/>
    <w:uiPriority w:val="99"/>
    <w:semiHidden/>
    <w:unhideWhenUsed/>
    <w:rsid w:val="001A547C"/>
    <w:rPr>
      <w:sz w:val="16"/>
      <w:szCs w:val="16"/>
    </w:rPr>
  </w:style>
  <w:style w:type="paragraph" w:styleId="CommentText">
    <w:name w:val="annotation text"/>
    <w:basedOn w:val="Normal"/>
    <w:link w:val="CommentTextChar"/>
    <w:uiPriority w:val="99"/>
    <w:unhideWhenUsed/>
    <w:rsid w:val="001A547C"/>
    <w:pPr>
      <w:spacing w:line="240" w:lineRule="auto"/>
    </w:pPr>
    <w:rPr>
      <w:sz w:val="20"/>
      <w:szCs w:val="20"/>
    </w:rPr>
  </w:style>
  <w:style w:type="character" w:customStyle="1" w:styleId="CommentTextChar">
    <w:name w:val="Comment Text Char"/>
    <w:basedOn w:val="DefaultParagraphFont"/>
    <w:link w:val="CommentText"/>
    <w:uiPriority w:val="99"/>
    <w:rsid w:val="001A547C"/>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1A547C"/>
    <w:rPr>
      <w:b/>
      <w:bCs/>
    </w:rPr>
  </w:style>
  <w:style w:type="character" w:customStyle="1" w:styleId="CommentSubjectChar">
    <w:name w:val="Comment Subject Char"/>
    <w:basedOn w:val="CommentTextChar"/>
    <w:link w:val="CommentSubject"/>
    <w:uiPriority w:val="99"/>
    <w:semiHidden/>
    <w:rsid w:val="001A547C"/>
    <w:rPr>
      <w:rFonts w:ascii="Arial" w:eastAsia="Arial" w:hAnsi="Arial" w:cs="Arial"/>
      <w:b/>
      <w:bCs/>
      <w:sz w:val="20"/>
      <w:szCs w:val="20"/>
      <w:lang w:val="en"/>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1A547C"/>
    <w:pPr>
      <w:spacing w:line="240" w:lineRule="auto"/>
      <w:ind w:left="720"/>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A547C"/>
  </w:style>
  <w:style w:type="character" w:customStyle="1" w:styleId="eop">
    <w:name w:val="eop"/>
    <w:basedOn w:val="DefaultParagraphFont"/>
    <w:rsid w:val="001A547C"/>
  </w:style>
  <w:style w:type="paragraph" w:customStyle="1" w:styleId="paragraph">
    <w:name w:val="paragraph"/>
    <w:basedOn w:val="Normal"/>
    <w:rsid w:val="001A547C"/>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spellingerror">
    <w:name w:val="spellingerror"/>
    <w:basedOn w:val="DefaultParagraphFont"/>
    <w:rsid w:val="001A547C"/>
  </w:style>
  <w:style w:type="paragraph" w:styleId="TOCHeading">
    <w:name w:val="TOC Heading"/>
    <w:basedOn w:val="Heading1"/>
    <w:next w:val="Normal"/>
    <w:uiPriority w:val="39"/>
    <w:unhideWhenUsed/>
    <w:qFormat/>
    <w:rsid w:val="001A547C"/>
    <w:pPr>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1A547C"/>
    <w:pPr>
      <w:spacing w:after="100"/>
    </w:pPr>
  </w:style>
  <w:style w:type="character" w:styleId="Hyperlink">
    <w:name w:val="Hyperlink"/>
    <w:basedOn w:val="DefaultParagraphFont"/>
    <w:uiPriority w:val="99"/>
    <w:unhideWhenUsed/>
    <w:rsid w:val="001A547C"/>
    <w:rPr>
      <w:color w:val="0563C1" w:themeColor="hyperlink"/>
      <w:u w:val="single"/>
    </w:rPr>
  </w:style>
  <w:style w:type="paragraph" w:styleId="TOC2">
    <w:name w:val="toc 2"/>
    <w:basedOn w:val="Normal"/>
    <w:next w:val="Normal"/>
    <w:autoRedefine/>
    <w:uiPriority w:val="39"/>
    <w:unhideWhenUsed/>
    <w:rsid w:val="001A547C"/>
    <w:pPr>
      <w:spacing w:after="100"/>
      <w:ind w:left="220"/>
    </w:pPr>
  </w:style>
  <w:style w:type="paragraph" w:customStyle="1" w:styleId="SingleTxt">
    <w:name w:val="__Single Txt"/>
    <w:basedOn w:val="Normal"/>
    <w:rsid w:val="001A547C"/>
    <w:pPr>
      <w:spacing w:after="120" w:line="240" w:lineRule="atLeast"/>
      <w:ind w:left="1267" w:right="1267"/>
      <w:jc w:val="both"/>
    </w:pPr>
    <w:rPr>
      <w:rFonts w:ascii="Times New Roman" w:eastAsiaTheme="minorHAnsi" w:hAnsi="Times New Roman" w:cs="Times New Roman"/>
      <w:spacing w:val="4"/>
      <w:sz w:val="20"/>
      <w:szCs w:val="20"/>
      <w:lang w:val="en-US"/>
    </w:rPr>
  </w:style>
  <w:style w:type="paragraph" w:customStyle="1" w:styleId="Default">
    <w:name w:val="Default"/>
    <w:rsid w:val="001A547C"/>
    <w:pPr>
      <w:autoSpaceDE w:val="0"/>
      <w:autoSpaceDN w:val="0"/>
      <w:adjustRightInd w:val="0"/>
      <w:spacing w:after="0" w:line="240" w:lineRule="auto"/>
    </w:pPr>
    <w:rPr>
      <w:rFonts w:ascii="Times New Roman" w:eastAsia="Arial" w:hAnsi="Times New Roman" w:cs="Times New Roman"/>
      <w:color w:val="000000"/>
      <w:sz w:val="24"/>
      <w:szCs w:val="24"/>
      <w:lang w:val="en-GB"/>
    </w:rPr>
  </w:style>
  <w:style w:type="paragraph" w:styleId="Revision">
    <w:name w:val="Revision"/>
    <w:hidden/>
    <w:uiPriority w:val="99"/>
    <w:semiHidden/>
    <w:rsid w:val="001A547C"/>
    <w:pPr>
      <w:spacing w:after="0" w:line="240" w:lineRule="auto"/>
    </w:pPr>
    <w:rPr>
      <w:rFonts w:ascii="Arial" w:eastAsia="Arial" w:hAnsi="Arial" w:cs="Arial"/>
      <w:lang w:val="en"/>
    </w:rPr>
  </w:style>
  <w:style w:type="paragraph" w:styleId="FootnoteText">
    <w:name w:val="footnote text"/>
    <w:basedOn w:val="Normal"/>
    <w:link w:val="FootnoteTextChar"/>
    <w:uiPriority w:val="99"/>
    <w:unhideWhenUsed/>
    <w:rsid w:val="001A547C"/>
    <w:pPr>
      <w:spacing w:line="240" w:lineRule="auto"/>
    </w:pPr>
    <w:rPr>
      <w:sz w:val="20"/>
      <w:szCs w:val="20"/>
    </w:rPr>
  </w:style>
  <w:style w:type="character" w:customStyle="1" w:styleId="FootnoteTextChar">
    <w:name w:val="Footnote Text Char"/>
    <w:basedOn w:val="DefaultParagraphFont"/>
    <w:link w:val="FootnoteText"/>
    <w:uiPriority w:val="99"/>
    <w:rsid w:val="001A547C"/>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1A547C"/>
    <w:rPr>
      <w:vertAlign w:val="superscript"/>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1A547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547C"/>
    <w:pPr>
      <w:tabs>
        <w:tab w:val="center" w:pos="4680"/>
        <w:tab w:val="right" w:pos="9360"/>
      </w:tabs>
      <w:spacing w:line="240" w:lineRule="auto"/>
    </w:pPr>
  </w:style>
  <w:style w:type="character" w:customStyle="1" w:styleId="HeaderChar">
    <w:name w:val="Header Char"/>
    <w:basedOn w:val="DefaultParagraphFont"/>
    <w:link w:val="Header"/>
    <w:uiPriority w:val="99"/>
    <w:rsid w:val="001A547C"/>
    <w:rPr>
      <w:rFonts w:ascii="Arial" w:eastAsia="Arial" w:hAnsi="Arial" w:cs="Arial"/>
      <w:lang w:val="en"/>
    </w:rPr>
  </w:style>
  <w:style w:type="paragraph" w:styleId="Footer">
    <w:name w:val="footer"/>
    <w:basedOn w:val="Normal"/>
    <w:link w:val="FooterChar"/>
    <w:uiPriority w:val="99"/>
    <w:unhideWhenUsed/>
    <w:rsid w:val="001A547C"/>
    <w:pPr>
      <w:tabs>
        <w:tab w:val="center" w:pos="4680"/>
        <w:tab w:val="right" w:pos="9360"/>
      </w:tabs>
      <w:spacing w:line="240" w:lineRule="auto"/>
    </w:pPr>
  </w:style>
  <w:style w:type="character" w:customStyle="1" w:styleId="FooterChar">
    <w:name w:val="Footer Char"/>
    <w:basedOn w:val="DefaultParagraphFont"/>
    <w:link w:val="Footer"/>
    <w:uiPriority w:val="99"/>
    <w:rsid w:val="001A547C"/>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nstats.un.org/sdg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en/" TargetMode="External"/><Relationship Id="rId7" Type="http://schemas.openxmlformats.org/officeDocument/2006/relationships/hyperlink" Target="https://eur03.safelinks.protection.outlook.com/?url=http%3A%2F%2Fdashboard.iatistandard.org%2Fsummary_stats.html&amp;data=02%7C01%7Cmargaret.thomas%40undp.org%7C2e9d372b056543f8b9d108d6c40d2118%7Cb3e5db5e2944483799f57488ace54319%7C0%7C0%7C636911957996050974&amp;sdata=COtfUe2LWlfYBeOf7AaRqvqX3K3UV9Huhnj%2BZuWQl9A%3D&amp;reserved=0" TargetMode="External"/><Relationship Id="rId2" Type="http://schemas.openxmlformats.org/officeDocument/2006/relationships/hyperlink" Target="http://www.unwomen.org/" TargetMode="External"/><Relationship Id="rId1" Type="http://schemas.openxmlformats.org/officeDocument/2006/relationships/hyperlink" Target="http://www.unicef.org/" TargetMode="External"/><Relationship Id="rId6" Type="http://schemas.openxmlformats.org/officeDocument/2006/relationships/hyperlink" Target="http://www.everywomaneverychild.org/" TargetMode="External"/><Relationship Id="rId5" Type="http://schemas.openxmlformats.org/officeDocument/2006/relationships/hyperlink" Target="http://www.worldbank.org/" TargetMode="External"/><Relationship Id="rId4" Type="http://schemas.openxmlformats.org/officeDocument/2006/relationships/hyperlink" Target="http://www.una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7361</Words>
  <Characters>41960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UNDP/Nina Grinman</dc:creator>
  <cp:keywords/>
  <dc:description/>
  <cp:lastModifiedBy>Svetlana Iazykova</cp:lastModifiedBy>
  <cp:revision>2</cp:revision>
  <dcterms:created xsi:type="dcterms:W3CDTF">2019-05-09T15:58:00Z</dcterms:created>
  <dcterms:modified xsi:type="dcterms:W3CDTF">2019-05-09T15:58:00Z</dcterms:modified>
</cp:coreProperties>
</file>