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39619" w14:textId="77777777" w:rsidR="005C6168" w:rsidRPr="00517955" w:rsidRDefault="005C6168" w:rsidP="002721C3">
      <w:pPr>
        <w:pStyle w:val="Heading3"/>
      </w:pPr>
      <w:r w:rsidRPr="00517955">
        <w:t>Country:</w:t>
      </w:r>
      <w:r w:rsidRPr="00517955">
        <w:tab/>
      </w:r>
      <w:r w:rsidRPr="00517955">
        <w:tab/>
        <w:t>[</w:t>
      </w:r>
      <w:r w:rsidR="00FB400C" w:rsidRPr="00DE7AC8">
        <w:rPr>
          <w:color w:val="FF0000"/>
        </w:rPr>
        <w:t>NIGER</w:t>
      </w:r>
      <w:r w:rsidRPr="00517955">
        <w:t>]</w:t>
      </w:r>
    </w:p>
    <w:p w14:paraId="2F72235C" w14:textId="77777777" w:rsidR="005C6168" w:rsidRPr="00517955" w:rsidRDefault="005C6168">
      <w:pPr>
        <w:pStyle w:val="Heading3"/>
        <w:rPr>
          <w:rFonts w:asciiTheme="minorHAnsi" w:hAnsiTheme="minorHAnsi"/>
        </w:rPr>
      </w:pPr>
    </w:p>
    <w:p w14:paraId="48C357F0" w14:textId="77777777" w:rsidR="005C6168" w:rsidRPr="00517955" w:rsidRDefault="00BC38E0">
      <w:pPr>
        <w:pStyle w:val="Heading3"/>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r w:rsidR="001F3524">
        <w:rPr>
          <w:rStyle w:val="FootnoteReference"/>
          <w:rFonts w:asciiTheme="minorHAnsi" w:hAnsiTheme="minorHAnsi"/>
          <w:b/>
          <w:bCs w:val="0"/>
        </w:rPr>
        <w:footnoteReference w:id="1"/>
      </w:r>
    </w:p>
    <w:p w14:paraId="09117206" w14:textId="77777777" w:rsidR="005C6168" w:rsidRPr="00517955" w:rsidRDefault="005C6168">
      <w:pPr>
        <w:pStyle w:val="Heading3"/>
        <w:rPr>
          <w:rFonts w:asciiTheme="minorHAnsi" w:hAnsiTheme="minorHAnsi"/>
          <w:b/>
        </w:rPr>
      </w:pPr>
    </w:p>
    <w:p w14:paraId="7D500FDE" w14:textId="77777777" w:rsidR="005C6168" w:rsidRPr="00517955" w:rsidRDefault="005C6168">
      <w:pPr>
        <w:pStyle w:val="Heading3"/>
        <w:jc w:val="left"/>
        <w:rPr>
          <w:rFonts w:asciiTheme="minorHAnsi" w:hAnsiTheme="minorHAnsi"/>
        </w:rPr>
      </w:pPr>
      <w:r w:rsidRPr="00517955">
        <w:rPr>
          <w:rFonts w:asciiTheme="minorHAnsi" w:hAnsiTheme="minorHAnsi"/>
        </w:rPr>
        <w:t xml:space="preserve">Reporting period: </w:t>
      </w:r>
      <w:r w:rsidRPr="00517955">
        <w:rPr>
          <w:rFonts w:asciiTheme="minorHAnsi" w:hAnsiTheme="minorHAnsi"/>
        </w:rPr>
        <w:tab/>
      </w:r>
      <w:r w:rsidR="00DE7AC8" w:rsidRPr="00DE7AC8">
        <w:rPr>
          <w:rFonts w:asciiTheme="minorHAnsi" w:hAnsiTheme="minorHAnsi"/>
          <w:color w:val="FF0000"/>
        </w:rPr>
        <w:t>2014-201</w:t>
      </w:r>
      <w:r w:rsidR="00DE7AC8">
        <w:rPr>
          <w:rFonts w:asciiTheme="minorHAnsi" w:hAnsiTheme="minorHAnsi"/>
          <w:color w:val="FF0000"/>
        </w:rPr>
        <w:t>8</w:t>
      </w:r>
    </w:p>
    <w:p w14:paraId="037DA0A1" w14:textId="77777777" w:rsidR="005C6168" w:rsidRPr="00517955" w:rsidRDefault="005C6168">
      <w:pPr>
        <w:pStyle w:val="Heading3"/>
        <w:rPr>
          <w:rFonts w:asciiTheme="minorHAnsi" w:hAnsiTheme="minorHAnsi"/>
        </w:rPr>
      </w:pPr>
    </w:p>
    <w:p w14:paraId="0587E009" w14:textId="77777777" w:rsidR="005C6168" w:rsidRPr="00517955" w:rsidRDefault="005C6168">
      <w:pPr>
        <w:rPr>
          <w:rFonts w:asciiTheme="minorHAnsi" w:hAnsiTheme="minorHAnsi"/>
        </w:rPr>
      </w:pPr>
    </w:p>
    <w:p w14:paraId="48AA7ECE" w14:textId="6D3B7F59" w:rsidR="005C6168" w:rsidRPr="00517955" w:rsidRDefault="005C6168">
      <w:pPr>
        <w:pStyle w:val="Heading3"/>
        <w:rPr>
          <w:rFonts w:asciiTheme="minorHAnsi" w:hAnsiTheme="minorHAnsi"/>
          <w:b/>
          <w:bCs w:val="0"/>
        </w:rPr>
      </w:pPr>
      <w:r w:rsidRPr="00517955">
        <w:rPr>
          <w:rFonts w:asciiTheme="minorHAnsi" w:hAnsiTheme="minorHAnsi"/>
          <w:b/>
          <w:bCs w:val="0"/>
        </w:rPr>
        <w:t xml:space="preserve">I.  </w:t>
      </w:r>
      <w:r w:rsidR="0064746F">
        <w:rPr>
          <w:rFonts w:asciiTheme="minorHAnsi" w:hAnsiTheme="minorHAnsi"/>
          <w:b/>
          <w:bCs w:val="0"/>
        </w:rPr>
        <w:t>EXECUTIVE SUMMARY</w:t>
      </w:r>
    </w:p>
    <w:p w14:paraId="4C06FCCC" w14:textId="77777777" w:rsidR="00184DC5" w:rsidRDefault="00184DC5" w:rsidP="003263B0">
      <w:pPr>
        <w:pStyle w:val="BodyText2"/>
        <w:rPr>
          <w:rFonts w:asciiTheme="minorHAnsi" w:hAnsiTheme="minorHAnsi"/>
          <w:sz w:val="24"/>
        </w:rPr>
      </w:pPr>
    </w:p>
    <w:p w14:paraId="344A95E0" w14:textId="5BA162AC" w:rsidR="00184DC5" w:rsidRPr="00C342CB" w:rsidRDefault="00184DC5" w:rsidP="00C342CB">
      <w:pPr>
        <w:pStyle w:val="BodyText2"/>
        <w:jc w:val="both"/>
        <w:rPr>
          <w:rFonts w:asciiTheme="minorHAnsi" w:hAnsiTheme="minorHAnsi"/>
          <w:sz w:val="22"/>
          <w:szCs w:val="22"/>
        </w:rPr>
      </w:pPr>
      <w:r w:rsidRPr="00C342CB">
        <w:rPr>
          <w:rFonts w:asciiTheme="minorHAnsi" w:hAnsiTheme="minorHAnsi"/>
          <w:sz w:val="22"/>
          <w:szCs w:val="22"/>
        </w:rPr>
        <w:t>UNDP technical and financial support to targeted institutions and communities has contributed to improv</w:t>
      </w:r>
      <w:r w:rsidR="00B00AF1">
        <w:rPr>
          <w:rFonts w:asciiTheme="minorHAnsi" w:hAnsiTheme="minorHAnsi"/>
          <w:sz w:val="22"/>
          <w:szCs w:val="22"/>
        </w:rPr>
        <w:t>e</w:t>
      </w:r>
      <w:r w:rsidRPr="00C342CB">
        <w:rPr>
          <w:rFonts w:asciiTheme="minorHAnsi" w:hAnsiTheme="minorHAnsi"/>
          <w:sz w:val="22"/>
          <w:szCs w:val="22"/>
        </w:rPr>
        <w:t xml:space="preserve"> good governance, human rights, resilience and building peace.</w:t>
      </w:r>
    </w:p>
    <w:p w14:paraId="2C649176" w14:textId="09951632" w:rsidR="00184DC5" w:rsidRPr="00C342CB" w:rsidRDefault="00184DC5" w:rsidP="00C342CB">
      <w:pPr>
        <w:pStyle w:val="BodyText2"/>
        <w:numPr>
          <w:ilvl w:val="0"/>
          <w:numId w:val="29"/>
        </w:numPr>
        <w:spacing w:before="120"/>
        <w:ind w:left="357" w:hanging="357"/>
        <w:jc w:val="both"/>
        <w:rPr>
          <w:rFonts w:asciiTheme="minorHAnsi" w:hAnsiTheme="minorHAnsi"/>
          <w:sz w:val="22"/>
          <w:szCs w:val="22"/>
        </w:rPr>
      </w:pPr>
      <w:r w:rsidRPr="00C342CB">
        <w:rPr>
          <w:rFonts w:asciiTheme="minorHAnsi" w:hAnsiTheme="minorHAnsi"/>
          <w:sz w:val="22"/>
          <w:szCs w:val="22"/>
        </w:rPr>
        <w:t>UNDP demonstrated visible leadership in coordinating the process of developing the 2017-2021 Economic and Social Development Plan (PDES 2017-2021) by: (</w:t>
      </w:r>
      <w:proofErr w:type="spellStart"/>
      <w:r w:rsidRPr="00C342CB">
        <w:rPr>
          <w:rFonts w:asciiTheme="minorHAnsi" w:hAnsiTheme="minorHAnsi"/>
          <w:sz w:val="22"/>
          <w:szCs w:val="22"/>
        </w:rPr>
        <w:t>i</w:t>
      </w:r>
      <w:proofErr w:type="spellEnd"/>
      <w:r w:rsidRPr="00C342CB">
        <w:rPr>
          <w:rFonts w:asciiTheme="minorHAnsi" w:hAnsiTheme="minorHAnsi"/>
          <w:sz w:val="22"/>
          <w:szCs w:val="22"/>
        </w:rPr>
        <w:t xml:space="preserve">) mobilizing national / international expertise, and financial resources, (ii) prioritization, contextualization and integration of the Sustainable Development Goals, (iii) advocacy for gender mainstreaming, (iv) articulation with Niger Vision 2035 and the African Union Agenda 2063. All of this support contributed to produce a quality </w:t>
      </w:r>
      <w:r w:rsidR="00B00AF1">
        <w:rPr>
          <w:rFonts w:asciiTheme="minorHAnsi" w:hAnsiTheme="minorHAnsi"/>
          <w:sz w:val="22"/>
          <w:szCs w:val="22"/>
        </w:rPr>
        <w:t>national development programme</w:t>
      </w:r>
      <w:r w:rsidRPr="00C342CB">
        <w:rPr>
          <w:rFonts w:asciiTheme="minorHAnsi" w:hAnsiTheme="minorHAnsi"/>
          <w:sz w:val="22"/>
          <w:szCs w:val="22"/>
        </w:rPr>
        <w:t xml:space="preserve"> and raised over US$23 billion in pledges during the successful 2017 donor roundtable.</w:t>
      </w:r>
    </w:p>
    <w:p w14:paraId="3153D1A9" w14:textId="52262C3B" w:rsidR="00797C79" w:rsidRPr="00C342CB" w:rsidRDefault="00B00AF1" w:rsidP="00C342CB">
      <w:pPr>
        <w:pStyle w:val="BodyText2"/>
        <w:numPr>
          <w:ilvl w:val="0"/>
          <w:numId w:val="29"/>
        </w:numPr>
        <w:spacing w:before="120"/>
        <w:ind w:left="357" w:hanging="357"/>
        <w:jc w:val="both"/>
        <w:rPr>
          <w:rFonts w:asciiTheme="minorHAnsi" w:hAnsiTheme="minorHAnsi"/>
          <w:sz w:val="22"/>
          <w:szCs w:val="22"/>
        </w:rPr>
      </w:pPr>
      <w:r>
        <w:rPr>
          <w:rFonts w:asciiTheme="minorHAnsi" w:hAnsiTheme="minorHAnsi"/>
          <w:sz w:val="22"/>
          <w:szCs w:val="22"/>
        </w:rPr>
        <w:t>During the</w:t>
      </w:r>
      <w:r w:rsidR="00184DC5" w:rsidRPr="00C342CB">
        <w:rPr>
          <w:rFonts w:asciiTheme="minorHAnsi" w:hAnsiTheme="minorHAnsi"/>
          <w:sz w:val="22"/>
          <w:szCs w:val="22"/>
        </w:rPr>
        <w:t xml:space="preserve"> 2016 electoral process (presidential and legislative), UNDP also played a key role in reducing tensions through preventive diplomacy and strategic steering of the </w:t>
      </w:r>
      <w:r>
        <w:rPr>
          <w:rFonts w:asciiTheme="minorHAnsi" w:hAnsiTheme="minorHAnsi"/>
          <w:sz w:val="22"/>
          <w:szCs w:val="22"/>
        </w:rPr>
        <w:t xml:space="preserve">electoral </w:t>
      </w:r>
      <w:r w:rsidR="00184DC5" w:rsidRPr="00C342CB">
        <w:rPr>
          <w:rFonts w:asciiTheme="minorHAnsi" w:hAnsiTheme="minorHAnsi"/>
          <w:sz w:val="22"/>
          <w:szCs w:val="22"/>
        </w:rPr>
        <w:t xml:space="preserve">process through the co-chairmanship of the </w:t>
      </w:r>
      <w:r>
        <w:rPr>
          <w:rFonts w:asciiTheme="minorHAnsi" w:hAnsiTheme="minorHAnsi"/>
          <w:sz w:val="22"/>
          <w:szCs w:val="22"/>
        </w:rPr>
        <w:t>Elections Steering C</w:t>
      </w:r>
      <w:r w:rsidR="00184DC5" w:rsidRPr="00C342CB">
        <w:rPr>
          <w:rFonts w:asciiTheme="minorHAnsi" w:hAnsiTheme="minorHAnsi"/>
          <w:sz w:val="22"/>
          <w:szCs w:val="22"/>
        </w:rPr>
        <w:t xml:space="preserve">ommittee </w:t>
      </w:r>
      <w:r w:rsidR="00245C7C" w:rsidRPr="00C342CB">
        <w:rPr>
          <w:rFonts w:asciiTheme="minorHAnsi" w:hAnsiTheme="minorHAnsi"/>
          <w:sz w:val="22"/>
          <w:szCs w:val="22"/>
        </w:rPr>
        <w:t>together with t</w:t>
      </w:r>
      <w:r w:rsidR="00184DC5" w:rsidRPr="00C342CB">
        <w:rPr>
          <w:rFonts w:asciiTheme="minorHAnsi" w:hAnsiTheme="minorHAnsi"/>
          <w:sz w:val="22"/>
          <w:szCs w:val="22"/>
        </w:rPr>
        <w:t>he Independent Electoral Commission (INEC)</w:t>
      </w:r>
      <w:r w:rsidR="00245C7C" w:rsidRPr="00C342CB">
        <w:rPr>
          <w:rFonts w:asciiTheme="minorHAnsi" w:hAnsiTheme="minorHAnsi"/>
          <w:sz w:val="22"/>
          <w:szCs w:val="22"/>
        </w:rPr>
        <w:t>. T</w:t>
      </w:r>
      <w:r w:rsidR="00184DC5" w:rsidRPr="00C342CB">
        <w:rPr>
          <w:rFonts w:asciiTheme="minorHAnsi" w:hAnsiTheme="minorHAnsi"/>
          <w:sz w:val="22"/>
          <w:szCs w:val="22"/>
        </w:rPr>
        <w:t xml:space="preserve">his </w:t>
      </w:r>
      <w:r w:rsidR="00245C7C" w:rsidRPr="00C342CB">
        <w:rPr>
          <w:rFonts w:asciiTheme="minorHAnsi" w:hAnsiTheme="minorHAnsi"/>
          <w:sz w:val="22"/>
          <w:szCs w:val="22"/>
        </w:rPr>
        <w:t>steering committee served as the forum for all</w:t>
      </w:r>
      <w:r w:rsidR="00184DC5" w:rsidRPr="00C342CB">
        <w:rPr>
          <w:rFonts w:asciiTheme="minorHAnsi" w:hAnsiTheme="minorHAnsi"/>
          <w:sz w:val="22"/>
          <w:szCs w:val="22"/>
        </w:rPr>
        <w:t xml:space="preserve"> national </w:t>
      </w:r>
      <w:r w:rsidR="00245C7C" w:rsidRPr="00C342CB">
        <w:rPr>
          <w:rFonts w:asciiTheme="minorHAnsi" w:hAnsiTheme="minorHAnsi"/>
          <w:sz w:val="22"/>
          <w:szCs w:val="22"/>
        </w:rPr>
        <w:t xml:space="preserve">institutions and actors </w:t>
      </w:r>
      <w:r w:rsidR="00184DC5" w:rsidRPr="00C342CB">
        <w:rPr>
          <w:rFonts w:asciiTheme="minorHAnsi" w:hAnsiTheme="minorHAnsi"/>
          <w:sz w:val="22"/>
          <w:szCs w:val="22"/>
        </w:rPr>
        <w:t xml:space="preserve">(Higher Council of Communication, National Human Rights Commission, State Council, National Council for Political Dialogue, </w:t>
      </w:r>
      <w:r w:rsidR="00245C7C" w:rsidRPr="00C342CB">
        <w:rPr>
          <w:rFonts w:asciiTheme="minorHAnsi" w:hAnsiTheme="minorHAnsi"/>
          <w:sz w:val="22"/>
          <w:szCs w:val="22"/>
        </w:rPr>
        <w:t>and Ministries</w:t>
      </w:r>
      <w:r w:rsidR="00184DC5" w:rsidRPr="00C342CB">
        <w:rPr>
          <w:rFonts w:asciiTheme="minorHAnsi" w:hAnsiTheme="minorHAnsi"/>
          <w:sz w:val="22"/>
          <w:szCs w:val="22"/>
        </w:rPr>
        <w:t xml:space="preserve"> of the Interior, Finance and </w:t>
      </w:r>
      <w:bookmarkStart w:id="0" w:name="_GoBack"/>
      <w:bookmarkEnd w:id="0"/>
      <w:r w:rsidR="00184DC5" w:rsidRPr="00C342CB">
        <w:rPr>
          <w:rFonts w:asciiTheme="minorHAnsi" w:hAnsiTheme="minorHAnsi"/>
          <w:sz w:val="22"/>
          <w:szCs w:val="22"/>
        </w:rPr>
        <w:t xml:space="preserve">foreign affairs) and international </w:t>
      </w:r>
      <w:r>
        <w:rPr>
          <w:rFonts w:asciiTheme="minorHAnsi" w:hAnsiTheme="minorHAnsi"/>
          <w:sz w:val="22"/>
          <w:szCs w:val="22"/>
        </w:rPr>
        <w:t xml:space="preserve">partners </w:t>
      </w:r>
      <w:r w:rsidR="00184DC5" w:rsidRPr="00C342CB">
        <w:rPr>
          <w:rFonts w:asciiTheme="minorHAnsi" w:hAnsiTheme="minorHAnsi"/>
          <w:sz w:val="22"/>
          <w:szCs w:val="22"/>
        </w:rPr>
        <w:t>(ambassadors and heads of diplomatic missions)</w:t>
      </w:r>
      <w:r w:rsidR="00245C7C" w:rsidRPr="00C342CB">
        <w:rPr>
          <w:rFonts w:asciiTheme="minorHAnsi" w:hAnsiTheme="minorHAnsi"/>
          <w:sz w:val="22"/>
          <w:szCs w:val="22"/>
        </w:rPr>
        <w:t xml:space="preserve"> to strategically assist the country during the elections</w:t>
      </w:r>
      <w:r w:rsidR="00184DC5" w:rsidRPr="00C342CB">
        <w:rPr>
          <w:rFonts w:asciiTheme="minorHAnsi" w:hAnsiTheme="minorHAnsi"/>
          <w:sz w:val="22"/>
          <w:szCs w:val="22"/>
        </w:rPr>
        <w:t xml:space="preserve">. UNDP also </w:t>
      </w:r>
      <w:r w:rsidR="00245C7C" w:rsidRPr="00C342CB">
        <w:rPr>
          <w:rFonts w:asciiTheme="minorHAnsi" w:hAnsiTheme="minorHAnsi"/>
          <w:sz w:val="22"/>
          <w:szCs w:val="22"/>
        </w:rPr>
        <w:t xml:space="preserve">helped </w:t>
      </w:r>
      <w:r w:rsidR="00184DC5" w:rsidRPr="00C342CB">
        <w:rPr>
          <w:rFonts w:asciiTheme="minorHAnsi" w:hAnsiTheme="minorHAnsi"/>
          <w:sz w:val="22"/>
          <w:szCs w:val="22"/>
        </w:rPr>
        <w:t>mobilize and managed the financial resources of a joint donor basket fund (Switzerland, Luxembourg, Japan, the Peacebuilding Fund and UNDP), thus contributing to the provision of a</w:t>
      </w:r>
      <w:r w:rsidR="00245C7C" w:rsidRPr="00C342CB">
        <w:rPr>
          <w:rFonts w:asciiTheme="minorHAnsi" w:hAnsiTheme="minorHAnsi"/>
          <w:sz w:val="22"/>
          <w:szCs w:val="22"/>
        </w:rPr>
        <w:t xml:space="preserve"> fully operational</w:t>
      </w:r>
      <w:r w:rsidR="00184DC5" w:rsidRPr="00C342CB">
        <w:rPr>
          <w:rFonts w:asciiTheme="minorHAnsi" w:hAnsiTheme="minorHAnsi"/>
          <w:sz w:val="22"/>
          <w:szCs w:val="22"/>
        </w:rPr>
        <w:t xml:space="preserve"> technical unit within the INEC, the provision of </w:t>
      </w:r>
      <w:r w:rsidR="00245C7C" w:rsidRPr="00C342CB">
        <w:rPr>
          <w:rFonts w:asciiTheme="minorHAnsi" w:hAnsiTheme="minorHAnsi"/>
          <w:sz w:val="22"/>
          <w:szCs w:val="22"/>
        </w:rPr>
        <w:t xml:space="preserve">election </w:t>
      </w:r>
      <w:r w:rsidR="00184DC5" w:rsidRPr="00C342CB">
        <w:rPr>
          <w:rFonts w:asciiTheme="minorHAnsi" w:hAnsiTheme="minorHAnsi"/>
          <w:sz w:val="22"/>
          <w:szCs w:val="22"/>
        </w:rPr>
        <w:t xml:space="preserve">materials, the production of communication materials, capacity building for national actors, institutions, </w:t>
      </w:r>
      <w:r w:rsidR="00245C7C" w:rsidRPr="00C342CB">
        <w:rPr>
          <w:rFonts w:asciiTheme="minorHAnsi" w:hAnsiTheme="minorHAnsi"/>
          <w:sz w:val="22"/>
          <w:szCs w:val="22"/>
        </w:rPr>
        <w:t>voters</w:t>
      </w:r>
      <w:r w:rsidR="00184DC5" w:rsidRPr="00C342CB">
        <w:rPr>
          <w:rFonts w:asciiTheme="minorHAnsi" w:hAnsiTheme="minorHAnsi"/>
          <w:sz w:val="22"/>
          <w:szCs w:val="22"/>
        </w:rPr>
        <w:t xml:space="preserve"> and civil society. All these elements contributed to peaceful elections with a historic turnout of 66.75% in the first round of the presidential election, </w:t>
      </w:r>
      <w:r>
        <w:rPr>
          <w:rFonts w:asciiTheme="minorHAnsi" w:hAnsiTheme="minorHAnsi"/>
          <w:sz w:val="22"/>
          <w:szCs w:val="22"/>
        </w:rPr>
        <w:t>and</w:t>
      </w:r>
      <w:r w:rsidR="00184DC5" w:rsidRPr="00C342CB">
        <w:rPr>
          <w:rFonts w:asciiTheme="minorHAnsi" w:hAnsiTheme="minorHAnsi"/>
          <w:sz w:val="22"/>
          <w:szCs w:val="22"/>
        </w:rPr>
        <w:t xml:space="preserve"> strong female and youth </w:t>
      </w:r>
      <w:r w:rsidR="00797C79" w:rsidRPr="00C342CB">
        <w:rPr>
          <w:rFonts w:asciiTheme="minorHAnsi" w:hAnsiTheme="minorHAnsi"/>
          <w:sz w:val="22"/>
          <w:szCs w:val="22"/>
        </w:rPr>
        <w:t>participation</w:t>
      </w:r>
      <w:r w:rsidR="00184DC5" w:rsidRPr="00C342CB">
        <w:rPr>
          <w:rFonts w:asciiTheme="minorHAnsi" w:hAnsiTheme="minorHAnsi"/>
          <w:sz w:val="22"/>
          <w:szCs w:val="22"/>
        </w:rPr>
        <w:t>.</w:t>
      </w:r>
    </w:p>
    <w:p w14:paraId="56BB6415" w14:textId="1EF2CB70" w:rsidR="00797C79" w:rsidRPr="00C342CB" w:rsidRDefault="00184DC5" w:rsidP="00C342CB">
      <w:pPr>
        <w:pStyle w:val="BodyText2"/>
        <w:numPr>
          <w:ilvl w:val="0"/>
          <w:numId w:val="29"/>
        </w:numPr>
        <w:spacing w:before="120"/>
        <w:ind w:left="357" w:hanging="357"/>
        <w:jc w:val="both"/>
        <w:rPr>
          <w:rFonts w:asciiTheme="minorHAnsi" w:hAnsiTheme="minorHAnsi"/>
          <w:sz w:val="22"/>
          <w:szCs w:val="22"/>
        </w:rPr>
      </w:pPr>
      <w:r w:rsidRPr="00C342CB">
        <w:rPr>
          <w:rFonts w:asciiTheme="minorHAnsi" w:hAnsiTheme="minorHAnsi"/>
          <w:sz w:val="22"/>
          <w:szCs w:val="22"/>
        </w:rPr>
        <w:t xml:space="preserve">In terms of human rights, the technical expertise and advocacy </w:t>
      </w:r>
      <w:r w:rsidR="00245C7C" w:rsidRPr="00C342CB">
        <w:rPr>
          <w:rFonts w:asciiTheme="minorHAnsi" w:hAnsiTheme="minorHAnsi"/>
          <w:sz w:val="22"/>
          <w:szCs w:val="22"/>
        </w:rPr>
        <w:t xml:space="preserve">provided to </w:t>
      </w:r>
      <w:r w:rsidR="00797C79" w:rsidRPr="00C342CB">
        <w:rPr>
          <w:rFonts w:asciiTheme="minorHAnsi" w:hAnsiTheme="minorHAnsi"/>
          <w:sz w:val="22"/>
          <w:szCs w:val="22"/>
        </w:rPr>
        <w:t>the Government, the National Human Rights Commission (CNDH)</w:t>
      </w:r>
      <w:r w:rsidR="00245C7C" w:rsidRPr="00C342CB">
        <w:rPr>
          <w:rFonts w:asciiTheme="minorHAnsi" w:hAnsiTheme="minorHAnsi"/>
          <w:sz w:val="22"/>
          <w:szCs w:val="22"/>
        </w:rPr>
        <w:t xml:space="preserve"> and </w:t>
      </w:r>
      <w:r w:rsidR="00797C79" w:rsidRPr="00C342CB">
        <w:rPr>
          <w:rFonts w:asciiTheme="minorHAnsi" w:hAnsiTheme="minorHAnsi"/>
          <w:sz w:val="22"/>
          <w:szCs w:val="22"/>
        </w:rPr>
        <w:t>civil society</w:t>
      </w:r>
      <w:r w:rsidR="00245C7C" w:rsidRPr="00C342CB">
        <w:rPr>
          <w:rFonts w:asciiTheme="minorHAnsi" w:hAnsiTheme="minorHAnsi"/>
          <w:sz w:val="22"/>
          <w:szCs w:val="22"/>
        </w:rPr>
        <w:t xml:space="preserve"> organizations</w:t>
      </w:r>
      <w:r w:rsidR="00797C79" w:rsidRPr="00C342CB">
        <w:rPr>
          <w:rFonts w:asciiTheme="minorHAnsi" w:hAnsiTheme="minorHAnsi"/>
          <w:sz w:val="22"/>
          <w:szCs w:val="22"/>
        </w:rPr>
        <w:t xml:space="preserve">, </w:t>
      </w:r>
      <w:r w:rsidRPr="00C342CB">
        <w:rPr>
          <w:rFonts w:asciiTheme="minorHAnsi" w:hAnsiTheme="minorHAnsi"/>
          <w:sz w:val="22"/>
          <w:szCs w:val="22"/>
        </w:rPr>
        <w:t>enable</w:t>
      </w:r>
      <w:r w:rsidR="00797C79" w:rsidRPr="00C342CB">
        <w:rPr>
          <w:rFonts w:asciiTheme="minorHAnsi" w:hAnsiTheme="minorHAnsi"/>
          <w:sz w:val="22"/>
          <w:szCs w:val="22"/>
        </w:rPr>
        <w:t>d</w:t>
      </w:r>
      <w:r w:rsidRPr="00C342CB">
        <w:rPr>
          <w:rFonts w:asciiTheme="minorHAnsi" w:hAnsiTheme="minorHAnsi"/>
          <w:sz w:val="22"/>
          <w:szCs w:val="22"/>
        </w:rPr>
        <w:t xml:space="preserve"> </w:t>
      </w:r>
      <w:r w:rsidR="00797C79" w:rsidRPr="00C342CB">
        <w:rPr>
          <w:rFonts w:asciiTheme="minorHAnsi" w:hAnsiTheme="minorHAnsi"/>
          <w:sz w:val="22"/>
          <w:szCs w:val="22"/>
        </w:rPr>
        <w:t>the country to successfully submit its</w:t>
      </w:r>
      <w:r w:rsidRPr="00C342CB">
        <w:rPr>
          <w:rFonts w:asciiTheme="minorHAnsi" w:hAnsiTheme="minorHAnsi"/>
          <w:sz w:val="22"/>
          <w:szCs w:val="22"/>
        </w:rPr>
        <w:t xml:space="preserve"> report o</w:t>
      </w:r>
      <w:r w:rsidR="00797C79" w:rsidRPr="00C342CB">
        <w:rPr>
          <w:rFonts w:asciiTheme="minorHAnsi" w:hAnsiTheme="minorHAnsi"/>
          <w:sz w:val="22"/>
          <w:szCs w:val="22"/>
        </w:rPr>
        <w:t>n</w:t>
      </w:r>
      <w:r w:rsidRPr="00C342CB">
        <w:rPr>
          <w:rFonts w:asciiTheme="minorHAnsi" w:hAnsiTheme="minorHAnsi"/>
          <w:sz w:val="22"/>
          <w:szCs w:val="22"/>
        </w:rPr>
        <w:t xml:space="preserve"> the second cycle of the Universal Periodic Review</w:t>
      </w:r>
      <w:r w:rsidR="00797C79" w:rsidRPr="00C342CB">
        <w:rPr>
          <w:rFonts w:asciiTheme="minorHAnsi" w:hAnsiTheme="minorHAnsi"/>
          <w:sz w:val="22"/>
          <w:szCs w:val="22"/>
        </w:rPr>
        <w:t xml:space="preserve"> (UPR)</w:t>
      </w:r>
      <w:r w:rsidRPr="00C342CB">
        <w:rPr>
          <w:rFonts w:asciiTheme="minorHAnsi" w:hAnsiTheme="minorHAnsi"/>
          <w:sz w:val="22"/>
          <w:szCs w:val="22"/>
        </w:rPr>
        <w:t xml:space="preserve"> and to make up for 10 years</w:t>
      </w:r>
      <w:r w:rsidR="00245C7C" w:rsidRPr="00C342CB">
        <w:rPr>
          <w:rFonts w:asciiTheme="minorHAnsi" w:hAnsiTheme="minorHAnsi"/>
          <w:sz w:val="22"/>
          <w:szCs w:val="22"/>
        </w:rPr>
        <w:t xml:space="preserve"> delays</w:t>
      </w:r>
      <w:r w:rsidRPr="00C342CB">
        <w:rPr>
          <w:rFonts w:asciiTheme="minorHAnsi" w:hAnsiTheme="minorHAnsi"/>
          <w:sz w:val="22"/>
          <w:szCs w:val="22"/>
        </w:rPr>
        <w:t xml:space="preserve"> by the successful presentation of its combined report on the Convention on the Elimination of All F</w:t>
      </w:r>
      <w:r w:rsidR="00B00AF1">
        <w:rPr>
          <w:rFonts w:asciiTheme="minorHAnsi" w:hAnsiTheme="minorHAnsi"/>
          <w:sz w:val="22"/>
          <w:szCs w:val="22"/>
        </w:rPr>
        <w:t>orms of Discrimination against W</w:t>
      </w:r>
      <w:r w:rsidRPr="00C342CB">
        <w:rPr>
          <w:rFonts w:asciiTheme="minorHAnsi" w:hAnsiTheme="minorHAnsi"/>
          <w:sz w:val="22"/>
          <w:szCs w:val="22"/>
        </w:rPr>
        <w:t>omen</w:t>
      </w:r>
      <w:r w:rsidR="0066771A" w:rsidRPr="00C342CB">
        <w:rPr>
          <w:rFonts w:asciiTheme="minorHAnsi" w:hAnsiTheme="minorHAnsi"/>
          <w:sz w:val="22"/>
          <w:szCs w:val="22"/>
        </w:rPr>
        <w:t xml:space="preserve"> </w:t>
      </w:r>
      <w:r w:rsidR="00797C79" w:rsidRPr="00C342CB">
        <w:rPr>
          <w:rFonts w:asciiTheme="minorHAnsi" w:hAnsiTheme="minorHAnsi"/>
          <w:sz w:val="22"/>
          <w:szCs w:val="22"/>
        </w:rPr>
        <w:t>(CEDAW).</w:t>
      </w:r>
      <w:r w:rsidRPr="00C342CB">
        <w:rPr>
          <w:rFonts w:asciiTheme="minorHAnsi" w:hAnsiTheme="minorHAnsi"/>
          <w:sz w:val="22"/>
          <w:szCs w:val="22"/>
        </w:rPr>
        <w:t xml:space="preserve"> Similarly, with UNDP technical assistance</w:t>
      </w:r>
      <w:r w:rsidR="00245C7C" w:rsidRPr="00C342CB">
        <w:rPr>
          <w:rFonts w:asciiTheme="minorHAnsi" w:hAnsiTheme="minorHAnsi"/>
          <w:sz w:val="22"/>
          <w:szCs w:val="22"/>
        </w:rPr>
        <w:t xml:space="preserve">, </w:t>
      </w:r>
      <w:r w:rsidRPr="00C342CB">
        <w:rPr>
          <w:rFonts w:asciiTheme="minorHAnsi" w:hAnsiTheme="minorHAnsi"/>
          <w:sz w:val="22"/>
          <w:szCs w:val="22"/>
        </w:rPr>
        <w:t>advocacy</w:t>
      </w:r>
      <w:r w:rsidR="00245C7C" w:rsidRPr="00C342CB">
        <w:rPr>
          <w:rFonts w:asciiTheme="minorHAnsi" w:hAnsiTheme="minorHAnsi"/>
          <w:sz w:val="22"/>
          <w:szCs w:val="22"/>
        </w:rPr>
        <w:t xml:space="preserve"> and financial support</w:t>
      </w:r>
      <w:r w:rsidRPr="00C342CB">
        <w:rPr>
          <w:rFonts w:asciiTheme="minorHAnsi" w:hAnsiTheme="minorHAnsi"/>
          <w:sz w:val="22"/>
          <w:szCs w:val="22"/>
        </w:rPr>
        <w:t xml:space="preserve">, the National Human Rights Commission </w:t>
      </w:r>
      <w:r w:rsidR="00245C7C" w:rsidRPr="00C342CB">
        <w:rPr>
          <w:rFonts w:asciiTheme="minorHAnsi" w:hAnsiTheme="minorHAnsi"/>
          <w:sz w:val="22"/>
          <w:szCs w:val="22"/>
        </w:rPr>
        <w:t>was</w:t>
      </w:r>
      <w:r w:rsidRPr="00C342CB">
        <w:rPr>
          <w:rFonts w:asciiTheme="minorHAnsi" w:hAnsiTheme="minorHAnsi"/>
          <w:sz w:val="22"/>
          <w:szCs w:val="22"/>
        </w:rPr>
        <w:t xml:space="preserve"> granted A status accreditation, allowing it to </w:t>
      </w:r>
      <w:r w:rsidR="00797C79" w:rsidRPr="00C342CB">
        <w:rPr>
          <w:rFonts w:asciiTheme="minorHAnsi" w:hAnsiTheme="minorHAnsi"/>
          <w:sz w:val="22"/>
          <w:szCs w:val="22"/>
        </w:rPr>
        <w:t xml:space="preserve">now fully </w:t>
      </w:r>
      <w:r w:rsidRPr="00C342CB">
        <w:rPr>
          <w:rFonts w:asciiTheme="minorHAnsi" w:hAnsiTheme="minorHAnsi"/>
          <w:sz w:val="22"/>
          <w:szCs w:val="22"/>
        </w:rPr>
        <w:t>participate in international for</w:t>
      </w:r>
      <w:r w:rsidR="00797C79" w:rsidRPr="00C342CB">
        <w:rPr>
          <w:rFonts w:asciiTheme="minorHAnsi" w:hAnsiTheme="minorHAnsi"/>
          <w:sz w:val="22"/>
          <w:szCs w:val="22"/>
        </w:rPr>
        <w:t>a</w:t>
      </w:r>
      <w:r w:rsidRPr="00C342CB">
        <w:rPr>
          <w:rFonts w:asciiTheme="minorHAnsi" w:hAnsiTheme="minorHAnsi"/>
          <w:sz w:val="22"/>
          <w:szCs w:val="22"/>
        </w:rPr>
        <w:t xml:space="preserve"> with the right to vote and speak.</w:t>
      </w:r>
    </w:p>
    <w:p w14:paraId="5057C798" w14:textId="03EB063F" w:rsidR="00C371EA" w:rsidRPr="00C342CB" w:rsidRDefault="00184DC5" w:rsidP="00C342CB">
      <w:pPr>
        <w:pStyle w:val="BodyText2"/>
        <w:numPr>
          <w:ilvl w:val="0"/>
          <w:numId w:val="29"/>
        </w:numPr>
        <w:spacing w:before="120"/>
        <w:ind w:left="357" w:hanging="357"/>
        <w:jc w:val="both"/>
        <w:rPr>
          <w:rFonts w:asciiTheme="minorHAnsi" w:hAnsiTheme="minorHAnsi"/>
          <w:sz w:val="22"/>
          <w:szCs w:val="22"/>
        </w:rPr>
      </w:pPr>
      <w:r w:rsidRPr="00C342CB">
        <w:rPr>
          <w:rFonts w:asciiTheme="minorHAnsi" w:hAnsiTheme="minorHAnsi"/>
          <w:sz w:val="22"/>
          <w:szCs w:val="22"/>
        </w:rPr>
        <w:t xml:space="preserve">With regard to security, empowerment and sensitization of actors (national, regional and local institutions, targeted communities, women, youth), </w:t>
      </w:r>
      <w:r w:rsidR="00B00AF1">
        <w:rPr>
          <w:rFonts w:asciiTheme="minorHAnsi" w:hAnsiTheme="minorHAnsi"/>
          <w:sz w:val="22"/>
          <w:szCs w:val="22"/>
        </w:rPr>
        <w:t>UNDP</w:t>
      </w:r>
      <w:r w:rsidRPr="00C342CB">
        <w:rPr>
          <w:rFonts w:asciiTheme="minorHAnsi" w:hAnsiTheme="minorHAnsi"/>
          <w:sz w:val="22"/>
          <w:szCs w:val="22"/>
        </w:rPr>
        <w:t xml:space="preserve"> involvement in processes and mechanisms o</w:t>
      </w:r>
      <w:r w:rsidR="00B00AF1">
        <w:rPr>
          <w:rFonts w:asciiTheme="minorHAnsi" w:hAnsiTheme="minorHAnsi"/>
          <w:sz w:val="22"/>
          <w:szCs w:val="22"/>
        </w:rPr>
        <w:t>n</w:t>
      </w:r>
      <w:r w:rsidRPr="00C342CB">
        <w:rPr>
          <w:rFonts w:asciiTheme="minorHAnsi" w:hAnsiTheme="minorHAnsi"/>
          <w:sz w:val="22"/>
          <w:szCs w:val="22"/>
        </w:rPr>
        <w:t xml:space="preserve"> early warning/prevention/conflict management peacebuilding and the availability of adequate operational security and response </w:t>
      </w:r>
      <w:r w:rsidR="00797C79" w:rsidRPr="00C342CB">
        <w:rPr>
          <w:rFonts w:asciiTheme="minorHAnsi" w:hAnsiTheme="minorHAnsi"/>
          <w:sz w:val="22"/>
          <w:szCs w:val="22"/>
        </w:rPr>
        <w:t xml:space="preserve">plans </w:t>
      </w:r>
      <w:r w:rsidRPr="00C342CB">
        <w:rPr>
          <w:rFonts w:asciiTheme="minorHAnsi" w:hAnsiTheme="minorHAnsi"/>
          <w:sz w:val="22"/>
          <w:szCs w:val="22"/>
        </w:rPr>
        <w:t xml:space="preserve">contributed to an improvement in the security situation and social cohesion with a 65% reduction in security threats reported in the 20 </w:t>
      </w:r>
      <w:r w:rsidRPr="00C342CB">
        <w:rPr>
          <w:rFonts w:asciiTheme="minorHAnsi" w:hAnsiTheme="minorHAnsi"/>
          <w:sz w:val="22"/>
          <w:szCs w:val="22"/>
        </w:rPr>
        <w:lastRenderedPageBreak/>
        <w:t>communes of 4 regions surveyed</w:t>
      </w:r>
      <w:r w:rsidR="0066771A" w:rsidRPr="00C342CB">
        <w:rPr>
          <w:rStyle w:val="FootnoteReference"/>
          <w:rFonts w:asciiTheme="minorHAnsi" w:hAnsiTheme="minorHAnsi"/>
          <w:color w:val="365F91" w:themeColor="accent1" w:themeShade="BF"/>
          <w:sz w:val="22"/>
          <w:szCs w:val="22"/>
          <w:lang w:val="fr-FR"/>
        </w:rPr>
        <w:footnoteReference w:id="2"/>
      </w:r>
      <w:r w:rsidR="0066771A" w:rsidRPr="00C342CB">
        <w:rPr>
          <w:rFonts w:asciiTheme="minorHAnsi" w:hAnsiTheme="minorHAnsi"/>
          <w:color w:val="365F91" w:themeColor="accent1" w:themeShade="BF"/>
          <w:sz w:val="22"/>
          <w:szCs w:val="22"/>
        </w:rPr>
        <w:t>.</w:t>
      </w:r>
      <w:r w:rsidR="00797C79" w:rsidRPr="00C342CB">
        <w:rPr>
          <w:rFonts w:asciiTheme="minorHAnsi" w:hAnsiTheme="minorHAnsi"/>
          <w:sz w:val="22"/>
          <w:szCs w:val="22"/>
        </w:rPr>
        <w:t xml:space="preserve"> </w:t>
      </w:r>
      <w:r w:rsidRPr="00C342CB">
        <w:rPr>
          <w:rFonts w:asciiTheme="minorHAnsi" w:hAnsiTheme="minorHAnsi"/>
          <w:sz w:val="22"/>
          <w:szCs w:val="22"/>
        </w:rPr>
        <w:t xml:space="preserve">Specifically, conflict prevention </w:t>
      </w:r>
      <w:r w:rsidR="00797C79" w:rsidRPr="00C342CB">
        <w:rPr>
          <w:rFonts w:asciiTheme="minorHAnsi" w:hAnsiTheme="minorHAnsi"/>
          <w:sz w:val="22"/>
          <w:szCs w:val="22"/>
        </w:rPr>
        <w:t xml:space="preserve">was </w:t>
      </w:r>
      <w:r w:rsidRPr="00C342CB">
        <w:rPr>
          <w:rFonts w:asciiTheme="minorHAnsi" w:hAnsiTheme="minorHAnsi"/>
          <w:sz w:val="22"/>
          <w:szCs w:val="22"/>
        </w:rPr>
        <w:t xml:space="preserve">fostered </w:t>
      </w:r>
      <w:r w:rsidR="00797C79" w:rsidRPr="00C342CB">
        <w:rPr>
          <w:rFonts w:asciiTheme="minorHAnsi" w:hAnsiTheme="minorHAnsi"/>
          <w:sz w:val="22"/>
          <w:szCs w:val="22"/>
        </w:rPr>
        <w:t xml:space="preserve">through </w:t>
      </w:r>
      <w:r w:rsidRPr="00C342CB">
        <w:rPr>
          <w:rFonts w:asciiTheme="minorHAnsi" w:hAnsiTheme="minorHAnsi"/>
          <w:sz w:val="22"/>
          <w:szCs w:val="22"/>
        </w:rPr>
        <w:t>strategic and operational support to the High Authority for Peace</w:t>
      </w:r>
      <w:r w:rsidR="00797C79" w:rsidRPr="00C342CB">
        <w:rPr>
          <w:rFonts w:asciiTheme="minorHAnsi" w:hAnsiTheme="minorHAnsi"/>
          <w:sz w:val="22"/>
          <w:szCs w:val="22"/>
        </w:rPr>
        <w:t xml:space="preserve"> Consolidation</w:t>
      </w:r>
      <w:r w:rsidRPr="00C342CB">
        <w:rPr>
          <w:rFonts w:asciiTheme="minorHAnsi" w:hAnsiTheme="minorHAnsi"/>
          <w:sz w:val="22"/>
          <w:szCs w:val="22"/>
        </w:rPr>
        <w:t xml:space="preserve">, the Ministry of Interior, the regions and communities by improving trust between the Defense and Security Forces and populations in 3 conflict-prone regions, socio-economic integration and vocational training of girls and boys (Agadez, </w:t>
      </w:r>
      <w:proofErr w:type="spellStart"/>
      <w:r w:rsidRPr="00C342CB">
        <w:rPr>
          <w:rFonts w:asciiTheme="minorHAnsi" w:hAnsiTheme="minorHAnsi"/>
          <w:sz w:val="22"/>
          <w:szCs w:val="22"/>
        </w:rPr>
        <w:t>Tahoua</w:t>
      </w:r>
      <w:proofErr w:type="spellEnd"/>
      <w:r w:rsidRPr="00C342CB">
        <w:rPr>
          <w:rFonts w:asciiTheme="minorHAnsi" w:hAnsiTheme="minorHAnsi"/>
          <w:sz w:val="22"/>
          <w:szCs w:val="22"/>
        </w:rPr>
        <w:t>), integrated border management (</w:t>
      </w:r>
      <w:proofErr w:type="spellStart"/>
      <w:r w:rsidRPr="00C342CB">
        <w:rPr>
          <w:rFonts w:asciiTheme="minorHAnsi" w:hAnsiTheme="minorHAnsi"/>
          <w:sz w:val="22"/>
          <w:szCs w:val="22"/>
        </w:rPr>
        <w:t>Diffa</w:t>
      </w:r>
      <w:proofErr w:type="spellEnd"/>
      <w:r w:rsidRPr="00C342CB">
        <w:rPr>
          <w:rFonts w:asciiTheme="minorHAnsi" w:hAnsiTheme="minorHAnsi"/>
          <w:sz w:val="22"/>
          <w:szCs w:val="22"/>
        </w:rPr>
        <w:t xml:space="preserve"> and </w:t>
      </w:r>
      <w:proofErr w:type="spellStart"/>
      <w:r w:rsidRPr="00C342CB">
        <w:rPr>
          <w:rFonts w:asciiTheme="minorHAnsi" w:hAnsiTheme="minorHAnsi"/>
          <w:sz w:val="22"/>
          <w:szCs w:val="22"/>
        </w:rPr>
        <w:t>Tillabéry</w:t>
      </w:r>
      <w:proofErr w:type="spellEnd"/>
      <w:r w:rsidRPr="00C342CB">
        <w:rPr>
          <w:rFonts w:asciiTheme="minorHAnsi" w:hAnsiTheme="minorHAnsi"/>
          <w:sz w:val="22"/>
          <w:szCs w:val="22"/>
        </w:rPr>
        <w:t xml:space="preserve">) and the strengthening of the national </w:t>
      </w:r>
      <w:r w:rsidR="00C371EA" w:rsidRPr="00C342CB">
        <w:rPr>
          <w:rFonts w:asciiTheme="minorHAnsi" w:hAnsiTheme="minorHAnsi"/>
          <w:sz w:val="22"/>
          <w:szCs w:val="22"/>
        </w:rPr>
        <w:t>security management</w:t>
      </w:r>
      <w:r w:rsidRPr="00C342CB">
        <w:rPr>
          <w:rFonts w:asciiTheme="minorHAnsi" w:hAnsiTheme="minorHAnsi"/>
          <w:sz w:val="22"/>
          <w:szCs w:val="22"/>
        </w:rPr>
        <w:t xml:space="preserve"> system through the installation/training/ equipment of </w:t>
      </w:r>
      <w:r w:rsidR="00B00AF1">
        <w:rPr>
          <w:rFonts w:asciiTheme="minorHAnsi" w:hAnsiTheme="minorHAnsi"/>
          <w:sz w:val="22"/>
          <w:szCs w:val="22"/>
        </w:rPr>
        <w:t xml:space="preserve">the </w:t>
      </w:r>
      <w:r w:rsidRPr="00C342CB">
        <w:rPr>
          <w:rFonts w:asciiTheme="minorHAnsi" w:hAnsiTheme="minorHAnsi"/>
          <w:sz w:val="22"/>
          <w:szCs w:val="22"/>
        </w:rPr>
        <w:t xml:space="preserve">joint command posts in seven regions. </w:t>
      </w:r>
      <w:r w:rsidR="00B00AF1">
        <w:rPr>
          <w:rFonts w:asciiTheme="minorHAnsi" w:hAnsiTheme="minorHAnsi"/>
          <w:sz w:val="22"/>
          <w:szCs w:val="22"/>
        </w:rPr>
        <w:t>The</w:t>
      </w:r>
      <w:r w:rsidRPr="00C342CB">
        <w:rPr>
          <w:rFonts w:asciiTheme="minorHAnsi" w:hAnsiTheme="minorHAnsi"/>
          <w:sz w:val="22"/>
          <w:szCs w:val="22"/>
        </w:rPr>
        <w:t xml:space="preserve"> </w:t>
      </w:r>
      <w:r w:rsidR="00C371EA" w:rsidRPr="00C342CB">
        <w:rPr>
          <w:rFonts w:asciiTheme="minorHAnsi" w:hAnsiTheme="minorHAnsi"/>
          <w:sz w:val="22"/>
          <w:szCs w:val="22"/>
        </w:rPr>
        <w:t xml:space="preserve">interventions directly </w:t>
      </w:r>
      <w:r w:rsidR="00B00AF1">
        <w:rPr>
          <w:rFonts w:asciiTheme="minorHAnsi" w:hAnsiTheme="minorHAnsi"/>
          <w:sz w:val="22"/>
          <w:szCs w:val="22"/>
        </w:rPr>
        <w:t xml:space="preserve">impacted </w:t>
      </w:r>
      <w:r w:rsidRPr="00C342CB">
        <w:rPr>
          <w:rFonts w:asciiTheme="minorHAnsi" w:hAnsiTheme="minorHAnsi"/>
          <w:sz w:val="22"/>
          <w:szCs w:val="22"/>
        </w:rPr>
        <w:t xml:space="preserve">more than 215,000 people (25% women and 48% youth) and </w:t>
      </w:r>
      <w:r w:rsidR="00C371EA" w:rsidRPr="00C342CB">
        <w:rPr>
          <w:rFonts w:asciiTheme="minorHAnsi" w:hAnsiTheme="minorHAnsi"/>
          <w:sz w:val="22"/>
          <w:szCs w:val="22"/>
        </w:rPr>
        <w:t xml:space="preserve">indirectly </w:t>
      </w:r>
      <w:r w:rsidRPr="00C342CB">
        <w:rPr>
          <w:rFonts w:asciiTheme="minorHAnsi" w:hAnsiTheme="minorHAnsi"/>
          <w:sz w:val="22"/>
          <w:szCs w:val="22"/>
        </w:rPr>
        <w:t xml:space="preserve">more than one million in the 6 regions and 21 departments covered by UNDP. Finally, the first </w:t>
      </w:r>
      <w:r w:rsidR="00C371EA" w:rsidRPr="00C342CB">
        <w:rPr>
          <w:rFonts w:asciiTheme="minorHAnsi" w:hAnsiTheme="minorHAnsi"/>
          <w:sz w:val="22"/>
          <w:szCs w:val="22"/>
        </w:rPr>
        <w:t xml:space="preserve">national </w:t>
      </w:r>
      <w:r w:rsidRPr="00C342CB">
        <w:rPr>
          <w:rFonts w:asciiTheme="minorHAnsi" w:hAnsiTheme="minorHAnsi"/>
          <w:sz w:val="22"/>
          <w:szCs w:val="22"/>
        </w:rPr>
        <w:t xml:space="preserve">security strategy, which </w:t>
      </w:r>
      <w:r w:rsidR="001C4B7C">
        <w:rPr>
          <w:rFonts w:asciiTheme="minorHAnsi" w:hAnsiTheme="minorHAnsi"/>
          <w:sz w:val="22"/>
          <w:szCs w:val="22"/>
        </w:rPr>
        <w:t xml:space="preserve">was </w:t>
      </w:r>
      <w:r w:rsidR="003F1F1D">
        <w:rPr>
          <w:rFonts w:asciiTheme="minorHAnsi" w:hAnsiTheme="minorHAnsi"/>
          <w:sz w:val="22"/>
          <w:szCs w:val="22"/>
        </w:rPr>
        <w:t xml:space="preserve">developed, </w:t>
      </w:r>
      <w:r w:rsidRPr="00C342CB">
        <w:rPr>
          <w:rFonts w:asciiTheme="minorHAnsi" w:hAnsiTheme="minorHAnsi"/>
          <w:sz w:val="22"/>
          <w:szCs w:val="22"/>
        </w:rPr>
        <w:t xml:space="preserve">financed and coordinated by UNDP, </w:t>
      </w:r>
      <w:r w:rsidR="00C371EA" w:rsidRPr="00C342CB">
        <w:rPr>
          <w:rFonts w:asciiTheme="minorHAnsi" w:hAnsiTheme="minorHAnsi"/>
          <w:sz w:val="22"/>
          <w:szCs w:val="22"/>
        </w:rPr>
        <w:t xml:space="preserve">now </w:t>
      </w:r>
      <w:r w:rsidRPr="00C342CB">
        <w:rPr>
          <w:rFonts w:asciiTheme="minorHAnsi" w:hAnsiTheme="minorHAnsi"/>
          <w:sz w:val="22"/>
          <w:szCs w:val="22"/>
        </w:rPr>
        <w:t xml:space="preserve">allows Niger to have a harmonized </w:t>
      </w:r>
      <w:r w:rsidR="00C371EA" w:rsidRPr="00C342CB">
        <w:rPr>
          <w:rFonts w:asciiTheme="minorHAnsi" w:hAnsiTheme="minorHAnsi"/>
          <w:sz w:val="22"/>
          <w:szCs w:val="22"/>
        </w:rPr>
        <w:t xml:space="preserve">security </w:t>
      </w:r>
      <w:r w:rsidRPr="00C342CB">
        <w:rPr>
          <w:rFonts w:asciiTheme="minorHAnsi" w:hAnsiTheme="minorHAnsi"/>
          <w:sz w:val="22"/>
          <w:szCs w:val="22"/>
        </w:rPr>
        <w:t>framework that will reinforce the above-mentioned gains.</w:t>
      </w:r>
      <w:r w:rsidR="00C371EA" w:rsidRPr="00C342CB">
        <w:rPr>
          <w:rFonts w:asciiTheme="minorHAnsi" w:hAnsiTheme="minorHAnsi"/>
          <w:sz w:val="22"/>
          <w:szCs w:val="22"/>
        </w:rPr>
        <w:t xml:space="preserve"> </w:t>
      </w:r>
    </w:p>
    <w:p w14:paraId="18F342A2" w14:textId="33D03F57" w:rsidR="00A01FA6" w:rsidRPr="00C342CB" w:rsidRDefault="00C371EA" w:rsidP="00C342CB">
      <w:pPr>
        <w:pStyle w:val="BodyText2"/>
        <w:numPr>
          <w:ilvl w:val="0"/>
          <w:numId w:val="29"/>
        </w:numPr>
        <w:spacing w:before="120"/>
        <w:ind w:left="357" w:hanging="357"/>
        <w:jc w:val="both"/>
        <w:rPr>
          <w:rFonts w:asciiTheme="minorHAnsi" w:hAnsiTheme="minorHAnsi"/>
          <w:sz w:val="22"/>
          <w:szCs w:val="22"/>
        </w:rPr>
      </w:pPr>
      <w:r w:rsidRPr="00C342CB">
        <w:rPr>
          <w:rFonts w:asciiTheme="minorHAnsi" w:hAnsiTheme="minorHAnsi"/>
          <w:sz w:val="22"/>
          <w:szCs w:val="22"/>
        </w:rPr>
        <w:t xml:space="preserve">UNDP </w:t>
      </w:r>
      <w:r w:rsidR="00245C7C" w:rsidRPr="00C342CB">
        <w:rPr>
          <w:rFonts w:asciiTheme="minorHAnsi" w:hAnsiTheme="minorHAnsi"/>
          <w:sz w:val="22"/>
          <w:szCs w:val="22"/>
        </w:rPr>
        <w:t xml:space="preserve">also </w:t>
      </w:r>
      <w:r w:rsidRPr="00C342CB">
        <w:rPr>
          <w:rFonts w:asciiTheme="minorHAnsi" w:hAnsiTheme="minorHAnsi"/>
          <w:sz w:val="22"/>
          <w:szCs w:val="22"/>
        </w:rPr>
        <w:t>contributed to strengthening the institutional framework for the resilience of vulnerable populations to the adverse effects of climate change (CC) and natural disasters. Thus, Niger was able to validate its National Communication on Climate Change with UNDP positioned as a key implementing partner. Technical support for the definition of the National Humanitarian Action Policy and the National Post-Disaster Recovery Framework, both based on an in-depth analysis of specific vulnerabilities, including women's, now makes it possible to harmonize planning and implementation interventions, and improve the humanitarian and development nexus. In addition, the expertise and funding provided to climate change and disaster risk management institutions helped reduced flood damage, bushfire occurrence and loss of life and pastures. Similarly, appropriate measures to reduce the impact of possible disasters, especially for women, youth, the elderly and the disabled, have been defined in the 24 local plans developed for 120 villages covering approximately 240,000 people in 5 regions through post-disaster recovery interventions following the “build back better” principles, for 5 communities and in the capital</w:t>
      </w:r>
      <w:r w:rsidR="00245C7C" w:rsidRPr="00C342CB">
        <w:rPr>
          <w:rFonts w:asciiTheme="minorHAnsi" w:hAnsiTheme="minorHAnsi"/>
          <w:sz w:val="22"/>
          <w:szCs w:val="22"/>
        </w:rPr>
        <w:t xml:space="preserve"> (Niamey)</w:t>
      </w:r>
      <w:r w:rsidRPr="00C342CB">
        <w:rPr>
          <w:rFonts w:asciiTheme="minorHAnsi" w:hAnsiTheme="minorHAnsi"/>
          <w:sz w:val="22"/>
          <w:szCs w:val="22"/>
        </w:rPr>
        <w:t>.</w:t>
      </w:r>
    </w:p>
    <w:p w14:paraId="600734AF" w14:textId="28A9D7C0" w:rsidR="00E770DC" w:rsidRPr="00B00AF1" w:rsidRDefault="00C371EA" w:rsidP="00E770DC">
      <w:pPr>
        <w:pStyle w:val="BodyText2"/>
        <w:numPr>
          <w:ilvl w:val="0"/>
          <w:numId w:val="29"/>
        </w:numPr>
        <w:spacing w:before="120"/>
        <w:ind w:left="357" w:hanging="357"/>
        <w:jc w:val="both"/>
        <w:rPr>
          <w:rFonts w:ascii="Times New Roman" w:hAnsi="Times New Roman"/>
          <w:sz w:val="24"/>
        </w:rPr>
      </w:pPr>
      <w:r w:rsidRPr="00B00AF1">
        <w:rPr>
          <w:rFonts w:asciiTheme="minorHAnsi" w:hAnsiTheme="minorHAnsi"/>
          <w:sz w:val="22"/>
          <w:szCs w:val="22"/>
        </w:rPr>
        <w:t>With regard to resilience, food security and adaptation to the adverse effects of climate change (CC), UNDP contributed to reducing the vulnerability of target</w:t>
      </w:r>
      <w:r w:rsidR="00245C7C" w:rsidRPr="00B00AF1">
        <w:rPr>
          <w:rFonts w:asciiTheme="minorHAnsi" w:hAnsiTheme="minorHAnsi"/>
          <w:sz w:val="22"/>
          <w:szCs w:val="22"/>
        </w:rPr>
        <w:t>ed</w:t>
      </w:r>
      <w:r w:rsidRPr="00B00AF1">
        <w:rPr>
          <w:rFonts w:asciiTheme="minorHAnsi" w:hAnsiTheme="minorHAnsi"/>
          <w:sz w:val="22"/>
          <w:szCs w:val="22"/>
        </w:rPr>
        <w:t xml:space="preserve"> populations to food insecurity through </w:t>
      </w:r>
      <w:r w:rsidR="00482765" w:rsidRPr="00B00AF1">
        <w:rPr>
          <w:rFonts w:asciiTheme="minorHAnsi" w:hAnsiTheme="minorHAnsi"/>
          <w:sz w:val="22"/>
          <w:szCs w:val="22"/>
        </w:rPr>
        <w:t>ensuring</w:t>
      </w:r>
      <w:r w:rsidRPr="00B00AF1">
        <w:rPr>
          <w:rFonts w:asciiTheme="minorHAnsi" w:hAnsiTheme="minorHAnsi"/>
          <w:sz w:val="22"/>
          <w:szCs w:val="22"/>
        </w:rPr>
        <w:t xml:space="preserve"> almost total coverage of food and nutritional needs for 326</w:t>
      </w:r>
      <w:r w:rsidR="00245C7C" w:rsidRPr="00B00AF1">
        <w:rPr>
          <w:rFonts w:asciiTheme="minorHAnsi" w:hAnsiTheme="minorHAnsi"/>
          <w:sz w:val="22"/>
          <w:szCs w:val="22"/>
        </w:rPr>
        <w:t>,</w:t>
      </w:r>
      <w:r w:rsidRPr="00B00AF1">
        <w:rPr>
          <w:rFonts w:asciiTheme="minorHAnsi" w:hAnsiTheme="minorHAnsi"/>
          <w:sz w:val="22"/>
          <w:szCs w:val="22"/>
        </w:rPr>
        <w:t>046 people; access to energy for 89,612 and doubling of incomes for 60,169 people with jobs created, income-generating activities and actions to preserve the environment (18</w:t>
      </w:r>
      <w:r w:rsidR="00245C7C" w:rsidRPr="00B00AF1">
        <w:rPr>
          <w:rFonts w:asciiTheme="minorHAnsi" w:hAnsiTheme="minorHAnsi"/>
          <w:sz w:val="22"/>
          <w:szCs w:val="22"/>
        </w:rPr>
        <w:t>,</w:t>
      </w:r>
      <w:r w:rsidRPr="00B00AF1">
        <w:rPr>
          <w:rFonts w:asciiTheme="minorHAnsi" w:hAnsiTheme="minorHAnsi"/>
          <w:sz w:val="22"/>
          <w:szCs w:val="22"/>
        </w:rPr>
        <w:t>728 temporary jobs created, 39% of which for women). Facilitating access to energy (installation of 320 multifunctional platforms) improved the living conditions of more than 640,000 people in disadvantaged areas</w:t>
      </w:r>
      <w:r w:rsidR="00245C7C" w:rsidRPr="00B00AF1">
        <w:rPr>
          <w:rFonts w:asciiTheme="minorHAnsi" w:hAnsiTheme="minorHAnsi"/>
          <w:sz w:val="22"/>
          <w:szCs w:val="22"/>
        </w:rPr>
        <w:t xml:space="preserve"> (95% women)</w:t>
      </w:r>
      <w:r w:rsidRPr="00B00AF1">
        <w:rPr>
          <w:rFonts w:asciiTheme="minorHAnsi" w:hAnsiTheme="minorHAnsi"/>
          <w:sz w:val="22"/>
          <w:szCs w:val="22"/>
        </w:rPr>
        <w:t>, representing 91</w:t>
      </w:r>
      <w:r w:rsidR="00245C7C" w:rsidRPr="00B00AF1">
        <w:rPr>
          <w:rFonts w:asciiTheme="minorHAnsi" w:hAnsiTheme="minorHAnsi"/>
          <w:sz w:val="22"/>
          <w:szCs w:val="22"/>
        </w:rPr>
        <w:t>,</w:t>
      </w:r>
      <w:r w:rsidRPr="00B00AF1">
        <w:rPr>
          <w:rFonts w:asciiTheme="minorHAnsi" w:hAnsiTheme="minorHAnsi"/>
          <w:sz w:val="22"/>
          <w:szCs w:val="22"/>
        </w:rPr>
        <w:t>430 households. This has also enabled the creation of 1310 permanent jobs for women and the development of income activities for 11</w:t>
      </w:r>
      <w:r w:rsidR="00245C7C" w:rsidRPr="00B00AF1">
        <w:rPr>
          <w:rFonts w:asciiTheme="minorHAnsi" w:hAnsiTheme="minorHAnsi"/>
          <w:sz w:val="22"/>
          <w:szCs w:val="22"/>
        </w:rPr>
        <w:t>,</w:t>
      </w:r>
      <w:r w:rsidRPr="00B00AF1">
        <w:rPr>
          <w:rFonts w:asciiTheme="minorHAnsi" w:hAnsiTheme="minorHAnsi"/>
          <w:sz w:val="22"/>
          <w:szCs w:val="22"/>
        </w:rPr>
        <w:t>505 people (5847 women) around these Platforms.</w:t>
      </w:r>
      <w:r w:rsidR="00482765" w:rsidRPr="00B00AF1">
        <w:rPr>
          <w:rFonts w:asciiTheme="minorHAnsi" w:hAnsiTheme="minorHAnsi"/>
          <w:sz w:val="22"/>
          <w:szCs w:val="22"/>
        </w:rPr>
        <w:t xml:space="preserve"> </w:t>
      </w:r>
      <w:r w:rsidRPr="00B00AF1">
        <w:rPr>
          <w:rFonts w:asciiTheme="minorHAnsi" w:hAnsiTheme="minorHAnsi"/>
          <w:sz w:val="22"/>
          <w:szCs w:val="22"/>
        </w:rPr>
        <w:t xml:space="preserve">These UNDP efforts </w:t>
      </w:r>
      <w:r w:rsidR="00482765" w:rsidRPr="00B00AF1">
        <w:rPr>
          <w:rFonts w:asciiTheme="minorHAnsi" w:hAnsiTheme="minorHAnsi"/>
          <w:sz w:val="22"/>
          <w:szCs w:val="22"/>
        </w:rPr>
        <w:t>contributed to</w:t>
      </w:r>
      <w:r w:rsidRPr="00B00AF1">
        <w:rPr>
          <w:rFonts w:asciiTheme="minorHAnsi" w:hAnsiTheme="minorHAnsi"/>
          <w:sz w:val="22"/>
          <w:szCs w:val="22"/>
        </w:rPr>
        <w:t xml:space="preserve"> the improvement </w:t>
      </w:r>
      <w:r w:rsidR="00482765" w:rsidRPr="00B00AF1">
        <w:rPr>
          <w:rFonts w:asciiTheme="minorHAnsi" w:hAnsiTheme="minorHAnsi"/>
          <w:sz w:val="22"/>
          <w:szCs w:val="22"/>
        </w:rPr>
        <w:t>of</w:t>
      </w:r>
      <w:r w:rsidRPr="00B00AF1">
        <w:rPr>
          <w:rFonts w:asciiTheme="minorHAnsi" w:hAnsiTheme="minorHAnsi"/>
          <w:sz w:val="22"/>
          <w:szCs w:val="22"/>
        </w:rPr>
        <w:t xml:space="preserve"> the prevalence rates of severe food insecurity (2.5% vs. 1.1% in 2015)</w:t>
      </w:r>
      <w:r w:rsidR="00B00AF1" w:rsidRPr="00B00AF1">
        <w:rPr>
          <w:rFonts w:asciiTheme="minorHAnsi" w:hAnsiTheme="minorHAnsi"/>
          <w:sz w:val="22"/>
          <w:szCs w:val="22"/>
        </w:rPr>
        <w:t xml:space="preserve">. </w:t>
      </w:r>
    </w:p>
    <w:p w14:paraId="2E1E7D26" w14:textId="17708E9E" w:rsidR="0037523B" w:rsidRDefault="0037523B" w:rsidP="00B00AF1">
      <w:pPr>
        <w:pStyle w:val="BodyText2"/>
        <w:rPr>
          <w:rFonts w:ascii="Times New Roman" w:hAnsi="Times New Roman"/>
          <w:b/>
          <w:sz w:val="24"/>
        </w:rPr>
      </w:pPr>
    </w:p>
    <w:p w14:paraId="62B3F7B7" w14:textId="77777777" w:rsidR="0037523B" w:rsidRDefault="0037523B" w:rsidP="00975566">
      <w:pPr>
        <w:pStyle w:val="BodyText2"/>
        <w:jc w:val="center"/>
        <w:rPr>
          <w:rFonts w:ascii="Times New Roman" w:hAnsi="Times New Roman"/>
          <w:b/>
          <w:sz w:val="24"/>
        </w:rPr>
        <w:sectPr w:rsidR="0037523B">
          <w:footerReference w:type="default" r:id="rId13"/>
          <w:endnotePr>
            <w:numFmt w:val="decimal"/>
          </w:endnotePr>
          <w:pgSz w:w="11907" w:h="16840" w:code="9"/>
          <w:pgMar w:top="1440" w:right="1440" w:bottom="1440" w:left="1440" w:header="720" w:footer="720" w:gutter="0"/>
          <w:cols w:space="720"/>
        </w:sectPr>
      </w:pPr>
    </w:p>
    <w:p w14:paraId="2D330A50" w14:textId="77777777" w:rsidR="00975566" w:rsidRPr="00517955" w:rsidRDefault="006900FE" w:rsidP="008440D9">
      <w:pPr>
        <w:pStyle w:val="Heading3"/>
        <w:jc w:val="left"/>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14:paraId="1A1F68F2" w14:textId="77777777" w:rsidR="00DC7354" w:rsidRDefault="00DC7354" w:rsidP="00975566">
      <w:pPr>
        <w:pStyle w:val="BodyText2"/>
        <w:jc w:val="center"/>
        <w:rPr>
          <w:rFonts w:ascii="Times New Roman" w:hAnsi="Times New Roman"/>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DC7354" w14:paraId="2B2554ED" w14:textId="77777777" w:rsidTr="00DE7AC8">
        <w:tc>
          <w:tcPr>
            <w:tcW w:w="3150" w:type="dxa"/>
            <w:gridSpan w:val="2"/>
            <w:tcBorders>
              <w:right w:val="nil"/>
            </w:tcBorders>
            <w:shd w:val="clear" w:color="auto" w:fill="FFC000"/>
          </w:tcPr>
          <w:p w14:paraId="4209C323" w14:textId="77777777" w:rsidR="00CB647D" w:rsidRPr="00A85E34" w:rsidRDefault="00CB647D">
            <w:pPr>
              <w:pStyle w:val="BodyText2"/>
              <w:rPr>
                <w:rFonts w:asciiTheme="minorHAnsi" w:hAnsiTheme="minorHAnsi"/>
                <w:b/>
                <w:sz w:val="24"/>
              </w:rPr>
            </w:pPr>
            <w:r w:rsidRPr="00A85E34">
              <w:rPr>
                <w:rFonts w:asciiTheme="minorHAnsi" w:hAnsiTheme="minorHAnsi"/>
                <w:b/>
              </w:rPr>
              <w:t>Country information</w:t>
            </w:r>
          </w:p>
        </w:tc>
        <w:tc>
          <w:tcPr>
            <w:tcW w:w="10890" w:type="dxa"/>
            <w:gridSpan w:val="3"/>
            <w:tcBorders>
              <w:left w:val="nil"/>
            </w:tcBorders>
            <w:shd w:val="clear" w:color="auto" w:fill="FFC000"/>
          </w:tcPr>
          <w:p w14:paraId="0B8FEA8A" w14:textId="77777777" w:rsidR="00CB647D" w:rsidRPr="00A85E34" w:rsidRDefault="00CB647D">
            <w:pPr>
              <w:pStyle w:val="BodyText2"/>
              <w:rPr>
                <w:rFonts w:asciiTheme="minorHAnsi" w:hAnsiTheme="minorHAnsi"/>
                <w:b/>
                <w:sz w:val="24"/>
              </w:rPr>
            </w:pPr>
          </w:p>
        </w:tc>
      </w:tr>
      <w:tr w:rsidR="009B76A1" w:rsidRPr="00DC7354" w14:paraId="4034DBCA" w14:textId="77777777" w:rsidTr="00DE7AC8">
        <w:tc>
          <w:tcPr>
            <w:tcW w:w="14040" w:type="dxa"/>
            <w:gridSpan w:val="5"/>
          </w:tcPr>
          <w:p w14:paraId="5237C2B1" w14:textId="77777777" w:rsidR="009B76A1" w:rsidRPr="00DC7354" w:rsidRDefault="009B76A1">
            <w:pPr>
              <w:pStyle w:val="BodyText2"/>
              <w:rPr>
                <w:rFonts w:asciiTheme="minorHAnsi" w:hAnsiTheme="minorHAnsi"/>
                <w:b/>
                <w:sz w:val="24"/>
              </w:rPr>
            </w:pPr>
            <w:r w:rsidRPr="00230A0E">
              <w:rPr>
                <w:rFonts w:asciiTheme="minorHAnsi" w:hAnsiTheme="minorHAnsi"/>
                <w:b/>
              </w:rPr>
              <w:t>Country name:</w:t>
            </w:r>
            <w:r w:rsidR="00DE7AC8">
              <w:rPr>
                <w:rFonts w:asciiTheme="minorHAnsi" w:hAnsiTheme="minorHAnsi"/>
                <w:b/>
              </w:rPr>
              <w:t xml:space="preserve"> Niger</w:t>
            </w:r>
          </w:p>
        </w:tc>
      </w:tr>
      <w:tr w:rsidR="009B76A1" w:rsidRPr="00843006" w14:paraId="334980BC" w14:textId="77777777" w:rsidTr="00DE7AC8">
        <w:tc>
          <w:tcPr>
            <w:tcW w:w="14040" w:type="dxa"/>
            <w:gridSpan w:val="5"/>
          </w:tcPr>
          <w:p w14:paraId="46E0A5E8" w14:textId="77777777" w:rsidR="009B76A1" w:rsidRPr="00D808EE" w:rsidRDefault="009B76A1">
            <w:pPr>
              <w:pStyle w:val="BodyText2"/>
              <w:rPr>
                <w:rFonts w:asciiTheme="minorHAnsi" w:hAnsiTheme="minorHAnsi"/>
                <w:b/>
              </w:rPr>
            </w:pPr>
            <w:r w:rsidRPr="00D808EE">
              <w:rPr>
                <w:rFonts w:asciiTheme="minorHAnsi" w:hAnsiTheme="minorHAnsi"/>
                <w:b/>
              </w:rPr>
              <w:t>Current country programme period:</w:t>
            </w:r>
            <w:r w:rsidR="00DE7AC8" w:rsidRPr="00D808EE">
              <w:rPr>
                <w:rFonts w:asciiTheme="minorHAnsi" w:hAnsiTheme="minorHAnsi"/>
                <w:b/>
              </w:rPr>
              <w:t xml:space="preserve"> </w:t>
            </w:r>
            <w:r w:rsidR="00DE7AC8" w:rsidRPr="00C342CB">
              <w:rPr>
                <w:rFonts w:asciiTheme="minorHAnsi" w:hAnsiTheme="minorHAnsi"/>
                <w:b/>
              </w:rPr>
              <w:t>2014-2018</w:t>
            </w:r>
          </w:p>
        </w:tc>
      </w:tr>
      <w:tr w:rsidR="003B037A" w:rsidRPr="00DC7354" w14:paraId="36F00AAB" w14:textId="77777777" w:rsidTr="00DE7AC8">
        <w:tc>
          <w:tcPr>
            <w:tcW w:w="3150" w:type="dxa"/>
            <w:gridSpan w:val="2"/>
          </w:tcPr>
          <w:p w14:paraId="25DC82C4" w14:textId="77777777" w:rsidR="003B037A" w:rsidRPr="00D808EE" w:rsidRDefault="003B037A">
            <w:pPr>
              <w:pStyle w:val="BodyText2"/>
              <w:rPr>
                <w:rFonts w:asciiTheme="minorHAnsi" w:hAnsiTheme="minorHAnsi"/>
                <w:b/>
                <w:sz w:val="24"/>
              </w:rPr>
            </w:pPr>
            <w:r w:rsidRPr="00D808EE">
              <w:rPr>
                <w:rFonts w:asciiTheme="minorHAnsi" w:hAnsiTheme="minorHAnsi"/>
                <w:b/>
                <w:sz w:val="24"/>
              </w:rPr>
              <w:t>Outcome</w:t>
            </w:r>
            <w:r w:rsidR="00700521" w:rsidRPr="00D808EE">
              <w:rPr>
                <w:rFonts w:asciiTheme="minorHAnsi" w:hAnsiTheme="minorHAnsi"/>
                <w:b/>
                <w:sz w:val="24"/>
              </w:rPr>
              <w:t>s</w:t>
            </w:r>
          </w:p>
        </w:tc>
        <w:tc>
          <w:tcPr>
            <w:tcW w:w="1440" w:type="dxa"/>
            <w:shd w:val="clear" w:color="auto" w:fill="auto"/>
          </w:tcPr>
          <w:p w14:paraId="17916436" w14:textId="77777777" w:rsidR="003B037A" w:rsidRPr="00D808EE" w:rsidRDefault="003B037A">
            <w:pPr>
              <w:pStyle w:val="BodyText2"/>
              <w:rPr>
                <w:rFonts w:asciiTheme="minorHAnsi" w:hAnsiTheme="minorHAnsi"/>
                <w:b/>
                <w:sz w:val="22"/>
              </w:rPr>
            </w:pPr>
            <w:r w:rsidRPr="00D808EE">
              <w:rPr>
                <w:rFonts w:asciiTheme="minorHAnsi" w:hAnsiTheme="minorHAnsi"/>
                <w:b/>
                <w:sz w:val="22"/>
              </w:rPr>
              <w:t>Total Expenditure</w:t>
            </w:r>
            <w:r w:rsidR="002A7396" w:rsidRPr="00D808EE">
              <w:rPr>
                <w:rFonts w:asciiTheme="minorHAnsi" w:hAnsiTheme="minorHAnsi"/>
                <w:b/>
                <w:sz w:val="22"/>
              </w:rPr>
              <w:t xml:space="preserve"> </w:t>
            </w:r>
            <w:r w:rsidR="002A7396" w:rsidRPr="00C342CB">
              <w:rPr>
                <w:rFonts w:asciiTheme="minorHAnsi" w:hAnsiTheme="minorHAnsi"/>
                <w:b/>
                <w:sz w:val="22"/>
              </w:rPr>
              <w:t>(as of 09 August 2018)</w:t>
            </w:r>
          </w:p>
        </w:tc>
        <w:tc>
          <w:tcPr>
            <w:tcW w:w="3960" w:type="dxa"/>
            <w:tcBorders>
              <w:left w:val="single" w:sz="4" w:space="0" w:color="auto"/>
            </w:tcBorders>
          </w:tcPr>
          <w:p w14:paraId="3FBE1846" w14:textId="77777777" w:rsidR="003B037A" w:rsidRPr="00D808EE" w:rsidRDefault="003B037A">
            <w:pPr>
              <w:pStyle w:val="BodyText2"/>
              <w:rPr>
                <w:rFonts w:asciiTheme="minorHAnsi" w:hAnsiTheme="minorHAnsi"/>
                <w:b/>
                <w:sz w:val="22"/>
              </w:rPr>
            </w:pPr>
            <w:r w:rsidRPr="00D808EE">
              <w:rPr>
                <w:rFonts w:asciiTheme="minorHAnsi" w:hAnsiTheme="minorHAnsi"/>
                <w:b/>
                <w:sz w:val="22"/>
              </w:rPr>
              <w:t>Key Indicators of outcome (1-4 per outcome)</w:t>
            </w:r>
          </w:p>
        </w:tc>
        <w:tc>
          <w:tcPr>
            <w:tcW w:w="5490" w:type="dxa"/>
          </w:tcPr>
          <w:p w14:paraId="7AB61928" w14:textId="77777777" w:rsidR="003B037A" w:rsidRPr="00D808EE" w:rsidRDefault="003B037A">
            <w:pPr>
              <w:pStyle w:val="BodyText2"/>
              <w:rPr>
                <w:rFonts w:asciiTheme="minorHAnsi" w:hAnsiTheme="minorHAnsi"/>
                <w:b/>
                <w:sz w:val="22"/>
              </w:rPr>
            </w:pPr>
            <w:r w:rsidRPr="00D808EE">
              <w:rPr>
                <w:rFonts w:asciiTheme="minorHAnsi" w:hAnsiTheme="minorHAnsi"/>
                <w:b/>
                <w:sz w:val="22"/>
              </w:rPr>
              <w:t>Progress made against key indicators</w:t>
            </w:r>
          </w:p>
        </w:tc>
      </w:tr>
      <w:tr w:rsidR="000823AC" w:rsidRPr="00230BB5" w14:paraId="7BF47968" w14:textId="77777777" w:rsidTr="00DE7AC8">
        <w:tc>
          <w:tcPr>
            <w:tcW w:w="3150" w:type="dxa"/>
            <w:gridSpan w:val="2"/>
            <w:tcBorders>
              <w:bottom w:val="single" w:sz="4" w:space="0" w:color="auto"/>
            </w:tcBorders>
            <w:shd w:val="clear" w:color="auto" w:fill="95B3D7" w:themeFill="accent1" w:themeFillTint="99"/>
          </w:tcPr>
          <w:p w14:paraId="31D614C5" w14:textId="1D38E58A" w:rsidR="003B037A" w:rsidRPr="00C342CB" w:rsidRDefault="003B037A" w:rsidP="000C4457">
            <w:pPr>
              <w:pStyle w:val="BodyText2"/>
              <w:rPr>
                <w:rFonts w:asciiTheme="minorHAnsi" w:hAnsiTheme="minorHAnsi" w:cstheme="minorHAnsi"/>
                <w:b/>
                <w:i/>
                <w:lang w:val="fr-FR"/>
              </w:rPr>
            </w:pPr>
            <w:r w:rsidRPr="00C342CB">
              <w:rPr>
                <w:rFonts w:asciiTheme="minorHAnsi" w:hAnsiTheme="minorHAnsi" w:cstheme="minorHAnsi"/>
                <w:b/>
                <w:i/>
                <w:lang w:val="fr-FR"/>
              </w:rPr>
              <w:t xml:space="preserve">1. </w:t>
            </w:r>
            <w:r w:rsidR="003F1F1D">
              <w:rPr>
                <w:rFonts w:asciiTheme="minorHAnsi" w:hAnsiTheme="minorHAnsi" w:cstheme="minorHAnsi"/>
                <w:b/>
                <w:i/>
                <w:lang w:val="fr-FR"/>
              </w:rPr>
              <w:t>By</w:t>
            </w:r>
            <w:r w:rsidR="00DE7AC8" w:rsidRPr="00C342CB">
              <w:rPr>
                <w:rFonts w:asciiTheme="minorHAnsi" w:hAnsiTheme="minorHAnsi" w:cstheme="minorHAnsi"/>
                <w:b/>
                <w:i/>
                <w:lang w:val="fr-FR"/>
              </w:rPr>
              <w:t xml:space="preserve"> 2018, les ménages vulnérables et les communautés ciblées augmentent leur résilience en améliorant durablement leurs moyens de subsistance et leur sécurité alimentaire et nutritionnelle, en gérant mieux leur environnement et en ayant accès aux filets sociaux</w:t>
            </w:r>
            <w:r w:rsidRPr="00C342CB">
              <w:rPr>
                <w:rFonts w:asciiTheme="minorHAnsi" w:hAnsiTheme="minorHAnsi" w:cstheme="minorHAnsi"/>
                <w:b/>
                <w:i/>
                <w:lang w:val="fr-FR"/>
              </w:rPr>
              <w:t>.</w:t>
            </w:r>
          </w:p>
        </w:tc>
        <w:tc>
          <w:tcPr>
            <w:tcW w:w="1440" w:type="dxa"/>
            <w:tcBorders>
              <w:bottom w:val="single" w:sz="4" w:space="0" w:color="auto"/>
            </w:tcBorders>
            <w:shd w:val="clear" w:color="auto" w:fill="auto"/>
          </w:tcPr>
          <w:p w14:paraId="7CE78A73" w14:textId="77777777" w:rsidR="003B037A" w:rsidRPr="00C342CB" w:rsidRDefault="003B037A">
            <w:pPr>
              <w:pStyle w:val="BodyText2"/>
              <w:rPr>
                <w:rFonts w:asciiTheme="minorHAnsi" w:hAnsiTheme="minorHAnsi" w:cstheme="minorHAnsi"/>
                <w:i/>
              </w:rPr>
            </w:pPr>
            <w:r w:rsidRPr="00C342CB">
              <w:rPr>
                <w:rFonts w:asciiTheme="minorHAnsi" w:hAnsiTheme="minorHAnsi" w:cstheme="minorHAnsi"/>
                <w:i/>
              </w:rPr>
              <w:t>$</w:t>
            </w:r>
            <w:r w:rsidR="002A7396" w:rsidRPr="00C342CB">
              <w:rPr>
                <w:rFonts w:asciiTheme="minorHAnsi" w:hAnsiTheme="minorHAnsi" w:cstheme="minorHAnsi"/>
                <w:i/>
              </w:rPr>
              <w:t xml:space="preserve">23 </w:t>
            </w:r>
            <w:r w:rsidR="004621FC" w:rsidRPr="00C342CB">
              <w:rPr>
                <w:rFonts w:asciiTheme="minorHAnsi" w:hAnsiTheme="minorHAnsi" w:cstheme="minorHAnsi"/>
                <w:i/>
              </w:rPr>
              <w:t>m</w:t>
            </w:r>
            <w:r w:rsidR="002A7396" w:rsidRPr="00C342CB">
              <w:rPr>
                <w:rFonts w:asciiTheme="minorHAnsi" w:hAnsiTheme="minorHAnsi" w:cstheme="minorHAnsi"/>
                <w:i/>
              </w:rPr>
              <w:t>illion</w:t>
            </w:r>
          </w:p>
        </w:tc>
        <w:tc>
          <w:tcPr>
            <w:tcW w:w="3960" w:type="dxa"/>
            <w:tcBorders>
              <w:left w:val="single" w:sz="4" w:space="0" w:color="auto"/>
              <w:bottom w:val="single" w:sz="4" w:space="0" w:color="auto"/>
            </w:tcBorders>
          </w:tcPr>
          <w:p w14:paraId="59B76984" w14:textId="5AE9199C" w:rsidR="003B037A" w:rsidRPr="00C342CB" w:rsidRDefault="00230BB5" w:rsidP="00DE7AC8">
            <w:pPr>
              <w:pStyle w:val="BodyText2"/>
              <w:numPr>
                <w:ilvl w:val="0"/>
                <w:numId w:val="13"/>
              </w:numPr>
              <w:rPr>
                <w:rFonts w:asciiTheme="minorHAnsi" w:hAnsiTheme="minorHAnsi" w:cstheme="minorHAnsi"/>
                <w:i/>
              </w:rPr>
            </w:pPr>
            <w:r w:rsidRPr="00C342CB">
              <w:rPr>
                <w:rFonts w:asciiTheme="minorHAnsi" w:hAnsiTheme="minorHAnsi" w:cstheme="minorHAnsi"/>
                <w:i/>
              </w:rPr>
              <w:t xml:space="preserve">Prevalence rate of moderate and </w:t>
            </w:r>
            <w:r w:rsidR="00D808EE" w:rsidRPr="00D808EE">
              <w:rPr>
                <w:rFonts w:asciiTheme="minorHAnsi" w:hAnsiTheme="minorHAnsi" w:cstheme="minorHAnsi"/>
                <w:i/>
              </w:rPr>
              <w:t>severe</w:t>
            </w:r>
            <w:r w:rsidRPr="00C342CB">
              <w:rPr>
                <w:rFonts w:asciiTheme="minorHAnsi" w:hAnsiTheme="minorHAnsi" w:cstheme="minorHAnsi"/>
                <w:i/>
              </w:rPr>
              <w:t xml:space="preserve"> food insecurity rate (sex </w:t>
            </w:r>
            <w:r w:rsidR="00D808EE" w:rsidRPr="00D808EE">
              <w:rPr>
                <w:rFonts w:asciiTheme="minorHAnsi" w:hAnsiTheme="minorHAnsi" w:cstheme="minorHAnsi"/>
                <w:i/>
              </w:rPr>
              <w:t>disaggregated</w:t>
            </w:r>
            <w:r w:rsidRPr="00C342CB">
              <w:rPr>
                <w:rFonts w:asciiTheme="minorHAnsi" w:hAnsiTheme="minorHAnsi" w:cstheme="minorHAnsi"/>
                <w:i/>
              </w:rPr>
              <w:t xml:space="preserve">) </w:t>
            </w:r>
          </w:p>
          <w:p w14:paraId="6C57E403" w14:textId="3B884A44" w:rsidR="004C595C" w:rsidRPr="00C342CB" w:rsidRDefault="00DE7AC8" w:rsidP="00DE7AC8">
            <w:pPr>
              <w:pStyle w:val="BodyText2"/>
              <w:numPr>
                <w:ilvl w:val="0"/>
                <w:numId w:val="13"/>
              </w:numPr>
              <w:rPr>
                <w:rFonts w:asciiTheme="minorHAnsi" w:hAnsiTheme="minorHAnsi" w:cstheme="minorHAnsi"/>
                <w:i/>
              </w:rPr>
            </w:pPr>
            <w:r w:rsidRPr="00C342CB">
              <w:rPr>
                <w:rFonts w:asciiTheme="minorHAnsi" w:hAnsiTheme="minorHAnsi" w:cstheme="minorHAnsi"/>
                <w:i/>
              </w:rPr>
              <w:t xml:space="preserve">% </w:t>
            </w:r>
            <w:r w:rsidR="00230BB5" w:rsidRPr="00C342CB">
              <w:rPr>
                <w:rFonts w:asciiTheme="minorHAnsi" w:hAnsiTheme="minorHAnsi" w:cstheme="minorHAnsi"/>
                <w:i/>
              </w:rPr>
              <w:t xml:space="preserve">of people living below poverty line </w:t>
            </w:r>
          </w:p>
          <w:p w14:paraId="02D338FC" w14:textId="7695EF50" w:rsidR="003B037A" w:rsidRPr="00C342CB" w:rsidRDefault="00230BB5" w:rsidP="00DE7AC8">
            <w:pPr>
              <w:pStyle w:val="BodyText2"/>
              <w:numPr>
                <w:ilvl w:val="0"/>
                <w:numId w:val="13"/>
              </w:numPr>
              <w:rPr>
                <w:rFonts w:asciiTheme="minorHAnsi" w:hAnsiTheme="minorHAnsi" w:cstheme="minorHAnsi"/>
                <w:i/>
              </w:rPr>
            </w:pPr>
            <w:r w:rsidRPr="00C342CB">
              <w:rPr>
                <w:rFonts w:asciiTheme="minorHAnsi" w:hAnsiTheme="minorHAnsi" w:cstheme="minorHAnsi"/>
                <w:i/>
              </w:rPr>
              <w:t>Annual growth of agricultural production</w:t>
            </w:r>
            <w:r w:rsidR="00DE7AC8" w:rsidRPr="00C342CB">
              <w:rPr>
                <w:rFonts w:asciiTheme="minorHAnsi" w:hAnsiTheme="minorHAnsi" w:cstheme="minorHAnsi"/>
                <w:i/>
              </w:rPr>
              <w:t>.</w:t>
            </w:r>
          </w:p>
          <w:p w14:paraId="7C3DD29E" w14:textId="4410330A" w:rsidR="00DE7AC8" w:rsidRPr="00C342CB" w:rsidRDefault="00230BB5">
            <w:pPr>
              <w:pStyle w:val="BodyText2"/>
              <w:numPr>
                <w:ilvl w:val="0"/>
                <w:numId w:val="13"/>
              </w:numPr>
              <w:rPr>
                <w:rFonts w:asciiTheme="minorHAnsi" w:hAnsiTheme="minorHAnsi" w:cstheme="minorHAnsi"/>
                <w:i/>
              </w:rPr>
            </w:pPr>
            <w:r w:rsidRPr="00C342CB">
              <w:rPr>
                <w:rFonts w:asciiTheme="minorHAnsi" w:hAnsiTheme="minorHAnsi" w:cstheme="minorHAnsi"/>
                <w:i/>
              </w:rPr>
              <w:t xml:space="preserve">Annual growth rate of livestock production </w:t>
            </w:r>
          </w:p>
        </w:tc>
        <w:tc>
          <w:tcPr>
            <w:tcW w:w="5490" w:type="dxa"/>
            <w:tcBorders>
              <w:bottom w:val="single" w:sz="4" w:space="0" w:color="auto"/>
            </w:tcBorders>
            <w:shd w:val="clear" w:color="auto" w:fill="auto"/>
          </w:tcPr>
          <w:p w14:paraId="6AC5E4A5" w14:textId="0906923E" w:rsidR="00285F06" w:rsidRPr="00C342CB" w:rsidRDefault="00230BB5" w:rsidP="006813E8">
            <w:pPr>
              <w:pStyle w:val="BodyText2"/>
              <w:numPr>
                <w:ilvl w:val="0"/>
                <w:numId w:val="14"/>
              </w:numPr>
              <w:rPr>
                <w:rFonts w:asciiTheme="minorHAnsi" w:hAnsiTheme="minorHAnsi" w:cstheme="minorHAnsi"/>
                <w:i/>
              </w:rPr>
            </w:pPr>
            <w:r w:rsidRPr="00C342CB">
              <w:rPr>
                <w:rFonts w:asciiTheme="minorHAnsi" w:hAnsiTheme="minorHAnsi" w:cstheme="minorHAnsi"/>
                <w:i/>
              </w:rPr>
              <w:t>2018 targets for 2018 (moderate food insecurity &lt;20% and severe &lt;7.5%) were achieved since 2014 (moderate: 13.2% and severe 2.5%). Rates continue to fall steadily since 2015 with moderate food insecurity rate at 11.3% and severe at 1.1%. Sex disaggregated data is not available</w:t>
            </w:r>
            <w:r w:rsidR="00334D80" w:rsidRPr="00C342CB">
              <w:rPr>
                <w:rFonts w:asciiTheme="minorHAnsi" w:hAnsiTheme="minorHAnsi" w:cstheme="minorHAnsi"/>
                <w:i/>
              </w:rPr>
              <w:t>.</w:t>
            </w:r>
          </w:p>
          <w:p w14:paraId="5829171D" w14:textId="5CFA5153" w:rsidR="00230BB5" w:rsidRPr="00C342CB" w:rsidRDefault="00230BB5" w:rsidP="00334D80">
            <w:pPr>
              <w:pStyle w:val="BodyText2"/>
              <w:numPr>
                <w:ilvl w:val="0"/>
                <w:numId w:val="14"/>
              </w:numPr>
              <w:rPr>
                <w:rFonts w:asciiTheme="minorHAnsi" w:hAnsiTheme="minorHAnsi" w:cstheme="minorHAnsi"/>
                <w:i/>
              </w:rPr>
            </w:pPr>
            <w:r w:rsidRPr="00C342CB">
              <w:rPr>
                <w:rFonts w:asciiTheme="minorHAnsi" w:hAnsiTheme="minorHAnsi" w:cstheme="minorHAnsi"/>
                <w:i/>
              </w:rPr>
              <w:t>The proportion of people living below the poverty line has increased from 45.4% in 2014 to 38% in 2017 (Macro-Economic Framework Forecast of the Ministry of Planning).</w:t>
            </w:r>
          </w:p>
          <w:p w14:paraId="18D558B2" w14:textId="1CC6AF05" w:rsidR="001250FE" w:rsidRPr="00C342CB" w:rsidRDefault="00230BB5" w:rsidP="00334D80">
            <w:pPr>
              <w:pStyle w:val="BodyText2"/>
              <w:numPr>
                <w:ilvl w:val="0"/>
                <w:numId w:val="14"/>
              </w:numPr>
              <w:rPr>
                <w:rFonts w:asciiTheme="minorHAnsi" w:hAnsiTheme="minorHAnsi" w:cstheme="minorHAnsi"/>
                <w:i/>
              </w:rPr>
            </w:pPr>
            <w:r w:rsidRPr="00C342CB">
              <w:rPr>
                <w:rFonts w:asciiTheme="minorHAnsi" w:hAnsiTheme="minorHAnsi" w:cstheme="minorHAnsi"/>
                <w:i/>
              </w:rPr>
              <w:t>The GDP growth rate of the agricultural sector increased from -3% in 2013 to 15.2% in 2016</w:t>
            </w:r>
            <w:r w:rsidR="00334D80" w:rsidRPr="00C342CB">
              <w:rPr>
                <w:rFonts w:asciiTheme="minorHAnsi" w:hAnsiTheme="minorHAnsi" w:cstheme="minorHAnsi"/>
                <w:i/>
              </w:rPr>
              <w:t xml:space="preserve"> </w:t>
            </w:r>
          </w:p>
          <w:p w14:paraId="4BB86481" w14:textId="49F3D23D" w:rsidR="003C2CAB" w:rsidRPr="00C342CB" w:rsidRDefault="00230BB5">
            <w:pPr>
              <w:pStyle w:val="BodyText2"/>
              <w:numPr>
                <w:ilvl w:val="0"/>
                <w:numId w:val="14"/>
              </w:numPr>
              <w:rPr>
                <w:rFonts w:asciiTheme="minorHAnsi" w:hAnsiTheme="minorHAnsi" w:cstheme="minorHAnsi"/>
                <w:i/>
              </w:rPr>
            </w:pPr>
            <w:r w:rsidRPr="00C342CB">
              <w:rPr>
                <w:rFonts w:asciiTheme="minorHAnsi" w:hAnsiTheme="minorHAnsi" w:cstheme="minorHAnsi"/>
                <w:i/>
              </w:rPr>
              <w:t>The GDP growth rate of the livestock sector increased from 4.1% in 2013 to 4.8 in 2016</w:t>
            </w:r>
          </w:p>
        </w:tc>
      </w:tr>
      <w:tr w:rsidR="00530FDE" w:rsidRPr="00482765" w14:paraId="112331F9" w14:textId="77777777" w:rsidTr="00DE7AC8">
        <w:tc>
          <w:tcPr>
            <w:tcW w:w="14040" w:type="dxa"/>
            <w:gridSpan w:val="5"/>
          </w:tcPr>
          <w:p w14:paraId="6CE29519" w14:textId="77777777" w:rsidR="00843006" w:rsidRPr="00837C4B" w:rsidRDefault="00837C4B" w:rsidP="00EE1D60">
            <w:pPr>
              <w:pStyle w:val="BodyText2"/>
              <w:rPr>
                <w:rFonts w:asciiTheme="minorHAnsi" w:hAnsiTheme="minorHAnsi"/>
                <w:b/>
              </w:rPr>
            </w:pPr>
            <w:r w:rsidRPr="00837C4B">
              <w:rPr>
                <w:rFonts w:asciiTheme="minorHAnsi" w:hAnsiTheme="minorHAnsi"/>
                <w:b/>
              </w:rPr>
              <w:t>UNDP Contribution:</w:t>
            </w:r>
          </w:p>
          <w:p w14:paraId="4B7EC5E9" w14:textId="77777777" w:rsidR="00530FDE" w:rsidRDefault="00837C4B" w:rsidP="00EE1D60">
            <w:pPr>
              <w:pStyle w:val="BodyText2"/>
              <w:rPr>
                <w:rFonts w:asciiTheme="minorHAnsi" w:hAnsiTheme="minorHAnsi"/>
              </w:rPr>
            </w:pPr>
            <w:r>
              <w:rPr>
                <w:rFonts w:asciiTheme="minorHAnsi" w:hAnsiTheme="minorHAnsi"/>
              </w:rPr>
              <w:t>(</w:t>
            </w:r>
            <w:r w:rsidR="00843006">
              <w:rPr>
                <w:rFonts w:asciiTheme="minorHAnsi" w:hAnsiTheme="minorHAnsi"/>
              </w:rPr>
              <w:t xml:space="preserve">Please provide an assessment of the progress made against the </w:t>
            </w:r>
            <w:r w:rsidR="00843006" w:rsidRPr="00DC4D86">
              <w:rPr>
                <w:rFonts w:asciiTheme="minorHAnsi" w:hAnsiTheme="minorHAnsi"/>
                <w:u w:val="single"/>
              </w:rPr>
              <w:t>CP outputs</w:t>
            </w:r>
            <w:r w:rsidR="00843006">
              <w:rPr>
                <w:rFonts w:asciiTheme="minorHAnsi" w:hAnsiTheme="minorHAnsi"/>
              </w:rPr>
              <w:t xml:space="preserve"> over the cycle, and indicate their contribution to the outcome.</w:t>
            </w:r>
            <w:r w:rsidR="0032175A">
              <w:rPr>
                <w:rFonts w:asciiTheme="minorHAnsi" w:hAnsiTheme="minorHAnsi"/>
              </w:rPr>
              <w:t xml:space="preserve"> </w:t>
            </w:r>
            <w:r w:rsidR="003D653B">
              <w:rPr>
                <w:rFonts w:asciiTheme="minorHAnsi" w:hAnsiTheme="minorHAnsi"/>
              </w:rPr>
              <w:t>Please indicate each of the main outputs and provide a summary assessment of overall progress</w:t>
            </w:r>
            <w:r>
              <w:rPr>
                <w:rFonts w:asciiTheme="minorHAnsi" w:hAnsiTheme="minorHAnsi"/>
              </w:rPr>
              <w:t>)</w:t>
            </w:r>
          </w:p>
          <w:p w14:paraId="597B4FCA" w14:textId="77777777" w:rsidR="00843006" w:rsidRPr="00C342CB" w:rsidRDefault="00843006" w:rsidP="00EE1D60">
            <w:pPr>
              <w:pStyle w:val="BodyText2"/>
              <w:rPr>
                <w:rFonts w:asciiTheme="minorHAnsi" w:hAnsiTheme="minorHAnsi" w:cstheme="minorHAnsi"/>
              </w:rPr>
            </w:pPr>
          </w:p>
          <w:p w14:paraId="6AB0D18C" w14:textId="77777777" w:rsidR="00B00E5C" w:rsidRPr="00C342CB" w:rsidRDefault="00B00E5C" w:rsidP="00EE1D60">
            <w:pPr>
              <w:pStyle w:val="BodyText2"/>
              <w:rPr>
                <w:rFonts w:asciiTheme="minorHAnsi" w:hAnsiTheme="minorHAnsi" w:cstheme="minorHAnsi"/>
              </w:rPr>
            </w:pPr>
            <w:r w:rsidRPr="00C342CB">
              <w:rPr>
                <w:rFonts w:asciiTheme="minorHAnsi" w:hAnsiTheme="minorHAnsi" w:cstheme="minorHAnsi"/>
                <w:u w:val="single"/>
              </w:rPr>
              <w:t>CP Outputs</w:t>
            </w:r>
            <w:r w:rsidR="00845340" w:rsidRPr="00C342CB">
              <w:rPr>
                <w:rFonts w:asciiTheme="minorHAnsi" w:hAnsiTheme="minorHAnsi" w:cstheme="minorHAnsi"/>
              </w:rPr>
              <w:t>:</w:t>
            </w:r>
          </w:p>
          <w:p w14:paraId="4C75DAC5" w14:textId="59B71F70" w:rsidR="00482765" w:rsidRPr="00C342CB" w:rsidRDefault="00482765" w:rsidP="004D28B9">
            <w:pPr>
              <w:pStyle w:val="BodyText2"/>
              <w:rPr>
                <w:rFonts w:asciiTheme="minorHAnsi" w:hAnsiTheme="minorHAnsi" w:cstheme="minorHAnsi"/>
                <w:i/>
              </w:rPr>
            </w:pPr>
            <w:r w:rsidRPr="00C342CB">
              <w:rPr>
                <w:rFonts w:asciiTheme="minorHAnsi" w:hAnsiTheme="minorHAnsi" w:cstheme="minorHAnsi"/>
                <w:lang w:val="en"/>
              </w:rPr>
              <w:t xml:space="preserve">The CPD identified three major products to </w:t>
            </w:r>
            <w:r w:rsidR="00D808EE" w:rsidRPr="00C342CB">
              <w:rPr>
                <w:rFonts w:asciiTheme="minorHAnsi" w:hAnsiTheme="minorHAnsi" w:cstheme="minorHAnsi"/>
                <w:lang w:val="en"/>
              </w:rPr>
              <w:t xml:space="preserve">contribute to this outcome </w:t>
            </w:r>
            <w:r w:rsidRPr="00C342CB">
              <w:rPr>
                <w:rFonts w:asciiTheme="minorHAnsi" w:hAnsiTheme="minorHAnsi" w:cstheme="minorHAnsi"/>
                <w:lang w:val="en"/>
              </w:rPr>
              <w:t xml:space="preserve">: (a) A </w:t>
            </w:r>
            <w:r w:rsidR="00D808EE" w:rsidRPr="00C342CB">
              <w:rPr>
                <w:rFonts w:asciiTheme="minorHAnsi" w:hAnsiTheme="minorHAnsi" w:cstheme="minorHAnsi"/>
                <w:lang w:val="en"/>
              </w:rPr>
              <w:t xml:space="preserve">project on </w:t>
            </w:r>
            <w:r w:rsidRPr="00C342CB">
              <w:rPr>
                <w:rFonts w:asciiTheme="minorHAnsi" w:hAnsiTheme="minorHAnsi" w:cstheme="minorHAnsi"/>
                <w:lang w:val="en"/>
              </w:rPr>
              <w:t>multifunctional platform</w:t>
            </w:r>
            <w:r w:rsidR="00D808EE" w:rsidRPr="00C342CB">
              <w:rPr>
                <w:rFonts w:asciiTheme="minorHAnsi" w:hAnsiTheme="minorHAnsi" w:cstheme="minorHAnsi"/>
                <w:lang w:val="en"/>
              </w:rPr>
              <w:t>s</w:t>
            </w:r>
            <w:r w:rsidRPr="00C342CB">
              <w:rPr>
                <w:rFonts w:asciiTheme="minorHAnsi" w:hAnsiTheme="minorHAnsi" w:cstheme="minorHAnsi"/>
                <w:lang w:val="en"/>
              </w:rPr>
              <w:t xml:space="preserve"> provided to improve people's access to energy; (b) The level of food consumption of rural beneficiary households (</w:t>
            </w:r>
            <w:r w:rsidR="00D808EE" w:rsidRPr="00C342CB">
              <w:rPr>
                <w:rFonts w:asciiTheme="minorHAnsi" w:hAnsiTheme="minorHAnsi" w:cstheme="minorHAnsi"/>
                <w:lang w:val="en"/>
              </w:rPr>
              <w:t xml:space="preserve">based if the gender of </w:t>
            </w:r>
            <w:r w:rsidRPr="00C342CB">
              <w:rPr>
                <w:rFonts w:asciiTheme="minorHAnsi" w:hAnsiTheme="minorHAnsi" w:cstheme="minorHAnsi"/>
                <w:lang w:val="en"/>
              </w:rPr>
              <w:t>the household head) is improved; and (c) Producer capacities are improved in agricultural techniques.</w:t>
            </w:r>
          </w:p>
          <w:p w14:paraId="3AEAF79D" w14:textId="77777777" w:rsidR="00B00E5C" w:rsidRPr="00C342CB" w:rsidRDefault="00B00E5C" w:rsidP="00EE1D60">
            <w:pPr>
              <w:pStyle w:val="BodyText2"/>
              <w:rPr>
                <w:rFonts w:asciiTheme="minorHAnsi" w:hAnsiTheme="minorHAnsi"/>
              </w:rPr>
            </w:pPr>
          </w:p>
          <w:p w14:paraId="632A0CE3" w14:textId="77777777" w:rsidR="00B00E5C" w:rsidRPr="00845340" w:rsidRDefault="00B00E5C" w:rsidP="00EE1D60">
            <w:pPr>
              <w:pStyle w:val="BodyText2"/>
              <w:rPr>
                <w:rFonts w:asciiTheme="minorHAnsi" w:hAnsiTheme="minorHAnsi"/>
              </w:rPr>
            </w:pPr>
            <w:r w:rsidRPr="00B00E5C">
              <w:rPr>
                <w:rFonts w:asciiTheme="minorHAnsi" w:hAnsiTheme="minorHAnsi"/>
                <w:u w:val="single"/>
              </w:rPr>
              <w:t>Progress and Achievements</w:t>
            </w:r>
            <w:r w:rsidR="00845340">
              <w:rPr>
                <w:rFonts w:asciiTheme="minorHAnsi" w:hAnsiTheme="minorHAnsi"/>
              </w:rPr>
              <w:t>:</w:t>
            </w:r>
          </w:p>
          <w:p w14:paraId="6D5EBD85" w14:textId="5C700146" w:rsidR="00C342CB" w:rsidRPr="00C342CB" w:rsidRDefault="00482765" w:rsidP="00C342CB">
            <w:pPr>
              <w:pStyle w:val="BodyText2"/>
              <w:spacing w:before="120"/>
              <w:rPr>
                <w:rFonts w:asciiTheme="minorHAnsi" w:hAnsiTheme="minorHAnsi" w:cstheme="minorHAnsi"/>
                <w:lang w:val="en"/>
              </w:rPr>
            </w:pPr>
            <w:r w:rsidRPr="00C342CB">
              <w:rPr>
                <w:rFonts w:asciiTheme="minorHAnsi" w:hAnsiTheme="minorHAnsi" w:cstheme="minorHAnsi"/>
                <w:lang w:val="en"/>
              </w:rPr>
              <w:t xml:space="preserve">UNDP </w:t>
            </w:r>
            <w:r w:rsidR="00D808EE" w:rsidRPr="00C342CB">
              <w:rPr>
                <w:rFonts w:asciiTheme="minorHAnsi" w:hAnsiTheme="minorHAnsi" w:cstheme="minorHAnsi"/>
                <w:lang w:val="en"/>
              </w:rPr>
              <w:t xml:space="preserve">contributed </w:t>
            </w:r>
            <w:r w:rsidRPr="00C342CB">
              <w:rPr>
                <w:rFonts w:asciiTheme="minorHAnsi" w:hAnsiTheme="minorHAnsi" w:cstheme="minorHAnsi"/>
                <w:lang w:val="en"/>
              </w:rPr>
              <w:t>to further strengthen</w:t>
            </w:r>
            <w:r w:rsidR="00D808EE" w:rsidRPr="00C342CB">
              <w:rPr>
                <w:rFonts w:asciiTheme="minorHAnsi" w:hAnsiTheme="minorHAnsi" w:cstheme="minorHAnsi"/>
                <w:lang w:val="en"/>
              </w:rPr>
              <w:t>ing</w:t>
            </w:r>
            <w:r w:rsidRPr="00C342CB">
              <w:rPr>
                <w:rFonts w:asciiTheme="minorHAnsi" w:hAnsiTheme="minorHAnsi" w:cstheme="minorHAnsi"/>
                <w:lang w:val="en"/>
              </w:rPr>
              <w:t xml:space="preserve"> the resilience of vulnerable rural populations to food insecurity and the adverse effects of climate change</w:t>
            </w:r>
            <w:r w:rsidR="00D808EE" w:rsidRPr="00C342CB">
              <w:rPr>
                <w:rFonts w:asciiTheme="minorHAnsi" w:hAnsiTheme="minorHAnsi" w:cstheme="minorHAnsi"/>
                <w:lang w:val="en"/>
              </w:rPr>
              <w:t xml:space="preserve"> through</w:t>
            </w:r>
            <w:r w:rsidRPr="00C342CB">
              <w:rPr>
                <w:rFonts w:asciiTheme="minorHAnsi" w:hAnsiTheme="minorHAnsi" w:cstheme="minorHAnsi"/>
                <w:lang w:val="en"/>
              </w:rPr>
              <w:t>:</w:t>
            </w:r>
            <w:r w:rsidRPr="00C342CB">
              <w:rPr>
                <w:rFonts w:asciiTheme="minorHAnsi" w:hAnsiTheme="minorHAnsi" w:cstheme="minorHAnsi"/>
                <w:lang w:val="en"/>
              </w:rPr>
              <w:br/>
              <w:t xml:space="preserve">(a) Facilitating access to energy (installation of 320 multifunctional platforms) improved the living conditions of more than 640,000 people in disadvantaged </w:t>
            </w:r>
            <w:r w:rsidR="00D808EE" w:rsidRPr="00C342CB">
              <w:rPr>
                <w:rFonts w:asciiTheme="minorHAnsi" w:hAnsiTheme="minorHAnsi" w:cstheme="minorHAnsi"/>
                <w:lang w:val="en"/>
              </w:rPr>
              <w:t xml:space="preserve">rural </w:t>
            </w:r>
            <w:r w:rsidRPr="00C342CB">
              <w:rPr>
                <w:rFonts w:asciiTheme="minorHAnsi" w:hAnsiTheme="minorHAnsi" w:cstheme="minorHAnsi"/>
                <w:lang w:val="en"/>
              </w:rPr>
              <w:t>areas, representing 91</w:t>
            </w:r>
            <w:r w:rsidR="00D808EE" w:rsidRPr="00C342CB">
              <w:rPr>
                <w:rFonts w:asciiTheme="minorHAnsi" w:hAnsiTheme="minorHAnsi" w:cstheme="minorHAnsi"/>
                <w:lang w:val="en"/>
              </w:rPr>
              <w:t>,</w:t>
            </w:r>
            <w:r w:rsidRPr="00C342CB">
              <w:rPr>
                <w:rFonts w:asciiTheme="minorHAnsi" w:hAnsiTheme="minorHAnsi" w:cstheme="minorHAnsi"/>
                <w:lang w:val="en"/>
              </w:rPr>
              <w:t>430 households</w:t>
            </w:r>
            <w:r w:rsidR="00D808EE" w:rsidRPr="00C342CB">
              <w:rPr>
                <w:rFonts w:asciiTheme="minorHAnsi" w:hAnsiTheme="minorHAnsi" w:cstheme="minorHAnsi"/>
                <w:lang w:val="en"/>
              </w:rPr>
              <w:t xml:space="preserve"> and</w:t>
            </w:r>
            <w:r w:rsidRPr="00C342CB">
              <w:rPr>
                <w:rFonts w:asciiTheme="minorHAnsi" w:hAnsiTheme="minorHAnsi" w:cstheme="minorHAnsi"/>
                <w:lang w:val="en"/>
              </w:rPr>
              <w:t xml:space="preserve"> enabled the creation of 1310 permanent jobs for women and the development of income activities for 11505 people (5847 women) around these Platforms.</w:t>
            </w:r>
          </w:p>
          <w:p w14:paraId="04E496EE" w14:textId="4C753269" w:rsidR="00482765" w:rsidRPr="00C342CB" w:rsidRDefault="00482765" w:rsidP="00C342CB">
            <w:pPr>
              <w:pStyle w:val="BodyText2"/>
              <w:spacing w:before="120"/>
              <w:jc w:val="both"/>
              <w:rPr>
                <w:rFonts w:asciiTheme="minorHAnsi" w:hAnsiTheme="minorHAnsi" w:cstheme="minorHAnsi"/>
                <w:lang w:val="en"/>
              </w:rPr>
            </w:pPr>
            <w:r w:rsidRPr="00C342CB">
              <w:rPr>
                <w:rFonts w:asciiTheme="minorHAnsi" w:hAnsiTheme="minorHAnsi" w:cstheme="minorHAnsi"/>
                <w:lang w:val="en"/>
              </w:rPr>
              <w:lastRenderedPageBreak/>
              <w:br/>
              <w:t>(b) and (c)</w:t>
            </w:r>
            <w:r w:rsidR="00D808EE" w:rsidRPr="00C342CB">
              <w:rPr>
                <w:rFonts w:asciiTheme="minorHAnsi" w:hAnsiTheme="minorHAnsi" w:cstheme="minorHAnsi"/>
                <w:lang w:val="en"/>
              </w:rPr>
              <w:t xml:space="preserve"> </w:t>
            </w:r>
            <w:r w:rsidRPr="00C342CB">
              <w:rPr>
                <w:rFonts w:asciiTheme="minorHAnsi" w:hAnsiTheme="minorHAnsi" w:cstheme="minorHAnsi"/>
                <w:lang w:val="en"/>
              </w:rPr>
              <w:t xml:space="preserve">: The installation of 30 solar energy kits facilitated the access of 227 heads of households (1,611 people) to water for irrigation (60 hectares of land for gardening </w:t>
            </w:r>
            <w:r w:rsidR="00D808EE" w:rsidRPr="00C342CB">
              <w:rPr>
                <w:rFonts w:asciiTheme="minorHAnsi" w:hAnsiTheme="minorHAnsi" w:cstheme="minorHAnsi"/>
                <w:lang w:val="en"/>
              </w:rPr>
              <w:t>crops</w:t>
            </w:r>
            <w:r w:rsidRPr="00C342CB">
              <w:rPr>
                <w:rFonts w:asciiTheme="minorHAnsi" w:hAnsiTheme="minorHAnsi" w:cstheme="minorHAnsi"/>
                <w:lang w:val="en"/>
              </w:rPr>
              <w:t>) and the consumption of humans and animals. Actions to preserve the environment (3401 ha of degraded land and the opening of 667 km of firewalls) have led to the creation of 52</w:t>
            </w:r>
            <w:r w:rsidR="00D808EE" w:rsidRPr="00C342CB">
              <w:rPr>
                <w:rFonts w:asciiTheme="minorHAnsi" w:hAnsiTheme="minorHAnsi" w:cstheme="minorHAnsi"/>
                <w:lang w:val="en"/>
              </w:rPr>
              <w:t>,</w:t>
            </w:r>
            <w:r w:rsidRPr="00C342CB">
              <w:rPr>
                <w:rFonts w:asciiTheme="minorHAnsi" w:hAnsiTheme="minorHAnsi" w:cstheme="minorHAnsi"/>
                <w:lang w:val="en"/>
              </w:rPr>
              <w:t>422 temporary jobs (35% for women), the development of generating activities income (</w:t>
            </w:r>
            <w:r w:rsidR="00D808EE" w:rsidRPr="00C342CB">
              <w:rPr>
                <w:rFonts w:asciiTheme="minorHAnsi" w:hAnsiTheme="minorHAnsi" w:cstheme="minorHAnsi"/>
                <w:lang w:val="en"/>
              </w:rPr>
              <w:t>I</w:t>
            </w:r>
            <w:r w:rsidRPr="00C342CB">
              <w:rPr>
                <w:rFonts w:asciiTheme="minorHAnsi" w:hAnsiTheme="minorHAnsi" w:cstheme="minorHAnsi"/>
                <w:lang w:val="en"/>
              </w:rPr>
              <w:t xml:space="preserve">GR) for 450 women and 375 men. </w:t>
            </w:r>
            <w:r w:rsidR="00D808EE" w:rsidRPr="00C342CB">
              <w:rPr>
                <w:rFonts w:asciiTheme="minorHAnsi" w:hAnsiTheme="minorHAnsi" w:cstheme="minorHAnsi"/>
                <w:lang w:val="en"/>
              </w:rPr>
              <w:t xml:space="preserve">UNDP succeeded in </w:t>
            </w:r>
            <w:r w:rsidRPr="00C342CB">
              <w:rPr>
                <w:rFonts w:asciiTheme="minorHAnsi" w:hAnsiTheme="minorHAnsi" w:cstheme="minorHAnsi"/>
                <w:lang w:val="en"/>
              </w:rPr>
              <w:t>improv</w:t>
            </w:r>
            <w:r w:rsidR="00D808EE" w:rsidRPr="00C342CB">
              <w:rPr>
                <w:rFonts w:asciiTheme="minorHAnsi" w:hAnsiTheme="minorHAnsi" w:cstheme="minorHAnsi"/>
                <w:lang w:val="en"/>
              </w:rPr>
              <w:t xml:space="preserve">ing </w:t>
            </w:r>
            <w:r w:rsidRPr="00C342CB">
              <w:rPr>
                <w:rFonts w:asciiTheme="minorHAnsi" w:hAnsiTheme="minorHAnsi" w:cstheme="minorHAnsi"/>
                <w:lang w:val="en"/>
              </w:rPr>
              <w:t>coverage of food needs</w:t>
            </w:r>
            <w:r w:rsidR="00D808EE" w:rsidRPr="00C342CB">
              <w:rPr>
                <w:rFonts w:asciiTheme="minorHAnsi" w:hAnsiTheme="minorHAnsi" w:cstheme="minorHAnsi"/>
                <w:lang w:val="en"/>
              </w:rPr>
              <w:t xml:space="preserve"> of about 326</w:t>
            </w:r>
            <w:r w:rsidR="00C769D5">
              <w:rPr>
                <w:rFonts w:asciiTheme="minorHAnsi" w:hAnsiTheme="minorHAnsi" w:cstheme="minorHAnsi"/>
                <w:lang w:val="en"/>
              </w:rPr>
              <w:t>,</w:t>
            </w:r>
            <w:r w:rsidR="00D808EE" w:rsidRPr="00C342CB">
              <w:rPr>
                <w:rFonts w:asciiTheme="minorHAnsi" w:hAnsiTheme="minorHAnsi" w:cstheme="minorHAnsi"/>
                <w:lang w:val="en"/>
              </w:rPr>
              <w:t>046 people within 24 communes in 5 regions</w:t>
            </w:r>
            <w:r w:rsidRPr="00C342CB">
              <w:rPr>
                <w:rFonts w:asciiTheme="minorHAnsi" w:hAnsiTheme="minorHAnsi" w:cstheme="minorHAnsi"/>
                <w:lang w:val="en"/>
              </w:rPr>
              <w:t>, from 3 to 5 months over the 9 months of lean</w:t>
            </w:r>
            <w:r w:rsidR="00D808EE" w:rsidRPr="00C342CB">
              <w:rPr>
                <w:rFonts w:asciiTheme="minorHAnsi" w:hAnsiTheme="minorHAnsi" w:cstheme="minorHAnsi"/>
                <w:lang w:val="en"/>
              </w:rPr>
              <w:t xml:space="preserve"> food period</w:t>
            </w:r>
            <w:r w:rsidRPr="00C342CB">
              <w:rPr>
                <w:rFonts w:asciiTheme="minorHAnsi" w:hAnsiTheme="minorHAnsi" w:cstheme="minorHAnsi"/>
                <w:lang w:val="en"/>
              </w:rPr>
              <w:t>,</w:t>
            </w:r>
            <w:r w:rsidR="00D808EE" w:rsidRPr="00C342CB">
              <w:rPr>
                <w:rFonts w:asciiTheme="minorHAnsi" w:hAnsiTheme="minorHAnsi" w:cstheme="minorHAnsi"/>
                <w:lang w:val="en"/>
              </w:rPr>
              <w:t xml:space="preserve"> thereby reducing </w:t>
            </w:r>
            <w:r w:rsidRPr="00C342CB">
              <w:rPr>
                <w:rFonts w:asciiTheme="minorHAnsi" w:hAnsiTheme="minorHAnsi" w:cstheme="minorHAnsi"/>
                <w:lang w:val="en"/>
              </w:rPr>
              <w:t>their vulnerability to food / nutrition insecurity</w:t>
            </w:r>
            <w:r w:rsidR="00D808EE" w:rsidRPr="00C342CB">
              <w:rPr>
                <w:rFonts w:asciiTheme="minorHAnsi" w:hAnsiTheme="minorHAnsi" w:cstheme="minorHAnsi"/>
                <w:lang w:val="en"/>
              </w:rPr>
              <w:t xml:space="preserve">. This was achieved </w:t>
            </w:r>
            <w:r w:rsidRPr="00C342CB">
              <w:rPr>
                <w:rFonts w:asciiTheme="minorHAnsi" w:hAnsiTheme="minorHAnsi" w:cstheme="minorHAnsi"/>
                <w:lang w:val="en"/>
              </w:rPr>
              <w:t xml:space="preserve">by </w:t>
            </w:r>
            <w:r w:rsidR="00D808EE" w:rsidRPr="00C342CB">
              <w:rPr>
                <w:rFonts w:asciiTheme="minorHAnsi" w:hAnsiTheme="minorHAnsi" w:cstheme="minorHAnsi"/>
                <w:lang w:val="en"/>
              </w:rPr>
              <w:t>facilitating</w:t>
            </w:r>
            <w:r w:rsidRPr="00C342CB">
              <w:rPr>
                <w:rFonts w:asciiTheme="minorHAnsi" w:hAnsiTheme="minorHAnsi" w:cstheme="minorHAnsi"/>
                <w:lang w:val="en"/>
              </w:rPr>
              <w:t xml:space="preserve"> access to agricultural </w:t>
            </w:r>
            <w:r w:rsidR="00D808EE" w:rsidRPr="00C342CB">
              <w:rPr>
                <w:rFonts w:asciiTheme="minorHAnsi" w:hAnsiTheme="minorHAnsi" w:cstheme="minorHAnsi"/>
                <w:lang w:val="en"/>
              </w:rPr>
              <w:t>equipment</w:t>
            </w:r>
            <w:r w:rsidRPr="00C342CB">
              <w:rPr>
                <w:rFonts w:asciiTheme="minorHAnsi" w:hAnsiTheme="minorHAnsi" w:cstheme="minorHAnsi"/>
                <w:lang w:val="en"/>
              </w:rPr>
              <w:t xml:space="preserve"> and inputs (adapted seeds, pesticides, fertilizers, motor pumps, stalk grinders, etc.), training in appropriate agricultural techniques of 45</w:t>
            </w:r>
            <w:r w:rsidR="00D808EE" w:rsidRPr="00C342CB">
              <w:rPr>
                <w:rFonts w:asciiTheme="minorHAnsi" w:hAnsiTheme="minorHAnsi" w:cstheme="minorHAnsi"/>
                <w:lang w:val="en"/>
              </w:rPr>
              <w:t>,</w:t>
            </w:r>
            <w:r w:rsidRPr="00C342CB">
              <w:rPr>
                <w:rFonts w:asciiTheme="minorHAnsi" w:hAnsiTheme="minorHAnsi" w:cstheme="minorHAnsi"/>
                <w:lang w:val="en"/>
              </w:rPr>
              <w:t xml:space="preserve">922 producers (46% women), and </w:t>
            </w:r>
            <w:r w:rsidR="00F004A3" w:rsidRPr="00C342CB">
              <w:rPr>
                <w:rFonts w:asciiTheme="minorHAnsi" w:hAnsiTheme="minorHAnsi" w:cstheme="minorHAnsi"/>
                <w:lang w:val="en"/>
              </w:rPr>
              <w:t>introducing</w:t>
            </w:r>
            <w:r w:rsidRPr="00C342CB">
              <w:rPr>
                <w:rFonts w:asciiTheme="minorHAnsi" w:hAnsiTheme="minorHAnsi" w:cstheme="minorHAnsi"/>
                <w:lang w:val="en"/>
              </w:rPr>
              <w:t xml:space="preserve"> diversification of crops that multiply </w:t>
            </w:r>
            <w:r w:rsidR="00F004A3" w:rsidRPr="00C342CB">
              <w:rPr>
                <w:rFonts w:asciiTheme="minorHAnsi" w:hAnsiTheme="minorHAnsi" w:cstheme="minorHAnsi"/>
                <w:lang w:val="en"/>
              </w:rPr>
              <w:t>production</w:t>
            </w:r>
            <w:r w:rsidRPr="00C342CB">
              <w:rPr>
                <w:rFonts w:asciiTheme="minorHAnsi" w:hAnsiTheme="minorHAnsi" w:cstheme="minorHAnsi"/>
                <w:lang w:val="en"/>
              </w:rPr>
              <w:t xml:space="preserve"> by 2 to 3. </w:t>
            </w:r>
            <w:r w:rsidR="00F004A3" w:rsidRPr="00C342CB">
              <w:rPr>
                <w:rFonts w:asciiTheme="minorHAnsi" w:hAnsiTheme="minorHAnsi" w:cstheme="minorHAnsi"/>
                <w:lang w:val="en"/>
              </w:rPr>
              <w:t xml:space="preserve">As well support provided to </w:t>
            </w:r>
            <w:r w:rsidRPr="00C342CB">
              <w:rPr>
                <w:rFonts w:asciiTheme="minorHAnsi" w:hAnsiTheme="minorHAnsi" w:cstheme="minorHAnsi"/>
                <w:lang w:val="en"/>
              </w:rPr>
              <w:t>5 communes of the Re</w:t>
            </w:r>
            <w:r w:rsidR="00F004A3" w:rsidRPr="00C342CB">
              <w:rPr>
                <w:rFonts w:asciiTheme="minorHAnsi" w:hAnsiTheme="minorHAnsi" w:cstheme="minorHAnsi"/>
                <w:lang w:val="en"/>
              </w:rPr>
              <w:t xml:space="preserve">gions of </w:t>
            </w:r>
            <w:proofErr w:type="spellStart"/>
            <w:r w:rsidR="00F004A3" w:rsidRPr="00C342CB">
              <w:rPr>
                <w:rFonts w:asciiTheme="minorHAnsi" w:hAnsiTheme="minorHAnsi" w:cstheme="minorHAnsi"/>
                <w:lang w:val="en"/>
              </w:rPr>
              <w:t>Tahoua</w:t>
            </w:r>
            <w:proofErr w:type="spellEnd"/>
            <w:r w:rsidR="00F004A3" w:rsidRPr="00C342CB">
              <w:rPr>
                <w:rFonts w:asciiTheme="minorHAnsi" w:hAnsiTheme="minorHAnsi" w:cstheme="minorHAnsi"/>
                <w:lang w:val="en"/>
              </w:rPr>
              <w:t xml:space="preserve"> and </w:t>
            </w:r>
            <w:proofErr w:type="spellStart"/>
            <w:r w:rsidR="00F004A3" w:rsidRPr="00C342CB">
              <w:rPr>
                <w:rFonts w:asciiTheme="minorHAnsi" w:hAnsiTheme="minorHAnsi" w:cstheme="minorHAnsi"/>
                <w:lang w:val="en"/>
              </w:rPr>
              <w:t>Dosso</w:t>
            </w:r>
            <w:proofErr w:type="spellEnd"/>
            <w:r w:rsidR="00F004A3" w:rsidRPr="00C342CB">
              <w:rPr>
                <w:rFonts w:asciiTheme="minorHAnsi" w:hAnsiTheme="minorHAnsi" w:cstheme="minorHAnsi"/>
                <w:lang w:val="en"/>
              </w:rPr>
              <w:t xml:space="preserve"> to develop l</w:t>
            </w:r>
            <w:r w:rsidRPr="00C342CB">
              <w:rPr>
                <w:rFonts w:asciiTheme="minorHAnsi" w:hAnsiTheme="minorHAnsi" w:cstheme="minorHAnsi"/>
                <w:lang w:val="en"/>
              </w:rPr>
              <w:t xml:space="preserve">ocal Water and Sanitation </w:t>
            </w:r>
            <w:r w:rsidR="00F004A3" w:rsidRPr="00C342CB">
              <w:rPr>
                <w:rFonts w:asciiTheme="minorHAnsi" w:hAnsiTheme="minorHAnsi" w:cstheme="minorHAnsi"/>
                <w:lang w:val="en"/>
              </w:rPr>
              <w:t>Plans now</w:t>
            </w:r>
            <w:r w:rsidRPr="00C342CB">
              <w:rPr>
                <w:rFonts w:asciiTheme="minorHAnsi" w:hAnsiTheme="minorHAnsi" w:cstheme="minorHAnsi"/>
                <w:lang w:val="en"/>
              </w:rPr>
              <w:t xml:space="preserve"> allow them</w:t>
            </w:r>
            <w:r w:rsidR="00F004A3" w:rsidRPr="00C342CB">
              <w:rPr>
                <w:rFonts w:asciiTheme="minorHAnsi" w:hAnsiTheme="minorHAnsi" w:cstheme="minorHAnsi"/>
                <w:lang w:val="en"/>
              </w:rPr>
              <w:t xml:space="preserve"> not only</w:t>
            </w:r>
            <w:r w:rsidRPr="00C342CB">
              <w:rPr>
                <w:rFonts w:asciiTheme="minorHAnsi" w:hAnsiTheme="minorHAnsi" w:cstheme="minorHAnsi"/>
                <w:lang w:val="en"/>
              </w:rPr>
              <w:t xml:space="preserve"> to</w:t>
            </w:r>
            <w:r w:rsidR="00F004A3" w:rsidRPr="00C342CB">
              <w:rPr>
                <w:rFonts w:asciiTheme="minorHAnsi" w:hAnsiTheme="minorHAnsi" w:cstheme="minorHAnsi"/>
                <w:lang w:val="en"/>
              </w:rPr>
              <w:t xml:space="preserve"> identify and</w:t>
            </w:r>
            <w:r w:rsidRPr="00C342CB">
              <w:rPr>
                <w:rFonts w:asciiTheme="minorHAnsi" w:hAnsiTheme="minorHAnsi" w:cstheme="minorHAnsi"/>
                <w:lang w:val="en"/>
              </w:rPr>
              <w:t xml:space="preserve"> </w:t>
            </w:r>
            <w:r w:rsidR="00F004A3" w:rsidRPr="00C342CB">
              <w:rPr>
                <w:rFonts w:asciiTheme="minorHAnsi" w:hAnsiTheme="minorHAnsi" w:cstheme="minorHAnsi"/>
                <w:lang w:val="en"/>
              </w:rPr>
              <w:t xml:space="preserve">prioritize </w:t>
            </w:r>
            <w:r w:rsidRPr="00C342CB">
              <w:rPr>
                <w:rFonts w:asciiTheme="minorHAnsi" w:hAnsiTheme="minorHAnsi" w:cstheme="minorHAnsi"/>
                <w:lang w:val="en"/>
              </w:rPr>
              <w:t>intervention</w:t>
            </w:r>
            <w:r w:rsidR="00F004A3" w:rsidRPr="00C342CB">
              <w:rPr>
                <w:rFonts w:asciiTheme="minorHAnsi" w:hAnsiTheme="minorHAnsi" w:cstheme="minorHAnsi"/>
                <w:lang w:val="en"/>
              </w:rPr>
              <w:t>s</w:t>
            </w:r>
            <w:r w:rsidRPr="00C342CB">
              <w:rPr>
                <w:rFonts w:asciiTheme="minorHAnsi" w:hAnsiTheme="minorHAnsi" w:cstheme="minorHAnsi"/>
                <w:lang w:val="en"/>
              </w:rPr>
              <w:t xml:space="preserve"> </w:t>
            </w:r>
            <w:r w:rsidR="00F004A3" w:rsidRPr="00C342CB">
              <w:rPr>
                <w:rFonts w:asciiTheme="minorHAnsi" w:hAnsiTheme="minorHAnsi" w:cstheme="minorHAnsi"/>
                <w:lang w:val="en"/>
              </w:rPr>
              <w:t>for the development of</w:t>
            </w:r>
            <w:r w:rsidRPr="00C342CB">
              <w:rPr>
                <w:rFonts w:asciiTheme="minorHAnsi" w:hAnsiTheme="minorHAnsi" w:cstheme="minorHAnsi"/>
                <w:lang w:val="en"/>
              </w:rPr>
              <w:t xml:space="preserve"> related services</w:t>
            </w:r>
            <w:r w:rsidR="00F004A3" w:rsidRPr="00C342CB">
              <w:rPr>
                <w:rFonts w:asciiTheme="minorHAnsi" w:hAnsiTheme="minorHAnsi" w:cstheme="minorHAnsi"/>
                <w:lang w:val="en"/>
              </w:rPr>
              <w:t xml:space="preserve">, but also give </w:t>
            </w:r>
            <w:r w:rsidRPr="00C342CB">
              <w:rPr>
                <w:rFonts w:asciiTheme="minorHAnsi" w:hAnsiTheme="minorHAnsi" w:cstheme="minorHAnsi"/>
                <w:lang w:val="en"/>
              </w:rPr>
              <w:t xml:space="preserve">actors working in the sanitation sub-sector </w:t>
            </w:r>
            <w:r w:rsidR="00F004A3" w:rsidRPr="00C342CB">
              <w:rPr>
                <w:rFonts w:asciiTheme="minorHAnsi" w:hAnsiTheme="minorHAnsi" w:cstheme="minorHAnsi"/>
                <w:lang w:val="en"/>
              </w:rPr>
              <w:t xml:space="preserve">to dispose of </w:t>
            </w:r>
            <w:r w:rsidRPr="00C342CB">
              <w:rPr>
                <w:rFonts w:asciiTheme="minorHAnsi" w:hAnsiTheme="minorHAnsi" w:cstheme="minorHAnsi"/>
                <w:lang w:val="en"/>
              </w:rPr>
              <w:t>a sanitation guide that harmonized approaches to interventions in th</w:t>
            </w:r>
            <w:r w:rsidR="00F004A3" w:rsidRPr="00C342CB">
              <w:rPr>
                <w:rFonts w:asciiTheme="minorHAnsi" w:hAnsiTheme="minorHAnsi" w:cstheme="minorHAnsi"/>
                <w:lang w:val="en"/>
              </w:rPr>
              <w:t>is</w:t>
            </w:r>
            <w:r w:rsidRPr="00C342CB">
              <w:rPr>
                <w:rFonts w:asciiTheme="minorHAnsi" w:hAnsiTheme="minorHAnsi" w:cstheme="minorHAnsi"/>
                <w:lang w:val="en"/>
              </w:rPr>
              <w:t xml:space="preserve"> field.</w:t>
            </w:r>
          </w:p>
          <w:p w14:paraId="1B57C4BC" w14:textId="77777777" w:rsidR="00700521" w:rsidRPr="00C342CB" w:rsidRDefault="00700521">
            <w:pPr>
              <w:pStyle w:val="BodyText2"/>
              <w:rPr>
                <w:rFonts w:asciiTheme="minorHAnsi" w:hAnsiTheme="minorHAnsi"/>
              </w:rPr>
            </w:pPr>
          </w:p>
        </w:tc>
      </w:tr>
      <w:tr w:rsidR="003B037A" w:rsidRPr="003C2CAB" w14:paraId="57981EA8" w14:textId="77777777" w:rsidTr="00DE7AC8">
        <w:tc>
          <w:tcPr>
            <w:tcW w:w="3060" w:type="dxa"/>
            <w:shd w:val="clear" w:color="auto" w:fill="95B3D7" w:themeFill="accent1" w:themeFillTint="99"/>
          </w:tcPr>
          <w:p w14:paraId="0E40D07D" w14:textId="77777777" w:rsidR="003B037A" w:rsidRPr="0002591C" w:rsidRDefault="003B037A">
            <w:pPr>
              <w:pStyle w:val="BodyText2"/>
              <w:rPr>
                <w:rFonts w:asciiTheme="minorHAnsi" w:hAnsiTheme="minorHAnsi"/>
                <w:b/>
                <w:lang w:val="fr-FR"/>
              </w:rPr>
            </w:pPr>
            <w:r w:rsidRPr="0002591C">
              <w:rPr>
                <w:rFonts w:asciiTheme="minorHAnsi" w:hAnsiTheme="minorHAnsi"/>
                <w:b/>
                <w:lang w:val="fr-FR"/>
              </w:rPr>
              <w:lastRenderedPageBreak/>
              <w:t>2</w:t>
            </w:r>
            <w:r w:rsidRPr="00BF7C5B">
              <w:rPr>
                <w:rFonts w:asciiTheme="minorHAnsi" w:hAnsiTheme="minorHAnsi"/>
                <w:b/>
                <w:lang w:val="fr-FR"/>
              </w:rPr>
              <w:t xml:space="preserve">. </w:t>
            </w:r>
            <w:r w:rsidR="00DE7AC8" w:rsidRPr="00C342CB">
              <w:rPr>
                <w:rFonts w:asciiTheme="minorHAnsi" w:hAnsiTheme="minorHAnsi"/>
                <w:b/>
                <w:i/>
                <w:lang w:val="fr-FR"/>
              </w:rPr>
              <w:t>D'ici à 2018, les institutions nationales, régionales et locales appuyées utilisent des systèmes et mécanismes adaptés pour la prévention/gestion des risques/catastrophes, la gestion durable de l’environnement et la sécurité alimentaire</w:t>
            </w:r>
            <w:r w:rsidRPr="00BF7C5B">
              <w:rPr>
                <w:rFonts w:asciiTheme="minorHAnsi" w:hAnsiTheme="minorHAnsi"/>
                <w:b/>
                <w:i/>
                <w:lang w:val="fr-FR"/>
              </w:rPr>
              <w:t>.</w:t>
            </w:r>
          </w:p>
        </w:tc>
        <w:tc>
          <w:tcPr>
            <w:tcW w:w="1530" w:type="dxa"/>
            <w:gridSpan w:val="2"/>
            <w:shd w:val="clear" w:color="auto" w:fill="auto"/>
          </w:tcPr>
          <w:p w14:paraId="678AF345" w14:textId="77777777" w:rsidR="003B037A" w:rsidRPr="00C342CB" w:rsidRDefault="003B037A">
            <w:pPr>
              <w:pStyle w:val="BodyText2"/>
              <w:rPr>
                <w:rFonts w:asciiTheme="minorHAnsi" w:hAnsiTheme="minorHAnsi" w:cstheme="minorHAnsi"/>
              </w:rPr>
            </w:pPr>
            <w:r w:rsidRPr="00C342CB">
              <w:rPr>
                <w:rFonts w:asciiTheme="minorHAnsi" w:hAnsiTheme="minorHAnsi" w:cstheme="minorHAnsi"/>
              </w:rPr>
              <w:t>$</w:t>
            </w:r>
            <w:r w:rsidR="002A7396" w:rsidRPr="00C342CB">
              <w:rPr>
                <w:rFonts w:asciiTheme="minorHAnsi" w:hAnsiTheme="minorHAnsi" w:cstheme="minorHAnsi"/>
              </w:rPr>
              <w:t xml:space="preserve"> 10.</w:t>
            </w:r>
            <w:r w:rsidR="004621FC" w:rsidRPr="00C342CB">
              <w:rPr>
                <w:rFonts w:asciiTheme="minorHAnsi" w:hAnsiTheme="minorHAnsi" w:cstheme="minorHAnsi"/>
              </w:rPr>
              <w:t>5</w:t>
            </w:r>
            <w:r w:rsidR="002A7396" w:rsidRPr="00C342CB">
              <w:rPr>
                <w:rFonts w:asciiTheme="minorHAnsi" w:hAnsiTheme="minorHAnsi" w:cstheme="minorHAnsi"/>
              </w:rPr>
              <w:t xml:space="preserve"> </w:t>
            </w:r>
            <w:r w:rsidR="004621FC" w:rsidRPr="00C342CB">
              <w:rPr>
                <w:rFonts w:asciiTheme="minorHAnsi" w:hAnsiTheme="minorHAnsi" w:cstheme="minorHAnsi"/>
              </w:rPr>
              <w:t>m</w:t>
            </w:r>
            <w:r w:rsidR="002A7396" w:rsidRPr="00C342CB">
              <w:rPr>
                <w:rFonts w:asciiTheme="minorHAnsi" w:hAnsiTheme="minorHAnsi" w:cstheme="minorHAnsi"/>
              </w:rPr>
              <w:t>illion</w:t>
            </w:r>
            <w:r w:rsidRPr="00C342CB">
              <w:rPr>
                <w:rFonts w:asciiTheme="minorHAnsi" w:hAnsiTheme="minorHAnsi" w:cstheme="minorHAnsi"/>
              </w:rPr>
              <w:t xml:space="preserve"> </w:t>
            </w:r>
          </w:p>
        </w:tc>
        <w:tc>
          <w:tcPr>
            <w:tcW w:w="3960" w:type="dxa"/>
            <w:tcBorders>
              <w:left w:val="single" w:sz="4" w:space="0" w:color="auto"/>
            </w:tcBorders>
          </w:tcPr>
          <w:p w14:paraId="068C95FF" w14:textId="12D9AE36" w:rsidR="00BF7C5B" w:rsidRPr="00C342CB" w:rsidRDefault="00BF7C5B" w:rsidP="00DE7AC8">
            <w:pPr>
              <w:pStyle w:val="BodyText2"/>
              <w:numPr>
                <w:ilvl w:val="0"/>
                <w:numId w:val="15"/>
              </w:numPr>
              <w:rPr>
                <w:rFonts w:asciiTheme="minorHAnsi" w:hAnsiTheme="minorHAnsi" w:cstheme="minorHAnsi"/>
                <w:i/>
              </w:rPr>
            </w:pPr>
            <w:r w:rsidRPr="00C342CB">
              <w:rPr>
                <w:rFonts w:asciiTheme="minorHAnsi" w:hAnsiTheme="minorHAnsi" w:cstheme="minorHAnsi"/>
                <w:lang w:val="en"/>
              </w:rPr>
              <w:t xml:space="preserve">financial implementation rate of projects and programs in the field of prevention and management of risks and disasters </w:t>
            </w:r>
          </w:p>
          <w:p w14:paraId="15DF270E" w14:textId="5C760382" w:rsidR="003B037A" w:rsidRPr="00C342CB" w:rsidRDefault="00BF7C5B" w:rsidP="00DE7AC8">
            <w:pPr>
              <w:pStyle w:val="BodyText2"/>
              <w:numPr>
                <w:ilvl w:val="0"/>
                <w:numId w:val="15"/>
              </w:numPr>
              <w:rPr>
                <w:rFonts w:asciiTheme="minorHAnsi" w:hAnsiTheme="minorHAnsi" w:cstheme="minorHAnsi"/>
                <w:i/>
              </w:rPr>
            </w:pPr>
            <w:r w:rsidRPr="00C342CB">
              <w:rPr>
                <w:rFonts w:asciiTheme="minorHAnsi" w:hAnsiTheme="minorHAnsi" w:cstheme="minorHAnsi"/>
                <w:lang w:val="en"/>
              </w:rPr>
              <w:t>financial implementation rate of projects and programs in the field of sustainable environmental management and the promotion of access to modern energy</w:t>
            </w:r>
          </w:p>
        </w:tc>
        <w:tc>
          <w:tcPr>
            <w:tcW w:w="5490" w:type="dxa"/>
            <w:shd w:val="clear" w:color="auto" w:fill="auto"/>
          </w:tcPr>
          <w:p w14:paraId="33F7555A" w14:textId="15D12FF4" w:rsidR="00BF7C5B" w:rsidRPr="00C342CB" w:rsidRDefault="003C2CAB">
            <w:pPr>
              <w:pStyle w:val="ListParagraph"/>
              <w:numPr>
                <w:ilvl w:val="0"/>
                <w:numId w:val="16"/>
              </w:numPr>
              <w:rPr>
                <w:rFonts w:asciiTheme="minorHAnsi" w:hAnsiTheme="minorHAnsi" w:cstheme="minorHAnsi"/>
                <w:i/>
                <w:sz w:val="20"/>
              </w:rPr>
            </w:pPr>
            <w:r w:rsidRPr="00C342CB">
              <w:rPr>
                <w:rFonts w:asciiTheme="minorHAnsi" w:hAnsiTheme="minorHAnsi" w:cstheme="minorHAnsi"/>
                <w:sz w:val="20"/>
                <w:lang w:val="en"/>
              </w:rPr>
              <w:t>The financial implementation rate of projects and programs in the field of prevention and management of risks and disasters is fluctuating: 2014 = 75.7%; 2015 = 59%; 2016 = 40%; 2017 = 68.16%</w:t>
            </w:r>
          </w:p>
          <w:p w14:paraId="27D954D4" w14:textId="6EDFFD61" w:rsidR="003C2CAB" w:rsidRPr="00C342CB" w:rsidRDefault="003C2CAB">
            <w:pPr>
              <w:pStyle w:val="ListParagraph"/>
              <w:numPr>
                <w:ilvl w:val="0"/>
                <w:numId w:val="16"/>
              </w:numPr>
              <w:rPr>
                <w:rFonts w:asciiTheme="minorHAnsi" w:hAnsiTheme="minorHAnsi" w:cstheme="minorHAnsi"/>
                <w:i/>
                <w:sz w:val="20"/>
              </w:rPr>
            </w:pPr>
            <w:r w:rsidRPr="00C342CB">
              <w:rPr>
                <w:rFonts w:asciiTheme="minorHAnsi" w:hAnsiTheme="minorHAnsi" w:cstheme="minorHAnsi"/>
                <w:sz w:val="20"/>
                <w:lang w:val="en"/>
              </w:rPr>
              <w:t>The financial implementation rate of projects and programs in the field of sustainable environmental management and the promotion of access to modern energy: 2014 = 83%; 2015 = 63% in 2015; and 2017 = 44% in 2017</w:t>
            </w:r>
          </w:p>
        </w:tc>
      </w:tr>
      <w:tr w:rsidR="00700521" w:rsidRPr="00482765" w14:paraId="78CE6EBB" w14:textId="77777777" w:rsidTr="00DE7AC8">
        <w:tc>
          <w:tcPr>
            <w:tcW w:w="14040" w:type="dxa"/>
            <w:gridSpan w:val="5"/>
          </w:tcPr>
          <w:p w14:paraId="01DD047A" w14:textId="77777777" w:rsidR="00700521" w:rsidRPr="00C342CB" w:rsidRDefault="00700521" w:rsidP="00366AD1">
            <w:pPr>
              <w:pStyle w:val="BodyText2"/>
              <w:rPr>
                <w:rFonts w:asciiTheme="minorHAnsi" w:hAnsiTheme="minorHAnsi" w:cstheme="minorHAnsi"/>
                <w:b/>
              </w:rPr>
            </w:pPr>
            <w:r w:rsidRPr="00C342CB">
              <w:rPr>
                <w:rFonts w:asciiTheme="minorHAnsi" w:hAnsiTheme="minorHAnsi" w:cstheme="minorHAnsi"/>
                <w:b/>
              </w:rPr>
              <w:t>UNDP Contribution:</w:t>
            </w:r>
          </w:p>
          <w:p w14:paraId="17016FF3" w14:textId="77777777" w:rsidR="008B06DD" w:rsidRPr="00C342CB" w:rsidRDefault="008B06DD" w:rsidP="00366AD1">
            <w:pPr>
              <w:pStyle w:val="BodyText2"/>
              <w:rPr>
                <w:rFonts w:asciiTheme="minorHAnsi" w:hAnsiTheme="minorHAnsi" w:cstheme="minorHAnsi"/>
                <w:u w:val="single"/>
              </w:rPr>
            </w:pPr>
          </w:p>
          <w:p w14:paraId="2D307687" w14:textId="77777777" w:rsidR="008B06DD" w:rsidRPr="00C342CB" w:rsidRDefault="008B06DD" w:rsidP="00612159">
            <w:pPr>
              <w:pStyle w:val="BodyText2"/>
              <w:rPr>
                <w:rFonts w:asciiTheme="minorHAnsi" w:hAnsiTheme="minorHAnsi" w:cstheme="minorHAnsi"/>
              </w:rPr>
            </w:pPr>
            <w:r w:rsidRPr="00C342CB">
              <w:rPr>
                <w:rFonts w:asciiTheme="minorHAnsi" w:hAnsiTheme="minorHAnsi" w:cstheme="minorHAnsi"/>
                <w:u w:val="single"/>
              </w:rPr>
              <w:t>CP Outputs</w:t>
            </w:r>
            <w:r w:rsidR="00845340" w:rsidRPr="00C342CB">
              <w:rPr>
                <w:rFonts w:asciiTheme="minorHAnsi" w:hAnsiTheme="minorHAnsi" w:cstheme="minorHAnsi"/>
              </w:rPr>
              <w:t>:</w:t>
            </w:r>
          </w:p>
          <w:p w14:paraId="27BAE34A" w14:textId="7EE74710" w:rsidR="004D28B9" w:rsidRPr="00C342CB" w:rsidRDefault="00482765" w:rsidP="00C342CB">
            <w:pPr>
              <w:pStyle w:val="BodyText2"/>
              <w:jc w:val="both"/>
              <w:rPr>
                <w:rFonts w:asciiTheme="minorHAnsi" w:hAnsiTheme="minorHAnsi" w:cstheme="minorHAnsi"/>
              </w:rPr>
            </w:pPr>
            <w:r w:rsidRPr="00C342CB">
              <w:rPr>
                <w:rFonts w:asciiTheme="minorHAnsi" w:hAnsiTheme="minorHAnsi" w:cstheme="minorHAnsi"/>
                <w:lang w:val="en"/>
              </w:rPr>
              <w:t xml:space="preserve">The CPD identified two major products </w:t>
            </w:r>
            <w:r w:rsidR="00BF7C5B" w:rsidRPr="00C342CB">
              <w:rPr>
                <w:rFonts w:asciiTheme="minorHAnsi" w:hAnsiTheme="minorHAnsi" w:cstheme="minorHAnsi"/>
                <w:lang w:val="en"/>
              </w:rPr>
              <w:t xml:space="preserve">to contribute to this </w:t>
            </w:r>
            <w:r w:rsidRPr="00C342CB">
              <w:rPr>
                <w:rFonts w:asciiTheme="minorHAnsi" w:hAnsiTheme="minorHAnsi" w:cstheme="minorHAnsi"/>
                <w:lang w:val="en"/>
              </w:rPr>
              <w:t xml:space="preserve">government </w:t>
            </w:r>
            <w:r w:rsidR="00BF7C5B" w:rsidRPr="00C342CB">
              <w:rPr>
                <w:rFonts w:asciiTheme="minorHAnsi" w:hAnsiTheme="minorHAnsi" w:cstheme="minorHAnsi"/>
                <w:lang w:val="en"/>
              </w:rPr>
              <w:t>outcome</w:t>
            </w:r>
            <w:r w:rsidRPr="00C342CB">
              <w:rPr>
                <w:rFonts w:asciiTheme="minorHAnsi" w:hAnsiTheme="minorHAnsi" w:cstheme="minorHAnsi"/>
                <w:lang w:val="en"/>
              </w:rPr>
              <w:t>: (a) Policies, strategies and action plans (food security, sustainable land management, climate change, biodiversity, energy) are formulated and implemented with the support of targeted expertise; and (b) National, regional and local institutions in charge of the DNPGCCA have appropriate disaster risk prevention and management capabilities to develop annual plans.</w:t>
            </w:r>
          </w:p>
          <w:p w14:paraId="65ED2DFF" w14:textId="77777777" w:rsidR="00482765" w:rsidRPr="00C342CB" w:rsidRDefault="00482765" w:rsidP="004D28B9">
            <w:pPr>
              <w:pStyle w:val="BodyText2"/>
              <w:rPr>
                <w:rFonts w:asciiTheme="minorHAnsi" w:hAnsiTheme="minorHAnsi" w:cstheme="minorHAnsi"/>
              </w:rPr>
            </w:pPr>
          </w:p>
          <w:p w14:paraId="47AE536B" w14:textId="77777777" w:rsidR="00700521" w:rsidRPr="00C342CB" w:rsidRDefault="008B06DD" w:rsidP="00D9192E">
            <w:pPr>
              <w:pStyle w:val="BodyText2"/>
              <w:rPr>
                <w:rFonts w:asciiTheme="minorHAnsi" w:hAnsiTheme="minorHAnsi" w:cstheme="minorHAnsi"/>
              </w:rPr>
            </w:pPr>
            <w:r w:rsidRPr="00C342CB">
              <w:rPr>
                <w:rFonts w:asciiTheme="minorHAnsi" w:hAnsiTheme="minorHAnsi" w:cstheme="minorHAnsi"/>
                <w:u w:val="single"/>
              </w:rPr>
              <w:t>Progress and Achievements</w:t>
            </w:r>
            <w:r w:rsidR="00845340" w:rsidRPr="00C342CB">
              <w:rPr>
                <w:rFonts w:asciiTheme="minorHAnsi" w:hAnsiTheme="minorHAnsi" w:cstheme="minorHAnsi"/>
              </w:rPr>
              <w:t>:</w:t>
            </w:r>
          </w:p>
          <w:p w14:paraId="4B3A94F4" w14:textId="1220159E" w:rsidR="00976324" w:rsidRPr="00C342CB" w:rsidRDefault="00976324" w:rsidP="00C342CB">
            <w:pPr>
              <w:pStyle w:val="BodyText2"/>
              <w:numPr>
                <w:ilvl w:val="0"/>
                <w:numId w:val="30"/>
              </w:numPr>
              <w:spacing w:before="120"/>
              <w:ind w:left="357" w:hanging="357"/>
              <w:jc w:val="both"/>
              <w:rPr>
                <w:rFonts w:asciiTheme="minorHAnsi" w:hAnsiTheme="minorHAnsi" w:cstheme="minorHAnsi"/>
                <w:lang w:val="en"/>
              </w:rPr>
            </w:pPr>
            <w:r w:rsidRPr="00C342CB">
              <w:rPr>
                <w:rFonts w:asciiTheme="minorHAnsi" w:hAnsiTheme="minorHAnsi" w:cstheme="minorHAnsi"/>
                <w:lang w:val="en"/>
              </w:rPr>
              <w:t xml:space="preserve">Strengthening the technical capacities of national and local structures enabled them to </w:t>
            </w:r>
            <w:proofErr w:type="spellStart"/>
            <w:r w:rsidRPr="00C342CB">
              <w:rPr>
                <w:rFonts w:asciiTheme="minorHAnsi" w:hAnsiTheme="minorHAnsi" w:cstheme="minorHAnsi"/>
                <w:lang w:val="en"/>
              </w:rPr>
              <w:t>i</w:t>
            </w:r>
            <w:proofErr w:type="spellEnd"/>
            <w:r w:rsidRPr="00C342CB">
              <w:rPr>
                <w:rFonts w:asciiTheme="minorHAnsi" w:hAnsiTheme="minorHAnsi" w:cstheme="minorHAnsi"/>
                <w:lang w:val="en"/>
              </w:rPr>
              <w:t>) conduct post-flood needs assessments and recovery planning, ii) develop 4 regional strategies, and iii) mainstream disaster risk reduction into 8 Regional Development Plans. The establishment of an institutional framework for post-disaster recovery and the development of a national strategy sensitive to gender allowed to harmonize the planning and implementation of interventions, taking into account the Humanitarian-Development nexus.</w:t>
            </w:r>
          </w:p>
          <w:p w14:paraId="294FE344" w14:textId="71653BFB" w:rsidR="004D28B9" w:rsidRPr="00C342CB" w:rsidRDefault="00482765" w:rsidP="00C342CB">
            <w:pPr>
              <w:pStyle w:val="BodyText2"/>
              <w:numPr>
                <w:ilvl w:val="0"/>
                <w:numId w:val="30"/>
              </w:numPr>
              <w:spacing w:before="120"/>
              <w:ind w:left="357" w:hanging="357"/>
              <w:jc w:val="both"/>
              <w:rPr>
                <w:rFonts w:asciiTheme="minorHAnsi" w:hAnsiTheme="minorHAnsi" w:cstheme="minorHAnsi"/>
              </w:rPr>
            </w:pPr>
            <w:r w:rsidRPr="00C342CB">
              <w:rPr>
                <w:rFonts w:asciiTheme="minorHAnsi" w:hAnsiTheme="minorHAnsi" w:cstheme="minorHAnsi"/>
                <w:lang w:val="en"/>
              </w:rPr>
              <w:t>The formulation and submission of the document of the 4th National Communication to the Global Environment Facility allowed Niger to be among the first countries to fulfill their commitments to the UN Framework Convention</w:t>
            </w:r>
            <w:r w:rsidR="0043502B" w:rsidRPr="00C342CB">
              <w:rPr>
                <w:rFonts w:asciiTheme="minorHAnsi" w:hAnsiTheme="minorHAnsi" w:cstheme="minorHAnsi"/>
                <w:lang w:val="en"/>
              </w:rPr>
              <w:t xml:space="preserve"> on Climate change</w:t>
            </w:r>
            <w:r w:rsidRPr="00C342CB">
              <w:rPr>
                <w:rFonts w:asciiTheme="minorHAnsi" w:hAnsiTheme="minorHAnsi" w:cstheme="minorHAnsi"/>
                <w:lang w:val="en"/>
              </w:rPr>
              <w:t>. Advocacy and financial assistance from UNDP facilitated the development and implementation of the Climate Change Learning Strategy</w:t>
            </w:r>
            <w:r w:rsidR="00976324">
              <w:rPr>
                <w:rFonts w:asciiTheme="minorHAnsi" w:hAnsiTheme="minorHAnsi" w:cstheme="minorHAnsi"/>
                <w:lang w:val="en"/>
              </w:rPr>
              <w:t>.</w:t>
            </w:r>
            <w:r w:rsidRPr="00C342CB">
              <w:rPr>
                <w:rFonts w:asciiTheme="minorHAnsi" w:hAnsiTheme="minorHAnsi" w:cstheme="minorHAnsi"/>
                <w:lang w:val="en"/>
              </w:rPr>
              <w:t xml:space="preserve"> This </w:t>
            </w:r>
            <w:r w:rsidR="0043502B" w:rsidRPr="00C342CB">
              <w:rPr>
                <w:rFonts w:asciiTheme="minorHAnsi" w:hAnsiTheme="minorHAnsi" w:cstheme="minorHAnsi"/>
                <w:lang w:val="en"/>
              </w:rPr>
              <w:t>contributed to</w:t>
            </w:r>
            <w:r w:rsidRPr="00C342CB">
              <w:rPr>
                <w:rFonts w:asciiTheme="minorHAnsi" w:hAnsiTheme="minorHAnsi" w:cstheme="minorHAnsi"/>
                <w:lang w:val="en"/>
              </w:rPr>
              <w:t xml:space="preserve"> strengthen</w:t>
            </w:r>
            <w:r w:rsidR="0043502B" w:rsidRPr="00C342CB">
              <w:rPr>
                <w:rFonts w:asciiTheme="minorHAnsi" w:hAnsiTheme="minorHAnsi" w:cstheme="minorHAnsi"/>
                <w:lang w:val="en"/>
              </w:rPr>
              <w:t>ing</w:t>
            </w:r>
            <w:r w:rsidRPr="00C342CB">
              <w:rPr>
                <w:rFonts w:asciiTheme="minorHAnsi" w:hAnsiTheme="minorHAnsi" w:cstheme="minorHAnsi"/>
                <w:lang w:val="en"/>
              </w:rPr>
              <w:t xml:space="preserve"> ongoing advocacy / training efforts on good practices to combat </w:t>
            </w:r>
            <w:r w:rsidR="0043502B" w:rsidRPr="00C342CB">
              <w:rPr>
                <w:rFonts w:asciiTheme="minorHAnsi" w:hAnsiTheme="minorHAnsi" w:cstheme="minorHAnsi"/>
                <w:lang w:val="en"/>
              </w:rPr>
              <w:t>adverse</w:t>
            </w:r>
            <w:r w:rsidRPr="00C342CB">
              <w:rPr>
                <w:rFonts w:asciiTheme="minorHAnsi" w:hAnsiTheme="minorHAnsi" w:cstheme="minorHAnsi"/>
                <w:lang w:val="en"/>
              </w:rPr>
              <w:t xml:space="preserve"> effects of climate change. The introduction of sustainable resource management measures of the </w:t>
            </w:r>
            <w:proofErr w:type="spellStart"/>
            <w:r w:rsidRPr="00C342CB">
              <w:rPr>
                <w:rFonts w:asciiTheme="minorHAnsi" w:hAnsiTheme="minorHAnsi" w:cstheme="minorHAnsi"/>
                <w:lang w:val="en"/>
              </w:rPr>
              <w:t>Gadabédji</w:t>
            </w:r>
            <w:proofErr w:type="spellEnd"/>
            <w:r w:rsidRPr="00C342CB">
              <w:rPr>
                <w:rFonts w:asciiTheme="minorHAnsi" w:hAnsiTheme="minorHAnsi" w:cstheme="minorHAnsi"/>
                <w:lang w:val="en"/>
              </w:rPr>
              <w:t xml:space="preserve"> Wildlife Reserve (wildlife management, monitoring) </w:t>
            </w:r>
            <w:r w:rsidR="0043502B" w:rsidRPr="00C342CB">
              <w:rPr>
                <w:rFonts w:asciiTheme="minorHAnsi" w:hAnsiTheme="minorHAnsi" w:cstheme="minorHAnsi"/>
                <w:lang w:val="en"/>
              </w:rPr>
              <w:lastRenderedPageBreak/>
              <w:t>resulted in</w:t>
            </w:r>
            <w:r w:rsidRPr="00C342CB">
              <w:rPr>
                <w:rFonts w:asciiTheme="minorHAnsi" w:hAnsiTheme="minorHAnsi" w:cstheme="minorHAnsi"/>
                <w:lang w:val="en"/>
              </w:rPr>
              <w:t xml:space="preserve"> giv</w:t>
            </w:r>
            <w:r w:rsidR="0043502B" w:rsidRPr="00C342CB">
              <w:rPr>
                <w:rFonts w:asciiTheme="minorHAnsi" w:hAnsiTheme="minorHAnsi" w:cstheme="minorHAnsi"/>
                <w:lang w:val="en"/>
              </w:rPr>
              <w:t xml:space="preserve">ing the reserve, </w:t>
            </w:r>
            <w:r w:rsidRPr="00C342CB">
              <w:rPr>
                <w:rFonts w:asciiTheme="minorHAnsi" w:hAnsiTheme="minorHAnsi" w:cstheme="minorHAnsi"/>
                <w:lang w:val="en"/>
              </w:rPr>
              <w:t>the UNESCO "Biosphere Reserve" label, with all the related benefits (biodiversity, ecotourism).</w:t>
            </w:r>
            <w:r w:rsidRPr="00C342CB">
              <w:rPr>
                <w:rFonts w:asciiTheme="minorHAnsi" w:hAnsiTheme="minorHAnsi" w:cstheme="minorHAnsi"/>
                <w:lang w:val="en"/>
              </w:rPr>
              <w:br/>
            </w:r>
          </w:p>
        </w:tc>
      </w:tr>
      <w:tr w:rsidR="00DE7AC8" w:rsidRPr="005F4959" w14:paraId="5ED9FF1A" w14:textId="77777777" w:rsidTr="00DE7AC8">
        <w:tc>
          <w:tcPr>
            <w:tcW w:w="3060" w:type="dxa"/>
            <w:shd w:val="clear" w:color="auto" w:fill="95B3D7" w:themeFill="accent1" w:themeFillTint="99"/>
          </w:tcPr>
          <w:p w14:paraId="227B03A2" w14:textId="7464F3E3" w:rsidR="00DE7AC8" w:rsidRPr="0002591C" w:rsidRDefault="00DE7AC8" w:rsidP="00DA64AA">
            <w:pPr>
              <w:pStyle w:val="BodyText2"/>
              <w:rPr>
                <w:rFonts w:asciiTheme="minorHAnsi" w:hAnsiTheme="minorHAnsi"/>
                <w:b/>
                <w:lang w:val="fr-FR"/>
              </w:rPr>
            </w:pPr>
            <w:r w:rsidRPr="00711D38">
              <w:rPr>
                <w:rFonts w:asciiTheme="minorHAnsi" w:hAnsiTheme="minorHAnsi"/>
                <w:b/>
                <w:lang w:val="fr-FR"/>
              </w:rPr>
              <w:lastRenderedPageBreak/>
              <w:t xml:space="preserve">3. </w:t>
            </w:r>
            <w:r w:rsidR="00410443" w:rsidRPr="00C342CB">
              <w:rPr>
                <w:rFonts w:asciiTheme="minorHAnsi" w:hAnsiTheme="minorHAnsi"/>
                <w:b/>
                <w:i/>
                <w:lang w:val="fr-FR"/>
              </w:rPr>
              <w:t xml:space="preserve">D’ici à 2018, les institutions </w:t>
            </w:r>
            <w:r w:rsidR="002C21C6" w:rsidRPr="00C342CB">
              <w:rPr>
                <w:rFonts w:asciiTheme="minorHAnsi" w:hAnsiTheme="minorHAnsi"/>
                <w:b/>
                <w:i/>
                <w:lang w:val="fr-FR"/>
              </w:rPr>
              <w:t>n</w:t>
            </w:r>
            <w:r w:rsidR="00410443" w:rsidRPr="00C342CB">
              <w:rPr>
                <w:rFonts w:asciiTheme="minorHAnsi" w:hAnsiTheme="minorHAnsi"/>
                <w:b/>
                <w:i/>
                <w:lang w:val="fr-FR"/>
              </w:rPr>
              <w:t>ationales et locales, les communautés et les groupes ciblés sont dotés de capacités pour assurer la bonne gouvernance et l’état de droit</w:t>
            </w:r>
            <w:r w:rsidR="00410443" w:rsidRPr="0002591C">
              <w:rPr>
                <w:rFonts w:asciiTheme="minorHAnsi" w:hAnsiTheme="minorHAnsi"/>
                <w:b/>
                <w:i/>
                <w:color w:val="FF0000"/>
                <w:lang w:val="fr-FR"/>
              </w:rPr>
              <w:t>.</w:t>
            </w:r>
          </w:p>
        </w:tc>
        <w:tc>
          <w:tcPr>
            <w:tcW w:w="1530" w:type="dxa"/>
            <w:gridSpan w:val="2"/>
            <w:shd w:val="clear" w:color="auto" w:fill="auto"/>
          </w:tcPr>
          <w:p w14:paraId="64470F87" w14:textId="77777777" w:rsidR="00DE7AC8" w:rsidRPr="00DC7354" w:rsidRDefault="00DE7AC8" w:rsidP="00DA64AA">
            <w:pPr>
              <w:pStyle w:val="BodyText2"/>
              <w:rPr>
                <w:rFonts w:asciiTheme="minorHAnsi" w:hAnsiTheme="minorHAnsi"/>
              </w:rPr>
            </w:pPr>
            <w:r w:rsidRPr="00DC7354">
              <w:rPr>
                <w:rFonts w:asciiTheme="minorHAnsi" w:hAnsiTheme="minorHAnsi"/>
              </w:rPr>
              <w:t>$</w:t>
            </w:r>
            <w:r w:rsidR="002A7396">
              <w:rPr>
                <w:rFonts w:asciiTheme="minorHAnsi" w:hAnsiTheme="minorHAnsi"/>
              </w:rPr>
              <w:t xml:space="preserve"> </w:t>
            </w:r>
            <w:r w:rsidRPr="00DC7354">
              <w:rPr>
                <w:rFonts w:asciiTheme="minorHAnsi" w:hAnsiTheme="minorHAnsi"/>
              </w:rPr>
              <w:t>1</w:t>
            </w:r>
            <w:r w:rsidR="002A7396">
              <w:rPr>
                <w:rFonts w:asciiTheme="minorHAnsi" w:hAnsiTheme="minorHAnsi"/>
              </w:rPr>
              <w:t>9</w:t>
            </w:r>
            <w:r w:rsidRPr="00DC7354">
              <w:rPr>
                <w:rFonts w:asciiTheme="minorHAnsi" w:hAnsiTheme="minorHAnsi"/>
              </w:rPr>
              <w:t>.</w:t>
            </w:r>
            <w:r w:rsidR="004621FC">
              <w:rPr>
                <w:rFonts w:asciiTheme="minorHAnsi" w:hAnsiTheme="minorHAnsi"/>
              </w:rPr>
              <w:t>5</w:t>
            </w:r>
            <w:r w:rsidRPr="00DC7354">
              <w:rPr>
                <w:rFonts w:asciiTheme="minorHAnsi" w:hAnsiTheme="minorHAnsi"/>
              </w:rPr>
              <w:t xml:space="preserve"> million</w:t>
            </w:r>
          </w:p>
        </w:tc>
        <w:tc>
          <w:tcPr>
            <w:tcW w:w="3960" w:type="dxa"/>
            <w:tcBorders>
              <w:left w:val="single" w:sz="4" w:space="0" w:color="auto"/>
            </w:tcBorders>
          </w:tcPr>
          <w:p w14:paraId="43D64517" w14:textId="77777777" w:rsidR="00C769D5" w:rsidRPr="00C342CB" w:rsidRDefault="0091689C" w:rsidP="00C342CB">
            <w:pPr>
              <w:pStyle w:val="BodyText2"/>
              <w:numPr>
                <w:ilvl w:val="0"/>
                <w:numId w:val="33"/>
              </w:numPr>
              <w:spacing w:before="60"/>
              <w:rPr>
                <w:rFonts w:asciiTheme="minorHAnsi" w:hAnsiTheme="minorHAnsi" w:cstheme="minorHAnsi"/>
                <w:i/>
              </w:rPr>
            </w:pPr>
            <w:r w:rsidRPr="00C342CB">
              <w:rPr>
                <w:rFonts w:asciiTheme="minorHAnsi" w:hAnsiTheme="minorHAnsi" w:cstheme="minorHAnsi"/>
                <w:i/>
                <w:lang w:val="en"/>
              </w:rPr>
              <w:t>% of key democratic institutions - Parliament, Mediator, Higher Communication Council, National Council for Political Dialogue (CNDP), Constitutional Court, National Commission for the Human Rights of Fundamental Freedoms (CNDHLF), Court of Auditors, High Authority at Peacebuilding (HACP) and National Commission for Social Dialogue (CNDS) - with a</w:t>
            </w:r>
            <w:r w:rsidR="00C769D5" w:rsidRPr="00C342CB">
              <w:rPr>
                <w:rFonts w:asciiTheme="minorHAnsi" w:hAnsiTheme="minorHAnsi" w:cstheme="minorHAnsi"/>
                <w:i/>
                <w:lang w:val="en"/>
              </w:rPr>
              <w:t>n</w:t>
            </w:r>
            <w:r w:rsidRPr="00C342CB">
              <w:rPr>
                <w:rFonts w:asciiTheme="minorHAnsi" w:hAnsiTheme="minorHAnsi" w:cstheme="minorHAnsi"/>
                <w:i/>
                <w:lang w:val="en"/>
              </w:rPr>
              <w:t xml:space="preserve"> operational activities</w:t>
            </w:r>
            <w:r w:rsidR="00C769D5" w:rsidRPr="00C342CB">
              <w:rPr>
                <w:rFonts w:asciiTheme="minorHAnsi" w:hAnsiTheme="minorHAnsi" w:cstheme="minorHAnsi"/>
                <w:i/>
                <w:lang w:val="en"/>
              </w:rPr>
              <w:t xml:space="preserve"> program</w:t>
            </w:r>
          </w:p>
          <w:p w14:paraId="679B3DDE" w14:textId="77777777" w:rsidR="00C769D5" w:rsidRPr="00C342CB" w:rsidRDefault="0091689C" w:rsidP="00C342CB">
            <w:pPr>
              <w:pStyle w:val="BodyText2"/>
              <w:numPr>
                <w:ilvl w:val="0"/>
                <w:numId w:val="33"/>
              </w:numPr>
              <w:spacing w:before="60"/>
              <w:rPr>
                <w:rFonts w:asciiTheme="minorHAnsi" w:hAnsiTheme="minorHAnsi" w:cstheme="minorHAnsi"/>
                <w:i/>
              </w:rPr>
            </w:pPr>
            <w:r w:rsidRPr="00C342CB">
              <w:rPr>
                <w:rFonts w:asciiTheme="minorHAnsi" w:hAnsiTheme="minorHAnsi" w:cstheme="minorHAnsi"/>
                <w:i/>
                <w:lang w:val="en"/>
              </w:rPr>
              <w:t>% of sectoral expenditures integrated in the overall medium-term expenditure framework.</w:t>
            </w:r>
          </w:p>
          <w:p w14:paraId="2BBE0F6C" w14:textId="3185120A" w:rsidR="0091689C" w:rsidRPr="00C342CB" w:rsidRDefault="0091689C" w:rsidP="00C342CB">
            <w:pPr>
              <w:pStyle w:val="BodyText2"/>
              <w:numPr>
                <w:ilvl w:val="0"/>
                <w:numId w:val="33"/>
              </w:numPr>
              <w:spacing w:before="60"/>
              <w:rPr>
                <w:rFonts w:asciiTheme="minorHAnsi" w:hAnsiTheme="minorHAnsi"/>
                <w:i/>
              </w:rPr>
            </w:pPr>
            <w:r w:rsidRPr="00C342CB">
              <w:rPr>
                <w:rFonts w:asciiTheme="minorHAnsi" w:hAnsiTheme="minorHAnsi" w:cstheme="minorHAnsi"/>
                <w:i/>
                <w:lang w:val="en"/>
              </w:rPr>
              <w:t>Rank of Niger / Corruption Index (Transparency Internationa</w:t>
            </w:r>
            <w:r w:rsidR="00C769D5" w:rsidRPr="00C342CB">
              <w:rPr>
                <w:rFonts w:asciiTheme="minorHAnsi" w:hAnsiTheme="minorHAnsi" w:cstheme="minorHAnsi"/>
                <w:i/>
                <w:lang w:val="en"/>
              </w:rPr>
              <w:t>l)</w:t>
            </w:r>
          </w:p>
        </w:tc>
        <w:tc>
          <w:tcPr>
            <w:tcW w:w="5490" w:type="dxa"/>
            <w:shd w:val="clear" w:color="auto" w:fill="auto"/>
          </w:tcPr>
          <w:p w14:paraId="35626A04" w14:textId="77777777" w:rsidR="00DE7AC8" w:rsidRPr="00C342CB" w:rsidRDefault="00D95096" w:rsidP="0093095F">
            <w:pPr>
              <w:pStyle w:val="BodyText2"/>
              <w:numPr>
                <w:ilvl w:val="0"/>
                <w:numId w:val="18"/>
              </w:numPr>
              <w:rPr>
                <w:rFonts w:asciiTheme="minorHAnsi" w:hAnsiTheme="minorHAnsi"/>
                <w:lang w:val="fr-FR"/>
              </w:rPr>
            </w:pPr>
            <w:r w:rsidRPr="00C342CB">
              <w:rPr>
                <w:rFonts w:asciiTheme="minorHAnsi" w:hAnsiTheme="minorHAnsi"/>
                <w:lang w:val="fr-FR"/>
              </w:rPr>
              <w:t>2</w:t>
            </w:r>
            <w:r w:rsidR="0093095F" w:rsidRPr="00C342CB">
              <w:rPr>
                <w:rFonts w:asciiTheme="minorHAnsi" w:hAnsiTheme="minorHAnsi"/>
                <w:lang w:val="fr-FR"/>
              </w:rPr>
              <w:t>013</w:t>
            </w:r>
            <w:r w:rsidRPr="00C342CB">
              <w:rPr>
                <w:rFonts w:asciiTheme="minorHAnsi" w:hAnsiTheme="minorHAnsi"/>
                <w:lang w:val="fr-FR"/>
              </w:rPr>
              <w:t xml:space="preserve"> =</w:t>
            </w:r>
            <w:r w:rsidR="0093095F" w:rsidRPr="00C342CB">
              <w:rPr>
                <w:rFonts w:asciiTheme="minorHAnsi" w:hAnsiTheme="minorHAnsi"/>
                <w:lang w:val="fr-FR"/>
              </w:rPr>
              <w:t xml:space="preserve"> </w:t>
            </w:r>
            <w:r w:rsidRPr="00C342CB">
              <w:rPr>
                <w:rFonts w:asciiTheme="minorHAnsi" w:hAnsiTheme="minorHAnsi"/>
                <w:lang w:val="fr-FR"/>
              </w:rPr>
              <w:t>45,4% (</w:t>
            </w:r>
            <w:r w:rsidR="0093095F" w:rsidRPr="00C342CB">
              <w:rPr>
                <w:rFonts w:asciiTheme="minorHAnsi" w:hAnsiTheme="minorHAnsi"/>
                <w:lang w:val="fr-FR"/>
              </w:rPr>
              <w:t>5 sur 11</w:t>
            </w:r>
            <w:r w:rsidRPr="00C342CB">
              <w:rPr>
                <w:rFonts w:asciiTheme="minorHAnsi" w:hAnsiTheme="minorHAnsi"/>
                <w:lang w:val="fr-FR"/>
              </w:rPr>
              <w:t>) ;</w:t>
            </w:r>
            <w:r w:rsidR="00DE7AC8" w:rsidRPr="00C342CB">
              <w:rPr>
                <w:rFonts w:asciiTheme="minorHAnsi" w:hAnsiTheme="minorHAnsi"/>
                <w:lang w:val="fr-FR"/>
              </w:rPr>
              <w:t xml:space="preserve"> </w:t>
            </w:r>
            <w:r w:rsidR="0093095F" w:rsidRPr="00C342CB">
              <w:rPr>
                <w:rFonts w:asciiTheme="minorHAnsi" w:hAnsiTheme="minorHAnsi"/>
                <w:lang w:val="fr-FR"/>
              </w:rPr>
              <w:t xml:space="preserve">2014 </w:t>
            </w:r>
            <w:r w:rsidRPr="00C342CB">
              <w:rPr>
                <w:rFonts w:asciiTheme="minorHAnsi" w:hAnsiTheme="minorHAnsi"/>
                <w:lang w:val="fr-FR"/>
              </w:rPr>
              <w:t>= 63.6%</w:t>
            </w:r>
            <w:r w:rsidR="0093095F" w:rsidRPr="00C342CB">
              <w:rPr>
                <w:rFonts w:asciiTheme="minorHAnsi" w:hAnsiTheme="minorHAnsi"/>
                <w:lang w:val="fr-FR"/>
              </w:rPr>
              <w:t xml:space="preserve"> (7 sur 11 :</w:t>
            </w:r>
            <w:r w:rsidRPr="00C342CB">
              <w:rPr>
                <w:rFonts w:asciiTheme="minorHAnsi" w:hAnsiTheme="minorHAnsi"/>
                <w:lang w:val="fr-FR"/>
              </w:rPr>
              <w:t>) ;</w:t>
            </w:r>
            <w:r w:rsidR="0093095F" w:rsidRPr="00C342CB">
              <w:rPr>
                <w:rFonts w:asciiTheme="minorHAnsi" w:hAnsiTheme="minorHAnsi"/>
                <w:lang w:val="fr-FR"/>
              </w:rPr>
              <w:t xml:space="preserve"> 2016</w:t>
            </w:r>
            <w:r w:rsidRPr="00C342CB">
              <w:rPr>
                <w:rFonts w:asciiTheme="minorHAnsi" w:hAnsiTheme="minorHAnsi"/>
                <w:lang w:val="fr-FR"/>
              </w:rPr>
              <w:t xml:space="preserve"> = 72,73</w:t>
            </w:r>
            <w:proofErr w:type="gramStart"/>
            <w:r w:rsidRPr="00C342CB">
              <w:rPr>
                <w:rFonts w:asciiTheme="minorHAnsi" w:hAnsiTheme="minorHAnsi"/>
                <w:lang w:val="fr-FR"/>
              </w:rPr>
              <w:t>%)  (</w:t>
            </w:r>
            <w:proofErr w:type="gramEnd"/>
            <w:r w:rsidR="0093095F" w:rsidRPr="00C342CB">
              <w:rPr>
                <w:rFonts w:asciiTheme="minorHAnsi" w:hAnsiTheme="minorHAnsi"/>
                <w:lang w:val="fr-FR"/>
              </w:rPr>
              <w:t>8 sur 11</w:t>
            </w:r>
            <w:r w:rsidRPr="00C342CB">
              <w:rPr>
                <w:rFonts w:asciiTheme="minorHAnsi" w:hAnsiTheme="minorHAnsi"/>
                <w:lang w:val="fr-FR"/>
              </w:rPr>
              <w:t xml:space="preserve">) ; </w:t>
            </w:r>
            <w:r w:rsidR="00436143" w:rsidRPr="00C342CB">
              <w:rPr>
                <w:rFonts w:asciiTheme="minorHAnsi" w:hAnsiTheme="minorHAnsi"/>
                <w:lang w:val="fr-FR"/>
              </w:rPr>
              <w:t xml:space="preserve">2017 </w:t>
            </w:r>
            <w:r w:rsidRPr="00C342CB">
              <w:rPr>
                <w:rFonts w:asciiTheme="minorHAnsi" w:hAnsiTheme="minorHAnsi"/>
                <w:lang w:val="fr-FR"/>
              </w:rPr>
              <w:t>=</w:t>
            </w:r>
            <w:r w:rsidR="00436143" w:rsidRPr="00C342CB">
              <w:rPr>
                <w:rFonts w:asciiTheme="minorHAnsi" w:hAnsiTheme="minorHAnsi"/>
                <w:lang w:val="fr-FR"/>
              </w:rPr>
              <w:t xml:space="preserve"> 87,5% (8 sur 9)</w:t>
            </w:r>
            <w:r w:rsidR="00DE7AC8" w:rsidRPr="00C342CB">
              <w:rPr>
                <w:rFonts w:asciiTheme="minorHAnsi" w:hAnsiTheme="minorHAnsi"/>
                <w:lang w:val="fr-FR"/>
              </w:rPr>
              <w:t>.</w:t>
            </w:r>
          </w:p>
          <w:p w14:paraId="1B89F5BF" w14:textId="77777777" w:rsidR="0093095F" w:rsidRPr="00C342CB" w:rsidRDefault="00D95096" w:rsidP="00410443">
            <w:pPr>
              <w:pStyle w:val="BodyText2"/>
              <w:numPr>
                <w:ilvl w:val="0"/>
                <w:numId w:val="18"/>
              </w:numPr>
              <w:rPr>
                <w:rFonts w:asciiTheme="minorHAnsi" w:hAnsiTheme="minorHAnsi"/>
                <w:lang w:val="fr-FR"/>
              </w:rPr>
            </w:pPr>
            <w:r w:rsidRPr="00C342CB">
              <w:rPr>
                <w:rFonts w:asciiTheme="minorHAnsi" w:hAnsiTheme="minorHAnsi"/>
                <w:lang w:val="fr-FR"/>
              </w:rPr>
              <w:t>2014 = 39.4% </w:t>
            </w:r>
            <w:proofErr w:type="gramStart"/>
            <w:r w:rsidRPr="00C342CB">
              <w:rPr>
                <w:rFonts w:asciiTheme="minorHAnsi" w:hAnsiTheme="minorHAnsi"/>
                <w:lang w:val="fr-FR"/>
              </w:rPr>
              <w:t>;  2015</w:t>
            </w:r>
            <w:proofErr w:type="gramEnd"/>
            <w:r w:rsidRPr="00C342CB">
              <w:rPr>
                <w:rFonts w:asciiTheme="minorHAnsi" w:hAnsiTheme="minorHAnsi"/>
                <w:lang w:val="fr-FR"/>
              </w:rPr>
              <w:t xml:space="preserve"> =  30,5% ; </w:t>
            </w:r>
            <w:r w:rsidR="00F9368D" w:rsidRPr="00C342CB">
              <w:rPr>
                <w:rFonts w:asciiTheme="minorHAnsi" w:hAnsiTheme="minorHAnsi"/>
                <w:lang w:val="fr-FR"/>
              </w:rPr>
              <w:t xml:space="preserve">2016 </w:t>
            </w:r>
            <w:r w:rsidRPr="00C342CB">
              <w:rPr>
                <w:rFonts w:asciiTheme="minorHAnsi" w:hAnsiTheme="minorHAnsi"/>
                <w:lang w:val="fr-FR"/>
              </w:rPr>
              <w:t xml:space="preserve">= </w:t>
            </w:r>
            <w:r w:rsidR="00F9368D" w:rsidRPr="00C342CB">
              <w:rPr>
                <w:rFonts w:asciiTheme="minorHAnsi" w:hAnsiTheme="minorHAnsi"/>
                <w:lang w:val="fr-FR"/>
              </w:rPr>
              <w:t xml:space="preserve"> 31,9%</w:t>
            </w:r>
            <w:r w:rsidR="00BF508B" w:rsidRPr="00C342CB">
              <w:rPr>
                <w:rFonts w:asciiTheme="minorHAnsi" w:hAnsiTheme="minorHAnsi"/>
                <w:lang w:val="fr-FR"/>
              </w:rPr>
              <w:t>.</w:t>
            </w:r>
            <w:r w:rsidR="00F9368D" w:rsidRPr="00C342CB">
              <w:rPr>
                <w:rFonts w:asciiTheme="minorHAnsi" w:hAnsiTheme="minorHAnsi"/>
                <w:lang w:val="fr-FR"/>
              </w:rPr>
              <w:t xml:space="preserve"> </w:t>
            </w:r>
          </w:p>
          <w:p w14:paraId="16A54F25" w14:textId="77777777" w:rsidR="00DE7AC8" w:rsidRPr="0002591C" w:rsidRDefault="00BF508B" w:rsidP="00564EBB">
            <w:pPr>
              <w:pStyle w:val="BodyText2"/>
              <w:numPr>
                <w:ilvl w:val="0"/>
                <w:numId w:val="18"/>
              </w:numPr>
              <w:rPr>
                <w:rFonts w:asciiTheme="minorHAnsi" w:hAnsiTheme="minorHAnsi"/>
                <w:i/>
                <w:lang w:val="fr-FR"/>
              </w:rPr>
            </w:pPr>
            <w:r w:rsidRPr="00C342CB">
              <w:rPr>
                <w:rFonts w:asciiTheme="minorHAnsi" w:hAnsiTheme="minorHAnsi"/>
                <w:lang w:val="fr-FR"/>
              </w:rPr>
              <w:t xml:space="preserve">2014 </w:t>
            </w:r>
            <w:r w:rsidR="00D95096" w:rsidRPr="00C342CB">
              <w:rPr>
                <w:rFonts w:asciiTheme="minorHAnsi" w:hAnsiTheme="minorHAnsi"/>
                <w:lang w:val="fr-FR"/>
              </w:rPr>
              <w:t xml:space="preserve">= </w:t>
            </w:r>
            <w:r w:rsidRPr="00C342CB">
              <w:rPr>
                <w:rFonts w:asciiTheme="minorHAnsi" w:hAnsiTheme="minorHAnsi"/>
                <w:lang w:val="fr-FR"/>
              </w:rPr>
              <w:t>103</w:t>
            </w:r>
            <w:r w:rsidRPr="00C342CB">
              <w:rPr>
                <w:rFonts w:asciiTheme="minorHAnsi" w:hAnsiTheme="minorHAnsi"/>
                <w:vertAlign w:val="superscript"/>
                <w:lang w:val="fr-FR"/>
              </w:rPr>
              <w:t>ème</w:t>
            </w:r>
            <w:r w:rsidR="00D95096" w:rsidRPr="00C342CB">
              <w:rPr>
                <w:rFonts w:asciiTheme="minorHAnsi" w:hAnsiTheme="minorHAnsi"/>
                <w:vertAlign w:val="superscript"/>
                <w:lang w:val="fr-FR"/>
              </w:rPr>
              <w:t> </w:t>
            </w:r>
            <w:proofErr w:type="gramStart"/>
            <w:r w:rsidR="00D95096" w:rsidRPr="00C342CB">
              <w:rPr>
                <w:rFonts w:asciiTheme="minorHAnsi" w:hAnsiTheme="minorHAnsi"/>
                <w:lang w:val="fr-FR"/>
              </w:rPr>
              <w:t xml:space="preserve">; </w:t>
            </w:r>
            <w:r w:rsidRPr="00C342CB">
              <w:rPr>
                <w:rFonts w:asciiTheme="minorHAnsi" w:hAnsiTheme="minorHAnsi"/>
                <w:lang w:val="fr-FR"/>
              </w:rPr>
              <w:t xml:space="preserve"> 2015</w:t>
            </w:r>
            <w:proofErr w:type="gramEnd"/>
            <w:r w:rsidR="00D95096" w:rsidRPr="00C342CB">
              <w:rPr>
                <w:rFonts w:asciiTheme="minorHAnsi" w:hAnsiTheme="minorHAnsi"/>
                <w:lang w:val="fr-FR"/>
              </w:rPr>
              <w:t xml:space="preserve"> = 99</w:t>
            </w:r>
            <w:r w:rsidR="00D95096" w:rsidRPr="00C342CB">
              <w:rPr>
                <w:rFonts w:asciiTheme="minorHAnsi" w:hAnsiTheme="minorHAnsi"/>
                <w:vertAlign w:val="superscript"/>
                <w:lang w:val="fr-FR"/>
              </w:rPr>
              <w:t>ème </w:t>
            </w:r>
            <w:r w:rsidR="00D95096" w:rsidRPr="00C342CB">
              <w:rPr>
                <w:rFonts w:asciiTheme="minorHAnsi" w:hAnsiTheme="minorHAnsi"/>
                <w:lang w:val="fr-FR"/>
              </w:rPr>
              <w:t xml:space="preserve">; </w:t>
            </w:r>
            <w:r w:rsidRPr="00C342CB">
              <w:rPr>
                <w:rFonts w:asciiTheme="minorHAnsi" w:hAnsiTheme="minorHAnsi"/>
                <w:lang w:val="fr-FR"/>
              </w:rPr>
              <w:t xml:space="preserve"> </w:t>
            </w:r>
            <w:r w:rsidR="00D95096" w:rsidRPr="00C342CB">
              <w:rPr>
                <w:rFonts w:asciiTheme="minorHAnsi" w:hAnsiTheme="minorHAnsi"/>
                <w:lang w:val="fr-FR"/>
              </w:rPr>
              <w:t>2016</w:t>
            </w:r>
            <w:r w:rsidR="00564EBB" w:rsidRPr="00C342CB">
              <w:rPr>
                <w:rFonts w:asciiTheme="minorHAnsi" w:hAnsiTheme="minorHAnsi"/>
                <w:lang w:val="fr-FR"/>
              </w:rPr>
              <w:t>/2017 = 98</w:t>
            </w:r>
            <w:r w:rsidR="00564EBB" w:rsidRPr="00C342CB">
              <w:rPr>
                <w:rFonts w:asciiTheme="minorHAnsi" w:hAnsiTheme="minorHAnsi"/>
                <w:vertAlign w:val="superscript"/>
                <w:lang w:val="fr-FR"/>
              </w:rPr>
              <w:t>ème</w:t>
            </w:r>
            <w:r w:rsidR="00564EBB" w:rsidRPr="00C342CB">
              <w:rPr>
                <w:rFonts w:asciiTheme="minorHAnsi" w:hAnsiTheme="minorHAnsi"/>
                <w:lang w:val="fr-FR"/>
              </w:rPr>
              <w:t xml:space="preserve"> </w:t>
            </w:r>
            <w:r w:rsidR="0093095F" w:rsidRPr="00711D38">
              <w:rPr>
                <w:lang w:val="fr-FR"/>
              </w:rPr>
              <w:tab/>
            </w:r>
          </w:p>
        </w:tc>
      </w:tr>
      <w:tr w:rsidR="00DE7AC8" w:rsidRPr="00482765" w14:paraId="684C5D28" w14:textId="77777777" w:rsidTr="00DE7AC8">
        <w:tc>
          <w:tcPr>
            <w:tcW w:w="14040" w:type="dxa"/>
            <w:gridSpan w:val="5"/>
          </w:tcPr>
          <w:p w14:paraId="6C1C7F47" w14:textId="77777777" w:rsidR="00DE7AC8" w:rsidRPr="0002591C" w:rsidRDefault="00DE7AC8" w:rsidP="00DA64AA">
            <w:pPr>
              <w:pStyle w:val="BodyText2"/>
              <w:rPr>
                <w:rFonts w:asciiTheme="minorHAnsi" w:hAnsiTheme="minorHAnsi"/>
                <w:b/>
                <w:lang w:val="fr-FR"/>
              </w:rPr>
            </w:pPr>
            <w:r w:rsidRPr="0002591C">
              <w:rPr>
                <w:rFonts w:asciiTheme="minorHAnsi" w:hAnsiTheme="minorHAnsi"/>
                <w:b/>
                <w:lang w:val="fr-FR"/>
              </w:rPr>
              <w:t xml:space="preserve">UNDP </w:t>
            </w:r>
            <w:proofErr w:type="gramStart"/>
            <w:r w:rsidRPr="0002591C">
              <w:rPr>
                <w:rFonts w:asciiTheme="minorHAnsi" w:hAnsiTheme="minorHAnsi"/>
                <w:b/>
                <w:lang w:val="fr-FR"/>
              </w:rPr>
              <w:t>Contribution:</w:t>
            </w:r>
            <w:proofErr w:type="gramEnd"/>
          </w:p>
          <w:p w14:paraId="1C4BCA25" w14:textId="77777777" w:rsidR="00DE7AC8" w:rsidRPr="0002591C" w:rsidRDefault="00DE7AC8" w:rsidP="00DA64AA">
            <w:pPr>
              <w:pStyle w:val="BodyText2"/>
              <w:rPr>
                <w:rFonts w:asciiTheme="minorHAnsi" w:hAnsiTheme="minorHAnsi"/>
                <w:u w:val="single"/>
                <w:lang w:val="fr-FR"/>
              </w:rPr>
            </w:pPr>
          </w:p>
          <w:p w14:paraId="2296B0F4" w14:textId="77777777" w:rsidR="00DE7AC8" w:rsidRPr="0002591C" w:rsidRDefault="00DE7AC8" w:rsidP="00DA64AA">
            <w:pPr>
              <w:pStyle w:val="BodyText2"/>
              <w:rPr>
                <w:rFonts w:asciiTheme="minorHAnsi" w:hAnsiTheme="minorHAnsi"/>
                <w:lang w:val="fr-FR"/>
              </w:rPr>
            </w:pPr>
            <w:r w:rsidRPr="0002591C">
              <w:rPr>
                <w:rFonts w:asciiTheme="minorHAnsi" w:hAnsiTheme="minorHAnsi"/>
                <w:u w:val="single"/>
                <w:lang w:val="fr-FR"/>
              </w:rPr>
              <w:t xml:space="preserve">CP </w:t>
            </w:r>
            <w:proofErr w:type="gramStart"/>
            <w:r w:rsidRPr="0002591C">
              <w:rPr>
                <w:rFonts w:asciiTheme="minorHAnsi" w:hAnsiTheme="minorHAnsi"/>
                <w:u w:val="single"/>
                <w:lang w:val="fr-FR"/>
              </w:rPr>
              <w:t>Outputs</w:t>
            </w:r>
            <w:r w:rsidRPr="0002591C">
              <w:rPr>
                <w:rFonts w:asciiTheme="minorHAnsi" w:hAnsiTheme="minorHAnsi"/>
                <w:lang w:val="fr-FR"/>
              </w:rPr>
              <w:t>:</w:t>
            </w:r>
            <w:proofErr w:type="gramEnd"/>
          </w:p>
          <w:p w14:paraId="524B23E4" w14:textId="3104DD8D" w:rsidR="00482765" w:rsidRPr="00C342CB" w:rsidRDefault="00482765" w:rsidP="00C342CB">
            <w:pPr>
              <w:pStyle w:val="BodyText2"/>
              <w:jc w:val="both"/>
              <w:rPr>
                <w:rFonts w:asciiTheme="minorHAnsi" w:hAnsiTheme="minorHAnsi" w:cstheme="minorHAnsi"/>
              </w:rPr>
            </w:pPr>
            <w:r w:rsidRPr="00C342CB">
              <w:rPr>
                <w:rFonts w:asciiTheme="minorHAnsi" w:hAnsiTheme="minorHAnsi" w:cstheme="minorHAnsi"/>
                <w:lang w:val="en"/>
              </w:rPr>
              <w:t xml:space="preserve">The CPD identified six major products to </w:t>
            </w:r>
            <w:r w:rsidR="00711D38" w:rsidRPr="00C342CB">
              <w:rPr>
                <w:rFonts w:asciiTheme="minorHAnsi" w:hAnsiTheme="minorHAnsi" w:cstheme="minorHAnsi"/>
                <w:lang w:val="en"/>
              </w:rPr>
              <w:t>contribute to this</w:t>
            </w:r>
            <w:r w:rsidRPr="00C342CB">
              <w:rPr>
                <w:rFonts w:asciiTheme="minorHAnsi" w:hAnsiTheme="minorHAnsi" w:cstheme="minorHAnsi"/>
                <w:lang w:val="en"/>
              </w:rPr>
              <w:t xml:space="preserve"> government </w:t>
            </w:r>
            <w:r w:rsidR="00711D38" w:rsidRPr="00C342CB">
              <w:rPr>
                <w:rFonts w:asciiTheme="minorHAnsi" w:hAnsiTheme="minorHAnsi" w:cstheme="minorHAnsi"/>
                <w:lang w:val="en"/>
              </w:rPr>
              <w:t>outcome</w:t>
            </w:r>
            <w:r w:rsidRPr="00C342CB">
              <w:rPr>
                <w:rFonts w:asciiTheme="minorHAnsi" w:hAnsiTheme="minorHAnsi" w:cstheme="minorHAnsi"/>
                <w:lang w:val="en"/>
              </w:rPr>
              <w:t xml:space="preserve">: (a) Expertise is provided to the </w:t>
            </w:r>
            <w:r w:rsidR="00711D38" w:rsidRPr="00C342CB">
              <w:rPr>
                <w:rFonts w:asciiTheme="minorHAnsi" w:hAnsiTheme="minorHAnsi" w:cstheme="minorHAnsi"/>
                <w:lang w:val="en"/>
              </w:rPr>
              <w:t>Ministry of Planning to develop</w:t>
            </w:r>
            <w:r w:rsidRPr="00C342CB">
              <w:rPr>
                <w:rFonts w:asciiTheme="minorHAnsi" w:hAnsiTheme="minorHAnsi" w:cstheme="minorHAnsi"/>
                <w:lang w:val="en"/>
              </w:rPr>
              <w:t xml:space="preserve"> planning, financing and monitoring-evaluation tools; (b) Young people of both sexes are trained </w:t>
            </w:r>
            <w:r w:rsidR="00711D38" w:rsidRPr="00C342CB">
              <w:rPr>
                <w:rFonts w:asciiTheme="minorHAnsi" w:hAnsiTheme="minorHAnsi" w:cstheme="minorHAnsi"/>
                <w:lang w:val="en"/>
              </w:rPr>
              <w:t xml:space="preserve">in entrepreneurship and </w:t>
            </w:r>
            <w:r w:rsidRPr="00C342CB">
              <w:rPr>
                <w:rFonts w:asciiTheme="minorHAnsi" w:hAnsiTheme="minorHAnsi" w:cstheme="minorHAnsi"/>
                <w:lang w:val="en"/>
              </w:rPr>
              <w:t xml:space="preserve">start </w:t>
            </w:r>
            <w:r w:rsidR="00711D38" w:rsidRPr="00C342CB">
              <w:rPr>
                <w:rFonts w:asciiTheme="minorHAnsi" w:hAnsiTheme="minorHAnsi" w:cstheme="minorHAnsi"/>
                <w:lang w:val="en"/>
              </w:rPr>
              <w:t xml:space="preserve">of </w:t>
            </w:r>
            <w:r w:rsidRPr="00C342CB">
              <w:rPr>
                <w:rFonts w:asciiTheme="minorHAnsi" w:hAnsiTheme="minorHAnsi" w:cstheme="minorHAnsi"/>
                <w:lang w:val="en"/>
              </w:rPr>
              <w:t xml:space="preserve">businesses; (c) </w:t>
            </w:r>
            <w:r w:rsidR="00711D38" w:rsidRPr="00C342CB">
              <w:rPr>
                <w:rFonts w:asciiTheme="minorHAnsi" w:hAnsiTheme="minorHAnsi" w:cstheme="minorHAnsi"/>
                <w:lang w:val="en"/>
              </w:rPr>
              <w:t>Parliament m</w:t>
            </w:r>
            <w:r w:rsidRPr="00C342CB">
              <w:rPr>
                <w:rFonts w:asciiTheme="minorHAnsi" w:hAnsiTheme="minorHAnsi" w:cstheme="minorHAnsi"/>
                <w:lang w:val="en"/>
              </w:rPr>
              <w:t xml:space="preserve">embers have capabilities (educational modules, equipment, training) to carry out their </w:t>
            </w:r>
            <w:r w:rsidR="00EF0ADA" w:rsidRPr="00C342CB">
              <w:rPr>
                <w:rFonts w:asciiTheme="minorHAnsi" w:hAnsiTheme="minorHAnsi" w:cstheme="minorHAnsi"/>
                <w:lang w:val="en"/>
              </w:rPr>
              <w:t>mission</w:t>
            </w:r>
            <w:r w:rsidRPr="00C342CB">
              <w:rPr>
                <w:rFonts w:asciiTheme="minorHAnsi" w:hAnsiTheme="minorHAnsi" w:cstheme="minorHAnsi"/>
                <w:lang w:val="en"/>
              </w:rPr>
              <w:t xml:space="preserve">; (d) Electoral institutions have capacity (voter registration, biometrics, procedures, human rights training, financial management) to manage electoral processes conform to </w:t>
            </w:r>
            <w:r w:rsidR="00EF0ADA" w:rsidRPr="00C342CB">
              <w:rPr>
                <w:rFonts w:asciiTheme="minorHAnsi" w:hAnsiTheme="minorHAnsi" w:cstheme="minorHAnsi"/>
                <w:lang w:val="en"/>
              </w:rPr>
              <w:t xml:space="preserve">international </w:t>
            </w:r>
            <w:r w:rsidRPr="00C342CB">
              <w:rPr>
                <w:rFonts w:asciiTheme="minorHAnsi" w:hAnsiTheme="minorHAnsi" w:cstheme="minorHAnsi"/>
                <w:lang w:val="en"/>
              </w:rPr>
              <w:t xml:space="preserve">standards; (e) The Ministry of Justice, the </w:t>
            </w:r>
            <w:r w:rsidR="00EF0ADA" w:rsidRPr="00C342CB">
              <w:rPr>
                <w:rFonts w:asciiTheme="minorHAnsi" w:hAnsiTheme="minorHAnsi" w:cstheme="minorHAnsi"/>
                <w:lang w:val="en"/>
              </w:rPr>
              <w:t>National Human Right Commission</w:t>
            </w:r>
            <w:r w:rsidRPr="00C342CB">
              <w:rPr>
                <w:rFonts w:asciiTheme="minorHAnsi" w:hAnsiTheme="minorHAnsi" w:cstheme="minorHAnsi"/>
                <w:lang w:val="en"/>
              </w:rPr>
              <w:t xml:space="preserve"> and civil society organizations have </w:t>
            </w:r>
            <w:r w:rsidR="00EF0ADA" w:rsidRPr="00C342CB">
              <w:rPr>
                <w:rFonts w:asciiTheme="minorHAnsi" w:hAnsiTheme="minorHAnsi" w:cstheme="minorHAnsi"/>
                <w:lang w:val="en"/>
              </w:rPr>
              <w:t>required</w:t>
            </w:r>
            <w:r w:rsidRPr="00C342CB">
              <w:rPr>
                <w:rFonts w:asciiTheme="minorHAnsi" w:hAnsiTheme="minorHAnsi" w:cstheme="minorHAnsi"/>
                <w:lang w:val="en"/>
              </w:rPr>
              <w:t xml:space="preserve"> capabilities (human rights training tools, communication, gender, access to justice) to promote human rights and access to justice; and (f) </w:t>
            </w:r>
            <w:r w:rsidR="00EF0ADA" w:rsidRPr="00C342CB">
              <w:rPr>
                <w:rFonts w:asciiTheme="minorHAnsi" w:hAnsiTheme="minorHAnsi" w:cstheme="minorHAnsi"/>
                <w:lang w:val="en"/>
              </w:rPr>
              <w:t>rights owners</w:t>
            </w:r>
            <w:r w:rsidRPr="00C342CB">
              <w:rPr>
                <w:rFonts w:asciiTheme="minorHAnsi" w:hAnsiTheme="minorHAnsi" w:cstheme="minorHAnsi"/>
                <w:lang w:val="en"/>
              </w:rPr>
              <w:t xml:space="preserve"> receive legal assistance to access their rights.</w:t>
            </w:r>
          </w:p>
          <w:p w14:paraId="27ACD059" w14:textId="77777777" w:rsidR="00482765" w:rsidRPr="00C342CB" w:rsidRDefault="00482765" w:rsidP="00346DF3">
            <w:pPr>
              <w:pStyle w:val="BodyText2"/>
              <w:rPr>
                <w:rFonts w:asciiTheme="minorHAnsi" w:hAnsiTheme="minorHAnsi" w:cstheme="minorHAnsi"/>
              </w:rPr>
            </w:pPr>
          </w:p>
          <w:p w14:paraId="18520396" w14:textId="77777777" w:rsidR="00DE7AC8" w:rsidRDefault="00DE7AC8" w:rsidP="00DA64AA">
            <w:pPr>
              <w:pStyle w:val="BodyText2"/>
              <w:rPr>
                <w:rFonts w:asciiTheme="minorHAnsi" w:hAnsiTheme="minorHAnsi"/>
              </w:rPr>
            </w:pPr>
            <w:r w:rsidRPr="00B00E5C">
              <w:rPr>
                <w:rFonts w:asciiTheme="minorHAnsi" w:hAnsiTheme="minorHAnsi"/>
                <w:u w:val="single"/>
              </w:rPr>
              <w:t>Progress and Achievements</w:t>
            </w:r>
            <w:r>
              <w:rPr>
                <w:rFonts w:asciiTheme="minorHAnsi" w:hAnsiTheme="minorHAnsi"/>
              </w:rPr>
              <w:t>:</w:t>
            </w:r>
          </w:p>
          <w:p w14:paraId="48951145" w14:textId="506B2AEA" w:rsidR="003159E7" w:rsidRPr="00C342CB" w:rsidRDefault="00482765" w:rsidP="00C342CB">
            <w:pPr>
              <w:pStyle w:val="BodyText2"/>
              <w:jc w:val="both"/>
              <w:rPr>
                <w:rFonts w:asciiTheme="minorHAnsi" w:hAnsiTheme="minorHAnsi" w:cstheme="minorHAnsi"/>
                <w:lang w:val="en"/>
              </w:rPr>
            </w:pPr>
            <w:r w:rsidRPr="00C342CB">
              <w:rPr>
                <w:rFonts w:asciiTheme="minorHAnsi" w:hAnsiTheme="minorHAnsi" w:cstheme="minorHAnsi"/>
                <w:lang w:val="en"/>
              </w:rPr>
              <w:t>UNDP technical and financial assistance enabled the Ministry of Planning to produce the 2017-2021 Economic and Social Development Plan (PDES) and to organi</w:t>
            </w:r>
            <w:r w:rsidR="003159E7" w:rsidRPr="00C342CB">
              <w:rPr>
                <w:rFonts w:asciiTheme="minorHAnsi" w:hAnsiTheme="minorHAnsi" w:cstheme="minorHAnsi"/>
                <w:lang w:val="en"/>
              </w:rPr>
              <w:t>ze the "Renaissance Conference", a donor roundtable, with</w:t>
            </w:r>
            <w:r w:rsidRPr="00C342CB">
              <w:rPr>
                <w:rFonts w:asciiTheme="minorHAnsi" w:hAnsiTheme="minorHAnsi" w:cstheme="minorHAnsi"/>
                <w:lang w:val="en"/>
              </w:rPr>
              <w:t xml:space="preserve"> more than 23 </w:t>
            </w:r>
            <w:r w:rsidR="003159E7" w:rsidRPr="00C342CB">
              <w:rPr>
                <w:rFonts w:asciiTheme="minorHAnsi" w:hAnsiTheme="minorHAnsi" w:cstheme="minorHAnsi"/>
                <w:lang w:val="en"/>
              </w:rPr>
              <w:t>(</w:t>
            </w:r>
            <w:r w:rsidRPr="00C342CB">
              <w:rPr>
                <w:rFonts w:asciiTheme="minorHAnsi" w:hAnsiTheme="minorHAnsi" w:cstheme="minorHAnsi"/>
                <w:lang w:val="en"/>
              </w:rPr>
              <w:t>against 17</w:t>
            </w:r>
            <w:r w:rsidR="003159E7" w:rsidRPr="00C342CB">
              <w:rPr>
                <w:rFonts w:asciiTheme="minorHAnsi" w:hAnsiTheme="minorHAnsi" w:cstheme="minorHAnsi"/>
                <w:lang w:val="en"/>
              </w:rPr>
              <w:t xml:space="preserve"> expected)</w:t>
            </w:r>
            <w:r w:rsidRPr="00C342CB">
              <w:rPr>
                <w:rFonts w:asciiTheme="minorHAnsi" w:hAnsiTheme="minorHAnsi" w:cstheme="minorHAnsi"/>
                <w:lang w:val="en"/>
              </w:rPr>
              <w:t xml:space="preserve"> billion USD</w:t>
            </w:r>
            <w:r w:rsidR="003159E7" w:rsidRPr="00C342CB">
              <w:rPr>
                <w:rFonts w:asciiTheme="minorHAnsi" w:hAnsiTheme="minorHAnsi" w:cstheme="minorHAnsi"/>
                <w:lang w:val="en"/>
              </w:rPr>
              <w:t xml:space="preserve"> in pledging announcement</w:t>
            </w:r>
            <w:r w:rsidRPr="00C342CB">
              <w:rPr>
                <w:rFonts w:asciiTheme="minorHAnsi" w:hAnsiTheme="minorHAnsi" w:cstheme="minorHAnsi"/>
                <w:lang w:val="en"/>
              </w:rPr>
              <w:t xml:space="preserve">. </w:t>
            </w:r>
            <w:r w:rsidR="003159E7" w:rsidRPr="00C342CB">
              <w:rPr>
                <w:rFonts w:asciiTheme="minorHAnsi" w:hAnsiTheme="minorHAnsi" w:cstheme="minorHAnsi"/>
                <w:lang w:val="en"/>
              </w:rPr>
              <w:t>U</w:t>
            </w:r>
            <w:r w:rsidRPr="00C342CB">
              <w:rPr>
                <w:rFonts w:asciiTheme="minorHAnsi" w:hAnsiTheme="minorHAnsi" w:cstheme="minorHAnsi"/>
                <w:lang w:val="en"/>
              </w:rPr>
              <w:t>NDP's sustained advocacy, funding and provision of expertise resulted in the integration of 43 targets and 61 indicators of the Sustainable Development Goals (SDGs) following a major contextualization and prioritization exercise</w:t>
            </w:r>
            <w:r w:rsidR="003159E7" w:rsidRPr="00C342CB">
              <w:rPr>
                <w:rFonts w:asciiTheme="minorHAnsi" w:hAnsiTheme="minorHAnsi" w:cstheme="minorHAnsi"/>
                <w:lang w:val="en"/>
              </w:rPr>
              <w:t xml:space="preserve"> (MAPS)</w:t>
            </w:r>
            <w:r w:rsidRPr="00C342CB">
              <w:rPr>
                <w:rFonts w:asciiTheme="minorHAnsi" w:hAnsiTheme="minorHAnsi" w:cstheme="minorHAnsi"/>
                <w:lang w:val="en"/>
              </w:rPr>
              <w:t xml:space="preserve">. UNDP also facilitated the introduction of new themes (climate change, peace and security, extractive industries) into the National Gender Policy and its 2018-2022 plan, as well as the development of the 1st national plan </w:t>
            </w:r>
            <w:r w:rsidR="003159E7" w:rsidRPr="00C342CB">
              <w:rPr>
                <w:rFonts w:asciiTheme="minorHAnsi" w:hAnsiTheme="minorHAnsi" w:cstheme="minorHAnsi"/>
                <w:lang w:val="en"/>
              </w:rPr>
              <w:t>on the UN R</w:t>
            </w:r>
            <w:r w:rsidRPr="00C342CB">
              <w:rPr>
                <w:rFonts w:asciiTheme="minorHAnsi" w:hAnsiTheme="minorHAnsi" w:cstheme="minorHAnsi"/>
                <w:lang w:val="en"/>
              </w:rPr>
              <w:t xml:space="preserve">esolution 1325; </w:t>
            </w:r>
            <w:r w:rsidR="003159E7" w:rsidRPr="00C342CB">
              <w:rPr>
                <w:rFonts w:asciiTheme="minorHAnsi" w:hAnsiTheme="minorHAnsi" w:cstheme="minorHAnsi"/>
                <w:lang w:val="en"/>
              </w:rPr>
              <w:t>this</w:t>
            </w:r>
            <w:r w:rsidRPr="00C342CB">
              <w:rPr>
                <w:rFonts w:asciiTheme="minorHAnsi" w:hAnsiTheme="minorHAnsi" w:cstheme="minorHAnsi"/>
                <w:lang w:val="en"/>
              </w:rPr>
              <w:t xml:space="preserve"> </w:t>
            </w:r>
            <w:r w:rsidR="003159E7" w:rsidRPr="00C342CB">
              <w:rPr>
                <w:rFonts w:asciiTheme="minorHAnsi" w:hAnsiTheme="minorHAnsi" w:cstheme="minorHAnsi"/>
                <w:lang w:val="en"/>
              </w:rPr>
              <w:t xml:space="preserve">will </w:t>
            </w:r>
            <w:proofErr w:type="gramStart"/>
            <w:r w:rsidRPr="00C342CB">
              <w:rPr>
                <w:rFonts w:asciiTheme="minorHAnsi" w:hAnsiTheme="minorHAnsi" w:cstheme="minorHAnsi"/>
                <w:lang w:val="en"/>
              </w:rPr>
              <w:t>allows</w:t>
            </w:r>
            <w:proofErr w:type="gramEnd"/>
            <w:r w:rsidRPr="00C342CB">
              <w:rPr>
                <w:rFonts w:asciiTheme="minorHAnsi" w:hAnsiTheme="minorHAnsi" w:cstheme="minorHAnsi"/>
                <w:lang w:val="en"/>
              </w:rPr>
              <w:t xml:space="preserve"> </w:t>
            </w:r>
            <w:r w:rsidR="003159E7" w:rsidRPr="00C342CB">
              <w:rPr>
                <w:rFonts w:asciiTheme="minorHAnsi" w:hAnsiTheme="minorHAnsi" w:cstheme="minorHAnsi"/>
                <w:lang w:val="en"/>
              </w:rPr>
              <w:t xml:space="preserve">from now on, </w:t>
            </w:r>
            <w:r w:rsidRPr="00C342CB">
              <w:rPr>
                <w:rFonts w:asciiTheme="minorHAnsi" w:hAnsiTheme="minorHAnsi" w:cstheme="minorHAnsi"/>
                <w:lang w:val="en"/>
              </w:rPr>
              <w:t>a systematic consideration of gender in planning.</w:t>
            </w:r>
          </w:p>
          <w:p w14:paraId="56E2028C" w14:textId="77777777" w:rsidR="00D043E6" w:rsidRPr="00C342CB" w:rsidRDefault="00482765" w:rsidP="00C342CB">
            <w:pPr>
              <w:pStyle w:val="BodyText2"/>
              <w:numPr>
                <w:ilvl w:val="0"/>
                <w:numId w:val="31"/>
              </w:numPr>
              <w:jc w:val="both"/>
              <w:rPr>
                <w:rFonts w:asciiTheme="minorHAnsi" w:hAnsiTheme="minorHAnsi" w:cstheme="minorHAnsi"/>
                <w:i/>
              </w:rPr>
            </w:pPr>
            <w:r w:rsidRPr="00C342CB">
              <w:rPr>
                <w:rFonts w:asciiTheme="minorHAnsi" w:hAnsiTheme="minorHAnsi" w:cstheme="minorHAnsi"/>
                <w:lang w:val="en"/>
              </w:rPr>
              <w:lastRenderedPageBreak/>
              <w:t xml:space="preserve">The </w:t>
            </w:r>
            <w:r w:rsidR="00D043E6" w:rsidRPr="00C342CB">
              <w:rPr>
                <w:rFonts w:asciiTheme="minorHAnsi" w:hAnsiTheme="minorHAnsi" w:cstheme="minorHAnsi"/>
                <w:lang w:val="en"/>
              </w:rPr>
              <w:t>youth economic reintegration program,</w:t>
            </w:r>
            <w:r w:rsidRPr="00C342CB">
              <w:rPr>
                <w:rFonts w:asciiTheme="minorHAnsi" w:hAnsiTheme="minorHAnsi" w:cstheme="minorHAnsi"/>
                <w:lang w:val="en"/>
              </w:rPr>
              <w:t xml:space="preserve"> currently being formulated should ultimately enable the establishment of an institutional and financial mechanism for the large-scale integration of young people (boys and girls) in order to reduce unemployment and their vulnerability, as well as the temptation to immigration and radicalization.</w:t>
            </w:r>
          </w:p>
          <w:p w14:paraId="36D8B141" w14:textId="752FE715" w:rsidR="00D043E6" w:rsidRPr="00C342CB" w:rsidRDefault="00482765" w:rsidP="00C342CB">
            <w:pPr>
              <w:pStyle w:val="BodyText2"/>
              <w:numPr>
                <w:ilvl w:val="0"/>
                <w:numId w:val="31"/>
              </w:numPr>
              <w:jc w:val="both"/>
              <w:rPr>
                <w:rFonts w:asciiTheme="minorHAnsi" w:hAnsiTheme="minorHAnsi" w:cstheme="minorHAnsi"/>
                <w:i/>
              </w:rPr>
            </w:pPr>
            <w:r w:rsidRPr="00C342CB">
              <w:rPr>
                <w:rFonts w:asciiTheme="minorHAnsi" w:hAnsiTheme="minorHAnsi" w:cstheme="minorHAnsi"/>
                <w:lang w:val="en"/>
              </w:rPr>
              <w:t xml:space="preserve">The capacities of the </w:t>
            </w:r>
            <w:r w:rsidR="00D043E6" w:rsidRPr="00C342CB">
              <w:rPr>
                <w:rFonts w:asciiTheme="minorHAnsi" w:hAnsiTheme="minorHAnsi" w:cstheme="minorHAnsi"/>
                <w:lang w:val="en"/>
              </w:rPr>
              <w:t xml:space="preserve">parliament members </w:t>
            </w:r>
            <w:proofErr w:type="gramStart"/>
            <w:r w:rsidR="00D043E6" w:rsidRPr="00C342CB">
              <w:rPr>
                <w:rFonts w:asciiTheme="minorHAnsi" w:hAnsiTheme="minorHAnsi" w:cstheme="minorHAnsi"/>
                <w:lang w:val="en"/>
              </w:rPr>
              <w:t>was</w:t>
            </w:r>
            <w:proofErr w:type="gramEnd"/>
            <w:r w:rsidRPr="00C342CB">
              <w:rPr>
                <w:rFonts w:asciiTheme="minorHAnsi" w:hAnsiTheme="minorHAnsi" w:cstheme="minorHAnsi"/>
                <w:lang w:val="en"/>
              </w:rPr>
              <w:t xml:space="preserve"> strengthened by supporting the acquisition of a printing press and computer </w:t>
            </w:r>
            <w:r w:rsidR="00D043E6" w:rsidRPr="00C342CB">
              <w:rPr>
                <w:rFonts w:asciiTheme="minorHAnsi" w:hAnsiTheme="minorHAnsi" w:cstheme="minorHAnsi"/>
                <w:lang w:val="en"/>
              </w:rPr>
              <w:t xml:space="preserve">to </w:t>
            </w:r>
            <w:r w:rsidRPr="00C342CB">
              <w:rPr>
                <w:rFonts w:asciiTheme="minorHAnsi" w:hAnsiTheme="minorHAnsi" w:cstheme="minorHAnsi"/>
                <w:lang w:val="en"/>
              </w:rPr>
              <w:t xml:space="preserve">support production of documents for </w:t>
            </w:r>
            <w:r w:rsidR="00D043E6" w:rsidRPr="00C342CB">
              <w:rPr>
                <w:rFonts w:asciiTheme="minorHAnsi" w:hAnsiTheme="minorHAnsi" w:cstheme="minorHAnsi"/>
                <w:lang w:val="en"/>
              </w:rPr>
              <w:t xml:space="preserve">the </w:t>
            </w:r>
            <w:r w:rsidRPr="00C342CB">
              <w:rPr>
                <w:rFonts w:asciiTheme="minorHAnsi" w:hAnsiTheme="minorHAnsi" w:cstheme="minorHAnsi"/>
                <w:lang w:val="en"/>
              </w:rPr>
              <w:t>newly elected assembly</w:t>
            </w:r>
            <w:r w:rsidR="00AB04E7">
              <w:rPr>
                <w:rFonts w:asciiTheme="minorHAnsi" w:hAnsiTheme="minorHAnsi" w:cstheme="minorHAnsi"/>
                <w:lang w:val="en"/>
              </w:rPr>
              <w:t xml:space="preserve"> in 2016</w:t>
            </w:r>
            <w:r w:rsidRPr="00C342CB">
              <w:rPr>
                <w:rFonts w:asciiTheme="minorHAnsi" w:hAnsiTheme="minorHAnsi" w:cstheme="minorHAnsi"/>
                <w:lang w:val="en"/>
              </w:rPr>
              <w:t>. Training was also provided on the SDGs, capacity building of women parliamentarians to strengthen skills and competences in National Assembly decision-making. The Independent National Electoral Commission (</w:t>
            </w:r>
            <w:r w:rsidR="00D043E6" w:rsidRPr="00C342CB">
              <w:rPr>
                <w:rFonts w:asciiTheme="minorHAnsi" w:hAnsiTheme="minorHAnsi" w:cstheme="minorHAnsi"/>
                <w:lang w:val="en"/>
              </w:rPr>
              <w:t>INEC</w:t>
            </w:r>
            <w:r w:rsidRPr="00C342CB">
              <w:rPr>
                <w:rFonts w:asciiTheme="minorHAnsi" w:hAnsiTheme="minorHAnsi" w:cstheme="minorHAnsi"/>
                <w:lang w:val="en"/>
              </w:rPr>
              <w:t xml:space="preserve">) </w:t>
            </w:r>
            <w:r w:rsidR="00D043E6" w:rsidRPr="00C342CB">
              <w:rPr>
                <w:rFonts w:asciiTheme="minorHAnsi" w:hAnsiTheme="minorHAnsi" w:cstheme="minorHAnsi"/>
                <w:lang w:val="en"/>
              </w:rPr>
              <w:t xml:space="preserve">was able to </w:t>
            </w:r>
            <w:r w:rsidR="003F1F1D" w:rsidRPr="00C342CB">
              <w:rPr>
                <w:rFonts w:asciiTheme="minorHAnsi" w:hAnsiTheme="minorHAnsi" w:cstheme="minorHAnsi"/>
                <w:lang w:val="en"/>
              </w:rPr>
              <w:t>coordinate</w:t>
            </w:r>
            <w:r w:rsidR="00D043E6" w:rsidRPr="00C342CB">
              <w:rPr>
                <w:rFonts w:asciiTheme="minorHAnsi" w:hAnsiTheme="minorHAnsi" w:cstheme="minorHAnsi"/>
                <w:lang w:val="en"/>
              </w:rPr>
              <w:t xml:space="preserve"> </w:t>
            </w:r>
            <w:r w:rsidRPr="00C342CB">
              <w:rPr>
                <w:rFonts w:asciiTheme="minorHAnsi" w:hAnsiTheme="minorHAnsi" w:cstheme="minorHAnsi"/>
                <w:lang w:val="en"/>
              </w:rPr>
              <w:t xml:space="preserve">peaceful and credible elections with </w:t>
            </w:r>
            <w:r w:rsidR="00D043E6" w:rsidRPr="00C342CB">
              <w:rPr>
                <w:rFonts w:asciiTheme="minorHAnsi" w:hAnsiTheme="minorHAnsi" w:cstheme="minorHAnsi"/>
                <w:lang w:val="en"/>
              </w:rPr>
              <w:t>an</w:t>
            </w:r>
            <w:r w:rsidRPr="00C342CB">
              <w:rPr>
                <w:rFonts w:asciiTheme="minorHAnsi" w:hAnsiTheme="minorHAnsi" w:cstheme="minorHAnsi"/>
                <w:lang w:val="en"/>
              </w:rPr>
              <w:t xml:space="preserve"> historic participation rate (66.75%) including young people and women</w:t>
            </w:r>
            <w:r w:rsidR="00D043E6" w:rsidRPr="00C342CB">
              <w:rPr>
                <w:rFonts w:asciiTheme="minorHAnsi" w:hAnsiTheme="minorHAnsi" w:cstheme="minorHAnsi"/>
                <w:lang w:val="en"/>
              </w:rPr>
              <w:t xml:space="preserve"> with UNDP support. I</w:t>
            </w:r>
            <w:r w:rsidRPr="00C342CB">
              <w:rPr>
                <w:rFonts w:asciiTheme="minorHAnsi" w:hAnsiTheme="minorHAnsi" w:cstheme="minorHAnsi"/>
                <w:lang w:val="en"/>
              </w:rPr>
              <w:t>n co-</w:t>
            </w:r>
            <w:r w:rsidR="00D043E6" w:rsidRPr="00C342CB">
              <w:rPr>
                <w:rFonts w:asciiTheme="minorHAnsi" w:hAnsiTheme="minorHAnsi" w:cstheme="minorHAnsi"/>
                <w:lang w:val="en"/>
              </w:rPr>
              <w:t>chairing the steering committee</w:t>
            </w:r>
            <w:r w:rsidRPr="00C342CB">
              <w:rPr>
                <w:rFonts w:asciiTheme="minorHAnsi" w:hAnsiTheme="minorHAnsi" w:cstheme="minorHAnsi"/>
                <w:lang w:val="en"/>
              </w:rPr>
              <w:t xml:space="preserve"> with the </w:t>
            </w:r>
            <w:r w:rsidR="00D043E6" w:rsidRPr="00C342CB">
              <w:rPr>
                <w:rFonts w:asciiTheme="minorHAnsi" w:hAnsiTheme="minorHAnsi" w:cstheme="minorHAnsi"/>
                <w:lang w:val="en"/>
              </w:rPr>
              <w:t>INEC</w:t>
            </w:r>
            <w:r w:rsidRPr="00C342CB">
              <w:rPr>
                <w:rFonts w:asciiTheme="minorHAnsi" w:hAnsiTheme="minorHAnsi" w:cstheme="minorHAnsi"/>
                <w:lang w:val="en"/>
              </w:rPr>
              <w:t xml:space="preserve">, UNDP provided strategic and technical coordination of national and international institutions, relevant advisory support, </w:t>
            </w:r>
            <w:r w:rsidR="00D043E6" w:rsidRPr="00C342CB">
              <w:rPr>
                <w:rFonts w:asciiTheme="minorHAnsi" w:hAnsiTheme="minorHAnsi" w:cstheme="minorHAnsi"/>
                <w:lang w:val="en"/>
              </w:rPr>
              <w:t xml:space="preserve">high expertise within the INEC and </w:t>
            </w:r>
            <w:r w:rsidRPr="00C342CB">
              <w:rPr>
                <w:rFonts w:asciiTheme="minorHAnsi" w:hAnsiTheme="minorHAnsi" w:cstheme="minorHAnsi"/>
                <w:lang w:val="en"/>
              </w:rPr>
              <w:t xml:space="preserve">financial resources </w:t>
            </w:r>
            <w:r w:rsidR="00D043E6" w:rsidRPr="00C342CB">
              <w:rPr>
                <w:rFonts w:asciiTheme="minorHAnsi" w:hAnsiTheme="minorHAnsi" w:cstheme="minorHAnsi"/>
                <w:lang w:val="en"/>
              </w:rPr>
              <w:t>through the management of a joint donor basket fund</w:t>
            </w:r>
            <w:r w:rsidRPr="00C342CB">
              <w:rPr>
                <w:rFonts w:asciiTheme="minorHAnsi" w:hAnsiTheme="minorHAnsi" w:cstheme="minorHAnsi"/>
                <w:lang w:val="en"/>
              </w:rPr>
              <w:t xml:space="preserve"> of 5</w:t>
            </w:r>
            <w:r w:rsidR="00D043E6" w:rsidRPr="00C342CB">
              <w:rPr>
                <w:rFonts w:asciiTheme="minorHAnsi" w:hAnsiTheme="minorHAnsi" w:cstheme="minorHAnsi"/>
                <w:lang w:val="en"/>
              </w:rPr>
              <w:t>,</w:t>
            </w:r>
            <w:r w:rsidRPr="00C342CB">
              <w:rPr>
                <w:rFonts w:asciiTheme="minorHAnsi" w:hAnsiTheme="minorHAnsi" w:cstheme="minorHAnsi"/>
                <w:lang w:val="en"/>
              </w:rPr>
              <w:t>7</w:t>
            </w:r>
            <w:r w:rsidR="00D043E6" w:rsidRPr="00C342CB">
              <w:rPr>
                <w:rFonts w:asciiTheme="minorHAnsi" w:hAnsiTheme="minorHAnsi" w:cstheme="minorHAnsi"/>
                <w:lang w:val="en"/>
              </w:rPr>
              <w:t>million USD</w:t>
            </w:r>
            <w:r w:rsidRPr="00C342CB">
              <w:rPr>
                <w:rFonts w:asciiTheme="minorHAnsi" w:hAnsiTheme="minorHAnsi" w:cstheme="minorHAnsi"/>
                <w:lang w:val="en"/>
              </w:rPr>
              <w:t>.</w:t>
            </w:r>
          </w:p>
          <w:p w14:paraId="756C2C1F" w14:textId="77777777" w:rsidR="0043690B" w:rsidRPr="00C342CB" w:rsidRDefault="00482765" w:rsidP="00C342CB">
            <w:pPr>
              <w:pStyle w:val="BodyText2"/>
              <w:numPr>
                <w:ilvl w:val="0"/>
                <w:numId w:val="31"/>
              </w:numPr>
              <w:rPr>
                <w:rFonts w:asciiTheme="minorHAnsi" w:hAnsiTheme="minorHAnsi" w:cstheme="minorHAnsi"/>
                <w:i/>
              </w:rPr>
            </w:pPr>
            <w:r w:rsidRPr="00C342CB">
              <w:rPr>
                <w:rFonts w:asciiTheme="minorHAnsi" w:hAnsiTheme="minorHAnsi" w:cstheme="minorHAnsi"/>
                <w:lang w:val="en"/>
              </w:rPr>
              <w:t xml:space="preserve">UNDP support </w:t>
            </w:r>
            <w:r w:rsidR="0043690B" w:rsidRPr="00C342CB">
              <w:rPr>
                <w:rFonts w:asciiTheme="minorHAnsi" w:hAnsiTheme="minorHAnsi" w:cstheme="minorHAnsi"/>
                <w:lang w:val="en"/>
              </w:rPr>
              <w:t>to the development of a</w:t>
            </w:r>
            <w:r w:rsidRPr="00C342CB">
              <w:rPr>
                <w:rFonts w:asciiTheme="minorHAnsi" w:hAnsiTheme="minorHAnsi" w:cstheme="minorHAnsi"/>
                <w:lang w:val="en"/>
              </w:rPr>
              <w:t xml:space="preserve"> good quality </w:t>
            </w:r>
            <w:r w:rsidR="0043690B" w:rsidRPr="00C342CB">
              <w:rPr>
                <w:rFonts w:asciiTheme="minorHAnsi" w:hAnsiTheme="minorHAnsi" w:cstheme="minorHAnsi"/>
                <w:lang w:val="en"/>
              </w:rPr>
              <w:t xml:space="preserve">report </w:t>
            </w:r>
            <w:r w:rsidRPr="00C342CB">
              <w:rPr>
                <w:rFonts w:asciiTheme="minorHAnsi" w:hAnsiTheme="minorHAnsi" w:cstheme="minorHAnsi"/>
                <w:lang w:val="en"/>
              </w:rPr>
              <w:t>of the universal periodic review</w:t>
            </w:r>
            <w:r w:rsidR="0043690B" w:rsidRPr="00C342CB">
              <w:rPr>
                <w:rFonts w:asciiTheme="minorHAnsi" w:hAnsiTheme="minorHAnsi" w:cstheme="minorHAnsi"/>
                <w:lang w:val="en"/>
              </w:rPr>
              <w:t xml:space="preserve"> (UPR)</w:t>
            </w:r>
            <w:r w:rsidRPr="00C342CB">
              <w:rPr>
                <w:rFonts w:asciiTheme="minorHAnsi" w:hAnsiTheme="minorHAnsi" w:cstheme="minorHAnsi"/>
                <w:lang w:val="en"/>
              </w:rPr>
              <w:t xml:space="preserve"> led to its unanimous endorsement by the Human Rights Council. With the expertise and financial support of UNDP, Niger </w:t>
            </w:r>
            <w:r w:rsidR="0043690B" w:rsidRPr="00C342CB">
              <w:rPr>
                <w:rFonts w:asciiTheme="minorHAnsi" w:hAnsiTheme="minorHAnsi" w:cstheme="minorHAnsi"/>
                <w:lang w:val="en"/>
              </w:rPr>
              <w:t xml:space="preserve">helped the country </w:t>
            </w:r>
            <w:r w:rsidRPr="00C342CB">
              <w:rPr>
                <w:rFonts w:asciiTheme="minorHAnsi" w:hAnsiTheme="minorHAnsi" w:cstheme="minorHAnsi"/>
                <w:lang w:val="en"/>
              </w:rPr>
              <w:t xml:space="preserve">made up for 10 years </w:t>
            </w:r>
            <w:r w:rsidR="0043690B" w:rsidRPr="00C342CB">
              <w:rPr>
                <w:rFonts w:asciiTheme="minorHAnsi" w:hAnsiTheme="minorHAnsi" w:cstheme="minorHAnsi"/>
                <w:lang w:val="en"/>
              </w:rPr>
              <w:t>delay in</w:t>
            </w:r>
            <w:r w:rsidRPr="00C342CB">
              <w:rPr>
                <w:rFonts w:asciiTheme="minorHAnsi" w:hAnsiTheme="minorHAnsi" w:cstheme="minorHAnsi"/>
                <w:lang w:val="en"/>
              </w:rPr>
              <w:t xml:space="preserve"> its </w:t>
            </w:r>
            <w:r w:rsidR="0043690B" w:rsidRPr="00C342CB">
              <w:rPr>
                <w:rFonts w:asciiTheme="minorHAnsi" w:hAnsiTheme="minorHAnsi" w:cstheme="minorHAnsi"/>
                <w:lang w:val="en"/>
              </w:rPr>
              <w:t xml:space="preserve">reporting </w:t>
            </w:r>
            <w:r w:rsidRPr="00C342CB">
              <w:rPr>
                <w:rFonts w:asciiTheme="minorHAnsi" w:hAnsiTheme="minorHAnsi" w:cstheme="minorHAnsi"/>
                <w:lang w:val="en"/>
              </w:rPr>
              <w:t xml:space="preserve">commitments with the successful presentation of </w:t>
            </w:r>
            <w:r w:rsidR="0043690B" w:rsidRPr="00C342CB">
              <w:rPr>
                <w:rFonts w:asciiTheme="minorHAnsi" w:hAnsiTheme="minorHAnsi" w:cstheme="minorHAnsi"/>
                <w:lang w:val="en"/>
              </w:rPr>
              <w:t>the national</w:t>
            </w:r>
            <w:r w:rsidRPr="00C342CB">
              <w:rPr>
                <w:rFonts w:asciiTheme="minorHAnsi" w:hAnsiTheme="minorHAnsi" w:cstheme="minorHAnsi"/>
                <w:lang w:val="en"/>
              </w:rPr>
              <w:t xml:space="preserve"> combined report on the Convention on the Elimination of All Forms of Discrimination against Regarding Women</w:t>
            </w:r>
            <w:r w:rsidR="0043690B" w:rsidRPr="00C342CB">
              <w:rPr>
                <w:rFonts w:asciiTheme="minorHAnsi" w:hAnsiTheme="minorHAnsi" w:cstheme="minorHAnsi"/>
                <w:lang w:val="en"/>
              </w:rPr>
              <w:t xml:space="preserve"> (CEDAW)</w:t>
            </w:r>
            <w:r w:rsidRPr="00C342CB">
              <w:rPr>
                <w:rFonts w:asciiTheme="minorHAnsi" w:hAnsiTheme="minorHAnsi" w:cstheme="minorHAnsi"/>
                <w:lang w:val="en"/>
              </w:rPr>
              <w:t>.</w:t>
            </w:r>
          </w:p>
          <w:p w14:paraId="0AE758F5" w14:textId="4B1A9AFA" w:rsidR="002F7493" w:rsidRPr="00C342CB" w:rsidRDefault="0043690B" w:rsidP="00C342CB">
            <w:pPr>
              <w:pStyle w:val="BodyText2"/>
              <w:numPr>
                <w:ilvl w:val="0"/>
                <w:numId w:val="31"/>
              </w:numPr>
              <w:jc w:val="both"/>
              <w:rPr>
                <w:rFonts w:asciiTheme="minorHAnsi" w:hAnsiTheme="minorHAnsi"/>
                <w:i/>
              </w:rPr>
            </w:pPr>
            <w:r w:rsidRPr="00C342CB">
              <w:rPr>
                <w:rFonts w:asciiTheme="minorHAnsi" w:hAnsiTheme="minorHAnsi" w:cstheme="minorHAnsi"/>
                <w:lang w:val="en"/>
              </w:rPr>
              <w:t xml:space="preserve">Providing UN Volunteers specialized in law to </w:t>
            </w:r>
            <w:r w:rsidR="00482765" w:rsidRPr="00C342CB">
              <w:rPr>
                <w:rFonts w:asciiTheme="minorHAnsi" w:hAnsiTheme="minorHAnsi" w:cstheme="minorHAnsi"/>
                <w:lang w:val="en"/>
              </w:rPr>
              <w:t>23 out of 38 (60.52%) prisons resulted in</w:t>
            </w:r>
            <w:r w:rsidRPr="00C342CB">
              <w:rPr>
                <w:rFonts w:asciiTheme="minorHAnsi" w:hAnsiTheme="minorHAnsi" w:cstheme="minorHAnsi"/>
                <w:lang w:val="en"/>
              </w:rPr>
              <w:t xml:space="preserve"> having</w:t>
            </w:r>
            <w:r w:rsidR="00482765" w:rsidRPr="00C342CB">
              <w:rPr>
                <w:rFonts w:asciiTheme="minorHAnsi" w:hAnsiTheme="minorHAnsi" w:cstheme="minorHAnsi"/>
                <w:lang w:val="en"/>
              </w:rPr>
              <w:t xml:space="preserve"> 13,481 detainees out of a total of 18,153 (71%) in 2016, including 430 out of 531 (76%) and 561 out of 656 (85 per cent) miners</w:t>
            </w:r>
            <w:r w:rsidRPr="00C342CB">
              <w:rPr>
                <w:rFonts w:asciiTheme="minorHAnsi" w:hAnsiTheme="minorHAnsi" w:cstheme="minorHAnsi"/>
                <w:lang w:val="en"/>
              </w:rPr>
              <w:t>,</w:t>
            </w:r>
            <w:r w:rsidR="00482765" w:rsidRPr="00C342CB">
              <w:rPr>
                <w:rFonts w:asciiTheme="minorHAnsi" w:hAnsiTheme="minorHAnsi" w:cstheme="minorHAnsi"/>
                <w:lang w:val="en"/>
              </w:rPr>
              <w:t xml:space="preserve"> to receive </w:t>
            </w:r>
            <w:r w:rsidR="00AB04E7">
              <w:rPr>
                <w:rFonts w:asciiTheme="minorHAnsi" w:hAnsiTheme="minorHAnsi" w:cstheme="minorHAnsi"/>
                <w:lang w:val="en"/>
              </w:rPr>
              <w:t>fast</w:t>
            </w:r>
            <w:r w:rsidR="003F1F1D">
              <w:rPr>
                <w:rFonts w:asciiTheme="minorHAnsi" w:hAnsiTheme="minorHAnsi" w:cstheme="minorHAnsi"/>
                <w:lang w:val="en"/>
              </w:rPr>
              <w:t>-t</w:t>
            </w:r>
            <w:r w:rsidR="00AB04E7">
              <w:rPr>
                <w:rFonts w:asciiTheme="minorHAnsi" w:hAnsiTheme="minorHAnsi" w:cstheme="minorHAnsi"/>
                <w:lang w:val="en"/>
              </w:rPr>
              <w:t xml:space="preserve">racked </w:t>
            </w:r>
            <w:r w:rsidRPr="00C342CB">
              <w:rPr>
                <w:rFonts w:asciiTheme="minorHAnsi" w:hAnsiTheme="minorHAnsi" w:cstheme="minorHAnsi"/>
                <w:lang w:val="en"/>
              </w:rPr>
              <w:t>judiciary</w:t>
            </w:r>
            <w:r w:rsidR="00482765" w:rsidRPr="00C342CB">
              <w:rPr>
                <w:rFonts w:asciiTheme="minorHAnsi" w:hAnsiTheme="minorHAnsi" w:cstheme="minorHAnsi"/>
                <w:lang w:val="en"/>
              </w:rPr>
              <w:t xml:space="preserve"> support; in 2017, 44.15% of the 20</w:t>
            </w:r>
            <w:r w:rsidR="00AB04E7">
              <w:rPr>
                <w:rFonts w:asciiTheme="minorHAnsi" w:hAnsiTheme="minorHAnsi" w:cstheme="minorHAnsi"/>
                <w:lang w:val="en"/>
              </w:rPr>
              <w:t>,</w:t>
            </w:r>
            <w:r w:rsidR="00482765" w:rsidRPr="00C342CB">
              <w:rPr>
                <w:rFonts w:asciiTheme="minorHAnsi" w:hAnsiTheme="minorHAnsi" w:cstheme="minorHAnsi"/>
                <w:lang w:val="en"/>
              </w:rPr>
              <w:t>890 detainees were made aware of their rights, 644 defendants (including 82 minors and 62 women) out of 1</w:t>
            </w:r>
            <w:r w:rsidR="00AB04E7">
              <w:rPr>
                <w:rFonts w:asciiTheme="minorHAnsi" w:hAnsiTheme="minorHAnsi" w:cstheme="minorHAnsi"/>
                <w:lang w:val="en"/>
              </w:rPr>
              <w:t>,</w:t>
            </w:r>
            <w:r w:rsidR="00482765" w:rsidRPr="00C342CB">
              <w:rPr>
                <w:rFonts w:asciiTheme="minorHAnsi" w:hAnsiTheme="minorHAnsi" w:cstheme="minorHAnsi"/>
                <w:lang w:val="en"/>
              </w:rPr>
              <w:t>283 were released on bail and the average length of pre-trial detention was shortened from 31 to 19 months</w:t>
            </w:r>
            <w:r w:rsidR="00A2662E" w:rsidRPr="002F7493">
              <w:rPr>
                <w:rFonts w:asciiTheme="minorHAnsi" w:hAnsiTheme="minorHAnsi" w:cstheme="minorHAnsi"/>
                <w:lang w:val="en"/>
              </w:rPr>
              <w:t xml:space="preserve">. </w:t>
            </w:r>
          </w:p>
        </w:tc>
      </w:tr>
      <w:tr w:rsidR="00DE7AC8" w:rsidRPr="00C342CB" w14:paraId="19BF40F5" w14:textId="77777777" w:rsidTr="00DE7AC8">
        <w:tc>
          <w:tcPr>
            <w:tcW w:w="3060" w:type="dxa"/>
            <w:shd w:val="clear" w:color="auto" w:fill="95B3D7" w:themeFill="accent1" w:themeFillTint="99"/>
          </w:tcPr>
          <w:p w14:paraId="549EC389" w14:textId="77777777" w:rsidR="00DE7AC8" w:rsidRPr="0002591C" w:rsidRDefault="00DE7AC8" w:rsidP="00DA64AA">
            <w:pPr>
              <w:pStyle w:val="BodyText2"/>
              <w:rPr>
                <w:rFonts w:asciiTheme="minorHAnsi" w:hAnsiTheme="minorHAnsi"/>
                <w:b/>
                <w:lang w:val="fr-FR"/>
              </w:rPr>
            </w:pPr>
            <w:r w:rsidRPr="003531D6">
              <w:rPr>
                <w:rFonts w:asciiTheme="minorHAnsi" w:hAnsiTheme="minorHAnsi"/>
                <w:b/>
                <w:lang w:val="fr-FR"/>
              </w:rPr>
              <w:lastRenderedPageBreak/>
              <w:t xml:space="preserve">4. </w:t>
            </w:r>
            <w:r w:rsidR="003F148A" w:rsidRPr="00C342CB">
              <w:rPr>
                <w:rFonts w:asciiTheme="minorHAnsi" w:hAnsiTheme="minorHAnsi"/>
                <w:b/>
                <w:i/>
                <w:lang w:val="fr-FR"/>
              </w:rPr>
              <w:t>D’ici à 2018, les institutions nationales et locales et les communautés ciblées assurent la sécurité des biens et des personnes et le fonctionnement des mécanismes de consolidation de la paix.</w:t>
            </w:r>
          </w:p>
        </w:tc>
        <w:tc>
          <w:tcPr>
            <w:tcW w:w="1530" w:type="dxa"/>
            <w:gridSpan w:val="2"/>
            <w:shd w:val="clear" w:color="auto" w:fill="auto"/>
          </w:tcPr>
          <w:p w14:paraId="69C05035" w14:textId="77777777" w:rsidR="00DE7AC8" w:rsidRPr="00DC7354" w:rsidRDefault="00DE7AC8" w:rsidP="00DA64AA">
            <w:pPr>
              <w:pStyle w:val="BodyText2"/>
              <w:rPr>
                <w:rFonts w:asciiTheme="minorHAnsi" w:hAnsiTheme="minorHAnsi"/>
              </w:rPr>
            </w:pPr>
            <w:r w:rsidRPr="00DC7354">
              <w:rPr>
                <w:rFonts w:asciiTheme="minorHAnsi" w:hAnsiTheme="minorHAnsi"/>
              </w:rPr>
              <w:t>$</w:t>
            </w:r>
            <w:r w:rsidR="004621FC">
              <w:rPr>
                <w:rFonts w:asciiTheme="minorHAnsi" w:hAnsiTheme="minorHAnsi"/>
              </w:rPr>
              <w:t xml:space="preserve"> 24</w:t>
            </w:r>
            <w:r w:rsidRPr="00DC7354">
              <w:rPr>
                <w:rFonts w:asciiTheme="minorHAnsi" w:hAnsiTheme="minorHAnsi"/>
              </w:rPr>
              <w:t xml:space="preserve"> million</w:t>
            </w:r>
          </w:p>
        </w:tc>
        <w:tc>
          <w:tcPr>
            <w:tcW w:w="3960" w:type="dxa"/>
            <w:tcBorders>
              <w:left w:val="single" w:sz="4" w:space="0" w:color="auto"/>
            </w:tcBorders>
          </w:tcPr>
          <w:p w14:paraId="11D2019C" w14:textId="3A5A3F81" w:rsidR="003F148A" w:rsidRPr="00C342CB" w:rsidRDefault="003531D6" w:rsidP="003F148A">
            <w:pPr>
              <w:pStyle w:val="BodyText2"/>
              <w:numPr>
                <w:ilvl w:val="0"/>
                <w:numId w:val="20"/>
              </w:numPr>
              <w:rPr>
                <w:rFonts w:asciiTheme="minorHAnsi" w:hAnsiTheme="minorHAnsi"/>
              </w:rPr>
            </w:pPr>
            <w:r w:rsidRPr="00C342CB">
              <w:rPr>
                <w:rFonts w:asciiTheme="minorHAnsi" w:hAnsiTheme="minorHAnsi"/>
              </w:rPr>
              <w:t xml:space="preserve">Conflict reduction rate in at risk areas </w:t>
            </w:r>
          </w:p>
          <w:p w14:paraId="409476EB" w14:textId="450EA654" w:rsidR="00DE7AC8" w:rsidRPr="00C342CB" w:rsidRDefault="003F148A">
            <w:pPr>
              <w:pStyle w:val="BodyText2"/>
              <w:numPr>
                <w:ilvl w:val="0"/>
                <w:numId w:val="20"/>
              </w:numPr>
              <w:rPr>
                <w:rFonts w:asciiTheme="minorHAnsi" w:hAnsiTheme="minorHAnsi"/>
                <w:i/>
              </w:rPr>
            </w:pPr>
            <w:r w:rsidRPr="00C342CB">
              <w:rPr>
                <w:rFonts w:asciiTheme="minorHAnsi" w:hAnsiTheme="minorHAnsi"/>
              </w:rPr>
              <w:t xml:space="preserve">% </w:t>
            </w:r>
            <w:r w:rsidR="003531D6" w:rsidRPr="00C342CB">
              <w:rPr>
                <w:rFonts w:asciiTheme="minorHAnsi" w:hAnsiTheme="minorHAnsi"/>
              </w:rPr>
              <w:t xml:space="preserve">national </w:t>
            </w:r>
            <w:r w:rsidRPr="00C342CB">
              <w:rPr>
                <w:rFonts w:asciiTheme="minorHAnsi" w:hAnsiTheme="minorHAnsi"/>
              </w:rPr>
              <w:t xml:space="preserve">structures </w:t>
            </w:r>
            <w:r w:rsidR="003531D6" w:rsidRPr="00C342CB">
              <w:rPr>
                <w:rFonts w:asciiTheme="minorHAnsi" w:hAnsiTheme="minorHAnsi"/>
              </w:rPr>
              <w:t>in</w:t>
            </w:r>
            <w:r w:rsidR="002F7493" w:rsidRPr="00C342CB">
              <w:rPr>
                <w:rFonts w:asciiTheme="minorHAnsi" w:hAnsiTheme="minorHAnsi"/>
              </w:rPr>
              <w:t xml:space="preserve"> </w:t>
            </w:r>
            <w:r w:rsidR="003531D6" w:rsidRPr="00C342CB">
              <w:rPr>
                <w:rFonts w:asciiTheme="minorHAnsi" w:hAnsiTheme="minorHAnsi"/>
              </w:rPr>
              <w:t xml:space="preserve">charge of peace </w:t>
            </w:r>
            <w:r w:rsidR="002F7493" w:rsidRPr="00C342CB">
              <w:rPr>
                <w:rFonts w:asciiTheme="minorHAnsi" w:hAnsiTheme="minorHAnsi"/>
              </w:rPr>
              <w:t>and</w:t>
            </w:r>
            <w:r w:rsidR="003531D6" w:rsidRPr="00C342CB">
              <w:rPr>
                <w:rFonts w:asciiTheme="minorHAnsi" w:hAnsiTheme="minorHAnsi"/>
              </w:rPr>
              <w:t xml:space="preserve"> security </w:t>
            </w:r>
            <w:r w:rsidRPr="00C342CB">
              <w:rPr>
                <w:rFonts w:asciiTheme="minorHAnsi" w:hAnsiTheme="minorHAnsi"/>
              </w:rPr>
              <w:t xml:space="preserve"> </w:t>
            </w:r>
            <w:r w:rsidR="002F7493" w:rsidRPr="00C342CB">
              <w:rPr>
                <w:rFonts w:asciiTheme="minorHAnsi" w:hAnsiTheme="minorHAnsi"/>
              </w:rPr>
              <w:t xml:space="preserve">with operational </w:t>
            </w:r>
            <w:r w:rsidR="00DA64AA" w:rsidRPr="00C342CB">
              <w:rPr>
                <w:rFonts w:asciiTheme="minorHAnsi" w:hAnsiTheme="minorHAnsi"/>
              </w:rPr>
              <w:t>mechanisms</w:t>
            </w:r>
            <w:r w:rsidR="002F7493" w:rsidRPr="00C342CB">
              <w:rPr>
                <w:rFonts w:asciiTheme="minorHAnsi" w:hAnsiTheme="minorHAnsi"/>
              </w:rPr>
              <w:t xml:space="preserve"> for crisis prevention and management in place</w:t>
            </w:r>
            <w:r w:rsidR="002F7493" w:rsidRPr="00C342CB">
              <w:rPr>
                <w:rFonts w:asciiTheme="minorHAnsi" w:hAnsiTheme="minorHAnsi"/>
                <w:i/>
              </w:rPr>
              <w:t xml:space="preserve">  </w:t>
            </w:r>
          </w:p>
        </w:tc>
        <w:tc>
          <w:tcPr>
            <w:tcW w:w="5490" w:type="dxa"/>
            <w:shd w:val="clear" w:color="auto" w:fill="auto"/>
          </w:tcPr>
          <w:p w14:paraId="1C7D1006" w14:textId="53BAF8D4" w:rsidR="00C342CB" w:rsidRPr="00C342CB" w:rsidRDefault="002F7493" w:rsidP="00C342CB">
            <w:pPr>
              <w:pStyle w:val="BodyText2"/>
              <w:numPr>
                <w:ilvl w:val="0"/>
                <w:numId w:val="21"/>
              </w:numPr>
              <w:rPr>
                <w:rFonts w:asciiTheme="minorHAnsi" w:hAnsiTheme="minorHAnsi"/>
                <w:i/>
              </w:rPr>
            </w:pPr>
            <w:r w:rsidRPr="00C342CB">
              <w:rPr>
                <w:rFonts w:asciiTheme="minorHAnsi" w:hAnsiTheme="minorHAnsi" w:cstheme="minorHAnsi"/>
                <w:lang w:val="en"/>
              </w:rPr>
              <w:t xml:space="preserve">Between 2014 and 2016, there was an increase in insecurity and incidents in the regions of </w:t>
            </w:r>
            <w:proofErr w:type="spellStart"/>
            <w:r w:rsidRPr="00C342CB">
              <w:rPr>
                <w:rFonts w:asciiTheme="minorHAnsi" w:hAnsiTheme="minorHAnsi" w:cstheme="minorHAnsi"/>
                <w:lang w:val="en"/>
              </w:rPr>
              <w:t>Diffa</w:t>
            </w:r>
            <w:proofErr w:type="spellEnd"/>
            <w:r w:rsidRPr="00C342CB">
              <w:rPr>
                <w:rFonts w:asciiTheme="minorHAnsi" w:hAnsiTheme="minorHAnsi" w:cstheme="minorHAnsi"/>
                <w:lang w:val="en"/>
              </w:rPr>
              <w:t xml:space="preserve">, </w:t>
            </w:r>
            <w:proofErr w:type="spellStart"/>
            <w:r w:rsidRPr="00C342CB">
              <w:rPr>
                <w:rFonts w:asciiTheme="minorHAnsi" w:hAnsiTheme="minorHAnsi" w:cstheme="minorHAnsi"/>
                <w:lang w:val="en"/>
              </w:rPr>
              <w:t>Tillabery</w:t>
            </w:r>
            <w:proofErr w:type="spellEnd"/>
            <w:r w:rsidRPr="00C342CB">
              <w:rPr>
                <w:rFonts w:asciiTheme="minorHAnsi" w:hAnsiTheme="minorHAnsi" w:cstheme="minorHAnsi"/>
                <w:lang w:val="en"/>
              </w:rPr>
              <w:t xml:space="preserve"> and </w:t>
            </w:r>
            <w:proofErr w:type="spellStart"/>
            <w:r w:rsidRPr="00C342CB">
              <w:rPr>
                <w:rFonts w:asciiTheme="minorHAnsi" w:hAnsiTheme="minorHAnsi" w:cstheme="minorHAnsi"/>
                <w:lang w:val="en"/>
              </w:rPr>
              <w:t>Tahoua</w:t>
            </w:r>
            <w:proofErr w:type="spellEnd"/>
            <w:r w:rsidRPr="00C342CB">
              <w:rPr>
                <w:rFonts w:asciiTheme="minorHAnsi" w:hAnsiTheme="minorHAnsi" w:cstheme="minorHAnsi"/>
                <w:lang w:val="en"/>
              </w:rPr>
              <w:t xml:space="preserve">, following repeated attacks by Boko Haram in the south-east of the country and the situation in northern Mali. </w:t>
            </w:r>
            <w:r w:rsidR="00AB04E7" w:rsidRPr="00C342CB">
              <w:rPr>
                <w:rFonts w:asciiTheme="minorHAnsi" w:hAnsiTheme="minorHAnsi" w:cstheme="minorHAnsi"/>
                <w:lang w:val="en"/>
              </w:rPr>
              <w:t>However, r</w:t>
            </w:r>
            <w:r w:rsidRPr="00C342CB">
              <w:rPr>
                <w:rFonts w:asciiTheme="minorHAnsi" w:hAnsiTheme="minorHAnsi" w:cstheme="minorHAnsi"/>
                <w:lang w:val="en"/>
              </w:rPr>
              <w:t>eports from the institutions involved in the field indicate since 2016 a certain progress</w:t>
            </w:r>
          </w:p>
          <w:p w14:paraId="76724B4A" w14:textId="64B4B505" w:rsidR="00482765" w:rsidRPr="00C342CB" w:rsidRDefault="002F7493" w:rsidP="00C342CB">
            <w:pPr>
              <w:pStyle w:val="BodyText2"/>
              <w:numPr>
                <w:ilvl w:val="0"/>
                <w:numId w:val="21"/>
              </w:numPr>
              <w:rPr>
                <w:rFonts w:asciiTheme="minorHAnsi" w:hAnsiTheme="minorHAnsi"/>
                <w:i/>
              </w:rPr>
            </w:pPr>
            <w:r w:rsidRPr="00C342CB">
              <w:rPr>
                <w:rFonts w:asciiTheme="minorHAnsi" w:hAnsiTheme="minorHAnsi" w:cstheme="minorHAnsi"/>
                <w:lang w:val="en"/>
              </w:rPr>
              <w:t>2014 = 60% (3 structures out of 5); 2017 = 80% (4 out of 5)</w:t>
            </w:r>
          </w:p>
        </w:tc>
      </w:tr>
      <w:tr w:rsidR="00DE7AC8" w:rsidRPr="00482765" w14:paraId="5244FCC2" w14:textId="77777777" w:rsidTr="00DE7AC8">
        <w:tc>
          <w:tcPr>
            <w:tcW w:w="14040" w:type="dxa"/>
            <w:gridSpan w:val="5"/>
          </w:tcPr>
          <w:p w14:paraId="592BC035" w14:textId="77777777" w:rsidR="00DE7AC8" w:rsidRPr="005F4959" w:rsidRDefault="00DE7AC8" w:rsidP="00DA64AA">
            <w:pPr>
              <w:pStyle w:val="BodyText2"/>
              <w:rPr>
                <w:rFonts w:asciiTheme="minorHAnsi" w:hAnsiTheme="minorHAnsi"/>
                <w:b/>
                <w:lang w:val="fr-FR"/>
              </w:rPr>
            </w:pPr>
            <w:r w:rsidRPr="005F4959">
              <w:rPr>
                <w:rFonts w:asciiTheme="minorHAnsi" w:hAnsiTheme="minorHAnsi"/>
                <w:b/>
                <w:lang w:val="fr-FR"/>
              </w:rPr>
              <w:t xml:space="preserve">UNDP </w:t>
            </w:r>
            <w:proofErr w:type="gramStart"/>
            <w:r w:rsidRPr="005F4959">
              <w:rPr>
                <w:rFonts w:asciiTheme="minorHAnsi" w:hAnsiTheme="minorHAnsi"/>
                <w:b/>
                <w:lang w:val="fr-FR"/>
              </w:rPr>
              <w:t>Contribution:</w:t>
            </w:r>
            <w:proofErr w:type="gramEnd"/>
          </w:p>
          <w:p w14:paraId="7E799CD9" w14:textId="77777777" w:rsidR="00DE7AC8" w:rsidRPr="005F4959" w:rsidRDefault="00DE7AC8" w:rsidP="00DA64AA">
            <w:pPr>
              <w:pStyle w:val="BodyText2"/>
              <w:rPr>
                <w:rFonts w:asciiTheme="minorHAnsi" w:hAnsiTheme="minorHAnsi"/>
                <w:u w:val="single"/>
                <w:lang w:val="fr-FR"/>
              </w:rPr>
            </w:pPr>
          </w:p>
          <w:p w14:paraId="1A832ABE" w14:textId="77777777" w:rsidR="00DE7AC8" w:rsidRPr="005F4959" w:rsidRDefault="00DE7AC8" w:rsidP="00DA64AA">
            <w:pPr>
              <w:pStyle w:val="BodyText2"/>
              <w:rPr>
                <w:rFonts w:asciiTheme="minorHAnsi" w:hAnsiTheme="minorHAnsi"/>
                <w:lang w:val="fr-FR"/>
              </w:rPr>
            </w:pPr>
            <w:r w:rsidRPr="005F4959">
              <w:rPr>
                <w:rFonts w:asciiTheme="minorHAnsi" w:hAnsiTheme="minorHAnsi"/>
                <w:u w:val="single"/>
                <w:lang w:val="fr-FR"/>
              </w:rPr>
              <w:t xml:space="preserve">CP </w:t>
            </w:r>
            <w:proofErr w:type="gramStart"/>
            <w:r w:rsidRPr="005F4959">
              <w:rPr>
                <w:rFonts w:asciiTheme="minorHAnsi" w:hAnsiTheme="minorHAnsi"/>
                <w:u w:val="single"/>
                <w:lang w:val="fr-FR"/>
              </w:rPr>
              <w:t>Outputs</w:t>
            </w:r>
            <w:r w:rsidRPr="005F4959">
              <w:rPr>
                <w:rFonts w:asciiTheme="minorHAnsi" w:hAnsiTheme="minorHAnsi"/>
                <w:lang w:val="fr-FR"/>
              </w:rPr>
              <w:t>:</w:t>
            </w:r>
            <w:proofErr w:type="gramEnd"/>
          </w:p>
          <w:p w14:paraId="15A8D300" w14:textId="7D0D947E" w:rsidR="00647283" w:rsidRPr="00C342CB" w:rsidRDefault="00482765" w:rsidP="00DA64AA">
            <w:pPr>
              <w:pStyle w:val="BodyText2"/>
              <w:rPr>
                <w:rFonts w:asciiTheme="minorHAnsi" w:hAnsiTheme="minorHAnsi" w:cstheme="minorHAnsi"/>
              </w:rPr>
            </w:pPr>
            <w:r w:rsidRPr="00C342CB">
              <w:rPr>
                <w:rFonts w:asciiTheme="minorHAnsi" w:hAnsiTheme="minorHAnsi" w:cstheme="minorHAnsi"/>
                <w:lang w:val="en"/>
              </w:rPr>
              <w:t>The CPD identified a major</w:t>
            </w:r>
            <w:r w:rsidR="00DA64AA" w:rsidRPr="00C342CB">
              <w:rPr>
                <w:rFonts w:asciiTheme="minorHAnsi" w:hAnsiTheme="minorHAnsi" w:cstheme="minorHAnsi"/>
                <w:lang w:val="en"/>
              </w:rPr>
              <w:t xml:space="preserve"> the following</w:t>
            </w:r>
            <w:r w:rsidRPr="00C342CB">
              <w:rPr>
                <w:rFonts w:asciiTheme="minorHAnsi" w:hAnsiTheme="minorHAnsi" w:cstheme="minorHAnsi"/>
                <w:lang w:val="en"/>
              </w:rPr>
              <w:t xml:space="preserve"> </w:t>
            </w:r>
            <w:r w:rsidR="00DA64AA" w:rsidRPr="00C342CB">
              <w:rPr>
                <w:rFonts w:asciiTheme="minorHAnsi" w:hAnsiTheme="minorHAnsi" w:cstheme="minorHAnsi"/>
                <w:lang w:val="en"/>
              </w:rPr>
              <w:t xml:space="preserve">outputs in contribution to </w:t>
            </w:r>
            <w:r w:rsidRPr="00C342CB">
              <w:rPr>
                <w:rFonts w:asciiTheme="minorHAnsi" w:hAnsiTheme="minorHAnsi" w:cstheme="minorHAnsi"/>
                <w:lang w:val="en"/>
              </w:rPr>
              <w:t xml:space="preserve">government </w:t>
            </w:r>
            <w:r w:rsidR="00DA64AA" w:rsidRPr="00C342CB">
              <w:rPr>
                <w:rFonts w:asciiTheme="minorHAnsi" w:hAnsiTheme="minorHAnsi" w:cstheme="minorHAnsi"/>
                <w:lang w:val="en"/>
              </w:rPr>
              <w:t>outcome</w:t>
            </w:r>
            <w:r w:rsidRPr="00C342CB">
              <w:rPr>
                <w:rFonts w:asciiTheme="minorHAnsi" w:hAnsiTheme="minorHAnsi" w:cstheme="minorHAnsi"/>
                <w:lang w:val="en"/>
              </w:rPr>
              <w:t xml:space="preserve">: (a) National peace-security structures have operational mechanisms to </w:t>
            </w:r>
            <w:r w:rsidR="00DA64AA" w:rsidRPr="00C342CB">
              <w:rPr>
                <w:rFonts w:asciiTheme="minorHAnsi" w:hAnsiTheme="minorHAnsi" w:cstheme="minorHAnsi"/>
                <w:lang w:val="en"/>
              </w:rPr>
              <w:t>promote</w:t>
            </w:r>
            <w:r w:rsidRPr="00C342CB">
              <w:rPr>
                <w:rFonts w:asciiTheme="minorHAnsi" w:hAnsiTheme="minorHAnsi" w:cstheme="minorHAnsi"/>
                <w:lang w:val="en"/>
              </w:rPr>
              <w:t xml:space="preserve"> and consolid</w:t>
            </w:r>
            <w:r w:rsidR="00DA64AA" w:rsidRPr="00C342CB">
              <w:rPr>
                <w:rFonts w:asciiTheme="minorHAnsi" w:hAnsiTheme="minorHAnsi" w:cstheme="minorHAnsi"/>
                <w:lang w:val="en"/>
              </w:rPr>
              <w:t>ate</w:t>
            </w:r>
            <w:r w:rsidRPr="00C342CB">
              <w:rPr>
                <w:rFonts w:asciiTheme="minorHAnsi" w:hAnsiTheme="minorHAnsi" w:cstheme="minorHAnsi"/>
                <w:lang w:val="en"/>
              </w:rPr>
              <w:t xml:space="preserve"> peace.</w:t>
            </w:r>
          </w:p>
          <w:p w14:paraId="7095C7B6" w14:textId="77777777" w:rsidR="00AB04E7" w:rsidRDefault="00AB04E7" w:rsidP="00DA64AA">
            <w:pPr>
              <w:pStyle w:val="BodyText2"/>
              <w:rPr>
                <w:rFonts w:asciiTheme="minorHAnsi" w:hAnsiTheme="minorHAnsi" w:cstheme="minorHAnsi"/>
                <w:u w:val="single"/>
              </w:rPr>
            </w:pPr>
          </w:p>
          <w:p w14:paraId="08B351A3" w14:textId="77777777" w:rsidR="00DE7AC8" w:rsidRPr="00C342CB" w:rsidRDefault="00DE7AC8" w:rsidP="00DA64AA">
            <w:pPr>
              <w:pStyle w:val="BodyText2"/>
              <w:rPr>
                <w:rFonts w:asciiTheme="minorHAnsi" w:hAnsiTheme="minorHAnsi" w:cstheme="minorHAnsi"/>
              </w:rPr>
            </w:pPr>
            <w:r w:rsidRPr="00C342CB">
              <w:rPr>
                <w:rFonts w:asciiTheme="minorHAnsi" w:hAnsiTheme="minorHAnsi" w:cstheme="minorHAnsi"/>
                <w:u w:val="single"/>
              </w:rPr>
              <w:t>Progress and Achievements</w:t>
            </w:r>
            <w:r w:rsidRPr="00C342CB">
              <w:rPr>
                <w:rFonts w:asciiTheme="minorHAnsi" w:hAnsiTheme="minorHAnsi" w:cstheme="minorHAnsi"/>
              </w:rPr>
              <w:t>:</w:t>
            </w:r>
          </w:p>
          <w:p w14:paraId="624F9B40" w14:textId="77777777" w:rsidR="00047CF8" w:rsidRPr="00C342CB" w:rsidRDefault="00047CF8" w:rsidP="000D63F1">
            <w:pPr>
              <w:pStyle w:val="BodyText2"/>
              <w:rPr>
                <w:rFonts w:asciiTheme="minorHAnsi" w:hAnsiTheme="minorHAnsi" w:cstheme="minorHAnsi"/>
                <w:i/>
                <w:color w:val="FF0000"/>
                <w:lang w:val="fr-FR"/>
              </w:rPr>
            </w:pPr>
            <w:r w:rsidRPr="00C342CB">
              <w:rPr>
                <w:rFonts w:asciiTheme="minorHAnsi" w:hAnsiTheme="minorHAnsi" w:cstheme="minorHAnsi"/>
                <w:color w:val="FA0ED8"/>
                <w:highlight w:val="cyan"/>
                <w:lang w:val="fr-FR"/>
              </w:rPr>
              <w:t xml:space="preserve"> </w:t>
            </w:r>
          </w:p>
          <w:p w14:paraId="65BE580E" w14:textId="6D3D87CC" w:rsidR="00482765" w:rsidRPr="00B00AF1" w:rsidRDefault="00DA64AA" w:rsidP="00B00AF1">
            <w:pPr>
              <w:pStyle w:val="BodyText2"/>
              <w:numPr>
                <w:ilvl w:val="0"/>
                <w:numId w:val="32"/>
              </w:numPr>
              <w:jc w:val="both"/>
              <w:rPr>
                <w:rFonts w:asciiTheme="minorHAnsi" w:hAnsiTheme="minorHAnsi" w:cstheme="minorHAnsi"/>
              </w:rPr>
            </w:pPr>
            <w:r w:rsidRPr="00C342CB">
              <w:rPr>
                <w:rFonts w:asciiTheme="minorHAnsi" w:hAnsiTheme="minorHAnsi" w:cstheme="minorHAnsi"/>
                <w:lang w:val="en"/>
              </w:rPr>
              <w:t>Based on the Country</w:t>
            </w:r>
            <w:r w:rsidR="00482765" w:rsidRPr="00C342CB">
              <w:rPr>
                <w:rFonts w:asciiTheme="minorHAnsi" w:hAnsiTheme="minorHAnsi" w:cstheme="minorHAnsi"/>
                <w:lang w:val="en"/>
              </w:rPr>
              <w:t xml:space="preserve"> security challenges, </w:t>
            </w:r>
            <w:r w:rsidRPr="00C342CB">
              <w:rPr>
                <w:rFonts w:asciiTheme="minorHAnsi" w:hAnsiTheme="minorHAnsi" w:cstheme="minorHAnsi"/>
                <w:lang w:val="en"/>
              </w:rPr>
              <w:t xml:space="preserve">UNDP provided technical </w:t>
            </w:r>
            <w:r w:rsidR="00482765" w:rsidRPr="00C342CB">
              <w:rPr>
                <w:rFonts w:asciiTheme="minorHAnsi" w:hAnsiTheme="minorHAnsi" w:cstheme="minorHAnsi"/>
                <w:lang w:val="en"/>
              </w:rPr>
              <w:t>and financial resources to the Ministry of the Interior and the High Authority for the Consolidation of Peace</w:t>
            </w:r>
            <w:r w:rsidRPr="00C342CB">
              <w:rPr>
                <w:rFonts w:asciiTheme="minorHAnsi" w:hAnsiTheme="minorHAnsi" w:cstheme="minorHAnsi"/>
                <w:lang w:val="en"/>
              </w:rPr>
              <w:t xml:space="preserve"> which</w:t>
            </w:r>
            <w:r w:rsidR="00482765" w:rsidRPr="00C342CB">
              <w:rPr>
                <w:rFonts w:asciiTheme="minorHAnsi" w:hAnsiTheme="minorHAnsi" w:cstheme="minorHAnsi"/>
                <w:lang w:val="en"/>
              </w:rPr>
              <w:t xml:space="preserve"> enabled the country to </w:t>
            </w:r>
            <w:r w:rsidRPr="00C342CB">
              <w:rPr>
                <w:rFonts w:asciiTheme="minorHAnsi" w:hAnsiTheme="minorHAnsi" w:cstheme="minorHAnsi"/>
                <w:lang w:val="en"/>
              </w:rPr>
              <w:t>develop the national</w:t>
            </w:r>
            <w:r w:rsidR="00482765" w:rsidRPr="00C342CB">
              <w:rPr>
                <w:rFonts w:asciiTheme="minorHAnsi" w:hAnsiTheme="minorHAnsi" w:cstheme="minorHAnsi"/>
                <w:lang w:val="en"/>
              </w:rPr>
              <w:t xml:space="preserve"> security strategy</w:t>
            </w:r>
            <w:r w:rsidRPr="00C342CB">
              <w:rPr>
                <w:rFonts w:asciiTheme="minorHAnsi" w:hAnsiTheme="minorHAnsi" w:cstheme="minorHAnsi"/>
                <w:lang w:val="en"/>
              </w:rPr>
              <w:t>,</w:t>
            </w:r>
            <w:r w:rsidR="00482765" w:rsidRPr="00C342CB">
              <w:rPr>
                <w:rFonts w:asciiTheme="minorHAnsi" w:hAnsiTheme="minorHAnsi" w:cstheme="minorHAnsi"/>
                <w:lang w:val="en"/>
              </w:rPr>
              <w:t xml:space="preserve"> defining for the first time, an institutional framework for national, Community and cross-border security. At the operational level, UNDP interventions led to: (</w:t>
            </w:r>
            <w:proofErr w:type="spellStart"/>
            <w:r w:rsidR="00482765" w:rsidRPr="00C342CB">
              <w:rPr>
                <w:rFonts w:asciiTheme="minorHAnsi" w:hAnsiTheme="minorHAnsi" w:cstheme="minorHAnsi"/>
                <w:lang w:val="en"/>
              </w:rPr>
              <w:t>i</w:t>
            </w:r>
            <w:proofErr w:type="spellEnd"/>
            <w:r w:rsidR="00482765" w:rsidRPr="00C342CB">
              <w:rPr>
                <w:rFonts w:asciiTheme="minorHAnsi" w:hAnsiTheme="minorHAnsi" w:cstheme="minorHAnsi"/>
                <w:lang w:val="en"/>
              </w:rPr>
              <w:t>) Institutional and operational capacity building, in particular: the installation of 16 regional and departmental operational security centers (infrastructure, innovative rolling stock and specialized communication equipment), the establishment of and the formation of 16 peace</w:t>
            </w:r>
            <w:r w:rsidRPr="00C342CB">
              <w:rPr>
                <w:rFonts w:asciiTheme="minorHAnsi" w:hAnsiTheme="minorHAnsi" w:cstheme="minorHAnsi"/>
                <w:lang w:val="en"/>
              </w:rPr>
              <w:t>, security</w:t>
            </w:r>
            <w:r w:rsidR="00482765" w:rsidRPr="00C342CB">
              <w:rPr>
                <w:rFonts w:asciiTheme="minorHAnsi" w:hAnsiTheme="minorHAnsi" w:cstheme="minorHAnsi"/>
                <w:lang w:val="en"/>
              </w:rPr>
              <w:t xml:space="preserve"> and early warning </w:t>
            </w:r>
            <w:r w:rsidRPr="00C342CB">
              <w:rPr>
                <w:rFonts w:asciiTheme="minorHAnsi" w:hAnsiTheme="minorHAnsi" w:cstheme="minorHAnsi"/>
                <w:lang w:val="en"/>
              </w:rPr>
              <w:t xml:space="preserve">local </w:t>
            </w:r>
            <w:r w:rsidR="00482765" w:rsidRPr="00C342CB">
              <w:rPr>
                <w:rFonts w:asciiTheme="minorHAnsi" w:hAnsiTheme="minorHAnsi" w:cstheme="minorHAnsi"/>
                <w:lang w:val="en"/>
              </w:rPr>
              <w:t xml:space="preserve">committees in 32 communes, the creation of the first 8 community policing units, the strengthening of the defense and </w:t>
            </w:r>
            <w:r w:rsidR="00482765" w:rsidRPr="00C342CB">
              <w:rPr>
                <w:rFonts w:asciiTheme="minorHAnsi" w:hAnsiTheme="minorHAnsi" w:cstheme="minorHAnsi"/>
                <w:lang w:val="en"/>
              </w:rPr>
              <w:lastRenderedPageBreak/>
              <w:t>security forces</w:t>
            </w:r>
            <w:r w:rsidR="0034230E" w:rsidRPr="00C342CB">
              <w:rPr>
                <w:rFonts w:asciiTheme="minorHAnsi" w:hAnsiTheme="minorHAnsi" w:cstheme="minorHAnsi"/>
                <w:lang w:val="en"/>
              </w:rPr>
              <w:t xml:space="preserve"> capacities</w:t>
            </w:r>
            <w:r w:rsidR="00482765" w:rsidRPr="00C342CB">
              <w:rPr>
                <w:rFonts w:asciiTheme="minorHAnsi" w:hAnsiTheme="minorHAnsi" w:cstheme="minorHAnsi"/>
                <w:lang w:val="en"/>
              </w:rPr>
              <w:t xml:space="preserve">, </w:t>
            </w:r>
            <w:r w:rsidR="0034230E" w:rsidRPr="00C342CB">
              <w:rPr>
                <w:rFonts w:asciiTheme="minorHAnsi" w:hAnsiTheme="minorHAnsi" w:cstheme="minorHAnsi"/>
                <w:lang w:val="en"/>
              </w:rPr>
              <w:t xml:space="preserve">together with </w:t>
            </w:r>
            <w:r w:rsidR="00482765" w:rsidRPr="00C342CB">
              <w:rPr>
                <w:rFonts w:asciiTheme="minorHAnsi" w:hAnsiTheme="minorHAnsi" w:cstheme="minorHAnsi"/>
                <w:lang w:val="en"/>
              </w:rPr>
              <w:t xml:space="preserve">the construction of 4 </w:t>
            </w:r>
            <w:r w:rsidR="0034230E" w:rsidRPr="00C342CB">
              <w:rPr>
                <w:rFonts w:asciiTheme="minorHAnsi" w:hAnsiTheme="minorHAnsi" w:cstheme="minorHAnsi"/>
                <w:lang w:val="en"/>
              </w:rPr>
              <w:t xml:space="preserve">regional </w:t>
            </w:r>
            <w:r w:rsidR="00482765" w:rsidRPr="00C342CB">
              <w:rPr>
                <w:rFonts w:asciiTheme="minorHAnsi" w:hAnsiTheme="minorHAnsi" w:cstheme="minorHAnsi"/>
                <w:lang w:val="en"/>
              </w:rPr>
              <w:t>training centers</w:t>
            </w:r>
            <w:r w:rsidR="0034230E" w:rsidRPr="00C342CB">
              <w:rPr>
                <w:rFonts w:asciiTheme="minorHAnsi" w:hAnsiTheme="minorHAnsi" w:cstheme="minorHAnsi"/>
                <w:lang w:val="en"/>
              </w:rPr>
              <w:t xml:space="preserve"> </w:t>
            </w:r>
            <w:r w:rsidR="00482765" w:rsidRPr="00C342CB">
              <w:rPr>
                <w:rFonts w:asciiTheme="minorHAnsi" w:hAnsiTheme="minorHAnsi" w:cstheme="minorHAnsi"/>
                <w:lang w:val="en"/>
              </w:rPr>
              <w:t xml:space="preserve">and 5 civilian-military sports complexes; (ii) the increase of trust between the civilian population and the SDS, through training / sensitization and joint community activities that directly affected 215,000 people and indirectly more than one million; (iii) socio-economic </w:t>
            </w:r>
            <w:r w:rsidR="0034230E" w:rsidRPr="00C342CB">
              <w:rPr>
                <w:rFonts w:asciiTheme="minorHAnsi" w:hAnsiTheme="minorHAnsi" w:cstheme="minorHAnsi"/>
                <w:lang w:val="en"/>
              </w:rPr>
              <w:t>empowerment for youth,</w:t>
            </w:r>
            <w:r w:rsidR="00482765" w:rsidRPr="00C342CB">
              <w:rPr>
                <w:rFonts w:asciiTheme="minorHAnsi" w:hAnsiTheme="minorHAnsi" w:cstheme="minorHAnsi"/>
                <w:lang w:val="en"/>
              </w:rPr>
              <w:t xml:space="preserve"> through the creation of 9307 temporary jobs (42% of girls) and access to sources of income for 7661 </w:t>
            </w:r>
            <w:r w:rsidR="0034230E" w:rsidRPr="00C342CB">
              <w:rPr>
                <w:rFonts w:asciiTheme="minorHAnsi" w:hAnsiTheme="minorHAnsi" w:cstheme="minorHAnsi"/>
                <w:lang w:val="en"/>
              </w:rPr>
              <w:t>youth</w:t>
            </w:r>
            <w:r w:rsidR="00482765" w:rsidRPr="00C342CB">
              <w:rPr>
                <w:rFonts w:asciiTheme="minorHAnsi" w:hAnsiTheme="minorHAnsi" w:cstheme="minorHAnsi"/>
                <w:lang w:val="en"/>
              </w:rPr>
              <w:t xml:space="preserve"> (65% </w:t>
            </w:r>
            <w:r w:rsidR="0034230E" w:rsidRPr="00C342CB">
              <w:rPr>
                <w:rFonts w:asciiTheme="minorHAnsi" w:hAnsiTheme="minorHAnsi" w:cstheme="minorHAnsi"/>
                <w:lang w:val="en"/>
              </w:rPr>
              <w:t>young</w:t>
            </w:r>
            <w:r w:rsidR="00482765" w:rsidRPr="00C342CB">
              <w:rPr>
                <w:rFonts w:asciiTheme="minorHAnsi" w:hAnsiTheme="minorHAnsi" w:cstheme="minorHAnsi"/>
                <w:lang w:val="en"/>
              </w:rPr>
              <w:t xml:space="preserve"> women) through vocational and vocational training</w:t>
            </w:r>
            <w:r w:rsidR="0034230E" w:rsidRPr="00C342CB">
              <w:rPr>
                <w:rFonts w:asciiTheme="minorHAnsi" w:hAnsiTheme="minorHAnsi" w:cstheme="minorHAnsi"/>
                <w:lang w:val="en"/>
              </w:rPr>
              <w:t xml:space="preserve"> to</w:t>
            </w:r>
            <w:r w:rsidR="00482765" w:rsidRPr="00C342CB">
              <w:rPr>
                <w:rFonts w:asciiTheme="minorHAnsi" w:hAnsiTheme="minorHAnsi" w:cstheme="minorHAnsi"/>
                <w:lang w:val="en"/>
              </w:rPr>
              <w:t xml:space="preserve"> reduce their participation </w:t>
            </w:r>
            <w:r w:rsidR="0034230E" w:rsidRPr="00C342CB">
              <w:rPr>
                <w:rFonts w:asciiTheme="minorHAnsi" w:hAnsiTheme="minorHAnsi" w:cstheme="minorHAnsi"/>
                <w:lang w:val="en"/>
              </w:rPr>
              <w:t xml:space="preserve">in </w:t>
            </w:r>
            <w:r w:rsidR="00482765" w:rsidRPr="00C342CB">
              <w:rPr>
                <w:rFonts w:asciiTheme="minorHAnsi" w:hAnsiTheme="minorHAnsi" w:cstheme="minorHAnsi"/>
                <w:lang w:val="en"/>
              </w:rPr>
              <w:t>conflict, trafficking and migration; (iv) a better knowledge and appropriation of UN Resolution 1325 by 1) 448 women and 352 young people; 2) S</w:t>
            </w:r>
            <w:r w:rsidR="0034230E" w:rsidRPr="00C342CB">
              <w:rPr>
                <w:rFonts w:asciiTheme="minorHAnsi" w:hAnsiTheme="minorHAnsi" w:cstheme="minorHAnsi"/>
                <w:lang w:val="en"/>
              </w:rPr>
              <w:t xml:space="preserve">ecurity and </w:t>
            </w:r>
            <w:r w:rsidR="00482765" w:rsidRPr="00C342CB">
              <w:rPr>
                <w:rFonts w:asciiTheme="minorHAnsi" w:hAnsiTheme="minorHAnsi" w:cstheme="minorHAnsi"/>
                <w:lang w:val="en"/>
              </w:rPr>
              <w:t>D</w:t>
            </w:r>
            <w:r w:rsidR="0034230E" w:rsidRPr="00C342CB">
              <w:rPr>
                <w:rFonts w:asciiTheme="minorHAnsi" w:hAnsiTheme="minorHAnsi" w:cstheme="minorHAnsi"/>
                <w:lang w:val="en"/>
              </w:rPr>
              <w:t xml:space="preserve">efense </w:t>
            </w:r>
            <w:r w:rsidR="00482765" w:rsidRPr="00C342CB">
              <w:rPr>
                <w:rFonts w:asciiTheme="minorHAnsi" w:hAnsiTheme="minorHAnsi" w:cstheme="minorHAnsi"/>
                <w:lang w:val="en"/>
              </w:rPr>
              <w:t>F</w:t>
            </w:r>
            <w:r w:rsidR="0034230E" w:rsidRPr="00C342CB">
              <w:rPr>
                <w:rFonts w:asciiTheme="minorHAnsi" w:hAnsiTheme="minorHAnsi" w:cstheme="minorHAnsi"/>
                <w:lang w:val="en"/>
              </w:rPr>
              <w:t>orce</w:t>
            </w:r>
            <w:r w:rsidR="00482765" w:rsidRPr="00C342CB">
              <w:rPr>
                <w:rFonts w:asciiTheme="minorHAnsi" w:hAnsiTheme="minorHAnsi" w:cstheme="minorHAnsi"/>
                <w:lang w:val="en"/>
              </w:rPr>
              <w:t xml:space="preserve">s, municipal officials and civil society actors </w:t>
            </w:r>
            <w:r w:rsidR="0034230E" w:rsidRPr="00C342CB">
              <w:rPr>
                <w:rFonts w:asciiTheme="minorHAnsi" w:hAnsiTheme="minorHAnsi" w:cstheme="minorHAnsi"/>
                <w:lang w:val="en"/>
              </w:rPr>
              <w:t xml:space="preserve">to </w:t>
            </w:r>
            <w:r w:rsidR="00482765" w:rsidRPr="00C342CB">
              <w:rPr>
                <w:rFonts w:asciiTheme="minorHAnsi" w:hAnsiTheme="minorHAnsi" w:cstheme="minorHAnsi"/>
                <w:lang w:val="en"/>
              </w:rPr>
              <w:t xml:space="preserve">improve their skills in integrated border management including gender and human rights. These actions, which </w:t>
            </w:r>
            <w:r w:rsidR="0034230E" w:rsidRPr="00C342CB">
              <w:rPr>
                <w:rFonts w:asciiTheme="minorHAnsi" w:hAnsiTheme="minorHAnsi" w:cstheme="minorHAnsi"/>
                <w:lang w:val="en"/>
              </w:rPr>
              <w:t>include</w:t>
            </w:r>
            <w:r w:rsidR="00482765" w:rsidRPr="00C342CB">
              <w:rPr>
                <w:rFonts w:asciiTheme="minorHAnsi" w:hAnsiTheme="minorHAnsi" w:cstheme="minorHAnsi"/>
                <w:lang w:val="en"/>
              </w:rPr>
              <w:t xml:space="preserve"> active involvement of </w:t>
            </w:r>
            <w:r w:rsidR="0034230E" w:rsidRPr="00C342CB">
              <w:rPr>
                <w:rFonts w:asciiTheme="minorHAnsi" w:hAnsiTheme="minorHAnsi" w:cstheme="minorHAnsi"/>
                <w:lang w:val="en"/>
              </w:rPr>
              <w:t xml:space="preserve">targeted </w:t>
            </w:r>
            <w:r w:rsidR="00482765" w:rsidRPr="00C342CB">
              <w:rPr>
                <w:rFonts w:asciiTheme="minorHAnsi" w:hAnsiTheme="minorHAnsi" w:cstheme="minorHAnsi"/>
                <w:lang w:val="en"/>
              </w:rPr>
              <w:t xml:space="preserve">communities in their own security management mechanisms, </w:t>
            </w:r>
            <w:r w:rsidR="0034230E" w:rsidRPr="00C342CB">
              <w:rPr>
                <w:rFonts w:asciiTheme="minorHAnsi" w:hAnsiTheme="minorHAnsi" w:cstheme="minorHAnsi"/>
                <w:lang w:val="en"/>
              </w:rPr>
              <w:t>contributed</w:t>
            </w:r>
            <w:r w:rsidR="00482765" w:rsidRPr="00C342CB">
              <w:rPr>
                <w:rFonts w:asciiTheme="minorHAnsi" w:hAnsiTheme="minorHAnsi" w:cstheme="minorHAnsi"/>
                <w:lang w:val="en"/>
              </w:rPr>
              <w:t xml:space="preserve"> to reduce security risks, strengthen social cohesion and resulted in the denunciation of security incidents (200 of which 65% avoided ).</w:t>
            </w:r>
          </w:p>
        </w:tc>
      </w:tr>
    </w:tbl>
    <w:p w14:paraId="3BA178FE" w14:textId="77777777" w:rsidR="00D9192E" w:rsidRPr="00C342CB" w:rsidRDefault="00D9192E">
      <w:r w:rsidRPr="00C342CB">
        <w:lastRenderedPageBreak/>
        <w:br w:type="page"/>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9E7526" w:rsidRPr="00F01FDE" w14:paraId="527F9EC6" w14:textId="77777777" w:rsidTr="006832E8">
        <w:tc>
          <w:tcPr>
            <w:tcW w:w="14040" w:type="dxa"/>
          </w:tcPr>
          <w:p w14:paraId="3CAB6BEF" w14:textId="77777777" w:rsidR="009E7526" w:rsidRPr="00845340" w:rsidRDefault="009E7526" w:rsidP="009E7526">
            <w:pPr>
              <w:rPr>
                <w:rFonts w:asciiTheme="minorHAnsi" w:hAnsiTheme="minorHAnsi"/>
                <w:sz w:val="20"/>
                <w:u w:val="single"/>
              </w:rPr>
            </w:pPr>
            <w:r w:rsidRPr="00845340">
              <w:rPr>
                <w:rFonts w:asciiTheme="minorHAnsi" w:hAnsiTheme="minorHAnsi"/>
                <w:sz w:val="20"/>
                <w:u w:val="single"/>
              </w:rPr>
              <w:lastRenderedPageBreak/>
              <w:t>Summary of evaluation</w:t>
            </w:r>
            <w:r w:rsidR="00674B1A">
              <w:rPr>
                <w:rFonts w:asciiTheme="minorHAnsi" w:hAnsiTheme="minorHAnsi"/>
                <w:sz w:val="20"/>
                <w:u w:val="single"/>
              </w:rPr>
              <w:t xml:space="preserve"> finding</w:t>
            </w:r>
            <w:r w:rsidRPr="00845340">
              <w:rPr>
                <w:rFonts w:asciiTheme="minorHAnsi" w:hAnsiTheme="minorHAnsi"/>
                <w:sz w:val="20"/>
                <w:u w:val="single"/>
              </w:rPr>
              <w:t>s (</w:t>
            </w:r>
            <w:r w:rsidR="008F0A97" w:rsidRPr="00845340">
              <w:rPr>
                <w:rFonts w:asciiTheme="minorHAnsi" w:hAnsiTheme="minorHAnsi"/>
                <w:sz w:val="20"/>
                <w:u w:val="single"/>
              </w:rPr>
              <w:t xml:space="preserve">e.g. from outcome and project evaluations, UNDAF </w:t>
            </w:r>
            <w:r w:rsidRPr="00845340">
              <w:rPr>
                <w:rFonts w:asciiTheme="minorHAnsi" w:hAnsiTheme="minorHAnsi"/>
                <w:sz w:val="20"/>
                <w:u w:val="single"/>
              </w:rPr>
              <w:t xml:space="preserve">reviews, </w:t>
            </w:r>
            <w:r w:rsidR="008F0A97" w:rsidRPr="00845340">
              <w:rPr>
                <w:rFonts w:asciiTheme="minorHAnsi" w:hAnsiTheme="minorHAnsi"/>
                <w:sz w:val="20"/>
                <w:u w:val="single"/>
              </w:rPr>
              <w:t xml:space="preserve">and other </w:t>
            </w:r>
            <w:r w:rsidRPr="00845340">
              <w:rPr>
                <w:rFonts w:asciiTheme="minorHAnsi" w:hAnsiTheme="minorHAnsi"/>
                <w:sz w:val="20"/>
                <w:u w:val="single"/>
              </w:rPr>
              <w:t>assessments)</w:t>
            </w:r>
          </w:p>
          <w:p w14:paraId="17588A7E" w14:textId="64194E0A" w:rsidR="009E7526" w:rsidRPr="00C342CB" w:rsidRDefault="009E7526" w:rsidP="00674B1A">
            <w:pPr>
              <w:rPr>
                <w:rFonts w:asciiTheme="minorHAnsi" w:hAnsiTheme="minorHAnsi"/>
                <w:sz w:val="20"/>
              </w:rPr>
            </w:pPr>
            <w:r w:rsidRPr="00C342CB">
              <w:rPr>
                <w:rFonts w:asciiTheme="minorHAnsi" w:hAnsiTheme="minorHAnsi"/>
                <w:sz w:val="20"/>
              </w:rPr>
              <w:t xml:space="preserve">Based on </w:t>
            </w:r>
            <w:r w:rsidR="003F1F1D" w:rsidRPr="00C342CB">
              <w:rPr>
                <w:rFonts w:asciiTheme="minorHAnsi" w:hAnsiTheme="minorHAnsi"/>
                <w:sz w:val="20"/>
              </w:rPr>
              <w:t>the evaluation</w:t>
            </w:r>
            <w:r w:rsidRPr="00C342CB">
              <w:rPr>
                <w:rFonts w:asciiTheme="minorHAnsi" w:hAnsiTheme="minorHAnsi"/>
                <w:sz w:val="20"/>
              </w:rPr>
              <w:t xml:space="preserve">s and/or assessments undertaken please provide a brief summary of the overall findings on the CP for the </w:t>
            </w:r>
            <w:proofErr w:type="gramStart"/>
            <w:r w:rsidRPr="00C342CB">
              <w:rPr>
                <w:rFonts w:asciiTheme="minorHAnsi" w:hAnsiTheme="minorHAnsi"/>
                <w:sz w:val="20"/>
              </w:rPr>
              <w:t>4 year</w:t>
            </w:r>
            <w:proofErr w:type="gramEnd"/>
            <w:r w:rsidRPr="00C342CB">
              <w:rPr>
                <w:rFonts w:asciiTheme="minorHAnsi" w:hAnsiTheme="minorHAnsi"/>
                <w:sz w:val="20"/>
              </w:rPr>
              <w:t xml:space="preserve"> period in terms of performance effectiveness and efficiency and key ac</w:t>
            </w:r>
            <w:r w:rsidR="00674B1A" w:rsidRPr="00C342CB">
              <w:rPr>
                <w:rFonts w:asciiTheme="minorHAnsi" w:hAnsiTheme="minorHAnsi"/>
                <w:sz w:val="20"/>
              </w:rPr>
              <w:t>hievements and lessons learned. Maximum 500 words.</w:t>
            </w:r>
          </w:p>
          <w:p w14:paraId="3AC5AF02" w14:textId="77777777" w:rsidR="005C5251" w:rsidRDefault="005C5251" w:rsidP="005C5251">
            <w:pPr>
              <w:jc w:val="both"/>
              <w:rPr>
                <w:rFonts w:asciiTheme="minorHAnsi" w:hAnsiTheme="minorHAnsi"/>
                <w:i/>
                <w:sz w:val="20"/>
              </w:rPr>
            </w:pPr>
          </w:p>
          <w:p w14:paraId="4CD7B226" w14:textId="77777777" w:rsidR="00674B1A" w:rsidRDefault="00674B1A" w:rsidP="009E7526">
            <w:pPr>
              <w:jc w:val="both"/>
              <w:rPr>
                <w:rFonts w:asciiTheme="minorHAnsi" w:hAnsiTheme="minorHAnsi"/>
                <w:sz w:val="20"/>
              </w:rPr>
            </w:pPr>
          </w:p>
          <w:p w14:paraId="09DA2E28" w14:textId="77777777" w:rsidR="005C5251" w:rsidRDefault="009E7526" w:rsidP="005C5251">
            <w:pPr>
              <w:jc w:val="both"/>
              <w:rPr>
                <w:rFonts w:asciiTheme="minorHAnsi" w:hAnsiTheme="minorHAnsi"/>
                <w:i/>
                <w:sz w:val="20"/>
              </w:rPr>
            </w:pPr>
            <w:r w:rsidRPr="00674B1A">
              <w:rPr>
                <w:rFonts w:asciiTheme="minorHAnsi" w:hAnsiTheme="minorHAnsi"/>
                <w:sz w:val="20"/>
                <w:u w:val="single"/>
              </w:rPr>
              <w:t>Key Achievements</w:t>
            </w:r>
            <w:r w:rsidR="005F6261" w:rsidRPr="00845340">
              <w:rPr>
                <w:rFonts w:asciiTheme="minorHAnsi" w:hAnsiTheme="minorHAnsi"/>
                <w:sz w:val="20"/>
              </w:rPr>
              <w:t>:</w:t>
            </w:r>
            <w:r w:rsidR="005C5251" w:rsidRPr="00AB4D93">
              <w:rPr>
                <w:rFonts w:asciiTheme="minorHAnsi" w:hAnsiTheme="minorHAnsi"/>
                <w:i/>
                <w:sz w:val="20"/>
              </w:rPr>
              <w:t xml:space="preserve"> </w:t>
            </w:r>
          </w:p>
          <w:p w14:paraId="1229598D" w14:textId="77777777" w:rsidR="005C5251" w:rsidRDefault="005C5251" w:rsidP="005C5251">
            <w:pPr>
              <w:jc w:val="both"/>
              <w:rPr>
                <w:rFonts w:asciiTheme="minorHAnsi" w:hAnsiTheme="minorHAnsi"/>
                <w:i/>
                <w:sz w:val="20"/>
              </w:rPr>
            </w:pPr>
          </w:p>
          <w:p w14:paraId="575D1F5B" w14:textId="0C160311" w:rsidR="00BE655B" w:rsidRPr="00C342CB" w:rsidRDefault="00BE655B" w:rsidP="00BE655B">
            <w:pPr>
              <w:jc w:val="both"/>
              <w:rPr>
                <w:rFonts w:asciiTheme="minorHAnsi" w:hAnsiTheme="minorHAnsi"/>
                <w:sz w:val="20"/>
              </w:rPr>
            </w:pPr>
            <w:r w:rsidRPr="00C342CB">
              <w:rPr>
                <w:rFonts w:asciiTheme="minorHAnsi" w:hAnsiTheme="minorHAnsi"/>
                <w:sz w:val="20"/>
              </w:rPr>
              <w:t>The recent evaluation of the Country Program Document (CPD) 2014-</w:t>
            </w:r>
            <w:r w:rsidR="003F1F1D" w:rsidRPr="00C342CB">
              <w:rPr>
                <w:rFonts w:asciiTheme="minorHAnsi" w:hAnsiTheme="minorHAnsi"/>
                <w:sz w:val="20"/>
              </w:rPr>
              <w:t>2018,</w:t>
            </w:r>
            <w:r w:rsidRPr="00C342CB">
              <w:rPr>
                <w:rFonts w:asciiTheme="minorHAnsi" w:hAnsiTheme="minorHAnsi"/>
                <w:sz w:val="20"/>
              </w:rPr>
              <w:t xml:space="preserve"> showed a highly relevant UNDP programme anchored in national development priorities, while contributing to the achievement of development results for the most vulnerable communities, households and </w:t>
            </w:r>
            <w:r w:rsidR="003F1F1D" w:rsidRPr="00C342CB">
              <w:rPr>
                <w:rFonts w:asciiTheme="minorHAnsi" w:hAnsiTheme="minorHAnsi"/>
                <w:sz w:val="20"/>
              </w:rPr>
              <w:t>people:</w:t>
            </w:r>
            <w:r w:rsidRPr="00C342CB">
              <w:rPr>
                <w:rFonts w:asciiTheme="minorHAnsi" w:hAnsiTheme="minorHAnsi"/>
                <w:sz w:val="20"/>
              </w:rPr>
              <w:t xml:space="preserve"> </w:t>
            </w:r>
          </w:p>
          <w:p w14:paraId="2A88DB8C" w14:textId="301B58BA" w:rsidR="00BE655B" w:rsidRPr="00C342CB" w:rsidRDefault="00BE655B" w:rsidP="00C342CB">
            <w:pPr>
              <w:pStyle w:val="ListParagraph"/>
              <w:numPr>
                <w:ilvl w:val="0"/>
                <w:numId w:val="27"/>
              </w:numPr>
              <w:spacing w:before="120"/>
              <w:ind w:left="357" w:hanging="357"/>
              <w:contextualSpacing w:val="0"/>
              <w:jc w:val="both"/>
              <w:rPr>
                <w:rFonts w:asciiTheme="minorHAnsi" w:hAnsiTheme="minorHAnsi"/>
                <w:sz w:val="20"/>
              </w:rPr>
            </w:pPr>
            <w:r w:rsidRPr="00C342CB">
              <w:rPr>
                <w:rFonts w:asciiTheme="minorHAnsi" w:hAnsiTheme="minorHAnsi"/>
                <w:sz w:val="20"/>
              </w:rPr>
              <w:t xml:space="preserve">Resilience interventions contributed to the reduction of severe and moderate household food insecurity prevalence rates, from 2.5% and 13.2%, respectively, in 2015, to 1.1% and 11.3%, respectively, in 2016, and ensured food coverage from 3 to 5 months over the nine months lean season for 20,451 households (53% women </w:t>
            </w:r>
            <w:r w:rsidR="003F1F1D" w:rsidRPr="00C342CB">
              <w:rPr>
                <w:rFonts w:asciiTheme="minorHAnsi" w:hAnsiTheme="minorHAnsi"/>
                <w:sz w:val="20"/>
              </w:rPr>
              <w:t>headed) in</w:t>
            </w:r>
            <w:r w:rsidRPr="00C342CB">
              <w:rPr>
                <w:rFonts w:asciiTheme="minorHAnsi" w:hAnsiTheme="minorHAnsi"/>
                <w:sz w:val="20"/>
              </w:rPr>
              <w:t xml:space="preserve"> targeted communities. In addition, with UN agencies and national partners (3N initiative), UNDP participated in the conceptualization and ongoing implementation of the “Communes de Convergence”, a joint programming approach for an integrated and holistic package of interventions responding to the multidimensional needs of 35 highly selected vulnerable municipalities. To this end, 12,385 hectares of degraded land were recovered, 12,184 temporary jobs created (5,776 for women) and 488,000 received energy services. Four regions and 24 communes benefitted from reinforcement interventions to improve their capacities for disaster prevention management systems through harmonized emergency response recovery and establishment of emergency warning and response systems and plans.</w:t>
            </w:r>
          </w:p>
          <w:p w14:paraId="5F5B5C81" w14:textId="411763E8" w:rsidR="005C5251" w:rsidRPr="00C342CB" w:rsidRDefault="00BE655B" w:rsidP="00C342CB">
            <w:pPr>
              <w:pStyle w:val="ListParagraph"/>
              <w:numPr>
                <w:ilvl w:val="0"/>
                <w:numId w:val="27"/>
              </w:numPr>
              <w:spacing w:before="120"/>
              <w:ind w:left="357" w:hanging="357"/>
              <w:contextualSpacing w:val="0"/>
              <w:jc w:val="both"/>
              <w:rPr>
                <w:rFonts w:asciiTheme="minorHAnsi" w:hAnsiTheme="minorHAnsi"/>
                <w:sz w:val="20"/>
              </w:rPr>
            </w:pPr>
            <w:r w:rsidRPr="00C342CB">
              <w:rPr>
                <w:rFonts w:asciiTheme="minorHAnsi" w:hAnsiTheme="minorHAnsi"/>
                <w:sz w:val="20"/>
              </w:rPr>
              <w:t xml:space="preserve">In the area of governance, security interventions contributed to reinforcing access to economic opportunities, social cohesion and strengthened strategic and operational security frameworks, contributing to a 25% reduction in the number of terrorist attacks in one year, as well as the prevention of internal conflicts in the regions of </w:t>
            </w:r>
            <w:proofErr w:type="spellStart"/>
            <w:r w:rsidRPr="00C342CB">
              <w:rPr>
                <w:rFonts w:asciiTheme="minorHAnsi" w:hAnsiTheme="minorHAnsi"/>
                <w:sz w:val="20"/>
              </w:rPr>
              <w:t>Tahoua</w:t>
            </w:r>
            <w:proofErr w:type="spellEnd"/>
            <w:r w:rsidRPr="00C342CB">
              <w:rPr>
                <w:rFonts w:asciiTheme="minorHAnsi" w:hAnsiTheme="minorHAnsi"/>
                <w:sz w:val="20"/>
              </w:rPr>
              <w:t xml:space="preserve">, </w:t>
            </w:r>
            <w:proofErr w:type="spellStart"/>
            <w:r w:rsidRPr="00C342CB">
              <w:rPr>
                <w:rFonts w:asciiTheme="minorHAnsi" w:hAnsiTheme="minorHAnsi"/>
                <w:sz w:val="20"/>
              </w:rPr>
              <w:t>Tillabéry</w:t>
            </w:r>
            <w:proofErr w:type="spellEnd"/>
            <w:r w:rsidRPr="00C342CB">
              <w:rPr>
                <w:rFonts w:asciiTheme="minorHAnsi" w:hAnsiTheme="minorHAnsi"/>
                <w:sz w:val="20"/>
              </w:rPr>
              <w:t xml:space="preserve"> and </w:t>
            </w:r>
            <w:proofErr w:type="spellStart"/>
            <w:r w:rsidRPr="00C342CB">
              <w:rPr>
                <w:rFonts w:asciiTheme="minorHAnsi" w:hAnsiTheme="minorHAnsi"/>
                <w:sz w:val="20"/>
              </w:rPr>
              <w:t>Diffa</w:t>
            </w:r>
            <w:proofErr w:type="spellEnd"/>
            <w:r w:rsidRPr="00C342CB">
              <w:rPr>
                <w:rFonts w:asciiTheme="minorHAnsi" w:hAnsiTheme="minorHAnsi"/>
                <w:sz w:val="20"/>
              </w:rPr>
              <w:t>. UNDP support to the 2016 electoral process, with the support of key donors, contributed to a stronger involvement of women and youth, and a rise in women's representation in Parliament by almost 17% (29/171). As well, support to the monitoring of the implementation of the PDES2012-2015, the coordination of the formulation of new PDES2017-2021, together with most development partners, fully mainstreaming 16 SDG, the co-organization of related donors' roundtable jointly with the World Bank, resulting in more than US$23 billion in pledges, constitute big steps in UNDP’ support to the country and in contributing to the achievement of the SDG and the African Union’s 2063 agendas.</w:t>
            </w:r>
          </w:p>
          <w:p w14:paraId="345645EA" w14:textId="3960A3CF" w:rsidR="009E7526" w:rsidRDefault="00C342CB" w:rsidP="00C342CB">
            <w:pPr>
              <w:jc w:val="both"/>
              <w:rPr>
                <w:rFonts w:asciiTheme="minorHAnsi" w:hAnsiTheme="minorHAnsi"/>
              </w:rPr>
            </w:pPr>
            <w:r>
              <w:rPr>
                <w:lang w:val="en"/>
              </w:rPr>
              <w:br/>
            </w:r>
            <w:r w:rsidR="009E7526" w:rsidRPr="00674B1A">
              <w:rPr>
                <w:rFonts w:asciiTheme="minorHAnsi" w:hAnsiTheme="minorHAnsi"/>
                <w:u w:val="single"/>
              </w:rPr>
              <w:t>Major Lessons Learnt</w:t>
            </w:r>
            <w:r w:rsidR="005F6261" w:rsidRPr="00845340">
              <w:rPr>
                <w:rFonts w:asciiTheme="minorHAnsi" w:hAnsiTheme="minorHAnsi"/>
              </w:rPr>
              <w:t>:</w:t>
            </w:r>
          </w:p>
          <w:p w14:paraId="6CC4F2A1" w14:textId="77777777" w:rsidR="00BE655B" w:rsidRPr="00C342CB" w:rsidRDefault="00BE655B" w:rsidP="009E7526">
            <w:pPr>
              <w:pStyle w:val="BodyText2"/>
              <w:rPr>
                <w:rFonts w:asciiTheme="minorHAnsi" w:hAnsiTheme="minorHAnsi"/>
              </w:rPr>
            </w:pPr>
            <w:r w:rsidRPr="00C342CB">
              <w:rPr>
                <w:rFonts w:asciiTheme="minorHAnsi" w:hAnsiTheme="minorHAnsi"/>
              </w:rPr>
              <w:t>The evaluation of the current CPD also highlighted several lessons learned including some shortfalls which will be devoted special attention in the next CPD (2019 – 2021): (</w:t>
            </w:r>
            <w:proofErr w:type="spellStart"/>
            <w:r w:rsidRPr="00C342CB">
              <w:rPr>
                <w:rFonts w:asciiTheme="minorHAnsi" w:hAnsiTheme="minorHAnsi"/>
              </w:rPr>
              <w:t>i</w:t>
            </w:r>
            <w:proofErr w:type="spellEnd"/>
            <w:r w:rsidRPr="00C342CB">
              <w:rPr>
                <w:rFonts w:asciiTheme="minorHAnsi" w:hAnsiTheme="minorHAnsi"/>
              </w:rPr>
              <w:t>) high transaction costs at the expense of UNDP programmatic activities due to prevailing insecurity in the intervention areas; (ii) weak presence in the field, combined with a gap in the number of program staff and availability of highly skilled national expertise, limited the speed of programme delivery.</w:t>
            </w:r>
          </w:p>
          <w:p w14:paraId="5A9CF569" w14:textId="77777777" w:rsidR="00BE655B" w:rsidRPr="00F01FDE" w:rsidRDefault="00BE655B" w:rsidP="009E7526">
            <w:pPr>
              <w:pStyle w:val="BodyText2"/>
              <w:rPr>
                <w:rFonts w:ascii="Times New Roman" w:hAnsi="Times New Roman"/>
              </w:rPr>
            </w:pPr>
          </w:p>
        </w:tc>
      </w:tr>
      <w:tr w:rsidR="005C5251" w:rsidRPr="00F01FDE" w14:paraId="2D19295D" w14:textId="77777777" w:rsidTr="006832E8">
        <w:tc>
          <w:tcPr>
            <w:tcW w:w="14040" w:type="dxa"/>
          </w:tcPr>
          <w:p w14:paraId="04FB05C6" w14:textId="77777777" w:rsidR="005C5251" w:rsidRPr="00845340" w:rsidRDefault="005C5251" w:rsidP="009E7526">
            <w:pPr>
              <w:rPr>
                <w:rFonts w:asciiTheme="minorHAnsi" w:hAnsiTheme="minorHAnsi"/>
                <w:sz w:val="20"/>
                <w:u w:val="single"/>
              </w:rPr>
            </w:pPr>
          </w:p>
        </w:tc>
      </w:tr>
    </w:tbl>
    <w:p w14:paraId="3954A39C" w14:textId="77777777" w:rsidR="004B3911" w:rsidRDefault="004B3911">
      <w:pPr>
        <w:pStyle w:val="BodyText2"/>
        <w:rPr>
          <w:rFonts w:ascii="Times New Roman" w:hAnsi="Times New Roman"/>
          <w:sz w:val="24"/>
        </w:rPr>
      </w:pPr>
    </w:p>
    <w:p w14:paraId="7F1574CE" w14:textId="77777777" w:rsidR="00E37E7A" w:rsidRDefault="00EA7740" w:rsidP="00E37E7A">
      <w:pPr>
        <w:pStyle w:val="BodyText2"/>
        <w:jc w:val="center"/>
        <w:rPr>
          <w:rFonts w:asciiTheme="minorHAnsi" w:hAnsiTheme="minorHAnsi"/>
          <w:sz w:val="24"/>
        </w:rPr>
      </w:pPr>
      <w:r>
        <w:rPr>
          <w:rFonts w:asciiTheme="minorHAnsi" w:hAnsiTheme="minorHAnsi"/>
          <w:sz w:val="24"/>
        </w:rPr>
        <w:t xml:space="preserve">III. </w:t>
      </w:r>
      <w:r w:rsidR="00673710" w:rsidRPr="005474ED">
        <w:rPr>
          <w:rFonts w:asciiTheme="minorHAnsi" w:hAnsiTheme="minorHAnsi"/>
          <w:sz w:val="24"/>
        </w:rPr>
        <w:t xml:space="preserve">Country Programme </w:t>
      </w:r>
      <w:r w:rsidR="00E37E7A" w:rsidRPr="005474ED">
        <w:rPr>
          <w:rFonts w:asciiTheme="minorHAnsi" w:hAnsiTheme="minorHAnsi"/>
          <w:sz w:val="24"/>
        </w:rPr>
        <w:t>Resources</w:t>
      </w:r>
    </w:p>
    <w:p w14:paraId="752EFA92" w14:textId="77777777" w:rsidR="00974DDB" w:rsidRPr="005474ED" w:rsidRDefault="00974DDB" w:rsidP="00E37E7A">
      <w:pPr>
        <w:pStyle w:val="BodyText2"/>
        <w:jc w:val="center"/>
        <w:rPr>
          <w:rFonts w:asciiTheme="minorHAnsi" w:hAnsiTheme="minorHAnsi"/>
          <w:sz w:val="24"/>
        </w:rPr>
      </w:pPr>
    </w:p>
    <w:tbl>
      <w:tblPr>
        <w:tblStyle w:val="TableGrid"/>
        <w:tblW w:w="0" w:type="auto"/>
        <w:tblLook w:val="04A0" w:firstRow="1" w:lastRow="0" w:firstColumn="1" w:lastColumn="0" w:noHBand="0" w:noVBand="1"/>
      </w:tblPr>
      <w:tblGrid>
        <w:gridCol w:w="3397"/>
        <w:gridCol w:w="3119"/>
        <w:gridCol w:w="3118"/>
        <w:gridCol w:w="2977"/>
        <w:gridCol w:w="1339"/>
      </w:tblGrid>
      <w:tr w:rsidR="0015409F" w:rsidRPr="006900FE" w14:paraId="140EC977" w14:textId="77777777" w:rsidTr="0009799E">
        <w:tc>
          <w:tcPr>
            <w:tcW w:w="3397" w:type="dxa"/>
            <w:shd w:val="clear" w:color="auto" w:fill="000000" w:themeFill="text1"/>
          </w:tcPr>
          <w:p w14:paraId="264F9712" w14:textId="77777777" w:rsidR="0015409F" w:rsidRPr="006900FE" w:rsidRDefault="00A20976" w:rsidP="00E37E7A">
            <w:pPr>
              <w:pStyle w:val="BodyText2"/>
              <w:jc w:val="center"/>
              <w:rPr>
                <w:rFonts w:asciiTheme="minorHAnsi" w:hAnsiTheme="minorHAnsi"/>
                <w:b/>
                <w:color w:val="FFFFFF" w:themeColor="background1"/>
                <w:sz w:val="24"/>
              </w:rPr>
            </w:pPr>
            <w:r>
              <w:rPr>
                <w:rFonts w:asciiTheme="minorHAnsi" w:hAnsiTheme="minorHAnsi"/>
                <w:b/>
                <w:color w:val="FFFFFF" w:themeColor="background1"/>
                <w:sz w:val="24"/>
              </w:rPr>
              <w:t>Year</w:t>
            </w:r>
          </w:p>
        </w:tc>
        <w:tc>
          <w:tcPr>
            <w:tcW w:w="9214" w:type="dxa"/>
            <w:gridSpan w:val="3"/>
            <w:shd w:val="clear" w:color="auto" w:fill="000000" w:themeFill="text1"/>
          </w:tcPr>
          <w:p w14:paraId="566353E5" w14:textId="77777777" w:rsidR="0015409F" w:rsidRPr="006900FE" w:rsidRDefault="000D6DE5"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xml:space="preserve">Programme </w:t>
            </w:r>
            <w:r w:rsidR="0015409F" w:rsidRPr="006900FE">
              <w:rPr>
                <w:rFonts w:asciiTheme="minorHAnsi" w:hAnsiTheme="minorHAnsi"/>
                <w:b/>
                <w:color w:val="FFFFFF" w:themeColor="background1"/>
                <w:sz w:val="24"/>
              </w:rPr>
              <w:t>Expenditure ($)</w:t>
            </w:r>
          </w:p>
        </w:tc>
        <w:tc>
          <w:tcPr>
            <w:tcW w:w="1339" w:type="dxa"/>
            <w:shd w:val="clear" w:color="auto" w:fill="000000" w:themeFill="text1"/>
          </w:tcPr>
          <w:p w14:paraId="3B966789" w14:textId="77777777" w:rsidR="0015409F" w:rsidRPr="006900FE" w:rsidRDefault="0015409F" w:rsidP="00E37E7A">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of Total</w:t>
            </w:r>
          </w:p>
        </w:tc>
      </w:tr>
      <w:tr w:rsidR="000D6DE5" w:rsidRPr="006900FE" w14:paraId="13283CFF" w14:textId="77777777" w:rsidTr="0009799E">
        <w:tc>
          <w:tcPr>
            <w:tcW w:w="3397" w:type="dxa"/>
          </w:tcPr>
          <w:p w14:paraId="165393C7" w14:textId="77777777" w:rsidR="000D6DE5" w:rsidRPr="006900FE" w:rsidRDefault="000D6DE5" w:rsidP="00A0001A">
            <w:pPr>
              <w:pStyle w:val="BodyText2"/>
              <w:rPr>
                <w:rFonts w:asciiTheme="minorHAnsi" w:hAnsiTheme="minorHAnsi"/>
              </w:rPr>
            </w:pPr>
          </w:p>
        </w:tc>
        <w:tc>
          <w:tcPr>
            <w:tcW w:w="3119" w:type="dxa"/>
          </w:tcPr>
          <w:p w14:paraId="1F58FFF4"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Regular (TRAC)</w:t>
            </w:r>
          </w:p>
        </w:tc>
        <w:tc>
          <w:tcPr>
            <w:tcW w:w="3118" w:type="dxa"/>
          </w:tcPr>
          <w:p w14:paraId="345FF222"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Other</w:t>
            </w:r>
          </w:p>
        </w:tc>
        <w:tc>
          <w:tcPr>
            <w:tcW w:w="2977" w:type="dxa"/>
          </w:tcPr>
          <w:p w14:paraId="5FD8C88F" w14:textId="77777777" w:rsidR="000D6DE5" w:rsidRPr="006900FE" w:rsidRDefault="000D6DE5" w:rsidP="00E37E7A">
            <w:pPr>
              <w:pStyle w:val="BodyText2"/>
              <w:jc w:val="center"/>
              <w:rPr>
                <w:rFonts w:asciiTheme="minorHAnsi" w:hAnsiTheme="minorHAnsi"/>
              </w:rPr>
            </w:pPr>
            <w:r w:rsidRPr="006900FE">
              <w:rPr>
                <w:rFonts w:asciiTheme="minorHAnsi" w:hAnsiTheme="minorHAnsi"/>
              </w:rPr>
              <w:t>Total</w:t>
            </w:r>
          </w:p>
        </w:tc>
        <w:tc>
          <w:tcPr>
            <w:tcW w:w="1339" w:type="dxa"/>
          </w:tcPr>
          <w:p w14:paraId="1A92F75C" w14:textId="77777777" w:rsidR="000D6DE5" w:rsidRPr="006900FE" w:rsidRDefault="000D6DE5" w:rsidP="00E37E7A">
            <w:pPr>
              <w:pStyle w:val="BodyText2"/>
              <w:jc w:val="center"/>
              <w:rPr>
                <w:rFonts w:asciiTheme="minorHAnsi" w:hAnsiTheme="minorHAnsi"/>
              </w:rPr>
            </w:pPr>
          </w:p>
        </w:tc>
      </w:tr>
      <w:tr w:rsidR="0009799E" w:rsidRPr="006900FE" w14:paraId="3C2C6836" w14:textId="77777777" w:rsidTr="00DA64AA">
        <w:tc>
          <w:tcPr>
            <w:tcW w:w="3397" w:type="dxa"/>
          </w:tcPr>
          <w:p w14:paraId="09B8BB70" w14:textId="77777777" w:rsidR="0009799E" w:rsidRPr="006900FE" w:rsidRDefault="0009799E" w:rsidP="0009799E">
            <w:pPr>
              <w:pStyle w:val="BodyText2"/>
              <w:rPr>
                <w:rFonts w:asciiTheme="minorHAnsi" w:hAnsiTheme="minorHAnsi"/>
              </w:rPr>
            </w:pPr>
            <w:r>
              <w:rPr>
                <w:rFonts w:asciiTheme="minorHAnsi" w:hAnsiTheme="minorHAnsi"/>
              </w:rPr>
              <w:t>2014</w:t>
            </w:r>
          </w:p>
        </w:tc>
        <w:tc>
          <w:tcPr>
            <w:tcW w:w="3119" w:type="dxa"/>
          </w:tcPr>
          <w:p w14:paraId="0EFB5F07" w14:textId="77777777" w:rsidR="0009799E" w:rsidRPr="006900FE" w:rsidRDefault="0009799E" w:rsidP="0009799E">
            <w:pPr>
              <w:pStyle w:val="BodyText2"/>
              <w:jc w:val="center"/>
              <w:rPr>
                <w:rFonts w:asciiTheme="minorHAnsi" w:hAnsiTheme="minorHAnsi"/>
              </w:rPr>
            </w:pPr>
            <w:r>
              <w:rPr>
                <w:rFonts w:asciiTheme="minorHAnsi" w:hAnsiTheme="minorHAnsi"/>
              </w:rPr>
              <w:t>9,214,777</w:t>
            </w:r>
          </w:p>
        </w:tc>
        <w:tc>
          <w:tcPr>
            <w:tcW w:w="3118" w:type="dxa"/>
          </w:tcPr>
          <w:p w14:paraId="5C7950E1" w14:textId="77777777" w:rsidR="0009799E" w:rsidRPr="006900FE" w:rsidRDefault="0009799E" w:rsidP="0009799E">
            <w:pPr>
              <w:pStyle w:val="BodyText2"/>
              <w:jc w:val="center"/>
              <w:rPr>
                <w:rFonts w:asciiTheme="minorHAnsi" w:hAnsiTheme="minorHAnsi"/>
              </w:rPr>
            </w:pPr>
            <w:r>
              <w:rPr>
                <w:rFonts w:asciiTheme="minorHAnsi" w:hAnsiTheme="minorHAnsi"/>
              </w:rPr>
              <w:t>7,559,445</w:t>
            </w:r>
          </w:p>
        </w:tc>
        <w:tc>
          <w:tcPr>
            <w:tcW w:w="2977" w:type="dxa"/>
          </w:tcPr>
          <w:p w14:paraId="3520B090" w14:textId="77777777" w:rsidR="0009799E" w:rsidRPr="006900FE" w:rsidRDefault="0009799E" w:rsidP="0009799E">
            <w:pPr>
              <w:pStyle w:val="BodyText2"/>
              <w:jc w:val="center"/>
              <w:rPr>
                <w:rFonts w:asciiTheme="minorHAnsi" w:hAnsiTheme="minorHAnsi"/>
              </w:rPr>
            </w:pPr>
            <w:r>
              <w:rPr>
                <w:rFonts w:asciiTheme="minorHAnsi" w:hAnsiTheme="minorHAnsi"/>
              </w:rPr>
              <w:t>16,774,222</w:t>
            </w:r>
          </w:p>
        </w:tc>
        <w:tc>
          <w:tcPr>
            <w:tcW w:w="1339" w:type="dxa"/>
            <w:tcBorders>
              <w:top w:val="nil"/>
              <w:left w:val="nil"/>
              <w:bottom w:val="single" w:sz="8" w:space="0" w:color="auto"/>
              <w:right w:val="single" w:sz="8" w:space="0" w:color="auto"/>
            </w:tcBorders>
            <w:shd w:val="clear" w:color="auto" w:fill="auto"/>
            <w:vAlign w:val="center"/>
          </w:tcPr>
          <w:p w14:paraId="42226293" w14:textId="77777777" w:rsidR="0009799E" w:rsidRPr="006900FE" w:rsidRDefault="0009799E" w:rsidP="0009799E">
            <w:pPr>
              <w:pStyle w:val="BodyText2"/>
              <w:jc w:val="center"/>
              <w:rPr>
                <w:rFonts w:asciiTheme="minorHAnsi" w:hAnsiTheme="minorHAnsi"/>
              </w:rPr>
            </w:pPr>
            <w:r>
              <w:rPr>
                <w:rFonts w:ascii="Calibri" w:hAnsi="Calibri"/>
                <w:color w:val="000000"/>
              </w:rPr>
              <w:t>21,76</w:t>
            </w:r>
          </w:p>
        </w:tc>
      </w:tr>
      <w:tr w:rsidR="0009799E" w:rsidRPr="006900FE" w14:paraId="00EFA9F1" w14:textId="77777777" w:rsidTr="00DA64AA">
        <w:tc>
          <w:tcPr>
            <w:tcW w:w="3397" w:type="dxa"/>
          </w:tcPr>
          <w:p w14:paraId="0EA6AC0C" w14:textId="77777777" w:rsidR="0009799E" w:rsidRPr="006900FE" w:rsidRDefault="0009799E" w:rsidP="0009799E">
            <w:pPr>
              <w:pStyle w:val="BodyText2"/>
              <w:rPr>
                <w:rFonts w:asciiTheme="minorHAnsi" w:hAnsiTheme="minorHAnsi"/>
              </w:rPr>
            </w:pPr>
            <w:r>
              <w:rPr>
                <w:rFonts w:asciiTheme="minorHAnsi" w:hAnsiTheme="minorHAnsi"/>
              </w:rPr>
              <w:t>2015</w:t>
            </w:r>
          </w:p>
        </w:tc>
        <w:tc>
          <w:tcPr>
            <w:tcW w:w="3119" w:type="dxa"/>
          </w:tcPr>
          <w:p w14:paraId="2B230654" w14:textId="77777777" w:rsidR="0009799E" w:rsidRPr="006900FE" w:rsidRDefault="0009799E" w:rsidP="0009799E">
            <w:pPr>
              <w:pStyle w:val="BodyText2"/>
              <w:jc w:val="center"/>
              <w:rPr>
                <w:rFonts w:asciiTheme="minorHAnsi" w:hAnsiTheme="minorHAnsi"/>
              </w:rPr>
            </w:pPr>
            <w:r>
              <w:rPr>
                <w:rFonts w:asciiTheme="minorHAnsi" w:hAnsiTheme="minorHAnsi"/>
              </w:rPr>
              <w:t>8,330,370</w:t>
            </w:r>
          </w:p>
        </w:tc>
        <w:tc>
          <w:tcPr>
            <w:tcW w:w="3118" w:type="dxa"/>
          </w:tcPr>
          <w:p w14:paraId="79B6804E" w14:textId="77777777" w:rsidR="0009799E" w:rsidRPr="006900FE" w:rsidRDefault="0009799E" w:rsidP="0009799E">
            <w:pPr>
              <w:pStyle w:val="BodyText2"/>
              <w:jc w:val="center"/>
              <w:rPr>
                <w:rFonts w:asciiTheme="minorHAnsi" w:hAnsiTheme="minorHAnsi"/>
              </w:rPr>
            </w:pPr>
            <w:r>
              <w:rPr>
                <w:rFonts w:asciiTheme="minorHAnsi" w:hAnsiTheme="minorHAnsi"/>
              </w:rPr>
              <w:t>7,346,819</w:t>
            </w:r>
          </w:p>
        </w:tc>
        <w:tc>
          <w:tcPr>
            <w:tcW w:w="2977" w:type="dxa"/>
          </w:tcPr>
          <w:p w14:paraId="69652E97" w14:textId="77777777" w:rsidR="0009799E" w:rsidRPr="006900FE" w:rsidRDefault="0009799E" w:rsidP="0009799E">
            <w:pPr>
              <w:pStyle w:val="BodyText2"/>
              <w:jc w:val="center"/>
              <w:rPr>
                <w:rFonts w:asciiTheme="minorHAnsi" w:hAnsiTheme="minorHAnsi"/>
              </w:rPr>
            </w:pPr>
            <w:r>
              <w:rPr>
                <w:rFonts w:asciiTheme="minorHAnsi" w:hAnsiTheme="minorHAnsi"/>
              </w:rPr>
              <w:t>15,677,189</w:t>
            </w:r>
          </w:p>
        </w:tc>
        <w:tc>
          <w:tcPr>
            <w:tcW w:w="1339" w:type="dxa"/>
            <w:tcBorders>
              <w:top w:val="nil"/>
              <w:left w:val="nil"/>
              <w:bottom w:val="single" w:sz="8" w:space="0" w:color="auto"/>
              <w:right w:val="single" w:sz="8" w:space="0" w:color="auto"/>
            </w:tcBorders>
            <w:shd w:val="clear" w:color="auto" w:fill="auto"/>
            <w:vAlign w:val="center"/>
          </w:tcPr>
          <w:p w14:paraId="69B9333D" w14:textId="77777777" w:rsidR="0009799E" w:rsidRPr="006900FE" w:rsidRDefault="0009799E" w:rsidP="0009799E">
            <w:pPr>
              <w:pStyle w:val="BodyText2"/>
              <w:jc w:val="center"/>
              <w:rPr>
                <w:rFonts w:asciiTheme="minorHAnsi" w:hAnsiTheme="minorHAnsi"/>
              </w:rPr>
            </w:pPr>
            <w:r>
              <w:rPr>
                <w:rFonts w:ascii="Calibri" w:hAnsi="Calibri"/>
                <w:color w:val="000000"/>
              </w:rPr>
              <w:t>20,34</w:t>
            </w:r>
          </w:p>
        </w:tc>
      </w:tr>
      <w:tr w:rsidR="0009799E" w:rsidRPr="006900FE" w14:paraId="6209AE5B" w14:textId="77777777" w:rsidTr="00DA64AA">
        <w:tc>
          <w:tcPr>
            <w:tcW w:w="3397" w:type="dxa"/>
          </w:tcPr>
          <w:p w14:paraId="055742EB" w14:textId="77777777" w:rsidR="0009799E" w:rsidRPr="006900FE" w:rsidRDefault="0009799E" w:rsidP="0009799E">
            <w:pPr>
              <w:pStyle w:val="BodyText2"/>
              <w:rPr>
                <w:rFonts w:asciiTheme="minorHAnsi" w:hAnsiTheme="minorHAnsi"/>
              </w:rPr>
            </w:pPr>
            <w:r>
              <w:rPr>
                <w:rFonts w:asciiTheme="minorHAnsi" w:hAnsiTheme="minorHAnsi"/>
              </w:rPr>
              <w:t>2016</w:t>
            </w:r>
          </w:p>
        </w:tc>
        <w:tc>
          <w:tcPr>
            <w:tcW w:w="3119" w:type="dxa"/>
          </w:tcPr>
          <w:p w14:paraId="7FAEE5F8" w14:textId="77777777" w:rsidR="0009799E" w:rsidRPr="006900FE" w:rsidRDefault="0009799E" w:rsidP="0009799E">
            <w:pPr>
              <w:pStyle w:val="BodyText2"/>
              <w:jc w:val="center"/>
              <w:rPr>
                <w:rFonts w:asciiTheme="minorHAnsi" w:hAnsiTheme="minorHAnsi"/>
              </w:rPr>
            </w:pPr>
            <w:r>
              <w:rPr>
                <w:rFonts w:asciiTheme="minorHAnsi" w:hAnsiTheme="minorHAnsi"/>
              </w:rPr>
              <w:t>7,805,812</w:t>
            </w:r>
          </w:p>
        </w:tc>
        <w:tc>
          <w:tcPr>
            <w:tcW w:w="3118" w:type="dxa"/>
          </w:tcPr>
          <w:p w14:paraId="73B9540F" w14:textId="77777777" w:rsidR="0009799E" w:rsidRPr="006900FE" w:rsidRDefault="0009799E" w:rsidP="0009799E">
            <w:pPr>
              <w:pStyle w:val="BodyText2"/>
              <w:jc w:val="center"/>
              <w:rPr>
                <w:rFonts w:asciiTheme="minorHAnsi" w:hAnsiTheme="minorHAnsi"/>
              </w:rPr>
            </w:pPr>
            <w:r>
              <w:rPr>
                <w:rFonts w:asciiTheme="minorHAnsi" w:hAnsiTheme="minorHAnsi"/>
              </w:rPr>
              <w:t>9,791,489</w:t>
            </w:r>
          </w:p>
        </w:tc>
        <w:tc>
          <w:tcPr>
            <w:tcW w:w="2977" w:type="dxa"/>
          </w:tcPr>
          <w:p w14:paraId="27DAB2DF" w14:textId="77777777" w:rsidR="0009799E" w:rsidRPr="006900FE" w:rsidRDefault="0009799E" w:rsidP="0009799E">
            <w:pPr>
              <w:pStyle w:val="BodyText2"/>
              <w:jc w:val="center"/>
              <w:rPr>
                <w:rFonts w:asciiTheme="minorHAnsi" w:hAnsiTheme="minorHAnsi"/>
              </w:rPr>
            </w:pPr>
            <w:r>
              <w:rPr>
                <w:rFonts w:asciiTheme="minorHAnsi" w:hAnsiTheme="minorHAnsi"/>
              </w:rPr>
              <w:t>17,597,301</w:t>
            </w:r>
          </w:p>
        </w:tc>
        <w:tc>
          <w:tcPr>
            <w:tcW w:w="1339" w:type="dxa"/>
            <w:tcBorders>
              <w:top w:val="nil"/>
              <w:left w:val="nil"/>
              <w:bottom w:val="single" w:sz="8" w:space="0" w:color="auto"/>
              <w:right w:val="single" w:sz="8" w:space="0" w:color="auto"/>
            </w:tcBorders>
            <w:shd w:val="clear" w:color="auto" w:fill="auto"/>
            <w:vAlign w:val="center"/>
          </w:tcPr>
          <w:p w14:paraId="0C0CCC63" w14:textId="77777777" w:rsidR="0009799E" w:rsidRPr="006900FE" w:rsidRDefault="0009799E" w:rsidP="0009799E">
            <w:pPr>
              <w:pStyle w:val="BodyText2"/>
              <w:jc w:val="center"/>
              <w:rPr>
                <w:rFonts w:asciiTheme="minorHAnsi" w:hAnsiTheme="minorHAnsi"/>
              </w:rPr>
            </w:pPr>
            <w:r>
              <w:rPr>
                <w:rFonts w:ascii="Calibri" w:hAnsi="Calibri"/>
                <w:color w:val="000000"/>
              </w:rPr>
              <w:t>22,83</w:t>
            </w:r>
          </w:p>
        </w:tc>
      </w:tr>
      <w:tr w:rsidR="0009799E" w:rsidRPr="006900FE" w14:paraId="4B901267" w14:textId="77777777" w:rsidTr="00DA64AA">
        <w:tc>
          <w:tcPr>
            <w:tcW w:w="3397" w:type="dxa"/>
          </w:tcPr>
          <w:p w14:paraId="2872C256" w14:textId="77777777" w:rsidR="0009799E" w:rsidRDefault="0009799E" w:rsidP="0009799E">
            <w:pPr>
              <w:pStyle w:val="BodyText2"/>
              <w:rPr>
                <w:rFonts w:asciiTheme="minorHAnsi" w:hAnsiTheme="minorHAnsi"/>
              </w:rPr>
            </w:pPr>
            <w:r>
              <w:rPr>
                <w:rFonts w:asciiTheme="minorHAnsi" w:hAnsiTheme="minorHAnsi"/>
              </w:rPr>
              <w:t>2017</w:t>
            </w:r>
          </w:p>
        </w:tc>
        <w:tc>
          <w:tcPr>
            <w:tcW w:w="3119" w:type="dxa"/>
          </w:tcPr>
          <w:p w14:paraId="55961896" w14:textId="77777777" w:rsidR="0009799E" w:rsidRPr="006900FE" w:rsidRDefault="0009799E" w:rsidP="0009799E">
            <w:pPr>
              <w:pStyle w:val="BodyText2"/>
              <w:jc w:val="center"/>
              <w:rPr>
                <w:rFonts w:asciiTheme="minorHAnsi" w:hAnsiTheme="minorHAnsi"/>
              </w:rPr>
            </w:pPr>
            <w:r>
              <w:rPr>
                <w:rFonts w:asciiTheme="minorHAnsi" w:hAnsiTheme="minorHAnsi"/>
              </w:rPr>
              <w:t>7,356,307</w:t>
            </w:r>
          </w:p>
        </w:tc>
        <w:tc>
          <w:tcPr>
            <w:tcW w:w="3118" w:type="dxa"/>
          </w:tcPr>
          <w:p w14:paraId="7A3A06EF" w14:textId="77777777" w:rsidR="0009799E" w:rsidRPr="006900FE" w:rsidRDefault="0009799E" w:rsidP="0009799E">
            <w:pPr>
              <w:pStyle w:val="BodyText2"/>
              <w:jc w:val="center"/>
              <w:rPr>
                <w:rFonts w:asciiTheme="minorHAnsi" w:hAnsiTheme="minorHAnsi"/>
              </w:rPr>
            </w:pPr>
            <w:r>
              <w:rPr>
                <w:rFonts w:asciiTheme="minorHAnsi" w:hAnsiTheme="minorHAnsi"/>
              </w:rPr>
              <w:t>9,208,663</w:t>
            </w:r>
          </w:p>
        </w:tc>
        <w:tc>
          <w:tcPr>
            <w:tcW w:w="2977" w:type="dxa"/>
          </w:tcPr>
          <w:p w14:paraId="1F28F3DD" w14:textId="77777777" w:rsidR="0009799E" w:rsidRPr="006900FE" w:rsidRDefault="0009799E" w:rsidP="0009799E">
            <w:pPr>
              <w:pStyle w:val="BodyText2"/>
              <w:jc w:val="center"/>
              <w:rPr>
                <w:rFonts w:asciiTheme="minorHAnsi" w:hAnsiTheme="minorHAnsi"/>
              </w:rPr>
            </w:pPr>
            <w:r>
              <w:rPr>
                <w:rFonts w:asciiTheme="minorHAnsi" w:hAnsiTheme="minorHAnsi"/>
              </w:rPr>
              <w:t>16,564,970</w:t>
            </w:r>
          </w:p>
        </w:tc>
        <w:tc>
          <w:tcPr>
            <w:tcW w:w="1339" w:type="dxa"/>
            <w:tcBorders>
              <w:top w:val="nil"/>
              <w:left w:val="nil"/>
              <w:bottom w:val="single" w:sz="8" w:space="0" w:color="auto"/>
              <w:right w:val="single" w:sz="8" w:space="0" w:color="auto"/>
            </w:tcBorders>
            <w:shd w:val="clear" w:color="auto" w:fill="auto"/>
            <w:vAlign w:val="center"/>
          </w:tcPr>
          <w:p w14:paraId="012034A3" w14:textId="77777777" w:rsidR="0009799E" w:rsidRPr="006900FE" w:rsidRDefault="0009799E" w:rsidP="0009799E">
            <w:pPr>
              <w:pStyle w:val="BodyText2"/>
              <w:jc w:val="center"/>
              <w:rPr>
                <w:rFonts w:asciiTheme="minorHAnsi" w:hAnsiTheme="minorHAnsi"/>
              </w:rPr>
            </w:pPr>
            <w:r>
              <w:rPr>
                <w:rFonts w:ascii="Calibri" w:hAnsi="Calibri"/>
                <w:color w:val="000000"/>
              </w:rPr>
              <w:t>21,49</w:t>
            </w:r>
          </w:p>
        </w:tc>
      </w:tr>
      <w:tr w:rsidR="0009799E" w:rsidRPr="006900FE" w14:paraId="01EAB189" w14:textId="77777777" w:rsidTr="00DA64AA">
        <w:tc>
          <w:tcPr>
            <w:tcW w:w="3397" w:type="dxa"/>
          </w:tcPr>
          <w:p w14:paraId="711ED44E" w14:textId="77777777" w:rsidR="0009799E" w:rsidRPr="006900FE" w:rsidRDefault="0009799E" w:rsidP="0009799E">
            <w:pPr>
              <w:pStyle w:val="BodyText2"/>
              <w:rPr>
                <w:rFonts w:asciiTheme="minorHAnsi" w:hAnsiTheme="minorHAnsi"/>
              </w:rPr>
            </w:pPr>
            <w:r>
              <w:rPr>
                <w:rFonts w:asciiTheme="minorHAnsi" w:hAnsiTheme="minorHAnsi"/>
              </w:rPr>
              <w:t>2018 (as at 09 august 2018)</w:t>
            </w:r>
          </w:p>
        </w:tc>
        <w:tc>
          <w:tcPr>
            <w:tcW w:w="3119" w:type="dxa"/>
          </w:tcPr>
          <w:p w14:paraId="46C3A64D" w14:textId="77777777" w:rsidR="0009799E" w:rsidRPr="006900FE" w:rsidRDefault="0009799E" w:rsidP="0009799E">
            <w:pPr>
              <w:pStyle w:val="BodyText2"/>
              <w:jc w:val="center"/>
              <w:rPr>
                <w:rFonts w:asciiTheme="minorHAnsi" w:hAnsiTheme="minorHAnsi"/>
              </w:rPr>
            </w:pPr>
            <w:r>
              <w:rPr>
                <w:rFonts w:asciiTheme="minorHAnsi" w:hAnsiTheme="minorHAnsi"/>
              </w:rPr>
              <w:t>6,636,146</w:t>
            </w:r>
          </w:p>
        </w:tc>
        <w:tc>
          <w:tcPr>
            <w:tcW w:w="3118" w:type="dxa"/>
          </w:tcPr>
          <w:p w14:paraId="5ACFBC73" w14:textId="77777777" w:rsidR="0009799E" w:rsidRPr="006900FE" w:rsidRDefault="0009799E" w:rsidP="0009799E">
            <w:pPr>
              <w:pStyle w:val="BodyText2"/>
              <w:jc w:val="center"/>
              <w:rPr>
                <w:rFonts w:asciiTheme="minorHAnsi" w:hAnsiTheme="minorHAnsi"/>
              </w:rPr>
            </w:pPr>
            <w:r>
              <w:rPr>
                <w:rFonts w:asciiTheme="minorHAnsi" w:hAnsiTheme="minorHAnsi"/>
              </w:rPr>
              <w:t>3,825,356</w:t>
            </w:r>
          </w:p>
        </w:tc>
        <w:tc>
          <w:tcPr>
            <w:tcW w:w="2977" w:type="dxa"/>
          </w:tcPr>
          <w:p w14:paraId="6E7D77DE" w14:textId="77777777" w:rsidR="0009799E" w:rsidRPr="006900FE" w:rsidRDefault="0009799E" w:rsidP="0009799E">
            <w:pPr>
              <w:pStyle w:val="BodyText2"/>
              <w:jc w:val="center"/>
              <w:rPr>
                <w:rFonts w:asciiTheme="minorHAnsi" w:hAnsiTheme="minorHAnsi"/>
              </w:rPr>
            </w:pPr>
            <w:r>
              <w:rPr>
                <w:rFonts w:asciiTheme="minorHAnsi" w:hAnsiTheme="minorHAnsi"/>
              </w:rPr>
              <w:t>10,461,502</w:t>
            </w:r>
          </w:p>
        </w:tc>
        <w:tc>
          <w:tcPr>
            <w:tcW w:w="1339" w:type="dxa"/>
            <w:tcBorders>
              <w:top w:val="nil"/>
              <w:left w:val="nil"/>
              <w:bottom w:val="single" w:sz="8" w:space="0" w:color="auto"/>
              <w:right w:val="single" w:sz="8" w:space="0" w:color="auto"/>
            </w:tcBorders>
            <w:shd w:val="clear" w:color="auto" w:fill="auto"/>
            <w:vAlign w:val="center"/>
          </w:tcPr>
          <w:p w14:paraId="5E6C75A9" w14:textId="77777777" w:rsidR="0009799E" w:rsidRPr="006900FE" w:rsidRDefault="0009799E" w:rsidP="0009799E">
            <w:pPr>
              <w:pStyle w:val="BodyText2"/>
              <w:jc w:val="center"/>
              <w:rPr>
                <w:rFonts w:asciiTheme="minorHAnsi" w:hAnsiTheme="minorHAnsi"/>
              </w:rPr>
            </w:pPr>
            <w:r>
              <w:rPr>
                <w:rFonts w:ascii="Calibri" w:hAnsi="Calibri"/>
                <w:color w:val="000000"/>
              </w:rPr>
              <w:t>13,57</w:t>
            </w:r>
          </w:p>
        </w:tc>
      </w:tr>
      <w:tr w:rsidR="00E01D13" w:rsidRPr="006900FE" w14:paraId="7A900126" w14:textId="77777777" w:rsidTr="00DA64AA">
        <w:tc>
          <w:tcPr>
            <w:tcW w:w="3397" w:type="dxa"/>
            <w:shd w:val="clear" w:color="auto" w:fill="00B0F0"/>
          </w:tcPr>
          <w:p w14:paraId="23A97FC8" w14:textId="77777777" w:rsidR="00E01D13" w:rsidRPr="006900FE" w:rsidRDefault="00E01D13" w:rsidP="00E01D13">
            <w:pPr>
              <w:pStyle w:val="BodyText2"/>
              <w:jc w:val="center"/>
              <w:rPr>
                <w:rFonts w:asciiTheme="minorHAnsi" w:hAnsiTheme="minorHAnsi"/>
              </w:rPr>
            </w:pPr>
            <w:r w:rsidRPr="006900FE">
              <w:rPr>
                <w:rFonts w:asciiTheme="minorHAnsi" w:hAnsiTheme="minorHAnsi"/>
              </w:rPr>
              <w:t>Total</w:t>
            </w:r>
          </w:p>
        </w:tc>
        <w:tc>
          <w:tcPr>
            <w:tcW w:w="3119" w:type="dxa"/>
            <w:tcBorders>
              <w:top w:val="nil"/>
              <w:left w:val="nil"/>
              <w:bottom w:val="single" w:sz="8" w:space="0" w:color="auto"/>
              <w:right w:val="single" w:sz="8" w:space="0" w:color="auto"/>
            </w:tcBorders>
            <w:shd w:val="clear" w:color="000000" w:fill="00B0F0"/>
            <w:vAlign w:val="center"/>
          </w:tcPr>
          <w:p w14:paraId="3897D92D" w14:textId="77777777" w:rsidR="00E01D13" w:rsidRPr="006900FE" w:rsidRDefault="00E01D13" w:rsidP="00E01D13">
            <w:pPr>
              <w:pStyle w:val="BodyText2"/>
              <w:jc w:val="center"/>
              <w:rPr>
                <w:rFonts w:asciiTheme="minorHAnsi" w:hAnsiTheme="minorHAnsi"/>
              </w:rPr>
            </w:pPr>
            <w:r>
              <w:rPr>
                <w:rFonts w:ascii="Calibri" w:hAnsi="Calibri"/>
                <w:color w:val="000000"/>
              </w:rPr>
              <w:t>39,343,412</w:t>
            </w:r>
          </w:p>
        </w:tc>
        <w:tc>
          <w:tcPr>
            <w:tcW w:w="3118" w:type="dxa"/>
            <w:tcBorders>
              <w:top w:val="nil"/>
              <w:left w:val="nil"/>
              <w:bottom w:val="single" w:sz="8" w:space="0" w:color="auto"/>
              <w:right w:val="single" w:sz="8" w:space="0" w:color="auto"/>
            </w:tcBorders>
            <w:shd w:val="clear" w:color="000000" w:fill="00B0F0"/>
            <w:vAlign w:val="center"/>
          </w:tcPr>
          <w:p w14:paraId="347362B3" w14:textId="77777777" w:rsidR="00E01D13" w:rsidRPr="006900FE" w:rsidRDefault="00E01D13" w:rsidP="00E01D13">
            <w:pPr>
              <w:pStyle w:val="BodyText2"/>
              <w:jc w:val="center"/>
              <w:rPr>
                <w:rFonts w:asciiTheme="minorHAnsi" w:hAnsiTheme="minorHAnsi"/>
              </w:rPr>
            </w:pPr>
            <w:r>
              <w:rPr>
                <w:rFonts w:ascii="Calibri" w:hAnsi="Calibri"/>
                <w:color w:val="000000"/>
              </w:rPr>
              <w:t>37,731,772</w:t>
            </w:r>
          </w:p>
        </w:tc>
        <w:tc>
          <w:tcPr>
            <w:tcW w:w="2977" w:type="dxa"/>
            <w:tcBorders>
              <w:top w:val="nil"/>
              <w:left w:val="nil"/>
              <w:bottom w:val="single" w:sz="8" w:space="0" w:color="auto"/>
              <w:right w:val="single" w:sz="8" w:space="0" w:color="auto"/>
            </w:tcBorders>
            <w:shd w:val="clear" w:color="000000" w:fill="00B0F0"/>
            <w:vAlign w:val="center"/>
          </w:tcPr>
          <w:p w14:paraId="499E2E37" w14:textId="77777777" w:rsidR="00E01D13" w:rsidRPr="006900FE" w:rsidRDefault="00E01D13" w:rsidP="00E01D13">
            <w:pPr>
              <w:pStyle w:val="BodyText2"/>
              <w:jc w:val="center"/>
              <w:rPr>
                <w:rFonts w:asciiTheme="minorHAnsi" w:hAnsiTheme="minorHAnsi"/>
              </w:rPr>
            </w:pPr>
            <w:r>
              <w:rPr>
                <w:rFonts w:ascii="Calibri" w:hAnsi="Calibri"/>
                <w:color w:val="000000"/>
              </w:rPr>
              <w:t>77,075,184</w:t>
            </w:r>
          </w:p>
        </w:tc>
        <w:tc>
          <w:tcPr>
            <w:tcW w:w="1339" w:type="dxa"/>
            <w:tcBorders>
              <w:top w:val="nil"/>
              <w:left w:val="nil"/>
              <w:bottom w:val="single" w:sz="8" w:space="0" w:color="auto"/>
              <w:right w:val="single" w:sz="8" w:space="0" w:color="auto"/>
            </w:tcBorders>
            <w:shd w:val="clear" w:color="auto" w:fill="00B0F0"/>
            <w:vAlign w:val="center"/>
          </w:tcPr>
          <w:p w14:paraId="545FCEDE" w14:textId="77777777" w:rsidR="00E01D13" w:rsidRPr="006900FE" w:rsidRDefault="00E01D13" w:rsidP="00E01D13">
            <w:pPr>
              <w:pStyle w:val="BodyText2"/>
              <w:jc w:val="center"/>
              <w:rPr>
                <w:rFonts w:asciiTheme="minorHAnsi" w:hAnsiTheme="minorHAnsi"/>
              </w:rPr>
            </w:pPr>
            <w:r>
              <w:rPr>
                <w:rFonts w:ascii="Calibri" w:hAnsi="Calibri"/>
                <w:color w:val="000000"/>
              </w:rPr>
              <w:t>100</w:t>
            </w:r>
          </w:p>
        </w:tc>
      </w:tr>
    </w:tbl>
    <w:p w14:paraId="0188FB3B" w14:textId="77777777" w:rsidR="00635929" w:rsidRPr="006900FE" w:rsidRDefault="00635929"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2547CF" w:rsidRPr="006900FE" w14:paraId="3E697C2E" w14:textId="77777777" w:rsidTr="00B64ACA">
        <w:tc>
          <w:tcPr>
            <w:tcW w:w="14176" w:type="dxa"/>
          </w:tcPr>
          <w:p w14:paraId="7F1AB39D" w14:textId="0CAA2468" w:rsidR="002547CF" w:rsidRPr="006900FE" w:rsidRDefault="002547CF" w:rsidP="005E0C05">
            <w:pPr>
              <w:pStyle w:val="BodyText2"/>
              <w:rPr>
                <w:rFonts w:asciiTheme="minorHAnsi" w:hAnsiTheme="minorHAnsi"/>
                <w:b/>
              </w:rPr>
            </w:pPr>
            <w:r w:rsidRPr="006900FE">
              <w:rPr>
                <w:rFonts w:asciiTheme="minorHAnsi" w:hAnsiTheme="minorHAnsi"/>
                <w:b/>
              </w:rPr>
              <w:t>Data sources</w:t>
            </w:r>
            <w:r w:rsidR="003F1F1D" w:rsidRPr="006900FE">
              <w:rPr>
                <w:rFonts w:asciiTheme="minorHAnsi" w:hAnsiTheme="minorHAnsi"/>
                <w:b/>
              </w:rPr>
              <w:t>: (</w:t>
            </w:r>
            <w:r w:rsidRPr="006900FE">
              <w:rPr>
                <w:rFonts w:asciiTheme="minorHAnsi" w:hAnsiTheme="minorHAnsi"/>
                <w:b/>
              </w:rPr>
              <w:t xml:space="preserve">please indicate the main sources from which data were obtained for this report.) </w:t>
            </w:r>
          </w:p>
        </w:tc>
      </w:tr>
      <w:tr w:rsidR="00B64ACA" w:rsidRPr="006900FE" w14:paraId="5CF92777" w14:textId="77777777" w:rsidTr="00B64ACA">
        <w:tc>
          <w:tcPr>
            <w:tcW w:w="14176" w:type="dxa"/>
          </w:tcPr>
          <w:p w14:paraId="6FCDD689" w14:textId="77777777" w:rsidR="006C7614" w:rsidRPr="00C342CB" w:rsidRDefault="006C7614" w:rsidP="006C7614">
            <w:pPr>
              <w:pStyle w:val="BodyText2"/>
              <w:rPr>
                <w:rFonts w:asciiTheme="minorHAnsi" w:hAnsiTheme="minorHAnsi"/>
              </w:rPr>
            </w:pPr>
            <w:r w:rsidRPr="00C342CB">
              <w:rPr>
                <w:rFonts w:asciiTheme="minorHAnsi" w:hAnsiTheme="minorHAnsi"/>
              </w:rPr>
              <w:t>Country Programme Document 201</w:t>
            </w:r>
            <w:r w:rsidR="000662EB" w:rsidRPr="00C342CB">
              <w:rPr>
                <w:rFonts w:asciiTheme="minorHAnsi" w:hAnsiTheme="minorHAnsi"/>
              </w:rPr>
              <w:t>4</w:t>
            </w:r>
            <w:r w:rsidRPr="00C342CB">
              <w:rPr>
                <w:rFonts w:asciiTheme="minorHAnsi" w:hAnsiTheme="minorHAnsi"/>
              </w:rPr>
              <w:t>-201</w:t>
            </w:r>
            <w:r w:rsidR="000662EB" w:rsidRPr="00C342CB">
              <w:rPr>
                <w:rFonts w:asciiTheme="minorHAnsi" w:hAnsiTheme="minorHAnsi"/>
              </w:rPr>
              <w:t>8</w:t>
            </w:r>
          </w:p>
          <w:p w14:paraId="46AC4034" w14:textId="77777777" w:rsidR="006C7614" w:rsidRPr="00C342CB" w:rsidRDefault="006C7614" w:rsidP="006C7614">
            <w:pPr>
              <w:pStyle w:val="BodyText2"/>
              <w:rPr>
                <w:rFonts w:asciiTheme="minorHAnsi" w:hAnsiTheme="minorHAnsi"/>
              </w:rPr>
            </w:pPr>
            <w:r w:rsidRPr="00C342CB">
              <w:rPr>
                <w:rFonts w:asciiTheme="minorHAnsi" w:hAnsiTheme="minorHAnsi"/>
              </w:rPr>
              <w:t>ROAR 2014, 2015, 2016</w:t>
            </w:r>
            <w:r w:rsidR="000662EB" w:rsidRPr="00C342CB">
              <w:rPr>
                <w:rFonts w:asciiTheme="minorHAnsi" w:hAnsiTheme="minorHAnsi"/>
              </w:rPr>
              <w:t xml:space="preserve"> and 2017</w:t>
            </w:r>
          </w:p>
          <w:p w14:paraId="5927DD3C" w14:textId="77777777" w:rsidR="006C7614" w:rsidRPr="00C342CB" w:rsidRDefault="000662EB" w:rsidP="006C7614">
            <w:pPr>
              <w:pStyle w:val="BodyText2"/>
              <w:rPr>
                <w:rFonts w:asciiTheme="minorHAnsi" w:hAnsiTheme="minorHAnsi"/>
              </w:rPr>
            </w:pPr>
            <w:r w:rsidRPr="00C342CB">
              <w:rPr>
                <w:rFonts w:asciiTheme="minorHAnsi" w:hAnsiTheme="minorHAnsi"/>
              </w:rPr>
              <w:t xml:space="preserve">CPD/CPAP 2014-2018 </w:t>
            </w:r>
            <w:r w:rsidR="006C7614" w:rsidRPr="00C342CB">
              <w:rPr>
                <w:rFonts w:asciiTheme="minorHAnsi" w:hAnsiTheme="minorHAnsi"/>
              </w:rPr>
              <w:t>Mid-term report</w:t>
            </w:r>
          </w:p>
          <w:p w14:paraId="695F3889" w14:textId="77777777" w:rsidR="006C7614" w:rsidRPr="00C342CB" w:rsidRDefault="006C7614" w:rsidP="006C7614">
            <w:pPr>
              <w:pStyle w:val="BodyText2"/>
              <w:rPr>
                <w:rFonts w:asciiTheme="minorHAnsi" w:hAnsiTheme="minorHAnsi"/>
              </w:rPr>
            </w:pPr>
            <w:r w:rsidRPr="00C342CB">
              <w:rPr>
                <w:rFonts w:asciiTheme="minorHAnsi" w:hAnsiTheme="minorHAnsi"/>
              </w:rPr>
              <w:t>201</w:t>
            </w:r>
            <w:r w:rsidR="000662EB" w:rsidRPr="00C342CB">
              <w:rPr>
                <w:rFonts w:asciiTheme="minorHAnsi" w:hAnsiTheme="minorHAnsi"/>
              </w:rPr>
              <w:t>8</w:t>
            </w:r>
            <w:r w:rsidRPr="00C342CB">
              <w:rPr>
                <w:rFonts w:asciiTheme="minorHAnsi" w:hAnsiTheme="minorHAnsi"/>
              </w:rPr>
              <w:t xml:space="preserve"> CCA &amp; Gap Analysis</w:t>
            </w:r>
          </w:p>
          <w:p w14:paraId="0508D5A3" w14:textId="77777777" w:rsidR="008D791F" w:rsidRPr="00C342CB" w:rsidRDefault="006C7614" w:rsidP="002315A5">
            <w:pPr>
              <w:pStyle w:val="BodyText2"/>
              <w:rPr>
                <w:rFonts w:asciiTheme="minorHAnsi" w:hAnsiTheme="minorHAnsi"/>
              </w:rPr>
            </w:pPr>
            <w:r w:rsidRPr="00C342CB">
              <w:rPr>
                <w:rFonts w:asciiTheme="minorHAnsi" w:hAnsiTheme="minorHAnsi"/>
              </w:rPr>
              <w:t xml:space="preserve">Project </w:t>
            </w:r>
            <w:r w:rsidR="000662EB" w:rsidRPr="00C342CB">
              <w:rPr>
                <w:rFonts w:asciiTheme="minorHAnsi" w:hAnsiTheme="minorHAnsi"/>
              </w:rPr>
              <w:t xml:space="preserve">and evaluations </w:t>
            </w:r>
            <w:r w:rsidRPr="00C342CB">
              <w:rPr>
                <w:rFonts w:asciiTheme="minorHAnsi" w:hAnsiTheme="minorHAnsi"/>
              </w:rPr>
              <w:t xml:space="preserve">reports </w:t>
            </w:r>
          </w:p>
          <w:p w14:paraId="3EF876FA" w14:textId="77777777" w:rsidR="008D791F" w:rsidRPr="006900FE" w:rsidRDefault="008D791F" w:rsidP="002315A5">
            <w:pPr>
              <w:pStyle w:val="BodyText2"/>
              <w:rPr>
                <w:rFonts w:asciiTheme="minorHAnsi" w:hAnsiTheme="minorHAnsi"/>
                <w:b/>
              </w:rPr>
            </w:pPr>
          </w:p>
        </w:tc>
      </w:tr>
    </w:tbl>
    <w:p w14:paraId="5D6BE77B" w14:textId="77777777" w:rsidR="00635929" w:rsidRDefault="00635929" w:rsidP="005E0C05">
      <w:pPr>
        <w:pStyle w:val="BodyText2"/>
        <w:rPr>
          <w:rFonts w:ascii="Times New Roman" w:hAnsi="Times New Roman"/>
          <w:sz w:val="24"/>
        </w:rPr>
      </w:pPr>
    </w:p>
    <w:sectPr w:rsidR="00635929"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926C8" w14:textId="77777777" w:rsidR="005D6E4B" w:rsidRDefault="005D6E4B">
      <w:r>
        <w:separator/>
      </w:r>
    </w:p>
  </w:endnote>
  <w:endnote w:type="continuationSeparator" w:id="0">
    <w:p w14:paraId="13647FB1" w14:textId="77777777" w:rsidR="005D6E4B" w:rsidRDefault="005D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407"/>
      <w:docPartObj>
        <w:docPartGallery w:val="Page Numbers (Bottom of Page)"/>
        <w:docPartUnique/>
      </w:docPartObj>
    </w:sdtPr>
    <w:sdtEndPr/>
    <w:sdtContent>
      <w:p w14:paraId="4147BEB0" w14:textId="77777777" w:rsidR="00DA64AA" w:rsidRDefault="00DA64AA">
        <w:pPr>
          <w:pStyle w:val="Footer"/>
          <w:jc w:val="center"/>
        </w:pPr>
        <w:r>
          <w:fldChar w:fldCharType="begin"/>
        </w:r>
        <w:r>
          <w:instrText xml:space="preserve"> PAGE   \* MERGEFORMAT </w:instrText>
        </w:r>
        <w:r>
          <w:fldChar w:fldCharType="separate"/>
        </w:r>
        <w:r w:rsidR="002F02B3">
          <w:rPr>
            <w:noProof/>
          </w:rPr>
          <w:t>1</w:t>
        </w:r>
        <w:r>
          <w:rPr>
            <w:noProof/>
          </w:rPr>
          <w:fldChar w:fldCharType="end"/>
        </w:r>
      </w:p>
    </w:sdtContent>
  </w:sdt>
  <w:p w14:paraId="786B3F06" w14:textId="77777777" w:rsidR="00DA64AA" w:rsidRDefault="00DA6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22B9F" w14:textId="77777777" w:rsidR="005D6E4B" w:rsidRDefault="005D6E4B">
      <w:r>
        <w:separator/>
      </w:r>
    </w:p>
  </w:footnote>
  <w:footnote w:type="continuationSeparator" w:id="0">
    <w:p w14:paraId="2870619F" w14:textId="77777777" w:rsidR="005D6E4B" w:rsidRDefault="005D6E4B">
      <w:r>
        <w:continuationSeparator/>
      </w:r>
    </w:p>
  </w:footnote>
  <w:footnote w:id="1">
    <w:p w14:paraId="3E22D076" w14:textId="77777777" w:rsidR="00DA64AA" w:rsidRPr="0064746F" w:rsidRDefault="00DA64AA">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 prepared only in the absence of a completed Assessment of Development Results (ADR) for the cycle.</w:t>
      </w:r>
    </w:p>
  </w:footnote>
  <w:footnote w:id="2">
    <w:p w14:paraId="43024592" w14:textId="77777777" w:rsidR="00DA64AA" w:rsidRPr="00226B22" w:rsidRDefault="00DA64AA" w:rsidP="0066771A">
      <w:pPr>
        <w:pStyle w:val="FootnoteText"/>
        <w:rPr>
          <w:sz w:val="14"/>
          <w:szCs w:val="14"/>
          <w:lang w:val="fr-FR"/>
        </w:rPr>
      </w:pPr>
      <w:r w:rsidRPr="00226B22">
        <w:rPr>
          <w:rStyle w:val="FootnoteReference"/>
          <w:sz w:val="14"/>
          <w:szCs w:val="14"/>
        </w:rPr>
        <w:footnoteRef/>
      </w:r>
      <w:r w:rsidRPr="00226B22">
        <w:rPr>
          <w:sz w:val="14"/>
          <w:szCs w:val="14"/>
          <w:lang w:val="fr-FR"/>
        </w:rPr>
        <w:t xml:space="preserve"> Rapport de l’INS de novembre 2017 sur le suivi des indicateurs de consolidation de la paix, rapport évaluation finale projet TICA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0763D"/>
    <w:multiLevelType w:val="hybridMultilevel"/>
    <w:tmpl w:val="CB5C45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3C229C"/>
    <w:multiLevelType w:val="hybridMultilevel"/>
    <w:tmpl w:val="D556C9E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94B81"/>
    <w:multiLevelType w:val="hybridMultilevel"/>
    <w:tmpl w:val="B2C6F262"/>
    <w:lvl w:ilvl="0" w:tplc="551A5F26">
      <w:start w:val="1"/>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8A098C"/>
    <w:multiLevelType w:val="hybridMultilevel"/>
    <w:tmpl w:val="010C93C6"/>
    <w:lvl w:ilvl="0" w:tplc="4CE4518C">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137179"/>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A575B10"/>
    <w:multiLevelType w:val="hybridMultilevel"/>
    <w:tmpl w:val="40485650"/>
    <w:lvl w:ilvl="0" w:tplc="02ACE9F6">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DE3E7F"/>
    <w:multiLevelType w:val="hybridMultilevel"/>
    <w:tmpl w:val="CC323EEC"/>
    <w:lvl w:ilvl="0" w:tplc="4CE4518C">
      <w:start w:val="1"/>
      <w:numFmt w:val="lowerLetter"/>
      <w:lvlText w:val="(%1)"/>
      <w:lvlJc w:val="left"/>
      <w:pPr>
        <w:ind w:left="357" w:hanging="35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6"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408DA"/>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6D644A"/>
    <w:multiLevelType w:val="hybridMultilevel"/>
    <w:tmpl w:val="D898E256"/>
    <w:lvl w:ilvl="0" w:tplc="89B6A30A">
      <w:start w:val="1"/>
      <w:numFmt w:val="lowerLetter"/>
      <w:lvlText w:val="%1."/>
      <w:lvlJc w:val="left"/>
      <w:pPr>
        <w:ind w:left="360" w:hanging="360"/>
      </w:pPr>
      <w:rPr>
        <w:rFonts w:hint="default"/>
        <w:i w:val="0"/>
      </w:rPr>
    </w:lvl>
    <w:lvl w:ilvl="1" w:tplc="B9800766">
      <w:start w:val="1"/>
      <w:numFmt w:val="lowerLetter"/>
      <w:lvlText w:val="(%2)"/>
      <w:lvlJc w:val="left"/>
      <w:pPr>
        <w:ind w:left="1080" w:hanging="360"/>
      </w:pPr>
      <w:rPr>
        <w:rFonts w:ascii="Arial" w:hAnsi="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924293"/>
    <w:multiLevelType w:val="hybridMultilevel"/>
    <w:tmpl w:val="6C183F1A"/>
    <w:lvl w:ilvl="0" w:tplc="1924D38C">
      <w:start w:val="1"/>
      <w:numFmt w:val="lowerLetter"/>
      <w:lvlText w:val="%1."/>
      <w:lvlJc w:val="left"/>
      <w:pPr>
        <w:ind w:left="360" w:hanging="360"/>
      </w:pPr>
      <w:rPr>
        <w:rFonts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7DE1C6F"/>
    <w:multiLevelType w:val="hybridMultilevel"/>
    <w:tmpl w:val="FFD63EC2"/>
    <w:lvl w:ilvl="0" w:tplc="4DC048E6">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742ADF"/>
    <w:multiLevelType w:val="hybridMultilevel"/>
    <w:tmpl w:val="5F70CB64"/>
    <w:lvl w:ilvl="0" w:tplc="4CE4518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457099"/>
    <w:multiLevelType w:val="hybridMultilevel"/>
    <w:tmpl w:val="8FF89CB6"/>
    <w:lvl w:ilvl="0" w:tplc="DD56B9FC">
      <w:start w:val="2017"/>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437574"/>
    <w:multiLevelType w:val="hybridMultilevel"/>
    <w:tmpl w:val="8BC6BD32"/>
    <w:lvl w:ilvl="0" w:tplc="4202914C">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1AB7099"/>
    <w:multiLevelType w:val="hybridMultilevel"/>
    <w:tmpl w:val="94CCC896"/>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A7644D7"/>
    <w:multiLevelType w:val="hybridMultilevel"/>
    <w:tmpl w:val="2E54BE66"/>
    <w:lvl w:ilvl="0" w:tplc="4CE4518C">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5"/>
  </w:num>
  <w:num w:numId="2">
    <w:abstractNumId w:val="1"/>
  </w:num>
  <w:num w:numId="3">
    <w:abstractNumId w:val="9"/>
  </w:num>
  <w:num w:numId="4">
    <w:abstractNumId w:val="5"/>
  </w:num>
  <w:num w:numId="5">
    <w:abstractNumId w:val="20"/>
  </w:num>
  <w:num w:numId="6">
    <w:abstractNumId w:val="24"/>
  </w:num>
  <w:num w:numId="7">
    <w:abstractNumId w:val="3"/>
  </w:num>
  <w:num w:numId="8">
    <w:abstractNumId w:val="23"/>
  </w:num>
  <w:num w:numId="9">
    <w:abstractNumId w:val="6"/>
  </w:num>
  <w:num w:numId="10">
    <w:abstractNumId w:val="12"/>
  </w:num>
  <w:num w:numId="11">
    <w:abstractNumId w:val="31"/>
  </w:num>
  <w:num w:numId="12">
    <w:abstractNumId w:val="16"/>
  </w:num>
  <w:num w:numId="13">
    <w:abstractNumId w:val="18"/>
  </w:num>
  <w:num w:numId="14">
    <w:abstractNumId w:val="10"/>
  </w:num>
  <w:num w:numId="15">
    <w:abstractNumId w:val="0"/>
  </w:num>
  <w:num w:numId="16">
    <w:abstractNumId w:val="28"/>
  </w:num>
  <w:num w:numId="17">
    <w:abstractNumId w:val="25"/>
  </w:num>
  <w:num w:numId="18">
    <w:abstractNumId w:val="4"/>
  </w:num>
  <w:num w:numId="19">
    <w:abstractNumId w:val="11"/>
  </w:num>
  <w:num w:numId="20">
    <w:abstractNumId w:val="19"/>
  </w:num>
  <w:num w:numId="21">
    <w:abstractNumId w:val="17"/>
  </w:num>
  <w:num w:numId="22">
    <w:abstractNumId w:val="14"/>
  </w:num>
  <w:num w:numId="23">
    <w:abstractNumId w:val="7"/>
  </w:num>
  <w:num w:numId="24">
    <w:abstractNumId w:val="22"/>
  </w:num>
  <w:num w:numId="25">
    <w:abstractNumId w:val="13"/>
  </w:num>
  <w:num w:numId="26">
    <w:abstractNumId w:val="27"/>
  </w:num>
  <w:num w:numId="27">
    <w:abstractNumId w:val="29"/>
  </w:num>
  <w:num w:numId="28">
    <w:abstractNumId w:val="30"/>
  </w:num>
  <w:num w:numId="29">
    <w:abstractNumId w:val="2"/>
  </w:num>
  <w:num w:numId="30">
    <w:abstractNumId w:val="32"/>
  </w:num>
  <w:num w:numId="31">
    <w:abstractNumId w:val="26"/>
  </w:num>
  <w:num w:numId="32">
    <w:abstractNumId w:val="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68"/>
    <w:rsid w:val="00007461"/>
    <w:rsid w:val="000079CC"/>
    <w:rsid w:val="00011A63"/>
    <w:rsid w:val="0002591C"/>
    <w:rsid w:val="00047CF8"/>
    <w:rsid w:val="000502AD"/>
    <w:rsid w:val="000662EB"/>
    <w:rsid w:val="00081B97"/>
    <w:rsid w:val="000823AC"/>
    <w:rsid w:val="0008359D"/>
    <w:rsid w:val="0009799E"/>
    <w:rsid w:val="000A049E"/>
    <w:rsid w:val="000C09B4"/>
    <w:rsid w:val="000C4457"/>
    <w:rsid w:val="000D63F1"/>
    <w:rsid w:val="000D6DE5"/>
    <w:rsid w:val="000F77FD"/>
    <w:rsid w:val="001123DF"/>
    <w:rsid w:val="001250FE"/>
    <w:rsid w:val="00132B42"/>
    <w:rsid w:val="0015409F"/>
    <w:rsid w:val="00157815"/>
    <w:rsid w:val="00164ACD"/>
    <w:rsid w:val="001663A4"/>
    <w:rsid w:val="00167DA9"/>
    <w:rsid w:val="00176076"/>
    <w:rsid w:val="00184DC5"/>
    <w:rsid w:val="00184EB4"/>
    <w:rsid w:val="00185F8A"/>
    <w:rsid w:val="001956C7"/>
    <w:rsid w:val="001A4D75"/>
    <w:rsid w:val="001B3A18"/>
    <w:rsid w:val="001B721D"/>
    <w:rsid w:val="001C4B7C"/>
    <w:rsid w:val="001D2649"/>
    <w:rsid w:val="001E6B76"/>
    <w:rsid w:val="001F3524"/>
    <w:rsid w:val="00226B22"/>
    <w:rsid w:val="00226D72"/>
    <w:rsid w:val="00230A0E"/>
    <w:rsid w:val="00230BB5"/>
    <w:rsid w:val="002315A5"/>
    <w:rsid w:val="00232597"/>
    <w:rsid w:val="00245C7C"/>
    <w:rsid w:val="00253773"/>
    <w:rsid w:val="002547CF"/>
    <w:rsid w:val="0026321D"/>
    <w:rsid w:val="002721C3"/>
    <w:rsid w:val="00285F06"/>
    <w:rsid w:val="002A7396"/>
    <w:rsid w:val="002C21C6"/>
    <w:rsid w:val="002C4B80"/>
    <w:rsid w:val="002D1DF3"/>
    <w:rsid w:val="002F02B3"/>
    <w:rsid w:val="002F7493"/>
    <w:rsid w:val="002F7E65"/>
    <w:rsid w:val="003122B7"/>
    <w:rsid w:val="003159E7"/>
    <w:rsid w:val="0032175A"/>
    <w:rsid w:val="00322DEA"/>
    <w:rsid w:val="00322F2E"/>
    <w:rsid w:val="003263B0"/>
    <w:rsid w:val="00334D80"/>
    <w:rsid w:val="0034230E"/>
    <w:rsid w:val="00346615"/>
    <w:rsid w:val="00346DF3"/>
    <w:rsid w:val="003531D6"/>
    <w:rsid w:val="00354CB5"/>
    <w:rsid w:val="00357B0E"/>
    <w:rsid w:val="00363EC5"/>
    <w:rsid w:val="00366AD1"/>
    <w:rsid w:val="0037523B"/>
    <w:rsid w:val="00382A17"/>
    <w:rsid w:val="00387F18"/>
    <w:rsid w:val="003924C7"/>
    <w:rsid w:val="003B037A"/>
    <w:rsid w:val="003B2E1D"/>
    <w:rsid w:val="003B422F"/>
    <w:rsid w:val="003C2CAB"/>
    <w:rsid w:val="003C5F77"/>
    <w:rsid w:val="003D653B"/>
    <w:rsid w:val="003D6BB4"/>
    <w:rsid w:val="003F148A"/>
    <w:rsid w:val="003F1F1D"/>
    <w:rsid w:val="004004FC"/>
    <w:rsid w:val="00410443"/>
    <w:rsid w:val="00417008"/>
    <w:rsid w:val="00424E4F"/>
    <w:rsid w:val="0043502B"/>
    <w:rsid w:val="00436143"/>
    <w:rsid w:val="0043690B"/>
    <w:rsid w:val="00454246"/>
    <w:rsid w:val="00461D62"/>
    <w:rsid w:val="004621FC"/>
    <w:rsid w:val="00472B2D"/>
    <w:rsid w:val="00482765"/>
    <w:rsid w:val="00487246"/>
    <w:rsid w:val="004B3911"/>
    <w:rsid w:val="004C595C"/>
    <w:rsid w:val="004D28B9"/>
    <w:rsid w:val="004D3DBE"/>
    <w:rsid w:val="004E5559"/>
    <w:rsid w:val="00516AC8"/>
    <w:rsid w:val="00517955"/>
    <w:rsid w:val="00530FDE"/>
    <w:rsid w:val="005474ED"/>
    <w:rsid w:val="00564EBB"/>
    <w:rsid w:val="005A7B65"/>
    <w:rsid w:val="005B2CAC"/>
    <w:rsid w:val="005C5251"/>
    <w:rsid w:val="005C6168"/>
    <w:rsid w:val="005D6E4B"/>
    <w:rsid w:val="005E0C05"/>
    <w:rsid w:val="005F2E08"/>
    <w:rsid w:val="005F4959"/>
    <w:rsid w:val="005F6261"/>
    <w:rsid w:val="00612159"/>
    <w:rsid w:val="00635929"/>
    <w:rsid w:val="00640CFB"/>
    <w:rsid w:val="00647283"/>
    <w:rsid w:val="0064746F"/>
    <w:rsid w:val="0066771A"/>
    <w:rsid w:val="00673710"/>
    <w:rsid w:val="00674B1A"/>
    <w:rsid w:val="006813E8"/>
    <w:rsid w:val="006832E8"/>
    <w:rsid w:val="006900FE"/>
    <w:rsid w:val="006B5BA7"/>
    <w:rsid w:val="006B7F2F"/>
    <w:rsid w:val="006C1AC7"/>
    <w:rsid w:val="006C7614"/>
    <w:rsid w:val="00700521"/>
    <w:rsid w:val="00711D38"/>
    <w:rsid w:val="007236B5"/>
    <w:rsid w:val="00760E32"/>
    <w:rsid w:val="007627E7"/>
    <w:rsid w:val="00764E41"/>
    <w:rsid w:val="00771515"/>
    <w:rsid w:val="007728CD"/>
    <w:rsid w:val="00774E08"/>
    <w:rsid w:val="00776056"/>
    <w:rsid w:val="007832DD"/>
    <w:rsid w:val="00790C12"/>
    <w:rsid w:val="00797C79"/>
    <w:rsid w:val="007A16E2"/>
    <w:rsid w:val="007A43D7"/>
    <w:rsid w:val="007B48F7"/>
    <w:rsid w:val="007C1B15"/>
    <w:rsid w:val="007E1663"/>
    <w:rsid w:val="008018C5"/>
    <w:rsid w:val="00806F3F"/>
    <w:rsid w:val="00813F1E"/>
    <w:rsid w:val="0081403B"/>
    <w:rsid w:val="0083029D"/>
    <w:rsid w:val="00832AEC"/>
    <w:rsid w:val="00837C4B"/>
    <w:rsid w:val="00842737"/>
    <w:rsid w:val="00843006"/>
    <w:rsid w:val="008440D9"/>
    <w:rsid w:val="00845340"/>
    <w:rsid w:val="00867AAC"/>
    <w:rsid w:val="00882ECA"/>
    <w:rsid w:val="0088539F"/>
    <w:rsid w:val="008B06DD"/>
    <w:rsid w:val="008C413C"/>
    <w:rsid w:val="008D4556"/>
    <w:rsid w:val="008D5607"/>
    <w:rsid w:val="008D791F"/>
    <w:rsid w:val="008F0A97"/>
    <w:rsid w:val="0091689C"/>
    <w:rsid w:val="00920DBC"/>
    <w:rsid w:val="0093095F"/>
    <w:rsid w:val="009353D7"/>
    <w:rsid w:val="00942B3B"/>
    <w:rsid w:val="00962C66"/>
    <w:rsid w:val="0096537A"/>
    <w:rsid w:val="0097197E"/>
    <w:rsid w:val="00974DDB"/>
    <w:rsid w:val="00975566"/>
    <w:rsid w:val="00976324"/>
    <w:rsid w:val="00990CED"/>
    <w:rsid w:val="009B76A1"/>
    <w:rsid w:val="009E7526"/>
    <w:rsid w:val="009F21FD"/>
    <w:rsid w:val="00A0001A"/>
    <w:rsid w:val="00A01FA6"/>
    <w:rsid w:val="00A1786A"/>
    <w:rsid w:val="00A20976"/>
    <w:rsid w:val="00A210CD"/>
    <w:rsid w:val="00A2662E"/>
    <w:rsid w:val="00A30EBB"/>
    <w:rsid w:val="00A40130"/>
    <w:rsid w:val="00A44F24"/>
    <w:rsid w:val="00A45528"/>
    <w:rsid w:val="00A57912"/>
    <w:rsid w:val="00A74149"/>
    <w:rsid w:val="00A85E34"/>
    <w:rsid w:val="00AB04E7"/>
    <w:rsid w:val="00AE3614"/>
    <w:rsid w:val="00AE50A3"/>
    <w:rsid w:val="00B00AF1"/>
    <w:rsid w:val="00B00E5C"/>
    <w:rsid w:val="00B053BE"/>
    <w:rsid w:val="00B05DB0"/>
    <w:rsid w:val="00B2050D"/>
    <w:rsid w:val="00B25B8C"/>
    <w:rsid w:val="00B32ADA"/>
    <w:rsid w:val="00B334F6"/>
    <w:rsid w:val="00B64ACA"/>
    <w:rsid w:val="00BC38E0"/>
    <w:rsid w:val="00BC55A4"/>
    <w:rsid w:val="00BE2925"/>
    <w:rsid w:val="00BE655B"/>
    <w:rsid w:val="00BE7453"/>
    <w:rsid w:val="00BF508B"/>
    <w:rsid w:val="00BF7C5B"/>
    <w:rsid w:val="00C342CB"/>
    <w:rsid w:val="00C371EA"/>
    <w:rsid w:val="00C66DE1"/>
    <w:rsid w:val="00C769D5"/>
    <w:rsid w:val="00C97E31"/>
    <w:rsid w:val="00CA2074"/>
    <w:rsid w:val="00CB647D"/>
    <w:rsid w:val="00CD1630"/>
    <w:rsid w:val="00CE1117"/>
    <w:rsid w:val="00D043E6"/>
    <w:rsid w:val="00D2292E"/>
    <w:rsid w:val="00D30BE3"/>
    <w:rsid w:val="00D808EE"/>
    <w:rsid w:val="00D80A4F"/>
    <w:rsid w:val="00D9192E"/>
    <w:rsid w:val="00D95096"/>
    <w:rsid w:val="00DA3E98"/>
    <w:rsid w:val="00DA490D"/>
    <w:rsid w:val="00DA64AA"/>
    <w:rsid w:val="00DB37A3"/>
    <w:rsid w:val="00DC4D86"/>
    <w:rsid w:val="00DC7354"/>
    <w:rsid w:val="00DD4368"/>
    <w:rsid w:val="00DD66E3"/>
    <w:rsid w:val="00DE7AC8"/>
    <w:rsid w:val="00DF0357"/>
    <w:rsid w:val="00E01D13"/>
    <w:rsid w:val="00E030A0"/>
    <w:rsid w:val="00E06A4E"/>
    <w:rsid w:val="00E1547F"/>
    <w:rsid w:val="00E32ACA"/>
    <w:rsid w:val="00E36AC9"/>
    <w:rsid w:val="00E37E7A"/>
    <w:rsid w:val="00E770DC"/>
    <w:rsid w:val="00EA7740"/>
    <w:rsid w:val="00EC7BBC"/>
    <w:rsid w:val="00ED0005"/>
    <w:rsid w:val="00ED2F81"/>
    <w:rsid w:val="00EE1D60"/>
    <w:rsid w:val="00EE41AA"/>
    <w:rsid w:val="00EF0ADA"/>
    <w:rsid w:val="00F004A3"/>
    <w:rsid w:val="00F01FDE"/>
    <w:rsid w:val="00F13C5F"/>
    <w:rsid w:val="00F16195"/>
    <w:rsid w:val="00F16337"/>
    <w:rsid w:val="00F31949"/>
    <w:rsid w:val="00F37FA7"/>
    <w:rsid w:val="00F826EC"/>
    <w:rsid w:val="00F84FD4"/>
    <w:rsid w:val="00F851D3"/>
    <w:rsid w:val="00F9368D"/>
    <w:rsid w:val="00FB2C4C"/>
    <w:rsid w:val="00FB3DB2"/>
    <w:rsid w:val="00FB400C"/>
    <w:rsid w:val="00FC4DEE"/>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F1316"/>
  <w15:docId w15:val="{DEA9A6A3-7FAE-4A7D-91EF-7B2ADEAA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rsid w:val="001F3524"/>
    <w:rPr>
      <w:vertAlign w:val="superscript"/>
    </w:rPr>
  </w:style>
  <w:style w:type="character" w:customStyle="1" w:styleId="BodyText2Char">
    <w:name w:val="Body Text 2 Char"/>
    <w:basedOn w:val="DefaultParagraphFont"/>
    <w:link w:val="BodyText2"/>
    <w:rsid w:val="00410443"/>
    <w:rPr>
      <w:rFonts w:ascii="Arial" w:hAnsi="Arial"/>
    </w:rPr>
  </w:style>
  <w:style w:type="paragraph" w:styleId="ListParagraph">
    <w:name w:val="List Paragraph"/>
    <w:basedOn w:val="Normal"/>
    <w:uiPriority w:val="34"/>
    <w:qFormat/>
    <w:rsid w:val="00164ACD"/>
    <w:pPr>
      <w:ind w:left="720"/>
      <w:contextualSpacing/>
    </w:pPr>
  </w:style>
  <w:style w:type="character" w:styleId="CommentReference">
    <w:name w:val="annotation reference"/>
    <w:basedOn w:val="DefaultParagraphFont"/>
    <w:unhideWhenUsed/>
    <w:rsid w:val="00164ACD"/>
    <w:rPr>
      <w:sz w:val="16"/>
      <w:szCs w:val="16"/>
    </w:rPr>
  </w:style>
  <w:style w:type="paragraph" w:styleId="CommentText">
    <w:name w:val="annotation text"/>
    <w:basedOn w:val="Normal"/>
    <w:link w:val="CommentTextChar"/>
    <w:unhideWhenUsed/>
    <w:rsid w:val="00164ACD"/>
    <w:rPr>
      <w:sz w:val="20"/>
    </w:rPr>
  </w:style>
  <w:style w:type="character" w:customStyle="1" w:styleId="CommentTextChar">
    <w:name w:val="Comment Text Char"/>
    <w:basedOn w:val="DefaultParagraphFont"/>
    <w:link w:val="CommentText"/>
    <w:rsid w:val="00164ACD"/>
  </w:style>
  <w:style w:type="paragraph" w:styleId="CommentSubject">
    <w:name w:val="annotation subject"/>
    <w:basedOn w:val="CommentText"/>
    <w:next w:val="CommentText"/>
    <w:link w:val="CommentSubjectChar"/>
    <w:semiHidden/>
    <w:unhideWhenUsed/>
    <w:rsid w:val="00164ACD"/>
    <w:rPr>
      <w:b/>
      <w:bCs/>
    </w:rPr>
  </w:style>
  <w:style w:type="character" w:customStyle="1" w:styleId="CommentSubjectChar">
    <w:name w:val="Comment Subject Char"/>
    <w:basedOn w:val="CommentTextChar"/>
    <w:link w:val="CommentSubject"/>
    <w:semiHidden/>
    <w:rsid w:val="00164ACD"/>
    <w:rPr>
      <w:b/>
      <w:bCs/>
    </w:rPr>
  </w:style>
  <w:style w:type="paragraph" w:styleId="BalloonText">
    <w:name w:val="Balloon Text"/>
    <w:basedOn w:val="Normal"/>
    <w:link w:val="BalloonTextChar"/>
    <w:rsid w:val="00164ACD"/>
    <w:rPr>
      <w:rFonts w:ascii="Segoe UI" w:hAnsi="Segoe UI" w:cs="Segoe UI"/>
      <w:sz w:val="18"/>
      <w:szCs w:val="18"/>
    </w:rPr>
  </w:style>
  <w:style w:type="character" w:customStyle="1" w:styleId="BalloonTextChar">
    <w:name w:val="Balloon Text Char"/>
    <w:basedOn w:val="DefaultParagraphFont"/>
    <w:link w:val="BalloonText"/>
    <w:rsid w:val="00164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3.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e6de6f4a163210476040df223df441e8">
  <xsd:schema xmlns:xsd="http://www.w3.org/2001/XMLSchema" xmlns:xs="http://www.w3.org/2001/XMLSchema" xmlns:p="http://schemas.microsoft.com/office/2006/metadata/properties" xmlns:ns2="83ed2304-0f0e-45ba-b0cc-7d360cbc1769" targetNamespace="http://schemas.microsoft.com/office/2006/metadata/properties" ma:root="true" ma:fieldsID="75b7e553a872fe2836fe2ecc2b8c7ab0"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2.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3.xml><?xml version="1.0" encoding="utf-8"?>
<ds:datastoreItem xmlns:ds="http://schemas.openxmlformats.org/officeDocument/2006/customXml" ds:itemID="{BBF204ED-984C-407A-92BA-8E5AD42E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5.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6.xml><?xml version="1.0" encoding="utf-8"?>
<ds:datastoreItem xmlns:ds="http://schemas.openxmlformats.org/officeDocument/2006/customXml" ds:itemID="{5596DEE5-0185-42B1-8729-C4677DF3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3759</Words>
  <Characters>21432</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CP results summary</vt:lpstr>
      <vt:lpstr>CP results summary</vt:lpstr>
    </vt:vector>
  </TitlesOfParts>
  <Company>UNDP</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2018-08-13T10:34:00Z</cp:lastPrinted>
  <dcterms:created xsi:type="dcterms:W3CDTF">2018-10-09T16:25:00Z</dcterms:created>
  <dcterms:modified xsi:type="dcterms:W3CDTF">2018-10-09T16:25:00Z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