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EDE4" w14:textId="12177B2B" w:rsidR="00AA50C7" w:rsidRPr="003B111D" w:rsidRDefault="00B9283C" w:rsidP="00D905E6">
      <w:pPr>
        <w:spacing w:after="60"/>
        <w:ind w:right="-278"/>
        <w:jc w:val="right"/>
        <w:rPr>
          <w:rFonts w:ascii="Calibri" w:hAnsi="Calibri"/>
          <w:b/>
          <w:sz w:val="44"/>
          <w:szCs w:val="44"/>
          <w:lang w:val="en-US"/>
        </w:rPr>
      </w:pPr>
      <w:r>
        <w:rPr>
          <w:rFonts w:ascii="Calibri" w:hAnsi="Calibri"/>
          <w:b/>
          <w:noProof/>
          <w:sz w:val="44"/>
          <w:szCs w:val="44"/>
          <w:lang w:val="en-US"/>
        </w:rPr>
        <w:drawing>
          <wp:anchor distT="0" distB="0" distL="114300" distR="114300" simplePos="0" relativeHeight="251658240" behindDoc="0" locked="0" layoutInCell="1" allowOverlap="1" wp14:anchorId="3FEE511C" wp14:editId="01C5DD00">
            <wp:simplePos x="0" y="0"/>
            <wp:positionH relativeFrom="column">
              <wp:posOffset>61595</wp:posOffset>
            </wp:positionH>
            <wp:positionV relativeFrom="paragraph">
              <wp:posOffset>161925</wp:posOffset>
            </wp:positionV>
            <wp:extent cx="659765" cy="7429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E6">
        <w:rPr>
          <w:noProof/>
        </w:rPr>
        <w:drawing>
          <wp:inline distT="0" distB="0" distL="0" distR="0" wp14:anchorId="155DF21B" wp14:editId="5C74A081">
            <wp:extent cx="1057275" cy="1295400"/>
            <wp:effectExtent l="0" t="0" r="9525" b="0"/>
            <wp:docPr id="5" name="Picture 5" descr="UNCT Logo ENG col ver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CT Logo ENG col vert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295400"/>
                    </a:xfrm>
                    <a:prstGeom prst="rect">
                      <a:avLst/>
                    </a:prstGeom>
                    <a:noFill/>
                    <a:ln>
                      <a:noFill/>
                    </a:ln>
                  </pic:spPr>
                </pic:pic>
              </a:graphicData>
            </a:graphic>
          </wp:inline>
        </w:drawing>
      </w:r>
      <w:bookmarkStart w:id="0" w:name="_Hlk39775013"/>
      <w:bookmarkEnd w:id="0"/>
    </w:p>
    <w:p w14:paraId="18942516" w14:textId="461C2AB3" w:rsidR="00AA50C7" w:rsidRDefault="00AA50C7" w:rsidP="00D905E6">
      <w:pPr>
        <w:spacing w:after="60"/>
        <w:ind w:right="-278"/>
        <w:jc w:val="right"/>
        <w:rPr>
          <w:rFonts w:ascii="Calibri" w:hAnsi="Calibri"/>
          <w:b/>
          <w:sz w:val="44"/>
          <w:szCs w:val="44"/>
        </w:rPr>
      </w:pPr>
    </w:p>
    <w:p w14:paraId="46B36C04" w14:textId="77777777" w:rsidR="00AA50C7" w:rsidRPr="004060AA" w:rsidRDefault="00AA50C7" w:rsidP="00A55B6D">
      <w:pPr>
        <w:shd w:val="clear" w:color="auto" w:fill="002060"/>
        <w:spacing w:after="60"/>
        <w:ind w:right="-278"/>
        <w:jc w:val="both"/>
        <w:rPr>
          <w:rFonts w:ascii="Calibri" w:hAnsi="Calibri"/>
          <w:b/>
          <w:sz w:val="28"/>
          <w:szCs w:val="28"/>
        </w:rPr>
      </w:pPr>
    </w:p>
    <w:p w14:paraId="6C439DD5" w14:textId="2FD7848D" w:rsidR="00AA50C7" w:rsidRDefault="00AA50C7" w:rsidP="00A55B6D">
      <w:pPr>
        <w:spacing w:after="60"/>
        <w:ind w:right="-278"/>
        <w:jc w:val="both"/>
        <w:rPr>
          <w:rFonts w:ascii="Calibri" w:hAnsi="Calibri"/>
          <w:b/>
          <w:sz w:val="44"/>
          <w:szCs w:val="44"/>
        </w:rPr>
      </w:pPr>
    </w:p>
    <w:p w14:paraId="790AE00C" w14:textId="5294D93E" w:rsidR="00AA50C7" w:rsidRPr="00EA6523" w:rsidRDefault="004060AA" w:rsidP="00A55B6D">
      <w:pPr>
        <w:spacing w:after="60"/>
        <w:ind w:right="-278"/>
        <w:jc w:val="center"/>
        <w:rPr>
          <w:rFonts w:ascii="Calibri" w:hAnsi="Calibri"/>
          <w:b/>
          <w:color w:val="0F243E" w:themeColor="text2" w:themeShade="80"/>
          <w:sz w:val="44"/>
          <w:szCs w:val="44"/>
        </w:rPr>
      </w:pPr>
      <w:r w:rsidRPr="00EA6523">
        <w:rPr>
          <w:rFonts w:ascii="Calibri" w:hAnsi="Calibri"/>
          <w:b/>
          <w:color w:val="0F243E" w:themeColor="text2" w:themeShade="80"/>
          <w:sz w:val="44"/>
          <w:szCs w:val="44"/>
        </w:rPr>
        <w:t xml:space="preserve">Bosnia </w:t>
      </w:r>
      <w:r w:rsidR="00304B22">
        <w:rPr>
          <w:rFonts w:ascii="Calibri" w:hAnsi="Calibri"/>
          <w:b/>
          <w:color w:val="0F243E" w:themeColor="text2" w:themeShade="80"/>
          <w:sz w:val="44"/>
          <w:szCs w:val="44"/>
        </w:rPr>
        <w:t>and</w:t>
      </w:r>
      <w:r w:rsidRPr="00EA6523">
        <w:rPr>
          <w:rFonts w:ascii="Calibri" w:hAnsi="Calibri"/>
          <w:b/>
          <w:color w:val="0F243E" w:themeColor="text2" w:themeShade="80"/>
          <w:sz w:val="44"/>
          <w:szCs w:val="44"/>
        </w:rPr>
        <w:t xml:space="preserve"> Herzegovina and the </w:t>
      </w:r>
      <w:r w:rsidR="00AA50C7" w:rsidRPr="00EA6523">
        <w:rPr>
          <w:rFonts w:ascii="Calibri" w:hAnsi="Calibri"/>
          <w:b/>
          <w:color w:val="0F243E" w:themeColor="text2" w:themeShade="80"/>
          <w:sz w:val="44"/>
          <w:szCs w:val="44"/>
        </w:rPr>
        <w:t>United Nations</w:t>
      </w:r>
    </w:p>
    <w:p w14:paraId="31422D50" w14:textId="4C913816" w:rsidR="00AA50C7" w:rsidRPr="00EA6523" w:rsidRDefault="00AA50C7" w:rsidP="00A55B6D">
      <w:pPr>
        <w:spacing w:after="60"/>
        <w:ind w:right="-278"/>
        <w:jc w:val="center"/>
        <w:rPr>
          <w:rFonts w:ascii="Calibri" w:hAnsi="Calibri"/>
          <w:b/>
          <w:color w:val="0F243E" w:themeColor="text2" w:themeShade="80"/>
          <w:sz w:val="44"/>
          <w:szCs w:val="44"/>
        </w:rPr>
      </w:pPr>
      <w:r w:rsidRPr="00EA6523">
        <w:rPr>
          <w:rFonts w:ascii="Calibri" w:hAnsi="Calibri"/>
          <w:b/>
          <w:color w:val="0F243E" w:themeColor="text2" w:themeShade="80"/>
          <w:sz w:val="44"/>
          <w:szCs w:val="44"/>
        </w:rPr>
        <w:t>Sustainable Development Cooperation Framework</w:t>
      </w:r>
    </w:p>
    <w:p w14:paraId="52D120C4" w14:textId="31B73B74" w:rsidR="00AA50C7" w:rsidRPr="00EA6523" w:rsidRDefault="00AA50C7" w:rsidP="00A55B6D">
      <w:pPr>
        <w:spacing w:after="60"/>
        <w:ind w:right="-278"/>
        <w:jc w:val="center"/>
        <w:rPr>
          <w:rFonts w:ascii="Calibri" w:hAnsi="Calibri"/>
          <w:b/>
          <w:color w:val="0F243E" w:themeColor="text2" w:themeShade="80"/>
          <w:sz w:val="44"/>
          <w:szCs w:val="44"/>
        </w:rPr>
      </w:pPr>
      <w:r w:rsidRPr="00EA6523">
        <w:rPr>
          <w:rFonts w:ascii="Calibri" w:hAnsi="Calibri"/>
          <w:b/>
          <w:color w:val="0F243E" w:themeColor="text2" w:themeShade="80"/>
          <w:sz w:val="44"/>
          <w:szCs w:val="44"/>
        </w:rPr>
        <w:t>20</w:t>
      </w:r>
      <w:r w:rsidR="004060AA" w:rsidRPr="00EA6523">
        <w:rPr>
          <w:rFonts w:ascii="Calibri" w:hAnsi="Calibri"/>
          <w:b/>
          <w:color w:val="0F243E" w:themeColor="text2" w:themeShade="80"/>
          <w:sz w:val="44"/>
          <w:szCs w:val="44"/>
        </w:rPr>
        <w:t>21</w:t>
      </w:r>
      <w:r w:rsidRPr="00EA6523">
        <w:rPr>
          <w:rFonts w:ascii="Calibri" w:hAnsi="Calibri"/>
          <w:b/>
          <w:color w:val="0F243E" w:themeColor="text2" w:themeShade="80"/>
          <w:sz w:val="44"/>
          <w:szCs w:val="44"/>
        </w:rPr>
        <w:t>-20</w:t>
      </w:r>
      <w:r w:rsidR="004060AA" w:rsidRPr="00EA6523">
        <w:rPr>
          <w:rFonts w:ascii="Calibri" w:hAnsi="Calibri"/>
          <w:b/>
          <w:color w:val="0F243E" w:themeColor="text2" w:themeShade="80"/>
          <w:sz w:val="44"/>
          <w:szCs w:val="44"/>
        </w:rPr>
        <w:t>25</w:t>
      </w:r>
    </w:p>
    <w:p w14:paraId="3BE2DCB7" w14:textId="5AF36FB2" w:rsidR="00AA50C7" w:rsidRPr="00EA6523" w:rsidRDefault="00AA50C7" w:rsidP="00A55B6D">
      <w:pPr>
        <w:spacing w:after="60"/>
        <w:ind w:right="-278"/>
        <w:jc w:val="center"/>
        <w:rPr>
          <w:rFonts w:ascii="Calibri" w:hAnsi="Calibri"/>
          <w:b/>
          <w:color w:val="0F243E" w:themeColor="text2" w:themeShade="80"/>
          <w:sz w:val="44"/>
          <w:szCs w:val="44"/>
        </w:rPr>
      </w:pPr>
    </w:p>
    <w:p w14:paraId="093A2656" w14:textId="77777777" w:rsidR="00AA50C7" w:rsidRPr="00EA6523" w:rsidRDefault="00AA50C7" w:rsidP="00A55B6D">
      <w:pPr>
        <w:spacing w:after="60"/>
        <w:ind w:right="-278"/>
        <w:jc w:val="center"/>
        <w:rPr>
          <w:rFonts w:ascii="Calibri" w:hAnsi="Calibri"/>
          <w:b/>
          <w:color w:val="0F243E" w:themeColor="text2" w:themeShade="80"/>
          <w:sz w:val="44"/>
          <w:szCs w:val="44"/>
        </w:rPr>
      </w:pPr>
      <w:r w:rsidRPr="00EA6523">
        <w:rPr>
          <w:rFonts w:ascii="Calibri" w:hAnsi="Calibri"/>
          <w:b/>
          <w:color w:val="0F243E" w:themeColor="text2" w:themeShade="80"/>
          <w:sz w:val="44"/>
          <w:szCs w:val="44"/>
        </w:rPr>
        <w:t>A Partnership for Sustainable Development</w:t>
      </w:r>
    </w:p>
    <w:p w14:paraId="16DD5A28" w14:textId="77777777" w:rsidR="00AA50C7" w:rsidRDefault="00AA50C7" w:rsidP="00A55B6D">
      <w:pPr>
        <w:spacing w:after="60"/>
        <w:ind w:right="-278"/>
        <w:jc w:val="both"/>
        <w:rPr>
          <w:rFonts w:ascii="Calibri" w:hAnsi="Calibri"/>
          <w:sz w:val="44"/>
          <w:szCs w:val="44"/>
        </w:rPr>
      </w:pPr>
    </w:p>
    <w:p w14:paraId="44D86AC0" w14:textId="77777777" w:rsidR="00AA50C7" w:rsidRDefault="00AA50C7" w:rsidP="00A55B6D">
      <w:pPr>
        <w:spacing w:after="0" w:line="240" w:lineRule="auto"/>
        <w:jc w:val="both"/>
        <w:rPr>
          <w:b/>
          <w:color w:val="1F497D" w:themeColor="text2"/>
          <w:sz w:val="32"/>
          <w:szCs w:val="32"/>
        </w:rPr>
      </w:pPr>
    </w:p>
    <w:p w14:paraId="3D8426C2" w14:textId="77777777" w:rsidR="00AA50C7" w:rsidRDefault="00AA50C7" w:rsidP="00A55B6D">
      <w:pPr>
        <w:spacing w:after="0" w:line="240" w:lineRule="auto"/>
        <w:jc w:val="both"/>
        <w:rPr>
          <w:b/>
          <w:color w:val="1F497D" w:themeColor="text2"/>
          <w:sz w:val="32"/>
          <w:szCs w:val="32"/>
        </w:rPr>
      </w:pPr>
    </w:p>
    <w:p w14:paraId="11CFC69B" w14:textId="77777777" w:rsidR="004060AA" w:rsidRPr="004060AA" w:rsidRDefault="004060AA" w:rsidP="00A55B6D">
      <w:pPr>
        <w:shd w:val="clear" w:color="auto" w:fill="002060"/>
        <w:spacing w:after="60"/>
        <w:ind w:right="-278"/>
        <w:jc w:val="both"/>
        <w:rPr>
          <w:rFonts w:ascii="Calibri" w:hAnsi="Calibri"/>
          <w:b/>
          <w:sz w:val="28"/>
          <w:szCs w:val="28"/>
        </w:rPr>
      </w:pPr>
    </w:p>
    <w:p w14:paraId="6B02F1E3" w14:textId="77777777" w:rsidR="00AA50C7" w:rsidRDefault="00AA50C7" w:rsidP="00A55B6D">
      <w:pPr>
        <w:spacing w:after="0" w:line="240" w:lineRule="auto"/>
        <w:jc w:val="both"/>
        <w:rPr>
          <w:b/>
          <w:color w:val="1F497D" w:themeColor="text2"/>
          <w:sz w:val="32"/>
          <w:szCs w:val="32"/>
        </w:rPr>
      </w:pPr>
    </w:p>
    <w:p w14:paraId="6B06798A" w14:textId="77777777" w:rsidR="00AA50C7" w:rsidRDefault="00AA50C7" w:rsidP="00A55B6D">
      <w:pPr>
        <w:spacing w:after="0" w:line="240" w:lineRule="auto"/>
        <w:jc w:val="both"/>
        <w:rPr>
          <w:b/>
          <w:color w:val="1F497D" w:themeColor="text2"/>
          <w:sz w:val="32"/>
          <w:szCs w:val="32"/>
        </w:rPr>
      </w:pPr>
    </w:p>
    <w:p w14:paraId="72718882" w14:textId="77777777" w:rsidR="00AA50C7" w:rsidRDefault="00AA50C7" w:rsidP="00A55B6D">
      <w:pPr>
        <w:spacing w:after="0" w:line="240" w:lineRule="auto"/>
        <w:jc w:val="center"/>
        <w:rPr>
          <w:b/>
          <w:color w:val="1F497D" w:themeColor="text2"/>
          <w:sz w:val="32"/>
          <w:szCs w:val="32"/>
        </w:rPr>
      </w:pPr>
    </w:p>
    <w:p w14:paraId="088EDA4B" w14:textId="25323154" w:rsidR="004060AA" w:rsidRPr="00147561" w:rsidRDefault="00EC32A5" w:rsidP="00A55B6D">
      <w:pPr>
        <w:spacing w:after="120" w:line="240" w:lineRule="auto"/>
        <w:jc w:val="center"/>
        <w:rPr>
          <w:b/>
          <w:color w:val="FF0000"/>
          <w:sz w:val="32"/>
          <w:szCs w:val="32"/>
          <w:u w:val="single"/>
        </w:rPr>
      </w:pPr>
      <w:r>
        <w:rPr>
          <w:b/>
          <w:color w:val="FF0000"/>
          <w:sz w:val="32"/>
          <w:szCs w:val="32"/>
          <w:u w:val="single"/>
        </w:rPr>
        <w:t xml:space="preserve">Final </w:t>
      </w:r>
      <w:r w:rsidR="004060AA" w:rsidRPr="00147561">
        <w:rPr>
          <w:b/>
          <w:color w:val="FF0000"/>
          <w:sz w:val="32"/>
          <w:szCs w:val="32"/>
          <w:u w:val="single"/>
        </w:rPr>
        <w:t>Working Draft</w:t>
      </w:r>
    </w:p>
    <w:p w14:paraId="6B59147C" w14:textId="77777777" w:rsidR="004060AA" w:rsidRPr="004060AA" w:rsidRDefault="00276418" w:rsidP="00A55B6D">
      <w:pPr>
        <w:spacing w:after="0" w:line="240" w:lineRule="auto"/>
        <w:jc w:val="center"/>
        <w:rPr>
          <w:b/>
          <w:color w:val="FF0000"/>
          <w:sz w:val="32"/>
          <w:szCs w:val="32"/>
        </w:rPr>
      </w:pPr>
      <w:r>
        <w:rPr>
          <w:b/>
          <w:color w:val="FF0000"/>
          <w:sz w:val="32"/>
          <w:szCs w:val="32"/>
        </w:rPr>
        <w:t xml:space="preserve">-- </w:t>
      </w:r>
      <w:r w:rsidR="004060AA" w:rsidRPr="004060AA">
        <w:rPr>
          <w:b/>
          <w:color w:val="FF0000"/>
          <w:sz w:val="32"/>
          <w:szCs w:val="32"/>
        </w:rPr>
        <w:t>Not for distribution</w:t>
      </w:r>
      <w:r>
        <w:rPr>
          <w:b/>
          <w:color w:val="FF0000"/>
          <w:sz w:val="32"/>
          <w:szCs w:val="32"/>
        </w:rPr>
        <w:t xml:space="preserve"> --</w:t>
      </w:r>
    </w:p>
    <w:p w14:paraId="5373BD73" w14:textId="77777777" w:rsidR="004060AA" w:rsidRDefault="004060AA" w:rsidP="00A55B6D">
      <w:pPr>
        <w:spacing w:after="0" w:line="240" w:lineRule="auto"/>
        <w:jc w:val="center"/>
        <w:rPr>
          <w:b/>
          <w:color w:val="1F497D" w:themeColor="text2"/>
          <w:sz w:val="32"/>
          <w:szCs w:val="32"/>
        </w:rPr>
      </w:pPr>
    </w:p>
    <w:p w14:paraId="1A37CDE8" w14:textId="77777777" w:rsidR="004060AA" w:rsidRDefault="004060AA" w:rsidP="00A55B6D">
      <w:pPr>
        <w:spacing w:after="0" w:line="240" w:lineRule="auto"/>
        <w:jc w:val="center"/>
        <w:rPr>
          <w:b/>
          <w:color w:val="1F497D" w:themeColor="text2"/>
          <w:sz w:val="32"/>
          <w:szCs w:val="32"/>
        </w:rPr>
      </w:pPr>
    </w:p>
    <w:p w14:paraId="69E2EAB0" w14:textId="200F94A2" w:rsidR="00AA50C7" w:rsidRPr="00EB35C8" w:rsidRDefault="002B6FF9" w:rsidP="00A55B6D">
      <w:pPr>
        <w:spacing w:after="0" w:line="240" w:lineRule="auto"/>
        <w:jc w:val="center"/>
        <w:rPr>
          <w:b/>
          <w:i/>
          <w:color w:val="595959" w:themeColor="text1" w:themeTint="A6"/>
          <w:sz w:val="28"/>
          <w:szCs w:val="28"/>
        </w:rPr>
      </w:pPr>
      <w:r>
        <w:rPr>
          <w:b/>
          <w:i/>
          <w:color w:val="595959" w:themeColor="text1" w:themeTint="A6"/>
          <w:sz w:val="28"/>
          <w:szCs w:val="28"/>
        </w:rPr>
        <w:t>7</w:t>
      </w:r>
      <w:r w:rsidR="003435DE">
        <w:rPr>
          <w:b/>
          <w:i/>
          <w:color w:val="595959" w:themeColor="text1" w:themeTint="A6"/>
          <w:sz w:val="28"/>
          <w:szCs w:val="28"/>
        </w:rPr>
        <w:t xml:space="preserve"> </w:t>
      </w:r>
      <w:r w:rsidR="0086351E">
        <w:rPr>
          <w:b/>
          <w:i/>
          <w:color w:val="595959" w:themeColor="text1" w:themeTint="A6"/>
          <w:sz w:val="28"/>
          <w:szCs w:val="28"/>
        </w:rPr>
        <w:t>May</w:t>
      </w:r>
      <w:r w:rsidR="00AA50C7" w:rsidRPr="003167BE">
        <w:rPr>
          <w:b/>
          <w:i/>
          <w:color w:val="595959" w:themeColor="text1" w:themeTint="A6"/>
          <w:sz w:val="28"/>
          <w:szCs w:val="28"/>
        </w:rPr>
        <w:t xml:space="preserve"> 20</w:t>
      </w:r>
      <w:r w:rsidR="00B42C2D" w:rsidRPr="003167BE">
        <w:rPr>
          <w:b/>
          <w:i/>
          <w:color w:val="595959" w:themeColor="text1" w:themeTint="A6"/>
          <w:sz w:val="28"/>
          <w:szCs w:val="28"/>
        </w:rPr>
        <w:t>20</w:t>
      </w:r>
    </w:p>
    <w:p w14:paraId="41523EA0" w14:textId="77777777" w:rsidR="00147561" w:rsidRDefault="00147561" w:rsidP="00A55B6D">
      <w:pPr>
        <w:spacing w:after="120" w:line="240" w:lineRule="auto"/>
        <w:jc w:val="both"/>
        <w:rPr>
          <w:b/>
          <w:color w:val="1F497D" w:themeColor="text2"/>
          <w:sz w:val="32"/>
          <w:szCs w:val="32"/>
        </w:rPr>
        <w:sectPr w:rsidR="00147561" w:rsidSect="00A55B6D">
          <w:footerReference w:type="default" r:id="rId13"/>
          <w:pgSz w:w="12240" w:h="15840"/>
          <w:pgMar w:top="1440" w:right="1440" w:bottom="1440" w:left="1440"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cols w:space="708"/>
          <w:docGrid w:linePitch="360"/>
        </w:sectPr>
      </w:pPr>
    </w:p>
    <w:p w14:paraId="71D4C630" w14:textId="77777777" w:rsidR="00400692" w:rsidRPr="00EA6523" w:rsidRDefault="00400692" w:rsidP="00DD35EC">
      <w:pPr>
        <w:ind w:right="-365"/>
        <w:jc w:val="both"/>
        <w:rPr>
          <w:b/>
          <w:color w:val="0F243E" w:themeColor="text2" w:themeShade="80"/>
          <w:sz w:val="32"/>
          <w:szCs w:val="32"/>
        </w:rPr>
      </w:pPr>
      <w:r w:rsidRPr="00EA6523">
        <w:rPr>
          <w:b/>
          <w:color w:val="0F243E" w:themeColor="text2" w:themeShade="80"/>
          <w:sz w:val="32"/>
          <w:szCs w:val="32"/>
        </w:rPr>
        <w:lastRenderedPageBreak/>
        <w:t>Declaration of commitment</w:t>
      </w:r>
      <w:r w:rsidR="00C311AB">
        <w:rPr>
          <w:b/>
          <w:color w:val="0F243E" w:themeColor="text2" w:themeShade="80"/>
          <w:sz w:val="32"/>
          <w:szCs w:val="32"/>
        </w:rPr>
        <w:fldChar w:fldCharType="begin"/>
      </w:r>
      <w:r w:rsidR="00C311AB">
        <w:instrText xml:space="preserve"> TC "</w:instrText>
      </w:r>
      <w:bookmarkStart w:id="1" w:name="_Toc38899104"/>
      <w:r w:rsidR="00C311AB" w:rsidRPr="00A84280">
        <w:rPr>
          <w:b/>
          <w:color w:val="0F243E" w:themeColor="text2" w:themeShade="80"/>
          <w:sz w:val="32"/>
          <w:szCs w:val="32"/>
        </w:rPr>
        <w:instrText>Declaration of commitment</w:instrText>
      </w:r>
      <w:bookmarkEnd w:id="1"/>
      <w:r w:rsidR="00C311AB">
        <w:instrText xml:space="preserve">" \f C \l "1" </w:instrText>
      </w:r>
      <w:r w:rsidR="00C311AB">
        <w:rPr>
          <w:b/>
          <w:color w:val="0F243E" w:themeColor="text2" w:themeShade="80"/>
          <w:sz w:val="32"/>
          <w:szCs w:val="32"/>
        </w:rPr>
        <w:fldChar w:fldCharType="end"/>
      </w:r>
    </w:p>
    <w:p w14:paraId="0AC42530" w14:textId="2AA9A82F" w:rsidR="00CF5CA4" w:rsidRPr="0086351E" w:rsidRDefault="00400692" w:rsidP="00DD35EC">
      <w:pPr>
        <w:spacing w:after="120" w:line="240" w:lineRule="auto"/>
        <w:ind w:right="-365"/>
        <w:jc w:val="both"/>
        <w:rPr>
          <w:rFonts w:cstheme="minorHAnsi"/>
        </w:rPr>
      </w:pPr>
      <w:r w:rsidRPr="00944644">
        <w:t xml:space="preserve">The </w:t>
      </w:r>
      <w:r w:rsidR="004E3EC1">
        <w:t>a</w:t>
      </w:r>
      <w:r w:rsidRPr="00944644">
        <w:t xml:space="preserve">uthorities </w:t>
      </w:r>
      <w:r w:rsidR="002B5F92">
        <w:t xml:space="preserve">in </w:t>
      </w:r>
      <w:r w:rsidRPr="00944644">
        <w:t xml:space="preserve">Bosnia </w:t>
      </w:r>
      <w:r w:rsidR="00E60754" w:rsidRPr="00944644">
        <w:t xml:space="preserve">and </w:t>
      </w:r>
      <w:r w:rsidRPr="00944644">
        <w:t>Herzegovina</w:t>
      </w:r>
      <w:r w:rsidR="00F27207">
        <w:t xml:space="preserve"> (BiH)</w:t>
      </w:r>
      <w:r w:rsidRPr="00944644">
        <w:t xml:space="preserve"> and the United Nations</w:t>
      </w:r>
      <w:r w:rsidR="008551E3">
        <w:t xml:space="preserve"> (UN)</w:t>
      </w:r>
      <w:r w:rsidRPr="00944644">
        <w:t xml:space="preserve"> are committed to working together to </w:t>
      </w:r>
      <w:r w:rsidRPr="0086351E">
        <w:t xml:space="preserve">achieve </w:t>
      </w:r>
      <w:r w:rsidR="002B5F92" w:rsidRPr="0086351E">
        <w:t xml:space="preserve">priorities in </w:t>
      </w:r>
      <w:r w:rsidRPr="0086351E">
        <w:t>BiH</w:t>
      </w:r>
      <w:r w:rsidR="00CF5CA4" w:rsidRPr="0086351E">
        <w:t xml:space="preserve">. These are </w:t>
      </w:r>
      <w:r w:rsidRPr="0086351E">
        <w:rPr>
          <w:lang w:val="en-US"/>
        </w:rPr>
        <w:t>expressed by:</w:t>
      </w:r>
    </w:p>
    <w:p w14:paraId="21D35EC2" w14:textId="239CCB75" w:rsidR="00CF5CA4" w:rsidRPr="0086351E" w:rsidRDefault="00CF5CA4" w:rsidP="00DD35EC">
      <w:pPr>
        <w:pStyle w:val="ListParagraph"/>
        <w:numPr>
          <w:ilvl w:val="0"/>
          <w:numId w:val="6"/>
        </w:numPr>
        <w:spacing w:after="60"/>
        <w:ind w:right="-365" w:hanging="357"/>
        <w:contextualSpacing w:val="0"/>
        <w:jc w:val="both"/>
        <w:rPr>
          <w:szCs w:val="22"/>
          <w:lang w:val="en-GB"/>
        </w:rPr>
      </w:pPr>
      <w:r w:rsidRPr="0086351E">
        <w:rPr>
          <w:rFonts w:cstheme="minorHAnsi"/>
          <w:szCs w:val="22"/>
        </w:rPr>
        <w:t>The 2030 Agenda for Sustainable Development and selected Sustainable Development Goals (SDGs) and targets</w:t>
      </w:r>
      <w:r w:rsidRPr="0086351E">
        <w:rPr>
          <w:rStyle w:val="FootnoteReference"/>
          <w:rFonts w:cstheme="minorHAnsi"/>
          <w:color w:val="0F243E" w:themeColor="text2" w:themeShade="80"/>
          <w:szCs w:val="22"/>
        </w:rPr>
        <w:footnoteReference w:id="1"/>
      </w:r>
      <w:r w:rsidRPr="0086351E">
        <w:rPr>
          <w:rFonts w:cstheme="minorHAnsi"/>
          <w:szCs w:val="22"/>
        </w:rPr>
        <w:t xml:space="preserve"> as expressed in the emerging </w:t>
      </w:r>
      <w:r w:rsidRPr="0086351E">
        <w:rPr>
          <w:rFonts w:cstheme="minorHAnsi"/>
          <w:i/>
          <w:szCs w:val="22"/>
          <w:lang w:val="en"/>
        </w:rPr>
        <w:t>SDG Framework in BiH and domesticated SDG targets</w:t>
      </w:r>
      <w:r w:rsidRPr="0086351E">
        <w:rPr>
          <w:rStyle w:val="FootnoteReference"/>
          <w:rFonts w:cstheme="minorHAnsi"/>
          <w:szCs w:val="22"/>
          <w:lang w:val="en"/>
        </w:rPr>
        <w:footnoteReference w:id="2"/>
      </w:r>
      <w:r w:rsidRPr="0086351E">
        <w:rPr>
          <w:rFonts w:cstheme="minorHAnsi"/>
          <w:i/>
          <w:szCs w:val="22"/>
          <w:lang w:val="en"/>
        </w:rPr>
        <w:t>;</w:t>
      </w:r>
    </w:p>
    <w:p w14:paraId="44E6F46B" w14:textId="77777777" w:rsidR="00CF5CA4" w:rsidRPr="0086351E" w:rsidRDefault="00CF5CA4" w:rsidP="00DD35EC">
      <w:pPr>
        <w:pStyle w:val="ListParagraph"/>
        <w:numPr>
          <w:ilvl w:val="0"/>
          <w:numId w:val="6"/>
        </w:numPr>
        <w:spacing w:after="60"/>
        <w:ind w:right="-365" w:hanging="357"/>
        <w:contextualSpacing w:val="0"/>
        <w:jc w:val="both"/>
        <w:rPr>
          <w:szCs w:val="22"/>
          <w:lang w:val="en-GB"/>
        </w:rPr>
      </w:pPr>
      <w:r w:rsidRPr="0086351E">
        <w:rPr>
          <w:rFonts w:cstheme="minorHAnsi"/>
          <w:szCs w:val="22"/>
        </w:rPr>
        <w:t>Future accession to the European Union, as expressed in the Action Plan for implementation of priorities from the European Commission Opinion and Analytical Report</w:t>
      </w:r>
      <w:r w:rsidRPr="0086351E">
        <w:rPr>
          <w:rStyle w:val="FootnoteReference"/>
          <w:rFonts w:cstheme="minorHAnsi"/>
          <w:szCs w:val="22"/>
        </w:rPr>
        <w:footnoteReference w:id="3"/>
      </w:r>
      <w:r w:rsidRPr="0086351E">
        <w:rPr>
          <w:rFonts w:cstheme="minorHAnsi"/>
          <w:szCs w:val="22"/>
        </w:rPr>
        <w:t>;</w:t>
      </w:r>
    </w:p>
    <w:p w14:paraId="6B3B92B2" w14:textId="612E5963" w:rsidR="00CF5CA4" w:rsidRPr="0086351E" w:rsidRDefault="00CF5CA4" w:rsidP="00DD35EC">
      <w:pPr>
        <w:pStyle w:val="ListParagraph"/>
        <w:numPr>
          <w:ilvl w:val="0"/>
          <w:numId w:val="6"/>
        </w:numPr>
        <w:spacing w:after="60"/>
        <w:ind w:right="-365" w:hanging="357"/>
        <w:contextualSpacing w:val="0"/>
        <w:jc w:val="both"/>
        <w:rPr>
          <w:szCs w:val="22"/>
          <w:lang w:val="en-GB"/>
        </w:rPr>
      </w:pPr>
      <w:r w:rsidRPr="0086351E">
        <w:rPr>
          <w:rFonts w:cstheme="minorHAnsi"/>
          <w:szCs w:val="22"/>
        </w:rPr>
        <w:t>The Joint Socio-Economic Reforms (</w:t>
      </w:r>
      <w:r w:rsidR="00F159A4" w:rsidRPr="0086351E">
        <w:rPr>
          <w:rFonts w:cstheme="minorHAnsi"/>
          <w:szCs w:val="22"/>
        </w:rPr>
        <w:t>‘Reform Agenda’</w:t>
      </w:r>
      <w:r w:rsidRPr="0086351E">
        <w:rPr>
          <w:rFonts w:cstheme="minorHAnsi"/>
          <w:szCs w:val="22"/>
        </w:rPr>
        <w:t>), 2019-2022</w:t>
      </w:r>
      <w:r w:rsidRPr="0086351E">
        <w:rPr>
          <w:rStyle w:val="FootnoteReference"/>
          <w:rFonts w:cstheme="minorHAnsi"/>
          <w:szCs w:val="22"/>
        </w:rPr>
        <w:footnoteReference w:id="4"/>
      </w:r>
      <w:r w:rsidRPr="0086351E">
        <w:rPr>
          <w:rFonts w:cstheme="minorHAnsi"/>
          <w:szCs w:val="22"/>
        </w:rPr>
        <w:t>; and</w:t>
      </w:r>
    </w:p>
    <w:p w14:paraId="6777B118" w14:textId="77777777" w:rsidR="00CF5CA4" w:rsidRPr="0086351E" w:rsidRDefault="00CF5CA4" w:rsidP="00DD35EC">
      <w:pPr>
        <w:pStyle w:val="ListParagraph"/>
        <w:numPr>
          <w:ilvl w:val="0"/>
          <w:numId w:val="6"/>
        </w:numPr>
        <w:spacing w:after="120"/>
        <w:ind w:right="-365"/>
        <w:contextualSpacing w:val="0"/>
        <w:jc w:val="both"/>
        <w:rPr>
          <w:szCs w:val="22"/>
          <w:lang w:val="en-GB"/>
        </w:rPr>
      </w:pPr>
      <w:r w:rsidRPr="0086351E">
        <w:rPr>
          <w:szCs w:val="22"/>
        </w:rPr>
        <w:t xml:space="preserve">The human </w:t>
      </w:r>
      <w:r w:rsidRPr="0086351E">
        <w:rPr>
          <w:szCs w:val="22"/>
          <w:lang w:val="en-GB"/>
        </w:rPr>
        <w:t>rights commitments of BiH and other agreed international and regional development goals and treaty obligations</w:t>
      </w:r>
      <w:r w:rsidRPr="0086351E">
        <w:rPr>
          <w:rStyle w:val="FootnoteReference"/>
          <w:rFonts w:cstheme="minorHAnsi"/>
          <w:color w:val="0F243E" w:themeColor="text2" w:themeShade="80"/>
          <w:szCs w:val="22"/>
          <w:lang w:val="en"/>
        </w:rPr>
        <w:footnoteReference w:id="5"/>
      </w:r>
      <w:r w:rsidRPr="0086351E">
        <w:rPr>
          <w:rFonts w:cstheme="minorHAnsi"/>
          <w:szCs w:val="22"/>
        </w:rPr>
        <w:t>.</w:t>
      </w:r>
      <w:r w:rsidRPr="0086351E">
        <w:rPr>
          <w:rStyle w:val="FootnoteReference"/>
          <w:rFonts w:cstheme="minorHAnsi"/>
          <w:color w:val="0F243E" w:themeColor="text2" w:themeShade="80"/>
          <w:szCs w:val="22"/>
          <w:lang w:val="en"/>
        </w:rPr>
        <w:t xml:space="preserve"> </w:t>
      </w:r>
    </w:p>
    <w:p w14:paraId="75D1DE6D" w14:textId="3E449A79" w:rsidR="00400692" w:rsidRPr="00944644" w:rsidRDefault="00400692" w:rsidP="00DD35EC">
      <w:pPr>
        <w:spacing w:after="120" w:line="240" w:lineRule="auto"/>
        <w:ind w:right="-365"/>
        <w:jc w:val="both"/>
      </w:pPr>
      <w:r w:rsidRPr="0086351E">
        <w:t xml:space="preserve">This Sustainable Development Cooperation Framework (CF) will guide the work of </w:t>
      </w:r>
      <w:r w:rsidR="007374F4" w:rsidRPr="0086351E">
        <w:t xml:space="preserve">authorities in </w:t>
      </w:r>
      <w:r w:rsidR="008C1408" w:rsidRPr="0086351E">
        <w:t xml:space="preserve">BiH </w:t>
      </w:r>
      <w:r w:rsidRPr="0086351E">
        <w:t>and the UN system until 2025. This framework builds on the successes of our past cooperation and it represents a joint commitment to work in close partnership for result</w:t>
      </w:r>
      <w:r w:rsidR="008F38F7" w:rsidRPr="0086351E">
        <w:t xml:space="preserve">s as </w:t>
      </w:r>
      <w:r w:rsidR="004B2ECB" w:rsidRPr="0086351E">
        <w:t>defined in this Cooperation Framework</w:t>
      </w:r>
      <w:r w:rsidRPr="0086351E">
        <w:t xml:space="preserve"> that will</w:t>
      </w:r>
      <w:r w:rsidRPr="00944644">
        <w:t xml:space="preserve"> help all people in BiH to live longer, healthier and more prosperous and secure lives.</w:t>
      </w:r>
    </w:p>
    <w:p w14:paraId="0F4EED58" w14:textId="77777777" w:rsidR="00400692" w:rsidRPr="00944644" w:rsidRDefault="00400692" w:rsidP="00DD35EC">
      <w:pPr>
        <w:spacing w:after="120" w:line="240" w:lineRule="auto"/>
        <w:ind w:right="-365"/>
        <w:jc w:val="both"/>
      </w:pPr>
      <w:r w:rsidRPr="00944644">
        <w:t>In signing hereafter, the cooperating partners endorse this Cooperation Framework and underscore their joint commitments toward the achievement of its results.</w:t>
      </w:r>
    </w:p>
    <w:p w14:paraId="61F3F241" w14:textId="77777777" w:rsidR="00400692" w:rsidRDefault="00400692" w:rsidP="00DD35EC">
      <w:pPr>
        <w:ind w:right="-365"/>
        <w:jc w:val="both"/>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260"/>
        <w:gridCol w:w="552"/>
        <w:gridCol w:w="278"/>
        <w:gridCol w:w="4630"/>
      </w:tblGrid>
      <w:tr w:rsidR="00400692" w:rsidRPr="00596CE6" w14:paraId="34E4DB96" w14:textId="77777777" w:rsidTr="00DD35EC">
        <w:tc>
          <w:tcPr>
            <w:tcW w:w="4812" w:type="dxa"/>
            <w:gridSpan w:val="2"/>
            <w:shd w:val="clear" w:color="auto" w:fill="C6D9F1" w:themeFill="text2" w:themeFillTint="33"/>
          </w:tcPr>
          <w:p w14:paraId="66A184AC" w14:textId="77777777" w:rsidR="00400692" w:rsidRPr="00942539" w:rsidRDefault="00E60754" w:rsidP="00DD35EC">
            <w:pPr>
              <w:spacing w:before="120" w:after="120"/>
              <w:ind w:right="-365"/>
              <w:jc w:val="both"/>
              <w:rPr>
                <w:b/>
                <w:color w:val="404040" w:themeColor="text1" w:themeTint="BF"/>
              </w:rPr>
            </w:pPr>
            <w:r w:rsidRPr="00942539">
              <w:rPr>
                <w:b/>
                <w:color w:val="404040" w:themeColor="text1" w:themeTint="BF"/>
              </w:rPr>
              <w:t>Council of Ministers of Bosnia and Herzegovina</w:t>
            </w:r>
          </w:p>
        </w:tc>
        <w:tc>
          <w:tcPr>
            <w:tcW w:w="278" w:type="dxa"/>
            <w:shd w:val="clear" w:color="auto" w:fill="C6D9F1" w:themeFill="text2" w:themeFillTint="33"/>
          </w:tcPr>
          <w:p w14:paraId="5D6BAB40" w14:textId="77777777" w:rsidR="00400692" w:rsidRPr="00942539" w:rsidRDefault="00400692" w:rsidP="00DD35EC">
            <w:pPr>
              <w:spacing w:before="120" w:after="120"/>
              <w:ind w:right="-365"/>
              <w:jc w:val="both"/>
              <w:rPr>
                <w:b/>
                <w:color w:val="404040" w:themeColor="text1" w:themeTint="BF"/>
              </w:rPr>
            </w:pPr>
          </w:p>
        </w:tc>
        <w:tc>
          <w:tcPr>
            <w:tcW w:w="4630" w:type="dxa"/>
            <w:shd w:val="clear" w:color="auto" w:fill="C6D9F1" w:themeFill="text2" w:themeFillTint="33"/>
          </w:tcPr>
          <w:p w14:paraId="06959E41" w14:textId="77777777" w:rsidR="00400692" w:rsidRPr="00942539" w:rsidRDefault="00400692" w:rsidP="00DD35EC">
            <w:pPr>
              <w:spacing w:before="120" w:after="120"/>
              <w:ind w:right="-365"/>
              <w:jc w:val="both"/>
              <w:rPr>
                <w:b/>
                <w:color w:val="404040" w:themeColor="text1" w:themeTint="BF"/>
              </w:rPr>
            </w:pPr>
            <w:r w:rsidRPr="00942539">
              <w:rPr>
                <w:b/>
                <w:color w:val="404040" w:themeColor="text1" w:themeTint="BF"/>
              </w:rPr>
              <w:t>United Nations Country Team</w:t>
            </w:r>
          </w:p>
        </w:tc>
      </w:tr>
      <w:tr w:rsidR="00400692" w:rsidRPr="00596CE6" w14:paraId="30BEC2C3" w14:textId="77777777" w:rsidTr="00DD35EC">
        <w:tc>
          <w:tcPr>
            <w:tcW w:w="4260" w:type="dxa"/>
            <w:tcBorders>
              <w:bottom w:val="single" w:sz="4" w:space="0" w:color="auto"/>
            </w:tcBorders>
            <w:shd w:val="clear" w:color="auto" w:fill="C6D9F1" w:themeFill="text2" w:themeFillTint="33"/>
          </w:tcPr>
          <w:p w14:paraId="4AC8D744" w14:textId="77777777" w:rsidR="00400692" w:rsidRPr="00942539" w:rsidRDefault="00400692" w:rsidP="00DD35EC">
            <w:pPr>
              <w:spacing w:before="120" w:after="120"/>
              <w:ind w:right="-365"/>
              <w:jc w:val="both"/>
              <w:rPr>
                <w:b/>
                <w:color w:val="404040" w:themeColor="text1" w:themeTint="BF"/>
              </w:rPr>
            </w:pPr>
          </w:p>
          <w:p w14:paraId="15F73A60" w14:textId="77777777" w:rsidR="00400692" w:rsidRPr="00942539" w:rsidRDefault="00400692" w:rsidP="00DD35EC">
            <w:pPr>
              <w:spacing w:before="120" w:after="120"/>
              <w:ind w:right="-365"/>
              <w:jc w:val="both"/>
              <w:rPr>
                <w:b/>
                <w:color w:val="404040" w:themeColor="text1" w:themeTint="BF"/>
              </w:rPr>
            </w:pPr>
          </w:p>
          <w:p w14:paraId="48873337" w14:textId="77777777" w:rsidR="00400692" w:rsidRPr="00942539" w:rsidRDefault="00400692" w:rsidP="00DD35EC">
            <w:pPr>
              <w:spacing w:before="120" w:after="120"/>
              <w:ind w:right="-365"/>
              <w:jc w:val="both"/>
              <w:rPr>
                <w:b/>
                <w:color w:val="404040" w:themeColor="text1" w:themeTint="BF"/>
              </w:rPr>
            </w:pPr>
          </w:p>
        </w:tc>
        <w:tc>
          <w:tcPr>
            <w:tcW w:w="830" w:type="dxa"/>
            <w:gridSpan w:val="2"/>
            <w:shd w:val="clear" w:color="auto" w:fill="C6D9F1" w:themeFill="text2" w:themeFillTint="33"/>
          </w:tcPr>
          <w:p w14:paraId="05C4A39E" w14:textId="77777777" w:rsidR="00400692" w:rsidRPr="00942539" w:rsidRDefault="00400692" w:rsidP="00DD35EC">
            <w:pPr>
              <w:spacing w:before="120" w:after="120"/>
              <w:ind w:right="-365"/>
              <w:jc w:val="both"/>
              <w:rPr>
                <w:b/>
                <w:color w:val="404040" w:themeColor="text1" w:themeTint="BF"/>
              </w:rPr>
            </w:pPr>
          </w:p>
        </w:tc>
        <w:tc>
          <w:tcPr>
            <w:tcW w:w="4630" w:type="dxa"/>
            <w:tcBorders>
              <w:bottom w:val="single" w:sz="4" w:space="0" w:color="auto"/>
            </w:tcBorders>
            <w:shd w:val="clear" w:color="auto" w:fill="C6D9F1" w:themeFill="text2" w:themeFillTint="33"/>
          </w:tcPr>
          <w:p w14:paraId="63C5A7AF" w14:textId="77777777" w:rsidR="00400692" w:rsidRPr="00942539" w:rsidRDefault="00400692" w:rsidP="00DD35EC">
            <w:pPr>
              <w:spacing w:before="120" w:after="120"/>
              <w:ind w:right="-365"/>
              <w:jc w:val="both"/>
              <w:rPr>
                <w:b/>
                <w:color w:val="404040" w:themeColor="text1" w:themeTint="BF"/>
              </w:rPr>
            </w:pPr>
          </w:p>
        </w:tc>
      </w:tr>
      <w:tr w:rsidR="00400692" w:rsidRPr="00596CE6" w14:paraId="4EFF3DC9" w14:textId="77777777" w:rsidTr="00DD35EC">
        <w:tc>
          <w:tcPr>
            <w:tcW w:w="4260" w:type="dxa"/>
            <w:tcBorders>
              <w:top w:val="single" w:sz="4" w:space="0" w:color="auto"/>
            </w:tcBorders>
            <w:shd w:val="clear" w:color="auto" w:fill="C6D9F1" w:themeFill="text2" w:themeFillTint="33"/>
          </w:tcPr>
          <w:p w14:paraId="0AA38BB0" w14:textId="4C4FCF27" w:rsidR="004F6933" w:rsidRDefault="004F6933" w:rsidP="00DD35EC">
            <w:pPr>
              <w:spacing w:before="120" w:after="60"/>
              <w:ind w:right="-365"/>
              <w:jc w:val="both"/>
              <w:rPr>
                <w:b/>
                <w:color w:val="404040" w:themeColor="text1" w:themeTint="BF"/>
              </w:rPr>
            </w:pPr>
            <w:r>
              <w:rPr>
                <w:b/>
                <w:color w:val="404040" w:themeColor="text1" w:themeTint="BF"/>
              </w:rPr>
              <w:t>H.E. Mr. Zoran Tegeltija</w:t>
            </w:r>
          </w:p>
          <w:p w14:paraId="214272AE" w14:textId="22FE2379" w:rsidR="00400692" w:rsidRPr="00942539" w:rsidRDefault="00FF37CC" w:rsidP="00DD35EC">
            <w:pPr>
              <w:spacing w:before="120" w:after="60"/>
              <w:ind w:right="-365"/>
              <w:jc w:val="both"/>
              <w:rPr>
                <w:b/>
                <w:color w:val="404040" w:themeColor="text1" w:themeTint="BF"/>
              </w:rPr>
            </w:pPr>
            <w:r>
              <w:rPr>
                <w:b/>
                <w:color w:val="404040" w:themeColor="text1" w:themeTint="BF"/>
              </w:rPr>
              <w:t>Chairman</w:t>
            </w:r>
          </w:p>
        </w:tc>
        <w:tc>
          <w:tcPr>
            <w:tcW w:w="830" w:type="dxa"/>
            <w:gridSpan w:val="2"/>
            <w:shd w:val="clear" w:color="auto" w:fill="C6D9F1" w:themeFill="text2" w:themeFillTint="33"/>
          </w:tcPr>
          <w:p w14:paraId="0D364DC3" w14:textId="77777777" w:rsidR="00400692" w:rsidRPr="00942539" w:rsidRDefault="00400692" w:rsidP="00DD35EC">
            <w:pPr>
              <w:spacing w:after="60"/>
              <w:ind w:right="-365"/>
              <w:jc w:val="both"/>
              <w:rPr>
                <w:b/>
                <w:color w:val="404040" w:themeColor="text1" w:themeTint="BF"/>
              </w:rPr>
            </w:pPr>
          </w:p>
        </w:tc>
        <w:tc>
          <w:tcPr>
            <w:tcW w:w="4630" w:type="dxa"/>
            <w:tcBorders>
              <w:top w:val="single" w:sz="4" w:space="0" w:color="auto"/>
            </w:tcBorders>
            <w:shd w:val="clear" w:color="auto" w:fill="C6D9F1" w:themeFill="text2" w:themeFillTint="33"/>
          </w:tcPr>
          <w:p w14:paraId="7751EF6E" w14:textId="7F1CC313" w:rsidR="00400692" w:rsidRPr="00942539" w:rsidRDefault="00985091" w:rsidP="00DD35EC">
            <w:pPr>
              <w:spacing w:before="120" w:after="60"/>
              <w:ind w:right="-365"/>
              <w:jc w:val="both"/>
              <w:rPr>
                <w:b/>
                <w:color w:val="404040" w:themeColor="text1" w:themeTint="BF"/>
              </w:rPr>
            </w:pPr>
            <w:r>
              <w:rPr>
                <w:b/>
                <w:color w:val="404040" w:themeColor="text1" w:themeTint="BF"/>
              </w:rPr>
              <w:t>Dr</w:t>
            </w:r>
            <w:r w:rsidR="00400692" w:rsidRPr="00942539">
              <w:rPr>
                <w:b/>
                <w:color w:val="404040" w:themeColor="text1" w:themeTint="BF"/>
              </w:rPr>
              <w:t xml:space="preserve">. </w:t>
            </w:r>
            <w:r w:rsidR="007B4EAF" w:rsidRPr="007B4EAF">
              <w:rPr>
                <w:b/>
                <w:color w:val="404040" w:themeColor="text1" w:themeTint="BF"/>
              </w:rPr>
              <w:t>Ingrid Macdonald</w:t>
            </w:r>
          </w:p>
          <w:p w14:paraId="1D5B34A4" w14:textId="77777777" w:rsidR="00400692" w:rsidRPr="00942539" w:rsidRDefault="00400692" w:rsidP="00DD35EC">
            <w:pPr>
              <w:spacing w:after="60"/>
              <w:ind w:right="-365"/>
              <w:jc w:val="both"/>
              <w:rPr>
                <w:b/>
                <w:color w:val="404040" w:themeColor="text1" w:themeTint="BF"/>
              </w:rPr>
            </w:pPr>
            <w:r w:rsidRPr="00942539">
              <w:rPr>
                <w:b/>
                <w:color w:val="404040" w:themeColor="text1" w:themeTint="BF"/>
              </w:rPr>
              <w:t>United Nations Resident Coordinator</w:t>
            </w:r>
          </w:p>
        </w:tc>
      </w:tr>
    </w:tbl>
    <w:p w14:paraId="30F2296D" w14:textId="0DE6F939" w:rsidR="00EA6523" w:rsidRDefault="00EA6523" w:rsidP="00DD35EC">
      <w:pPr>
        <w:ind w:right="-365"/>
        <w:jc w:val="both"/>
        <w:rPr>
          <w:sz w:val="24"/>
          <w:szCs w:val="24"/>
        </w:rPr>
      </w:pPr>
    </w:p>
    <w:p w14:paraId="70F3AC10" w14:textId="7B032515" w:rsidR="00DD35EC" w:rsidRDefault="00DD35EC" w:rsidP="00DD35EC">
      <w:pPr>
        <w:ind w:right="-365"/>
        <w:jc w:val="both"/>
        <w:rPr>
          <w:sz w:val="24"/>
          <w:szCs w:val="24"/>
        </w:rPr>
      </w:pPr>
    </w:p>
    <w:p w14:paraId="42B28E24" w14:textId="5703CA20" w:rsidR="00304B22" w:rsidRDefault="00304B22" w:rsidP="00DD35EC">
      <w:pPr>
        <w:ind w:right="-365"/>
        <w:jc w:val="both"/>
        <w:rPr>
          <w:sz w:val="24"/>
          <w:szCs w:val="24"/>
        </w:rPr>
      </w:pPr>
    </w:p>
    <w:p w14:paraId="476E1FAA" w14:textId="77777777" w:rsidR="00304B22" w:rsidRDefault="00304B22" w:rsidP="00DD35EC">
      <w:pPr>
        <w:ind w:right="-365"/>
        <w:jc w:val="both"/>
        <w:rPr>
          <w:sz w:val="24"/>
          <w:szCs w:val="24"/>
        </w:rPr>
      </w:pPr>
    </w:p>
    <w:p w14:paraId="17DC5591" w14:textId="77777777" w:rsidR="00EA6523" w:rsidRPr="00EA6523" w:rsidRDefault="00EA6523" w:rsidP="00DD35EC">
      <w:pPr>
        <w:ind w:right="-365"/>
        <w:jc w:val="both"/>
        <w:rPr>
          <w:color w:val="0F243E" w:themeColor="text2" w:themeShade="80"/>
          <w:sz w:val="32"/>
          <w:szCs w:val="32"/>
        </w:rPr>
      </w:pPr>
      <w:r w:rsidRPr="00EA6523">
        <w:rPr>
          <w:b/>
          <w:color w:val="0F243E" w:themeColor="text2" w:themeShade="80"/>
          <w:sz w:val="32"/>
          <w:szCs w:val="32"/>
        </w:rPr>
        <w:lastRenderedPageBreak/>
        <w:t>Signatures</w:t>
      </w:r>
      <w:r w:rsidR="00C311AB">
        <w:rPr>
          <w:b/>
          <w:color w:val="0F243E" w:themeColor="text2" w:themeShade="80"/>
          <w:sz w:val="32"/>
          <w:szCs w:val="32"/>
        </w:rPr>
        <w:fldChar w:fldCharType="begin"/>
      </w:r>
      <w:r w:rsidR="00C311AB">
        <w:instrText xml:space="preserve"> TC "</w:instrText>
      </w:r>
      <w:bookmarkStart w:id="2" w:name="_Toc38899105"/>
      <w:r w:rsidR="00C311AB" w:rsidRPr="00A84280">
        <w:rPr>
          <w:b/>
          <w:color w:val="0F243E" w:themeColor="text2" w:themeShade="80"/>
          <w:sz w:val="32"/>
          <w:szCs w:val="32"/>
        </w:rPr>
        <w:instrText>Signatures</w:instrText>
      </w:r>
      <w:bookmarkEnd w:id="2"/>
      <w:r w:rsidR="00C311AB">
        <w:instrText xml:space="preserve">" \f C \l "1" </w:instrText>
      </w:r>
      <w:r w:rsidR="00C311AB">
        <w:rPr>
          <w:b/>
          <w:color w:val="0F243E" w:themeColor="text2" w:themeShade="80"/>
          <w:sz w:val="32"/>
          <w:szCs w:val="32"/>
        </w:rPr>
        <w:fldChar w:fldCharType="end"/>
      </w:r>
      <w:r w:rsidRPr="00EA6523">
        <w:rPr>
          <w:b/>
          <w:color w:val="0F243E" w:themeColor="text2" w:themeShade="80"/>
          <w:sz w:val="32"/>
          <w:szCs w:val="32"/>
        </w:rPr>
        <w:t xml:space="preserve"> </w:t>
      </w:r>
    </w:p>
    <w:p w14:paraId="7ACB6960" w14:textId="77777777" w:rsidR="00EA6523" w:rsidRPr="00944644" w:rsidRDefault="00EA6523" w:rsidP="00DD35EC">
      <w:pPr>
        <w:spacing w:after="60"/>
        <w:ind w:right="-365"/>
        <w:jc w:val="both"/>
      </w:pPr>
      <w:r w:rsidRPr="00944644">
        <w:t>In witness thereof, the undersigned</w:t>
      </w:r>
      <w:r w:rsidRPr="00944644">
        <w:rPr>
          <w:rStyle w:val="FootnoteReference"/>
        </w:rPr>
        <w:footnoteReference w:id="6"/>
      </w:r>
      <w:r w:rsidRPr="00944644">
        <w:t xml:space="preserve">, being duly authorized, have signed this Bosnia and Herzegovina and United Nations Sustainable Development Cooperation Framework for the period 2021-2025 on </w:t>
      </w:r>
      <w:r w:rsidR="000A1288" w:rsidRPr="00944644">
        <w:rPr>
          <w:highlight w:val="yellow"/>
        </w:rPr>
        <w:t>&lt;day, month&gt;</w:t>
      </w:r>
      <w:r w:rsidRPr="00944644">
        <w:rPr>
          <w:highlight w:val="yellow"/>
        </w:rPr>
        <w:t xml:space="preserve"> 2020</w:t>
      </w:r>
      <w:r w:rsidRPr="00944644">
        <w:t xml:space="preserve"> in Sarajevo, underscoring their joint commitment to its priorities and cooperation results.</w:t>
      </w:r>
    </w:p>
    <w:tbl>
      <w:tblPr>
        <w:tblW w:w="9815" w:type="dxa"/>
        <w:tblInd w:w="-95" w:type="dxa"/>
        <w:tblBorders>
          <w:bottom w:val="single" w:sz="4" w:space="0" w:color="4F81BD" w:themeColor="accent1"/>
          <w:insideH w:val="single" w:sz="4" w:space="0" w:color="4F81BD" w:themeColor="accent1"/>
        </w:tblBorders>
        <w:tblLook w:val="04A0" w:firstRow="1" w:lastRow="0" w:firstColumn="1" w:lastColumn="0" w:noHBand="0" w:noVBand="1"/>
      </w:tblPr>
      <w:tblGrid>
        <w:gridCol w:w="1715"/>
        <w:gridCol w:w="4950"/>
        <w:gridCol w:w="3150"/>
      </w:tblGrid>
      <w:tr w:rsidR="008D6946" w:rsidRPr="00963AB4" w14:paraId="2576E655" w14:textId="77777777" w:rsidTr="00BE530D">
        <w:trPr>
          <w:trHeight w:val="402"/>
          <w:tblHeader/>
        </w:trPr>
        <w:tc>
          <w:tcPr>
            <w:tcW w:w="1715" w:type="dxa"/>
            <w:shd w:val="clear" w:color="auto" w:fill="C6D9F1" w:themeFill="text2" w:themeFillTint="33"/>
            <w:vAlign w:val="center"/>
          </w:tcPr>
          <w:p w14:paraId="68966F93" w14:textId="77777777" w:rsidR="008D6946" w:rsidRPr="00571D9D" w:rsidRDefault="008D6946" w:rsidP="00DD35EC">
            <w:pPr>
              <w:spacing w:before="40" w:after="40" w:line="240" w:lineRule="auto"/>
              <w:ind w:right="-365"/>
              <w:jc w:val="both"/>
              <w:rPr>
                <w:rFonts w:eastAsia="Times New Roman" w:cstheme="minorHAnsi"/>
                <w:b/>
                <w:sz w:val="21"/>
                <w:szCs w:val="21"/>
                <w:lang w:val="en-US"/>
              </w:rPr>
            </w:pPr>
            <w:r w:rsidRPr="00571D9D">
              <w:rPr>
                <w:rFonts w:eastAsia="Times New Roman" w:cstheme="minorHAnsi"/>
                <w:b/>
                <w:sz w:val="21"/>
                <w:szCs w:val="21"/>
                <w:lang w:val="en-US"/>
              </w:rPr>
              <w:t>UN Agency</w:t>
            </w:r>
          </w:p>
        </w:tc>
        <w:tc>
          <w:tcPr>
            <w:tcW w:w="4950" w:type="dxa"/>
            <w:shd w:val="clear" w:color="auto" w:fill="C6D9F1" w:themeFill="text2" w:themeFillTint="33"/>
            <w:vAlign w:val="center"/>
          </w:tcPr>
          <w:p w14:paraId="47B23581" w14:textId="663FB58E" w:rsidR="008D6946" w:rsidRPr="00344A97" w:rsidRDefault="002F67AF" w:rsidP="000C4891">
            <w:pPr>
              <w:spacing w:before="40" w:after="40" w:line="240" w:lineRule="auto"/>
              <w:ind w:right="-110"/>
              <w:jc w:val="center"/>
              <w:rPr>
                <w:rFonts w:eastAsia="Times New Roman" w:cstheme="minorHAnsi"/>
                <w:b/>
                <w:sz w:val="21"/>
                <w:szCs w:val="21"/>
                <w:lang w:val="en-US"/>
              </w:rPr>
            </w:pPr>
            <w:r w:rsidRPr="00344A97">
              <w:rPr>
                <w:rFonts w:eastAsia="Times New Roman" w:cstheme="minorHAnsi"/>
                <w:b/>
                <w:sz w:val="21"/>
                <w:szCs w:val="21"/>
                <w:lang w:val="en-US"/>
              </w:rPr>
              <w:t>Name and Title</w:t>
            </w:r>
          </w:p>
        </w:tc>
        <w:tc>
          <w:tcPr>
            <w:tcW w:w="3150" w:type="dxa"/>
            <w:shd w:val="clear" w:color="auto" w:fill="C6D9F1" w:themeFill="text2" w:themeFillTint="33"/>
            <w:vAlign w:val="center"/>
          </w:tcPr>
          <w:p w14:paraId="6E434339" w14:textId="24A421D2" w:rsidR="008D6946" w:rsidRPr="00571D9D" w:rsidRDefault="008D6946" w:rsidP="002F67AF">
            <w:pPr>
              <w:spacing w:before="40" w:after="40" w:line="240" w:lineRule="auto"/>
              <w:ind w:right="-365"/>
              <w:jc w:val="center"/>
              <w:rPr>
                <w:rFonts w:eastAsia="Times New Roman" w:cstheme="minorHAnsi"/>
                <w:b/>
                <w:sz w:val="21"/>
                <w:szCs w:val="21"/>
                <w:lang w:val="en-US"/>
              </w:rPr>
            </w:pPr>
            <w:r w:rsidRPr="00571D9D">
              <w:rPr>
                <w:rFonts w:eastAsia="Times New Roman" w:cstheme="minorHAnsi"/>
                <w:b/>
                <w:sz w:val="21"/>
                <w:szCs w:val="21"/>
                <w:lang w:val="en-US"/>
              </w:rPr>
              <w:t>Signature</w:t>
            </w:r>
          </w:p>
        </w:tc>
      </w:tr>
      <w:tr w:rsidR="008D6946" w:rsidRPr="00963AB4" w14:paraId="302BFCE6" w14:textId="77777777" w:rsidTr="00BE530D">
        <w:trPr>
          <w:trHeight w:val="642"/>
        </w:trPr>
        <w:tc>
          <w:tcPr>
            <w:tcW w:w="1715" w:type="dxa"/>
            <w:shd w:val="clear" w:color="auto" w:fill="auto"/>
            <w:vAlign w:val="center"/>
          </w:tcPr>
          <w:p w14:paraId="5D6F11D6" w14:textId="6E9CACF3"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 xml:space="preserve">FAO </w:t>
            </w:r>
          </w:p>
        </w:tc>
        <w:tc>
          <w:tcPr>
            <w:tcW w:w="4950" w:type="dxa"/>
            <w:vAlign w:val="center"/>
          </w:tcPr>
          <w:p w14:paraId="57762A35" w14:textId="77777777" w:rsidR="00BE530D" w:rsidRDefault="005D38CC"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Mr. Nabil Gangi</w:t>
            </w:r>
          </w:p>
          <w:p w14:paraId="187D7772" w14:textId="490D066C" w:rsidR="008D6946" w:rsidRPr="00346F1F" w:rsidRDefault="001C02FF"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 xml:space="preserve">Deputy Regional Representative, Head of </w:t>
            </w:r>
            <w:r w:rsidR="008E4829">
              <w:rPr>
                <w:rFonts w:eastAsia="Times New Roman" w:cstheme="minorHAnsi"/>
                <w:sz w:val="21"/>
                <w:szCs w:val="21"/>
                <w:lang w:val="en-US"/>
              </w:rPr>
              <w:t>Country Office</w:t>
            </w:r>
          </w:p>
        </w:tc>
        <w:tc>
          <w:tcPr>
            <w:tcW w:w="3150" w:type="dxa"/>
            <w:shd w:val="clear" w:color="auto" w:fill="auto"/>
            <w:vAlign w:val="center"/>
          </w:tcPr>
          <w:p w14:paraId="090C191C" w14:textId="66BA69E6"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649E36EC" w14:textId="77777777" w:rsidTr="00BE530D">
        <w:trPr>
          <w:trHeight w:val="642"/>
        </w:trPr>
        <w:tc>
          <w:tcPr>
            <w:tcW w:w="1715" w:type="dxa"/>
            <w:shd w:val="clear" w:color="auto" w:fill="auto"/>
            <w:vAlign w:val="center"/>
          </w:tcPr>
          <w:p w14:paraId="2291C019" w14:textId="0BF69F58"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IAEA</w:t>
            </w:r>
          </w:p>
        </w:tc>
        <w:tc>
          <w:tcPr>
            <w:tcW w:w="4950" w:type="dxa"/>
            <w:vAlign w:val="center"/>
          </w:tcPr>
          <w:p w14:paraId="4FDE8F55" w14:textId="185FD9DD" w:rsidR="00334898" w:rsidRDefault="009D7BFE"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TBD,</w:t>
            </w:r>
          </w:p>
          <w:p w14:paraId="6D506151" w14:textId="3603EE6D" w:rsidR="008D6946" w:rsidRPr="00346F1F" w:rsidRDefault="009D7BFE"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 xml:space="preserve">Director, </w:t>
            </w:r>
            <w:r w:rsidR="00E25F1F">
              <w:rPr>
                <w:rFonts w:eastAsia="Times New Roman" w:cstheme="minorHAnsi"/>
                <w:sz w:val="21"/>
                <w:szCs w:val="21"/>
                <w:lang w:val="en-US"/>
              </w:rPr>
              <w:t>Division for Europe, Department of Technical Cooperation</w:t>
            </w:r>
          </w:p>
        </w:tc>
        <w:tc>
          <w:tcPr>
            <w:tcW w:w="3150" w:type="dxa"/>
            <w:shd w:val="clear" w:color="auto" w:fill="auto"/>
            <w:vAlign w:val="center"/>
          </w:tcPr>
          <w:p w14:paraId="4C834FEE" w14:textId="548AD669"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0871E718" w14:textId="77777777" w:rsidTr="00BE530D">
        <w:trPr>
          <w:trHeight w:val="642"/>
        </w:trPr>
        <w:tc>
          <w:tcPr>
            <w:tcW w:w="1715" w:type="dxa"/>
            <w:shd w:val="clear" w:color="auto" w:fill="auto"/>
            <w:vAlign w:val="center"/>
          </w:tcPr>
          <w:p w14:paraId="24ADF74B" w14:textId="1B68A099"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ILO</w:t>
            </w:r>
          </w:p>
        </w:tc>
        <w:tc>
          <w:tcPr>
            <w:tcW w:w="4950" w:type="dxa"/>
            <w:vAlign w:val="center"/>
          </w:tcPr>
          <w:p w14:paraId="77341C10" w14:textId="77777777" w:rsidR="00334898" w:rsidRDefault="00D836FF"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Dr. Markus Pilgrim</w:t>
            </w:r>
          </w:p>
          <w:p w14:paraId="6A09031C" w14:textId="2C51415C" w:rsidR="008D6946" w:rsidRPr="00346F1F" w:rsidRDefault="00B10C0C"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Director of the ILO</w:t>
            </w:r>
            <w:r w:rsidR="00301517">
              <w:rPr>
                <w:rFonts w:eastAsia="Times New Roman" w:cstheme="minorHAnsi"/>
                <w:sz w:val="21"/>
                <w:szCs w:val="21"/>
                <w:lang w:val="en-US"/>
              </w:rPr>
              <w:t xml:space="preserve"> </w:t>
            </w:r>
            <w:r>
              <w:rPr>
                <w:rFonts w:eastAsia="Times New Roman" w:cstheme="minorHAnsi"/>
                <w:sz w:val="21"/>
                <w:szCs w:val="21"/>
                <w:lang w:val="en-US"/>
              </w:rPr>
              <w:t>DWT</w:t>
            </w:r>
            <w:r w:rsidR="00301517">
              <w:rPr>
                <w:rFonts w:eastAsia="Times New Roman" w:cstheme="minorHAnsi"/>
                <w:sz w:val="21"/>
                <w:szCs w:val="21"/>
                <w:lang w:val="en-US"/>
              </w:rPr>
              <w:t>/COB Budapest</w:t>
            </w:r>
          </w:p>
        </w:tc>
        <w:tc>
          <w:tcPr>
            <w:tcW w:w="3150" w:type="dxa"/>
            <w:shd w:val="clear" w:color="auto" w:fill="auto"/>
            <w:vAlign w:val="center"/>
          </w:tcPr>
          <w:p w14:paraId="40F4BFE1" w14:textId="0E1F839E"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3BCE3DFE" w14:textId="77777777" w:rsidTr="00BE530D">
        <w:trPr>
          <w:trHeight w:val="642"/>
        </w:trPr>
        <w:tc>
          <w:tcPr>
            <w:tcW w:w="1715" w:type="dxa"/>
            <w:shd w:val="clear" w:color="auto" w:fill="auto"/>
            <w:vAlign w:val="center"/>
          </w:tcPr>
          <w:p w14:paraId="14BB3AB8" w14:textId="642ECAB4"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IOM</w:t>
            </w:r>
          </w:p>
        </w:tc>
        <w:tc>
          <w:tcPr>
            <w:tcW w:w="4950" w:type="dxa"/>
            <w:vAlign w:val="center"/>
          </w:tcPr>
          <w:p w14:paraId="2B892C83" w14:textId="77777777" w:rsidR="00334898" w:rsidRDefault="005437E4"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 xml:space="preserve">Mr. Peter </w:t>
            </w:r>
            <w:r w:rsidR="00512433" w:rsidRPr="00346F1F">
              <w:rPr>
                <w:rFonts w:eastAsia="Times New Roman" w:cstheme="minorHAnsi"/>
                <w:sz w:val="21"/>
                <w:szCs w:val="21"/>
                <w:lang w:val="en-US"/>
              </w:rPr>
              <w:t xml:space="preserve">Van Der </w:t>
            </w:r>
            <w:r w:rsidR="00373B1D" w:rsidRPr="00346F1F">
              <w:rPr>
                <w:rFonts w:eastAsia="Times New Roman" w:cstheme="minorHAnsi"/>
                <w:sz w:val="21"/>
                <w:szCs w:val="21"/>
                <w:lang w:val="en-US"/>
              </w:rPr>
              <w:t>Au</w:t>
            </w:r>
            <w:r w:rsidR="00576C48" w:rsidRPr="00346F1F">
              <w:rPr>
                <w:rFonts w:eastAsia="Times New Roman" w:cstheme="minorHAnsi"/>
                <w:sz w:val="21"/>
                <w:szCs w:val="21"/>
                <w:lang w:val="en-US"/>
              </w:rPr>
              <w:t>wer</w:t>
            </w:r>
            <w:r w:rsidR="00344A97" w:rsidRPr="00346F1F">
              <w:rPr>
                <w:rFonts w:eastAsia="Times New Roman" w:cstheme="minorHAnsi"/>
                <w:sz w:val="21"/>
                <w:szCs w:val="21"/>
                <w:lang w:val="en-US"/>
              </w:rPr>
              <w:t>aert</w:t>
            </w:r>
          </w:p>
          <w:p w14:paraId="1BA2DDCC" w14:textId="0C2B58E0" w:rsidR="008D6946" w:rsidRPr="00346F1F" w:rsidRDefault="000A73B5"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Western Balkans Coordinator and IOM Representative</w:t>
            </w:r>
          </w:p>
        </w:tc>
        <w:tc>
          <w:tcPr>
            <w:tcW w:w="3150" w:type="dxa"/>
            <w:shd w:val="clear" w:color="auto" w:fill="auto"/>
            <w:vAlign w:val="center"/>
          </w:tcPr>
          <w:p w14:paraId="6DC864C1" w14:textId="26581178"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0BF90F0D" w14:textId="77777777" w:rsidTr="00BE530D">
        <w:trPr>
          <w:trHeight w:val="642"/>
        </w:trPr>
        <w:tc>
          <w:tcPr>
            <w:tcW w:w="1715" w:type="dxa"/>
            <w:shd w:val="clear" w:color="auto" w:fill="auto"/>
            <w:vAlign w:val="center"/>
          </w:tcPr>
          <w:p w14:paraId="722D191B" w14:textId="1E4B835E"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OHCHR</w:t>
            </w:r>
          </w:p>
        </w:tc>
        <w:tc>
          <w:tcPr>
            <w:tcW w:w="4950" w:type="dxa"/>
            <w:vAlign w:val="center"/>
          </w:tcPr>
          <w:p w14:paraId="0A8890E2" w14:textId="23E96BE8" w:rsidR="008D6946" w:rsidRPr="00346F1F" w:rsidRDefault="00E94DB6"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TBD</w:t>
            </w:r>
          </w:p>
        </w:tc>
        <w:tc>
          <w:tcPr>
            <w:tcW w:w="3150" w:type="dxa"/>
            <w:shd w:val="clear" w:color="auto" w:fill="auto"/>
            <w:vAlign w:val="center"/>
          </w:tcPr>
          <w:p w14:paraId="472906DC" w14:textId="22FACC9E"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37D26694" w14:textId="77777777" w:rsidTr="00BE530D">
        <w:trPr>
          <w:trHeight w:val="642"/>
        </w:trPr>
        <w:tc>
          <w:tcPr>
            <w:tcW w:w="1715" w:type="dxa"/>
            <w:shd w:val="clear" w:color="auto" w:fill="auto"/>
            <w:vAlign w:val="center"/>
          </w:tcPr>
          <w:p w14:paraId="2D83F08E" w14:textId="644D1D66"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UNDP</w:t>
            </w:r>
          </w:p>
        </w:tc>
        <w:tc>
          <w:tcPr>
            <w:tcW w:w="4950" w:type="dxa"/>
            <w:vAlign w:val="center"/>
          </w:tcPr>
          <w:p w14:paraId="0F67A51F" w14:textId="77777777" w:rsidR="00334898" w:rsidRDefault="0048015C" w:rsidP="000C4891">
            <w:pPr>
              <w:spacing w:before="40" w:after="40" w:line="240" w:lineRule="auto"/>
              <w:ind w:right="-110"/>
              <w:jc w:val="center"/>
              <w:rPr>
                <w:rFonts w:eastAsia="Times New Roman" w:cstheme="minorHAnsi"/>
                <w:bCs/>
                <w:color w:val="262626" w:themeColor="text1" w:themeTint="D9"/>
                <w:sz w:val="21"/>
                <w:szCs w:val="21"/>
                <w:lang w:val="en-US"/>
              </w:rPr>
            </w:pPr>
            <w:r w:rsidRPr="00346F1F">
              <w:rPr>
                <w:rFonts w:eastAsia="Times New Roman" w:cstheme="minorHAnsi"/>
                <w:bCs/>
                <w:color w:val="262626" w:themeColor="text1" w:themeTint="D9"/>
                <w:sz w:val="21"/>
                <w:szCs w:val="21"/>
                <w:lang w:val="en-US"/>
              </w:rPr>
              <w:t>Ms. Steliana Nedera</w:t>
            </w:r>
          </w:p>
          <w:p w14:paraId="19C1012C" w14:textId="3AFFB19C" w:rsidR="008D6946" w:rsidRPr="00346F1F" w:rsidRDefault="004F6933" w:rsidP="000C4891">
            <w:pPr>
              <w:spacing w:before="40" w:after="40" w:line="240" w:lineRule="auto"/>
              <w:ind w:right="-110"/>
              <w:jc w:val="center"/>
              <w:rPr>
                <w:rFonts w:eastAsia="Times New Roman" w:cstheme="minorHAnsi"/>
                <w:sz w:val="21"/>
                <w:szCs w:val="21"/>
                <w:lang w:val="en-US"/>
              </w:rPr>
            </w:pPr>
            <w:r>
              <w:rPr>
                <w:rFonts w:eastAsia="Times New Roman" w:cstheme="minorHAnsi"/>
                <w:bCs/>
                <w:color w:val="262626" w:themeColor="text1" w:themeTint="D9"/>
                <w:sz w:val="21"/>
                <w:szCs w:val="21"/>
                <w:lang w:val="en-US"/>
              </w:rPr>
              <w:t xml:space="preserve">Resident </w:t>
            </w:r>
            <w:r w:rsidR="0048015C" w:rsidRPr="00346F1F">
              <w:rPr>
                <w:rFonts w:eastAsia="Times New Roman" w:cstheme="minorHAnsi"/>
                <w:bCs/>
                <w:color w:val="262626" w:themeColor="text1" w:themeTint="D9"/>
                <w:sz w:val="21"/>
                <w:szCs w:val="21"/>
                <w:lang w:val="en-US"/>
              </w:rPr>
              <w:t>Representative</w:t>
            </w:r>
          </w:p>
        </w:tc>
        <w:tc>
          <w:tcPr>
            <w:tcW w:w="3150" w:type="dxa"/>
            <w:shd w:val="clear" w:color="auto" w:fill="auto"/>
            <w:vAlign w:val="center"/>
          </w:tcPr>
          <w:p w14:paraId="39B03447" w14:textId="099E521E"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33524F8C" w14:textId="77777777" w:rsidTr="00BE530D">
        <w:trPr>
          <w:trHeight w:val="642"/>
        </w:trPr>
        <w:tc>
          <w:tcPr>
            <w:tcW w:w="1715" w:type="dxa"/>
            <w:shd w:val="clear" w:color="auto" w:fill="auto"/>
            <w:vAlign w:val="center"/>
          </w:tcPr>
          <w:p w14:paraId="33C26126" w14:textId="1E289917"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UNEP</w:t>
            </w:r>
          </w:p>
        </w:tc>
        <w:tc>
          <w:tcPr>
            <w:tcW w:w="4950" w:type="dxa"/>
            <w:vAlign w:val="center"/>
          </w:tcPr>
          <w:p w14:paraId="54EFBE81" w14:textId="77777777" w:rsidR="00BB231E" w:rsidRDefault="00532178"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Mr. Bruno Pozzi</w:t>
            </w:r>
          </w:p>
          <w:p w14:paraId="30A2D0B1" w14:textId="30B851D6" w:rsidR="008D6946" w:rsidRPr="00346F1F" w:rsidRDefault="00532178"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Director, Europe Office</w:t>
            </w:r>
          </w:p>
        </w:tc>
        <w:tc>
          <w:tcPr>
            <w:tcW w:w="3150" w:type="dxa"/>
            <w:shd w:val="clear" w:color="auto" w:fill="auto"/>
            <w:vAlign w:val="center"/>
          </w:tcPr>
          <w:p w14:paraId="4315B876" w14:textId="72513673"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4C336EF1" w14:textId="77777777" w:rsidTr="00BE530D">
        <w:trPr>
          <w:trHeight w:val="642"/>
        </w:trPr>
        <w:tc>
          <w:tcPr>
            <w:tcW w:w="1715" w:type="dxa"/>
            <w:shd w:val="clear" w:color="auto" w:fill="auto"/>
            <w:vAlign w:val="center"/>
          </w:tcPr>
          <w:p w14:paraId="7041C8B3" w14:textId="5A0FFD13"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UNDRR</w:t>
            </w:r>
          </w:p>
        </w:tc>
        <w:tc>
          <w:tcPr>
            <w:tcW w:w="4950" w:type="dxa"/>
            <w:vAlign w:val="center"/>
          </w:tcPr>
          <w:p w14:paraId="6731B0F0" w14:textId="77777777" w:rsidR="00BB231E" w:rsidRDefault="006A586F"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 xml:space="preserve">Mr. Octavian </w:t>
            </w:r>
            <w:r w:rsidR="00AD4D00" w:rsidRPr="00346F1F">
              <w:rPr>
                <w:rFonts w:eastAsia="Times New Roman" w:cstheme="minorHAnsi"/>
                <w:sz w:val="21"/>
                <w:szCs w:val="21"/>
                <w:lang w:val="en-US"/>
              </w:rPr>
              <w:t>Bivol,</w:t>
            </w:r>
          </w:p>
          <w:p w14:paraId="6D45FFCD" w14:textId="34EAB4CB" w:rsidR="008D6946" w:rsidRPr="00346F1F" w:rsidRDefault="00AD4D00"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Chief Regional Office for Europe</w:t>
            </w:r>
          </w:p>
        </w:tc>
        <w:tc>
          <w:tcPr>
            <w:tcW w:w="3150" w:type="dxa"/>
            <w:shd w:val="clear" w:color="auto" w:fill="auto"/>
            <w:vAlign w:val="center"/>
          </w:tcPr>
          <w:p w14:paraId="26BD6E0B" w14:textId="46D82666"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0A8392A0" w14:textId="77777777" w:rsidTr="00BE530D">
        <w:trPr>
          <w:trHeight w:val="642"/>
        </w:trPr>
        <w:tc>
          <w:tcPr>
            <w:tcW w:w="1715" w:type="dxa"/>
            <w:shd w:val="clear" w:color="auto" w:fill="auto"/>
            <w:vAlign w:val="center"/>
          </w:tcPr>
          <w:p w14:paraId="7F32E632" w14:textId="66ED1818"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UNESCO</w:t>
            </w:r>
          </w:p>
        </w:tc>
        <w:tc>
          <w:tcPr>
            <w:tcW w:w="4950" w:type="dxa"/>
            <w:vAlign w:val="center"/>
          </w:tcPr>
          <w:p w14:paraId="05057403" w14:textId="77777777" w:rsidR="00BB231E" w:rsidRDefault="005437E4"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Mr.</w:t>
            </w:r>
            <w:r w:rsidR="00C62B23">
              <w:rPr>
                <w:rFonts w:eastAsia="Times New Roman" w:cstheme="minorHAnsi"/>
                <w:sz w:val="21"/>
                <w:szCs w:val="21"/>
                <w:lang w:val="en-US"/>
              </w:rPr>
              <w:t xml:space="preserve"> </w:t>
            </w:r>
            <w:r w:rsidRPr="00346F1F">
              <w:rPr>
                <w:rFonts w:eastAsia="Times New Roman" w:cstheme="minorHAnsi"/>
                <w:sz w:val="21"/>
                <w:szCs w:val="21"/>
                <w:lang w:val="en-US"/>
              </w:rPr>
              <w:t>Sini</w:t>
            </w:r>
            <w:r w:rsidR="00344A97" w:rsidRPr="00346F1F">
              <w:rPr>
                <w:rFonts w:eastAsia="Times New Roman" w:cstheme="minorHAnsi"/>
                <w:sz w:val="21"/>
                <w:szCs w:val="21"/>
                <w:lang w:val="bs-Latn-BA"/>
              </w:rPr>
              <w:t>š</w:t>
            </w:r>
            <w:r w:rsidRPr="00346F1F">
              <w:rPr>
                <w:rFonts w:eastAsia="Times New Roman" w:cstheme="minorHAnsi"/>
                <w:sz w:val="21"/>
                <w:szCs w:val="21"/>
                <w:lang w:val="en-US"/>
              </w:rPr>
              <w:t xml:space="preserve">a </w:t>
            </w:r>
            <w:r w:rsidR="00344A97" w:rsidRPr="00346F1F">
              <w:rPr>
                <w:rFonts w:eastAsia="Times New Roman" w:cstheme="minorHAnsi"/>
                <w:sz w:val="21"/>
                <w:szCs w:val="21"/>
                <w:lang w:val="en-US"/>
              </w:rPr>
              <w:t>Š</w:t>
            </w:r>
            <w:r w:rsidRPr="00346F1F">
              <w:rPr>
                <w:rFonts w:eastAsia="Times New Roman" w:cstheme="minorHAnsi"/>
                <w:sz w:val="21"/>
                <w:szCs w:val="21"/>
                <w:lang w:val="en-US"/>
              </w:rPr>
              <w:t>esum</w:t>
            </w:r>
          </w:p>
          <w:p w14:paraId="16C7F0FA" w14:textId="5B88F47F" w:rsidR="008D6946" w:rsidRPr="00346F1F" w:rsidRDefault="00991E53"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Head of Office, Antenna Office in Sarajevo</w:t>
            </w:r>
          </w:p>
        </w:tc>
        <w:tc>
          <w:tcPr>
            <w:tcW w:w="3150" w:type="dxa"/>
            <w:shd w:val="clear" w:color="auto" w:fill="auto"/>
            <w:vAlign w:val="center"/>
          </w:tcPr>
          <w:p w14:paraId="5EB61655" w14:textId="75D2104B"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7D411260" w14:textId="77777777" w:rsidTr="00BE530D">
        <w:trPr>
          <w:trHeight w:val="642"/>
        </w:trPr>
        <w:tc>
          <w:tcPr>
            <w:tcW w:w="1715" w:type="dxa"/>
            <w:shd w:val="clear" w:color="auto" w:fill="auto"/>
            <w:vAlign w:val="center"/>
          </w:tcPr>
          <w:p w14:paraId="5FCD049F" w14:textId="21E4755E"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UNECE</w:t>
            </w:r>
          </w:p>
        </w:tc>
        <w:tc>
          <w:tcPr>
            <w:tcW w:w="4950" w:type="dxa"/>
            <w:vAlign w:val="center"/>
          </w:tcPr>
          <w:p w14:paraId="0F4D8662" w14:textId="77777777" w:rsidR="000C4891" w:rsidRDefault="00F403F4"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 xml:space="preserve">Mr. Nicolas </w:t>
            </w:r>
            <w:r w:rsidR="00990978" w:rsidRPr="00346F1F">
              <w:rPr>
                <w:rFonts w:eastAsia="Times New Roman" w:cstheme="minorHAnsi"/>
                <w:sz w:val="21"/>
                <w:szCs w:val="21"/>
                <w:lang w:val="en-US"/>
              </w:rPr>
              <w:t>Dath-Baron</w:t>
            </w:r>
          </w:p>
          <w:p w14:paraId="137D2E93" w14:textId="0C5F3AA1" w:rsidR="008065ED" w:rsidRPr="00346F1F" w:rsidRDefault="00990978"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Officer in Charge</w:t>
            </w:r>
            <w:r w:rsidR="008065ED" w:rsidRPr="00346F1F">
              <w:rPr>
                <w:rFonts w:eastAsia="Times New Roman" w:cstheme="minorHAnsi"/>
                <w:sz w:val="21"/>
                <w:szCs w:val="21"/>
                <w:lang w:val="en-US"/>
              </w:rPr>
              <w:t>,</w:t>
            </w:r>
            <w:r w:rsidR="000C4891">
              <w:rPr>
                <w:rFonts w:eastAsia="Times New Roman" w:cstheme="minorHAnsi"/>
                <w:sz w:val="21"/>
                <w:szCs w:val="21"/>
                <w:lang w:val="en-US"/>
              </w:rPr>
              <w:t xml:space="preserve"> </w:t>
            </w:r>
            <w:r w:rsidR="008065ED" w:rsidRPr="00346F1F">
              <w:rPr>
                <w:rFonts w:eastAsia="Times New Roman" w:cstheme="minorHAnsi"/>
                <w:sz w:val="21"/>
                <w:szCs w:val="21"/>
                <w:lang w:val="en-US"/>
              </w:rPr>
              <w:t xml:space="preserve">Programme Management Unit, Office of </w:t>
            </w:r>
            <w:r w:rsidR="00346F1F" w:rsidRPr="00346F1F">
              <w:rPr>
                <w:rFonts w:eastAsia="Times New Roman" w:cstheme="minorHAnsi"/>
                <w:sz w:val="21"/>
                <w:szCs w:val="21"/>
                <w:lang w:val="en-US"/>
              </w:rPr>
              <w:t>Executive Secretary</w:t>
            </w:r>
          </w:p>
        </w:tc>
        <w:tc>
          <w:tcPr>
            <w:tcW w:w="3150" w:type="dxa"/>
            <w:shd w:val="clear" w:color="auto" w:fill="auto"/>
            <w:vAlign w:val="center"/>
          </w:tcPr>
          <w:p w14:paraId="57373D8C" w14:textId="155FB3B0"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00AA9B15" w14:textId="77777777" w:rsidTr="00BE530D">
        <w:trPr>
          <w:trHeight w:val="642"/>
        </w:trPr>
        <w:tc>
          <w:tcPr>
            <w:tcW w:w="1715" w:type="dxa"/>
            <w:shd w:val="clear" w:color="auto" w:fill="auto"/>
            <w:vAlign w:val="center"/>
          </w:tcPr>
          <w:p w14:paraId="1D452502" w14:textId="6A85F29E"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UNFPA</w:t>
            </w:r>
          </w:p>
        </w:tc>
        <w:tc>
          <w:tcPr>
            <w:tcW w:w="4950" w:type="dxa"/>
            <w:vAlign w:val="center"/>
          </w:tcPr>
          <w:p w14:paraId="711C2691" w14:textId="77777777" w:rsidR="000C4891" w:rsidRDefault="005816D7"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Mr. John</w:t>
            </w:r>
            <w:r w:rsidR="007F45BD" w:rsidRPr="00346F1F">
              <w:rPr>
                <w:rFonts w:eastAsia="Times New Roman" w:cstheme="minorHAnsi"/>
                <w:sz w:val="21"/>
                <w:szCs w:val="21"/>
                <w:lang w:val="en-US"/>
              </w:rPr>
              <w:t xml:space="preserve"> Mosoti</w:t>
            </w:r>
          </w:p>
          <w:p w14:paraId="3CDE01BF" w14:textId="5E37C5E0" w:rsidR="008D6946" w:rsidRPr="00346F1F" w:rsidRDefault="0099264A"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 xml:space="preserve">Representative </w:t>
            </w:r>
            <w:r w:rsidR="004F7911">
              <w:rPr>
                <w:rFonts w:eastAsia="Times New Roman" w:cstheme="minorHAnsi"/>
                <w:sz w:val="21"/>
                <w:szCs w:val="21"/>
                <w:lang w:val="en-US"/>
              </w:rPr>
              <w:t>for BiH and Country Director</w:t>
            </w:r>
            <w:r w:rsidR="00E41A99">
              <w:rPr>
                <w:rFonts w:eastAsia="Times New Roman" w:cstheme="minorHAnsi"/>
                <w:sz w:val="21"/>
                <w:szCs w:val="21"/>
                <w:lang w:val="en-US"/>
              </w:rPr>
              <w:t xml:space="preserve"> for the</w:t>
            </w:r>
            <w:r w:rsidR="000C4891">
              <w:rPr>
                <w:rFonts w:eastAsia="Times New Roman" w:cstheme="minorHAnsi"/>
                <w:sz w:val="21"/>
                <w:szCs w:val="21"/>
                <w:lang w:val="en-US"/>
              </w:rPr>
              <w:t xml:space="preserve"> </w:t>
            </w:r>
            <w:r w:rsidR="00E41A99">
              <w:rPr>
                <w:rFonts w:eastAsia="Times New Roman" w:cstheme="minorHAnsi"/>
                <w:sz w:val="21"/>
                <w:szCs w:val="21"/>
                <w:lang w:val="en-US"/>
              </w:rPr>
              <w:t>Republic of North Macedonia</w:t>
            </w:r>
            <w:r w:rsidR="00F45186">
              <w:rPr>
                <w:rFonts w:eastAsia="Times New Roman" w:cstheme="minorHAnsi"/>
                <w:sz w:val="21"/>
                <w:szCs w:val="21"/>
                <w:lang w:val="en-US"/>
              </w:rPr>
              <w:t xml:space="preserve"> and Serbia, and Director for Kosovo (UNSCR </w:t>
            </w:r>
            <w:r w:rsidR="00C62B23">
              <w:rPr>
                <w:rFonts w:eastAsia="Times New Roman" w:cstheme="minorHAnsi"/>
                <w:sz w:val="21"/>
                <w:szCs w:val="21"/>
                <w:lang w:val="en-US"/>
              </w:rPr>
              <w:t>1244)</w:t>
            </w:r>
          </w:p>
        </w:tc>
        <w:tc>
          <w:tcPr>
            <w:tcW w:w="3150" w:type="dxa"/>
            <w:shd w:val="clear" w:color="auto" w:fill="auto"/>
            <w:vAlign w:val="center"/>
          </w:tcPr>
          <w:p w14:paraId="00A97999" w14:textId="6740D2A5"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73E45BDB" w14:textId="77777777" w:rsidTr="00BE530D">
        <w:trPr>
          <w:trHeight w:val="642"/>
        </w:trPr>
        <w:tc>
          <w:tcPr>
            <w:tcW w:w="1715" w:type="dxa"/>
            <w:shd w:val="clear" w:color="auto" w:fill="auto"/>
            <w:vAlign w:val="center"/>
          </w:tcPr>
          <w:p w14:paraId="5760CC25" w14:textId="297F03A1"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UNHCR</w:t>
            </w:r>
          </w:p>
        </w:tc>
        <w:tc>
          <w:tcPr>
            <w:tcW w:w="4950" w:type="dxa"/>
            <w:vAlign w:val="center"/>
          </w:tcPr>
          <w:p w14:paraId="7FE37D97" w14:textId="77777777" w:rsidR="000C4891" w:rsidRDefault="00835EA7"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Ms. Lucie Gagne</w:t>
            </w:r>
          </w:p>
          <w:p w14:paraId="6045A818" w14:textId="5E7F6DC8" w:rsidR="008D6946" w:rsidRPr="00346F1F" w:rsidRDefault="00346F1F"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Regional Representative</w:t>
            </w:r>
          </w:p>
        </w:tc>
        <w:tc>
          <w:tcPr>
            <w:tcW w:w="3150" w:type="dxa"/>
            <w:shd w:val="clear" w:color="auto" w:fill="auto"/>
            <w:vAlign w:val="center"/>
          </w:tcPr>
          <w:p w14:paraId="37849211" w14:textId="36B531D6"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437D17AC" w14:textId="77777777" w:rsidTr="00BE530D">
        <w:trPr>
          <w:trHeight w:val="642"/>
        </w:trPr>
        <w:tc>
          <w:tcPr>
            <w:tcW w:w="1715" w:type="dxa"/>
            <w:shd w:val="clear" w:color="auto" w:fill="auto"/>
            <w:vAlign w:val="center"/>
          </w:tcPr>
          <w:p w14:paraId="5B72086E" w14:textId="376F42A8"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UNICEF</w:t>
            </w:r>
          </w:p>
        </w:tc>
        <w:tc>
          <w:tcPr>
            <w:tcW w:w="4950" w:type="dxa"/>
            <w:vAlign w:val="center"/>
          </w:tcPr>
          <w:p w14:paraId="6F84C01B" w14:textId="77777777" w:rsidR="000C4891" w:rsidRDefault="00835EA7"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Ms. Rownak Khan</w:t>
            </w:r>
          </w:p>
          <w:p w14:paraId="696DBE08" w14:textId="45F663CF" w:rsidR="008D6946" w:rsidRPr="00346F1F" w:rsidRDefault="00346F1F"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Representative</w:t>
            </w:r>
          </w:p>
        </w:tc>
        <w:tc>
          <w:tcPr>
            <w:tcW w:w="3150" w:type="dxa"/>
            <w:shd w:val="clear" w:color="auto" w:fill="auto"/>
            <w:vAlign w:val="center"/>
          </w:tcPr>
          <w:p w14:paraId="40BA3B2E" w14:textId="78F851F9"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292C6BED" w14:textId="77777777" w:rsidTr="00BE530D">
        <w:trPr>
          <w:trHeight w:val="642"/>
        </w:trPr>
        <w:tc>
          <w:tcPr>
            <w:tcW w:w="1715" w:type="dxa"/>
            <w:shd w:val="clear" w:color="auto" w:fill="auto"/>
            <w:vAlign w:val="center"/>
          </w:tcPr>
          <w:p w14:paraId="1BDE1FAB" w14:textId="293F0E58"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UNODC</w:t>
            </w:r>
          </w:p>
        </w:tc>
        <w:tc>
          <w:tcPr>
            <w:tcW w:w="4950" w:type="dxa"/>
            <w:vAlign w:val="center"/>
          </w:tcPr>
          <w:p w14:paraId="74ECC4EE" w14:textId="77777777" w:rsidR="008D6946" w:rsidRDefault="000A08E2"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Mr. Alexandre Schmidt</w:t>
            </w:r>
          </w:p>
          <w:p w14:paraId="5CFF5984" w14:textId="6365D713" w:rsidR="000A08E2" w:rsidRPr="00346F1F" w:rsidRDefault="00E11906"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Regional Representative</w:t>
            </w:r>
          </w:p>
        </w:tc>
        <w:tc>
          <w:tcPr>
            <w:tcW w:w="3150" w:type="dxa"/>
            <w:shd w:val="clear" w:color="auto" w:fill="auto"/>
            <w:vAlign w:val="center"/>
          </w:tcPr>
          <w:p w14:paraId="3371A0A3" w14:textId="704688EA"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4AD83D95" w14:textId="77777777" w:rsidTr="00BE530D">
        <w:trPr>
          <w:trHeight w:val="642"/>
        </w:trPr>
        <w:tc>
          <w:tcPr>
            <w:tcW w:w="1715" w:type="dxa"/>
            <w:shd w:val="clear" w:color="auto" w:fill="auto"/>
            <w:vAlign w:val="center"/>
          </w:tcPr>
          <w:p w14:paraId="7AF9DC4F" w14:textId="380D6449"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UNV</w:t>
            </w:r>
          </w:p>
        </w:tc>
        <w:tc>
          <w:tcPr>
            <w:tcW w:w="4950" w:type="dxa"/>
            <w:vAlign w:val="center"/>
          </w:tcPr>
          <w:p w14:paraId="34A720B3" w14:textId="7504FB95" w:rsidR="008D6946" w:rsidRPr="00346F1F" w:rsidRDefault="00E94DB6"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TBD</w:t>
            </w:r>
          </w:p>
        </w:tc>
        <w:tc>
          <w:tcPr>
            <w:tcW w:w="3150" w:type="dxa"/>
            <w:shd w:val="clear" w:color="auto" w:fill="auto"/>
            <w:vAlign w:val="center"/>
          </w:tcPr>
          <w:p w14:paraId="5E85B75C" w14:textId="3A4643E3"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1E97086A" w14:textId="77777777" w:rsidTr="00BE530D">
        <w:trPr>
          <w:trHeight w:val="642"/>
        </w:trPr>
        <w:tc>
          <w:tcPr>
            <w:tcW w:w="1715" w:type="dxa"/>
            <w:shd w:val="clear" w:color="auto" w:fill="auto"/>
            <w:vAlign w:val="center"/>
          </w:tcPr>
          <w:p w14:paraId="6E806C48" w14:textId="7D604C21" w:rsidR="008D6946" w:rsidRPr="00DA340C"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UN Women</w:t>
            </w:r>
          </w:p>
        </w:tc>
        <w:tc>
          <w:tcPr>
            <w:tcW w:w="4950" w:type="dxa"/>
            <w:vAlign w:val="center"/>
          </w:tcPr>
          <w:p w14:paraId="7CB66317" w14:textId="77777777" w:rsidR="00F86F14" w:rsidRDefault="005437E4"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Mr. David Saunders</w:t>
            </w:r>
          </w:p>
          <w:p w14:paraId="6541DAFA" w14:textId="4DD7215A" w:rsidR="008D6946" w:rsidRPr="00346F1F" w:rsidRDefault="00346F1F"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Representative</w:t>
            </w:r>
          </w:p>
        </w:tc>
        <w:tc>
          <w:tcPr>
            <w:tcW w:w="3150" w:type="dxa"/>
            <w:shd w:val="clear" w:color="auto" w:fill="auto"/>
            <w:vAlign w:val="center"/>
          </w:tcPr>
          <w:p w14:paraId="4FC6F44D" w14:textId="0B660E5E" w:rsidR="008D6946" w:rsidRPr="00963AB4" w:rsidRDefault="008D6946" w:rsidP="00DD35EC">
            <w:pPr>
              <w:spacing w:before="40" w:after="40" w:line="240" w:lineRule="auto"/>
              <w:ind w:right="-365"/>
              <w:jc w:val="both"/>
              <w:rPr>
                <w:rFonts w:eastAsia="Times New Roman" w:cstheme="minorHAnsi"/>
                <w:sz w:val="21"/>
                <w:szCs w:val="21"/>
                <w:lang w:val="en-US"/>
              </w:rPr>
            </w:pPr>
          </w:p>
        </w:tc>
      </w:tr>
      <w:tr w:rsidR="008D6946" w:rsidRPr="00963AB4" w14:paraId="21ED0DD2" w14:textId="77777777" w:rsidTr="00BE530D">
        <w:trPr>
          <w:trHeight w:val="642"/>
        </w:trPr>
        <w:tc>
          <w:tcPr>
            <w:tcW w:w="1715" w:type="dxa"/>
            <w:shd w:val="clear" w:color="auto" w:fill="auto"/>
            <w:vAlign w:val="center"/>
          </w:tcPr>
          <w:p w14:paraId="48973696" w14:textId="344B969C" w:rsidR="008D6946" w:rsidRDefault="008D6946" w:rsidP="00DD35EC">
            <w:pPr>
              <w:spacing w:before="40" w:after="40" w:line="240" w:lineRule="auto"/>
              <w:ind w:right="-365"/>
              <w:jc w:val="both"/>
              <w:rPr>
                <w:rFonts w:eastAsia="Times New Roman" w:cstheme="minorHAnsi"/>
                <w:b/>
                <w:bCs/>
                <w:color w:val="262626" w:themeColor="text1" w:themeTint="D9"/>
                <w:sz w:val="21"/>
                <w:szCs w:val="21"/>
                <w:lang w:val="en-US"/>
              </w:rPr>
            </w:pPr>
            <w:r>
              <w:rPr>
                <w:rFonts w:eastAsia="Times New Roman" w:cstheme="minorHAnsi"/>
                <w:b/>
                <w:bCs/>
                <w:color w:val="262626" w:themeColor="text1" w:themeTint="D9"/>
                <w:sz w:val="21"/>
                <w:szCs w:val="21"/>
                <w:lang w:val="en-US"/>
              </w:rPr>
              <w:t>WHO</w:t>
            </w:r>
          </w:p>
        </w:tc>
        <w:tc>
          <w:tcPr>
            <w:tcW w:w="4950" w:type="dxa"/>
            <w:vAlign w:val="center"/>
          </w:tcPr>
          <w:p w14:paraId="71ADDC3C" w14:textId="77777777" w:rsidR="00F86F14" w:rsidRDefault="00835EA7" w:rsidP="000C4891">
            <w:pPr>
              <w:spacing w:before="40" w:after="40" w:line="240" w:lineRule="auto"/>
              <w:ind w:right="-110"/>
              <w:jc w:val="center"/>
              <w:rPr>
                <w:rFonts w:eastAsia="Times New Roman" w:cstheme="minorHAnsi"/>
                <w:sz w:val="21"/>
                <w:szCs w:val="21"/>
                <w:lang w:val="en-US"/>
              </w:rPr>
            </w:pPr>
            <w:r w:rsidRPr="00346F1F">
              <w:rPr>
                <w:rFonts w:eastAsia="Times New Roman" w:cstheme="minorHAnsi"/>
                <w:sz w:val="21"/>
                <w:szCs w:val="21"/>
                <w:lang w:val="en-US"/>
              </w:rPr>
              <w:t>Mr. Victor Olsavszky</w:t>
            </w:r>
          </w:p>
          <w:p w14:paraId="75211771" w14:textId="74057244" w:rsidR="008D6946" w:rsidRPr="00346F1F" w:rsidRDefault="00616D40" w:rsidP="000C4891">
            <w:pPr>
              <w:spacing w:before="40" w:after="40" w:line="240" w:lineRule="auto"/>
              <w:ind w:right="-110"/>
              <w:jc w:val="center"/>
              <w:rPr>
                <w:rFonts w:eastAsia="Times New Roman" w:cstheme="minorHAnsi"/>
                <w:sz w:val="21"/>
                <w:szCs w:val="21"/>
                <w:lang w:val="en-US"/>
              </w:rPr>
            </w:pPr>
            <w:r>
              <w:rPr>
                <w:rFonts w:eastAsia="Times New Roman" w:cstheme="minorHAnsi"/>
                <w:sz w:val="21"/>
                <w:szCs w:val="21"/>
                <w:lang w:val="en-US"/>
              </w:rPr>
              <w:t>Representative</w:t>
            </w:r>
          </w:p>
        </w:tc>
        <w:tc>
          <w:tcPr>
            <w:tcW w:w="3150" w:type="dxa"/>
            <w:shd w:val="clear" w:color="auto" w:fill="auto"/>
            <w:vAlign w:val="center"/>
          </w:tcPr>
          <w:p w14:paraId="6C15F88C" w14:textId="4B902D27" w:rsidR="008D6946" w:rsidRPr="00963AB4" w:rsidRDefault="008D6946" w:rsidP="00DD35EC">
            <w:pPr>
              <w:spacing w:before="40" w:after="40" w:line="240" w:lineRule="auto"/>
              <w:ind w:right="-365"/>
              <w:jc w:val="both"/>
              <w:rPr>
                <w:rFonts w:eastAsia="Times New Roman" w:cstheme="minorHAnsi"/>
                <w:sz w:val="21"/>
                <w:szCs w:val="21"/>
                <w:lang w:val="en-US"/>
              </w:rPr>
            </w:pPr>
          </w:p>
        </w:tc>
      </w:tr>
    </w:tbl>
    <w:p w14:paraId="6CC31320" w14:textId="77777777" w:rsidR="00EA6523" w:rsidRPr="00345ECF" w:rsidRDefault="00EA6523" w:rsidP="00DD35EC">
      <w:pPr>
        <w:ind w:right="-365"/>
        <w:jc w:val="both"/>
        <w:rPr>
          <w:sz w:val="24"/>
          <w:szCs w:val="24"/>
        </w:rPr>
      </w:pPr>
    </w:p>
    <w:p w14:paraId="12C1B5AD" w14:textId="77777777" w:rsidR="0017786C" w:rsidRDefault="0017786C" w:rsidP="00DD35EC">
      <w:pPr>
        <w:ind w:right="-365"/>
        <w:jc w:val="both"/>
        <w:rPr>
          <w:b/>
          <w:color w:val="1F497D" w:themeColor="text2"/>
          <w:sz w:val="32"/>
          <w:szCs w:val="32"/>
        </w:rPr>
      </w:pPr>
      <w:r>
        <w:rPr>
          <w:b/>
          <w:color w:val="1F497D" w:themeColor="text2"/>
          <w:sz w:val="32"/>
          <w:szCs w:val="32"/>
        </w:rPr>
        <w:br w:type="page"/>
      </w:r>
    </w:p>
    <w:p w14:paraId="2C637BD9" w14:textId="77777777" w:rsidR="0017786C" w:rsidRPr="00807757" w:rsidRDefault="0017786C" w:rsidP="00DD35EC">
      <w:pPr>
        <w:spacing w:after="120" w:line="240" w:lineRule="auto"/>
        <w:ind w:right="-365"/>
        <w:jc w:val="both"/>
        <w:rPr>
          <w:b/>
          <w:color w:val="0F243E" w:themeColor="text2" w:themeShade="80"/>
          <w:sz w:val="32"/>
          <w:szCs w:val="32"/>
        </w:rPr>
      </w:pPr>
      <w:r w:rsidRPr="00807757">
        <w:rPr>
          <w:b/>
          <w:color w:val="0F243E" w:themeColor="text2" w:themeShade="80"/>
          <w:sz w:val="32"/>
          <w:szCs w:val="32"/>
        </w:rPr>
        <w:t>Executive Summary</w:t>
      </w:r>
      <w:r w:rsidRPr="00807757">
        <w:rPr>
          <w:b/>
          <w:color w:val="0F243E" w:themeColor="text2" w:themeShade="80"/>
          <w:sz w:val="32"/>
          <w:szCs w:val="32"/>
        </w:rPr>
        <w:fldChar w:fldCharType="begin"/>
      </w:r>
      <w:r w:rsidRPr="00807757">
        <w:rPr>
          <w:color w:val="0F243E" w:themeColor="text2" w:themeShade="80"/>
        </w:rPr>
        <w:instrText xml:space="preserve"> TC "</w:instrText>
      </w:r>
      <w:bookmarkStart w:id="3" w:name="_Toc21777816"/>
      <w:bookmarkStart w:id="4" w:name="_Toc23876348"/>
      <w:bookmarkStart w:id="5" w:name="_Toc23933972"/>
      <w:bookmarkStart w:id="6" w:name="_Toc26184377"/>
      <w:bookmarkStart w:id="7" w:name="_Toc38899106"/>
      <w:r w:rsidRPr="00807757">
        <w:rPr>
          <w:b/>
          <w:color w:val="0F243E" w:themeColor="text2" w:themeShade="80"/>
          <w:sz w:val="32"/>
          <w:szCs w:val="32"/>
        </w:rPr>
        <w:instrText>Executive Summary</w:instrText>
      </w:r>
      <w:bookmarkEnd w:id="3"/>
      <w:bookmarkEnd w:id="4"/>
      <w:bookmarkEnd w:id="5"/>
      <w:bookmarkEnd w:id="6"/>
      <w:bookmarkEnd w:id="7"/>
      <w:r w:rsidRPr="00807757">
        <w:rPr>
          <w:color w:val="0F243E" w:themeColor="text2" w:themeShade="80"/>
        </w:rPr>
        <w:instrText xml:space="preserve">" \f C \l "1" </w:instrText>
      </w:r>
      <w:r w:rsidRPr="00807757">
        <w:rPr>
          <w:b/>
          <w:color w:val="0F243E" w:themeColor="text2" w:themeShade="80"/>
          <w:sz w:val="32"/>
          <w:szCs w:val="32"/>
        </w:rPr>
        <w:fldChar w:fldCharType="end"/>
      </w:r>
      <w:r w:rsidRPr="00807757">
        <w:rPr>
          <w:b/>
          <w:color w:val="0F243E" w:themeColor="text2" w:themeShade="80"/>
          <w:sz w:val="32"/>
          <w:szCs w:val="32"/>
        </w:rPr>
        <w:t xml:space="preserve"> </w:t>
      </w:r>
    </w:p>
    <w:p w14:paraId="5451AD9C" w14:textId="10534E15" w:rsidR="00CE09F7" w:rsidRPr="00E746D6" w:rsidRDefault="00CE09F7" w:rsidP="00DD35EC">
      <w:pPr>
        <w:spacing w:after="40" w:line="240" w:lineRule="auto"/>
        <w:ind w:left="3" w:right="-365"/>
        <w:jc w:val="both"/>
        <w:rPr>
          <w:rFonts w:cstheme="minorHAnsi"/>
          <w:sz w:val="21"/>
          <w:szCs w:val="21"/>
        </w:rPr>
      </w:pPr>
      <w:r w:rsidRPr="00807757">
        <w:rPr>
          <w:rFonts w:cstheme="minorHAnsi"/>
          <w:sz w:val="21"/>
          <w:szCs w:val="21"/>
        </w:rPr>
        <w:t xml:space="preserve">This Sustainable Development Cooperation Framework (CF) between authorities in Bosnia and Herzegovina (BiH) and the United Nations (UN) system describes four strategic priorities and five cooperation outcomes and how they will contribute </w:t>
      </w:r>
      <w:r w:rsidRPr="00E746D6">
        <w:rPr>
          <w:rFonts w:cstheme="minorHAnsi"/>
          <w:sz w:val="21"/>
          <w:szCs w:val="21"/>
        </w:rPr>
        <w:t>to priorities</w:t>
      </w:r>
      <w:r w:rsidR="00B077A0" w:rsidRPr="00E746D6">
        <w:rPr>
          <w:rFonts w:cstheme="minorHAnsi"/>
          <w:sz w:val="21"/>
          <w:szCs w:val="21"/>
        </w:rPr>
        <w:t xml:space="preserve"> in BiH</w:t>
      </w:r>
      <w:r w:rsidRPr="00E746D6">
        <w:rPr>
          <w:rFonts w:cstheme="minorHAnsi"/>
          <w:sz w:val="21"/>
          <w:szCs w:val="21"/>
        </w:rPr>
        <w:t xml:space="preserve"> expressed by:</w:t>
      </w:r>
    </w:p>
    <w:p w14:paraId="5C7E1E4D" w14:textId="77777777" w:rsidR="00CE09F7" w:rsidRPr="00E746D6" w:rsidRDefault="00CE09F7" w:rsidP="00DD35EC">
      <w:pPr>
        <w:pStyle w:val="ListParagraph"/>
        <w:numPr>
          <w:ilvl w:val="0"/>
          <w:numId w:val="6"/>
        </w:numPr>
        <w:spacing w:after="60"/>
        <w:ind w:right="-365" w:hanging="357"/>
        <w:contextualSpacing w:val="0"/>
        <w:jc w:val="both"/>
        <w:rPr>
          <w:sz w:val="21"/>
          <w:szCs w:val="21"/>
          <w:lang w:val="en-GB"/>
        </w:rPr>
      </w:pPr>
      <w:r w:rsidRPr="00E746D6">
        <w:rPr>
          <w:rFonts w:cstheme="minorHAnsi"/>
          <w:sz w:val="21"/>
          <w:szCs w:val="21"/>
        </w:rPr>
        <w:t>The 2030 Agenda for Sustainable Development and selected Sustainable Development Goals (SDGs) and targets</w:t>
      </w:r>
      <w:r w:rsidRPr="00E746D6">
        <w:rPr>
          <w:rStyle w:val="FootnoteReference"/>
          <w:rFonts w:cstheme="minorHAnsi"/>
          <w:color w:val="0F243E" w:themeColor="text2" w:themeShade="80"/>
          <w:sz w:val="21"/>
          <w:szCs w:val="21"/>
        </w:rPr>
        <w:footnoteReference w:id="7"/>
      </w:r>
      <w:r w:rsidRPr="00E746D6">
        <w:rPr>
          <w:rFonts w:cstheme="minorHAnsi"/>
          <w:sz w:val="21"/>
          <w:szCs w:val="21"/>
        </w:rPr>
        <w:t xml:space="preserve"> as expressed in the emerging </w:t>
      </w:r>
      <w:r w:rsidRPr="00E746D6">
        <w:rPr>
          <w:rFonts w:cstheme="minorHAnsi"/>
          <w:i/>
          <w:sz w:val="21"/>
          <w:szCs w:val="21"/>
          <w:lang w:val="en"/>
        </w:rPr>
        <w:t>SDG Framework in BiH and domesticated SDG targets</w:t>
      </w:r>
      <w:r w:rsidRPr="00E746D6">
        <w:rPr>
          <w:rStyle w:val="FootnoteReference"/>
          <w:rFonts w:cstheme="minorHAnsi"/>
          <w:sz w:val="21"/>
          <w:szCs w:val="21"/>
          <w:lang w:val="en"/>
        </w:rPr>
        <w:footnoteReference w:id="8"/>
      </w:r>
      <w:r w:rsidRPr="00E746D6">
        <w:rPr>
          <w:rFonts w:cstheme="minorHAnsi"/>
          <w:i/>
          <w:sz w:val="21"/>
          <w:szCs w:val="21"/>
          <w:lang w:val="en"/>
        </w:rPr>
        <w:t>;</w:t>
      </w:r>
    </w:p>
    <w:p w14:paraId="6D5D47A3" w14:textId="77777777" w:rsidR="00CE09F7" w:rsidRPr="00E746D6" w:rsidRDefault="00CE09F7" w:rsidP="00DD35EC">
      <w:pPr>
        <w:pStyle w:val="ListParagraph"/>
        <w:numPr>
          <w:ilvl w:val="0"/>
          <w:numId w:val="6"/>
        </w:numPr>
        <w:spacing w:after="60"/>
        <w:ind w:right="-365" w:hanging="357"/>
        <w:contextualSpacing w:val="0"/>
        <w:jc w:val="both"/>
        <w:rPr>
          <w:sz w:val="21"/>
          <w:szCs w:val="21"/>
          <w:lang w:val="en-GB"/>
        </w:rPr>
      </w:pPr>
      <w:r w:rsidRPr="00E746D6">
        <w:rPr>
          <w:rFonts w:cstheme="minorHAnsi"/>
          <w:sz w:val="21"/>
          <w:szCs w:val="21"/>
        </w:rPr>
        <w:t>Future accession to the European Union, as expressed in the Action Plan for implementation of priorities from the European Commission Opinion and Analytical Report</w:t>
      </w:r>
      <w:r w:rsidRPr="00E746D6">
        <w:rPr>
          <w:rStyle w:val="FootnoteReference"/>
          <w:rFonts w:cstheme="minorHAnsi"/>
          <w:sz w:val="21"/>
          <w:szCs w:val="21"/>
        </w:rPr>
        <w:footnoteReference w:id="9"/>
      </w:r>
      <w:r w:rsidRPr="00E746D6">
        <w:rPr>
          <w:rFonts w:cstheme="minorHAnsi"/>
          <w:sz w:val="21"/>
          <w:szCs w:val="21"/>
        </w:rPr>
        <w:t>;</w:t>
      </w:r>
    </w:p>
    <w:p w14:paraId="2E9225FC" w14:textId="77777777" w:rsidR="00CE09F7" w:rsidRPr="00E746D6" w:rsidRDefault="00CE09F7" w:rsidP="00DD35EC">
      <w:pPr>
        <w:pStyle w:val="ListParagraph"/>
        <w:numPr>
          <w:ilvl w:val="0"/>
          <w:numId w:val="6"/>
        </w:numPr>
        <w:spacing w:after="60"/>
        <w:ind w:right="-365" w:hanging="357"/>
        <w:contextualSpacing w:val="0"/>
        <w:jc w:val="both"/>
        <w:rPr>
          <w:sz w:val="21"/>
          <w:szCs w:val="21"/>
          <w:lang w:val="en-GB"/>
        </w:rPr>
      </w:pPr>
      <w:r w:rsidRPr="00E746D6">
        <w:rPr>
          <w:rFonts w:cstheme="minorHAnsi"/>
          <w:sz w:val="21"/>
          <w:szCs w:val="21"/>
        </w:rPr>
        <w:t>The Joint Socio-Economic Reforms (‘Reform Agenda’), 2019-2022</w:t>
      </w:r>
      <w:r w:rsidRPr="00E746D6">
        <w:rPr>
          <w:rStyle w:val="FootnoteReference"/>
          <w:rFonts w:cstheme="minorHAnsi"/>
          <w:sz w:val="21"/>
          <w:szCs w:val="21"/>
        </w:rPr>
        <w:footnoteReference w:id="10"/>
      </w:r>
      <w:r w:rsidRPr="00E746D6">
        <w:rPr>
          <w:rFonts w:cstheme="minorHAnsi"/>
          <w:sz w:val="21"/>
          <w:szCs w:val="21"/>
        </w:rPr>
        <w:t>; and</w:t>
      </w:r>
    </w:p>
    <w:p w14:paraId="37C8126F" w14:textId="78161311" w:rsidR="00CE09F7" w:rsidRPr="00E746D6" w:rsidRDefault="00CE09F7" w:rsidP="00DD35EC">
      <w:pPr>
        <w:pStyle w:val="ListParagraph"/>
        <w:numPr>
          <w:ilvl w:val="0"/>
          <w:numId w:val="6"/>
        </w:numPr>
        <w:spacing w:after="120"/>
        <w:ind w:right="-365"/>
        <w:contextualSpacing w:val="0"/>
        <w:jc w:val="both"/>
        <w:rPr>
          <w:sz w:val="21"/>
          <w:szCs w:val="21"/>
          <w:lang w:val="en-GB"/>
        </w:rPr>
      </w:pPr>
      <w:r w:rsidRPr="00E746D6">
        <w:rPr>
          <w:sz w:val="21"/>
          <w:szCs w:val="21"/>
        </w:rPr>
        <w:t xml:space="preserve">The human </w:t>
      </w:r>
      <w:r w:rsidRPr="00E746D6">
        <w:rPr>
          <w:sz w:val="21"/>
          <w:szCs w:val="21"/>
          <w:lang w:val="en-GB"/>
        </w:rPr>
        <w:t>rights commitments of BiH and other agreed international and regional development goals and treaty obligations</w:t>
      </w:r>
      <w:r w:rsidRPr="00E746D6">
        <w:rPr>
          <w:rStyle w:val="FootnoteReference"/>
          <w:rFonts w:cstheme="minorHAnsi"/>
          <w:color w:val="0F243E" w:themeColor="text2" w:themeShade="80"/>
          <w:sz w:val="21"/>
          <w:szCs w:val="21"/>
          <w:lang w:val="en"/>
        </w:rPr>
        <w:footnoteReference w:id="11"/>
      </w:r>
      <w:r w:rsidR="007A40BE" w:rsidRPr="00E746D6">
        <w:rPr>
          <w:sz w:val="21"/>
          <w:szCs w:val="21"/>
          <w:lang w:val="en-GB"/>
        </w:rPr>
        <w:t xml:space="preserve"> and conventions</w:t>
      </w:r>
      <w:r w:rsidRPr="00E746D6">
        <w:rPr>
          <w:rFonts w:cstheme="minorHAnsi"/>
          <w:sz w:val="21"/>
          <w:szCs w:val="21"/>
        </w:rPr>
        <w:t>.</w:t>
      </w:r>
      <w:r w:rsidRPr="00E746D6">
        <w:rPr>
          <w:rStyle w:val="FootnoteReference"/>
          <w:rFonts w:cstheme="minorHAnsi"/>
          <w:color w:val="0F243E" w:themeColor="text2" w:themeShade="80"/>
          <w:sz w:val="21"/>
          <w:szCs w:val="21"/>
          <w:lang w:val="en"/>
        </w:rPr>
        <w:t xml:space="preserve"> </w:t>
      </w:r>
    </w:p>
    <w:p w14:paraId="1177F6A8" w14:textId="77777777" w:rsidR="00CE09F7" w:rsidRPr="00E746D6" w:rsidRDefault="00CE09F7" w:rsidP="00DD35EC">
      <w:pPr>
        <w:spacing w:after="120" w:line="240" w:lineRule="auto"/>
        <w:ind w:right="-365"/>
        <w:jc w:val="both"/>
        <w:rPr>
          <w:rFonts w:cstheme="minorHAnsi"/>
          <w:sz w:val="21"/>
          <w:szCs w:val="21"/>
        </w:rPr>
      </w:pPr>
      <w:r w:rsidRPr="00E746D6">
        <w:rPr>
          <w:rFonts w:cstheme="minorHAnsi"/>
          <w:sz w:val="21"/>
          <w:szCs w:val="21"/>
        </w:rPr>
        <w:t xml:space="preserve">The CF builds-upon extensive consultations about the 2030 Agenda for Sustainable Development and the SDGs in BiH that were initiated in April 2017. These catalyzed the preparation of the BiH Voluntary Review of progress toward SDG achievement and the draft </w:t>
      </w:r>
      <w:r w:rsidRPr="00E746D6">
        <w:rPr>
          <w:rFonts w:cstheme="minorHAnsi"/>
          <w:sz w:val="21"/>
          <w:szCs w:val="21"/>
          <w:lang w:val="en"/>
        </w:rPr>
        <w:t xml:space="preserve">SDG Framework in BiH, and they informed the UN system’s Common Country Analysis. These reports highlight major gaps and challenges for achieving the 2030 Agenda, to which the priorities and outcomes of the CF respond. </w:t>
      </w:r>
      <w:r w:rsidRPr="00E746D6">
        <w:rPr>
          <w:rFonts w:cstheme="minorHAnsi"/>
          <w:sz w:val="21"/>
          <w:szCs w:val="21"/>
        </w:rPr>
        <w:t xml:space="preserve"> </w:t>
      </w:r>
    </w:p>
    <w:p w14:paraId="423E45B3" w14:textId="4DE19229" w:rsidR="00CE09F7" w:rsidRPr="00807757" w:rsidRDefault="009562D3" w:rsidP="00DD35EC">
      <w:pPr>
        <w:spacing w:after="120" w:line="240" w:lineRule="auto"/>
        <w:ind w:right="-365"/>
        <w:jc w:val="both"/>
        <w:rPr>
          <w:rFonts w:cstheme="minorHAnsi"/>
          <w:sz w:val="21"/>
          <w:szCs w:val="21"/>
        </w:rPr>
      </w:pPr>
      <w:r w:rsidRPr="00E746D6">
        <w:rPr>
          <w:rFonts w:cstheme="minorHAnsi"/>
          <w:sz w:val="21"/>
          <w:szCs w:val="21"/>
        </w:rPr>
        <w:t xml:space="preserve">The authorities in </w:t>
      </w:r>
      <w:r w:rsidR="00CE09F7" w:rsidRPr="00E746D6">
        <w:rPr>
          <w:rFonts w:cstheme="minorHAnsi"/>
          <w:sz w:val="21"/>
          <w:szCs w:val="21"/>
        </w:rPr>
        <w:t>BiH and the UN system have mutual accountability for the achievement of planned CF results. Based on their comparative advantages, UN system agencies will contribute policy advice, in accordance with international norms, standards, and best practices, and they will help to develop new capacities at all levels of government in BiH for the implementation and monitoring of strategies, policies and plans</w:t>
      </w:r>
      <w:r w:rsidR="00F51A08" w:rsidRPr="00E746D6">
        <w:rPr>
          <w:rFonts w:cstheme="minorHAnsi"/>
          <w:sz w:val="21"/>
          <w:szCs w:val="21"/>
        </w:rPr>
        <w:t xml:space="preserve"> in BiH</w:t>
      </w:r>
      <w:r w:rsidR="00CE09F7" w:rsidRPr="00E746D6">
        <w:rPr>
          <w:rFonts w:cstheme="minorHAnsi"/>
          <w:sz w:val="21"/>
          <w:szCs w:val="21"/>
        </w:rPr>
        <w:t>. Emphasis is placed on those strategies, policies and plans that align strongly with the Sustainable Development</w:t>
      </w:r>
      <w:r w:rsidR="00CE09F7" w:rsidRPr="00807757">
        <w:rPr>
          <w:rFonts w:cstheme="minorHAnsi"/>
          <w:sz w:val="21"/>
          <w:szCs w:val="21"/>
        </w:rPr>
        <w:t xml:space="preserve"> Goals (SDG) and targets as set forth in the emerging SDGs Framework in BiH. </w:t>
      </w:r>
    </w:p>
    <w:p w14:paraId="6A04C67B" w14:textId="6E12CAC1" w:rsidR="00CE09F7" w:rsidRPr="00807757" w:rsidRDefault="00CE09F7" w:rsidP="00DD35EC">
      <w:pPr>
        <w:spacing w:after="120" w:line="240" w:lineRule="auto"/>
        <w:ind w:right="-365"/>
        <w:jc w:val="both"/>
        <w:rPr>
          <w:rFonts w:cstheme="minorHAnsi"/>
          <w:sz w:val="21"/>
          <w:szCs w:val="21"/>
        </w:rPr>
      </w:pPr>
      <w:r w:rsidRPr="00807757">
        <w:rPr>
          <w:rFonts w:cstheme="minorHAnsi"/>
          <w:sz w:val="21"/>
          <w:szCs w:val="21"/>
        </w:rPr>
        <w:t xml:space="preserve">Other development actors are critical for the success of this CF. Given its </w:t>
      </w:r>
      <w:r w:rsidR="00784818" w:rsidRPr="00807757">
        <w:rPr>
          <w:rFonts w:cstheme="minorHAnsi"/>
          <w:sz w:val="21"/>
          <w:szCs w:val="21"/>
        </w:rPr>
        <w:t xml:space="preserve">comprehensive </w:t>
      </w:r>
      <w:r w:rsidRPr="00807757">
        <w:rPr>
          <w:rFonts w:cstheme="minorHAnsi"/>
          <w:sz w:val="21"/>
          <w:szCs w:val="21"/>
        </w:rPr>
        <w:t xml:space="preserve">focus on </w:t>
      </w:r>
      <w:r w:rsidRPr="00807757">
        <w:rPr>
          <w:rFonts w:cstheme="minorHAnsi"/>
          <w:b/>
          <w:sz w:val="21"/>
          <w:szCs w:val="21"/>
        </w:rPr>
        <w:t>vulnerable groups</w:t>
      </w:r>
      <w:r w:rsidRPr="00807757">
        <w:rPr>
          <w:rStyle w:val="FootnoteReference"/>
          <w:rFonts w:cstheme="minorHAnsi"/>
          <w:sz w:val="21"/>
          <w:szCs w:val="21"/>
        </w:rPr>
        <w:footnoteReference w:id="12"/>
      </w:r>
      <w:r w:rsidRPr="00807757">
        <w:rPr>
          <w:rFonts w:cstheme="minorHAnsi"/>
          <w:sz w:val="21"/>
          <w:szCs w:val="21"/>
        </w:rPr>
        <w:t xml:space="preserve"> </w:t>
      </w:r>
      <w:r w:rsidR="00113C65">
        <w:rPr>
          <w:rFonts w:cstheme="minorHAnsi"/>
          <w:sz w:val="21"/>
          <w:szCs w:val="21"/>
        </w:rPr>
        <w:t xml:space="preserve">across all </w:t>
      </w:r>
      <w:r w:rsidR="008B596D">
        <w:rPr>
          <w:rFonts w:cstheme="minorHAnsi"/>
          <w:sz w:val="21"/>
          <w:szCs w:val="21"/>
        </w:rPr>
        <w:t xml:space="preserve">CF priorities and outcomes </w:t>
      </w:r>
      <w:r w:rsidR="00C16D01" w:rsidRPr="00807757">
        <w:rPr>
          <w:rFonts w:cstheme="minorHAnsi"/>
          <w:sz w:val="21"/>
          <w:szCs w:val="21"/>
        </w:rPr>
        <w:t xml:space="preserve">under the SDGs umbrella </w:t>
      </w:r>
      <w:r w:rsidRPr="00807757">
        <w:rPr>
          <w:rFonts w:cstheme="minorHAnsi"/>
          <w:sz w:val="21"/>
          <w:szCs w:val="21"/>
        </w:rPr>
        <w:t xml:space="preserve">and efforts to ensure that these groups are not left behind, </w:t>
      </w:r>
      <w:r w:rsidR="001A6B0E" w:rsidRPr="00807757">
        <w:rPr>
          <w:rFonts w:cstheme="minorHAnsi"/>
          <w:sz w:val="21"/>
          <w:szCs w:val="21"/>
        </w:rPr>
        <w:t xml:space="preserve">broader </w:t>
      </w:r>
      <w:r w:rsidRPr="00807757">
        <w:rPr>
          <w:rFonts w:cstheme="minorHAnsi"/>
          <w:sz w:val="21"/>
          <w:szCs w:val="21"/>
        </w:rPr>
        <w:t xml:space="preserve">cooperation </w:t>
      </w:r>
      <w:r w:rsidR="005D6B3D" w:rsidRPr="00807757">
        <w:rPr>
          <w:rFonts w:cstheme="minorHAnsi"/>
          <w:sz w:val="21"/>
          <w:szCs w:val="21"/>
        </w:rPr>
        <w:t>and partner</w:t>
      </w:r>
      <w:r w:rsidR="00264CD6" w:rsidRPr="00807757">
        <w:rPr>
          <w:rFonts w:cstheme="minorHAnsi"/>
          <w:sz w:val="21"/>
          <w:szCs w:val="21"/>
        </w:rPr>
        <w:t xml:space="preserve">ship is envisioned </w:t>
      </w:r>
      <w:r w:rsidR="008E6EB8" w:rsidRPr="00807757">
        <w:rPr>
          <w:rFonts w:cstheme="minorHAnsi"/>
          <w:sz w:val="21"/>
          <w:szCs w:val="21"/>
        </w:rPr>
        <w:t xml:space="preserve">including </w:t>
      </w:r>
      <w:r w:rsidRPr="00807757">
        <w:rPr>
          <w:rFonts w:cstheme="minorHAnsi"/>
          <w:sz w:val="21"/>
          <w:szCs w:val="21"/>
        </w:rPr>
        <w:t xml:space="preserve">civil society groups, NGOs, community groups, </w:t>
      </w:r>
      <w:r w:rsidR="00C10C11" w:rsidRPr="00807757">
        <w:rPr>
          <w:rFonts w:cstheme="minorHAnsi"/>
          <w:sz w:val="21"/>
          <w:szCs w:val="21"/>
        </w:rPr>
        <w:t>the human rights institutions</w:t>
      </w:r>
      <w:r w:rsidR="004B3D7A" w:rsidRPr="00807757">
        <w:rPr>
          <w:rFonts w:cstheme="minorHAnsi"/>
          <w:sz w:val="21"/>
          <w:szCs w:val="21"/>
        </w:rPr>
        <w:t xml:space="preserve">, </w:t>
      </w:r>
      <w:r w:rsidRPr="00807757">
        <w:rPr>
          <w:rFonts w:cstheme="minorHAnsi"/>
          <w:sz w:val="21"/>
          <w:szCs w:val="21"/>
        </w:rPr>
        <w:t>academia, media</w:t>
      </w:r>
      <w:r w:rsidR="009D7898" w:rsidRPr="00807757">
        <w:rPr>
          <w:rFonts w:cstheme="minorHAnsi"/>
          <w:sz w:val="21"/>
          <w:szCs w:val="21"/>
        </w:rPr>
        <w:t>,</w:t>
      </w:r>
      <w:r w:rsidRPr="00807757">
        <w:rPr>
          <w:rFonts w:cstheme="minorHAnsi"/>
          <w:sz w:val="21"/>
          <w:szCs w:val="21"/>
        </w:rPr>
        <w:t xml:space="preserve"> the private sector</w:t>
      </w:r>
      <w:r w:rsidR="0096525A" w:rsidRPr="00807757">
        <w:rPr>
          <w:rFonts w:cstheme="minorHAnsi"/>
          <w:sz w:val="21"/>
          <w:szCs w:val="21"/>
        </w:rPr>
        <w:t>, and international partners</w:t>
      </w:r>
      <w:r w:rsidR="00775ABC" w:rsidRPr="00807757">
        <w:rPr>
          <w:rFonts w:cstheme="minorHAnsi"/>
          <w:sz w:val="21"/>
          <w:szCs w:val="21"/>
        </w:rPr>
        <w:t xml:space="preserve">. This is expected to </w:t>
      </w:r>
      <w:r w:rsidR="000125A8" w:rsidRPr="00807757">
        <w:rPr>
          <w:rFonts w:cstheme="minorHAnsi"/>
          <w:sz w:val="21"/>
          <w:szCs w:val="21"/>
        </w:rPr>
        <w:t>leverag</w:t>
      </w:r>
      <w:r w:rsidR="00775ABC" w:rsidRPr="00807757">
        <w:rPr>
          <w:rFonts w:cstheme="minorHAnsi"/>
          <w:sz w:val="21"/>
          <w:szCs w:val="21"/>
        </w:rPr>
        <w:t>e</w:t>
      </w:r>
      <w:r w:rsidR="000125A8" w:rsidRPr="00807757">
        <w:rPr>
          <w:rFonts w:cstheme="minorHAnsi"/>
          <w:sz w:val="21"/>
          <w:szCs w:val="21"/>
        </w:rPr>
        <w:t xml:space="preserve"> greater capacities and resources, including financi</w:t>
      </w:r>
      <w:r w:rsidR="00775ABC" w:rsidRPr="00807757">
        <w:rPr>
          <w:rFonts w:cstheme="minorHAnsi"/>
          <w:sz w:val="21"/>
          <w:szCs w:val="21"/>
        </w:rPr>
        <w:t>ng</w:t>
      </w:r>
      <w:r w:rsidR="000125A8" w:rsidRPr="00807757">
        <w:rPr>
          <w:rFonts w:cstheme="minorHAnsi"/>
          <w:sz w:val="21"/>
          <w:szCs w:val="21"/>
        </w:rPr>
        <w:t xml:space="preserve">, toward achievement of the </w:t>
      </w:r>
      <w:r w:rsidR="003D673B" w:rsidRPr="00807757">
        <w:rPr>
          <w:rFonts w:cstheme="minorHAnsi"/>
          <w:sz w:val="21"/>
          <w:szCs w:val="21"/>
        </w:rPr>
        <w:t xml:space="preserve">CF results and </w:t>
      </w:r>
      <w:r w:rsidR="000125A8" w:rsidRPr="00807757">
        <w:rPr>
          <w:rFonts w:cstheme="minorHAnsi"/>
          <w:sz w:val="21"/>
          <w:szCs w:val="21"/>
        </w:rPr>
        <w:t>SDGs targets in BiH</w:t>
      </w:r>
      <w:r w:rsidRPr="00807757">
        <w:rPr>
          <w:rFonts w:cstheme="minorHAnsi"/>
          <w:sz w:val="21"/>
          <w:szCs w:val="21"/>
        </w:rPr>
        <w:t>. This will increase participation of these stakeholders and groups in decision-making, leading to more informed and sustainable policies, and more effective and accountable public institutions.</w:t>
      </w:r>
    </w:p>
    <w:p w14:paraId="543F5072" w14:textId="77777777" w:rsidR="00CE09F7" w:rsidRPr="00807757" w:rsidRDefault="00CE09F7" w:rsidP="00DD35EC">
      <w:pPr>
        <w:spacing w:after="120" w:line="240" w:lineRule="auto"/>
        <w:ind w:right="-365"/>
        <w:jc w:val="both"/>
        <w:rPr>
          <w:rFonts w:cstheme="minorHAnsi"/>
          <w:sz w:val="21"/>
          <w:szCs w:val="21"/>
        </w:rPr>
      </w:pPr>
      <w:r w:rsidRPr="00807757">
        <w:rPr>
          <w:rFonts w:cstheme="minorHAnsi"/>
          <w:sz w:val="21"/>
          <w:szCs w:val="21"/>
        </w:rPr>
        <w:t>The strategic priorities and outcomes for cooperation are:</w:t>
      </w:r>
    </w:p>
    <w:p w14:paraId="1BFE179B" w14:textId="77777777" w:rsidR="00CE09F7" w:rsidRPr="00807757" w:rsidRDefault="00CE09F7" w:rsidP="00DD35EC">
      <w:pPr>
        <w:pStyle w:val="ListParagraph"/>
        <w:numPr>
          <w:ilvl w:val="0"/>
          <w:numId w:val="0"/>
        </w:numPr>
        <w:spacing w:after="40"/>
        <w:ind w:left="357" w:right="-365"/>
        <w:contextualSpacing w:val="0"/>
        <w:jc w:val="both"/>
        <w:rPr>
          <w:rFonts w:cstheme="minorHAnsi"/>
          <w:b/>
          <w:sz w:val="21"/>
          <w:szCs w:val="21"/>
          <w:lang w:val="en-CA"/>
        </w:rPr>
      </w:pPr>
      <w:r w:rsidRPr="00807757">
        <w:rPr>
          <w:rFonts w:cstheme="minorHAnsi"/>
          <w:b/>
          <w:sz w:val="21"/>
          <w:szCs w:val="21"/>
          <w:lang w:val="en-CA"/>
        </w:rPr>
        <w:t>I. Sustainable, resilient and inclusive growth</w:t>
      </w:r>
    </w:p>
    <w:p w14:paraId="7DDC6840" w14:textId="77777777" w:rsidR="00CE09F7" w:rsidRPr="00807757" w:rsidRDefault="00CE09F7" w:rsidP="00DD35EC">
      <w:pPr>
        <w:pStyle w:val="ListParagraph"/>
        <w:numPr>
          <w:ilvl w:val="0"/>
          <w:numId w:val="6"/>
        </w:numPr>
        <w:spacing w:after="120"/>
        <w:ind w:right="-365" w:hanging="357"/>
        <w:contextualSpacing w:val="0"/>
        <w:jc w:val="both"/>
        <w:rPr>
          <w:sz w:val="21"/>
          <w:szCs w:val="21"/>
          <w:lang w:val="en-GB"/>
        </w:rPr>
      </w:pPr>
      <w:r w:rsidRPr="00807757">
        <w:rPr>
          <w:rFonts w:cstheme="minorHAnsi"/>
          <w:b/>
          <w:sz w:val="21"/>
          <w:szCs w:val="21"/>
        </w:rPr>
        <w:t xml:space="preserve">Outcome 1. </w:t>
      </w:r>
      <w:r w:rsidRPr="00807757">
        <w:rPr>
          <w:rFonts w:cstheme="minorHAnsi"/>
          <w:bCs/>
          <w:sz w:val="21"/>
          <w:szCs w:val="21"/>
        </w:rPr>
        <w:t>By 2025, people benefit from resilient, inclusive and sustainable growth ensured by the convergence of economic development and management of environment and cultural resources</w:t>
      </w:r>
    </w:p>
    <w:p w14:paraId="0B986261" w14:textId="5FF79220" w:rsidR="00CE09F7" w:rsidRPr="00807757" w:rsidRDefault="00CE09F7" w:rsidP="00DD35EC">
      <w:pPr>
        <w:spacing w:after="120" w:line="240" w:lineRule="auto"/>
        <w:ind w:right="-365"/>
        <w:jc w:val="both"/>
        <w:rPr>
          <w:rFonts w:cstheme="minorHAnsi"/>
          <w:sz w:val="21"/>
          <w:szCs w:val="21"/>
        </w:rPr>
      </w:pPr>
      <w:r w:rsidRPr="00807757">
        <w:rPr>
          <w:rFonts w:cstheme="minorHAnsi"/>
          <w:sz w:val="21"/>
          <w:szCs w:val="21"/>
        </w:rPr>
        <w:t>Cooperation will promote the implementation of strategies and policies for economic growth that is more inclusive</w:t>
      </w:r>
      <w:r w:rsidR="00324E82" w:rsidRPr="00807757">
        <w:rPr>
          <w:rFonts w:cstheme="minorHAnsi"/>
          <w:sz w:val="21"/>
          <w:szCs w:val="21"/>
        </w:rPr>
        <w:t xml:space="preserve">, </w:t>
      </w:r>
      <w:r w:rsidRPr="00807757">
        <w:rPr>
          <w:rFonts w:cstheme="minorHAnsi"/>
          <w:sz w:val="21"/>
          <w:szCs w:val="21"/>
        </w:rPr>
        <w:t>sustainable</w:t>
      </w:r>
      <w:r w:rsidR="00324E82" w:rsidRPr="00807757">
        <w:rPr>
          <w:rFonts w:cstheme="minorHAnsi"/>
          <w:sz w:val="21"/>
          <w:szCs w:val="21"/>
        </w:rPr>
        <w:t xml:space="preserve"> and </w:t>
      </w:r>
      <w:r w:rsidR="005879EA" w:rsidRPr="00807757">
        <w:rPr>
          <w:rFonts w:cstheme="minorHAnsi"/>
          <w:sz w:val="21"/>
          <w:szCs w:val="21"/>
        </w:rPr>
        <w:t xml:space="preserve">resilient, especially in the context of </w:t>
      </w:r>
      <w:r w:rsidR="001B63CC" w:rsidRPr="00807757">
        <w:rPr>
          <w:rFonts w:cstheme="minorHAnsi"/>
          <w:sz w:val="21"/>
          <w:szCs w:val="21"/>
        </w:rPr>
        <w:t xml:space="preserve">the negative </w:t>
      </w:r>
      <w:r w:rsidR="00775ABC" w:rsidRPr="00807757">
        <w:rPr>
          <w:rFonts w:cstheme="minorHAnsi"/>
          <w:sz w:val="21"/>
          <w:szCs w:val="21"/>
        </w:rPr>
        <w:t>socio-</w:t>
      </w:r>
      <w:r w:rsidR="00B12352" w:rsidRPr="00807757">
        <w:rPr>
          <w:rFonts w:cstheme="minorHAnsi"/>
          <w:sz w:val="21"/>
          <w:szCs w:val="21"/>
        </w:rPr>
        <w:t>economic impact</w:t>
      </w:r>
      <w:r w:rsidR="00775ABC" w:rsidRPr="00807757">
        <w:rPr>
          <w:rFonts w:cstheme="minorHAnsi"/>
          <w:sz w:val="21"/>
          <w:szCs w:val="21"/>
        </w:rPr>
        <w:t>s</w:t>
      </w:r>
      <w:r w:rsidR="00B12352" w:rsidRPr="00807757">
        <w:rPr>
          <w:rFonts w:cstheme="minorHAnsi"/>
          <w:sz w:val="21"/>
          <w:szCs w:val="21"/>
        </w:rPr>
        <w:t xml:space="preserve"> caused by the </w:t>
      </w:r>
      <w:r w:rsidR="00775ABC" w:rsidRPr="00807757">
        <w:rPr>
          <w:rFonts w:cstheme="minorHAnsi"/>
          <w:sz w:val="21"/>
          <w:szCs w:val="21"/>
        </w:rPr>
        <w:t>Coronavirus (</w:t>
      </w:r>
      <w:r w:rsidR="00B12352" w:rsidRPr="00807757">
        <w:rPr>
          <w:rFonts w:cstheme="minorHAnsi"/>
          <w:sz w:val="21"/>
          <w:szCs w:val="21"/>
        </w:rPr>
        <w:t>COVID-19</w:t>
      </w:r>
      <w:r w:rsidR="00775ABC" w:rsidRPr="00807757">
        <w:rPr>
          <w:rFonts w:cstheme="minorHAnsi"/>
          <w:sz w:val="21"/>
          <w:szCs w:val="21"/>
        </w:rPr>
        <w:t>)</w:t>
      </w:r>
      <w:r w:rsidR="00B12352" w:rsidRPr="00807757">
        <w:rPr>
          <w:rFonts w:cstheme="minorHAnsi"/>
          <w:sz w:val="21"/>
          <w:szCs w:val="21"/>
        </w:rPr>
        <w:t xml:space="preserve"> pandemic</w:t>
      </w:r>
      <w:r w:rsidRPr="00807757">
        <w:rPr>
          <w:rFonts w:cstheme="minorHAnsi"/>
          <w:sz w:val="21"/>
          <w:szCs w:val="21"/>
        </w:rPr>
        <w:t>. The UN system will support a stronger policy and regulatory environment and stimulus measures to enable low-carbon development, spur business development and increased competitiveness, and support the creation of green and decent jobs, complemented by environmental action</w:t>
      </w:r>
    </w:p>
    <w:p w14:paraId="7002D1C4" w14:textId="77777777" w:rsidR="00CE09F7" w:rsidRPr="00807757" w:rsidRDefault="00CE09F7" w:rsidP="00DD35EC">
      <w:pPr>
        <w:spacing w:after="40" w:line="240" w:lineRule="auto"/>
        <w:ind w:left="68" w:right="-365" w:hanging="68"/>
        <w:jc w:val="both"/>
        <w:rPr>
          <w:rFonts w:cstheme="minorHAnsi"/>
          <w:b/>
          <w:sz w:val="21"/>
          <w:szCs w:val="21"/>
        </w:rPr>
      </w:pPr>
      <w:r w:rsidRPr="00807757">
        <w:rPr>
          <w:rFonts w:cstheme="minorHAnsi"/>
          <w:b/>
          <w:sz w:val="21"/>
          <w:szCs w:val="21"/>
        </w:rPr>
        <w:t>II. Quality, accessible and inclusive education, health and social protection</w:t>
      </w:r>
    </w:p>
    <w:p w14:paraId="373644B0" w14:textId="77777777" w:rsidR="00CE09F7" w:rsidRPr="00807757" w:rsidRDefault="00CE09F7" w:rsidP="00DD35EC">
      <w:pPr>
        <w:pStyle w:val="ListParagraph"/>
        <w:numPr>
          <w:ilvl w:val="0"/>
          <w:numId w:val="6"/>
        </w:numPr>
        <w:spacing w:after="120"/>
        <w:ind w:left="360" w:right="-365" w:hanging="357"/>
        <w:contextualSpacing w:val="0"/>
        <w:jc w:val="both"/>
        <w:rPr>
          <w:sz w:val="21"/>
          <w:szCs w:val="21"/>
          <w:lang w:val="en-GB"/>
        </w:rPr>
      </w:pPr>
      <w:r w:rsidRPr="00807757">
        <w:rPr>
          <w:rFonts w:cstheme="minorHAnsi"/>
          <w:b/>
          <w:sz w:val="21"/>
          <w:szCs w:val="21"/>
        </w:rPr>
        <w:t xml:space="preserve">Outcome 2. </w:t>
      </w:r>
      <w:r w:rsidRPr="00807757">
        <w:rPr>
          <w:rFonts w:cstheme="minorHAnsi"/>
          <w:sz w:val="21"/>
          <w:szCs w:val="21"/>
        </w:rPr>
        <w:t>By 2025, people benefit from more inclusive and higher quality educational programmes focused on 21</w:t>
      </w:r>
      <w:r w:rsidRPr="00807757">
        <w:rPr>
          <w:rFonts w:cstheme="minorHAnsi"/>
          <w:sz w:val="21"/>
          <w:szCs w:val="21"/>
          <w:vertAlign w:val="superscript"/>
        </w:rPr>
        <w:t>st</w:t>
      </w:r>
      <w:r w:rsidRPr="00807757">
        <w:rPr>
          <w:rFonts w:cstheme="minorHAnsi"/>
          <w:sz w:val="21"/>
          <w:szCs w:val="21"/>
        </w:rPr>
        <w:t xml:space="preserve"> century skills for enhanced employability, well-being and active participation in society</w:t>
      </w:r>
    </w:p>
    <w:p w14:paraId="37F5F0C6" w14:textId="77777777" w:rsidR="00CE09F7" w:rsidRPr="00807757" w:rsidRDefault="00CE09F7" w:rsidP="00DD35EC">
      <w:pPr>
        <w:spacing w:after="120" w:line="240" w:lineRule="auto"/>
        <w:ind w:right="-365"/>
        <w:jc w:val="both"/>
        <w:rPr>
          <w:rFonts w:cstheme="minorHAnsi"/>
          <w:sz w:val="21"/>
          <w:szCs w:val="21"/>
        </w:rPr>
      </w:pPr>
      <w:r w:rsidRPr="00807757">
        <w:rPr>
          <w:rFonts w:cstheme="minorHAnsi"/>
          <w:sz w:val="21"/>
          <w:szCs w:val="21"/>
          <w:lang w:eastAsia="en-CA"/>
        </w:rPr>
        <w:t>T</w:t>
      </w:r>
      <w:r w:rsidRPr="00807757">
        <w:rPr>
          <w:rFonts w:cstheme="minorHAnsi"/>
          <w:sz w:val="21"/>
          <w:szCs w:val="21"/>
        </w:rPr>
        <w:t xml:space="preserve">he educational performance of all young people is instrumental for their </w:t>
      </w:r>
      <w:r w:rsidRPr="00807757">
        <w:rPr>
          <w:rFonts w:cstheme="minorHAnsi"/>
          <w:sz w:val="21"/>
          <w:szCs w:val="21"/>
          <w:lang w:eastAsia="en-CA"/>
        </w:rPr>
        <w:t>employment success in a modern, EU-oriented labour market</w:t>
      </w:r>
      <w:r w:rsidRPr="00807757">
        <w:rPr>
          <w:rStyle w:val="FootnoteReference"/>
          <w:rFonts w:cstheme="minorHAnsi"/>
          <w:sz w:val="21"/>
          <w:szCs w:val="21"/>
        </w:rPr>
        <w:footnoteReference w:id="13"/>
      </w:r>
      <w:r w:rsidRPr="00807757">
        <w:rPr>
          <w:rFonts w:cstheme="minorHAnsi"/>
          <w:sz w:val="21"/>
          <w:szCs w:val="21"/>
        </w:rPr>
        <w:t xml:space="preserve">. </w:t>
      </w:r>
      <w:r w:rsidRPr="00807757">
        <w:rPr>
          <w:sz w:val="21"/>
          <w:szCs w:val="21"/>
          <w:shd w:val="clear" w:color="auto" w:fill="FFFFFF"/>
        </w:rPr>
        <w:t xml:space="preserve">The </w:t>
      </w:r>
      <w:r w:rsidRPr="00807757">
        <w:rPr>
          <w:rFonts w:cstheme="minorHAnsi"/>
          <w:sz w:val="21"/>
          <w:szCs w:val="21"/>
          <w:lang w:eastAsia="en-CA"/>
        </w:rPr>
        <w:t>cooperation outcome is to create conditions for more inclusive and higher quality education that offers 21</w:t>
      </w:r>
      <w:r w:rsidRPr="00807757">
        <w:rPr>
          <w:rFonts w:cstheme="minorHAnsi"/>
          <w:sz w:val="21"/>
          <w:szCs w:val="21"/>
          <w:vertAlign w:val="superscript"/>
          <w:lang w:eastAsia="en-CA"/>
        </w:rPr>
        <w:t>st</w:t>
      </w:r>
      <w:r w:rsidRPr="00807757">
        <w:rPr>
          <w:rFonts w:cstheme="minorHAnsi"/>
          <w:sz w:val="21"/>
          <w:szCs w:val="21"/>
          <w:lang w:eastAsia="en-CA"/>
        </w:rPr>
        <w:t xml:space="preserve"> century skills to all children and young people</w:t>
      </w:r>
    </w:p>
    <w:p w14:paraId="7122B7CA" w14:textId="77777777" w:rsidR="00CE09F7" w:rsidRPr="00807757" w:rsidRDefault="00CE09F7" w:rsidP="00DD35EC">
      <w:pPr>
        <w:pStyle w:val="ListParagraph"/>
        <w:numPr>
          <w:ilvl w:val="0"/>
          <w:numId w:val="6"/>
        </w:numPr>
        <w:spacing w:after="40"/>
        <w:ind w:left="363" w:right="-365" w:hanging="357"/>
        <w:contextualSpacing w:val="0"/>
        <w:jc w:val="both"/>
        <w:rPr>
          <w:sz w:val="21"/>
          <w:szCs w:val="21"/>
          <w:lang w:val="en-GB"/>
        </w:rPr>
      </w:pPr>
      <w:r w:rsidRPr="00807757">
        <w:rPr>
          <w:rFonts w:cstheme="minorHAnsi"/>
          <w:b/>
          <w:sz w:val="21"/>
          <w:szCs w:val="21"/>
        </w:rPr>
        <w:t xml:space="preserve">Outcome 3. </w:t>
      </w:r>
      <w:r w:rsidRPr="00807757">
        <w:rPr>
          <w:rFonts w:cstheme="minorHAnsi"/>
          <w:sz w:val="21"/>
          <w:szCs w:val="21"/>
        </w:rPr>
        <w:t>By 2025, people have access to better quality and inclusive health and social protection systems</w:t>
      </w:r>
    </w:p>
    <w:p w14:paraId="5BF1B4BF" w14:textId="22641E07" w:rsidR="00CE09F7" w:rsidRPr="00E746D6" w:rsidRDefault="00CE09F7" w:rsidP="00DD35EC">
      <w:pPr>
        <w:spacing w:after="120" w:line="240" w:lineRule="auto"/>
        <w:ind w:right="-365"/>
        <w:jc w:val="both"/>
        <w:rPr>
          <w:rFonts w:cs="Times New Roman"/>
          <w:sz w:val="21"/>
          <w:szCs w:val="21"/>
        </w:rPr>
      </w:pPr>
      <w:r w:rsidRPr="00807757">
        <w:rPr>
          <w:rFonts w:cstheme="minorHAnsi"/>
          <w:sz w:val="21"/>
          <w:szCs w:val="21"/>
        </w:rPr>
        <w:t xml:space="preserve">In line with the </w:t>
      </w:r>
      <w:r w:rsidRPr="00E746D6">
        <w:rPr>
          <w:rFonts w:cstheme="minorHAnsi"/>
          <w:sz w:val="21"/>
          <w:szCs w:val="21"/>
        </w:rPr>
        <w:t>priorities</w:t>
      </w:r>
      <w:r w:rsidR="00F51A08" w:rsidRPr="00E746D6">
        <w:rPr>
          <w:rFonts w:cstheme="minorHAnsi"/>
          <w:sz w:val="21"/>
          <w:szCs w:val="21"/>
        </w:rPr>
        <w:t xml:space="preserve"> in BiH</w:t>
      </w:r>
      <w:r w:rsidRPr="00E746D6">
        <w:rPr>
          <w:rFonts w:cstheme="minorHAnsi"/>
          <w:sz w:val="21"/>
          <w:szCs w:val="21"/>
        </w:rPr>
        <w:t>, quality, affordable public health care and social protection and welfare services will contribute improved more resilient, secure livelihoods and stronger economic performance.</w:t>
      </w:r>
      <w:r w:rsidRPr="00E746D6">
        <w:rPr>
          <w:sz w:val="21"/>
          <w:szCs w:val="21"/>
          <w:shd w:val="clear" w:color="auto" w:fill="FFFFFF"/>
        </w:rPr>
        <w:t xml:space="preserve"> The </w:t>
      </w:r>
      <w:r w:rsidRPr="00E746D6">
        <w:rPr>
          <w:rFonts w:cstheme="minorHAnsi"/>
          <w:sz w:val="21"/>
          <w:szCs w:val="21"/>
          <w:lang w:eastAsia="en-CA"/>
        </w:rPr>
        <w:t>cooperation outcome is to create c</w:t>
      </w:r>
      <w:r w:rsidRPr="00E746D6">
        <w:rPr>
          <w:rFonts w:cstheme="minorHAnsi"/>
          <w:i/>
          <w:sz w:val="21"/>
          <w:szCs w:val="21"/>
          <w:lang w:eastAsia="en-CA"/>
        </w:rPr>
        <w:t>o</w:t>
      </w:r>
      <w:r w:rsidRPr="00E746D6">
        <w:rPr>
          <w:rFonts w:cstheme="minorHAnsi"/>
          <w:sz w:val="21"/>
          <w:szCs w:val="21"/>
          <w:lang w:eastAsia="en-CA"/>
        </w:rPr>
        <w:t xml:space="preserve">nditions for more efficient, fair, and inclusive health care and social protection and social welfare systems and services. Efforts to analyse and find efficiencies in </w:t>
      </w:r>
      <w:r w:rsidRPr="00E746D6">
        <w:rPr>
          <w:rFonts w:cstheme="minorHAnsi"/>
          <w:sz w:val="21"/>
          <w:szCs w:val="21"/>
        </w:rPr>
        <w:t xml:space="preserve">spending and services </w:t>
      </w:r>
      <w:r w:rsidRPr="00E746D6">
        <w:rPr>
          <w:rFonts w:cstheme="minorHAnsi"/>
          <w:sz w:val="21"/>
          <w:szCs w:val="21"/>
          <w:lang w:eastAsia="en-CA"/>
        </w:rPr>
        <w:t>and equity for vulnerable groups</w:t>
      </w:r>
      <w:r w:rsidRPr="00E746D6">
        <w:rPr>
          <w:rStyle w:val="FootnoteReference"/>
          <w:rFonts w:cstheme="minorHAnsi"/>
          <w:sz w:val="21"/>
          <w:szCs w:val="21"/>
          <w:lang w:eastAsia="en-CA"/>
        </w:rPr>
        <w:footnoteReference w:id="14"/>
      </w:r>
      <w:r w:rsidRPr="00E746D6">
        <w:rPr>
          <w:rFonts w:cstheme="minorHAnsi"/>
          <w:sz w:val="21"/>
          <w:szCs w:val="21"/>
          <w:lang w:eastAsia="en-CA"/>
        </w:rPr>
        <w:t xml:space="preserve"> </w:t>
      </w:r>
      <w:r w:rsidRPr="00E746D6">
        <w:rPr>
          <w:rFonts w:cstheme="minorHAnsi"/>
          <w:sz w:val="21"/>
          <w:szCs w:val="21"/>
        </w:rPr>
        <w:t>will be a major focus of cooperation. This is urgent, given the ageing population</w:t>
      </w:r>
      <w:r w:rsidR="004C383E" w:rsidRPr="00E746D6">
        <w:rPr>
          <w:rFonts w:cstheme="minorHAnsi"/>
          <w:sz w:val="21"/>
          <w:szCs w:val="21"/>
        </w:rPr>
        <w:t>,</w:t>
      </w:r>
      <w:r w:rsidRPr="00E746D6">
        <w:rPr>
          <w:rFonts w:cstheme="minorHAnsi"/>
          <w:sz w:val="21"/>
          <w:szCs w:val="21"/>
        </w:rPr>
        <w:t xml:space="preserve"> out-migration</w:t>
      </w:r>
      <w:r w:rsidR="004C383E" w:rsidRPr="00E746D6">
        <w:rPr>
          <w:rFonts w:cstheme="minorHAnsi"/>
          <w:sz w:val="21"/>
          <w:szCs w:val="21"/>
        </w:rPr>
        <w:t xml:space="preserve">, and the COVID-19 </w:t>
      </w:r>
      <w:r w:rsidR="00DF53C3" w:rsidRPr="00E746D6">
        <w:rPr>
          <w:rFonts w:cstheme="minorHAnsi"/>
          <w:sz w:val="21"/>
          <w:szCs w:val="21"/>
        </w:rPr>
        <w:t>pandemic</w:t>
      </w:r>
      <w:r w:rsidRPr="00E746D6">
        <w:rPr>
          <w:rFonts w:cstheme="minorHAnsi"/>
          <w:sz w:val="21"/>
          <w:szCs w:val="21"/>
        </w:rPr>
        <w:t xml:space="preserve"> that are placing strain on existing social protection and social welfare services.</w:t>
      </w:r>
    </w:p>
    <w:p w14:paraId="62AFE0AC" w14:textId="77777777" w:rsidR="00CE09F7" w:rsidRPr="00E746D6" w:rsidRDefault="00CE09F7" w:rsidP="00DD35EC">
      <w:pPr>
        <w:pStyle w:val="ListParagraph"/>
        <w:numPr>
          <w:ilvl w:val="0"/>
          <w:numId w:val="0"/>
        </w:numPr>
        <w:spacing w:after="40"/>
        <w:ind w:right="-365"/>
        <w:contextualSpacing w:val="0"/>
        <w:jc w:val="both"/>
        <w:rPr>
          <w:rFonts w:cstheme="minorHAnsi"/>
          <w:b/>
          <w:sz w:val="21"/>
          <w:szCs w:val="21"/>
          <w:lang w:val="en-CA"/>
        </w:rPr>
      </w:pPr>
      <w:r w:rsidRPr="00E746D6">
        <w:rPr>
          <w:rFonts w:cstheme="minorHAnsi"/>
          <w:b/>
          <w:sz w:val="21"/>
          <w:szCs w:val="21"/>
          <w:lang w:val="en-CA"/>
        </w:rPr>
        <w:t>III. People centered governance and rule of law</w:t>
      </w:r>
    </w:p>
    <w:p w14:paraId="104B05CC" w14:textId="77777777" w:rsidR="00CE09F7" w:rsidRPr="00E746D6" w:rsidRDefault="00CE09F7" w:rsidP="00DD35EC">
      <w:pPr>
        <w:pStyle w:val="ListParagraph"/>
        <w:numPr>
          <w:ilvl w:val="0"/>
          <w:numId w:val="6"/>
        </w:numPr>
        <w:spacing w:after="120"/>
        <w:ind w:left="360" w:right="-365" w:hanging="357"/>
        <w:contextualSpacing w:val="0"/>
        <w:jc w:val="both"/>
        <w:rPr>
          <w:sz w:val="21"/>
          <w:szCs w:val="21"/>
          <w:lang w:val="en-GB"/>
        </w:rPr>
      </w:pPr>
      <w:r w:rsidRPr="00E746D6">
        <w:rPr>
          <w:rFonts w:cstheme="minorHAnsi"/>
          <w:b/>
          <w:sz w:val="21"/>
          <w:szCs w:val="21"/>
        </w:rPr>
        <w:t xml:space="preserve">Outcome 4. </w:t>
      </w:r>
      <w:r w:rsidRPr="00E746D6">
        <w:rPr>
          <w:rFonts w:cstheme="minorHAnsi"/>
          <w:bCs/>
          <w:sz w:val="21"/>
          <w:szCs w:val="21"/>
        </w:rPr>
        <w:t>By 2025, people contribute to, and benefit from more accountable and transparent governance systems that deliver quality public services, and ensure rule of law</w:t>
      </w:r>
    </w:p>
    <w:p w14:paraId="292A1863" w14:textId="47C0AECE" w:rsidR="00CE09F7" w:rsidRPr="00807757" w:rsidRDefault="00CE09F7" w:rsidP="00DD35EC">
      <w:pPr>
        <w:spacing w:after="120" w:line="240" w:lineRule="auto"/>
        <w:ind w:right="-365"/>
        <w:jc w:val="both"/>
        <w:rPr>
          <w:rFonts w:cstheme="minorHAnsi"/>
          <w:sz w:val="21"/>
          <w:szCs w:val="21"/>
        </w:rPr>
      </w:pPr>
      <w:r w:rsidRPr="00E746D6">
        <w:rPr>
          <w:rFonts w:cstheme="minorHAnsi"/>
          <w:sz w:val="21"/>
          <w:szCs w:val="21"/>
          <w:lang w:eastAsia="en-CA"/>
        </w:rPr>
        <w:t xml:space="preserve">More accountable and transparent governance systems will enable </w:t>
      </w:r>
      <w:r w:rsidR="007000C9" w:rsidRPr="00E746D6">
        <w:rPr>
          <w:rFonts w:cstheme="minorHAnsi"/>
          <w:sz w:val="21"/>
          <w:szCs w:val="21"/>
          <w:lang w:eastAsia="en-CA"/>
        </w:rPr>
        <w:t xml:space="preserve">the authorities in </w:t>
      </w:r>
      <w:r w:rsidRPr="00E746D6">
        <w:rPr>
          <w:rFonts w:cstheme="minorHAnsi"/>
          <w:sz w:val="21"/>
          <w:szCs w:val="21"/>
          <w:lang w:eastAsia="en-CA"/>
        </w:rPr>
        <w:t xml:space="preserve">BiH to </w:t>
      </w:r>
      <w:r w:rsidRPr="00E746D6">
        <w:rPr>
          <w:rFonts w:cstheme="minorHAnsi"/>
          <w:sz w:val="21"/>
          <w:szCs w:val="21"/>
        </w:rPr>
        <w:t>partner more effectively with people to shape and deliver more responsive policies, laws and public services,</w:t>
      </w:r>
      <w:r w:rsidRPr="00807757">
        <w:rPr>
          <w:rFonts w:cstheme="minorHAnsi"/>
          <w:sz w:val="21"/>
          <w:szCs w:val="21"/>
        </w:rPr>
        <w:t xml:space="preserve"> including in response to </w:t>
      </w:r>
      <w:r w:rsidR="0066003C" w:rsidRPr="00807757">
        <w:rPr>
          <w:rFonts w:cstheme="minorHAnsi"/>
          <w:sz w:val="21"/>
          <w:szCs w:val="21"/>
        </w:rPr>
        <w:t xml:space="preserve">natural </w:t>
      </w:r>
      <w:r w:rsidR="00124777" w:rsidRPr="00807757">
        <w:rPr>
          <w:rFonts w:cstheme="minorHAnsi"/>
          <w:sz w:val="21"/>
          <w:szCs w:val="21"/>
        </w:rPr>
        <w:t>hazards</w:t>
      </w:r>
      <w:r w:rsidR="0066003C" w:rsidRPr="00807757">
        <w:rPr>
          <w:rFonts w:cstheme="minorHAnsi"/>
          <w:sz w:val="21"/>
          <w:szCs w:val="21"/>
        </w:rPr>
        <w:t xml:space="preserve"> and emergency situations, such as the </w:t>
      </w:r>
      <w:r w:rsidR="00D4530A" w:rsidRPr="00807757">
        <w:rPr>
          <w:rFonts w:cstheme="minorHAnsi"/>
          <w:sz w:val="21"/>
          <w:szCs w:val="21"/>
        </w:rPr>
        <w:t xml:space="preserve">current </w:t>
      </w:r>
      <w:r w:rsidR="0066003C" w:rsidRPr="00807757">
        <w:rPr>
          <w:rFonts w:cstheme="minorHAnsi"/>
          <w:sz w:val="21"/>
          <w:szCs w:val="21"/>
        </w:rPr>
        <w:t>COVID-19 pan</w:t>
      </w:r>
      <w:r w:rsidR="00D4530A" w:rsidRPr="00807757">
        <w:rPr>
          <w:rFonts w:cstheme="minorHAnsi"/>
          <w:sz w:val="21"/>
          <w:szCs w:val="21"/>
        </w:rPr>
        <w:t xml:space="preserve">demic and </w:t>
      </w:r>
      <w:r w:rsidRPr="00807757">
        <w:rPr>
          <w:rFonts w:cstheme="minorHAnsi"/>
          <w:sz w:val="21"/>
          <w:szCs w:val="21"/>
        </w:rPr>
        <w:t xml:space="preserve">the  refugees and migrant situation in the country. Efforts will also focus on leveraging technology to modernize public performance and support digital governance and increasing </w:t>
      </w:r>
      <w:r w:rsidRPr="00807757">
        <w:rPr>
          <w:sz w:val="21"/>
          <w:szCs w:val="21"/>
        </w:rPr>
        <w:t>women’s participation in political and economic decision-making.</w:t>
      </w:r>
      <w:r w:rsidRPr="00807757">
        <w:rPr>
          <w:rFonts w:cstheme="minorHAnsi"/>
          <w:sz w:val="21"/>
          <w:szCs w:val="21"/>
        </w:rPr>
        <w:t xml:space="preserve"> </w:t>
      </w:r>
    </w:p>
    <w:p w14:paraId="4EF6470F" w14:textId="77777777" w:rsidR="00CE09F7" w:rsidRPr="00807757" w:rsidRDefault="00CE09F7" w:rsidP="00DD35EC">
      <w:pPr>
        <w:pStyle w:val="ListParagraph"/>
        <w:numPr>
          <w:ilvl w:val="0"/>
          <w:numId w:val="0"/>
        </w:numPr>
        <w:spacing w:after="40"/>
        <w:ind w:right="-365"/>
        <w:contextualSpacing w:val="0"/>
        <w:jc w:val="both"/>
        <w:rPr>
          <w:rFonts w:cstheme="minorHAnsi"/>
          <w:b/>
          <w:sz w:val="21"/>
          <w:szCs w:val="21"/>
          <w:lang w:val="en-CA"/>
        </w:rPr>
      </w:pPr>
      <w:r w:rsidRPr="00807757">
        <w:rPr>
          <w:rFonts w:cstheme="minorHAnsi"/>
          <w:b/>
          <w:sz w:val="21"/>
          <w:szCs w:val="21"/>
          <w:lang w:val="en-CA"/>
        </w:rPr>
        <w:t>IV. Citizen and community engagement for social cohesion</w:t>
      </w:r>
    </w:p>
    <w:p w14:paraId="5910F406" w14:textId="77777777" w:rsidR="00CE09F7" w:rsidRPr="00807757" w:rsidRDefault="00CE09F7" w:rsidP="00DD35EC">
      <w:pPr>
        <w:pStyle w:val="ListParagraph"/>
        <w:numPr>
          <w:ilvl w:val="0"/>
          <w:numId w:val="6"/>
        </w:numPr>
        <w:spacing w:after="120"/>
        <w:ind w:left="360" w:right="-365" w:hanging="357"/>
        <w:contextualSpacing w:val="0"/>
        <w:jc w:val="both"/>
        <w:rPr>
          <w:sz w:val="21"/>
          <w:szCs w:val="21"/>
          <w:lang w:val="en-GB"/>
        </w:rPr>
      </w:pPr>
      <w:r w:rsidRPr="00807757">
        <w:rPr>
          <w:rFonts w:cstheme="minorHAnsi"/>
          <w:b/>
          <w:sz w:val="21"/>
          <w:szCs w:val="21"/>
        </w:rPr>
        <w:t xml:space="preserve">Outcome 5. </w:t>
      </w:r>
      <w:r w:rsidRPr="00807757">
        <w:rPr>
          <w:rFonts w:cstheme="minorHAnsi"/>
          <w:bCs/>
          <w:sz w:val="21"/>
          <w:szCs w:val="21"/>
        </w:rPr>
        <w:t>By 2025, there is stronger mutual understanding, respect and trust among individuals and communities</w:t>
      </w:r>
    </w:p>
    <w:p w14:paraId="7A6E6165" w14:textId="45FEF3C5" w:rsidR="00CE09F7" w:rsidRPr="00807757" w:rsidRDefault="00CE09F7" w:rsidP="00DD35EC">
      <w:pPr>
        <w:spacing w:after="120" w:line="240" w:lineRule="auto"/>
        <w:ind w:right="-365"/>
        <w:jc w:val="both"/>
        <w:rPr>
          <w:rFonts w:cstheme="minorHAnsi"/>
          <w:sz w:val="21"/>
          <w:szCs w:val="21"/>
        </w:rPr>
      </w:pPr>
      <w:r w:rsidRPr="00807757">
        <w:rPr>
          <w:rFonts w:cstheme="minorHAnsi"/>
          <w:sz w:val="21"/>
          <w:szCs w:val="21"/>
          <w:lang w:eastAsia="en-CA"/>
        </w:rPr>
        <w:t xml:space="preserve">This is an </w:t>
      </w:r>
      <w:r w:rsidRPr="00807757">
        <w:rPr>
          <w:rFonts w:cstheme="minorHAnsi"/>
          <w:i/>
          <w:sz w:val="21"/>
          <w:szCs w:val="21"/>
          <w:lang w:eastAsia="en-CA"/>
        </w:rPr>
        <w:t>enabler</w:t>
      </w:r>
      <w:r w:rsidRPr="00807757">
        <w:rPr>
          <w:rFonts w:cstheme="minorHAnsi"/>
          <w:sz w:val="21"/>
          <w:szCs w:val="21"/>
          <w:lang w:eastAsia="en-CA"/>
        </w:rPr>
        <w:t xml:space="preserve"> for all other outcomes and for the EU accession and SDG-related priorities of </w:t>
      </w:r>
      <w:r w:rsidR="00321770" w:rsidRPr="00807757">
        <w:rPr>
          <w:rFonts w:cstheme="minorHAnsi"/>
          <w:sz w:val="21"/>
          <w:szCs w:val="21"/>
          <w:lang w:eastAsia="en-CA"/>
        </w:rPr>
        <w:t xml:space="preserve">authorities in </w:t>
      </w:r>
      <w:r w:rsidRPr="00807757">
        <w:rPr>
          <w:rFonts w:cstheme="minorHAnsi"/>
          <w:sz w:val="21"/>
          <w:szCs w:val="21"/>
          <w:lang w:eastAsia="en-CA"/>
        </w:rPr>
        <w:t>BiH. I</w:t>
      </w:r>
      <w:r w:rsidRPr="00807757">
        <w:rPr>
          <w:rFonts w:cstheme="minorHAnsi"/>
          <w:sz w:val="21"/>
          <w:szCs w:val="21"/>
        </w:rPr>
        <w:t>ncreased levels of mutual respect, trust and empathy between people and communities across all of BiH will help to address the reconciliation deficit and contribute to greater social cohesion and stability. Without these, efforts to diversify the economy, strengthen the quality of and delivery of basic services, and enhance governance and rule of law cannot succeed</w:t>
      </w:r>
      <w:r w:rsidRPr="00807757">
        <w:rPr>
          <w:rFonts w:cstheme="minorHAnsi"/>
          <w:sz w:val="21"/>
          <w:szCs w:val="21"/>
          <w:lang w:eastAsia="en-CA"/>
        </w:rPr>
        <w:t>.</w:t>
      </w:r>
    </w:p>
    <w:p w14:paraId="779B4A03" w14:textId="60DAABB9" w:rsidR="00CE09F7" w:rsidRPr="00807757" w:rsidRDefault="00CE09F7" w:rsidP="00DD35EC">
      <w:pPr>
        <w:spacing w:after="120" w:line="240" w:lineRule="auto"/>
        <w:ind w:right="-365"/>
        <w:jc w:val="both"/>
        <w:rPr>
          <w:sz w:val="21"/>
          <w:szCs w:val="21"/>
        </w:rPr>
      </w:pPr>
      <w:r w:rsidRPr="00807757">
        <w:rPr>
          <w:rFonts w:cstheme="minorHAnsi"/>
          <w:sz w:val="21"/>
          <w:szCs w:val="21"/>
        </w:rPr>
        <w:t xml:space="preserve">In line with the 2030 Agenda for Sustainable Development, each of the priorities and outcomes embody a </w:t>
      </w:r>
      <w:r w:rsidRPr="00807757">
        <w:rPr>
          <w:rFonts w:cstheme="minorHAnsi"/>
          <w:b/>
          <w:sz w:val="21"/>
          <w:szCs w:val="21"/>
        </w:rPr>
        <w:t>nexus of important changes</w:t>
      </w:r>
      <w:r w:rsidRPr="00807757">
        <w:rPr>
          <w:rFonts w:cstheme="minorHAnsi"/>
          <w:sz w:val="21"/>
          <w:szCs w:val="21"/>
        </w:rPr>
        <w:t xml:space="preserve">. To sustain linkages between the outcomes, </w:t>
      </w:r>
      <w:r w:rsidR="00321770" w:rsidRPr="00807757">
        <w:rPr>
          <w:rFonts w:cstheme="minorHAnsi"/>
          <w:sz w:val="21"/>
          <w:szCs w:val="21"/>
        </w:rPr>
        <w:t xml:space="preserve">the authorities in </w:t>
      </w:r>
      <w:r w:rsidRPr="00807757">
        <w:rPr>
          <w:sz w:val="21"/>
          <w:szCs w:val="21"/>
        </w:rPr>
        <w:t xml:space="preserve">BiH and the UN system will </w:t>
      </w:r>
      <w:r w:rsidRPr="00807757">
        <w:rPr>
          <w:rFonts w:ascii="Calibri" w:hAnsi="Calibri"/>
          <w:sz w:val="21"/>
          <w:szCs w:val="21"/>
        </w:rPr>
        <w:t xml:space="preserve">engage with a diverse range of partners and stakeholders and </w:t>
      </w:r>
      <w:r w:rsidRPr="00807757">
        <w:rPr>
          <w:sz w:val="21"/>
          <w:szCs w:val="21"/>
        </w:rPr>
        <w:t xml:space="preserve">pursue </w:t>
      </w:r>
      <w:r w:rsidRPr="00807757">
        <w:rPr>
          <w:i/>
          <w:sz w:val="21"/>
          <w:szCs w:val="21"/>
        </w:rPr>
        <w:t>cross-sectoral approaches</w:t>
      </w:r>
      <w:r w:rsidRPr="00807757">
        <w:rPr>
          <w:sz w:val="21"/>
          <w:szCs w:val="21"/>
        </w:rPr>
        <w:t>, including mechanisms to encourage greater inter-ministerial and inter-agency coordination for enhanced planning, implementation, and monitoring in line with international standards.</w:t>
      </w:r>
    </w:p>
    <w:p w14:paraId="001DD1A1" w14:textId="4365BCCE" w:rsidR="00CE09F7" w:rsidRPr="00E746D6" w:rsidRDefault="00321770" w:rsidP="00DD35EC">
      <w:pPr>
        <w:spacing w:after="120" w:line="240" w:lineRule="auto"/>
        <w:ind w:right="-365"/>
        <w:jc w:val="both"/>
        <w:rPr>
          <w:rFonts w:cstheme="minorHAnsi"/>
          <w:sz w:val="21"/>
          <w:szCs w:val="21"/>
        </w:rPr>
      </w:pPr>
      <w:r w:rsidRPr="00E746D6">
        <w:rPr>
          <w:rFonts w:cstheme="minorHAnsi"/>
          <w:sz w:val="21"/>
          <w:szCs w:val="21"/>
        </w:rPr>
        <w:t xml:space="preserve">The authorities in </w:t>
      </w:r>
      <w:r w:rsidR="00CE09F7" w:rsidRPr="00E746D6">
        <w:rPr>
          <w:rFonts w:cstheme="minorHAnsi"/>
          <w:sz w:val="21"/>
          <w:szCs w:val="21"/>
        </w:rPr>
        <w:t>BiH and the UN system will employ cost-effective and coherent mechanisms to plan, finance, deliver, monitor and report on CF results and their expected contribution to priorities</w:t>
      </w:r>
      <w:r w:rsidR="001A3A27" w:rsidRPr="00E746D6">
        <w:rPr>
          <w:rFonts w:cstheme="minorHAnsi"/>
          <w:sz w:val="21"/>
          <w:szCs w:val="21"/>
        </w:rPr>
        <w:t xml:space="preserve"> in BiH</w:t>
      </w:r>
      <w:r w:rsidR="00CE09F7" w:rsidRPr="00E746D6">
        <w:rPr>
          <w:rFonts w:cstheme="minorHAnsi"/>
          <w:sz w:val="21"/>
          <w:szCs w:val="21"/>
        </w:rPr>
        <w:t xml:space="preserve"> and selected SDG targets. </w:t>
      </w:r>
      <w:r w:rsidR="00CE09F7" w:rsidRPr="00E746D6">
        <w:rPr>
          <w:sz w:val="21"/>
          <w:szCs w:val="21"/>
        </w:rPr>
        <w:t xml:space="preserve">Joint oversight will be exercised by a Steering Committee comprising the UN Resident Coordinator (RC), UN Country Team, and representatives of </w:t>
      </w:r>
      <w:r w:rsidR="001A3A27" w:rsidRPr="00E746D6">
        <w:rPr>
          <w:sz w:val="21"/>
          <w:szCs w:val="21"/>
        </w:rPr>
        <w:t xml:space="preserve">the authorities in </w:t>
      </w:r>
      <w:r w:rsidR="00CE09F7" w:rsidRPr="00E746D6">
        <w:rPr>
          <w:sz w:val="21"/>
          <w:szCs w:val="21"/>
        </w:rPr>
        <w:t xml:space="preserve">BiH. A Programme Management Team will provide technical coordination for effective implementation and performance monitoring on the basis of a detailed Joint Work Plan (JWP). The JWP is a key document to review progress on an annual basis, identify lessons, and </w:t>
      </w:r>
      <w:r w:rsidR="00CE09F7" w:rsidRPr="00E746D6">
        <w:rPr>
          <w:sz w:val="21"/>
          <w:szCs w:val="21"/>
          <w:lang w:val="en-US"/>
        </w:rPr>
        <w:t>adjust strategy and resources for greater impact</w:t>
      </w:r>
      <w:r w:rsidR="00CE09F7" w:rsidRPr="00E746D6">
        <w:rPr>
          <w:sz w:val="21"/>
          <w:szCs w:val="21"/>
        </w:rPr>
        <w:t xml:space="preserve">. </w:t>
      </w:r>
    </w:p>
    <w:p w14:paraId="12FFCE01" w14:textId="68E7EC09" w:rsidR="00CE09F7" w:rsidRPr="000D0273" w:rsidRDefault="00CE09F7" w:rsidP="00DD35EC">
      <w:pPr>
        <w:spacing w:after="120" w:line="240" w:lineRule="auto"/>
        <w:ind w:right="-365"/>
        <w:jc w:val="both"/>
        <w:rPr>
          <w:rFonts w:cstheme="minorHAnsi"/>
          <w:sz w:val="21"/>
          <w:szCs w:val="21"/>
        </w:rPr>
      </w:pPr>
      <w:r w:rsidRPr="00E746D6">
        <w:rPr>
          <w:rFonts w:cstheme="minorHAnsi"/>
          <w:sz w:val="21"/>
          <w:szCs w:val="21"/>
        </w:rPr>
        <w:t xml:space="preserve">The CF joins the work of the UN system in a single coherent framework that provides a platform for </w:t>
      </w:r>
      <w:r w:rsidRPr="00E746D6">
        <w:rPr>
          <w:rFonts w:cstheme="minorHAnsi"/>
          <w:bCs/>
          <w:sz w:val="21"/>
          <w:szCs w:val="21"/>
        </w:rPr>
        <w:t xml:space="preserve">common policy advice and advocacy </w:t>
      </w:r>
      <w:r w:rsidRPr="00E746D6">
        <w:rPr>
          <w:rFonts w:cstheme="minorHAnsi"/>
          <w:sz w:val="21"/>
          <w:szCs w:val="21"/>
        </w:rPr>
        <w:t>and</w:t>
      </w:r>
      <w:r w:rsidRPr="00E746D6">
        <w:rPr>
          <w:rFonts w:cstheme="minorHAnsi"/>
          <w:bCs/>
          <w:sz w:val="21"/>
          <w:szCs w:val="21"/>
        </w:rPr>
        <w:t xml:space="preserve"> stronger coordination and delivery</w:t>
      </w:r>
      <w:r w:rsidRPr="00E746D6">
        <w:rPr>
          <w:rFonts w:cstheme="minorHAnsi"/>
          <w:sz w:val="21"/>
          <w:szCs w:val="21"/>
        </w:rPr>
        <w:t xml:space="preserve"> of results in cooperation with </w:t>
      </w:r>
      <w:r w:rsidR="001A3A27" w:rsidRPr="00E746D6">
        <w:rPr>
          <w:rFonts w:cstheme="minorHAnsi"/>
          <w:sz w:val="21"/>
          <w:szCs w:val="21"/>
        </w:rPr>
        <w:t xml:space="preserve">the authorities in </w:t>
      </w:r>
      <w:r w:rsidRPr="00E746D6">
        <w:rPr>
          <w:rFonts w:cstheme="minorHAnsi"/>
          <w:sz w:val="21"/>
          <w:szCs w:val="21"/>
        </w:rPr>
        <w:t>BiH</w:t>
      </w:r>
      <w:r w:rsidRPr="00807757">
        <w:rPr>
          <w:rFonts w:cstheme="minorHAnsi"/>
          <w:sz w:val="21"/>
          <w:szCs w:val="21"/>
        </w:rPr>
        <w:t>, civil society, communities</w:t>
      </w:r>
      <w:r w:rsidR="00E30BC9" w:rsidRPr="00807757">
        <w:rPr>
          <w:rFonts w:cstheme="minorHAnsi"/>
          <w:sz w:val="21"/>
          <w:szCs w:val="21"/>
        </w:rPr>
        <w:t xml:space="preserve">, </w:t>
      </w:r>
      <w:r w:rsidR="00C546B5" w:rsidRPr="00807757">
        <w:rPr>
          <w:rFonts w:cstheme="minorHAnsi"/>
          <w:sz w:val="21"/>
          <w:szCs w:val="21"/>
        </w:rPr>
        <w:t xml:space="preserve">the </w:t>
      </w:r>
      <w:r w:rsidR="00E30BC9" w:rsidRPr="00807757">
        <w:rPr>
          <w:rFonts w:cstheme="minorHAnsi"/>
          <w:sz w:val="21"/>
          <w:szCs w:val="21"/>
        </w:rPr>
        <w:t>private sector, academia and international partners</w:t>
      </w:r>
      <w:r w:rsidRPr="00807757">
        <w:rPr>
          <w:rFonts w:cstheme="minorHAnsi"/>
          <w:sz w:val="21"/>
          <w:szCs w:val="21"/>
        </w:rPr>
        <w:t xml:space="preserve">. These results will support the ongoing transformation of the economy and society toward sustainable economic growth and inclusive prosperity with renewed efforts to give young women and men reasons to stay and to create a more prosperous future for </w:t>
      </w:r>
      <w:r w:rsidR="007D6CF7" w:rsidRPr="00807757">
        <w:rPr>
          <w:rFonts w:cstheme="minorHAnsi"/>
          <w:sz w:val="21"/>
          <w:szCs w:val="21"/>
        </w:rPr>
        <w:t>BiH</w:t>
      </w:r>
      <w:r w:rsidRPr="00807757">
        <w:rPr>
          <w:sz w:val="21"/>
          <w:szCs w:val="21"/>
          <w:vertAlign w:val="superscript"/>
        </w:rPr>
        <w:footnoteReference w:id="15"/>
      </w:r>
      <w:r w:rsidRPr="00807757">
        <w:rPr>
          <w:rFonts w:cstheme="minorHAnsi"/>
          <w:sz w:val="21"/>
          <w:szCs w:val="21"/>
        </w:rPr>
        <w:t>.</w:t>
      </w:r>
      <w:r w:rsidRPr="000D0273">
        <w:rPr>
          <w:rFonts w:cstheme="minorHAnsi"/>
          <w:sz w:val="21"/>
          <w:szCs w:val="21"/>
        </w:rPr>
        <w:t xml:space="preserve"> </w:t>
      </w:r>
    </w:p>
    <w:p w14:paraId="7947D8B6" w14:textId="77777777" w:rsidR="00CE09F7" w:rsidRPr="00944644" w:rsidRDefault="00CE09F7" w:rsidP="00A55B6D">
      <w:pPr>
        <w:spacing w:after="120" w:line="240" w:lineRule="auto"/>
        <w:jc w:val="both"/>
        <w:rPr>
          <w:sz w:val="21"/>
          <w:szCs w:val="21"/>
        </w:rPr>
      </w:pPr>
    </w:p>
    <w:p w14:paraId="4801AB56" w14:textId="77777777" w:rsidR="0017786C" w:rsidRPr="00944644" w:rsidRDefault="0017786C" w:rsidP="00A55B6D">
      <w:pPr>
        <w:spacing w:after="120" w:line="240" w:lineRule="auto"/>
        <w:jc w:val="both"/>
        <w:rPr>
          <w:b/>
          <w:color w:val="1F497D" w:themeColor="text2"/>
          <w:sz w:val="21"/>
          <w:szCs w:val="21"/>
        </w:rPr>
        <w:sectPr w:rsidR="0017786C" w:rsidRPr="00944644" w:rsidSect="00A55B6D">
          <w:headerReference w:type="even" r:id="rId14"/>
          <w:headerReference w:type="default" r:id="rId15"/>
          <w:footerReference w:type="default" r:id="rId16"/>
          <w:headerReference w:type="first" r:id="rId17"/>
          <w:pgSz w:w="12240" w:h="15840"/>
          <w:pgMar w:top="1440" w:right="1467" w:bottom="1135" w:left="1418"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start="1"/>
          <w:cols w:space="285"/>
          <w:docGrid w:linePitch="360"/>
        </w:sectPr>
      </w:pPr>
    </w:p>
    <w:p w14:paraId="0316E214" w14:textId="77777777" w:rsidR="00A51B91" w:rsidRPr="002D7CAA" w:rsidRDefault="00A51B91" w:rsidP="00A55B6D">
      <w:pPr>
        <w:spacing w:after="0" w:line="240" w:lineRule="auto"/>
        <w:jc w:val="both"/>
        <w:rPr>
          <w:b/>
          <w:color w:val="0F243E" w:themeColor="text2" w:themeShade="80"/>
          <w:sz w:val="20"/>
          <w:szCs w:val="20"/>
        </w:rPr>
      </w:pPr>
    </w:p>
    <w:p w14:paraId="2AB8173C" w14:textId="77777777" w:rsidR="00147561" w:rsidRPr="002914F1" w:rsidRDefault="00147561" w:rsidP="00A55B6D">
      <w:pPr>
        <w:spacing w:after="240" w:line="240" w:lineRule="auto"/>
        <w:jc w:val="both"/>
        <w:rPr>
          <w:b/>
          <w:color w:val="0F243E" w:themeColor="text2" w:themeShade="80"/>
          <w:sz w:val="32"/>
          <w:szCs w:val="32"/>
        </w:rPr>
      </w:pPr>
      <w:r w:rsidRPr="002914F1">
        <w:rPr>
          <w:b/>
          <w:color w:val="0F243E" w:themeColor="text2" w:themeShade="80"/>
          <w:sz w:val="32"/>
          <w:szCs w:val="32"/>
        </w:rPr>
        <w:t>Table of Contents</w:t>
      </w:r>
    </w:p>
    <w:p w14:paraId="2D55253D" w14:textId="77777777" w:rsidR="0004141C" w:rsidRPr="0004141C" w:rsidRDefault="00A51B91" w:rsidP="0004141C">
      <w:pPr>
        <w:pStyle w:val="TOC1"/>
        <w:rPr>
          <w:rFonts w:eastAsiaTheme="minorEastAsia"/>
          <w:color w:val="auto"/>
          <w:lang w:eastAsia="en-CA"/>
        </w:rPr>
      </w:pPr>
      <w:r w:rsidRPr="0004141C">
        <w:fldChar w:fldCharType="begin"/>
      </w:r>
      <w:r w:rsidRPr="0004141C">
        <w:instrText xml:space="preserve"> TOC \f \h \z </w:instrText>
      </w:r>
      <w:r w:rsidRPr="0004141C">
        <w:fldChar w:fldCharType="separate"/>
      </w:r>
      <w:hyperlink w:anchor="_Toc38899104" w:history="1">
        <w:r w:rsidR="0004141C" w:rsidRPr="0004141C">
          <w:rPr>
            <w:rStyle w:val="Hyperlink"/>
          </w:rPr>
          <w:t>Declaration of commitment</w:t>
        </w:r>
        <w:r w:rsidR="0004141C" w:rsidRPr="0004141C">
          <w:rPr>
            <w:webHidden/>
          </w:rPr>
          <w:tab/>
        </w:r>
        <w:r w:rsidR="0004141C" w:rsidRPr="0004141C">
          <w:rPr>
            <w:webHidden/>
          </w:rPr>
          <w:fldChar w:fldCharType="begin"/>
        </w:r>
        <w:r w:rsidR="0004141C" w:rsidRPr="0004141C">
          <w:rPr>
            <w:webHidden/>
          </w:rPr>
          <w:instrText xml:space="preserve"> PAGEREF _Toc38899104 \h </w:instrText>
        </w:r>
        <w:r w:rsidR="0004141C" w:rsidRPr="0004141C">
          <w:rPr>
            <w:webHidden/>
          </w:rPr>
        </w:r>
        <w:r w:rsidR="0004141C" w:rsidRPr="0004141C">
          <w:rPr>
            <w:webHidden/>
          </w:rPr>
          <w:fldChar w:fldCharType="separate"/>
        </w:r>
        <w:r w:rsidR="00A4249C">
          <w:rPr>
            <w:webHidden/>
          </w:rPr>
          <w:t>i</w:t>
        </w:r>
        <w:r w:rsidR="0004141C" w:rsidRPr="0004141C">
          <w:rPr>
            <w:webHidden/>
          </w:rPr>
          <w:fldChar w:fldCharType="end"/>
        </w:r>
      </w:hyperlink>
    </w:p>
    <w:p w14:paraId="36824E8E" w14:textId="28DE94DC" w:rsidR="0004141C" w:rsidRPr="0004141C" w:rsidRDefault="00CD1A14" w:rsidP="0004141C">
      <w:pPr>
        <w:pStyle w:val="TOC1"/>
        <w:rPr>
          <w:rFonts w:eastAsiaTheme="minorEastAsia"/>
          <w:color w:val="auto"/>
          <w:lang w:eastAsia="en-CA"/>
        </w:rPr>
      </w:pPr>
      <w:hyperlink w:anchor="_Toc38899105" w:history="1">
        <w:r w:rsidR="0004141C" w:rsidRPr="0004141C">
          <w:rPr>
            <w:rStyle w:val="Hyperlink"/>
            <w:b w:val="0"/>
          </w:rPr>
          <w:t>Signatures</w:t>
        </w:r>
        <w:r w:rsidR="0004141C" w:rsidRPr="0004141C">
          <w:rPr>
            <w:webHidden/>
          </w:rPr>
          <w:tab/>
        </w:r>
        <w:r w:rsidR="0004141C" w:rsidRPr="0004141C">
          <w:rPr>
            <w:webHidden/>
          </w:rPr>
          <w:fldChar w:fldCharType="begin"/>
        </w:r>
        <w:r w:rsidR="0004141C" w:rsidRPr="0004141C">
          <w:rPr>
            <w:webHidden/>
          </w:rPr>
          <w:instrText xml:space="preserve"> PAGEREF _Toc38899105 \h </w:instrText>
        </w:r>
        <w:r w:rsidR="0004141C" w:rsidRPr="0004141C">
          <w:rPr>
            <w:webHidden/>
          </w:rPr>
        </w:r>
        <w:r w:rsidR="0004141C" w:rsidRPr="0004141C">
          <w:rPr>
            <w:webHidden/>
          </w:rPr>
          <w:fldChar w:fldCharType="separate"/>
        </w:r>
        <w:r w:rsidR="00A4249C">
          <w:rPr>
            <w:webHidden/>
          </w:rPr>
          <w:t>ii</w:t>
        </w:r>
        <w:r w:rsidR="0004141C" w:rsidRPr="0004141C">
          <w:rPr>
            <w:webHidden/>
          </w:rPr>
          <w:fldChar w:fldCharType="end"/>
        </w:r>
      </w:hyperlink>
    </w:p>
    <w:p w14:paraId="400C7CAC" w14:textId="77777777" w:rsidR="0004141C" w:rsidRPr="0004141C" w:rsidRDefault="00CD1A14" w:rsidP="0004141C">
      <w:pPr>
        <w:pStyle w:val="TOC1"/>
        <w:rPr>
          <w:rFonts w:eastAsiaTheme="minorEastAsia"/>
          <w:color w:val="auto"/>
          <w:lang w:eastAsia="en-CA"/>
        </w:rPr>
      </w:pPr>
      <w:hyperlink w:anchor="_Toc38899106" w:history="1">
        <w:r w:rsidR="0004141C" w:rsidRPr="0004141C">
          <w:rPr>
            <w:rStyle w:val="Hyperlink"/>
            <w:b w:val="0"/>
          </w:rPr>
          <w:t>Executive Summary</w:t>
        </w:r>
        <w:r w:rsidR="0004141C" w:rsidRPr="0004141C">
          <w:rPr>
            <w:webHidden/>
          </w:rPr>
          <w:tab/>
        </w:r>
        <w:r w:rsidR="0004141C" w:rsidRPr="0004141C">
          <w:rPr>
            <w:webHidden/>
          </w:rPr>
          <w:fldChar w:fldCharType="begin"/>
        </w:r>
        <w:r w:rsidR="0004141C" w:rsidRPr="0004141C">
          <w:rPr>
            <w:webHidden/>
          </w:rPr>
          <w:instrText xml:space="preserve"> PAGEREF _Toc38899106 \h </w:instrText>
        </w:r>
        <w:r w:rsidR="0004141C" w:rsidRPr="0004141C">
          <w:rPr>
            <w:webHidden/>
          </w:rPr>
        </w:r>
        <w:r w:rsidR="0004141C" w:rsidRPr="0004141C">
          <w:rPr>
            <w:webHidden/>
          </w:rPr>
          <w:fldChar w:fldCharType="separate"/>
        </w:r>
        <w:r w:rsidR="00A4249C">
          <w:rPr>
            <w:webHidden/>
          </w:rPr>
          <w:t>iii</w:t>
        </w:r>
        <w:r w:rsidR="0004141C" w:rsidRPr="0004141C">
          <w:rPr>
            <w:webHidden/>
          </w:rPr>
          <w:fldChar w:fldCharType="end"/>
        </w:r>
      </w:hyperlink>
    </w:p>
    <w:p w14:paraId="3A179938"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07" w:history="1">
        <w:r w:rsidR="0004141C" w:rsidRPr="0004141C">
          <w:rPr>
            <w:rStyle w:val="Hyperlink"/>
            <w:noProof/>
            <w:sz w:val="21"/>
            <w:szCs w:val="21"/>
          </w:rPr>
          <w:t>Acronymns and Abbreviations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_Toc38899107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vii</w:t>
        </w:r>
        <w:r w:rsidR="0004141C" w:rsidRPr="0004141C">
          <w:rPr>
            <w:noProof/>
            <w:webHidden/>
            <w:sz w:val="21"/>
            <w:szCs w:val="21"/>
          </w:rPr>
          <w:fldChar w:fldCharType="end"/>
        </w:r>
      </w:hyperlink>
    </w:p>
    <w:p w14:paraId="365DBECE" w14:textId="77777777" w:rsidR="0004141C" w:rsidRPr="0004141C" w:rsidRDefault="00CD1A14" w:rsidP="0004141C">
      <w:pPr>
        <w:pStyle w:val="TOC1"/>
        <w:rPr>
          <w:rFonts w:eastAsiaTheme="minorEastAsia"/>
          <w:color w:val="auto"/>
          <w:lang w:eastAsia="en-CA"/>
        </w:rPr>
      </w:pPr>
      <w:hyperlink w:anchor="_Toc38899108" w:history="1">
        <w:r w:rsidR="0004141C" w:rsidRPr="0004141C">
          <w:rPr>
            <w:rStyle w:val="Hyperlink"/>
          </w:rPr>
          <w:t>1. Introduction</w:t>
        </w:r>
        <w:r w:rsidR="0004141C" w:rsidRPr="0004141C">
          <w:rPr>
            <w:webHidden/>
          </w:rPr>
          <w:tab/>
        </w:r>
        <w:r w:rsidR="0004141C" w:rsidRPr="0004141C">
          <w:rPr>
            <w:webHidden/>
          </w:rPr>
          <w:fldChar w:fldCharType="begin"/>
        </w:r>
        <w:r w:rsidR="0004141C" w:rsidRPr="0004141C">
          <w:rPr>
            <w:webHidden/>
          </w:rPr>
          <w:instrText xml:space="preserve"> PAGEREF _Toc38899108 \h </w:instrText>
        </w:r>
        <w:r w:rsidR="0004141C" w:rsidRPr="0004141C">
          <w:rPr>
            <w:webHidden/>
          </w:rPr>
        </w:r>
        <w:r w:rsidR="0004141C" w:rsidRPr="0004141C">
          <w:rPr>
            <w:webHidden/>
          </w:rPr>
          <w:fldChar w:fldCharType="separate"/>
        </w:r>
        <w:r w:rsidR="00A4249C">
          <w:rPr>
            <w:webHidden/>
          </w:rPr>
          <w:t>1</w:t>
        </w:r>
        <w:r w:rsidR="0004141C" w:rsidRPr="0004141C">
          <w:rPr>
            <w:webHidden/>
          </w:rPr>
          <w:fldChar w:fldCharType="end"/>
        </w:r>
      </w:hyperlink>
    </w:p>
    <w:p w14:paraId="456DA6EC"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09" w:history="1">
        <w:r w:rsidR="0004141C" w:rsidRPr="0004141C">
          <w:rPr>
            <w:rStyle w:val="Hyperlink"/>
            <w:rFonts w:cstheme="minorHAnsi"/>
            <w:noProof/>
            <w:sz w:val="21"/>
            <w:szCs w:val="21"/>
          </w:rPr>
          <w:t>1.1 Purpose of the Cooperation Framework</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_Toc38899109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1</w:t>
        </w:r>
        <w:r w:rsidR="0004141C" w:rsidRPr="0004141C">
          <w:rPr>
            <w:noProof/>
            <w:webHidden/>
            <w:sz w:val="21"/>
            <w:szCs w:val="21"/>
          </w:rPr>
          <w:fldChar w:fldCharType="end"/>
        </w:r>
      </w:hyperlink>
    </w:p>
    <w:p w14:paraId="1AA98D85"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0" w:history="1">
        <w:r w:rsidR="0004141C" w:rsidRPr="0004141C">
          <w:rPr>
            <w:rStyle w:val="Hyperlink"/>
            <w:noProof/>
            <w:sz w:val="21"/>
            <w:szCs w:val="21"/>
          </w:rPr>
          <w:t>1.2 Structure of the Cooperation Framework</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_Toc38899110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w:t>
        </w:r>
        <w:r w:rsidR="0004141C" w:rsidRPr="0004141C">
          <w:rPr>
            <w:noProof/>
            <w:webHidden/>
            <w:sz w:val="21"/>
            <w:szCs w:val="21"/>
          </w:rPr>
          <w:fldChar w:fldCharType="end"/>
        </w:r>
      </w:hyperlink>
    </w:p>
    <w:p w14:paraId="75A6DC5D" w14:textId="77777777" w:rsidR="0004141C" w:rsidRPr="0004141C" w:rsidRDefault="00CD1A14" w:rsidP="0004141C">
      <w:pPr>
        <w:pStyle w:val="TOC1"/>
        <w:rPr>
          <w:rFonts w:eastAsiaTheme="minorEastAsia"/>
          <w:color w:val="auto"/>
          <w:lang w:eastAsia="en-CA"/>
        </w:rPr>
      </w:pPr>
      <w:hyperlink w:anchor="_Toc38899111" w:history="1">
        <w:r w:rsidR="0004141C" w:rsidRPr="0004141C">
          <w:rPr>
            <w:rStyle w:val="Hyperlink"/>
          </w:rPr>
          <w:t>2. Country progress toward the 2030 Agenda</w:t>
        </w:r>
        <w:r w:rsidR="0004141C" w:rsidRPr="0004141C">
          <w:rPr>
            <w:webHidden/>
          </w:rPr>
          <w:tab/>
        </w:r>
        <w:r w:rsidR="0004141C" w:rsidRPr="0004141C">
          <w:rPr>
            <w:webHidden/>
          </w:rPr>
          <w:fldChar w:fldCharType="begin"/>
        </w:r>
        <w:r w:rsidR="0004141C" w:rsidRPr="0004141C">
          <w:rPr>
            <w:webHidden/>
          </w:rPr>
          <w:instrText xml:space="preserve"> PAGEREF _Toc38899111 \h </w:instrText>
        </w:r>
        <w:r w:rsidR="0004141C" w:rsidRPr="0004141C">
          <w:rPr>
            <w:webHidden/>
          </w:rPr>
        </w:r>
        <w:r w:rsidR="0004141C" w:rsidRPr="0004141C">
          <w:rPr>
            <w:webHidden/>
          </w:rPr>
          <w:fldChar w:fldCharType="separate"/>
        </w:r>
        <w:r w:rsidR="00A4249C">
          <w:rPr>
            <w:webHidden/>
          </w:rPr>
          <w:t>2</w:t>
        </w:r>
        <w:r w:rsidR="0004141C" w:rsidRPr="0004141C">
          <w:rPr>
            <w:webHidden/>
          </w:rPr>
          <w:fldChar w:fldCharType="end"/>
        </w:r>
      </w:hyperlink>
    </w:p>
    <w:p w14:paraId="1D60CCB4"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2" w:history="1">
        <w:r w:rsidR="0004141C" w:rsidRPr="0004141C">
          <w:rPr>
            <w:rStyle w:val="Hyperlink"/>
            <w:rFonts w:cstheme="minorHAnsi"/>
            <w:noProof/>
            <w:sz w:val="21"/>
            <w:szCs w:val="21"/>
          </w:rPr>
          <w:t>2.1 Country context</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_Toc38899112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w:t>
        </w:r>
        <w:r w:rsidR="0004141C" w:rsidRPr="0004141C">
          <w:rPr>
            <w:noProof/>
            <w:webHidden/>
            <w:sz w:val="21"/>
            <w:szCs w:val="21"/>
          </w:rPr>
          <w:fldChar w:fldCharType="end"/>
        </w:r>
      </w:hyperlink>
    </w:p>
    <w:p w14:paraId="2599E50B"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3" w:history="1">
        <w:r w:rsidR="0004141C" w:rsidRPr="0004141C">
          <w:rPr>
            <w:rStyle w:val="Hyperlink"/>
            <w:rFonts w:cstheme="minorHAnsi"/>
            <w:noProof/>
            <w:sz w:val="21"/>
            <w:szCs w:val="21"/>
            <w:lang w:bidi="en-US"/>
          </w:rPr>
          <w:t>2.2 Vision for sustainable development</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_Toc38899113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5</w:t>
        </w:r>
        <w:r w:rsidR="0004141C" w:rsidRPr="0004141C">
          <w:rPr>
            <w:noProof/>
            <w:webHidden/>
            <w:sz w:val="21"/>
            <w:szCs w:val="21"/>
          </w:rPr>
          <w:fldChar w:fldCharType="end"/>
        </w:r>
      </w:hyperlink>
    </w:p>
    <w:p w14:paraId="1BF48DB2"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4" w:history="1">
        <w:r w:rsidR="0004141C" w:rsidRPr="0004141C">
          <w:rPr>
            <w:rStyle w:val="Hyperlink"/>
            <w:noProof/>
            <w:sz w:val="21"/>
            <w:szCs w:val="21"/>
          </w:rPr>
          <w:t>2</w:t>
        </w:r>
        <w:r w:rsidR="0004141C" w:rsidRPr="0004141C">
          <w:rPr>
            <w:rStyle w:val="Hyperlink"/>
            <w:noProof/>
            <w:sz w:val="21"/>
            <w:szCs w:val="21"/>
            <w:lang w:bidi="en-US"/>
          </w:rPr>
          <w:t>.3 Progress toward the SDGs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_Toc38899114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5</w:t>
        </w:r>
        <w:r w:rsidR="0004141C" w:rsidRPr="0004141C">
          <w:rPr>
            <w:noProof/>
            <w:webHidden/>
            <w:sz w:val="21"/>
            <w:szCs w:val="21"/>
          </w:rPr>
          <w:fldChar w:fldCharType="end"/>
        </w:r>
      </w:hyperlink>
    </w:p>
    <w:p w14:paraId="0FECB012"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5" w:history="1">
        <w:r w:rsidR="0004141C" w:rsidRPr="0004141C">
          <w:rPr>
            <w:rStyle w:val="Hyperlink"/>
            <w:noProof/>
            <w:sz w:val="21"/>
            <w:szCs w:val="21"/>
            <w:lang w:bidi="en-US"/>
          </w:rPr>
          <w:t>2.4  Gaps and challenges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_Toc38899115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6</w:t>
        </w:r>
        <w:r w:rsidR="0004141C" w:rsidRPr="0004141C">
          <w:rPr>
            <w:noProof/>
            <w:webHidden/>
            <w:sz w:val="21"/>
            <w:szCs w:val="21"/>
          </w:rPr>
          <w:fldChar w:fldCharType="end"/>
        </w:r>
      </w:hyperlink>
    </w:p>
    <w:p w14:paraId="062B642E" w14:textId="77777777" w:rsidR="0004141C" w:rsidRPr="0004141C" w:rsidRDefault="00CD1A14" w:rsidP="0004141C">
      <w:pPr>
        <w:pStyle w:val="TOC1"/>
        <w:rPr>
          <w:rFonts w:eastAsiaTheme="minorEastAsia"/>
          <w:color w:val="auto"/>
          <w:lang w:eastAsia="en-CA"/>
        </w:rPr>
      </w:pPr>
      <w:hyperlink w:anchor="_Toc38899116" w:history="1">
        <w:r w:rsidR="0004141C" w:rsidRPr="0004141C">
          <w:rPr>
            <w:rStyle w:val="Hyperlink"/>
          </w:rPr>
          <w:t>3. Cooperation for the 2030 Agenda</w:t>
        </w:r>
        <w:r w:rsidR="0004141C" w:rsidRPr="0004141C">
          <w:rPr>
            <w:webHidden/>
          </w:rPr>
          <w:tab/>
        </w:r>
        <w:r w:rsidR="0004141C" w:rsidRPr="0004141C">
          <w:rPr>
            <w:webHidden/>
          </w:rPr>
          <w:fldChar w:fldCharType="begin"/>
        </w:r>
        <w:r w:rsidR="0004141C" w:rsidRPr="0004141C">
          <w:rPr>
            <w:webHidden/>
          </w:rPr>
          <w:instrText xml:space="preserve"> PAGEREF _Toc38899116 \h </w:instrText>
        </w:r>
        <w:r w:rsidR="0004141C" w:rsidRPr="0004141C">
          <w:rPr>
            <w:webHidden/>
          </w:rPr>
        </w:r>
        <w:r w:rsidR="0004141C" w:rsidRPr="0004141C">
          <w:rPr>
            <w:webHidden/>
          </w:rPr>
          <w:fldChar w:fldCharType="separate"/>
        </w:r>
        <w:r w:rsidR="00A4249C">
          <w:rPr>
            <w:webHidden/>
          </w:rPr>
          <w:t>9</w:t>
        </w:r>
        <w:r w:rsidR="0004141C" w:rsidRPr="0004141C">
          <w:rPr>
            <w:webHidden/>
          </w:rPr>
          <w:fldChar w:fldCharType="end"/>
        </w:r>
      </w:hyperlink>
    </w:p>
    <w:p w14:paraId="49AEF0AF"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7" w:history="1">
        <w:r w:rsidR="0004141C" w:rsidRPr="0004141C">
          <w:rPr>
            <w:rStyle w:val="Hyperlink"/>
            <w:rFonts w:cstheme="minorHAnsi"/>
            <w:noProof/>
            <w:sz w:val="21"/>
            <w:szCs w:val="21"/>
          </w:rPr>
          <w:t>3.1 Theory of change</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_Toc38899117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9</w:t>
        </w:r>
        <w:r w:rsidR="0004141C" w:rsidRPr="0004141C">
          <w:rPr>
            <w:noProof/>
            <w:webHidden/>
            <w:sz w:val="21"/>
            <w:szCs w:val="21"/>
          </w:rPr>
          <w:fldChar w:fldCharType="end"/>
        </w:r>
      </w:hyperlink>
    </w:p>
    <w:p w14:paraId="57543759"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8" w:history="1">
        <w:r w:rsidR="0004141C" w:rsidRPr="0004141C">
          <w:rPr>
            <w:rStyle w:val="Hyperlink"/>
            <w:rFonts w:cstheme="minorHAnsi"/>
            <w:noProof/>
            <w:sz w:val="21"/>
            <w:szCs w:val="21"/>
          </w:rPr>
          <w:t>3.2 Strategic priorities for cooperation</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_Toc38899118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11</w:t>
        </w:r>
        <w:r w:rsidR="0004141C" w:rsidRPr="0004141C">
          <w:rPr>
            <w:noProof/>
            <w:webHidden/>
            <w:sz w:val="21"/>
            <w:szCs w:val="21"/>
          </w:rPr>
          <w:fldChar w:fldCharType="end"/>
        </w:r>
      </w:hyperlink>
    </w:p>
    <w:p w14:paraId="54DC4000"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19" w:history="1">
        <w:r w:rsidR="0004141C" w:rsidRPr="0004141C">
          <w:rPr>
            <w:rStyle w:val="Hyperlink"/>
            <w:rFonts w:cstheme="minorHAnsi"/>
            <w:noProof/>
            <w:sz w:val="21"/>
            <w:szCs w:val="21"/>
          </w:rPr>
          <w:t>3.3 Intended development results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_Toc38899119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13</w:t>
        </w:r>
        <w:r w:rsidR="0004141C" w:rsidRPr="0004141C">
          <w:rPr>
            <w:noProof/>
            <w:webHidden/>
            <w:sz w:val="21"/>
            <w:szCs w:val="21"/>
          </w:rPr>
          <w:fldChar w:fldCharType="end"/>
        </w:r>
      </w:hyperlink>
    </w:p>
    <w:p w14:paraId="209024B5"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20" w:history="1">
        <w:r w:rsidR="0004141C" w:rsidRPr="0004141C">
          <w:rPr>
            <w:rStyle w:val="Hyperlink"/>
            <w:rFonts w:cstheme="minorHAnsi"/>
            <w:noProof/>
            <w:sz w:val="21"/>
            <w:szCs w:val="21"/>
          </w:rPr>
          <w:t>3.4 Cooperation outcomes, strategies, and partners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_Toc38899120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15</w:t>
        </w:r>
        <w:r w:rsidR="0004141C" w:rsidRPr="0004141C">
          <w:rPr>
            <w:noProof/>
            <w:webHidden/>
            <w:sz w:val="21"/>
            <w:szCs w:val="21"/>
          </w:rPr>
          <w:fldChar w:fldCharType="end"/>
        </w:r>
      </w:hyperlink>
    </w:p>
    <w:p w14:paraId="54DCEC06" w14:textId="77777777" w:rsidR="0004141C" w:rsidRPr="0004141C" w:rsidRDefault="00CD1A14" w:rsidP="0004141C">
      <w:pPr>
        <w:pStyle w:val="TOC2"/>
        <w:tabs>
          <w:tab w:val="right" w:leader="dot" w:pos="9345"/>
        </w:tabs>
        <w:spacing w:after="60" w:line="240" w:lineRule="auto"/>
        <w:ind w:firstLine="347"/>
        <w:rPr>
          <w:rFonts w:eastAsiaTheme="minorEastAsia"/>
          <w:noProof/>
          <w:sz w:val="21"/>
          <w:szCs w:val="21"/>
          <w:lang w:eastAsia="en-CA"/>
        </w:rPr>
      </w:pPr>
      <w:hyperlink w:anchor="_Toc38899121" w:history="1">
        <w:r w:rsidR="0004141C" w:rsidRPr="0004141C">
          <w:rPr>
            <w:rStyle w:val="Hyperlink"/>
            <w:noProof/>
            <w:sz w:val="21"/>
            <w:szCs w:val="21"/>
          </w:rPr>
          <w:t>I. Sustainable, resilient and inclusive growth</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_Toc38899121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16</w:t>
        </w:r>
        <w:r w:rsidR="0004141C" w:rsidRPr="0004141C">
          <w:rPr>
            <w:noProof/>
            <w:webHidden/>
            <w:sz w:val="21"/>
            <w:szCs w:val="21"/>
          </w:rPr>
          <w:fldChar w:fldCharType="end"/>
        </w:r>
      </w:hyperlink>
    </w:p>
    <w:p w14:paraId="3A578BD4" w14:textId="77777777" w:rsidR="0004141C" w:rsidRPr="0004141C" w:rsidRDefault="00CD1A14" w:rsidP="0004141C">
      <w:pPr>
        <w:pStyle w:val="TOC2"/>
        <w:tabs>
          <w:tab w:val="right" w:leader="dot" w:pos="9345"/>
        </w:tabs>
        <w:spacing w:after="60" w:line="240" w:lineRule="auto"/>
        <w:ind w:firstLine="347"/>
        <w:rPr>
          <w:rFonts w:eastAsiaTheme="minorEastAsia"/>
          <w:noProof/>
          <w:sz w:val="21"/>
          <w:szCs w:val="21"/>
          <w:lang w:eastAsia="en-CA"/>
        </w:rPr>
      </w:pPr>
      <w:hyperlink w:anchor="_Toc38899122" w:history="1">
        <w:r w:rsidR="0004141C" w:rsidRPr="0004141C">
          <w:rPr>
            <w:rStyle w:val="Hyperlink"/>
            <w:noProof/>
            <w:sz w:val="21"/>
            <w:szCs w:val="21"/>
          </w:rPr>
          <w:t>II. Quality, accessible and inclusive education, health and social protection</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_Toc38899122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18</w:t>
        </w:r>
        <w:r w:rsidR="0004141C" w:rsidRPr="0004141C">
          <w:rPr>
            <w:noProof/>
            <w:webHidden/>
            <w:sz w:val="21"/>
            <w:szCs w:val="21"/>
          </w:rPr>
          <w:fldChar w:fldCharType="end"/>
        </w:r>
      </w:hyperlink>
    </w:p>
    <w:p w14:paraId="4B9C2233" w14:textId="77777777" w:rsidR="0004141C" w:rsidRPr="0004141C" w:rsidRDefault="00CD1A14" w:rsidP="0004141C">
      <w:pPr>
        <w:pStyle w:val="TOC2"/>
        <w:tabs>
          <w:tab w:val="right" w:leader="dot" w:pos="9345"/>
        </w:tabs>
        <w:spacing w:after="60" w:line="240" w:lineRule="auto"/>
        <w:ind w:firstLine="347"/>
        <w:rPr>
          <w:rFonts w:eastAsiaTheme="minorEastAsia"/>
          <w:noProof/>
          <w:sz w:val="21"/>
          <w:szCs w:val="21"/>
          <w:lang w:eastAsia="en-CA"/>
        </w:rPr>
      </w:pPr>
      <w:hyperlink w:anchor="_Toc38899123" w:history="1">
        <w:r w:rsidR="0004141C" w:rsidRPr="0004141C">
          <w:rPr>
            <w:rStyle w:val="Hyperlink"/>
            <w:noProof/>
            <w:sz w:val="21"/>
            <w:szCs w:val="21"/>
          </w:rPr>
          <w:t>III. People centered governance and rule of law</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_Toc38899123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22</w:t>
        </w:r>
        <w:r w:rsidR="0004141C" w:rsidRPr="0004141C">
          <w:rPr>
            <w:noProof/>
            <w:webHidden/>
            <w:sz w:val="21"/>
            <w:szCs w:val="21"/>
          </w:rPr>
          <w:fldChar w:fldCharType="end"/>
        </w:r>
      </w:hyperlink>
    </w:p>
    <w:p w14:paraId="3FD8E4BB" w14:textId="77777777" w:rsidR="0004141C" w:rsidRPr="0004141C" w:rsidRDefault="00CD1A14" w:rsidP="0004141C">
      <w:pPr>
        <w:pStyle w:val="TOC2"/>
        <w:tabs>
          <w:tab w:val="right" w:leader="dot" w:pos="9345"/>
        </w:tabs>
        <w:spacing w:after="60" w:line="240" w:lineRule="auto"/>
        <w:ind w:firstLine="347"/>
        <w:rPr>
          <w:rFonts w:eastAsiaTheme="minorEastAsia"/>
          <w:noProof/>
          <w:sz w:val="21"/>
          <w:szCs w:val="21"/>
          <w:lang w:eastAsia="en-CA"/>
        </w:rPr>
      </w:pPr>
      <w:hyperlink w:anchor="_Toc38899124" w:history="1">
        <w:r w:rsidR="0004141C" w:rsidRPr="0004141C">
          <w:rPr>
            <w:rStyle w:val="Hyperlink"/>
            <w:noProof/>
            <w:sz w:val="21"/>
            <w:szCs w:val="21"/>
          </w:rPr>
          <w:t>IV. Citizen and community engagement for social cohesion</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_Toc38899124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25</w:t>
        </w:r>
        <w:r w:rsidR="0004141C" w:rsidRPr="0004141C">
          <w:rPr>
            <w:noProof/>
            <w:webHidden/>
            <w:sz w:val="21"/>
            <w:szCs w:val="21"/>
          </w:rPr>
          <w:fldChar w:fldCharType="end"/>
        </w:r>
      </w:hyperlink>
    </w:p>
    <w:p w14:paraId="7ECBAA7A"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25" w:history="1">
        <w:r w:rsidR="0004141C" w:rsidRPr="0004141C">
          <w:rPr>
            <w:rStyle w:val="Hyperlink"/>
            <w:noProof/>
            <w:sz w:val="21"/>
            <w:szCs w:val="21"/>
          </w:rPr>
          <w:t>3.5 Synergies between outcomes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_Toc38899125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26</w:t>
        </w:r>
        <w:r w:rsidR="0004141C" w:rsidRPr="0004141C">
          <w:rPr>
            <w:noProof/>
            <w:webHidden/>
            <w:sz w:val="21"/>
            <w:szCs w:val="21"/>
          </w:rPr>
          <w:fldChar w:fldCharType="end"/>
        </w:r>
      </w:hyperlink>
    </w:p>
    <w:p w14:paraId="665814A3"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26" w:history="1">
        <w:r w:rsidR="0004141C" w:rsidRPr="0004141C">
          <w:rPr>
            <w:rStyle w:val="Hyperlink"/>
            <w:noProof/>
            <w:sz w:val="21"/>
            <w:szCs w:val="21"/>
          </w:rPr>
          <w:t>3.6 Sustainability</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_Toc38899126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28</w:t>
        </w:r>
        <w:r w:rsidR="0004141C" w:rsidRPr="0004141C">
          <w:rPr>
            <w:noProof/>
            <w:webHidden/>
            <w:sz w:val="21"/>
            <w:szCs w:val="21"/>
          </w:rPr>
          <w:fldChar w:fldCharType="end"/>
        </w:r>
      </w:hyperlink>
    </w:p>
    <w:p w14:paraId="5C1C96E4"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27" w:history="1">
        <w:r w:rsidR="0004141C" w:rsidRPr="0004141C">
          <w:rPr>
            <w:rStyle w:val="Hyperlink"/>
            <w:noProof/>
            <w:sz w:val="21"/>
            <w:szCs w:val="21"/>
          </w:rPr>
          <w:t>3.7 UN comparative advantages and UNCT configuration</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_Toc38899127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28</w:t>
        </w:r>
        <w:r w:rsidR="0004141C" w:rsidRPr="0004141C">
          <w:rPr>
            <w:noProof/>
            <w:webHidden/>
            <w:sz w:val="21"/>
            <w:szCs w:val="21"/>
          </w:rPr>
          <w:fldChar w:fldCharType="end"/>
        </w:r>
      </w:hyperlink>
    </w:p>
    <w:p w14:paraId="4FD59553" w14:textId="77777777" w:rsidR="0004141C" w:rsidRPr="0004141C" w:rsidRDefault="00CD1A14" w:rsidP="0004141C">
      <w:pPr>
        <w:pStyle w:val="TOC1"/>
        <w:rPr>
          <w:rFonts w:eastAsiaTheme="minorEastAsia"/>
          <w:color w:val="auto"/>
          <w:lang w:eastAsia="en-CA"/>
        </w:rPr>
      </w:pPr>
      <w:hyperlink w:anchor="_Toc38899128" w:history="1">
        <w:r w:rsidR="0004141C" w:rsidRPr="0004141C">
          <w:rPr>
            <w:rStyle w:val="Hyperlink"/>
            <w:rFonts w:eastAsia="Times New Roman" w:cstheme="minorHAnsi"/>
            <w:lang w:val="en-US"/>
          </w:rPr>
          <w:t>4. Implementation plan</w:t>
        </w:r>
        <w:r w:rsidR="0004141C" w:rsidRPr="0004141C">
          <w:rPr>
            <w:webHidden/>
          </w:rPr>
          <w:tab/>
        </w:r>
        <w:r w:rsidR="0004141C" w:rsidRPr="0004141C">
          <w:rPr>
            <w:webHidden/>
          </w:rPr>
          <w:fldChar w:fldCharType="begin"/>
        </w:r>
        <w:r w:rsidR="0004141C" w:rsidRPr="0004141C">
          <w:rPr>
            <w:webHidden/>
          </w:rPr>
          <w:instrText xml:space="preserve"> PAGEREF _Toc38899128 \h </w:instrText>
        </w:r>
        <w:r w:rsidR="0004141C" w:rsidRPr="0004141C">
          <w:rPr>
            <w:webHidden/>
          </w:rPr>
        </w:r>
        <w:r w:rsidR="0004141C" w:rsidRPr="0004141C">
          <w:rPr>
            <w:webHidden/>
          </w:rPr>
          <w:fldChar w:fldCharType="separate"/>
        </w:r>
        <w:r w:rsidR="00A4249C">
          <w:rPr>
            <w:webHidden/>
          </w:rPr>
          <w:t>29</w:t>
        </w:r>
        <w:r w:rsidR="0004141C" w:rsidRPr="0004141C">
          <w:rPr>
            <w:webHidden/>
          </w:rPr>
          <w:fldChar w:fldCharType="end"/>
        </w:r>
      </w:hyperlink>
    </w:p>
    <w:p w14:paraId="4FCE6B97"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29" w:history="1">
        <w:r w:rsidR="0004141C" w:rsidRPr="0004141C">
          <w:rPr>
            <w:rStyle w:val="Hyperlink"/>
            <w:noProof/>
            <w:sz w:val="21"/>
            <w:szCs w:val="21"/>
          </w:rPr>
          <w:t>4.1 Implementation strategy and strategic partnerships</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_Toc38899129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29</w:t>
        </w:r>
        <w:r w:rsidR="0004141C" w:rsidRPr="0004141C">
          <w:rPr>
            <w:noProof/>
            <w:webHidden/>
            <w:sz w:val="21"/>
            <w:szCs w:val="21"/>
          </w:rPr>
          <w:fldChar w:fldCharType="end"/>
        </w:r>
      </w:hyperlink>
    </w:p>
    <w:p w14:paraId="3D0262E9"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30" w:history="1">
        <w:r w:rsidR="0004141C" w:rsidRPr="0004141C">
          <w:rPr>
            <w:rStyle w:val="Hyperlink"/>
            <w:noProof/>
            <w:sz w:val="21"/>
            <w:szCs w:val="21"/>
          </w:rPr>
          <w:t>4.2 Governance</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_Toc38899130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30</w:t>
        </w:r>
        <w:r w:rsidR="0004141C" w:rsidRPr="0004141C">
          <w:rPr>
            <w:noProof/>
            <w:webHidden/>
            <w:sz w:val="21"/>
            <w:szCs w:val="21"/>
          </w:rPr>
          <w:fldChar w:fldCharType="end"/>
        </w:r>
      </w:hyperlink>
    </w:p>
    <w:p w14:paraId="1F99636E" w14:textId="77777777" w:rsidR="0004141C" w:rsidRPr="0004141C" w:rsidRDefault="00CD1A14" w:rsidP="0004141C">
      <w:pPr>
        <w:pStyle w:val="TOC1"/>
        <w:rPr>
          <w:rFonts w:eastAsiaTheme="minorEastAsia"/>
          <w:color w:val="auto"/>
          <w:lang w:eastAsia="en-CA"/>
        </w:rPr>
      </w:pPr>
      <w:hyperlink w:anchor="_Toc38899131" w:history="1">
        <w:r w:rsidR="0004141C" w:rsidRPr="0004141C">
          <w:rPr>
            <w:rStyle w:val="Hyperlink"/>
          </w:rPr>
          <w:t>5. Monitoring and evaluation</w:t>
        </w:r>
        <w:r w:rsidR="0004141C" w:rsidRPr="0004141C">
          <w:rPr>
            <w:webHidden/>
          </w:rPr>
          <w:tab/>
        </w:r>
        <w:r w:rsidR="0004141C" w:rsidRPr="0004141C">
          <w:rPr>
            <w:webHidden/>
          </w:rPr>
          <w:fldChar w:fldCharType="begin"/>
        </w:r>
        <w:r w:rsidR="0004141C" w:rsidRPr="0004141C">
          <w:rPr>
            <w:webHidden/>
          </w:rPr>
          <w:instrText xml:space="preserve"> PAGEREF _Toc38899131 \h </w:instrText>
        </w:r>
        <w:r w:rsidR="0004141C" w:rsidRPr="0004141C">
          <w:rPr>
            <w:webHidden/>
          </w:rPr>
        </w:r>
        <w:r w:rsidR="0004141C" w:rsidRPr="0004141C">
          <w:rPr>
            <w:webHidden/>
          </w:rPr>
          <w:fldChar w:fldCharType="separate"/>
        </w:r>
        <w:r w:rsidR="00A4249C">
          <w:rPr>
            <w:webHidden/>
          </w:rPr>
          <w:t>35</w:t>
        </w:r>
        <w:r w:rsidR="0004141C" w:rsidRPr="0004141C">
          <w:rPr>
            <w:webHidden/>
          </w:rPr>
          <w:fldChar w:fldCharType="end"/>
        </w:r>
      </w:hyperlink>
    </w:p>
    <w:p w14:paraId="5A88442F"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32" w:history="1">
        <w:r w:rsidR="0004141C" w:rsidRPr="0004141C">
          <w:rPr>
            <w:rStyle w:val="Hyperlink"/>
            <w:noProof/>
            <w:sz w:val="21"/>
            <w:szCs w:val="21"/>
            <w:lang w:bidi="en-US"/>
          </w:rPr>
          <w:t>5.1 Monitoring plan</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_Toc38899132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35</w:t>
        </w:r>
        <w:r w:rsidR="0004141C" w:rsidRPr="0004141C">
          <w:rPr>
            <w:noProof/>
            <w:webHidden/>
            <w:sz w:val="21"/>
            <w:szCs w:val="21"/>
          </w:rPr>
          <w:fldChar w:fldCharType="end"/>
        </w:r>
      </w:hyperlink>
    </w:p>
    <w:p w14:paraId="38AC9505"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33" w:history="1">
        <w:r w:rsidR="0004141C" w:rsidRPr="0004141C">
          <w:rPr>
            <w:rStyle w:val="Hyperlink"/>
            <w:noProof/>
            <w:sz w:val="21"/>
            <w:szCs w:val="21"/>
            <w:lang w:bidi="en-US"/>
          </w:rPr>
          <w:t>5.2 Review and reporting</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_Toc38899133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36</w:t>
        </w:r>
        <w:r w:rsidR="0004141C" w:rsidRPr="0004141C">
          <w:rPr>
            <w:noProof/>
            <w:webHidden/>
            <w:sz w:val="21"/>
            <w:szCs w:val="21"/>
          </w:rPr>
          <w:fldChar w:fldCharType="end"/>
        </w:r>
      </w:hyperlink>
    </w:p>
    <w:p w14:paraId="4FDDA167" w14:textId="77777777" w:rsidR="0004141C" w:rsidRPr="0004141C" w:rsidRDefault="00CD1A14" w:rsidP="0004141C">
      <w:pPr>
        <w:pStyle w:val="TOC2"/>
        <w:tabs>
          <w:tab w:val="right" w:leader="dot" w:pos="9345"/>
        </w:tabs>
        <w:spacing w:after="60" w:line="240" w:lineRule="auto"/>
        <w:rPr>
          <w:rFonts w:eastAsiaTheme="minorEastAsia"/>
          <w:noProof/>
          <w:sz w:val="21"/>
          <w:szCs w:val="21"/>
          <w:lang w:eastAsia="en-CA"/>
        </w:rPr>
      </w:pPr>
      <w:hyperlink w:anchor="_Toc38899134" w:history="1">
        <w:r w:rsidR="0004141C" w:rsidRPr="0004141C">
          <w:rPr>
            <w:rStyle w:val="Hyperlink"/>
            <w:noProof/>
            <w:sz w:val="21"/>
            <w:szCs w:val="21"/>
            <w:lang w:bidi="en-US"/>
          </w:rPr>
          <w:t>5.3 Evaluation plan</w:t>
        </w:r>
        <w:r w:rsidR="0004141C" w:rsidRPr="0004141C">
          <w:rPr>
            <w:noProof/>
            <w:webHidden/>
            <w:sz w:val="21"/>
            <w:szCs w:val="21"/>
          </w:rPr>
          <w:tab/>
        </w:r>
        <w:r w:rsidR="0004141C" w:rsidRPr="0004141C">
          <w:rPr>
            <w:noProof/>
            <w:webHidden/>
            <w:sz w:val="21"/>
            <w:szCs w:val="21"/>
          </w:rPr>
          <w:fldChar w:fldCharType="begin"/>
        </w:r>
        <w:r w:rsidR="0004141C" w:rsidRPr="0004141C">
          <w:rPr>
            <w:noProof/>
            <w:webHidden/>
            <w:sz w:val="21"/>
            <w:szCs w:val="21"/>
          </w:rPr>
          <w:instrText xml:space="preserve"> PAGEREF _Toc38899134 \h </w:instrText>
        </w:r>
        <w:r w:rsidR="0004141C" w:rsidRPr="0004141C">
          <w:rPr>
            <w:noProof/>
            <w:webHidden/>
            <w:sz w:val="21"/>
            <w:szCs w:val="21"/>
          </w:rPr>
        </w:r>
        <w:r w:rsidR="0004141C" w:rsidRPr="0004141C">
          <w:rPr>
            <w:noProof/>
            <w:webHidden/>
            <w:sz w:val="21"/>
            <w:szCs w:val="21"/>
          </w:rPr>
          <w:fldChar w:fldCharType="separate"/>
        </w:r>
        <w:r w:rsidR="00A4249C">
          <w:rPr>
            <w:noProof/>
            <w:webHidden/>
            <w:sz w:val="21"/>
            <w:szCs w:val="21"/>
          </w:rPr>
          <w:t>37</w:t>
        </w:r>
        <w:r w:rsidR="0004141C" w:rsidRPr="0004141C">
          <w:rPr>
            <w:noProof/>
            <w:webHidden/>
            <w:sz w:val="21"/>
            <w:szCs w:val="21"/>
          </w:rPr>
          <w:fldChar w:fldCharType="end"/>
        </w:r>
      </w:hyperlink>
    </w:p>
    <w:p w14:paraId="0485DC4A" w14:textId="77777777" w:rsidR="0004141C" w:rsidRPr="00251A7E" w:rsidRDefault="00CD1A14" w:rsidP="0004141C">
      <w:pPr>
        <w:pStyle w:val="TOC1"/>
        <w:spacing w:before="240"/>
        <w:rPr>
          <w:rFonts w:eastAsiaTheme="minorEastAsia"/>
          <w:b w:val="0"/>
          <w:color w:val="auto"/>
          <w:lang w:eastAsia="en-CA"/>
        </w:rPr>
      </w:pPr>
      <w:hyperlink w:anchor="_Toc38899135" w:history="1">
        <w:r w:rsidR="0004141C" w:rsidRPr="00251A7E">
          <w:rPr>
            <w:rStyle w:val="Hyperlink"/>
            <w:b w:val="0"/>
          </w:rPr>
          <w:t>Annex A. Theory of Change</w:t>
        </w:r>
        <w:r w:rsidR="0004141C" w:rsidRPr="00251A7E">
          <w:rPr>
            <w:b w:val="0"/>
            <w:webHidden/>
          </w:rPr>
          <w:tab/>
        </w:r>
        <w:r w:rsidR="0004141C" w:rsidRPr="00251A7E">
          <w:rPr>
            <w:b w:val="0"/>
            <w:webHidden/>
          </w:rPr>
          <w:fldChar w:fldCharType="begin"/>
        </w:r>
        <w:r w:rsidR="0004141C" w:rsidRPr="00251A7E">
          <w:rPr>
            <w:b w:val="0"/>
            <w:webHidden/>
          </w:rPr>
          <w:instrText xml:space="preserve"> PAGEREF _Toc38899135 \h </w:instrText>
        </w:r>
        <w:r w:rsidR="0004141C" w:rsidRPr="00251A7E">
          <w:rPr>
            <w:b w:val="0"/>
            <w:webHidden/>
          </w:rPr>
        </w:r>
        <w:r w:rsidR="0004141C" w:rsidRPr="00251A7E">
          <w:rPr>
            <w:b w:val="0"/>
            <w:webHidden/>
          </w:rPr>
          <w:fldChar w:fldCharType="separate"/>
        </w:r>
        <w:r w:rsidR="00A4249C">
          <w:rPr>
            <w:b w:val="0"/>
            <w:webHidden/>
          </w:rPr>
          <w:t>38</w:t>
        </w:r>
        <w:r w:rsidR="0004141C" w:rsidRPr="00251A7E">
          <w:rPr>
            <w:b w:val="0"/>
            <w:webHidden/>
          </w:rPr>
          <w:fldChar w:fldCharType="end"/>
        </w:r>
      </w:hyperlink>
    </w:p>
    <w:p w14:paraId="1E60BDA1" w14:textId="77777777" w:rsidR="0004141C" w:rsidRPr="00251A7E" w:rsidRDefault="00CD1A14" w:rsidP="0004141C">
      <w:pPr>
        <w:pStyle w:val="TOC1"/>
        <w:rPr>
          <w:rFonts w:eastAsiaTheme="minorEastAsia"/>
          <w:b w:val="0"/>
          <w:color w:val="auto"/>
          <w:lang w:eastAsia="en-CA"/>
        </w:rPr>
      </w:pPr>
      <w:hyperlink w:anchor="_Toc38899136" w:history="1">
        <w:r w:rsidR="0004141C" w:rsidRPr="00251A7E">
          <w:rPr>
            <w:rStyle w:val="Hyperlink"/>
            <w:b w:val="0"/>
          </w:rPr>
          <w:t>Annex B. Results Matrix</w:t>
        </w:r>
        <w:r w:rsidR="0004141C" w:rsidRPr="00251A7E">
          <w:rPr>
            <w:b w:val="0"/>
            <w:webHidden/>
          </w:rPr>
          <w:tab/>
        </w:r>
        <w:r w:rsidR="0004141C" w:rsidRPr="00251A7E">
          <w:rPr>
            <w:b w:val="0"/>
            <w:webHidden/>
          </w:rPr>
          <w:fldChar w:fldCharType="begin"/>
        </w:r>
        <w:r w:rsidR="0004141C" w:rsidRPr="00251A7E">
          <w:rPr>
            <w:b w:val="0"/>
            <w:webHidden/>
          </w:rPr>
          <w:instrText xml:space="preserve"> PAGEREF _Toc38899136 \h </w:instrText>
        </w:r>
        <w:r w:rsidR="0004141C" w:rsidRPr="00251A7E">
          <w:rPr>
            <w:b w:val="0"/>
            <w:webHidden/>
          </w:rPr>
        </w:r>
        <w:r w:rsidR="0004141C" w:rsidRPr="00251A7E">
          <w:rPr>
            <w:b w:val="0"/>
            <w:webHidden/>
          </w:rPr>
          <w:fldChar w:fldCharType="separate"/>
        </w:r>
        <w:r w:rsidR="00A4249C">
          <w:rPr>
            <w:b w:val="0"/>
            <w:webHidden/>
          </w:rPr>
          <w:t>39</w:t>
        </w:r>
        <w:r w:rsidR="0004141C" w:rsidRPr="00251A7E">
          <w:rPr>
            <w:b w:val="0"/>
            <w:webHidden/>
          </w:rPr>
          <w:fldChar w:fldCharType="end"/>
        </w:r>
      </w:hyperlink>
    </w:p>
    <w:p w14:paraId="00578C8E" w14:textId="77777777" w:rsidR="0004141C" w:rsidRPr="00251A7E" w:rsidRDefault="00CD1A14" w:rsidP="0004141C">
      <w:pPr>
        <w:pStyle w:val="TOC1"/>
        <w:rPr>
          <w:rFonts w:eastAsiaTheme="minorEastAsia"/>
          <w:b w:val="0"/>
          <w:color w:val="auto"/>
          <w:lang w:eastAsia="en-CA"/>
        </w:rPr>
      </w:pPr>
      <w:hyperlink w:anchor="_Toc38899137" w:history="1">
        <w:r w:rsidR="0004141C" w:rsidRPr="00251A7E">
          <w:rPr>
            <w:rStyle w:val="Hyperlink"/>
            <w:b w:val="0"/>
          </w:rPr>
          <w:t>Annex C. CF outcomes and human rights commitments of BiH</w:t>
        </w:r>
        <w:r w:rsidR="0004141C" w:rsidRPr="00251A7E">
          <w:rPr>
            <w:b w:val="0"/>
            <w:webHidden/>
          </w:rPr>
          <w:tab/>
        </w:r>
        <w:r w:rsidR="0004141C" w:rsidRPr="00251A7E">
          <w:rPr>
            <w:b w:val="0"/>
            <w:webHidden/>
          </w:rPr>
          <w:fldChar w:fldCharType="begin"/>
        </w:r>
        <w:r w:rsidR="0004141C" w:rsidRPr="00251A7E">
          <w:rPr>
            <w:b w:val="0"/>
            <w:webHidden/>
          </w:rPr>
          <w:instrText xml:space="preserve"> PAGEREF _Toc38899137 \h </w:instrText>
        </w:r>
        <w:r w:rsidR="0004141C" w:rsidRPr="00251A7E">
          <w:rPr>
            <w:b w:val="0"/>
            <w:webHidden/>
          </w:rPr>
        </w:r>
        <w:r w:rsidR="0004141C" w:rsidRPr="00251A7E">
          <w:rPr>
            <w:b w:val="0"/>
            <w:webHidden/>
          </w:rPr>
          <w:fldChar w:fldCharType="separate"/>
        </w:r>
        <w:r w:rsidR="00A4249C">
          <w:rPr>
            <w:b w:val="0"/>
            <w:webHidden/>
          </w:rPr>
          <w:t>53</w:t>
        </w:r>
        <w:r w:rsidR="0004141C" w:rsidRPr="00251A7E">
          <w:rPr>
            <w:b w:val="0"/>
            <w:webHidden/>
          </w:rPr>
          <w:fldChar w:fldCharType="end"/>
        </w:r>
      </w:hyperlink>
    </w:p>
    <w:p w14:paraId="39B7C681" w14:textId="77777777" w:rsidR="0004141C" w:rsidRPr="00251A7E" w:rsidRDefault="00CD1A14" w:rsidP="0004141C">
      <w:pPr>
        <w:pStyle w:val="TOC1"/>
        <w:rPr>
          <w:rFonts w:eastAsiaTheme="minorEastAsia"/>
          <w:b w:val="0"/>
          <w:color w:val="auto"/>
          <w:lang w:eastAsia="en-CA"/>
        </w:rPr>
      </w:pPr>
      <w:hyperlink w:anchor="_Toc38899138" w:history="1">
        <w:r w:rsidR="0004141C" w:rsidRPr="00251A7E">
          <w:rPr>
            <w:rStyle w:val="Hyperlink"/>
            <w:b w:val="0"/>
          </w:rPr>
          <w:t>Annex D. Legal annex</w:t>
        </w:r>
        <w:r w:rsidR="0004141C" w:rsidRPr="00251A7E">
          <w:rPr>
            <w:b w:val="0"/>
            <w:webHidden/>
          </w:rPr>
          <w:tab/>
        </w:r>
        <w:r w:rsidR="0004141C" w:rsidRPr="00251A7E">
          <w:rPr>
            <w:b w:val="0"/>
            <w:webHidden/>
          </w:rPr>
          <w:fldChar w:fldCharType="begin"/>
        </w:r>
        <w:r w:rsidR="0004141C" w:rsidRPr="00251A7E">
          <w:rPr>
            <w:b w:val="0"/>
            <w:webHidden/>
          </w:rPr>
          <w:instrText xml:space="preserve"> PAGEREF _Toc38899138 \h </w:instrText>
        </w:r>
        <w:r w:rsidR="0004141C" w:rsidRPr="00251A7E">
          <w:rPr>
            <w:b w:val="0"/>
            <w:webHidden/>
          </w:rPr>
        </w:r>
        <w:r w:rsidR="0004141C" w:rsidRPr="00251A7E">
          <w:rPr>
            <w:b w:val="0"/>
            <w:webHidden/>
          </w:rPr>
          <w:fldChar w:fldCharType="separate"/>
        </w:r>
        <w:r w:rsidR="00A4249C">
          <w:rPr>
            <w:b w:val="0"/>
            <w:webHidden/>
          </w:rPr>
          <w:t>56</w:t>
        </w:r>
        <w:r w:rsidR="0004141C" w:rsidRPr="00251A7E">
          <w:rPr>
            <w:b w:val="0"/>
            <w:webHidden/>
          </w:rPr>
          <w:fldChar w:fldCharType="end"/>
        </w:r>
      </w:hyperlink>
    </w:p>
    <w:p w14:paraId="340544BA" w14:textId="70F1EF88" w:rsidR="000E1B70" w:rsidRPr="00402CB5" w:rsidRDefault="00A51B91" w:rsidP="0004141C">
      <w:pPr>
        <w:spacing w:after="60" w:line="240" w:lineRule="auto"/>
        <w:jc w:val="both"/>
        <w:rPr>
          <w:b/>
          <w:color w:val="0F243E" w:themeColor="text2" w:themeShade="80"/>
          <w:sz w:val="21"/>
          <w:szCs w:val="21"/>
        </w:rPr>
      </w:pPr>
      <w:r w:rsidRPr="0004141C">
        <w:rPr>
          <w:color w:val="0F243E" w:themeColor="text2" w:themeShade="80"/>
          <w:sz w:val="21"/>
          <w:szCs w:val="21"/>
        </w:rPr>
        <w:fldChar w:fldCharType="end"/>
      </w:r>
      <w:r w:rsidR="000E1B70" w:rsidRPr="00402CB5">
        <w:rPr>
          <w:b/>
          <w:color w:val="0F243E" w:themeColor="text2" w:themeShade="80"/>
          <w:sz w:val="21"/>
          <w:szCs w:val="21"/>
        </w:rPr>
        <w:br w:type="page"/>
      </w:r>
    </w:p>
    <w:p w14:paraId="4F380CA4" w14:textId="77777777" w:rsidR="00164B81" w:rsidRPr="00C05F5F" w:rsidRDefault="00164B81" w:rsidP="00A55B6D">
      <w:pPr>
        <w:spacing w:after="240" w:line="240" w:lineRule="auto"/>
        <w:jc w:val="both"/>
        <w:rPr>
          <w:b/>
          <w:color w:val="0F243E" w:themeColor="text2" w:themeShade="80"/>
          <w:sz w:val="24"/>
          <w:szCs w:val="24"/>
        </w:rPr>
      </w:pPr>
      <w:r w:rsidRPr="00C05F5F">
        <w:rPr>
          <w:b/>
          <w:color w:val="0F243E" w:themeColor="text2" w:themeShade="80"/>
          <w:sz w:val="24"/>
          <w:szCs w:val="24"/>
        </w:rPr>
        <w:t>Acronyms and Abbreviations</w:t>
      </w:r>
      <w:r w:rsidRPr="00C05F5F">
        <w:rPr>
          <w:b/>
          <w:color w:val="0F243E" w:themeColor="text2" w:themeShade="80"/>
          <w:sz w:val="24"/>
          <w:szCs w:val="24"/>
        </w:rPr>
        <w:fldChar w:fldCharType="begin"/>
      </w:r>
      <w:r w:rsidRPr="00C05F5F">
        <w:rPr>
          <w:color w:val="0F243E" w:themeColor="text2" w:themeShade="80"/>
        </w:rPr>
        <w:instrText xml:space="preserve"> TC "</w:instrText>
      </w:r>
      <w:bookmarkStart w:id="8" w:name="_Toc26184379"/>
      <w:bookmarkStart w:id="9" w:name="_Toc38899107"/>
      <w:r w:rsidRPr="00C05F5F">
        <w:rPr>
          <w:b/>
          <w:color w:val="0F243E" w:themeColor="text2" w:themeShade="80"/>
          <w:sz w:val="24"/>
          <w:szCs w:val="24"/>
        </w:rPr>
        <w:instrText>Acronymns and Abbreviations</w:instrText>
      </w:r>
      <w:bookmarkEnd w:id="8"/>
      <w:bookmarkEnd w:id="9"/>
      <w:r w:rsidRPr="00C05F5F">
        <w:rPr>
          <w:color w:val="0F243E" w:themeColor="text2" w:themeShade="80"/>
        </w:rPr>
        <w:instrText xml:space="preserve">" \f C \l "2" </w:instrText>
      </w:r>
      <w:r w:rsidRPr="00C05F5F">
        <w:rPr>
          <w:b/>
          <w:color w:val="0F243E" w:themeColor="text2" w:themeShade="80"/>
          <w:sz w:val="24"/>
          <w:szCs w:val="24"/>
        </w:rPr>
        <w:fldChar w:fldCharType="end"/>
      </w:r>
    </w:p>
    <w:p w14:paraId="3449CEBD" w14:textId="77777777" w:rsidR="00164B81" w:rsidRDefault="00164B81" w:rsidP="00A55B6D">
      <w:pPr>
        <w:pStyle w:val="NoSpacing"/>
        <w:jc w:val="both"/>
        <w:rPr>
          <w:sz w:val="18"/>
          <w:szCs w:val="18"/>
        </w:rPr>
        <w:sectPr w:rsidR="00164B81" w:rsidSect="00A55B6D">
          <w:headerReference w:type="even" r:id="rId18"/>
          <w:headerReference w:type="default" r:id="rId19"/>
          <w:headerReference w:type="first" r:id="rId20"/>
          <w:pgSz w:w="12240" w:h="15840"/>
          <w:pgMar w:top="1097" w:right="1467" w:bottom="1134" w:left="1418"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cols w:space="285"/>
          <w:docGrid w:linePitch="360"/>
        </w:sect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164B81" w:rsidRPr="00DB59B4" w14:paraId="72550115" w14:textId="77777777" w:rsidTr="003C36B1">
        <w:tc>
          <w:tcPr>
            <w:tcW w:w="9648" w:type="dxa"/>
            <w:tcBorders>
              <w:top w:val="single" w:sz="4" w:space="0" w:color="8DB3E2" w:themeColor="text2" w:themeTint="66"/>
            </w:tcBorders>
          </w:tcPr>
          <w:p w14:paraId="0E8CF65D" w14:textId="77777777" w:rsidR="002B2F5C" w:rsidRDefault="002B2F5C" w:rsidP="00A55B6D">
            <w:pPr>
              <w:pStyle w:val="NoSpacing"/>
              <w:spacing w:after="60"/>
              <w:jc w:val="both"/>
              <w:rPr>
                <w:b/>
                <w:color w:val="595959" w:themeColor="text1" w:themeTint="A6"/>
                <w:sz w:val="20"/>
                <w:szCs w:val="20"/>
              </w:rPr>
            </w:pPr>
          </w:p>
          <w:p w14:paraId="50D40F1F" w14:textId="77777777" w:rsidR="00164B81" w:rsidRPr="00DB59B4" w:rsidRDefault="00164B81" w:rsidP="004F7311">
            <w:pPr>
              <w:pStyle w:val="NoSpacing"/>
              <w:spacing w:after="120"/>
              <w:jc w:val="both"/>
              <w:rPr>
                <w:b/>
                <w:color w:val="595959" w:themeColor="text1" w:themeTint="A6"/>
                <w:sz w:val="20"/>
                <w:szCs w:val="20"/>
              </w:rPr>
            </w:pPr>
            <w:r w:rsidRPr="00DB59B4">
              <w:rPr>
                <w:b/>
                <w:color w:val="595959" w:themeColor="text1" w:themeTint="A6"/>
                <w:sz w:val="20"/>
                <w:szCs w:val="20"/>
              </w:rPr>
              <w:t>United Nations System Agencies</w:t>
            </w:r>
          </w:p>
        </w:tc>
      </w:tr>
    </w:tbl>
    <w:p w14:paraId="42178741" w14:textId="77777777" w:rsidR="00164B81" w:rsidRDefault="00164B81" w:rsidP="00A55B6D">
      <w:pPr>
        <w:pStyle w:val="NoSpacing"/>
        <w:jc w:val="both"/>
        <w:rPr>
          <w:sz w:val="18"/>
          <w:szCs w:val="18"/>
        </w:rPr>
        <w:sectPr w:rsidR="00164B81" w:rsidSect="00A55B6D">
          <w:type w:val="continuous"/>
          <w:pgSz w:w="12240" w:h="15840"/>
          <w:pgMar w:top="1440" w:right="1041" w:bottom="1440" w:left="993"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cols w:space="285"/>
          <w:docGrid w:linePitch="360"/>
        </w:sectPr>
      </w:pPr>
    </w:p>
    <w:tbl>
      <w:tblPr>
        <w:tblStyle w:val="TableGrid"/>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127"/>
      </w:tblGrid>
      <w:tr w:rsidR="00164B81" w:rsidRPr="006D09F5" w14:paraId="6F8B8181" w14:textId="77777777" w:rsidTr="003C36B1">
        <w:tc>
          <w:tcPr>
            <w:tcW w:w="1368" w:type="dxa"/>
          </w:tcPr>
          <w:p w14:paraId="2F06FA39" w14:textId="77777777" w:rsidR="00164B81" w:rsidRDefault="00164B81" w:rsidP="00A55B6D">
            <w:pPr>
              <w:pStyle w:val="NoSpacing"/>
              <w:jc w:val="both"/>
              <w:rPr>
                <w:sz w:val="18"/>
                <w:szCs w:val="18"/>
              </w:rPr>
            </w:pPr>
            <w:r w:rsidRPr="006D09F5">
              <w:rPr>
                <w:sz w:val="18"/>
                <w:szCs w:val="18"/>
              </w:rPr>
              <w:t>FAO</w:t>
            </w:r>
          </w:p>
          <w:p w14:paraId="1BAC8F93" w14:textId="2941089D" w:rsidR="00DF6211" w:rsidRPr="006D09F5" w:rsidRDefault="00DF6211" w:rsidP="00A55B6D">
            <w:pPr>
              <w:pStyle w:val="NoSpacing"/>
              <w:jc w:val="both"/>
              <w:rPr>
                <w:sz w:val="18"/>
                <w:szCs w:val="18"/>
              </w:rPr>
            </w:pPr>
            <w:r>
              <w:rPr>
                <w:sz w:val="18"/>
                <w:szCs w:val="18"/>
              </w:rPr>
              <w:t>IAEA</w:t>
            </w:r>
          </w:p>
        </w:tc>
        <w:tc>
          <w:tcPr>
            <w:tcW w:w="4127" w:type="dxa"/>
          </w:tcPr>
          <w:p w14:paraId="43BB7F7F" w14:textId="77777777" w:rsidR="00164B81" w:rsidRDefault="00164B81" w:rsidP="00A55B6D">
            <w:pPr>
              <w:pStyle w:val="NoSpacing"/>
              <w:jc w:val="both"/>
              <w:rPr>
                <w:sz w:val="18"/>
                <w:szCs w:val="18"/>
              </w:rPr>
            </w:pPr>
            <w:r w:rsidRPr="006D09F5">
              <w:rPr>
                <w:sz w:val="18"/>
                <w:szCs w:val="18"/>
              </w:rPr>
              <w:t>Food and Agriculture Organization</w:t>
            </w:r>
          </w:p>
          <w:p w14:paraId="460CAE67" w14:textId="55630BDA" w:rsidR="00EF1D86" w:rsidRPr="006D09F5" w:rsidRDefault="00FA7334" w:rsidP="00A55B6D">
            <w:pPr>
              <w:pStyle w:val="NoSpacing"/>
              <w:jc w:val="both"/>
              <w:rPr>
                <w:sz w:val="18"/>
                <w:szCs w:val="18"/>
              </w:rPr>
            </w:pPr>
            <w:r>
              <w:rPr>
                <w:sz w:val="18"/>
                <w:szCs w:val="18"/>
              </w:rPr>
              <w:t>International Atomic Energy Agency</w:t>
            </w:r>
          </w:p>
        </w:tc>
      </w:tr>
      <w:tr w:rsidR="00164B81" w:rsidRPr="006D09F5" w14:paraId="5DA9ADF9" w14:textId="77777777" w:rsidTr="003C36B1">
        <w:tc>
          <w:tcPr>
            <w:tcW w:w="1368" w:type="dxa"/>
          </w:tcPr>
          <w:p w14:paraId="55F414C5" w14:textId="77777777" w:rsidR="00164B81" w:rsidRPr="006D09F5" w:rsidRDefault="00164B81" w:rsidP="00A55B6D">
            <w:pPr>
              <w:pStyle w:val="NoSpacing"/>
              <w:jc w:val="both"/>
              <w:rPr>
                <w:sz w:val="18"/>
                <w:szCs w:val="18"/>
              </w:rPr>
            </w:pPr>
            <w:r w:rsidRPr="006D09F5">
              <w:rPr>
                <w:sz w:val="18"/>
                <w:szCs w:val="18"/>
              </w:rPr>
              <w:t xml:space="preserve">ILO  </w:t>
            </w:r>
          </w:p>
        </w:tc>
        <w:tc>
          <w:tcPr>
            <w:tcW w:w="4127" w:type="dxa"/>
          </w:tcPr>
          <w:p w14:paraId="0FCD9A6B" w14:textId="77777777" w:rsidR="00164B81" w:rsidRPr="006D09F5" w:rsidRDefault="00164B81" w:rsidP="00A55B6D">
            <w:pPr>
              <w:pStyle w:val="NoSpacing"/>
              <w:jc w:val="both"/>
              <w:rPr>
                <w:sz w:val="18"/>
                <w:szCs w:val="18"/>
              </w:rPr>
            </w:pPr>
            <w:r w:rsidRPr="006D09F5">
              <w:rPr>
                <w:sz w:val="18"/>
                <w:szCs w:val="18"/>
              </w:rPr>
              <w:t>International Labour Organization</w:t>
            </w:r>
          </w:p>
        </w:tc>
      </w:tr>
      <w:tr w:rsidR="00164B81" w:rsidRPr="006D09F5" w14:paraId="09909A54" w14:textId="77777777" w:rsidTr="003C36B1">
        <w:tc>
          <w:tcPr>
            <w:tcW w:w="1368" w:type="dxa"/>
          </w:tcPr>
          <w:p w14:paraId="5183FEA6" w14:textId="77777777" w:rsidR="00164B81" w:rsidRDefault="00164B81" w:rsidP="00A55B6D">
            <w:pPr>
              <w:pStyle w:val="NoSpacing"/>
              <w:jc w:val="both"/>
              <w:rPr>
                <w:sz w:val="18"/>
                <w:szCs w:val="18"/>
              </w:rPr>
            </w:pPr>
            <w:r>
              <w:rPr>
                <w:sz w:val="18"/>
                <w:szCs w:val="18"/>
              </w:rPr>
              <w:t>IMF</w:t>
            </w:r>
          </w:p>
        </w:tc>
        <w:tc>
          <w:tcPr>
            <w:tcW w:w="4127" w:type="dxa"/>
          </w:tcPr>
          <w:p w14:paraId="4FCD144C" w14:textId="77777777" w:rsidR="00164B81" w:rsidRDefault="00164B81" w:rsidP="00A55B6D">
            <w:pPr>
              <w:pStyle w:val="NoSpacing"/>
              <w:jc w:val="both"/>
              <w:rPr>
                <w:sz w:val="18"/>
                <w:szCs w:val="18"/>
              </w:rPr>
            </w:pPr>
            <w:r>
              <w:rPr>
                <w:sz w:val="18"/>
                <w:szCs w:val="18"/>
              </w:rPr>
              <w:t>International Monetary Fund</w:t>
            </w:r>
          </w:p>
        </w:tc>
      </w:tr>
      <w:tr w:rsidR="00164B81" w:rsidRPr="006D09F5" w14:paraId="47E29E2A" w14:textId="77777777" w:rsidTr="003C36B1">
        <w:tc>
          <w:tcPr>
            <w:tcW w:w="1368" w:type="dxa"/>
          </w:tcPr>
          <w:p w14:paraId="0B7D3F84" w14:textId="77777777" w:rsidR="00164B81" w:rsidRPr="006D09F5" w:rsidRDefault="00164B81" w:rsidP="00A55B6D">
            <w:pPr>
              <w:pStyle w:val="NoSpacing"/>
              <w:jc w:val="both"/>
              <w:rPr>
                <w:sz w:val="18"/>
                <w:szCs w:val="18"/>
              </w:rPr>
            </w:pPr>
            <w:r>
              <w:rPr>
                <w:sz w:val="18"/>
                <w:szCs w:val="18"/>
              </w:rPr>
              <w:t>IOM</w:t>
            </w:r>
          </w:p>
        </w:tc>
        <w:tc>
          <w:tcPr>
            <w:tcW w:w="4127" w:type="dxa"/>
          </w:tcPr>
          <w:p w14:paraId="5EFA6ADE" w14:textId="77777777" w:rsidR="00164B81" w:rsidRPr="006D09F5" w:rsidRDefault="00164B81" w:rsidP="00A55B6D">
            <w:pPr>
              <w:pStyle w:val="NoSpacing"/>
              <w:jc w:val="both"/>
              <w:rPr>
                <w:sz w:val="18"/>
                <w:szCs w:val="18"/>
              </w:rPr>
            </w:pPr>
            <w:r>
              <w:rPr>
                <w:sz w:val="18"/>
                <w:szCs w:val="18"/>
              </w:rPr>
              <w:t>International Organization for Migration</w:t>
            </w:r>
          </w:p>
        </w:tc>
      </w:tr>
      <w:tr w:rsidR="00164B81" w:rsidRPr="006D09F5" w14:paraId="07C54FC2" w14:textId="77777777" w:rsidTr="003C36B1">
        <w:tc>
          <w:tcPr>
            <w:tcW w:w="1368" w:type="dxa"/>
          </w:tcPr>
          <w:p w14:paraId="5BDA9117" w14:textId="77777777" w:rsidR="00164B81" w:rsidRPr="006D09F5" w:rsidRDefault="00164B81" w:rsidP="00A55B6D">
            <w:pPr>
              <w:pStyle w:val="NoSpacing"/>
              <w:jc w:val="both"/>
              <w:rPr>
                <w:sz w:val="18"/>
                <w:szCs w:val="18"/>
              </w:rPr>
            </w:pPr>
            <w:r>
              <w:rPr>
                <w:sz w:val="18"/>
                <w:szCs w:val="18"/>
              </w:rPr>
              <w:t>OHCHR</w:t>
            </w:r>
          </w:p>
        </w:tc>
        <w:tc>
          <w:tcPr>
            <w:tcW w:w="4127" w:type="dxa"/>
          </w:tcPr>
          <w:p w14:paraId="6AFD0568" w14:textId="77777777" w:rsidR="00164B81" w:rsidRPr="006D09F5" w:rsidRDefault="00164B81" w:rsidP="00A55B6D">
            <w:pPr>
              <w:pStyle w:val="NoSpacing"/>
              <w:jc w:val="both"/>
              <w:rPr>
                <w:sz w:val="18"/>
                <w:szCs w:val="18"/>
              </w:rPr>
            </w:pPr>
            <w:r>
              <w:rPr>
                <w:sz w:val="18"/>
                <w:szCs w:val="18"/>
              </w:rPr>
              <w:t>Office of the High Commissioner for Human Rights</w:t>
            </w:r>
          </w:p>
        </w:tc>
      </w:tr>
      <w:tr w:rsidR="00164B81" w:rsidRPr="006D09F5" w14:paraId="5FF869E1" w14:textId="77777777" w:rsidTr="003C36B1">
        <w:tc>
          <w:tcPr>
            <w:tcW w:w="1368" w:type="dxa"/>
          </w:tcPr>
          <w:p w14:paraId="5EF44A3F" w14:textId="77777777" w:rsidR="00164B81" w:rsidRPr="006D09F5" w:rsidRDefault="00164B81" w:rsidP="00A55B6D">
            <w:pPr>
              <w:pStyle w:val="NoSpacing"/>
              <w:jc w:val="both"/>
              <w:rPr>
                <w:sz w:val="18"/>
                <w:szCs w:val="18"/>
              </w:rPr>
            </w:pPr>
            <w:r w:rsidRPr="006D09F5">
              <w:rPr>
                <w:sz w:val="18"/>
                <w:szCs w:val="18"/>
              </w:rPr>
              <w:t>UNCT</w:t>
            </w:r>
          </w:p>
        </w:tc>
        <w:tc>
          <w:tcPr>
            <w:tcW w:w="4127" w:type="dxa"/>
          </w:tcPr>
          <w:p w14:paraId="5CD12EAC" w14:textId="77777777" w:rsidR="00164B81" w:rsidRPr="006D09F5" w:rsidRDefault="00164B81" w:rsidP="00A55B6D">
            <w:pPr>
              <w:pStyle w:val="NoSpacing"/>
              <w:jc w:val="both"/>
              <w:rPr>
                <w:sz w:val="18"/>
                <w:szCs w:val="18"/>
              </w:rPr>
            </w:pPr>
            <w:r w:rsidRPr="006D09F5">
              <w:rPr>
                <w:sz w:val="18"/>
                <w:szCs w:val="18"/>
              </w:rPr>
              <w:t>United Nations Country Team</w:t>
            </w:r>
          </w:p>
        </w:tc>
      </w:tr>
      <w:tr w:rsidR="00164B81" w:rsidRPr="006D09F5" w14:paraId="20AE8825" w14:textId="77777777" w:rsidTr="003C36B1">
        <w:tc>
          <w:tcPr>
            <w:tcW w:w="1368" w:type="dxa"/>
          </w:tcPr>
          <w:p w14:paraId="5802BE12" w14:textId="5856F2D5" w:rsidR="00164B81" w:rsidRPr="006D09F5" w:rsidRDefault="00164B81" w:rsidP="00A55B6D">
            <w:pPr>
              <w:pStyle w:val="NoSpacing"/>
              <w:jc w:val="both"/>
              <w:rPr>
                <w:sz w:val="18"/>
                <w:szCs w:val="18"/>
              </w:rPr>
            </w:pPr>
            <w:r w:rsidRPr="006D09F5">
              <w:rPr>
                <w:sz w:val="18"/>
                <w:szCs w:val="18"/>
              </w:rPr>
              <w:t>UN</w:t>
            </w:r>
            <w:r w:rsidR="005F4EB9">
              <w:rPr>
                <w:sz w:val="18"/>
                <w:szCs w:val="18"/>
              </w:rPr>
              <w:t>S</w:t>
            </w:r>
            <w:r w:rsidRPr="006D09F5">
              <w:rPr>
                <w:sz w:val="18"/>
                <w:szCs w:val="18"/>
              </w:rPr>
              <w:t>DG</w:t>
            </w:r>
          </w:p>
        </w:tc>
        <w:tc>
          <w:tcPr>
            <w:tcW w:w="4127" w:type="dxa"/>
          </w:tcPr>
          <w:p w14:paraId="7C429080" w14:textId="28DFDA5D" w:rsidR="00164B81" w:rsidRPr="006D09F5" w:rsidRDefault="00164B81" w:rsidP="00A55B6D">
            <w:pPr>
              <w:pStyle w:val="NoSpacing"/>
              <w:jc w:val="both"/>
              <w:rPr>
                <w:sz w:val="18"/>
                <w:szCs w:val="18"/>
              </w:rPr>
            </w:pPr>
            <w:r w:rsidRPr="006D09F5">
              <w:rPr>
                <w:sz w:val="18"/>
                <w:szCs w:val="18"/>
              </w:rPr>
              <w:t xml:space="preserve">United Nations </w:t>
            </w:r>
            <w:r w:rsidR="005F4EB9">
              <w:rPr>
                <w:sz w:val="18"/>
                <w:szCs w:val="18"/>
              </w:rPr>
              <w:t xml:space="preserve">Sustainable </w:t>
            </w:r>
            <w:r w:rsidRPr="006D09F5">
              <w:rPr>
                <w:sz w:val="18"/>
                <w:szCs w:val="18"/>
              </w:rPr>
              <w:t>Development Group</w:t>
            </w:r>
          </w:p>
        </w:tc>
      </w:tr>
      <w:tr w:rsidR="00164B81" w:rsidRPr="006D09F5" w14:paraId="38C4388E" w14:textId="77777777" w:rsidTr="003C36B1">
        <w:tc>
          <w:tcPr>
            <w:tcW w:w="1368" w:type="dxa"/>
          </w:tcPr>
          <w:p w14:paraId="62A9C0D7" w14:textId="77777777" w:rsidR="00164B81" w:rsidRPr="006D09F5" w:rsidRDefault="00164B81" w:rsidP="00A55B6D">
            <w:pPr>
              <w:pStyle w:val="NoSpacing"/>
              <w:jc w:val="both"/>
              <w:rPr>
                <w:sz w:val="18"/>
                <w:szCs w:val="18"/>
              </w:rPr>
            </w:pPr>
            <w:r w:rsidRPr="006D09F5">
              <w:rPr>
                <w:sz w:val="18"/>
                <w:szCs w:val="18"/>
              </w:rPr>
              <w:t>UNDP</w:t>
            </w:r>
          </w:p>
        </w:tc>
        <w:tc>
          <w:tcPr>
            <w:tcW w:w="4127" w:type="dxa"/>
          </w:tcPr>
          <w:p w14:paraId="2557EA4C" w14:textId="77777777" w:rsidR="00164B81" w:rsidRPr="006D09F5" w:rsidRDefault="00164B81" w:rsidP="00A55B6D">
            <w:pPr>
              <w:pStyle w:val="NoSpacing"/>
              <w:jc w:val="both"/>
              <w:rPr>
                <w:sz w:val="18"/>
                <w:szCs w:val="18"/>
              </w:rPr>
            </w:pPr>
            <w:r w:rsidRPr="006D09F5">
              <w:rPr>
                <w:sz w:val="18"/>
                <w:szCs w:val="18"/>
              </w:rPr>
              <w:t>United Nations Development Programme</w:t>
            </w:r>
          </w:p>
        </w:tc>
      </w:tr>
      <w:tr w:rsidR="00164B81" w:rsidRPr="006D09F5" w14:paraId="43F07E31" w14:textId="77777777" w:rsidTr="003C36B1">
        <w:tc>
          <w:tcPr>
            <w:tcW w:w="1368" w:type="dxa"/>
          </w:tcPr>
          <w:p w14:paraId="5ABA7C59" w14:textId="77777777" w:rsidR="00164B81" w:rsidRPr="00D27AFB" w:rsidRDefault="00164B81" w:rsidP="00A55B6D">
            <w:pPr>
              <w:pStyle w:val="NoSpacing"/>
              <w:jc w:val="both"/>
              <w:rPr>
                <w:sz w:val="18"/>
              </w:rPr>
            </w:pPr>
            <w:r>
              <w:rPr>
                <w:sz w:val="18"/>
                <w:szCs w:val="18"/>
              </w:rPr>
              <w:t>UNEP</w:t>
            </w:r>
          </w:p>
        </w:tc>
        <w:tc>
          <w:tcPr>
            <w:tcW w:w="4127" w:type="dxa"/>
          </w:tcPr>
          <w:p w14:paraId="3F41373A" w14:textId="77777777" w:rsidR="00164B81" w:rsidRPr="006D09F5" w:rsidRDefault="00164B81" w:rsidP="00A55B6D">
            <w:pPr>
              <w:pStyle w:val="NoSpacing"/>
              <w:jc w:val="both"/>
              <w:rPr>
                <w:sz w:val="18"/>
                <w:szCs w:val="18"/>
              </w:rPr>
            </w:pPr>
            <w:r w:rsidRPr="00F329A3">
              <w:rPr>
                <w:sz w:val="18"/>
                <w:szCs w:val="18"/>
              </w:rPr>
              <w:t>United Nations Environment Programme</w:t>
            </w:r>
          </w:p>
        </w:tc>
      </w:tr>
      <w:tr w:rsidR="00164B81" w:rsidRPr="006D09F5" w14:paraId="7A69BC7E" w14:textId="77777777" w:rsidTr="003C36B1">
        <w:tc>
          <w:tcPr>
            <w:tcW w:w="1368" w:type="dxa"/>
          </w:tcPr>
          <w:p w14:paraId="7C25FAA2" w14:textId="77777777" w:rsidR="00164B81" w:rsidRDefault="00164B81" w:rsidP="00A55B6D">
            <w:pPr>
              <w:pStyle w:val="NoSpacing"/>
              <w:jc w:val="both"/>
              <w:rPr>
                <w:sz w:val="18"/>
                <w:szCs w:val="18"/>
              </w:rPr>
            </w:pPr>
            <w:r>
              <w:rPr>
                <w:sz w:val="18"/>
                <w:szCs w:val="18"/>
              </w:rPr>
              <w:t>UNDRR</w:t>
            </w:r>
          </w:p>
          <w:p w14:paraId="580D1B13" w14:textId="77777777" w:rsidR="00164B81" w:rsidRPr="006D09F5" w:rsidRDefault="00164B81" w:rsidP="00A55B6D">
            <w:pPr>
              <w:pStyle w:val="NoSpacing"/>
              <w:jc w:val="both"/>
              <w:rPr>
                <w:sz w:val="18"/>
                <w:szCs w:val="18"/>
              </w:rPr>
            </w:pPr>
            <w:r w:rsidRPr="006D09F5">
              <w:rPr>
                <w:sz w:val="18"/>
                <w:szCs w:val="18"/>
              </w:rPr>
              <w:t>UNESCO</w:t>
            </w:r>
          </w:p>
        </w:tc>
        <w:tc>
          <w:tcPr>
            <w:tcW w:w="4127" w:type="dxa"/>
          </w:tcPr>
          <w:p w14:paraId="09D49C6B" w14:textId="77777777" w:rsidR="00164B81" w:rsidRDefault="00164B81" w:rsidP="00A55B6D">
            <w:pPr>
              <w:pStyle w:val="NoSpacing"/>
              <w:jc w:val="both"/>
              <w:rPr>
                <w:sz w:val="18"/>
                <w:szCs w:val="18"/>
              </w:rPr>
            </w:pPr>
            <w:r>
              <w:rPr>
                <w:sz w:val="18"/>
                <w:szCs w:val="18"/>
              </w:rPr>
              <w:t>United Nations Office for Disaster Risk Reduction</w:t>
            </w:r>
          </w:p>
          <w:p w14:paraId="3C8179A8" w14:textId="77777777" w:rsidR="00164B81" w:rsidRDefault="00164B81" w:rsidP="00A55B6D">
            <w:pPr>
              <w:pStyle w:val="NoSpacing"/>
              <w:jc w:val="both"/>
              <w:rPr>
                <w:sz w:val="18"/>
                <w:szCs w:val="18"/>
              </w:rPr>
            </w:pPr>
            <w:r w:rsidRPr="006D09F5">
              <w:rPr>
                <w:sz w:val="18"/>
                <w:szCs w:val="18"/>
              </w:rPr>
              <w:t xml:space="preserve">United Nations Educational, Scientific </w:t>
            </w:r>
          </w:p>
          <w:p w14:paraId="4E24F221" w14:textId="77777777" w:rsidR="00164B81" w:rsidRPr="006D09F5" w:rsidRDefault="00164B81" w:rsidP="00A55B6D">
            <w:pPr>
              <w:pStyle w:val="NoSpacing"/>
              <w:jc w:val="both"/>
              <w:rPr>
                <w:sz w:val="18"/>
                <w:szCs w:val="18"/>
              </w:rPr>
            </w:pPr>
            <w:r w:rsidRPr="006D09F5">
              <w:rPr>
                <w:sz w:val="18"/>
                <w:szCs w:val="18"/>
              </w:rPr>
              <w:t>and Cultural Organization</w:t>
            </w:r>
          </w:p>
        </w:tc>
      </w:tr>
      <w:tr w:rsidR="00164B81" w:rsidRPr="006D09F5" w14:paraId="43922AA8" w14:textId="77777777" w:rsidTr="00774509">
        <w:tc>
          <w:tcPr>
            <w:tcW w:w="1368" w:type="dxa"/>
          </w:tcPr>
          <w:p w14:paraId="45712C2D" w14:textId="77777777" w:rsidR="00164B81" w:rsidRPr="006D09F5" w:rsidRDefault="00164B81" w:rsidP="00A55B6D">
            <w:pPr>
              <w:pStyle w:val="NoSpacing"/>
              <w:jc w:val="both"/>
              <w:rPr>
                <w:sz w:val="18"/>
                <w:szCs w:val="18"/>
              </w:rPr>
            </w:pPr>
            <w:r>
              <w:rPr>
                <w:sz w:val="18"/>
                <w:szCs w:val="18"/>
              </w:rPr>
              <w:t>UNE</w:t>
            </w:r>
            <w:r w:rsidR="004955D6">
              <w:rPr>
                <w:sz w:val="18"/>
                <w:szCs w:val="18"/>
              </w:rPr>
              <w:t>CE</w:t>
            </w:r>
          </w:p>
        </w:tc>
        <w:tc>
          <w:tcPr>
            <w:tcW w:w="4127" w:type="dxa"/>
          </w:tcPr>
          <w:p w14:paraId="21B8A4AC" w14:textId="77777777" w:rsidR="00164B81" w:rsidRPr="006D09F5" w:rsidRDefault="004955D6" w:rsidP="00A55B6D">
            <w:pPr>
              <w:pStyle w:val="NoSpacing"/>
              <w:jc w:val="both"/>
              <w:rPr>
                <w:sz w:val="18"/>
                <w:szCs w:val="18"/>
              </w:rPr>
            </w:pPr>
            <w:r w:rsidRPr="004955D6">
              <w:rPr>
                <w:sz w:val="18"/>
                <w:szCs w:val="18"/>
              </w:rPr>
              <w:t>United Nations Economic Commission for Europe</w:t>
            </w:r>
          </w:p>
        </w:tc>
      </w:tr>
      <w:tr w:rsidR="00164B81" w:rsidRPr="006D09F5" w14:paraId="3BDDAF11" w14:textId="77777777" w:rsidTr="003C36B1">
        <w:tc>
          <w:tcPr>
            <w:tcW w:w="1368" w:type="dxa"/>
          </w:tcPr>
          <w:p w14:paraId="597B5682" w14:textId="1C09CDBA" w:rsidR="00774509" w:rsidRPr="006D09F5" w:rsidRDefault="00164B81" w:rsidP="00A55B6D">
            <w:pPr>
              <w:pStyle w:val="NoSpacing"/>
              <w:jc w:val="both"/>
              <w:rPr>
                <w:sz w:val="18"/>
                <w:szCs w:val="18"/>
              </w:rPr>
            </w:pPr>
            <w:r w:rsidRPr="006D09F5">
              <w:rPr>
                <w:sz w:val="18"/>
                <w:szCs w:val="18"/>
              </w:rPr>
              <w:t>UNFPA</w:t>
            </w:r>
          </w:p>
        </w:tc>
        <w:tc>
          <w:tcPr>
            <w:tcW w:w="4127" w:type="dxa"/>
          </w:tcPr>
          <w:p w14:paraId="6BB28D25" w14:textId="69D22182" w:rsidR="00774509" w:rsidRPr="006D09F5" w:rsidRDefault="00164B81" w:rsidP="00A55B6D">
            <w:pPr>
              <w:pStyle w:val="NoSpacing"/>
              <w:jc w:val="both"/>
              <w:rPr>
                <w:sz w:val="18"/>
                <w:szCs w:val="18"/>
              </w:rPr>
            </w:pPr>
            <w:r w:rsidRPr="006D09F5">
              <w:rPr>
                <w:sz w:val="18"/>
                <w:szCs w:val="18"/>
              </w:rPr>
              <w:t>United Nations Population Fund</w:t>
            </w:r>
          </w:p>
        </w:tc>
      </w:tr>
      <w:tr w:rsidR="00164B81" w:rsidRPr="006D09F5" w14:paraId="194ECCAD" w14:textId="77777777" w:rsidTr="003C36B1">
        <w:tc>
          <w:tcPr>
            <w:tcW w:w="1368" w:type="dxa"/>
          </w:tcPr>
          <w:p w14:paraId="27FA426A" w14:textId="77777777" w:rsidR="00164B81" w:rsidRPr="006D09F5" w:rsidRDefault="00164B81" w:rsidP="00A55B6D">
            <w:pPr>
              <w:pStyle w:val="NoSpacing"/>
              <w:jc w:val="both"/>
              <w:rPr>
                <w:sz w:val="18"/>
                <w:szCs w:val="18"/>
              </w:rPr>
            </w:pPr>
            <w:r w:rsidRPr="006D09F5">
              <w:rPr>
                <w:sz w:val="18"/>
                <w:szCs w:val="18"/>
              </w:rPr>
              <w:t>UNHCR</w:t>
            </w:r>
          </w:p>
        </w:tc>
        <w:tc>
          <w:tcPr>
            <w:tcW w:w="4127" w:type="dxa"/>
          </w:tcPr>
          <w:p w14:paraId="46D29FF1" w14:textId="77777777" w:rsidR="00164B81" w:rsidRPr="006D09F5" w:rsidRDefault="00164B81" w:rsidP="00A55B6D">
            <w:pPr>
              <w:pStyle w:val="NoSpacing"/>
              <w:jc w:val="both"/>
              <w:rPr>
                <w:sz w:val="18"/>
                <w:szCs w:val="18"/>
              </w:rPr>
            </w:pPr>
            <w:r w:rsidRPr="006D09F5">
              <w:rPr>
                <w:sz w:val="18"/>
                <w:szCs w:val="18"/>
              </w:rPr>
              <w:t>U</w:t>
            </w:r>
            <w:r>
              <w:rPr>
                <w:sz w:val="18"/>
                <w:szCs w:val="18"/>
              </w:rPr>
              <w:t>nited Nations</w:t>
            </w:r>
            <w:r w:rsidRPr="006D09F5">
              <w:rPr>
                <w:sz w:val="18"/>
                <w:szCs w:val="18"/>
              </w:rPr>
              <w:t xml:space="preserve"> High Commissioner</w:t>
            </w:r>
            <w:r>
              <w:rPr>
                <w:sz w:val="18"/>
                <w:szCs w:val="18"/>
              </w:rPr>
              <w:t xml:space="preserve"> </w:t>
            </w:r>
            <w:r w:rsidRPr="006D09F5">
              <w:rPr>
                <w:sz w:val="18"/>
                <w:szCs w:val="18"/>
              </w:rPr>
              <w:t>for Refugees</w:t>
            </w:r>
          </w:p>
        </w:tc>
      </w:tr>
      <w:tr w:rsidR="00164B81" w:rsidRPr="008720AE" w14:paraId="63425BCA" w14:textId="77777777" w:rsidTr="003C36B1">
        <w:tc>
          <w:tcPr>
            <w:tcW w:w="1368" w:type="dxa"/>
          </w:tcPr>
          <w:p w14:paraId="2668DC52" w14:textId="77777777" w:rsidR="00164B81" w:rsidRPr="008720AE" w:rsidRDefault="00164B81" w:rsidP="00A55B6D">
            <w:pPr>
              <w:pStyle w:val="NoSpacing"/>
              <w:jc w:val="both"/>
              <w:rPr>
                <w:sz w:val="18"/>
                <w:szCs w:val="18"/>
              </w:rPr>
            </w:pPr>
            <w:r w:rsidRPr="008720AE">
              <w:rPr>
                <w:sz w:val="18"/>
                <w:szCs w:val="18"/>
              </w:rPr>
              <w:t>UNICEF</w:t>
            </w:r>
          </w:p>
        </w:tc>
        <w:tc>
          <w:tcPr>
            <w:tcW w:w="4127" w:type="dxa"/>
          </w:tcPr>
          <w:p w14:paraId="1FD90285" w14:textId="77777777" w:rsidR="00164B81" w:rsidRPr="008720AE" w:rsidRDefault="00164B81" w:rsidP="00A55B6D">
            <w:pPr>
              <w:pStyle w:val="NoSpacing"/>
              <w:jc w:val="both"/>
              <w:rPr>
                <w:sz w:val="18"/>
                <w:szCs w:val="18"/>
              </w:rPr>
            </w:pPr>
            <w:r w:rsidRPr="008720AE">
              <w:rPr>
                <w:sz w:val="18"/>
                <w:szCs w:val="18"/>
              </w:rPr>
              <w:t>United Nations Children</w:t>
            </w:r>
            <w:r w:rsidRPr="00902288">
              <w:rPr>
                <w:sz w:val="18"/>
                <w:szCs w:val="18"/>
              </w:rPr>
              <w:t>’s Fund</w:t>
            </w:r>
          </w:p>
        </w:tc>
      </w:tr>
      <w:tr w:rsidR="00164B81" w:rsidRPr="008720AE" w14:paraId="61355A22" w14:textId="77777777" w:rsidTr="003C36B1">
        <w:tc>
          <w:tcPr>
            <w:tcW w:w="1368" w:type="dxa"/>
          </w:tcPr>
          <w:p w14:paraId="6C2E03F0" w14:textId="77777777" w:rsidR="00164B81" w:rsidRPr="008720AE" w:rsidRDefault="00164B81" w:rsidP="00A55B6D">
            <w:pPr>
              <w:pStyle w:val="NoSpacing"/>
              <w:jc w:val="both"/>
              <w:rPr>
                <w:sz w:val="18"/>
                <w:szCs w:val="18"/>
              </w:rPr>
            </w:pPr>
            <w:r w:rsidRPr="00902288">
              <w:rPr>
                <w:sz w:val="18"/>
                <w:szCs w:val="18"/>
              </w:rPr>
              <w:t>UNODC</w:t>
            </w:r>
          </w:p>
        </w:tc>
        <w:tc>
          <w:tcPr>
            <w:tcW w:w="4127" w:type="dxa"/>
          </w:tcPr>
          <w:p w14:paraId="3C59EF12" w14:textId="77777777" w:rsidR="00164B81" w:rsidRPr="008720AE" w:rsidRDefault="00164B81" w:rsidP="00A55B6D">
            <w:pPr>
              <w:pStyle w:val="NoSpacing"/>
              <w:jc w:val="both"/>
              <w:rPr>
                <w:sz w:val="18"/>
                <w:szCs w:val="18"/>
              </w:rPr>
            </w:pPr>
            <w:r w:rsidRPr="00902288">
              <w:rPr>
                <w:sz w:val="18"/>
                <w:szCs w:val="18"/>
              </w:rPr>
              <w:t>United Nations Office on Drugs and Crime</w:t>
            </w:r>
          </w:p>
        </w:tc>
      </w:tr>
      <w:tr w:rsidR="00164B81" w:rsidRPr="008720AE" w14:paraId="30D0F24D" w14:textId="77777777" w:rsidTr="003C36B1">
        <w:tc>
          <w:tcPr>
            <w:tcW w:w="1368" w:type="dxa"/>
          </w:tcPr>
          <w:p w14:paraId="62B7E389" w14:textId="77777777" w:rsidR="00164B81" w:rsidRDefault="00164B81" w:rsidP="00A55B6D">
            <w:pPr>
              <w:pStyle w:val="NoSpacing"/>
              <w:jc w:val="both"/>
              <w:rPr>
                <w:sz w:val="18"/>
                <w:szCs w:val="18"/>
              </w:rPr>
            </w:pPr>
            <w:r>
              <w:rPr>
                <w:sz w:val="18"/>
                <w:szCs w:val="18"/>
              </w:rPr>
              <w:t>UN</w:t>
            </w:r>
            <w:r w:rsidRPr="006D09F5">
              <w:rPr>
                <w:sz w:val="18"/>
                <w:szCs w:val="18"/>
              </w:rPr>
              <w:t>RC</w:t>
            </w:r>
          </w:p>
          <w:p w14:paraId="56CFA6F6" w14:textId="35A348FE" w:rsidR="00E21323" w:rsidRPr="006D09F5" w:rsidRDefault="00E21323" w:rsidP="00A55B6D">
            <w:pPr>
              <w:pStyle w:val="NoSpacing"/>
              <w:jc w:val="both"/>
              <w:rPr>
                <w:sz w:val="18"/>
                <w:szCs w:val="18"/>
              </w:rPr>
            </w:pPr>
            <w:r>
              <w:rPr>
                <w:sz w:val="18"/>
                <w:szCs w:val="18"/>
              </w:rPr>
              <w:t>UNV</w:t>
            </w:r>
          </w:p>
        </w:tc>
        <w:tc>
          <w:tcPr>
            <w:tcW w:w="4127" w:type="dxa"/>
          </w:tcPr>
          <w:p w14:paraId="1D1D3E10" w14:textId="77777777" w:rsidR="00164B81" w:rsidRDefault="00164B81" w:rsidP="00A55B6D">
            <w:pPr>
              <w:pStyle w:val="NoSpacing"/>
              <w:jc w:val="both"/>
              <w:rPr>
                <w:sz w:val="18"/>
                <w:szCs w:val="18"/>
              </w:rPr>
            </w:pPr>
            <w:r w:rsidRPr="006D09F5">
              <w:rPr>
                <w:sz w:val="18"/>
                <w:szCs w:val="18"/>
              </w:rPr>
              <w:t>U</w:t>
            </w:r>
            <w:r>
              <w:rPr>
                <w:sz w:val="18"/>
                <w:szCs w:val="18"/>
              </w:rPr>
              <w:t xml:space="preserve">nited </w:t>
            </w:r>
            <w:r w:rsidRPr="006D09F5">
              <w:rPr>
                <w:sz w:val="18"/>
                <w:szCs w:val="18"/>
              </w:rPr>
              <w:t>N</w:t>
            </w:r>
            <w:r>
              <w:rPr>
                <w:sz w:val="18"/>
                <w:szCs w:val="18"/>
              </w:rPr>
              <w:t>ations</w:t>
            </w:r>
            <w:r w:rsidRPr="006D09F5">
              <w:rPr>
                <w:sz w:val="18"/>
                <w:szCs w:val="18"/>
              </w:rPr>
              <w:t xml:space="preserve"> Resident Coordinator</w:t>
            </w:r>
          </w:p>
          <w:p w14:paraId="774518AF" w14:textId="733B1962" w:rsidR="00E21323" w:rsidRPr="006D09F5" w:rsidRDefault="00E21323" w:rsidP="00A55B6D">
            <w:pPr>
              <w:pStyle w:val="NoSpacing"/>
              <w:jc w:val="both"/>
              <w:rPr>
                <w:sz w:val="18"/>
                <w:szCs w:val="18"/>
              </w:rPr>
            </w:pPr>
            <w:r>
              <w:rPr>
                <w:sz w:val="18"/>
                <w:szCs w:val="18"/>
              </w:rPr>
              <w:t>United Nations Volunteers</w:t>
            </w:r>
          </w:p>
        </w:tc>
      </w:tr>
      <w:tr w:rsidR="00164B81" w:rsidRPr="006D09F5" w14:paraId="058F4728" w14:textId="77777777" w:rsidTr="003C36B1">
        <w:tc>
          <w:tcPr>
            <w:tcW w:w="1368" w:type="dxa"/>
          </w:tcPr>
          <w:p w14:paraId="5AEC5035" w14:textId="77777777" w:rsidR="00164B81" w:rsidRPr="008720AE" w:rsidRDefault="00164B81" w:rsidP="00A55B6D">
            <w:pPr>
              <w:pStyle w:val="NoSpacing"/>
              <w:jc w:val="both"/>
              <w:rPr>
                <w:sz w:val="18"/>
                <w:szCs w:val="18"/>
              </w:rPr>
            </w:pPr>
            <w:r w:rsidRPr="00902288">
              <w:rPr>
                <w:sz w:val="18"/>
                <w:szCs w:val="18"/>
              </w:rPr>
              <w:t xml:space="preserve">UN Women  </w:t>
            </w:r>
          </w:p>
        </w:tc>
        <w:tc>
          <w:tcPr>
            <w:tcW w:w="4127" w:type="dxa"/>
          </w:tcPr>
          <w:p w14:paraId="36CDF219" w14:textId="77777777" w:rsidR="00164B81" w:rsidRDefault="00164B81" w:rsidP="00A55B6D">
            <w:pPr>
              <w:pStyle w:val="NoSpacing"/>
              <w:jc w:val="both"/>
              <w:rPr>
                <w:sz w:val="18"/>
                <w:szCs w:val="18"/>
              </w:rPr>
            </w:pPr>
            <w:r w:rsidRPr="00902288">
              <w:rPr>
                <w:sz w:val="18"/>
                <w:szCs w:val="18"/>
              </w:rPr>
              <w:t xml:space="preserve">United Nations Entity for Gender Equality </w:t>
            </w:r>
          </w:p>
          <w:p w14:paraId="15CD71B1" w14:textId="77777777" w:rsidR="00164B81" w:rsidRPr="00902288" w:rsidRDefault="00164B81" w:rsidP="00A55B6D">
            <w:pPr>
              <w:pStyle w:val="NoSpacing"/>
              <w:jc w:val="both"/>
              <w:rPr>
                <w:sz w:val="18"/>
                <w:szCs w:val="18"/>
              </w:rPr>
            </w:pPr>
            <w:r w:rsidRPr="00902288">
              <w:rPr>
                <w:sz w:val="18"/>
                <w:szCs w:val="18"/>
              </w:rPr>
              <w:t>and the Empowerment of Women</w:t>
            </w:r>
          </w:p>
        </w:tc>
      </w:tr>
      <w:tr w:rsidR="00164B81" w:rsidRPr="008720AE" w14:paraId="1BC7A681" w14:textId="77777777" w:rsidTr="003C36B1">
        <w:tc>
          <w:tcPr>
            <w:tcW w:w="1368" w:type="dxa"/>
          </w:tcPr>
          <w:p w14:paraId="64A97151" w14:textId="77777777" w:rsidR="00164B81" w:rsidRPr="00902288" w:rsidRDefault="00164B81" w:rsidP="00A55B6D">
            <w:pPr>
              <w:pStyle w:val="NoSpacing"/>
              <w:jc w:val="both"/>
              <w:rPr>
                <w:sz w:val="18"/>
                <w:szCs w:val="18"/>
              </w:rPr>
            </w:pPr>
            <w:r>
              <w:rPr>
                <w:sz w:val="18"/>
                <w:szCs w:val="18"/>
              </w:rPr>
              <w:t>WB (IBRD)</w:t>
            </w:r>
          </w:p>
        </w:tc>
        <w:tc>
          <w:tcPr>
            <w:tcW w:w="4127" w:type="dxa"/>
          </w:tcPr>
          <w:p w14:paraId="536D1B93" w14:textId="77777777" w:rsidR="00164B81" w:rsidRPr="00902288" w:rsidRDefault="00164B81" w:rsidP="00A55B6D">
            <w:pPr>
              <w:pStyle w:val="NoSpacing"/>
              <w:jc w:val="both"/>
              <w:rPr>
                <w:sz w:val="18"/>
                <w:szCs w:val="18"/>
              </w:rPr>
            </w:pPr>
            <w:r>
              <w:rPr>
                <w:sz w:val="18"/>
                <w:szCs w:val="18"/>
              </w:rPr>
              <w:t>World Bank</w:t>
            </w:r>
          </w:p>
        </w:tc>
      </w:tr>
      <w:tr w:rsidR="00164B81" w:rsidRPr="008720AE" w14:paraId="611D6273" w14:textId="77777777" w:rsidTr="003C36B1">
        <w:tc>
          <w:tcPr>
            <w:tcW w:w="1368" w:type="dxa"/>
          </w:tcPr>
          <w:p w14:paraId="554B5D02" w14:textId="77777777" w:rsidR="00164B81" w:rsidRPr="008720AE" w:rsidRDefault="00164B81" w:rsidP="00A55B6D">
            <w:pPr>
              <w:pStyle w:val="NoSpacing"/>
              <w:jc w:val="both"/>
              <w:rPr>
                <w:sz w:val="18"/>
                <w:szCs w:val="18"/>
              </w:rPr>
            </w:pPr>
            <w:r w:rsidRPr="00902288">
              <w:rPr>
                <w:sz w:val="18"/>
                <w:szCs w:val="18"/>
              </w:rPr>
              <w:t>WHO</w:t>
            </w:r>
          </w:p>
        </w:tc>
        <w:tc>
          <w:tcPr>
            <w:tcW w:w="4127" w:type="dxa"/>
          </w:tcPr>
          <w:p w14:paraId="473BEDC4" w14:textId="77777777" w:rsidR="00164B81" w:rsidRPr="008720AE" w:rsidRDefault="00164B81" w:rsidP="00A55B6D">
            <w:pPr>
              <w:pStyle w:val="NoSpacing"/>
              <w:jc w:val="both"/>
              <w:rPr>
                <w:sz w:val="18"/>
                <w:szCs w:val="18"/>
              </w:rPr>
            </w:pPr>
            <w:r w:rsidRPr="00902288">
              <w:rPr>
                <w:sz w:val="18"/>
                <w:szCs w:val="18"/>
              </w:rPr>
              <w:t>World Health Organization</w:t>
            </w:r>
          </w:p>
        </w:tc>
      </w:tr>
      <w:tr w:rsidR="00164B81" w:rsidRPr="008720AE" w14:paraId="1716C70A" w14:textId="77777777" w:rsidTr="003C36B1">
        <w:tc>
          <w:tcPr>
            <w:tcW w:w="1368" w:type="dxa"/>
          </w:tcPr>
          <w:p w14:paraId="2FBEF491" w14:textId="77777777" w:rsidR="00164B81" w:rsidRPr="00902288" w:rsidRDefault="00164B81" w:rsidP="00A55B6D">
            <w:pPr>
              <w:pStyle w:val="NoSpacing"/>
              <w:jc w:val="both"/>
              <w:rPr>
                <w:sz w:val="18"/>
                <w:szCs w:val="18"/>
              </w:rPr>
            </w:pPr>
          </w:p>
        </w:tc>
        <w:tc>
          <w:tcPr>
            <w:tcW w:w="4127" w:type="dxa"/>
          </w:tcPr>
          <w:p w14:paraId="4BB91992" w14:textId="77777777" w:rsidR="00164B81" w:rsidRPr="00902288" w:rsidRDefault="00164B81" w:rsidP="00A55B6D">
            <w:pPr>
              <w:pStyle w:val="NoSpacing"/>
              <w:jc w:val="both"/>
              <w:rPr>
                <w:sz w:val="18"/>
                <w:szCs w:val="18"/>
              </w:rPr>
            </w:pPr>
          </w:p>
        </w:tc>
      </w:tr>
    </w:tbl>
    <w:p w14:paraId="5FDE8BAB" w14:textId="77777777" w:rsidR="00164B81" w:rsidRDefault="00164B81" w:rsidP="00A55B6D">
      <w:pPr>
        <w:pStyle w:val="NoSpacing"/>
        <w:jc w:val="both"/>
        <w:rPr>
          <w:sz w:val="18"/>
          <w:szCs w:val="18"/>
        </w:rPr>
      </w:pPr>
    </w:p>
    <w:p w14:paraId="00374243" w14:textId="77777777" w:rsidR="00774509" w:rsidRDefault="00774509" w:rsidP="00A55B6D">
      <w:pPr>
        <w:pStyle w:val="NoSpacing"/>
        <w:jc w:val="both"/>
        <w:rPr>
          <w:sz w:val="18"/>
          <w:szCs w:val="18"/>
        </w:rPr>
        <w:sectPr w:rsidR="00774509" w:rsidSect="00A55B6D">
          <w:type w:val="continuous"/>
          <w:pgSz w:w="12240" w:h="15840"/>
          <w:pgMar w:top="1440" w:right="1041" w:bottom="1440" w:left="993"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cols w:num="2" w:space="285"/>
          <w:docGrid w:linePitch="360"/>
        </w:sect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805"/>
      </w:tblGrid>
      <w:tr w:rsidR="00774509" w:rsidRPr="00774509" w14:paraId="77C042EA" w14:textId="77777777" w:rsidTr="00774509">
        <w:tc>
          <w:tcPr>
            <w:tcW w:w="1368" w:type="dxa"/>
            <w:tcBorders>
              <w:bottom w:val="single" w:sz="4" w:space="0" w:color="8DB3E2" w:themeColor="text2" w:themeTint="66"/>
            </w:tcBorders>
          </w:tcPr>
          <w:p w14:paraId="6DA0642D" w14:textId="77777777" w:rsidR="00774509" w:rsidRPr="00774509" w:rsidRDefault="00774509" w:rsidP="00774509">
            <w:pPr>
              <w:pStyle w:val="NoSpacing"/>
              <w:jc w:val="both"/>
              <w:rPr>
                <w:b/>
                <w:color w:val="595959" w:themeColor="text1" w:themeTint="A6"/>
                <w:sz w:val="18"/>
                <w:szCs w:val="18"/>
              </w:rPr>
            </w:pPr>
          </w:p>
        </w:tc>
        <w:tc>
          <w:tcPr>
            <w:tcW w:w="8805" w:type="dxa"/>
            <w:tcBorders>
              <w:bottom w:val="single" w:sz="4" w:space="0" w:color="8DB3E2" w:themeColor="text2" w:themeTint="66"/>
            </w:tcBorders>
          </w:tcPr>
          <w:p w14:paraId="3D300F1B" w14:textId="77777777" w:rsidR="00774509" w:rsidRPr="00774509" w:rsidRDefault="00774509" w:rsidP="00774509">
            <w:pPr>
              <w:pStyle w:val="NoSpacing"/>
              <w:jc w:val="both"/>
              <w:rPr>
                <w:b/>
                <w:color w:val="595959" w:themeColor="text1" w:themeTint="A6"/>
                <w:sz w:val="18"/>
                <w:szCs w:val="18"/>
              </w:rPr>
            </w:pPr>
          </w:p>
        </w:tc>
      </w:tr>
      <w:tr w:rsidR="00164B81" w:rsidRPr="000D3585" w14:paraId="0AF48D2A" w14:textId="77777777" w:rsidTr="00774509">
        <w:tc>
          <w:tcPr>
            <w:tcW w:w="1368" w:type="dxa"/>
            <w:tcBorders>
              <w:top w:val="single" w:sz="4" w:space="0" w:color="8DB3E2" w:themeColor="text2" w:themeTint="66"/>
            </w:tcBorders>
          </w:tcPr>
          <w:p w14:paraId="794D1B11" w14:textId="77777777" w:rsidR="00164B81" w:rsidRPr="000D3585" w:rsidRDefault="00164B81" w:rsidP="00774509">
            <w:pPr>
              <w:pStyle w:val="NoSpacing"/>
              <w:spacing w:before="240" w:after="120"/>
              <w:jc w:val="both"/>
              <w:rPr>
                <w:b/>
                <w:color w:val="595959" w:themeColor="text1" w:themeTint="A6"/>
                <w:sz w:val="20"/>
                <w:szCs w:val="20"/>
              </w:rPr>
            </w:pPr>
            <w:r w:rsidRPr="000D3585">
              <w:rPr>
                <w:b/>
                <w:color w:val="595959" w:themeColor="text1" w:themeTint="A6"/>
                <w:sz w:val="20"/>
                <w:szCs w:val="20"/>
              </w:rPr>
              <w:t>Other</w:t>
            </w:r>
          </w:p>
        </w:tc>
        <w:tc>
          <w:tcPr>
            <w:tcW w:w="8805" w:type="dxa"/>
            <w:tcBorders>
              <w:top w:val="single" w:sz="4" w:space="0" w:color="8DB3E2" w:themeColor="text2" w:themeTint="66"/>
            </w:tcBorders>
          </w:tcPr>
          <w:p w14:paraId="1E144700" w14:textId="77777777" w:rsidR="00164B81" w:rsidRPr="000D3585" w:rsidRDefault="00164B81" w:rsidP="00A55B6D">
            <w:pPr>
              <w:pStyle w:val="NoSpacing"/>
              <w:jc w:val="both"/>
              <w:rPr>
                <w:b/>
                <w:color w:val="595959" w:themeColor="text1" w:themeTint="A6"/>
                <w:sz w:val="20"/>
                <w:szCs w:val="20"/>
              </w:rPr>
            </w:pPr>
          </w:p>
        </w:tc>
      </w:tr>
    </w:tbl>
    <w:p w14:paraId="62D846A4" w14:textId="77777777" w:rsidR="00164B81" w:rsidRDefault="00164B81" w:rsidP="00A55B6D">
      <w:pPr>
        <w:pStyle w:val="NoSpacing"/>
        <w:jc w:val="both"/>
        <w:rPr>
          <w:sz w:val="18"/>
          <w:szCs w:val="18"/>
        </w:rPr>
        <w:sectPr w:rsidR="00164B81" w:rsidSect="00A55B6D">
          <w:type w:val="continuous"/>
          <w:pgSz w:w="12240" w:h="15840"/>
          <w:pgMar w:top="1440" w:right="1041" w:bottom="1440" w:left="993"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cols w:space="285"/>
          <w:docGrid w:linePitch="360"/>
        </w:sectPr>
      </w:pPr>
    </w:p>
    <w:tbl>
      <w:tblPr>
        <w:tblStyle w:val="TableGrid"/>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985"/>
      </w:tblGrid>
      <w:tr w:rsidR="00164B81" w:rsidRPr="006D09F5" w14:paraId="00378AA0" w14:textId="77777777" w:rsidTr="003C36B1">
        <w:tc>
          <w:tcPr>
            <w:tcW w:w="1368" w:type="dxa"/>
          </w:tcPr>
          <w:p w14:paraId="1E1AFF3C" w14:textId="77777777" w:rsidR="00164B81" w:rsidRDefault="00164B81" w:rsidP="00A55B6D">
            <w:pPr>
              <w:pStyle w:val="NoSpacing"/>
              <w:jc w:val="both"/>
              <w:rPr>
                <w:sz w:val="18"/>
                <w:szCs w:val="18"/>
              </w:rPr>
            </w:pPr>
            <w:r>
              <w:rPr>
                <w:sz w:val="18"/>
                <w:szCs w:val="18"/>
              </w:rPr>
              <w:t>ALMP</w:t>
            </w:r>
          </w:p>
        </w:tc>
        <w:tc>
          <w:tcPr>
            <w:tcW w:w="3985" w:type="dxa"/>
          </w:tcPr>
          <w:p w14:paraId="0CBE6BBB" w14:textId="456ABCDE" w:rsidR="00164B81" w:rsidRDefault="00164B81" w:rsidP="00C367B3">
            <w:pPr>
              <w:pStyle w:val="NoSpacing"/>
              <w:jc w:val="both"/>
              <w:rPr>
                <w:sz w:val="18"/>
                <w:szCs w:val="18"/>
              </w:rPr>
            </w:pPr>
            <w:r>
              <w:rPr>
                <w:sz w:val="18"/>
                <w:szCs w:val="18"/>
              </w:rPr>
              <w:t>Active labour market policy</w:t>
            </w:r>
            <w:r w:rsidR="00C367B3">
              <w:rPr>
                <w:sz w:val="18"/>
                <w:szCs w:val="18"/>
              </w:rPr>
              <w:t xml:space="preserve"> or </w:t>
            </w:r>
            <w:r>
              <w:rPr>
                <w:sz w:val="18"/>
                <w:szCs w:val="18"/>
              </w:rPr>
              <w:t>programme</w:t>
            </w:r>
          </w:p>
        </w:tc>
      </w:tr>
      <w:tr w:rsidR="00164B81" w:rsidRPr="006D09F5" w14:paraId="7206A6CD" w14:textId="77777777" w:rsidTr="003C36B1">
        <w:tc>
          <w:tcPr>
            <w:tcW w:w="1368" w:type="dxa"/>
          </w:tcPr>
          <w:p w14:paraId="6DCDDD9C" w14:textId="77777777" w:rsidR="00164B81" w:rsidRPr="006D09F5" w:rsidRDefault="00164B81" w:rsidP="00A55B6D">
            <w:pPr>
              <w:pStyle w:val="NoSpacing"/>
              <w:jc w:val="both"/>
              <w:rPr>
                <w:sz w:val="18"/>
                <w:szCs w:val="18"/>
              </w:rPr>
            </w:pPr>
            <w:r>
              <w:rPr>
                <w:sz w:val="18"/>
                <w:szCs w:val="18"/>
              </w:rPr>
              <w:t>CCA</w:t>
            </w:r>
          </w:p>
        </w:tc>
        <w:tc>
          <w:tcPr>
            <w:tcW w:w="3985" w:type="dxa"/>
          </w:tcPr>
          <w:p w14:paraId="0DBBA070" w14:textId="77777777" w:rsidR="00164B81" w:rsidRPr="006D09F5" w:rsidRDefault="00164B81" w:rsidP="00A55B6D">
            <w:pPr>
              <w:pStyle w:val="NoSpacing"/>
              <w:jc w:val="both"/>
              <w:rPr>
                <w:sz w:val="18"/>
                <w:szCs w:val="18"/>
              </w:rPr>
            </w:pPr>
            <w:r>
              <w:rPr>
                <w:sz w:val="18"/>
                <w:szCs w:val="18"/>
              </w:rPr>
              <w:t>Common Country Assessment</w:t>
            </w:r>
          </w:p>
        </w:tc>
      </w:tr>
      <w:tr w:rsidR="00164B81" w:rsidRPr="006D09F5" w14:paraId="3D419537" w14:textId="77777777" w:rsidTr="003C36B1">
        <w:tc>
          <w:tcPr>
            <w:tcW w:w="1368" w:type="dxa"/>
          </w:tcPr>
          <w:p w14:paraId="0439F692" w14:textId="77777777" w:rsidR="00164B81" w:rsidRPr="006D09F5" w:rsidRDefault="00164B81" w:rsidP="00A55B6D">
            <w:pPr>
              <w:pStyle w:val="NoSpacing"/>
              <w:jc w:val="both"/>
              <w:rPr>
                <w:sz w:val="18"/>
                <w:szCs w:val="18"/>
              </w:rPr>
            </w:pPr>
            <w:r>
              <w:rPr>
                <w:sz w:val="18"/>
                <w:szCs w:val="18"/>
              </w:rPr>
              <w:t xml:space="preserve">CF </w:t>
            </w:r>
          </w:p>
        </w:tc>
        <w:tc>
          <w:tcPr>
            <w:tcW w:w="3985" w:type="dxa"/>
          </w:tcPr>
          <w:p w14:paraId="3EB4E853" w14:textId="77777777" w:rsidR="00164B81" w:rsidRPr="006D09F5" w:rsidRDefault="00164B81" w:rsidP="00A55B6D">
            <w:pPr>
              <w:pStyle w:val="NoSpacing"/>
              <w:jc w:val="both"/>
              <w:rPr>
                <w:sz w:val="18"/>
                <w:szCs w:val="18"/>
              </w:rPr>
            </w:pPr>
            <w:r>
              <w:rPr>
                <w:sz w:val="18"/>
                <w:szCs w:val="18"/>
              </w:rPr>
              <w:t>Sustainable Development Cooperation Framework</w:t>
            </w:r>
          </w:p>
        </w:tc>
      </w:tr>
      <w:tr w:rsidR="00164B81" w:rsidRPr="006D09F5" w14:paraId="0CAEFE49" w14:textId="77777777" w:rsidTr="003C36B1">
        <w:tc>
          <w:tcPr>
            <w:tcW w:w="1368" w:type="dxa"/>
          </w:tcPr>
          <w:p w14:paraId="18062963" w14:textId="77777777" w:rsidR="00164B81" w:rsidRPr="006D09F5" w:rsidRDefault="00164B81" w:rsidP="00A55B6D">
            <w:pPr>
              <w:pStyle w:val="NoSpacing"/>
              <w:jc w:val="both"/>
              <w:rPr>
                <w:sz w:val="18"/>
                <w:szCs w:val="18"/>
              </w:rPr>
            </w:pPr>
            <w:r w:rsidRPr="009B6BA4">
              <w:rPr>
                <w:sz w:val="18"/>
                <w:szCs w:val="18"/>
              </w:rPr>
              <w:t>CO</w:t>
            </w:r>
            <w:r w:rsidRPr="009B6BA4">
              <w:rPr>
                <w:sz w:val="18"/>
                <w:szCs w:val="18"/>
                <w:vertAlign w:val="subscript"/>
              </w:rPr>
              <w:t>2</w:t>
            </w:r>
          </w:p>
        </w:tc>
        <w:tc>
          <w:tcPr>
            <w:tcW w:w="3985" w:type="dxa"/>
          </w:tcPr>
          <w:p w14:paraId="3F6E7C9A" w14:textId="77777777" w:rsidR="00164B81" w:rsidRPr="006D09F5" w:rsidRDefault="00164B81" w:rsidP="00A55B6D">
            <w:pPr>
              <w:pStyle w:val="NoSpacing"/>
              <w:jc w:val="both"/>
              <w:rPr>
                <w:sz w:val="18"/>
                <w:szCs w:val="18"/>
              </w:rPr>
            </w:pPr>
            <w:r>
              <w:rPr>
                <w:sz w:val="18"/>
                <w:szCs w:val="18"/>
              </w:rPr>
              <w:t>Carbon dioxide (Greenhouse gas)</w:t>
            </w:r>
          </w:p>
        </w:tc>
      </w:tr>
      <w:tr w:rsidR="00164B81" w:rsidRPr="006D09F5" w14:paraId="5B4AF0B1" w14:textId="77777777" w:rsidTr="003C36B1">
        <w:tc>
          <w:tcPr>
            <w:tcW w:w="1368" w:type="dxa"/>
          </w:tcPr>
          <w:p w14:paraId="305DDDEF" w14:textId="77777777" w:rsidR="00164B81" w:rsidRPr="006D09F5" w:rsidRDefault="00164B81" w:rsidP="00A55B6D">
            <w:pPr>
              <w:pStyle w:val="NoSpacing"/>
              <w:jc w:val="both"/>
              <w:rPr>
                <w:sz w:val="18"/>
                <w:szCs w:val="18"/>
              </w:rPr>
            </w:pPr>
            <w:r w:rsidRPr="006D09F5">
              <w:rPr>
                <w:sz w:val="18"/>
                <w:szCs w:val="18"/>
              </w:rPr>
              <w:t>CSO</w:t>
            </w:r>
          </w:p>
        </w:tc>
        <w:tc>
          <w:tcPr>
            <w:tcW w:w="3985" w:type="dxa"/>
          </w:tcPr>
          <w:p w14:paraId="1C17E222" w14:textId="77777777" w:rsidR="00164B81" w:rsidRPr="006D09F5" w:rsidRDefault="00164B81" w:rsidP="00A55B6D">
            <w:pPr>
              <w:pStyle w:val="NoSpacing"/>
              <w:jc w:val="both"/>
              <w:rPr>
                <w:sz w:val="18"/>
                <w:szCs w:val="18"/>
              </w:rPr>
            </w:pPr>
            <w:r w:rsidRPr="006D09F5">
              <w:rPr>
                <w:sz w:val="18"/>
                <w:szCs w:val="18"/>
              </w:rPr>
              <w:t xml:space="preserve">Civil </w:t>
            </w:r>
            <w:r>
              <w:rPr>
                <w:sz w:val="18"/>
                <w:szCs w:val="18"/>
              </w:rPr>
              <w:t>s</w:t>
            </w:r>
            <w:r w:rsidRPr="006D09F5">
              <w:rPr>
                <w:sz w:val="18"/>
                <w:szCs w:val="18"/>
              </w:rPr>
              <w:t xml:space="preserve">ociety </w:t>
            </w:r>
            <w:r>
              <w:rPr>
                <w:sz w:val="18"/>
                <w:szCs w:val="18"/>
              </w:rPr>
              <w:t>o</w:t>
            </w:r>
            <w:r w:rsidRPr="006D09F5">
              <w:rPr>
                <w:sz w:val="18"/>
                <w:szCs w:val="18"/>
              </w:rPr>
              <w:t>rgani</w:t>
            </w:r>
            <w:r>
              <w:rPr>
                <w:sz w:val="18"/>
                <w:szCs w:val="18"/>
              </w:rPr>
              <w:t>s</w:t>
            </w:r>
            <w:r w:rsidRPr="006D09F5">
              <w:rPr>
                <w:sz w:val="18"/>
                <w:szCs w:val="18"/>
              </w:rPr>
              <w:t>ation</w:t>
            </w:r>
          </w:p>
        </w:tc>
      </w:tr>
      <w:tr w:rsidR="00164B81" w:rsidRPr="006D09F5" w14:paraId="5E26C624" w14:textId="77777777" w:rsidTr="003C36B1">
        <w:tc>
          <w:tcPr>
            <w:tcW w:w="1368" w:type="dxa"/>
          </w:tcPr>
          <w:p w14:paraId="650094EF" w14:textId="77777777" w:rsidR="00164B81" w:rsidRPr="006D09F5" w:rsidRDefault="00164B81" w:rsidP="00A55B6D">
            <w:pPr>
              <w:pStyle w:val="NoSpacing"/>
              <w:jc w:val="both"/>
              <w:rPr>
                <w:sz w:val="18"/>
                <w:szCs w:val="18"/>
              </w:rPr>
            </w:pPr>
            <w:r w:rsidRPr="006D09F5">
              <w:rPr>
                <w:sz w:val="18"/>
                <w:szCs w:val="18"/>
              </w:rPr>
              <w:t>DR</w:t>
            </w:r>
            <w:r>
              <w:rPr>
                <w:sz w:val="18"/>
                <w:szCs w:val="18"/>
              </w:rPr>
              <w:t>R</w:t>
            </w:r>
          </w:p>
        </w:tc>
        <w:tc>
          <w:tcPr>
            <w:tcW w:w="3985" w:type="dxa"/>
          </w:tcPr>
          <w:p w14:paraId="625E7E79" w14:textId="77777777" w:rsidR="00164B81" w:rsidRPr="006D09F5" w:rsidRDefault="00164B81" w:rsidP="00A55B6D">
            <w:pPr>
              <w:pStyle w:val="NoSpacing"/>
              <w:jc w:val="both"/>
              <w:rPr>
                <w:sz w:val="18"/>
                <w:szCs w:val="18"/>
              </w:rPr>
            </w:pPr>
            <w:r w:rsidRPr="006D09F5">
              <w:rPr>
                <w:sz w:val="18"/>
                <w:szCs w:val="18"/>
              </w:rPr>
              <w:t xml:space="preserve">Disaster </w:t>
            </w:r>
            <w:r>
              <w:rPr>
                <w:sz w:val="18"/>
                <w:szCs w:val="18"/>
              </w:rPr>
              <w:t>r</w:t>
            </w:r>
            <w:r w:rsidRPr="006D09F5">
              <w:rPr>
                <w:sz w:val="18"/>
                <w:szCs w:val="18"/>
              </w:rPr>
              <w:t xml:space="preserve">isk </w:t>
            </w:r>
            <w:r>
              <w:rPr>
                <w:sz w:val="18"/>
                <w:szCs w:val="18"/>
              </w:rPr>
              <w:t>reduction</w:t>
            </w:r>
          </w:p>
        </w:tc>
      </w:tr>
      <w:tr w:rsidR="00164B81" w:rsidRPr="006D09F5" w14:paraId="7EC49057" w14:textId="77777777" w:rsidTr="003C36B1">
        <w:tc>
          <w:tcPr>
            <w:tcW w:w="1368" w:type="dxa"/>
          </w:tcPr>
          <w:p w14:paraId="108C3949" w14:textId="77777777" w:rsidR="00164B81" w:rsidRPr="00E270E6" w:rsidRDefault="00164B81" w:rsidP="00A55B6D">
            <w:pPr>
              <w:pStyle w:val="NoSpacing"/>
              <w:jc w:val="both"/>
              <w:rPr>
                <w:sz w:val="18"/>
                <w:szCs w:val="18"/>
              </w:rPr>
            </w:pPr>
            <w:r>
              <w:rPr>
                <w:sz w:val="18"/>
                <w:szCs w:val="18"/>
              </w:rPr>
              <w:t>EBRD</w:t>
            </w:r>
          </w:p>
        </w:tc>
        <w:tc>
          <w:tcPr>
            <w:tcW w:w="3985" w:type="dxa"/>
          </w:tcPr>
          <w:p w14:paraId="6E7E4FB4" w14:textId="77777777" w:rsidR="00164B81" w:rsidRPr="00E270E6" w:rsidRDefault="00164B81" w:rsidP="00A55B6D">
            <w:pPr>
              <w:pStyle w:val="NoSpacing"/>
              <w:jc w:val="both"/>
              <w:rPr>
                <w:sz w:val="18"/>
                <w:szCs w:val="18"/>
              </w:rPr>
            </w:pPr>
            <w:r>
              <w:rPr>
                <w:sz w:val="18"/>
                <w:szCs w:val="18"/>
              </w:rPr>
              <w:t>European Bank for Reconstruction and Development</w:t>
            </w:r>
          </w:p>
        </w:tc>
      </w:tr>
      <w:tr w:rsidR="00164B81" w:rsidRPr="006D09F5" w14:paraId="5950F1C7" w14:textId="77777777" w:rsidTr="003C36B1">
        <w:tc>
          <w:tcPr>
            <w:tcW w:w="1368" w:type="dxa"/>
          </w:tcPr>
          <w:p w14:paraId="55E265CC" w14:textId="77777777" w:rsidR="00164B81" w:rsidRPr="006D09F5" w:rsidRDefault="00164B81" w:rsidP="00A55B6D">
            <w:pPr>
              <w:pStyle w:val="NoSpacing"/>
              <w:jc w:val="both"/>
              <w:rPr>
                <w:sz w:val="18"/>
                <w:szCs w:val="18"/>
              </w:rPr>
            </w:pPr>
            <w:r w:rsidRPr="00E270E6">
              <w:rPr>
                <w:sz w:val="18"/>
                <w:szCs w:val="18"/>
              </w:rPr>
              <w:t>ECD/ECE</w:t>
            </w:r>
          </w:p>
        </w:tc>
        <w:tc>
          <w:tcPr>
            <w:tcW w:w="3985" w:type="dxa"/>
          </w:tcPr>
          <w:p w14:paraId="69681740" w14:textId="77777777" w:rsidR="00164B81" w:rsidRPr="006D09F5" w:rsidRDefault="00164B81" w:rsidP="00A55B6D">
            <w:pPr>
              <w:pStyle w:val="NoSpacing"/>
              <w:jc w:val="both"/>
              <w:rPr>
                <w:sz w:val="18"/>
                <w:szCs w:val="18"/>
              </w:rPr>
            </w:pPr>
            <w:r w:rsidRPr="00E270E6">
              <w:rPr>
                <w:sz w:val="18"/>
                <w:szCs w:val="18"/>
              </w:rPr>
              <w:t>Early childhood development/ education</w:t>
            </w:r>
          </w:p>
        </w:tc>
      </w:tr>
      <w:tr w:rsidR="00164B81" w:rsidRPr="006D09F5" w14:paraId="7A19C60A" w14:textId="77777777" w:rsidTr="003C36B1">
        <w:tc>
          <w:tcPr>
            <w:tcW w:w="1368" w:type="dxa"/>
          </w:tcPr>
          <w:p w14:paraId="11583EFB" w14:textId="77777777" w:rsidR="00164B81" w:rsidRPr="006D09F5" w:rsidRDefault="00164B81" w:rsidP="00A55B6D">
            <w:pPr>
              <w:pStyle w:val="NoSpacing"/>
              <w:jc w:val="both"/>
              <w:rPr>
                <w:sz w:val="18"/>
                <w:szCs w:val="18"/>
              </w:rPr>
            </w:pPr>
            <w:r>
              <w:rPr>
                <w:sz w:val="18"/>
                <w:szCs w:val="18"/>
              </w:rPr>
              <w:t>FDI</w:t>
            </w:r>
          </w:p>
        </w:tc>
        <w:tc>
          <w:tcPr>
            <w:tcW w:w="3985" w:type="dxa"/>
          </w:tcPr>
          <w:p w14:paraId="0174D4F1" w14:textId="77777777" w:rsidR="00164B81" w:rsidRPr="006D09F5" w:rsidRDefault="00164B81" w:rsidP="00A55B6D">
            <w:pPr>
              <w:pStyle w:val="NoSpacing"/>
              <w:jc w:val="both"/>
              <w:rPr>
                <w:sz w:val="18"/>
                <w:szCs w:val="18"/>
              </w:rPr>
            </w:pPr>
            <w:r>
              <w:rPr>
                <w:sz w:val="18"/>
                <w:szCs w:val="18"/>
              </w:rPr>
              <w:t>Foreign Direct Investment</w:t>
            </w:r>
          </w:p>
        </w:tc>
      </w:tr>
      <w:tr w:rsidR="00164B81" w:rsidRPr="006D09F5" w14:paraId="3DFCE045" w14:textId="77777777" w:rsidTr="003C36B1">
        <w:tc>
          <w:tcPr>
            <w:tcW w:w="1368" w:type="dxa"/>
          </w:tcPr>
          <w:p w14:paraId="49CF5915" w14:textId="77777777" w:rsidR="00164B81" w:rsidRPr="006D09F5" w:rsidRDefault="00164B81" w:rsidP="00A55B6D">
            <w:pPr>
              <w:pStyle w:val="NoSpacing"/>
              <w:jc w:val="both"/>
              <w:rPr>
                <w:sz w:val="18"/>
                <w:szCs w:val="18"/>
              </w:rPr>
            </w:pPr>
            <w:r w:rsidRPr="006D09F5">
              <w:rPr>
                <w:sz w:val="18"/>
                <w:szCs w:val="18"/>
              </w:rPr>
              <w:t>GDP</w:t>
            </w:r>
          </w:p>
        </w:tc>
        <w:tc>
          <w:tcPr>
            <w:tcW w:w="3985" w:type="dxa"/>
          </w:tcPr>
          <w:p w14:paraId="32994BC7" w14:textId="77777777" w:rsidR="00164B81" w:rsidRPr="006D09F5" w:rsidRDefault="00164B81" w:rsidP="00A55B6D">
            <w:pPr>
              <w:pStyle w:val="NoSpacing"/>
              <w:jc w:val="both"/>
              <w:rPr>
                <w:sz w:val="18"/>
                <w:szCs w:val="18"/>
              </w:rPr>
            </w:pPr>
            <w:r w:rsidRPr="006D09F5">
              <w:rPr>
                <w:sz w:val="18"/>
                <w:szCs w:val="18"/>
              </w:rPr>
              <w:t>Gross Domestic Product</w:t>
            </w:r>
          </w:p>
        </w:tc>
      </w:tr>
      <w:tr w:rsidR="00164B81" w:rsidRPr="006D09F5" w14:paraId="2A9CF5DD" w14:textId="77777777" w:rsidTr="003C36B1">
        <w:tc>
          <w:tcPr>
            <w:tcW w:w="1368" w:type="dxa"/>
          </w:tcPr>
          <w:p w14:paraId="29347BC7" w14:textId="77777777" w:rsidR="00164B81" w:rsidRDefault="00164B81" w:rsidP="00A55B6D">
            <w:pPr>
              <w:pStyle w:val="NoSpacing"/>
              <w:jc w:val="both"/>
              <w:rPr>
                <w:sz w:val="18"/>
                <w:szCs w:val="18"/>
              </w:rPr>
            </w:pPr>
            <w:r>
              <w:rPr>
                <w:sz w:val="18"/>
                <w:szCs w:val="18"/>
              </w:rPr>
              <w:t>GEF</w:t>
            </w:r>
          </w:p>
        </w:tc>
        <w:tc>
          <w:tcPr>
            <w:tcW w:w="3985" w:type="dxa"/>
          </w:tcPr>
          <w:p w14:paraId="5D7D4A6C" w14:textId="77777777" w:rsidR="00164B81" w:rsidRDefault="00164B81" w:rsidP="00A55B6D">
            <w:pPr>
              <w:pStyle w:val="NoSpacing"/>
              <w:jc w:val="both"/>
              <w:rPr>
                <w:sz w:val="18"/>
                <w:szCs w:val="18"/>
              </w:rPr>
            </w:pPr>
            <w:r>
              <w:rPr>
                <w:sz w:val="18"/>
                <w:szCs w:val="18"/>
              </w:rPr>
              <w:t>Global Environment Facility</w:t>
            </w:r>
          </w:p>
        </w:tc>
      </w:tr>
      <w:tr w:rsidR="00164B81" w:rsidRPr="006D09F5" w14:paraId="427AC82B" w14:textId="77777777" w:rsidTr="003C36B1">
        <w:tc>
          <w:tcPr>
            <w:tcW w:w="1368" w:type="dxa"/>
          </w:tcPr>
          <w:p w14:paraId="6290F6F3" w14:textId="77777777" w:rsidR="00164B81" w:rsidRPr="006D09F5" w:rsidRDefault="00164B81" w:rsidP="00A55B6D">
            <w:pPr>
              <w:pStyle w:val="NoSpacing"/>
              <w:jc w:val="both"/>
              <w:rPr>
                <w:sz w:val="18"/>
                <w:szCs w:val="18"/>
              </w:rPr>
            </w:pPr>
            <w:r>
              <w:rPr>
                <w:sz w:val="18"/>
                <w:szCs w:val="18"/>
              </w:rPr>
              <w:t>GEWE</w:t>
            </w:r>
          </w:p>
        </w:tc>
        <w:tc>
          <w:tcPr>
            <w:tcW w:w="3985" w:type="dxa"/>
          </w:tcPr>
          <w:p w14:paraId="6E5EB60B" w14:textId="77777777" w:rsidR="00164B81" w:rsidRPr="006D09F5" w:rsidRDefault="00164B81" w:rsidP="00A55B6D">
            <w:pPr>
              <w:pStyle w:val="NoSpacing"/>
              <w:jc w:val="both"/>
              <w:rPr>
                <w:sz w:val="18"/>
                <w:szCs w:val="18"/>
              </w:rPr>
            </w:pPr>
            <w:r>
              <w:rPr>
                <w:sz w:val="18"/>
                <w:szCs w:val="18"/>
              </w:rPr>
              <w:t>Gender equality and women’s empowerment</w:t>
            </w:r>
          </w:p>
        </w:tc>
      </w:tr>
      <w:tr w:rsidR="00164B81" w:rsidRPr="006D09F5" w14:paraId="54B0837E" w14:textId="77777777" w:rsidTr="003C36B1">
        <w:tc>
          <w:tcPr>
            <w:tcW w:w="1368" w:type="dxa"/>
          </w:tcPr>
          <w:p w14:paraId="7B5E0357" w14:textId="77777777" w:rsidR="00164B81" w:rsidRPr="006D09F5" w:rsidRDefault="00164B81" w:rsidP="00A55B6D">
            <w:pPr>
              <w:pStyle w:val="NoSpacing"/>
              <w:jc w:val="both"/>
              <w:rPr>
                <w:sz w:val="18"/>
                <w:szCs w:val="18"/>
              </w:rPr>
            </w:pPr>
            <w:r w:rsidRPr="006D09F5">
              <w:rPr>
                <w:sz w:val="18"/>
                <w:szCs w:val="18"/>
              </w:rPr>
              <w:t>G</w:t>
            </w:r>
            <w:r>
              <w:rPr>
                <w:sz w:val="18"/>
                <w:szCs w:val="18"/>
              </w:rPr>
              <w:t>h</w:t>
            </w:r>
            <w:r w:rsidRPr="006D09F5">
              <w:rPr>
                <w:sz w:val="18"/>
                <w:szCs w:val="18"/>
              </w:rPr>
              <w:t>G</w:t>
            </w:r>
          </w:p>
        </w:tc>
        <w:tc>
          <w:tcPr>
            <w:tcW w:w="3985" w:type="dxa"/>
          </w:tcPr>
          <w:p w14:paraId="60B32C1F" w14:textId="77777777" w:rsidR="00164B81" w:rsidRPr="006D09F5" w:rsidRDefault="00164B81" w:rsidP="00A55B6D">
            <w:pPr>
              <w:pStyle w:val="NoSpacing"/>
              <w:jc w:val="both"/>
              <w:rPr>
                <w:sz w:val="18"/>
                <w:szCs w:val="18"/>
              </w:rPr>
            </w:pPr>
            <w:r w:rsidRPr="006D09F5">
              <w:rPr>
                <w:sz w:val="18"/>
                <w:szCs w:val="18"/>
              </w:rPr>
              <w:t>Greenhouse Gas</w:t>
            </w:r>
            <w:r>
              <w:rPr>
                <w:sz w:val="18"/>
                <w:szCs w:val="18"/>
              </w:rPr>
              <w:t>es</w:t>
            </w:r>
          </w:p>
        </w:tc>
      </w:tr>
      <w:tr w:rsidR="00164B81" w:rsidRPr="006D09F5" w14:paraId="7D9D09D0" w14:textId="77777777" w:rsidTr="003C36B1">
        <w:tc>
          <w:tcPr>
            <w:tcW w:w="1368" w:type="dxa"/>
          </w:tcPr>
          <w:p w14:paraId="12B157A3" w14:textId="77777777" w:rsidR="00164B81" w:rsidRPr="006D09F5" w:rsidRDefault="00164B81" w:rsidP="00A55B6D">
            <w:pPr>
              <w:pStyle w:val="NoSpacing"/>
              <w:jc w:val="both"/>
              <w:rPr>
                <w:sz w:val="18"/>
                <w:szCs w:val="18"/>
              </w:rPr>
            </w:pPr>
            <w:r>
              <w:rPr>
                <w:sz w:val="18"/>
                <w:szCs w:val="18"/>
              </w:rPr>
              <w:t>HDI</w:t>
            </w:r>
          </w:p>
        </w:tc>
        <w:tc>
          <w:tcPr>
            <w:tcW w:w="3985" w:type="dxa"/>
          </w:tcPr>
          <w:p w14:paraId="387BBA0B" w14:textId="77777777" w:rsidR="00164B81" w:rsidRPr="006D09F5" w:rsidRDefault="00164B81" w:rsidP="00A55B6D">
            <w:pPr>
              <w:pStyle w:val="NoSpacing"/>
              <w:jc w:val="both"/>
              <w:rPr>
                <w:sz w:val="18"/>
                <w:szCs w:val="18"/>
              </w:rPr>
            </w:pPr>
            <w:r>
              <w:rPr>
                <w:sz w:val="18"/>
                <w:szCs w:val="18"/>
              </w:rPr>
              <w:t>Human Development Index</w:t>
            </w:r>
          </w:p>
        </w:tc>
      </w:tr>
      <w:tr w:rsidR="00164B81" w:rsidRPr="006D09F5" w14:paraId="5AAD1EF4" w14:textId="77777777" w:rsidTr="003C36B1">
        <w:tc>
          <w:tcPr>
            <w:tcW w:w="1368" w:type="dxa"/>
          </w:tcPr>
          <w:p w14:paraId="0C8E7E41" w14:textId="77777777" w:rsidR="00164B81" w:rsidRDefault="00164B81" w:rsidP="00A55B6D">
            <w:pPr>
              <w:pStyle w:val="NoSpacing"/>
              <w:jc w:val="both"/>
              <w:rPr>
                <w:sz w:val="18"/>
                <w:szCs w:val="18"/>
              </w:rPr>
            </w:pPr>
            <w:r>
              <w:rPr>
                <w:sz w:val="18"/>
                <w:szCs w:val="18"/>
              </w:rPr>
              <w:t>JWP</w:t>
            </w:r>
          </w:p>
        </w:tc>
        <w:tc>
          <w:tcPr>
            <w:tcW w:w="3985" w:type="dxa"/>
          </w:tcPr>
          <w:p w14:paraId="518E49AC" w14:textId="77777777" w:rsidR="00164B81" w:rsidRDefault="00164B81" w:rsidP="00A55B6D">
            <w:pPr>
              <w:pStyle w:val="NoSpacing"/>
              <w:jc w:val="both"/>
              <w:rPr>
                <w:sz w:val="18"/>
                <w:szCs w:val="18"/>
              </w:rPr>
            </w:pPr>
            <w:r>
              <w:rPr>
                <w:sz w:val="18"/>
                <w:szCs w:val="18"/>
              </w:rPr>
              <w:t>Joint work plan (</w:t>
            </w:r>
            <w:r w:rsidRPr="00E4491E">
              <w:rPr>
                <w:i/>
                <w:sz w:val="18"/>
                <w:szCs w:val="18"/>
              </w:rPr>
              <w:t>for outcomes in CF</w:t>
            </w:r>
            <w:r>
              <w:rPr>
                <w:sz w:val="18"/>
                <w:szCs w:val="18"/>
              </w:rPr>
              <w:t>)</w:t>
            </w:r>
          </w:p>
        </w:tc>
      </w:tr>
      <w:tr w:rsidR="00164B81" w:rsidRPr="006D09F5" w14:paraId="6FCA2CFC" w14:textId="77777777" w:rsidTr="003C36B1">
        <w:tc>
          <w:tcPr>
            <w:tcW w:w="1368" w:type="dxa"/>
          </w:tcPr>
          <w:p w14:paraId="3E895DD1" w14:textId="75B8A586" w:rsidR="00164B81" w:rsidRPr="006D09F5" w:rsidRDefault="00164B81" w:rsidP="00A55B6D">
            <w:pPr>
              <w:pStyle w:val="NoSpacing"/>
              <w:jc w:val="both"/>
              <w:rPr>
                <w:sz w:val="18"/>
                <w:szCs w:val="18"/>
              </w:rPr>
            </w:pPr>
            <w:r>
              <w:rPr>
                <w:sz w:val="18"/>
                <w:szCs w:val="18"/>
              </w:rPr>
              <w:t>M</w:t>
            </w:r>
            <w:r w:rsidR="00AB6EA6">
              <w:rPr>
                <w:sz w:val="18"/>
                <w:szCs w:val="18"/>
              </w:rPr>
              <w:t>&amp;</w:t>
            </w:r>
            <w:r>
              <w:rPr>
                <w:sz w:val="18"/>
                <w:szCs w:val="18"/>
              </w:rPr>
              <w:t>E</w:t>
            </w:r>
          </w:p>
        </w:tc>
        <w:tc>
          <w:tcPr>
            <w:tcW w:w="3985" w:type="dxa"/>
          </w:tcPr>
          <w:p w14:paraId="36E0F956" w14:textId="77777777" w:rsidR="00164B81" w:rsidRPr="006D09F5" w:rsidRDefault="00164B81" w:rsidP="00A55B6D">
            <w:pPr>
              <w:pStyle w:val="NoSpacing"/>
              <w:jc w:val="both"/>
              <w:rPr>
                <w:sz w:val="18"/>
                <w:szCs w:val="18"/>
              </w:rPr>
            </w:pPr>
            <w:r>
              <w:rPr>
                <w:sz w:val="18"/>
                <w:szCs w:val="18"/>
              </w:rPr>
              <w:t>Monitoring &amp; evaluation</w:t>
            </w:r>
          </w:p>
        </w:tc>
      </w:tr>
      <w:tr w:rsidR="00164B81" w:rsidRPr="006D09F5" w14:paraId="5F500FF6" w14:textId="77777777" w:rsidTr="003C36B1">
        <w:tc>
          <w:tcPr>
            <w:tcW w:w="1368" w:type="dxa"/>
          </w:tcPr>
          <w:p w14:paraId="3A2CAA18" w14:textId="77777777" w:rsidR="00164B81" w:rsidRDefault="00164B81" w:rsidP="00A55B6D">
            <w:pPr>
              <w:pStyle w:val="NoSpacing"/>
              <w:jc w:val="both"/>
              <w:rPr>
                <w:sz w:val="18"/>
                <w:szCs w:val="18"/>
              </w:rPr>
            </w:pPr>
            <w:r>
              <w:rPr>
                <w:sz w:val="18"/>
                <w:szCs w:val="18"/>
              </w:rPr>
              <w:t>IFI</w:t>
            </w:r>
          </w:p>
        </w:tc>
        <w:tc>
          <w:tcPr>
            <w:tcW w:w="3985" w:type="dxa"/>
          </w:tcPr>
          <w:p w14:paraId="5E863FF2" w14:textId="7FDD830F" w:rsidR="00164B81" w:rsidRDefault="00164B81" w:rsidP="00A55B6D">
            <w:pPr>
              <w:pStyle w:val="NoSpacing"/>
              <w:jc w:val="both"/>
              <w:rPr>
                <w:sz w:val="18"/>
                <w:szCs w:val="18"/>
              </w:rPr>
            </w:pPr>
            <w:r>
              <w:rPr>
                <w:sz w:val="18"/>
                <w:szCs w:val="18"/>
              </w:rPr>
              <w:t>International Financial Institution</w:t>
            </w:r>
            <w:r w:rsidR="004F7311">
              <w:rPr>
                <w:sz w:val="18"/>
                <w:szCs w:val="18"/>
              </w:rPr>
              <w:t>(</w:t>
            </w:r>
            <w:r>
              <w:rPr>
                <w:sz w:val="18"/>
                <w:szCs w:val="18"/>
              </w:rPr>
              <w:t>s</w:t>
            </w:r>
            <w:r w:rsidR="004F7311">
              <w:rPr>
                <w:sz w:val="18"/>
                <w:szCs w:val="18"/>
              </w:rPr>
              <w:t>)</w:t>
            </w:r>
            <w:r>
              <w:rPr>
                <w:sz w:val="18"/>
                <w:szCs w:val="18"/>
              </w:rPr>
              <w:t xml:space="preserve"> </w:t>
            </w:r>
          </w:p>
        </w:tc>
      </w:tr>
      <w:tr w:rsidR="00164B81" w:rsidRPr="006D09F5" w14:paraId="7BEAA087" w14:textId="77777777" w:rsidTr="003C36B1">
        <w:tc>
          <w:tcPr>
            <w:tcW w:w="1368" w:type="dxa"/>
          </w:tcPr>
          <w:p w14:paraId="1D814389" w14:textId="77777777" w:rsidR="00164B81" w:rsidRPr="006D09F5" w:rsidRDefault="00164B81" w:rsidP="00A55B6D">
            <w:pPr>
              <w:pStyle w:val="NoSpacing"/>
              <w:jc w:val="both"/>
              <w:rPr>
                <w:sz w:val="18"/>
                <w:szCs w:val="18"/>
              </w:rPr>
            </w:pPr>
            <w:r w:rsidRPr="006D09F5">
              <w:rPr>
                <w:sz w:val="18"/>
                <w:szCs w:val="18"/>
              </w:rPr>
              <w:t>MEA</w:t>
            </w:r>
          </w:p>
        </w:tc>
        <w:tc>
          <w:tcPr>
            <w:tcW w:w="3985" w:type="dxa"/>
          </w:tcPr>
          <w:p w14:paraId="03089938" w14:textId="77777777" w:rsidR="00164B81" w:rsidRPr="006D09F5" w:rsidRDefault="00164B81" w:rsidP="00A55B6D">
            <w:pPr>
              <w:pStyle w:val="NoSpacing"/>
              <w:jc w:val="both"/>
              <w:rPr>
                <w:sz w:val="18"/>
                <w:szCs w:val="18"/>
              </w:rPr>
            </w:pPr>
            <w:r w:rsidRPr="006D09F5">
              <w:rPr>
                <w:sz w:val="18"/>
                <w:szCs w:val="18"/>
              </w:rPr>
              <w:t xml:space="preserve">Multilateral </w:t>
            </w:r>
            <w:r>
              <w:rPr>
                <w:sz w:val="18"/>
                <w:szCs w:val="18"/>
              </w:rPr>
              <w:t>e</w:t>
            </w:r>
            <w:r w:rsidRPr="006D09F5">
              <w:rPr>
                <w:sz w:val="18"/>
                <w:szCs w:val="18"/>
              </w:rPr>
              <w:t xml:space="preserve">nvironmental </w:t>
            </w:r>
            <w:r>
              <w:rPr>
                <w:sz w:val="18"/>
                <w:szCs w:val="18"/>
              </w:rPr>
              <w:t>a</w:t>
            </w:r>
            <w:r w:rsidRPr="006D09F5">
              <w:rPr>
                <w:sz w:val="18"/>
                <w:szCs w:val="18"/>
              </w:rPr>
              <w:t>greement</w:t>
            </w:r>
          </w:p>
        </w:tc>
      </w:tr>
      <w:tr w:rsidR="00164B81" w:rsidRPr="006D09F5" w14:paraId="486EA2B1" w14:textId="77777777" w:rsidTr="003C36B1">
        <w:tc>
          <w:tcPr>
            <w:tcW w:w="1368" w:type="dxa"/>
          </w:tcPr>
          <w:p w14:paraId="731D5B2B" w14:textId="77777777" w:rsidR="00164B81" w:rsidRPr="006D09F5" w:rsidRDefault="00164B81" w:rsidP="00A55B6D">
            <w:pPr>
              <w:pStyle w:val="NoSpacing"/>
              <w:jc w:val="both"/>
              <w:rPr>
                <w:sz w:val="18"/>
                <w:szCs w:val="18"/>
              </w:rPr>
            </w:pPr>
            <w:r>
              <w:rPr>
                <w:sz w:val="18"/>
                <w:szCs w:val="18"/>
              </w:rPr>
              <w:t>MTEF</w:t>
            </w:r>
          </w:p>
        </w:tc>
        <w:tc>
          <w:tcPr>
            <w:tcW w:w="3985" w:type="dxa"/>
          </w:tcPr>
          <w:p w14:paraId="483F88C4" w14:textId="77777777" w:rsidR="00164B81" w:rsidRPr="006D09F5" w:rsidRDefault="00164B81" w:rsidP="00A55B6D">
            <w:pPr>
              <w:pStyle w:val="NoSpacing"/>
              <w:jc w:val="both"/>
              <w:rPr>
                <w:sz w:val="18"/>
                <w:szCs w:val="18"/>
              </w:rPr>
            </w:pPr>
            <w:r>
              <w:rPr>
                <w:sz w:val="18"/>
                <w:szCs w:val="18"/>
              </w:rPr>
              <w:t>Medium-term expenditure framework</w:t>
            </w:r>
          </w:p>
        </w:tc>
      </w:tr>
      <w:tr w:rsidR="00164B81" w:rsidRPr="006D09F5" w14:paraId="36C6DD47" w14:textId="77777777" w:rsidTr="003C36B1">
        <w:tc>
          <w:tcPr>
            <w:tcW w:w="1368" w:type="dxa"/>
          </w:tcPr>
          <w:p w14:paraId="576431D2" w14:textId="77777777" w:rsidR="00164B81" w:rsidRPr="006D09F5" w:rsidRDefault="00164B81" w:rsidP="00A55B6D">
            <w:pPr>
              <w:pStyle w:val="NoSpacing"/>
              <w:jc w:val="both"/>
              <w:rPr>
                <w:sz w:val="18"/>
                <w:szCs w:val="18"/>
              </w:rPr>
            </w:pPr>
            <w:r>
              <w:rPr>
                <w:sz w:val="18"/>
                <w:szCs w:val="18"/>
              </w:rPr>
              <w:t>NCD</w:t>
            </w:r>
          </w:p>
        </w:tc>
        <w:tc>
          <w:tcPr>
            <w:tcW w:w="3985" w:type="dxa"/>
          </w:tcPr>
          <w:p w14:paraId="39D8371B" w14:textId="77777777" w:rsidR="00164B81" w:rsidRPr="006D09F5" w:rsidRDefault="00164B81" w:rsidP="00A55B6D">
            <w:pPr>
              <w:pStyle w:val="NoSpacing"/>
              <w:jc w:val="both"/>
              <w:rPr>
                <w:sz w:val="18"/>
                <w:szCs w:val="18"/>
              </w:rPr>
            </w:pPr>
            <w:r>
              <w:rPr>
                <w:sz w:val="18"/>
                <w:szCs w:val="18"/>
              </w:rPr>
              <w:t>Non-communicable disease</w:t>
            </w:r>
          </w:p>
        </w:tc>
      </w:tr>
      <w:tr w:rsidR="00164B81" w:rsidRPr="006D09F5" w14:paraId="23F935B8" w14:textId="77777777" w:rsidTr="003C36B1">
        <w:tc>
          <w:tcPr>
            <w:tcW w:w="1368" w:type="dxa"/>
          </w:tcPr>
          <w:p w14:paraId="0623B7CD" w14:textId="77777777" w:rsidR="00164B81" w:rsidRPr="006D09F5" w:rsidRDefault="00164B81" w:rsidP="00A55B6D">
            <w:pPr>
              <w:pStyle w:val="NoSpacing"/>
              <w:jc w:val="both"/>
              <w:rPr>
                <w:sz w:val="18"/>
                <w:szCs w:val="18"/>
              </w:rPr>
            </w:pPr>
            <w:r w:rsidRPr="006D09F5">
              <w:rPr>
                <w:sz w:val="18"/>
                <w:szCs w:val="18"/>
              </w:rPr>
              <w:t>RBM</w:t>
            </w:r>
          </w:p>
        </w:tc>
        <w:tc>
          <w:tcPr>
            <w:tcW w:w="3985" w:type="dxa"/>
          </w:tcPr>
          <w:p w14:paraId="234EE022" w14:textId="77777777" w:rsidR="00164B81" w:rsidRPr="006D09F5" w:rsidRDefault="00164B81" w:rsidP="00A55B6D">
            <w:pPr>
              <w:pStyle w:val="NoSpacing"/>
              <w:jc w:val="both"/>
              <w:rPr>
                <w:sz w:val="18"/>
                <w:szCs w:val="18"/>
              </w:rPr>
            </w:pPr>
            <w:r w:rsidRPr="006D09F5">
              <w:rPr>
                <w:sz w:val="18"/>
                <w:szCs w:val="18"/>
              </w:rPr>
              <w:t>Results Based Management</w:t>
            </w:r>
          </w:p>
        </w:tc>
      </w:tr>
      <w:tr w:rsidR="00164B81" w:rsidRPr="006D09F5" w14:paraId="775E1181" w14:textId="77777777" w:rsidTr="003C36B1">
        <w:tc>
          <w:tcPr>
            <w:tcW w:w="1368" w:type="dxa"/>
          </w:tcPr>
          <w:p w14:paraId="2A8EA49E" w14:textId="77777777" w:rsidR="00164B81" w:rsidRDefault="00164B81" w:rsidP="00A55B6D">
            <w:pPr>
              <w:pStyle w:val="NoSpacing"/>
              <w:jc w:val="both"/>
              <w:rPr>
                <w:sz w:val="18"/>
                <w:szCs w:val="18"/>
              </w:rPr>
            </w:pPr>
            <w:r>
              <w:rPr>
                <w:sz w:val="18"/>
                <w:szCs w:val="18"/>
              </w:rPr>
              <w:t>RG</w:t>
            </w:r>
          </w:p>
        </w:tc>
        <w:tc>
          <w:tcPr>
            <w:tcW w:w="3985" w:type="dxa"/>
          </w:tcPr>
          <w:p w14:paraId="3D4E13E5" w14:textId="77777777" w:rsidR="00164B81" w:rsidRDefault="00164B81" w:rsidP="00A55B6D">
            <w:pPr>
              <w:pStyle w:val="NoSpacing"/>
              <w:jc w:val="both"/>
              <w:rPr>
                <w:sz w:val="18"/>
                <w:szCs w:val="18"/>
              </w:rPr>
            </w:pPr>
            <w:r>
              <w:rPr>
                <w:sz w:val="18"/>
                <w:szCs w:val="18"/>
              </w:rPr>
              <w:t xml:space="preserve">CF Outcome Results Groups </w:t>
            </w:r>
          </w:p>
        </w:tc>
      </w:tr>
      <w:tr w:rsidR="007E751A" w:rsidRPr="006D09F5" w14:paraId="4E9E8448" w14:textId="77777777" w:rsidTr="003C36B1">
        <w:tc>
          <w:tcPr>
            <w:tcW w:w="1368" w:type="dxa"/>
          </w:tcPr>
          <w:p w14:paraId="6ED26F7B" w14:textId="77777777" w:rsidR="007E751A" w:rsidRDefault="007E751A" w:rsidP="00A55B6D">
            <w:pPr>
              <w:pStyle w:val="NoSpacing"/>
              <w:jc w:val="both"/>
              <w:rPr>
                <w:sz w:val="18"/>
                <w:szCs w:val="18"/>
              </w:rPr>
            </w:pPr>
            <w:r>
              <w:rPr>
                <w:sz w:val="18"/>
                <w:szCs w:val="18"/>
              </w:rPr>
              <w:t>SALW</w:t>
            </w:r>
          </w:p>
        </w:tc>
        <w:tc>
          <w:tcPr>
            <w:tcW w:w="3985" w:type="dxa"/>
          </w:tcPr>
          <w:p w14:paraId="1A0BB7FF" w14:textId="77777777" w:rsidR="007E751A" w:rsidRDefault="007E751A" w:rsidP="00A55B6D">
            <w:pPr>
              <w:pStyle w:val="NoSpacing"/>
              <w:jc w:val="both"/>
              <w:rPr>
                <w:sz w:val="18"/>
                <w:szCs w:val="18"/>
              </w:rPr>
            </w:pPr>
            <w:r>
              <w:rPr>
                <w:sz w:val="18"/>
                <w:szCs w:val="18"/>
              </w:rPr>
              <w:t>Small arms and light weapons</w:t>
            </w:r>
          </w:p>
        </w:tc>
      </w:tr>
      <w:tr w:rsidR="00164B81" w:rsidRPr="006D09F5" w14:paraId="2D2D3185" w14:textId="77777777" w:rsidTr="003C36B1">
        <w:tc>
          <w:tcPr>
            <w:tcW w:w="1368" w:type="dxa"/>
          </w:tcPr>
          <w:p w14:paraId="3245A569" w14:textId="77777777" w:rsidR="00164B81" w:rsidRDefault="00164B81" w:rsidP="00A55B6D">
            <w:pPr>
              <w:pStyle w:val="NoSpacing"/>
              <w:jc w:val="both"/>
              <w:rPr>
                <w:sz w:val="18"/>
                <w:szCs w:val="18"/>
              </w:rPr>
            </w:pPr>
            <w:r>
              <w:rPr>
                <w:sz w:val="18"/>
                <w:szCs w:val="18"/>
              </w:rPr>
              <w:t>SC</w:t>
            </w:r>
          </w:p>
        </w:tc>
        <w:tc>
          <w:tcPr>
            <w:tcW w:w="3985" w:type="dxa"/>
          </w:tcPr>
          <w:p w14:paraId="34E76C29" w14:textId="77777777" w:rsidR="00164B81" w:rsidRDefault="00164B81" w:rsidP="00A55B6D">
            <w:pPr>
              <w:pStyle w:val="NoSpacing"/>
              <w:jc w:val="both"/>
              <w:rPr>
                <w:sz w:val="18"/>
                <w:szCs w:val="18"/>
              </w:rPr>
            </w:pPr>
            <w:r>
              <w:rPr>
                <w:sz w:val="18"/>
                <w:szCs w:val="18"/>
              </w:rPr>
              <w:t>CF Steering Committee</w:t>
            </w:r>
          </w:p>
        </w:tc>
      </w:tr>
      <w:tr w:rsidR="00164B81" w:rsidRPr="006D09F5" w14:paraId="313BB855" w14:textId="77777777" w:rsidTr="003C36B1">
        <w:tc>
          <w:tcPr>
            <w:tcW w:w="1368" w:type="dxa"/>
          </w:tcPr>
          <w:p w14:paraId="39D17FE0" w14:textId="77777777" w:rsidR="00164B81" w:rsidRPr="006D09F5" w:rsidRDefault="00164B81" w:rsidP="00A55B6D">
            <w:pPr>
              <w:pStyle w:val="NoSpacing"/>
              <w:jc w:val="both"/>
              <w:rPr>
                <w:sz w:val="18"/>
                <w:szCs w:val="18"/>
              </w:rPr>
            </w:pPr>
            <w:r>
              <w:rPr>
                <w:sz w:val="18"/>
                <w:szCs w:val="18"/>
              </w:rPr>
              <w:t>SDGs</w:t>
            </w:r>
          </w:p>
        </w:tc>
        <w:tc>
          <w:tcPr>
            <w:tcW w:w="3985" w:type="dxa"/>
          </w:tcPr>
          <w:p w14:paraId="352395EF" w14:textId="77777777" w:rsidR="00164B81" w:rsidRPr="006D09F5" w:rsidRDefault="00164B81" w:rsidP="00A55B6D">
            <w:pPr>
              <w:pStyle w:val="NoSpacing"/>
              <w:jc w:val="both"/>
              <w:rPr>
                <w:sz w:val="18"/>
                <w:szCs w:val="18"/>
              </w:rPr>
            </w:pPr>
            <w:r>
              <w:rPr>
                <w:sz w:val="18"/>
                <w:szCs w:val="18"/>
              </w:rPr>
              <w:t>Sustainable Development Goals</w:t>
            </w:r>
          </w:p>
        </w:tc>
      </w:tr>
      <w:tr w:rsidR="00164B81" w:rsidRPr="006D09F5" w14:paraId="05AA319C" w14:textId="77777777" w:rsidTr="003C36B1">
        <w:tc>
          <w:tcPr>
            <w:tcW w:w="1368" w:type="dxa"/>
          </w:tcPr>
          <w:p w14:paraId="5B1B6BCB" w14:textId="77777777" w:rsidR="00164B81" w:rsidRDefault="00164B81" w:rsidP="00A55B6D">
            <w:pPr>
              <w:pStyle w:val="NoSpacing"/>
              <w:jc w:val="both"/>
              <w:rPr>
                <w:sz w:val="18"/>
                <w:szCs w:val="18"/>
              </w:rPr>
            </w:pPr>
            <w:r>
              <w:rPr>
                <w:sz w:val="18"/>
                <w:szCs w:val="18"/>
              </w:rPr>
              <w:t>SMEs</w:t>
            </w:r>
          </w:p>
        </w:tc>
        <w:tc>
          <w:tcPr>
            <w:tcW w:w="3985" w:type="dxa"/>
          </w:tcPr>
          <w:p w14:paraId="46033F8F" w14:textId="77777777" w:rsidR="00164B81" w:rsidRDefault="00164B81" w:rsidP="00A55B6D">
            <w:pPr>
              <w:pStyle w:val="NoSpacing"/>
              <w:jc w:val="both"/>
              <w:rPr>
                <w:sz w:val="18"/>
                <w:szCs w:val="18"/>
              </w:rPr>
            </w:pPr>
            <w:r>
              <w:rPr>
                <w:sz w:val="18"/>
                <w:szCs w:val="18"/>
              </w:rPr>
              <w:t>Small and medium enterprises</w:t>
            </w:r>
          </w:p>
        </w:tc>
      </w:tr>
      <w:tr w:rsidR="00164B81" w:rsidRPr="006D09F5" w14:paraId="4C8C63FF" w14:textId="77777777" w:rsidTr="003C36B1">
        <w:tc>
          <w:tcPr>
            <w:tcW w:w="1368" w:type="dxa"/>
          </w:tcPr>
          <w:p w14:paraId="6D3DED49" w14:textId="77777777" w:rsidR="00164B81" w:rsidRDefault="00164B81" w:rsidP="00A55B6D">
            <w:pPr>
              <w:pStyle w:val="NoSpacing"/>
              <w:jc w:val="both"/>
              <w:rPr>
                <w:sz w:val="18"/>
                <w:szCs w:val="18"/>
              </w:rPr>
            </w:pPr>
            <w:r>
              <w:rPr>
                <w:sz w:val="18"/>
                <w:szCs w:val="18"/>
              </w:rPr>
              <w:t>SOE</w:t>
            </w:r>
          </w:p>
        </w:tc>
        <w:tc>
          <w:tcPr>
            <w:tcW w:w="3985" w:type="dxa"/>
          </w:tcPr>
          <w:p w14:paraId="7BC4EB86" w14:textId="77777777" w:rsidR="00164B81" w:rsidRDefault="00164B81" w:rsidP="00A55B6D">
            <w:pPr>
              <w:pStyle w:val="NoSpacing"/>
              <w:jc w:val="both"/>
              <w:rPr>
                <w:sz w:val="18"/>
                <w:szCs w:val="18"/>
              </w:rPr>
            </w:pPr>
            <w:r>
              <w:rPr>
                <w:sz w:val="18"/>
                <w:szCs w:val="18"/>
              </w:rPr>
              <w:t>State-owned enterprise</w:t>
            </w:r>
          </w:p>
        </w:tc>
      </w:tr>
      <w:tr w:rsidR="00164B81" w:rsidRPr="006D09F5" w14:paraId="5DCE0DEB" w14:textId="77777777" w:rsidTr="003C36B1">
        <w:tc>
          <w:tcPr>
            <w:tcW w:w="1368" w:type="dxa"/>
          </w:tcPr>
          <w:p w14:paraId="40E51244" w14:textId="77777777" w:rsidR="00164B81" w:rsidRDefault="00164B81" w:rsidP="00A55B6D">
            <w:pPr>
              <w:pStyle w:val="NoSpacing"/>
              <w:jc w:val="both"/>
              <w:rPr>
                <w:sz w:val="18"/>
                <w:szCs w:val="18"/>
              </w:rPr>
            </w:pPr>
            <w:r>
              <w:rPr>
                <w:sz w:val="18"/>
                <w:szCs w:val="18"/>
              </w:rPr>
              <w:t>TVET</w:t>
            </w:r>
          </w:p>
        </w:tc>
        <w:tc>
          <w:tcPr>
            <w:tcW w:w="3985" w:type="dxa"/>
          </w:tcPr>
          <w:p w14:paraId="2EFA925F" w14:textId="77777777" w:rsidR="00164B81" w:rsidRDefault="00164B81" w:rsidP="00A55B6D">
            <w:pPr>
              <w:pStyle w:val="NoSpacing"/>
              <w:jc w:val="both"/>
              <w:rPr>
                <w:sz w:val="18"/>
                <w:szCs w:val="18"/>
              </w:rPr>
            </w:pPr>
            <w:r>
              <w:rPr>
                <w:sz w:val="18"/>
                <w:szCs w:val="18"/>
              </w:rPr>
              <w:t>Technical and vocational education and training</w:t>
            </w:r>
          </w:p>
        </w:tc>
      </w:tr>
      <w:tr w:rsidR="00164B81" w:rsidRPr="008720AE" w14:paraId="6B531B7A" w14:textId="77777777" w:rsidTr="003C36B1">
        <w:tc>
          <w:tcPr>
            <w:tcW w:w="1368" w:type="dxa"/>
          </w:tcPr>
          <w:p w14:paraId="44F8CE2E" w14:textId="77777777" w:rsidR="00164B81" w:rsidRDefault="00164B81" w:rsidP="00A55B6D">
            <w:pPr>
              <w:pStyle w:val="NoSpacing"/>
              <w:jc w:val="both"/>
              <w:rPr>
                <w:sz w:val="18"/>
                <w:szCs w:val="18"/>
              </w:rPr>
            </w:pPr>
            <w:r>
              <w:rPr>
                <w:sz w:val="18"/>
                <w:szCs w:val="18"/>
              </w:rPr>
              <w:t>UNFCCC</w:t>
            </w:r>
          </w:p>
        </w:tc>
        <w:tc>
          <w:tcPr>
            <w:tcW w:w="3985" w:type="dxa"/>
          </w:tcPr>
          <w:p w14:paraId="180AA470" w14:textId="77777777" w:rsidR="00164B81" w:rsidRDefault="00164B81" w:rsidP="00A55B6D">
            <w:pPr>
              <w:pStyle w:val="NoSpacing"/>
              <w:jc w:val="both"/>
              <w:rPr>
                <w:sz w:val="18"/>
                <w:szCs w:val="18"/>
              </w:rPr>
            </w:pPr>
            <w:r>
              <w:rPr>
                <w:sz w:val="18"/>
                <w:szCs w:val="18"/>
              </w:rPr>
              <w:t>UN Framework Convention on Climate Change</w:t>
            </w:r>
          </w:p>
        </w:tc>
      </w:tr>
      <w:tr w:rsidR="00164B81" w:rsidRPr="008720AE" w14:paraId="10118AFD" w14:textId="77777777" w:rsidTr="003C36B1">
        <w:tc>
          <w:tcPr>
            <w:tcW w:w="1368" w:type="dxa"/>
          </w:tcPr>
          <w:p w14:paraId="6E51F966" w14:textId="77777777" w:rsidR="00164B81" w:rsidRPr="00902288" w:rsidRDefault="00164B81" w:rsidP="00A55B6D">
            <w:pPr>
              <w:pStyle w:val="NoSpacing"/>
              <w:jc w:val="both"/>
              <w:rPr>
                <w:sz w:val="18"/>
                <w:szCs w:val="18"/>
              </w:rPr>
            </w:pPr>
            <w:r>
              <w:rPr>
                <w:sz w:val="18"/>
                <w:szCs w:val="18"/>
              </w:rPr>
              <w:t>UPR</w:t>
            </w:r>
          </w:p>
        </w:tc>
        <w:tc>
          <w:tcPr>
            <w:tcW w:w="3985" w:type="dxa"/>
          </w:tcPr>
          <w:p w14:paraId="59D9B56A" w14:textId="77777777" w:rsidR="00164B81" w:rsidRPr="00902288" w:rsidRDefault="00164B81" w:rsidP="00A55B6D">
            <w:pPr>
              <w:pStyle w:val="NoSpacing"/>
              <w:jc w:val="both"/>
              <w:rPr>
                <w:sz w:val="18"/>
                <w:szCs w:val="18"/>
              </w:rPr>
            </w:pPr>
            <w:r>
              <w:rPr>
                <w:sz w:val="18"/>
                <w:szCs w:val="18"/>
              </w:rPr>
              <w:t>Universal periodic review</w:t>
            </w:r>
          </w:p>
        </w:tc>
      </w:tr>
      <w:tr w:rsidR="00164B81" w:rsidRPr="008720AE" w14:paraId="250E3B3E" w14:textId="77777777" w:rsidTr="003C36B1">
        <w:tc>
          <w:tcPr>
            <w:tcW w:w="1368" w:type="dxa"/>
          </w:tcPr>
          <w:p w14:paraId="0C0DB978" w14:textId="77777777" w:rsidR="00164B81" w:rsidRPr="00902288" w:rsidRDefault="00164B81" w:rsidP="00A55B6D">
            <w:pPr>
              <w:pStyle w:val="NoSpacing"/>
              <w:jc w:val="both"/>
              <w:rPr>
                <w:sz w:val="18"/>
                <w:szCs w:val="18"/>
              </w:rPr>
            </w:pPr>
            <w:r>
              <w:rPr>
                <w:sz w:val="18"/>
                <w:szCs w:val="18"/>
              </w:rPr>
              <w:t>VR</w:t>
            </w:r>
          </w:p>
        </w:tc>
        <w:tc>
          <w:tcPr>
            <w:tcW w:w="3985" w:type="dxa"/>
          </w:tcPr>
          <w:p w14:paraId="0590F4DB" w14:textId="77777777" w:rsidR="00164B81" w:rsidRPr="00902288" w:rsidRDefault="00164B81" w:rsidP="00A55B6D">
            <w:pPr>
              <w:pStyle w:val="NoSpacing"/>
              <w:jc w:val="both"/>
              <w:rPr>
                <w:sz w:val="18"/>
                <w:szCs w:val="18"/>
              </w:rPr>
            </w:pPr>
            <w:r>
              <w:rPr>
                <w:sz w:val="18"/>
                <w:szCs w:val="18"/>
              </w:rPr>
              <w:t xml:space="preserve">Voluntary </w:t>
            </w:r>
            <w:r w:rsidR="00874EF4">
              <w:rPr>
                <w:sz w:val="18"/>
                <w:szCs w:val="18"/>
              </w:rPr>
              <w:t>r</w:t>
            </w:r>
            <w:r>
              <w:rPr>
                <w:sz w:val="18"/>
                <w:szCs w:val="18"/>
              </w:rPr>
              <w:t>eview of progress toward the SDGs</w:t>
            </w:r>
          </w:p>
        </w:tc>
      </w:tr>
    </w:tbl>
    <w:p w14:paraId="2E039084" w14:textId="77777777" w:rsidR="00164B81" w:rsidRDefault="00164B81" w:rsidP="00A55B6D">
      <w:pPr>
        <w:pStyle w:val="NoSpacing"/>
        <w:jc w:val="both"/>
        <w:rPr>
          <w:sz w:val="18"/>
          <w:szCs w:val="18"/>
        </w:rPr>
        <w:sectPr w:rsidR="00164B81" w:rsidSect="00A55B6D">
          <w:type w:val="continuous"/>
          <w:pgSz w:w="12240" w:h="15840"/>
          <w:pgMar w:top="1440" w:right="1041" w:bottom="1440" w:left="993"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cols w:num="2" w:space="285"/>
          <w:docGrid w:linePitch="360"/>
        </w:sectPr>
      </w:pPr>
    </w:p>
    <w:p w14:paraId="2B7C258A" w14:textId="77777777" w:rsidR="00063E04" w:rsidRDefault="00063E04" w:rsidP="00063E04">
      <w:pPr>
        <w:pStyle w:val="NoSpacing"/>
        <w:ind w:hanging="284"/>
        <w:jc w:val="both"/>
        <w:rPr>
          <w:b/>
          <w:sz w:val="18"/>
          <w:szCs w:val="18"/>
        </w:rPr>
      </w:pPr>
    </w:p>
    <w:tbl>
      <w:tblPr>
        <w:tblStyle w:val="TableGrid"/>
        <w:tblpPr w:leftFromText="180" w:rightFromText="180" w:vertAnchor="text" w:tblpX="-431" w:tblpY="1"/>
        <w:tblOverlap w:val="never"/>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261"/>
      </w:tblGrid>
      <w:tr w:rsidR="00774509" w:rsidRPr="00C43FF9" w14:paraId="28D6A070" w14:textId="77777777" w:rsidTr="00D34FDA">
        <w:tc>
          <w:tcPr>
            <w:tcW w:w="10645" w:type="dxa"/>
            <w:gridSpan w:val="2"/>
            <w:tcBorders>
              <w:top w:val="single" w:sz="4" w:space="0" w:color="8DB3E2" w:themeColor="text2" w:themeTint="66"/>
            </w:tcBorders>
            <w:shd w:val="clear" w:color="auto" w:fill="auto"/>
          </w:tcPr>
          <w:p w14:paraId="16F3FA51" w14:textId="3D8FBAEE" w:rsidR="00774509" w:rsidRPr="00C43FF9" w:rsidRDefault="00774509" w:rsidP="004F7311">
            <w:pPr>
              <w:pStyle w:val="NoSpacing"/>
              <w:spacing w:before="240" w:after="120"/>
              <w:jc w:val="both"/>
              <w:rPr>
                <w:sz w:val="18"/>
                <w:szCs w:val="18"/>
              </w:rPr>
            </w:pPr>
            <w:r w:rsidRPr="00774509">
              <w:rPr>
                <w:b/>
                <w:color w:val="595959" w:themeColor="text1" w:themeTint="A6"/>
                <w:sz w:val="20"/>
                <w:szCs w:val="20"/>
              </w:rPr>
              <w:t>International Human Rights Instruments</w:t>
            </w:r>
            <w:r>
              <w:rPr>
                <w:b/>
                <w:sz w:val="20"/>
                <w:szCs w:val="20"/>
              </w:rPr>
              <w:t xml:space="preserve"> </w:t>
            </w:r>
          </w:p>
        </w:tc>
      </w:tr>
      <w:tr w:rsidR="00063E04" w:rsidRPr="00C43FF9" w14:paraId="184D5A01" w14:textId="77777777" w:rsidTr="00D34FDA">
        <w:tc>
          <w:tcPr>
            <w:tcW w:w="1384" w:type="dxa"/>
            <w:shd w:val="clear" w:color="auto" w:fill="auto"/>
            <w:hideMark/>
          </w:tcPr>
          <w:p w14:paraId="54B8D647" w14:textId="77777777" w:rsidR="00063E04" w:rsidRPr="00C43FF9" w:rsidRDefault="00063E04" w:rsidP="004F7311">
            <w:pPr>
              <w:ind w:right="-896"/>
              <w:jc w:val="both"/>
              <w:rPr>
                <w:sz w:val="18"/>
                <w:szCs w:val="18"/>
              </w:rPr>
            </w:pPr>
            <w:r w:rsidRPr="00C43FF9">
              <w:rPr>
                <w:sz w:val="18"/>
                <w:szCs w:val="18"/>
              </w:rPr>
              <w:t>CAT</w:t>
            </w:r>
          </w:p>
        </w:tc>
        <w:tc>
          <w:tcPr>
            <w:tcW w:w="9261" w:type="dxa"/>
            <w:shd w:val="clear" w:color="auto" w:fill="auto"/>
            <w:hideMark/>
          </w:tcPr>
          <w:p w14:paraId="52015602" w14:textId="77777777" w:rsidR="00063E04" w:rsidRPr="00C43FF9" w:rsidRDefault="00063E04">
            <w:pPr>
              <w:ind w:right="-897"/>
              <w:jc w:val="both"/>
              <w:rPr>
                <w:sz w:val="18"/>
                <w:szCs w:val="18"/>
              </w:rPr>
            </w:pPr>
            <w:r w:rsidRPr="00C43FF9">
              <w:rPr>
                <w:sz w:val="18"/>
                <w:szCs w:val="18"/>
              </w:rPr>
              <w:t>Convention against Torture and Other Cruel Inhuman or Degrading Treatment or Punishment</w:t>
            </w:r>
          </w:p>
        </w:tc>
      </w:tr>
      <w:tr w:rsidR="00063E04" w:rsidRPr="00C43FF9" w14:paraId="24BC4DD8" w14:textId="77777777" w:rsidTr="00D34FDA">
        <w:tc>
          <w:tcPr>
            <w:tcW w:w="1384" w:type="dxa"/>
            <w:shd w:val="clear" w:color="auto" w:fill="auto"/>
            <w:hideMark/>
          </w:tcPr>
          <w:p w14:paraId="6A829295" w14:textId="77777777" w:rsidR="00063E04" w:rsidRPr="00C43FF9" w:rsidRDefault="00063E04">
            <w:pPr>
              <w:ind w:right="-897"/>
              <w:jc w:val="both"/>
              <w:rPr>
                <w:sz w:val="18"/>
                <w:szCs w:val="18"/>
              </w:rPr>
            </w:pPr>
            <w:r w:rsidRPr="00C43FF9">
              <w:rPr>
                <w:sz w:val="18"/>
                <w:szCs w:val="18"/>
              </w:rPr>
              <w:t xml:space="preserve">CEDAW </w:t>
            </w:r>
          </w:p>
        </w:tc>
        <w:tc>
          <w:tcPr>
            <w:tcW w:w="9261" w:type="dxa"/>
            <w:shd w:val="clear" w:color="auto" w:fill="auto"/>
            <w:hideMark/>
          </w:tcPr>
          <w:p w14:paraId="2E3E3D24" w14:textId="77777777" w:rsidR="00063E04" w:rsidRPr="00C43FF9" w:rsidRDefault="00063E04">
            <w:pPr>
              <w:ind w:right="-897"/>
              <w:jc w:val="both"/>
              <w:rPr>
                <w:sz w:val="18"/>
                <w:szCs w:val="18"/>
              </w:rPr>
            </w:pPr>
            <w:r w:rsidRPr="00C43FF9">
              <w:rPr>
                <w:sz w:val="18"/>
                <w:szCs w:val="18"/>
              </w:rPr>
              <w:t>Convention on the Elimination of All Forms of Discrimination against Women</w:t>
            </w:r>
          </w:p>
        </w:tc>
      </w:tr>
      <w:tr w:rsidR="00063E04" w:rsidRPr="00C43FF9" w14:paraId="6DFED4A0" w14:textId="77777777" w:rsidTr="00D34FDA">
        <w:tc>
          <w:tcPr>
            <w:tcW w:w="1384" w:type="dxa"/>
            <w:shd w:val="clear" w:color="auto" w:fill="auto"/>
            <w:hideMark/>
          </w:tcPr>
          <w:p w14:paraId="6703210C" w14:textId="77777777" w:rsidR="00063E04" w:rsidRPr="00C43FF9" w:rsidRDefault="00063E04">
            <w:pPr>
              <w:ind w:right="-897"/>
              <w:jc w:val="both"/>
              <w:rPr>
                <w:sz w:val="18"/>
                <w:szCs w:val="18"/>
              </w:rPr>
            </w:pPr>
            <w:r w:rsidRPr="00C43FF9">
              <w:rPr>
                <w:sz w:val="18"/>
                <w:szCs w:val="18"/>
              </w:rPr>
              <w:t xml:space="preserve">CED </w:t>
            </w:r>
          </w:p>
        </w:tc>
        <w:tc>
          <w:tcPr>
            <w:tcW w:w="9261" w:type="dxa"/>
            <w:shd w:val="clear" w:color="auto" w:fill="auto"/>
            <w:hideMark/>
          </w:tcPr>
          <w:p w14:paraId="7E17B16E" w14:textId="77777777" w:rsidR="00063E04" w:rsidRPr="00C43FF9" w:rsidRDefault="00063E04">
            <w:pPr>
              <w:ind w:right="-897"/>
              <w:jc w:val="both"/>
              <w:rPr>
                <w:sz w:val="18"/>
                <w:szCs w:val="18"/>
              </w:rPr>
            </w:pPr>
            <w:r w:rsidRPr="00C43FF9">
              <w:rPr>
                <w:sz w:val="18"/>
                <w:szCs w:val="18"/>
              </w:rPr>
              <w:t>Convention for the Protection of All Persons from Enforced Disappearance</w:t>
            </w:r>
          </w:p>
        </w:tc>
      </w:tr>
      <w:tr w:rsidR="00063E04" w:rsidRPr="00C43FF9" w14:paraId="478CC850" w14:textId="77777777" w:rsidTr="00D34FDA">
        <w:tc>
          <w:tcPr>
            <w:tcW w:w="1384" w:type="dxa"/>
            <w:shd w:val="clear" w:color="auto" w:fill="auto"/>
            <w:hideMark/>
          </w:tcPr>
          <w:p w14:paraId="642FEE24" w14:textId="77777777" w:rsidR="00063E04" w:rsidRPr="00C43FF9" w:rsidRDefault="00063E04">
            <w:pPr>
              <w:ind w:right="-897"/>
              <w:jc w:val="both"/>
              <w:rPr>
                <w:sz w:val="18"/>
                <w:szCs w:val="18"/>
              </w:rPr>
            </w:pPr>
            <w:r w:rsidRPr="00C43FF9">
              <w:rPr>
                <w:sz w:val="18"/>
                <w:szCs w:val="18"/>
              </w:rPr>
              <w:t xml:space="preserve">CERD </w:t>
            </w:r>
          </w:p>
        </w:tc>
        <w:tc>
          <w:tcPr>
            <w:tcW w:w="9261" w:type="dxa"/>
            <w:shd w:val="clear" w:color="auto" w:fill="auto"/>
            <w:hideMark/>
          </w:tcPr>
          <w:p w14:paraId="1DCFCA33" w14:textId="77777777" w:rsidR="00063E04" w:rsidRPr="00C43FF9" w:rsidRDefault="00063E04">
            <w:pPr>
              <w:ind w:right="-897"/>
              <w:jc w:val="both"/>
              <w:rPr>
                <w:sz w:val="18"/>
                <w:szCs w:val="18"/>
              </w:rPr>
            </w:pPr>
            <w:r w:rsidRPr="00C43FF9">
              <w:rPr>
                <w:sz w:val="18"/>
                <w:szCs w:val="18"/>
              </w:rPr>
              <w:t>Convention on the Elimination of All Forms of Racial Discrimination</w:t>
            </w:r>
          </w:p>
        </w:tc>
      </w:tr>
      <w:tr w:rsidR="00063E04" w:rsidRPr="00C43FF9" w14:paraId="7E007C58" w14:textId="77777777" w:rsidTr="00D34FDA">
        <w:tc>
          <w:tcPr>
            <w:tcW w:w="1384" w:type="dxa"/>
            <w:shd w:val="clear" w:color="auto" w:fill="auto"/>
            <w:hideMark/>
          </w:tcPr>
          <w:p w14:paraId="7EED9155" w14:textId="77777777" w:rsidR="00063E04" w:rsidRPr="00C43FF9" w:rsidRDefault="00063E04">
            <w:pPr>
              <w:ind w:right="-897"/>
              <w:jc w:val="both"/>
              <w:rPr>
                <w:sz w:val="18"/>
                <w:szCs w:val="18"/>
              </w:rPr>
            </w:pPr>
            <w:r w:rsidRPr="00C43FF9">
              <w:rPr>
                <w:sz w:val="18"/>
                <w:szCs w:val="18"/>
              </w:rPr>
              <w:t xml:space="preserve">CRC </w:t>
            </w:r>
          </w:p>
        </w:tc>
        <w:tc>
          <w:tcPr>
            <w:tcW w:w="9261" w:type="dxa"/>
            <w:shd w:val="clear" w:color="auto" w:fill="auto"/>
            <w:hideMark/>
          </w:tcPr>
          <w:p w14:paraId="7AED55C6" w14:textId="77777777" w:rsidR="00063E04" w:rsidRPr="00C43FF9" w:rsidRDefault="00063E04">
            <w:pPr>
              <w:ind w:right="-897"/>
              <w:jc w:val="both"/>
              <w:rPr>
                <w:sz w:val="18"/>
                <w:szCs w:val="18"/>
              </w:rPr>
            </w:pPr>
            <w:r w:rsidRPr="00C43FF9">
              <w:rPr>
                <w:sz w:val="18"/>
                <w:szCs w:val="18"/>
              </w:rPr>
              <w:t>Convention on the Rights of the Child</w:t>
            </w:r>
          </w:p>
        </w:tc>
      </w:tr>
      <w:tr w:rsidR="00063E04" w:rsidRPr="00C43FF9" w14:paraId="30FBA9AF" w14:textId="77777777" w:rsidTr="00D34FDA">
        <w:tc>
          <w:tcPr>
            <w:tcW w:w="1384" w:type="dxa"/>
            <w:shd w:val="clear" w:color="auto" w:fill="auto"/>
            <w:hideMark/>
          </w:tcPr>
          <w:p w14:paraId="73AF4011" w14:textId="77777777" w:rsidR="00063E04" w:rsidRPr="00C43FF9" w:rsidRDefault="00063E04">
            <w:pPr>
              <w:ind w:right="-897"/>
              <w:jc w:val="both"/>
              <w:rPr>
                <w:sz w:val="18"/>
                <w:szCs w:val="18"/>
              </w:rPr>
            </w:pPr>
            <w:r w:rsidRPr="00C43FF9">
              <w:rPr>
                <w:sz w:val="18"/>
                <w:szCs w:val="18"/>
              </w:rPr>
              <w:t>CRPD</w:t>
            </w:r>
          </w:p>
        </w:tc>
        <w:tc>
          <w:tcPr>
            <w:tcW w:w="9261" w:type="dxa"/>
            <w:shd w:val="clear" w:color="auto" w:fill="auto"/>
            <w:hideMark/>
          </w:tcPr>
          <w:p w14:paraId="2539AF02" w14:textId="77777777" w:rsidR="00063E04" w:rsidRPr="00C43FF9" w:rsidRDefault="00063E04">
            <w:pPr>
              <w:ind w:right="-897"/>
              <w:jc w:val="both"/>
              <w:rPr>
                <w:sz w:val="18"/>
                <w:szCs w:val="18"/>
              </w:rPr>
            </w:pPr>
            <w:r w:rsidRPr="00C43FF9">
              <w:rPr>
                <w:sz w:val="18"/>
                <w:szCs w:val="18"/>
              </w:rPr>
              <w:t xml:space="preserve">Convention on the Rights of Persons with Disabilities </w:t>
            </w:r>
          </w:p>
        </w:tc>
      </w:tr>
      <w:tr w:rsidR="00063E04" w:rsidRPr="00C43FF9" w14:paraId="7761B871" w14:textId="77777777" w:rsidTr="00D34FDA">
        <w:tc>
          <w:tcPr>
            <w:tcW w:w="1384" w:type="dxa"/>
            <w:shd w:val="clear" w:color="auto" w:fill="auto"/>
            <w:hideMark/>
          </w:tcPr>
          <w:p w14:paraId="41A95CC4" w14:textId="77777777" w:rsidR="00063E04" w:rsidRPr="00C43FF9" w:rsidRDefault="00063E04">
            <w:pPr>
              <w:ind w:right="-897"/>
              <w:jc w:val="both"/>
              <w:rPr>
                <w:sz w:val="18"/>
                <w:szCs w:val="18"/>
              </w:rPr>
            </w:pPr>
            <w:r w:rsidRPr="00C43FF9">
              <w:rPr>
                <w:sz w:val="18"/>
                <w:szCs w:val="18"/>
              </w:rPr>
              <w:t xml:space="preserve">CMW </w:t>
            </w:r>
          </w:p>
        </w:tc>
        <w:tc>
          <w:tcPr>
            <w:tcW w:w="9261" w:type="dxa"/>
            <w:shd w:val="clear" w:color="auto" w:fill="auto"/>
            <w:hideMark/>
          </w:tcPr>
          <w:p w14:paraId="19589BE7" w14:textId="77777777" w:rsidR="00063E04" w:rsidRPr="00C43FF9" w:rsidRDefault="00063E04">
            <w:pPr>
              <w:ind w:right="-897"/>
              <w:jc w:val="both"/>
              <w:rPr>
                <w:sz w:val="18"/>
                <w:szCs w:val="18"/>
              </w:rPr>
            </w:pPr>
            <w:r w:rsidRPr="00C43FF9">
              <w:rPr>
                <w:sz w:val="18"/>
                <w:szCs w:val="18"/>
              </w:rPr>
              <w:t>Convention on the Protection of the Rights of All Migrant Workers and Members of Their Families</w:t>
            </w:r>
          </w:p>
        </w:tc>
      </w:tr>
      <w:tr w:rsidR="00063E04" w:rsidRPr="00C43FF9" w14:paraId="0256B69C" w14:textId="77777777" w:rsidTr="00D34FDA">
        <w:tc>
          <w:tcPr>
            <w:tcW w:w="1384" w:type="dxa"/>
            <w:shd w:val="clear" w:color="auto" w:fill="auto"/>
            <w:hideMark/>
          </w:tcPr>
          <w:p w14:paraId="7AEDCAD9" w14:textId="77777777" w:rsidR="00063E04" w:rsidRPr="00C43FF9" w:rsidRDefault="00063E04">
            <w:pPr>
              <w:ind w:right="-897"/>
              <w:jc w:val="both"/>
              <w:rPr>
                <w:sz w:val="18"/>
                <w:szCs w:val="18"/>
              </w:rPr>
            </w:pPr>
            <w:r w:rsidRPr="00C43FF9">
              <w:rPr>
                <w:sz w:val="18"/>
                <w:szCs w:val="18"/>
              </w:rPr>
              <w:t xml:space="preserve">ICCPR </w:t>
            </w:r>
          </w:p>
        </w:tc>
        <w:tc>
          <w:tcPr>
            <w:tcW w:w="9261" w:type="dxa"/>
            <w:shd w:val="clear" w:color="auto" w:fill="auto"/>
            <w:hideMark/>
          </w:tcPr>
          <w:p w14:paraId="0F8BD428" w14:textId="77777777" w:rsidR="00063E04" w:rsidRPr="00C43FF9" w:rsidRDefault="00063E04">
            <w:pPr>
              <w:ind w:right="-897"/>
              <w:jc w:val="both"/>
              <w:rPr>
                <w:sz w:val="18"/>
                <w:szCs w:val="18"/>
              </w:rPr>
            </w:pPr>
            <w:r w:rsidRPr="00C43FF9">
              <w:rPr>
                <w:sz w:val="18"/>
                <w:szCs w:val="18"/>
              </w:rPr>
              <w:t>International Covenant on Civil and Political Rights</w:t>
            </w:r>
          </w:p>
        </w:tc>
      </w:tr>
      <w:tr w:rsidR="00063E04" w:rsidRPr="00C43FF9" w14:paraId="5618F243" w14:textId="77777777" w:rsidTr="00D34FDA">
        <w:tc>
          <w:tcPr>
            <w:tcW w:w="1384" w:type="dxa"/>
            <w:shd w:val="clear" w:color="auto" w:fill="auto"/>
            <w:hideMark/>
          </w:tcPr>
          <w:p w14:paraId="53A83B5D" w14:textId="77777777" w:rsidR="00063E04" w:rsidRPr="00C43FF9" w:rsidRDefault="00063E04">
            <w:pPr>
              <w:ind w:right="-897"/>
              <w:jc w:val="both"/>
              <w:rPr>
                <w:sz w:val="18"/>
                <w:szCs w:val="18"/>
              </w:rPr>
            </w:pPr>
            <w:r w:rsidRPr="00C43FF9">
              <w:rPr>
                <w:sz w:val="18"/>
                <w:szCs w:val="18"/>
              </w:rPr>
              <w:t xml:space="preserve">ICESCR </w:t>
            </w:r>
          </w:p>
        </w:tc>
        <w:tc>
          <w:tcPr>
            <w:tcW w:w="9261" w:type="dxa"/>
            <w:shd w:val="clear" w:color="auto" w:fill="auto"/>
            <w:hideMark/>
          </w:tcPr>
          <w:p w14:paraId="77FA3D92" w14:textId="77777777" w:rsidR="00063E04" w:rsidRPr="00C43FF9" w:rsidRDefault="00063E04">
            <w:pPr>
              <w:ind w:right="-897"/>
              <w:jc w:val="both"/>
              <w:rPr>
                <w:sz w:val="18"/>
                <w:szCs w:val="18"/>
              </w:rPr>
            </w:pPr>
            <w:r w:rsidRPr="00C43FF9">
              <w:rPr>
                <w:sz w:val="18"/>
                <w:szCs w:val="18"/>
              </w:rPr>
              <w:t>International Covenant on Economic, Social and Cultural Rights</w:t>
            </w:r>
          </w:p>
        </w:tc>
      </w:tr>
      <w:tr w:rsidR="00063E04" w14:paraId="3CA707D1" w14:textId="77777777" w:rsidTr="00D34FDA">
        <w:tc>
          <w:tcPr>
            <w:tcW w:w="1384" w:type="dxa"/>
            <w:shd w:val="clear" w:color="auto" w:fill="auto"/>
            <w:hideMark/>
          </w:tcPr>
          <w:p w14:paraId="1612E7A8" w14:textId="77777777" w:rsidR="00063E04" w:rsidRPr="00C43FF9" w:rsidRDefault="00063E04">
            <w:pPr>
              <w:ind w:right="-897"/>
              <w:jc w:val="both"/>
              <w:rPr>
                <w:sz w:val="18"/>
                <w:szCs w:val="18"/>
              </w:rPr>
            </w:pPr>
            <w:r w:rsidRPr="00C43FF9">
              <w:rPr>
                <w:sz w:val="18"/>
                <w:szCs w:val="18"/>
              </w:rPr>
              <w:t xml:space="preserve">UPR </w:t>
            </w:r>
          </w:p>
        </w:tc>
        <w:tc>
          <w:tcPr>
            <w:tcW w:w="9261" w:type="dxa"/>
            <w:shd w:val="clear" w:color="auto" w:fill="auto"/>
            <w:hideMark/>
          </w:tcPr>
          <w:p w14:paraId="6E4DE069" w14:textId="77777777" w:rsidR="00063E04" w:rsidRDefault="00063E04">
            <w:pPr>
              <w:ind w:right="-897"/>
              <w:jc w:val="both"/>
              <w:rPr>
                <w:sz w:val="18"/>
                <w:szCs w:val="18"/>
              </w:rPr>
            </w:pPr>
            <w:r w:rsidRPr="00C43FF9">
              <w:rPr>
                <w:sz w:val="18"/>
                <w:szCs w:val="18"/>
              </w:rPr>
              <w:t>Universal Periodic Review</w:t>
            </w:r>
          </w:p>
        </w:tc>
      </w:tr>
    </w:tbl>
    <w:p w14:paraId="5BB2DCB6" w14:textId="77777777" w:rsidR="000759E3" w:rsidRPr="00164B81" w:rsidRDefault="000759E3" w:rsidP="00A55B6D">
      <w:pPr>
        <w:spacing w:after="120" w:line="240" w:lineRule="auto"/>
        <w:jc w:val="both"/>
        <w:rPr>
          <w:b/>
          <w:color w:val="1F497D" w:themeColor="text2"/>
          <w:sz w:val="21"/>
          <w:szCs w:val="21"/>
        </w:rPr>
      </w:pPr>
    </w:p>
    <w:p w14:paraId="77CA10C0" w14:textId="77777777" w:rsidR="00147561" w:rsidRPr="00164B81" w:rsidRDefault="00147561" w:rsidP="00A55B6D">
      <w:pPr>
        <w:spacing w:after="120" w:line="240" w:lineRule="auto"/>
        <w:jc w:val="both"/>
        <w:rPr>
          <w:b/>
          <w:color w:val="1F497D" w:themeColor="text2"/>
          <w:sz w:val="21"/>
          <w:szCs w:val="21"/>
        </w:rPr>
      </w:pPr>
    </w:p>
    <w:p w14:paraId="1DF17F67" w14:textId="77777777" w:rsidR="00147561" w:rsidRPr="00164B81" w:rsidRDefault="00147561" w:rsidP="00A55B6D">
      <w:pPr>
        <w:spacing w:after="120" w:line="240" w:lineRule="auto"/>
        <w:jc w:val="both"/>
        <w:rPr>
          <w:b/>
          <w:color w:val="1F497D" w:themeColor="text2"/>
          <w:sz w:val="21"/>
          <w:szCs w:val="21"/>
        </w:rPr>
        <w:sectPr w:rsidR="00147561" w:rsidRPr="00164B81" w:rsidSect="00A55B6D">
          <w:headerReference w:type="even" r:id="rId21"/>
          <w:headerReference w:type="default" r:id="rId22"/>
          <w:footerReference w:type="default" r:id="rId23"/>
          <w:headerReference w:type="first" r:id="rId24"/>
          <w:type w:val="continuous"/>
          <w:pgSz w:w="12240" w:h="15840"/>
          <w:pgMar w:top="1440" w:right="1440" w:bottom="1440" w:left="1440"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fmt="lowerRoman" w:start="1"/>
          <w:cols w:space="708"/>
          <w:docGrid w:linePitch="360"/>
        </w:sectPr>
      </w:pPr>
    </w:p>
    <w:p w14:paraId="54B14A63" w14:textId="77777777" w:rsidR="004A3440" w:rsidRPr="002914F1" w:rsidRDefault="004A3440" w:rsidP="00D9559C">
      <w:pPr>
        <w:spacing w:after="120" w:line="240" w:lineRule="auto"/>
        <w:ind w:right="-360"/>
        <w:jc w:val="both"/>
        <w:rPr>
          <w:b/>
          <w:color w:val="0F243E" w:themeColor="text2" w:themeShade="80"/>
          <w:sz w:val="28"/>
          <w:szCs w:val="28"/>
        </w:rPr>
      </w:pPr>
      <w:r w:rsidRPr="002914F1">
        <w:rPr>
          <w:b/>
          <w:color w:val="0F243E" w:themeColor="text2" w:themeShade="80"/>
          <w:sz w:val="28"/>
          <w:szCs w:val="28"/>
        </w:rPr>
        <w:t>1. Introduction</w:t>
      </w:r>
      <w:r w:rsidR="00147561" w:rsidRPr="002914F1">
        <w:rPr>
          <w:b/>
          <w:color w:val="0F243E" w:themeColor="text2" w:themeShade="80"/>
          <w:sz w:val="28"/>
          <w:szCs w:val="28"/>
        </w:rPr>
        <w:fldChar w:fldCharType="begin"/>
      </w:r>
      <w:r w:rsidR="00147561" w:rsidRPr="002914F1">
        <w:rPr>
          <w:color w:val="0F243E" w:themeColor="text2" w:themeShade="80"/>
        </w:rPr>
        <w:instrText xml:space="preserve"> TC "</w:instrText>
      </w:r>
      <w:bookmarkStart w:id="10" w:name="_Toc22898017"/>
      <w:bookmarkStart w:id="11" w:name="_Toc38899108"/>
      <w:r w:rsidR="00147561" w:rsidRPr="002914F1">
        <w:rPr>
          <w:b/>
          <w:color w:val="0F243E" w:themeColor="text2" w:themeShade="80"/>
          <w:sz w:val="28"/>
          <w:szCs w:val="28"/>
        </w:rPr>
        <w:instrText>1. Introduction</w:instrText>
      </w:r>
      <w:bookmarkEnd w:id="10"/>
      <w:bookmarkEnd w:id="11"/>
      <w:r w:rsidR="00147561" w:rsidRPr="002914F1">
        <w:rPr>
          <w:color w:val="0F243E" w:themeColor="text2" w:themeShade="80"/>
        </w:rPr>
        <w:instrText xml:space="preserve">" \f C \l "1" </w:instrText>
      </w:r>
      <w:r w:rsidR="00147561" w:rsidRPr="002914F1">
        <w:rPr>
          <w:b/>
          <w:color w:val="0F243E" w:themeColor="text2" w:themeShade="80"/>
          <w:sz w:val="28"/>
          <w:szCs w:val="28"/>
        </w:rPr>
        <w:fldChar w:fldCharType="end"/>
      </w:r>
    </w:p>
    <w:p w14:paraId="307FAC1B" w14:textId="77777777" w:rsidR="004A3440" w:rsidRPr="0029141D" w:rsidRDefault="004A3440" w:rsidP="00D9559C">
      <w:pPr>
        <w:spacing w:after="120" w:line="240" w:lineRule="auto"/>
        <w:ind w:right="-360"/>
        <w:jc w:val="both"/>
        <w:rPr>
          <w:rFonts w:cstheme="minorHAnsi"/>
          <w:b/>
          <w:color w:val="0F243E" w:themeColor="text2" w:themeShade="80"/>
          <w:sz w:val="24"/>
          <w:szCs w:val="24"/>
        </w:rPr>
      </w:pPr>
      <w:r w:rsidRPr="0029141D">
        <w:rPr>
          <w:rFonts w:cstheme="minorHAnsi"/>
          <w:b/>
          <w:color w:val="0F243E" w:themeColor="text2" w:themeShade="80"/>
          <w:sz w:val="24"/>
          <w:szCs w:val="24"/>
        </w:rPr>
        <w:t xml:space="preserve">1.1 Purpose of the Cooperation Framework </w:t>
      </w:r>
      <w:r w:rsidRPr="0029141D">
        <w:rPr>
          <w:rFonts w:cstheme="minorHAnsi"/>
          <w:b/>
          <w:color w:val="0F243E" w:themeColor="text2" w:themeShade="80"/>
          <w:sz w:val="24"/>
          <w:szCs w:val="24"/>
        </w:rPr>
        <w:fldChar w:fldCharType="begin"/>
      </w:r>
      <w:r w:rsidRPr="0029141D">
        <w:rPr>
          <w:color w:val="0F243E" w:themeColor="text2" w:themeShade="80"/>
          <w:sz w:val="24"/>
          <w:szCs w:val="24"/>
        </w:rPr>
        <w:instrText xml:space="preserve"> TC "</w:instrText>
      </w:r>
      <w:bookmarkStart w:id="12" w:name="_Toc21777820"/>
      <w:bookmarkStart w:id="13" w:name="_Toc22898018"/>
      <w:bookmarkStart w:id="14" w:name="_Toc38899109"/>
      <w:r w:rsidRPr="0029141D">
        <w:rPr>
          <w:rFonts w:cstheme="minorHAnsi"/>
          <w:b/>
          <w:color w:val="0F243E" w:themeColor="text2" w:themeShade="80"/>
          <w:sz w:val="24"/>
          <w:szCs w:val="24"/>
        </w:rPr>
        <w:instrText>1.1 Purpose of the Cooperation Framework</w:instrText>
      </w:r>
      <w:bookmarkEnd w:id="12"/>
      <w:bookmarkEnd w:id="13"/>
      <w:bookmarkEnd w:id="14"/>
      <w:r w:rsidRPr="0029141D">
        <w:rPr>
          <w:rFonts w:cstheme="minorHAnsi"/>
          <w:b/>
          <w:color w:val="0F243E" w:themeColor="text2" w:themeShade="80"/>
          <w:sz w:val="24"/>
          <w:szCs w:val="24"/>
        </w:rPr>
        <w:instrText xml:space="preserve"> </w:instrText>
      </w:r>
      <w:r w:rsidRPr="0029141D">
        <w:rPr>
          <w:color w:val="0F243E" w:themeColor="text2" w:themeShade="80"/>
          <w:sz w:val="24"/>
          <w:szCs w:val="24"/>
        </w:rPr>
        <w:instrText xml:space="preserve">" \f C \l "2" </w:instrText>
      </w:r>
      <w:r w:rsidRPr="0029141D">
        <w:rPr>
          <w:rFonts w:cstheme="minorHAnsi"/>
          <w:b/>
          <w:color w:val="0F243E" w:themeColor="text2" w:themeShade="80"/>
          <w:sz w:val="24"/>
          <w:szCs w:val="24"/>
        </w:rPr>
        <w:fldChar w:fldCharType="end"/>
      </w:r>
    </w:p>
    <w:p w14:paraId="2CFA501E" w14:textId="55C8EEB9" w:rsidR="00CF5CA4" w:rsidRPr="0069604A" w:rsidRDefault="00CF5CA4" w:rsidP="00D9559C">
      <w:pPr>
        <w:pStyle w:val="ListParagraph"/>
        <w:numPr>
          <w:ilvl w:val="0"/>
          <w:numId w:val="3"/>
        </w:numPr>
        <w:spacing w:after="60"/>
        <w:ind w:right="-360" w:hanging="357"/>
        <w:contextualSpacing w:val="0"/>
        <w:jc w:val="both"/>
        <w:rPr>
          <w:rFonts w:cstheme="minorHAnsi"/>
          <w:sz w:val="21"/>
          <w:szCs w:val="21"/>
        </w:rPr>
      </w:pPr>
      <w:r w:rsidRPr="00CF5CA4">
        <w:rPr>
          <w:sz w:val="21"/>
          <w:szCs w:val="21"/>
        </w:rPr>
        <w:t xml:space="preserve">The Sustainable Development Cooperation Framework (CF) between </w:t>
      </w:r>
      <w:r w:rsidR="00335F5E">
        <w:rPr>
          <w:sz w:val="21"/>
          <w:szCs w:val="21"/>
        </w:rPr>
        <w:t xml:space="preserve">the </w:t>
      </w:r>
      <w:r w:rsidR="00335F5E" w:rsidRPr="0069604A">
        <w:rPr>
          <w:sz w:val="21"/>
          <w:szCs w:val="21"/>
        </w:rPr>
        <w:t>a</w:t>
      </w:r>
      <w:r w:rsidRPr="0069604A">
        <w:rPr>
          <w:sz w:val="21"/>
          <w:szCs w:val="21"/>
        </w:rPr>
        <w:t xml:space="preserve">uthorities in Bosnia </w:t>
      </w:r>
      <w:r w:rsidR="00335F5E" w:rsidRPr="0069604A">
        <w:rPr>
          <w:sz w:val="21"/>
          <w:szCs w:val="21"/>
        </w:rPr>
        <w:t xml:space="preserve">and </w:t>
      </w:r>
      <w:r w:rsidRPr="0069604A">
        <w:rPr>
          <w:sz w:val="21"/>
          <w:szCs w:val="21"/>
        </w:rPr>
        <w:t xml:space="preserve">Herzegovina (BiH) and the United Nations (UN) system is a partnership for achieving results </w:t>
      </w:r>
      <w:r w:rsidR="00890FE4" w:rsidRPr="0069604A">
        <w:t xml:space="preserve">as defined in this Cooperation Framework </w:t>
      </w:r>
      <w:r w:rsidRPr="0069604A">
        <w:rPr>
          <w:sz w:val="21"/>
          <w:szCs w:val="21"/>
        </w:rPr>
        <w:t>for all people in BiH. The CF is based upon, and contributes to the achievement of</w:t>
      </w:r>
      <w:r w:rsidR="00FA0811" w:rsidRPr="0069604A">
        <w:rPr>
          <w:sz w:val="21"/>
          <w:szCs w:val="21"/>
        </w:rPr>
        <w:t xml:space="preserve"> priorities in</w:t>
      </w:r>
      <w:r w:rsidRPr="0069604A">
        <w:rPr>
          <w:sz w:val="21"/>
          <w:szCs w:val="21"/>
        </w:rPr>
        <w:t xml:space="preserve"> B</w:t>
      </w:r>
      <w:r w:rsidRPr="0069604A">
        <w:rPr>
          <w:rFonts w:cstheme="minorHAnsi"/>
          <w:sz w:val="21"/>
          <w:szCs w:val="21"/>
        </w:rPr>
        <w:t>iH, expressed by:</w:t>
      </w:r>
    </w:p>
    <w:p w14:paraId="19E04D3E" w14:textId="77777777" w:rsidR="00CF5CA4" w:rsidRPr="0069604A" w:rsidRDefault="00CF5CA4" w:rsidP="00D9559C">
      <w:pPr>
        <w:pStyle w:val="ListParagraph"/>
        <w:numPr>
          <w:ilvl w:val="0"/>
          <w:numId w:val="6"/>
        </w:numPr>
        <w:spacing w:after="60"/>
        <w:ind w:right="-360" w:hanging="357"/>
        <w:contextualSpacing w:val="0"/>
        <w:jc w:val="both"/>
        <w:rPr>
          <w:lang w:val="en-GB"/>
        </w:rPr>
      </w:pPr>
      <w:r w:rsidRPr="0069604A">
        <w:rPr>
          <w:rFonts w:cstheme="minorHAnsi"/>
          <w:sz w:val="21"/>
          <w:szCs w:val="21"/>
        </w:rPr>
        <w:t>The 2030 Agenda for Sustainable Development and selected Sustainable Development Goals (SDGs) and targets</w:t>
      </w:r>
      <w:r w:rsidRPr="0069604A">
        <w:rPr>
          <w:rStyle w:val="FootnoteReference"/>
          <w:rFonts w:cstheme="minorHAnsi"/>
          <w:color w:val="0F243E" w:themeColor="text2" w:themeShade="80"/>
          <w:sz w:val="21"/>
          <w:szCs w:val="21"/>
        </w:rPr>
        <w:footnoteReference w:id="16"/>
      </w:r>
      <w:r w:rsidRPr="0069604A">
        <w:rPr>
          <w:rFonts w:cstheme="minorHAnsi"/>
          <w:sz w:val="21"/>
          <w:szCs w:val="21"/>
        </w:rPr>
        <w:t xml:space="preserve"> as expressed in the emerging </w:t>
      </w:r>
      <w:r w:rsidRPr="0069604A">
        <w:rPr>
          <w:rFonts w:cstheme="minorHAnsi"/>
          <w:i/>
          <w:sz w:val="21"/>
          <w:szCs w:val="21"/>
          <w:lang w:val="en"/>
        </w:rPr>
        <w:t>SDG Framework in BiH and domesticated SDG targets</w:t>
      </w:r>
      <w:r w:rsidRPr="0069604A">
        <w:rPr>
          <w:rStyle w:val="FootnoteReference"/>
          <w:rFonts w:cstheme="minorHAnsi"/>
          <w:sz w:val="21"/>
          <w:szCs w:val="21"/>
          <w:lang w:val="en"/>
        </w:rPr>
        <w:footnoteReference w:id="17"/>
      </w:r>
      <w:r w:rsidRPr="0069604A">
        <w:rPr>
          <w:rFonts w:cstheme="minorHAnsi"/>
          <w:i/>
          <w:sz w:val="21"/>
          <w:szCs w:val="21"/>
          <w:lang w:val="en"/>
        </w:rPr>
        <w:t>;</w:t>
      </w:r>
    </w:p>
    <w:p w14:paraId="4CFFFBCB" w14:textId="77777777" w:rsidR="00CF5CA4" w:rsidRPr="0069604A" w:rsidRDefault="00CF5CA4" w:rsidP="00D9559C">
      <w:pPr>
        <w:pStyle w:val="ListParagraph"/>
        <w:numPr>
          <w:ilvl w:val="0"/>
          <w:numId w:val="6"/>
        </w:numPr>
        <w:spacing w:after="60"/>
        <w:ind w:right="-360" w:hanging="357"/>
        <w:contextualSpacing w:val="0"/>
        <w:jc w:val="both"/>
        <w:rPr>
          <w:lang w:val="en-GB"/>
        </w:rPr>
      </w:pPr>
      <w:r w:rsidRPr="0069604A">
        <w:rPr>
          <w:rFonts w:cstheme="minorHAnsi"/>
          <w:sz w:val="21"/>
          <w:szCs w:val="21"/>
        </w:rPr>
        <w:t>Future accession to the European Union, as expressed in the Action Plan for implementation of priorities from the European Commission Opinion and Analytical Report</w:t>
      </w:r>
      <w:r w:rsidRPr="0069604A">
        <w:rPr>
          <w:rStyle w:val="FootnoteReference"/>
          <w:rFonts w:cstheme="minorHAnsi"/>
          <w:sz w:val="21"/>
          <w:szCs w:val="21"/>
        </w:rPr>
        <w:footnoteReference w:id="18"/>
      </w:r>
      <w:r w:rsidRPr="0069604A">
        <w:rPr>
          <w:rFonts w:cstheme="minorHAnsi"/>
          <w:sz w:val="21"/>
          <w:szCs w:val="21"/>
        </w:rPr>
        <w:t>;</w:t>
      </w:r>
    </w:p>
    <w:p w14:paraId="136B8466" w14:textId="489C8254" w:rsidR="00CF5CA4" w:rsidRPr="0069604A" w:rsidRDefault="00CF5CA4" w:rsidP="00D9559C">
      <w:pPr>
        <w:pStyle w:val="ListParagraph"/>
        <w:numPr>
          <w:ilvl w:val="0"/>
          <w:numId w:val="6"/>
        </w:numPr>
        <w:spacing w:after="60"/>
        <w:ind w:right="-360" w:hanging="357"/>
        <w:contextualSpacing w:val="0"/>
        <w:jc w:val="both"/>
        <w:rPr>
          <w:lang w:val="en-GB"/>
        </w:rPr>
      </w:pPr>
      <w:r w:rsidRPr="0069604A">
        <w:rPr>
          <w:rFonts w:cstheme="minorHAnsi"/>
          <w:sz w:val="21"/>
          <w:szCs w:val="21"/>
        </w:rPr>
        <w:t>The Joint Socio-Economic Reforms (</w:t>
      </w:r>
      <w:r w:rsidR="00F159A4" w:rsidRPr="0069604A">
        <w:rPr>
          <w:rFonts w:cstheme="minorHAnsi"/>
          <w:sz w:val="21"/>
          <w:szCs w:val="21"/>
        </w:rPr>
        <w:t>‘Reform Agenda’</w:t>
      </w:r>
      <w:r w:rsidRPr="0069604A">
        <w:rPr>
          <w:rFonts w:cstheme="minorHAnsi"/>
          <w:sz w:val="21"/>
          <w:szCs w:val="21"/>
        </w:rPr>
        <w:t>), 2019-2022</w:t>
      </w:r>
      <w:r w:rsidRPr="0069604A">
        <w:rPr>
          <w:rStyle w:val="FootnoteReference"/>
          <w:rFonts w:cstheme="minorHAnsi"/>
          <w:sz w:val="21"/>
          <w:szCs w:val="21"/>
        </w:rPr>
        <w:footnoteReference w:id="19"/>
      </w:r>
      <w:r w:rsidRPr="0069604A">
        <w:rPr>
          <w:rFonts w:cstheme="minorHAnsi"/>
          <w:sz w:val="21"/>
          <w:szCs w:val="21"/>
        </w:rPr>
        <w:t>; and</w:t>
      </w:r>
    </w:p>
    <w:p w14:paraId="1EC2F4E1" w14:textId="77777777" w:rsidR="00CF5CA4" w:rsidRPr="0069604A" w:rsidRDefault="00CF5CA4" w:rsidP="00D9559C">
      <w:pPr>
        <w:pStyle w:val="ListParagraph"/>
        <w:numPr>
          <w:ilvl w:val="0"/>
          <w:numId w:val="6"/>
        </w:numPr>
        <w:spacing w:after="120"/>
        <w:ind w:right="-360"/>
        <w:contextualSpacing w:val="0"/>
        <w:jc w:val="both"/>
        <w:rPr>
          <w:lang w:val="en-GB"/>
        </w:rPr>
      </w:pPr>
      <w:r w:rsidRPr="0069604A">
        <w:rPr>
          <w:sz w:val="21"/>
          <w:szCs w:val="21"/>
        </w:rPr>
        <w:t xml:space="preserve">The human </w:t>
      </w:r>
      <w:r w:rsidRPr="0069604A">
        <w:rPr>
          <w:sz w:val="21"/>
          <w:szCs w:val="21"/>
          <w:lang w:val="en-GB"/>
        </w:rPr>
        <w:t>rights commitments of BiH and other agreed international and regional development goals and treaty obligations</w:t>
      </w:r>
      <w:r w:rsidRPr="0069604A">
        <w:rPr>
          <w:rStyle w:val="FootnoteReference"/>
          <w:rFonts w:cstheme="minorHAnsi"/>
          <w:color w:val="0F243E" w:themeColor="text2" w:themeShade="80"/>
          <w:sz w:val="21"/>
          <w:szCs w:val="21"/>
          <w:lang w:val="en"/>
        </w:rPr>
        <w:footnoteReference w:id="20"/>
      </w:r>
      <w:r w:rsidRPr="0069604A">
        <w:rPr>
          <w:rFonts w:cstheme="minorHAnsi"/>
          <w:sz w:val="21"/>
          <w:szCs w:val="21"/>
        </w:rPr>
        <w:t>.</w:t>
      </w:r>
      <w:r w:rsidRPr="0069604A">
        <w:rPr>
          <w:rStyle w:val="FootnoteReference"/>
          <w:rFonts w:cstheme="minorHAnsi"/>
          <w:color w:val="0F243E" w:themeColor="text2" w:themeShade="80"/>
          <w:sz w:val="21"/>
          <w:szCs w:val="21"/>
          <w:lang w:val="en"/>
        </w:rPr>
        <w:t xml:space="preserve"> </w:t>
      </w:r>
    </w:p>
    <w:p w14:paraId="38391B94" w14:textId="187B114A" w:rsidR="00CF5CA4" w:rsidRPr="0069604A" w:rsidRDefault="00CF5CA4" w:rsidP="00D9559C">
      <w:pPr>
        <w:pStyle w:val="ListParagraph"/>
        <w:numPr>
          <w:ilvl w:val="0"/>
          <w:numId w:val="3"/>
        </w:numPr>
        <w:spacing w:after="120"/>
        <w:ind w:left="357" w:right="-360" w:hanging="357"/>
        <w:contextualSpacing w:val="0"/>
        <w:jc w:val="both"/>
        <w:rPr>
          <w:rFonts w:cstheme="minorHAnsi"/>
          <w:sz w:val="21"/>
          <w:szCs w:val="21"/>
        </w:rPr>
      </w:pPr>
      <w:r w:rsidRPr="0069604A">
        <w:rPr>
          <w:rFonts w:cstheme="minorHAnsi"/>
          <w:sz w:val="21"/>
          <w:szCs w:val="21"/>
        </w:rPr>
        <w:t xml:space="preserve">The CF builds-upon the extensive consultations about the 2030 Agenda for Sustainable Development and the SDGs in BiH that were initiated in April 2017 and further expanded in May 2018 and June 2019, involving altogether over 800 people, including representatives of </w:t>
      </w:r>
      <w:r w:rsidR="00FA0811" w:rsidRPr="0069604A">
        <w:rPr>
          <w:rFonts w:cstheme="minorHAnsi"/>
          <w:sz w:val="21"/>
          <w:szCs w:val="21"/>
        </w:rPr>
        <w:t xml:space="preserve">authorities in </w:t>
      </w:r>
      <w:r w:rsidRPr="0069604A">
        <w:rPr>
          <w:rFonts w:cstheme="minorHAnsi"/>
          <w:sz w:val="21"/>
          <w:szCs w:val="21"/>
        </w:rPr>
        <w:t xml:space="preserve">BiH, civil society groups, the private sector, and academia. These consultations catalyzed the preparation of the BiH Voluntary Review of progress towards SDG achievement and the draft </w:t>
      </w:r>
      <w:r w:rsidRPr="0069604A">
        <w:rPr>
          <w:rFonts w:cstheme="minorHAnsi"/>
          <w:sz w:val="21"/>
          <w:szCs w:val="21"/>
          <w:lang w:val="en"/>
        </w:rPr>
        <w:t>SDG Framework in BiH, and they informed the UN system’s Common Country Analysis, a main analytical resource for the CF. These reports highlight the major gaps and challenges for achieving the 2030 Agenda, to which the priorities and outcomes of the CF respond</w:t>
      </w:r>
      <w:r w:rsidRPr="0069604A">
        <w:rPr>
          <w:rStyle w:val="FootnoteReference"/>
          <w:rFonts w:cstheme="minorHAnsi"/>
          <w:sz w:val="21"/>
          <w:szCs w:val="21"/>
          <w:lang w:val="en"/>
        </w:rPr>
        <w:footnoteReference w:id="21"/>
      </w:r>
      <w:r w:rsidRPr="0069604A">
        <w:rPr>
          <w:rFonts w:cstheme="minorHAnsi"/>
          <w:sz w:val="21"/>
          <w:szCs w:val="21"/>
          <w:lang w:val="en"/>
        </w:rPr>
        <w:t xml:space="preserve">. </w:t>
      </w:r>
      <w:r w:rsidRPr="0069604A">
        <w:rPr>
          <w:rFonts w:cstheme="minorHAnsi"/>
          <w:sz w:val="21"/>
          <w:szCs w:val="21"/>
        </w:rPr>
        <w:t xml:space="preserve"> </w:t>
      </w:r>
    </w:p>
    <w:p w14:paraId="01E3CD51" w14:textId="5F543F23" w:rsidR="00CF5CA4" w:rsidRPr="0069604A" w:rsidRDefault="00CF5CA4" w:rsidP="00D9559C">
      <w:pPr>
        <w:pStyle w:val="ListParagraph"/>
        <w:numPr>
          <w:ilvl w:val="0"/>
          <w:numId w:val="3"/>
        </w:numPr>
        <w:spacing w:after="120"/>
        <w:ind w:left="357" w:right="-360" w:hanging="357"/>
        <w:contextualSpacing w:val="0"/>
        <w:jc w:val="both"/>
        <w:rPr>
          <w:rFonts w:cstheme="minorHAnsi"/>
          <w:sz w:val="21"/>
          <w:szCs w:val="21"/>
        </w:rPr>
      </w:pPr>
      <w:r w:rsidRPr="0069604A">
        <w:rPr>
          <w:rFonts w:cstheme="minorHAnsi"/>
          <w:sz w:val="21"/>
          <w:szCs w:val="21"/>
        </w:rPr>
        <w:t xml:space="preserve">The CF </w:t>
      </w:r>
      <w:r w:rsidR="003B14DA" w:rsidRPr="0069604A">
        <w:rPr>
          <w:rFonts w:cstheme="minorHAnsi"/>
          <w:sz w:val="21"/>
          <w:szCs w:val="21"/>
        </w:rPr>
        <w:t>joins</w:t>
      </w:r>
      <w:r w:rsidR="00A654F6" w:rsidRPr="0069604A">
        <w:rPr>
          <w:rFonts w:cstheme="minorHAnsi"/>
          <w:sz w:val="21"/>
          <w:szCs w:val="21"/>
        </w:rPr>
        <w:t xml:space="preserve"> t</w:t>
      </w:r>
      <w:r w:rsidR="00A654F6" w:rsidRPr="0069604A">
        <w:rPr>
          <w:rFonts w:cstheme="minorHAnsi"/>
          <w:color w:val="222222"/>
          <w:sz w:val="21"/>
          <w:szCs w:val="21"/>
          <w:shd w:val="clear" w:color="auto" w:fill="FFFFFF"/>
        </w:rPr>
        <w:t xml:space="preserve">he </w:t>
      </w:r>
      <w:r w:rsidR="003B14DA" w:rsidRPr="0069604A">
        <w:rPr>
          <w:rFonts w:cstheme="minorHAnsi"/>
          <w:color w:val="222222"/>
          <w:sz w:val="21"/>
          <w:szCs w:val="21"/>
          <w:shd w:val="clear" w:color="auto" w:fill="FFFFFF"/>
        </w:rPr>
        <w:t>support</w:t>
      </w:r>
      <w:r w:rsidR="00A654F6" w:rsidRPr="0069604A">
        <w:rPr>
          <w:rFonts w:cstheme="minorHAnsi"/>
          <w:sz w:val="21"/>
          <w:szCs w:val="21"/>
        </w:rPr>
        <w:t xml:space="preserve"> of the UN system i</w:t>
      </w:r>
      <w:r w:rsidR="00A654F6" w:rsidRPr="0069604A">
        <w:rPr>
          <w:rFonts w:cstheme="minorHAnsi"/>
          <w:color w:val="222222"/>
          <w:sz w:val="21"/>
          <w:szCs w:val="21"/>
          <w:shd w:val="clear" w:color="auto" w:fill="FFFFFF"/>
        </w:rPr>
        <w:t>nto a more effective whole</w:t>
      </w:r>
      <w:r w:rsidR="003B14DA" w:rsidRPr="0069604A">
        <w:rPr>
          <w:rFonts w:cstheme="minorHAnsi"/>
          <w:color w:val="222222"/>
          <w:sz w:val="21"/>
          <w:szCs w:val="21"/>
          <w:shd w:val="clear" w:color="auto" w:fill="FFFFFF"/>
        </w:rPr>
        <w:t>. It</w:t>
      </w:r>
      <w:r w:rsidR="00A654F6" w:rsidRPr="0069604A">
        <w:rPr>
          <w:rFonts w:cstheme="minorHAnsi"/>
          <w:sz w:val="21"/>
          <w:szCs w:val="21"/>
        </w:rPr>
        <w:t xml:space="preserve"> </w:t>
      </w:r>
      <w:r w:rsidRPr="0069604A">
        <w:rPr>
          <w:rFonts w:cstheme="minorHAnsi"/>
          <w:sz w:val="21"/>
          <w:szCs w:val="21"/>
        </w:rPr>
        <w:t xml:space="preserve">provides a platform for </w:t>
      </w:r>
      <w:r w:rsidR="007342E4" w:rsidRPr="0069604A">
        <w:rPr>
          <w:rFonts w:cstheme="minorHAnsi"/>
          <w:sz w:val="21"/>
          <w:szCs w:val="21"/>
        </w:rPr>
        <w:t>coordinated</w:t>
      </w:r>
      <w:r w:rsidRPr="0069604A">
        <w:rPr>
          <w:rFonts w:cstheme="minorHAnsi"/>
          <w:bCs/>
          <w:sz w:val="21"/>
          <w:szCs w:val="21"/>
        </w:rPr>
        <w:t xml:space="preserve"> policy advice and advocacy </w:t>
      </w:r>
      <w:r w:rsidRPr="0069604A">
        <w:rPr>
          <w:rFonts w:cstheme="minorHAnsi"/>
          <w:sz w:val="21"/>
          <w:szCs w:val="21"/>
        </w:rPr>
        <w:t>and</w:t>
      </w:r>
      <w:r w:rsidRPr="0069604A">
        <w:rPr>
          <w:rFonts w:cstheme="minorHAnsi"/>
          <w:bCs/>
          <w:sz w:val="21"/>
          <w:szCs w:val="21"/>
        </w:rPr>
        <w:t xml:space="preserve"> stronger delivery</w:t>
      </w:r>
      <w:r w:rsidRPr="0069604A">
        <w:rPr>
          <w:rFonts w:cstheme="minorHAnsi"/>
          <w:sz w:val="21"/>
          <w:szCs w:val="21"/>
        </w:rPr>
        <w:t xml:space="preserve"> of results in cooperation with </w:t>
      </w:r>
      <w:r w:rsidR="00B44563" w:rsidRPr="0069604A">
        <w:rPr>
          <w:rFonts w:cstheme="minorHAnsi"/>
          <w:sz w:val="21"/>
          <w:szCs w:val="21"/>
        </w:rPr>
        <w:t>the</w:t>
      </w:r>
      <w:r w:rsidRPr="0069604A">
        <w:rPr>
          <w:rFonts w:cstheme="minorHAnsi"/>
          <w:sz w:val="21"/>
          <w:szCs w:val="21"/>
        </w:rPr>
        <w:t xml:space="preserve"> authorities</w:t>
      </w:r>
      <w:r w:rsidR="00B44563" w:rsidRPr="0069604A">
        <w:rPr>
          <w:rFonts w:cstheme="minorHAnsi"/>
          <w:sz w:val="21"/>
          <w:szCs w:val="21"/>
        </w:rPr>
        <w:t xml:space="preserve"> in BiH</w:t>
      </w:r>
      <w:r w:rsidRPr="0069604A">
        <w:rPr>
          <w:rFonts w:cstheme="minorHAnsi"/>
          <w:sz w:val="21"/>
          <w:szCs w:val="21"/>
        </w:rPr>
        <w:t xml:space="preserve">, civil society, and communities. These results will support the ongoing transformation of the economy and society </w:t>
      </w:r>
      <w:r w:rsidR="00B44563" w:rsidRPr="0069604A">
        <w:rPr>
          <w:rFonts w:cstheme="minorHAnsi"/>
          <w:sz w:val="21"/>
          <w:szCs w:val="21"/>
        </w:rPr>
        <w:t xml:space="preserve">in BiH </w:t>
      </w:r>
      <w:r w:rsidRPr="0069604A">
        <w:rPr>
          <w:rFonts w:cstheme="minorHAnsi"/>
          <w:sz w:val="21"/>
          <w:szCs w:val="21"/>
        </w:rPr>
        <w:t xml:space="preserve">toward sustainable economic growth, </w:t>
      </w:r>
      <w:r w:rsidR="007342E4" w:rsidRPr="0069604A">
        <w:rPr>
          <w:rFonts w:cstheme="minorHAnsi"/>
          <w:sz w:val="21"/>
          <w:szCs w:val="21"/>
        </w:rPr>
        <w:t xml:space="preserve">the creation of </w:t>
      </w:r>
      <w:r w:rsidRPr="0069604A">
        <w:rPr>
          <w:rFonts w:cstheme="minorHAnsi"/>
          <w:sz w:val="21"/>
          <w:szCs w:val="21"/>
        </w:rPr>
        <w:t>decent jobs</w:t>
      </w:r>
      <w:r w:rsidR="007342E4" w:rsidRPr="0069604A">
        <w:rPr>
          <w:rFonts w:cstheme="minorHAnsi"/>
          <w:sz w:val="21"/>
          <w:szCs w:val="21"/>
        </w:rPr>
        <w:t>,</w:t>
      </w:r>
      <w:r w:rsidRPr="0069604A">
        <w:rPr>
          <w:rFonts w:cstheme="minorHAnsi"/>
          <w:sz w:val="21"/>
          <w:szCs w:val="21"/>
        </w:rPr>
        <w:t xml:space="preserve"> modernized governance and service delivery, and inclusive prosperity with renewed efforts to give young women and men</w:t>
      </w:r>
      <w:r w:rsidR="007342E4" w:rsidRPr="0069604A">
        <w:rPr>
          <w:rFonts w:cstheme="minorHAnsi"/>
          <w:sz w:val="21"/>
          <w:szCs w:val="21"/>
        </w:rPr>
        <w:t>,</w:t>
      </w:r>
      <w:r w:rsidRPr="0069604A">
        <w:rPr>
          <w:rFonts w:cstheme="minorHAnsi"/>
          <w:sz w:val="21"/>
          <w:szCs w:val="21"/>
        </w:rPr>
        <w:t xml:space="preserve"> </w:t>
      </w:r>
      <w:r w:rsidR="00AD2CB6" w:rsidRPr="0069604A">
        <w:rPr>
          <w:rFonts w:cstheme="minorHAnsi"/>
          <w:sz w:val="21"/>
          <w:szCs w:val="21"/>
        </w:rPr>
        <w:t>as well as vulnerable</w:t>
      </w:r>
      <w:r w:rsidR="007342E4" w:rsidRPr="0069604A">
        <w:rPr>
          <w:rFonts w:cstheme="minorHAnsi"/>
          <w:sz w:val="21"/>
          <w:szCs w:val="21"/>
        </w:rPr>
        <w:t xml:space="preserve"> groups</w:t>
      </w:r>
      <w:r w:rsidR="0038127F" w:rsidRPr="0069604A">
        <w:rPr>
          <w:rStyle w:val="FootnoteReference"/>
          <w:rFonts w:cstheme="minorHAnsi"/>
          <w:sz w:val="21"/>
          <w:szCs w:val="21"/>
        </w:rPr>
        <w:footnoteReference w:id="22"/>
      </w:r>
      <w:r w:rsidR="007342E4" w:rsidRPr="0069604A">
        <w:rPr>
          <w:rFonts w:cstheme="minorHAnsi"/>
          <w:sz w:val="21"/>
          <w:szCs w:val="21"/>
        </w:rPr>
        <w:t>,</w:t>
      </w:r>
      <w:r w:rsidR="00AD2CB6" w:rsidRPr="0069604A">
        <w:rPr>
          <w:rFonts w:cstheme="minorHAnsi"/>
          <w:sz w:val="21"/>
          <w:szCs w:val="21"/>
        </w:rPr>
        <w:t xml:space="preserve"> </w:t>
      </w:r>
      <w:r w:rsidRPr="0069604A">
        <w:rPr>
          <w:rFonts w:cstheme="minorHAnsi"/>
          <w:sz w:val="21"/>
          <w:szCs w:val="21"/>
        </w:rPr>
        <w:t xml:space="preserve">reasons to stay and to create a more prosperous future for </w:t>
      </w:r>
      <w:r w:rsidR="00B44563" w:rsidRPr="0069604A">
        <w:rPr>
          <w:rFonts w:cstheme="minorHAnsi"/>
          <w:sz w:val="21"/>
          <w:szCs w:val="21"/>
        </w:rPr>
        <w:t>BiH</w:t>
      </w:r>
      <w:r w:rsidRPr="0069604A">
        <w:rPr>
          <w:rFonts w:cstheme="minorHAnsi"/>
          <w:sz w:val="21"/>
          <w:szCs w:val="21"/>
          <w:vertAlign w:val="superscript"/>
        </w:rPr>
        <w:footnoteReference w:id="23"/>
      </w:r>
      <w:r w:rsidRPr="0069604A">
        <w:rPr>
          <w:rFonts w:cstheme="minorHAnsi"/>
          <w:sz w:val="21"/>
          <w:szCs w:val="21"/>
        </w:rPr>
        <w:t xml:space="preserve">. </w:t>
      </w:r>
    </w:p>
    <w:p w14:paraId="1B485A05" w14:textId="068EECEF" w:rsidR="00CF5CA4" w:rsidRPr="0069604A" w:rsidRDefault="00B44563" w:rsidP="00D9559C">
      <w:pPr>
        <w:pStyle w:val="ListParagraph"/>
        <w:numPr>
          <w:ilvl w:val="0"/>
          <w:numId w:val="3"/>
        </w:numPr>
        <w:spacing w:after="120"/>
        <w:ind w:left="357" w:right="-360" w:hanging="357"/>
        <w:contextualSpacing w:val="0"/>
        <w:jc w:val="both"/>
        <w:rPr>
          <w:rFonts w:cstheme="minorHAnsi"/>
          <w:sz w:val="21"/>
          <w:szCs w:val="21"/>
        </w:rPr>
      </w:pPr>
      <w:r w:rsidRPr="0069604A">
        <w:rPr>
          <w:rFonts w:cstheme="minorHAnsi"/>
          <w:sz w:val="21"/>
          <w:szCs w:val="21"/>
        </w:rPr>
        <w:t xml:space="preserve">The authorities in </w:t>
      </w:r>
      <w:r w:rsidR="00CF5CA4" w:rsidRPr="0069604A">
        <w:rPr>
          <w:rFonts w:cstheme="minorHAnsi"/>
          <w:sz w:val="21"/>
          <w:szCs w:val="21"/>
        </w:rPr>
        <w:t>BiH and the UN system have mutual accountability for the achievement of planned CF results. Based on their comparative advantages, UN system agencies will contribute policy advice, in accordance with international norms, standards, and best practices, and they will help to develop new capacities at all levels of government in BiH for the implementation and monitoring of strategies, policies and plans</w:t>
      </w:r>
      <w:r w:rsidR="00AC5B2B" w:rsidRPr="0069604A">
        <w:rPr>
          <w:rFonts w:cstheme="minorHAnsi"/>
          <w:sz w:val="21"/>
          <w:szCs w:val="21"/>
        </w:rPr>
        <w:t xml:space="preserve"> in BiH</w:t>
      </w:r>
      <w:r w:rsidR="00CF5CA4" w:rsidRPr="0069604A">
        <w:rPr>
          <w:rFonts w:cstheme="minorHAnsi"/>
          <w:sz w:val="21"/>
          <w:szCs w:val="21"/>
        </w:rPr>
        <w:t>.</w:t>
      </w:r>
      <w:r w:rsidR="00CF5CA4" w:rsidRPr="004D7B10">
        <w:rPr>
          <w:rFonts w:cstheme="minorHAnsi"/>
          <w:sz w:val="21"/>
          <w:szCs w:val="21"/>
        </w:rPr>
        <w:t xml:space="preserve"> Emphasis is placed on those strategies, policies and plans that align strongly with the SDG</w:t>
      </w:r>
      <w:r w:rsidR="00521DCC">
        <w:rPr>
          <w:rFonts w:cstheme="minorHAnsi"/>
          <w:sz w:val="21"/>
          <w:szCs w:val="21"/>
        </w:rPr>
        <w:t>s</w:t>
      </w:r>
      <w:r w:rsidR="00CF5CA4" w:rsidRPr="004D7B10">
        <w:rPr>
          <w:rFonts w:cstheme="minorHAnsi"/>
          <w:sz w:val="21"/>
          <w:szCs w:val="21"/>
        </w:rPr>
        <w:t xml:space="preserve"> and targets</w:t>
      </w:r>
      <w:r w:rsidR="00CF5CA4">
        <w:rPr>
          <w:rFonts w:cstheme="minorHAnsi"/>
          <w:sz w:val="21"/>
          <w:szCs w:val="21"/>
        </w:rPr>
        <w:t xml:space="preserve"> as set forth in the emerging SDG</w:t>
      </w:r>
      <w:r w:rsidR="00164039">
        <w:rPr>
          <w:rFonts w:cstheme="minorHAnsi"/>
          <w:sz w:val="21"/>
          <w:szCs w:val="21"/>
        </w:rPr>
        <w:t>s</w:t>
      </w:r>
      <w:r w:rsidR="00CF5CA4">
        <w:rPr>
          <w:rFonts w:cstheme="minorHAnsi"/>
          <w:sz w:val="21"/>
          <w:szCs w:val="21"/>
        </w:rPr>
        <w:t xml:space="preserve"> Framework in BiH</w:t>
      </w:r>
      <w:r w:rsidR="00CF5CA4" w:rsidRPr="004D7B10">
        <w:rPr>
          <w:rFonts w:cstheme="minorHAnsi"/>
          <w:sz w:val="21"/>
          <w:szCs w:val="21"/>
        </w:rPr>
        <w:t xml:space="preserve">. </w:t>
      </w:r>
      <w:r w:rsidR="000E4F19">
        <w:rPr>
          <w:rFonts w:cstheme="minorHAnsi"/>
          <w:sz w:val="21"/>
          <w:szCs w:val="21"/>
        </w:rPr>
        <w:t>I</w:t>
      </w:r>
      <w:r w:rsidR="000E4F19" w:rsidRPr="00422B17">
        <w:rPr>
          <w:sz w:val="21"/>
          <w:szCs w:val="21"/>
        </w:rPr>
        <w:t xml:space="preserve">ndicators for CF results are aligned with the domesticated </w:t>
      </w:r>
      <w:r w:rsidR="000E4F19" w:rsidRPr="0069604A">
        <w:rPr>
          <w:sz w:val="21"/>
          <w:szCs w:val="21"/>
        </w:rPr>
        <w:t>SDG</w:t>
      </w:r>
      <w:r w:rsidR="00164039" w:rsidRPr="0069604A">
        <w:rPr>
          <w:sz w:val="21"/>
          <w:szCs w:val="21"/>
        </w:rPr>
        <w:t>s</w:t>
      </w:r>
      <w:r w:rsidR="000E4F19" w:rsidRPr="0069604A">
        <w:rPr>
          <w:sz w:val="21"/>
          <w:szCs w:val="21"/>
        </w:rPr>
        <w:t xml:space="preserve"> targets and indicators. This helps to demonstrate a clear theory of change between the cooperation efforts by </w:t>
      </w:r>
      <w:r w:rsidR="00C67825" w:rsidRPr="0069604A">
        <w:rPr>
          <w:sz w:val="21"/>
          <w:szCs w:val="21"/>
        </w:rPr>
        <w:t xml:space="preserve">the authorities in </w:t>
      </w:r>
      <w:r w:rsidR="008C1408" w:rsidRPr="0069604A">
        <w:rPr>
          <w:sz w:val="21"/>
          <w:szCs w:val="21"/>
        </w:rPr>
        <w:t xml:space="preserve">BiH </w:t>
      </w:r>
      <w:r w:rsidR="000E4F19" w:rsidRPr="0069604A">
        <w:rPr>
          <w:sz w:val="21"/>
          <w:szCs w:val="21"/>
        </w:rPr>
        <w:t>and the UN system and sustainable development results for all people in BiH.</w:t>
      </w:r>
    </w:p>
    <w:p w14:paraId="41B23122" w14:textId="5C1C6EDF" w:rsidR="00CF5CA4" w:rsidRPr="0069604A" w:rsidRDefault="00CF5CA4" w:rsidP="00D9559C">
      <w:pPr>
        <w:pStyle w:val="ListParagraph"/>
        <w:numPr>
          <w:ilvl w:val="0"/>
          <w:numId w:val="3"/>
        </w:numPr>
        <w:spacing w:after="120"/>
        <w:ind w:left="357" w:right="-360" w:hanging="357"/>
        <w:contextualSpacing w:val="0"/>
        <w:jc w:val="both"/>
        <w:rPr>
          <w:rFonts w:cstheme="minorHAnsi"/>
          <w:sz w:val="21"/>
          <w:szCs w:val="21"/>
        </w:rPr>
      </w:pPr>
      <w:r w:rsidRPr="0069604A">
        <w:rPr>
          <w:rFonts w:cstheme="minorHAnsi"/>
          <w:sz w:val="21"/>
          <w:szCs w:val="21"/>
        </w:rPr>
        <w:t xml:space="preserve">Other development actors are critical for the success of this CF. Given its </w:t>
      </w:r>
      <w:r w:rsidR="00050D59" w:rsidRPr="0069604A">
        <w:rPr>
          <w:rFonts w:cstheme="minorHAnsi"/>
          <w:sz w:val="21"/>
          <w:szCs w:val="21"/>
        </w:rPr>
        <w:t xml:space="preserve">comprehensive </w:t>
      </w:r>
      <w:r w:rsidRPr="0069604A">
        <w:rPr>
          <w:rFonts w:cstheme="minorHAnsi"/>
          <w:sz w:val="21"/>
          <w:szCs w:val="21"/>
        </w:rPr>
        <w:t xml:space="preserve">focus on </w:t>
      </w:r>
      <w:r w:rsidRPr="0069604A">
        <w:rPr>
          <w:rFonts w:cstheme="minorHAnsi"/>
          <w:b/>
          <w:sz w:val="21"/>
          <w:szCs w:val="21"/>
        </w:rPr>
        <w:t>vulnerable groups</w:t>
      </w:r>
      <w:r w:rsidRPr="0069604A">
        <w:rPr>
          <w:rFonts w:cstheme="minorHAnsi"/>
          <w:sz w:val="21"/>
          <w:szCs w:val="21"/>
        </w:rPr>
        <w:t xml:space="preserve"> </w:t>
      </w:r>
      <w:r w:rsidR="00491E0D" w:rsidRPr="0069604A">
        <w:rPr>
          <w:rFonts w:cstheme="minorHAnsi"/>
          <w:sz w:val="21"/>
          <w:szCs w:val="21"/>
        </w:rPr>
        <w:t xml:space="preserve">across all CF priorities and outcomes </w:t>
      </w:r>
      <w:r w:rsidR="00050D59" w:rsidRPr="0069604A">
        <w:rPr>
          <w:rFonts w:cstheme="minorHAnsi"/>
          <w:sz w:val="21"/>
          <w:szCs w:val="21"/>
        </w:rPr>
        <w:t xml:space="preserve">under the </w:t>
      </w:r>
      <w:r w:rsidR="004A0E38" w:rsidRPr="0069604A">
        <w:rPr>
          <w:rFonts w:cstheme="minorHAnsi"/>
          <w:sz w:val="21"/>
          <w:szCs w:val="21"/>
        </w:rPr>
        <w:t xml:space="preserve">SDGs umbrella </w:t>
      </w:r>
      <w:r w:rsidRPr="0069604A">
        <w:rPr>
          <w:rFonts w:cstheme="minorHAnsi"/>
          <w:sz w:val="21"/>
          <w:szCs w:val="21"/>
        </w:rPr>
        <w:t>and ensuring these groups are not left behind, CF results will be achieved in close collaboration</w:t>
      </w:r>
      <w:r w:rsidR="00586818" w:rsidRPr="0069604A">
        <w:rPr>
          <w:rFonts w:cstheme="minorHAnsi"/>
          <w:sz w:val="21"/>
          <w:szCs w:val="21"/>
        </w:rPr>
        <w:t xml:space="preserve"> and broader partnership </w:t>
      </w:r>
      <w:r w:rsidR="00C046E7" w:rsidRPr="0069604A">
        <w:rPr>
          <w:rFonts w:cstheme="minorHAnsi"/>
          <w:sz w:val="21"/>
          <w:szCs w:val="21"/>
        </w:rPr>
        <w:t>that also includes</w:t>
      </w:r>
      <w:r w:rsidRPr="0069604A">
        <w:rPr>
          <w:rFonts w:cstheme="minorHAnsi"/>
          <w:sz w:val="21"/>
          <w:szCs w:val="21"/>
        </w:rPr>
        <w:t xml:space="preserve"> civil society groups, </w:t>
      </w:r>
      <w:r w:rsidR="007342E4" w:rsidRPr="0069604A">
        <w:rPr>
          <w:rFonts w:cstheme="minorHAnsi"/>
          <w:sz w:val="21"/>
          <w:szCs w:val="21"/>
        </w:rPr>
        <w:t>n</w:t>
      </w:r>
      <w:r w:rsidR="00164039" w:rsidRPr="0069604A">
        <w:rPr>
          <w:rFonts w:cstheme="minorHAnsi"/>
          <w:sz w:val="21"/>
          <w:szCs w:val="21"/>
        </w:rPr>
        <w:t xml:space="preserve">on-governmental </w:t>
      </w:r>
      <w:r w:rsidR="00AF1BC9" w:rsidRPr="0069604A">
        <w:rPr>
          <w:rFonts w:cstheme="minorHAnsi"/>
          <w:sz w:val="21"/>
          <w:szCs w:val="21"/>
        </w:rPr>
        <w:t>organizations (</w:t>
      </w:r>
      <w:r w:rsidRPr="0069604A">
        <w:rPr>
          <w:rFonts w:cstheme="minorHAnsi"/>
          <w:sz w:val="21"/>
          <w:szCs w:val="21"/>
        </w:rPr>
        <w:t>NGOs</w:t>
      </w:r>
      <w:r w:rsidR="00AF1BC9" w:rsidRPr="0069604A">
        <w:rPr>
          <w:rFonts w:cstheme="minorHAnsi"/>
          <w:sz w:val="21"/>
          <w:szCs w:val="21"/>
        </w:rPr>
        <w:t>)</w:t>
      </w:r>
      <w:r w:rsidRPr="0069604A">
        <w:rPr>
          <w:rFonts w:cstheme="minorHAnsi"/>
          <w:sz w:val="21"/>
          <w:szCs w:val="21"/>
        </w:rPr>
        <w:t xml:space="preserve">, community groups, </w:t>
      </w:r>
      <w:r w:rsidR="00745DB6" w:rsidRPr="0069604A">
        <w:rPr>
          <w:rFonts w:cstheme="minorHAnsi"/>
          <w:sz w:val="21"/>
          <w:szCs w:val="21"/>
        </w:rPr>
        <w:t>the human rights institutions in BiH</w:t>
      </w:r>
      <w:r w:rsidR="00607FE0" w:rsidRPr="0069604A">
        <w:rPr>
          <w:rFonts w:cstheme="minorHAnsi"/>
          <w:sz w:val="21"/>
          <w:szCs w:val="21"/>
        </w:rPr>
        <w:t xml:space="preserve">, </w:t>
      </w:r>
      <w:r w:rsidRPr="0069604A">
        <w:rPr>
          <w:rFonts w:cstheme="minorHAnsi"/>
          <w:sz w:val="21"/>
          <w:szCs w:val="21"/>
        </w:rPr>
        <w:t>academia, media</w:t>
      </w:r>
      <w:r w:rsidR="0096525A" w:rsidRPr="0069604A">
        <w:rPr>
          <w:rFonts w:cstheme="minorHAnsi"/>
          <w:sz w:val="21"/>
          <w:szCs w:val="21"/>
        </w:rPr>
        <w:t xml:space="preserve">, </w:t>
      </w:r>
      <w:r w:rsidRPr="0069604A">
        <w:rPr>
          <w:rFonts w:cstheme="minorHAnsi"/>
          <w:sz w:val="21"/>
          <w:szCs w:val="21"/>
        </w:rPr>
        <w:t>the private sector</w:t>
      </w:r>
      <w:r w:rsidR="0096525A" w:rsidRPr="0069604A">
        <w:rPr>
          <w:rFonts w:cstheme="minorHAnsi"/>
          <w:sz w:val="21"/>
          <w:szCs w:val="21"/>
        </w:rPr>
        <w:t>, and international partners</w:t>
      </w:r>
      <w:r w:rsidR="00001735" w:rsidRPr="0069604A">
        <w:rPr>
          <w:rFonts w:cstheme="minorHAnsi"/>
          <w:sz w:val="21"/>
          <w:szCs w:val="21"/>
        </w:rPr>
        <w:t xml:space="preserve">. This is expected to </w:t>
      </w:r>
      <w:r w:rsidR="003437B9" w:rsidRPr="0069604A">
        <w:rPr>
          <w:rFonts w:cstheme="minorHAnsi"/>
          <w:sz w:val="21"/>
          <w:szCs w:val="21"/>
        </w:rPr>
        <w:t>leverag</w:t>
      </w:r>
      <w:r w:rsidR="00001735" w:rsidRPr="0069604A">
        <w:rPr>
          <w:rFonts w:cstheme="minorHAnsi"/>
          <w:sz w:val="21"/>
          <w:szCs w:val="21"/>
        </w:rPr>
        <w:t>e</w:t>
      </w:r>
      <w:r w:rsidR="003437B9" w:rsidRPr="0069604A">
        <w:rPr>
          <w:rFonts w:cstheme="minorHAnsi"/>
          <w:sz w:val="21"/>
          <w:szCs w:val="21"/>
        </w:rPr>
        <w:t xml:space="preserve"> greater capacities and resources, including</w:t>
      </w:r>
      <w:r w:rsidR="00001735" w:rsidRPr="0069604A">
        <w:rPr>
          <w:rFonts w:cstheme="minorHAnsi"/>
          <w:sz w:val="21"/>
          <w:szCs w:val="21"/>
        </w:rPr>
        <w:t xml:space="preserve"> financing, </w:t>
      </w:r>
      <w:r w:rsidR="003437B9" w:rsidRPr="0069604A">
        <w:rPr>
          <w:rFonts w:cstheme="minorHAnsi"/>
          <w:sz w:val="21"/>
          <w:szCs w:val="21"/>
        </w:rPr>
        <w:t>toward achievement of the CF results and the SDGs targets in BiH</w:t>
      </w:r>
      <w:r w:rsidRPr="0069604A">
        <w:rPr>
          <w:rFonts w:cstheme="minorHAnsi"/>
          <w:sz w:val="21"/>
          <w:szCs w:val="21"/>
        </w:rPr>
        <w:t>. This will increase participation of these stakeholders and groups in decision-making, leading to more informed and sustainable policies, and more effective and accountable public institutions.</w:t>
      </w:r>
    </w:p>
    <w:p w14:paraId="6C13C27C" w14:textId="3DD4642E" w:rsidR="00CF5CA4" w:rsidRPr="0069604A" w:rsidRDefault="00CF5CA4" w:rsidP="00D9559C">
      <w:pPr>
        <w:pStyle w:val="ListParagraph"/>
        <w:numPr>
          <w:ilvl w:val="0"/>
          <w:numId w:val="3"/>
        </w:numPr>
        <w:spacing w:after="240"/>
        <w:ind w:left="357" w:right="-360" w:hanging="357"/>
        <w:contextualSpacing w:val="0"/>
        <w:jc w:val="both"/>
        <w:rPr>
          <w:rFonts w:cstheme="minorHAnsi"/>
          <w:sz w:val="21"/>
          <w:szCs w:val="21"/>
        </w:rPr>
      </w:pPr>
      <w:r w:rsidRPr="0069604A">
        <w:rPr>
          <w:rFonts w:cstheme="minorHAnsi"/>
          <w:sz w:val="21"/>
          <w:szCs w:val="21"/>
        </w:rPr>
        <w:t>This framework build</w:t>
      </w:r>
      <w:r w:rsidR="007342E4" w:rsidRPr="0069604A">
        <w:rPr>
          <w:rFonts w:cstheme="minorHAnsi"/>
          <w:sz w:val="21"/>
          <w:szCs w:val="21"/>
        </w:rPr>
        <w:t>s</w:t>
      </w:r>
      <w:r w:rsidR="00B614C0" w:rsidRPr="0069604A">
        <w:rPr>
          <w:rFonts w:cstheme="minorHAnsi"/>
          <w:sz w:val="21"/>
          <w:szCs w:val="21"/>
        </w:rPr>
        <w:t xml:space="preserve"> </w:t>
      </w:r>
      <w:r w:rsidRPr="0069604A">
        <w:rPr>
          <w:rFonts w:cstheme="minorHAnsi"/>
          <w:sz w:val="21"/>
          <w:szCs w:val="21"/>
        </w:rPr>
        <w:t xml:space="preserve">upon the successes of previous cooperation between </w:t>
      </w:r>
      <w:r w:rsidR="00B93925" w:rsidRPr="0069604A">
        <w:rPr>
          <w:rFonts w:cstheme="minorHAnsi"/>
          <w:sz w:val="21"/>
          <w:szCs w:val="21"/>
        </w:rPr>
        <w:t xml:space="preserve">the authorities in </w:t>
      </w:r>
      <w:r w:rsidRPr="0069604A">
        <w:rPr>
          <w:rFonts w:cstheme="minorHAnsi"/>
          <w:sz w:val="21"/>
          <w:szCs w:val="21"/>
        </w:rPr>
        <w:t>BiH  and the UN</w:t>
      </w:r>
      <w:r w:rsidR="00D6213D" w:rsidRPr="0069604A">
        <w:rPr>
          <w:rFonts w:cstheme="minorHAnsi"/>
          <w:sz w:val="21"/>
          <w:szCs w:val="21"/>
        </w:rPr>
        <w:t xml:space="preserve"> system</w:t>
      </w:r>
      <w:r w:rsidRPr="0069604A">
        <w:rPr>
          <w:rFonts w:cstheme="minorHAnsi"/>
          <w:sz w:val="21"/>
          <w:szCs w:val="21"/>
        </w:rPr>
        <w:t>, including major lessons and recommendations from its evaluation</w:t>
      </w:r>
      <w:r w:rsidRPr="0069604A">
        <w:rPr>
          <w:rStyle w:val="FootnoteReference"/>
          <w:sz w:val="21"/>
          <w:szCs w:val="21"/>
        </w:rPr>
        <w:footnoteReference w:id="24"/>
      </w:r>
      <w:r w:rsidRPr="0069604A">
        <w:rPr>
          <w:rFonts w:cstheme="minorHAnsi"/>
          <w:sz w:val="21"/>
          <w:szCs w:val="21"/>
        </w:rPr>
        <w:t>. It describe</w:t>
      </w:r>
      <w:r w:rsidR="007342E4" w:rsidRPr="0069604A">
        <w:rPr>
          <w:rFonts w:cstheme="minorHAnsi"/>
          <w:sz w:val="21"/>
          <w:szCs w:val="21"/>
        </w:rPr>
        <w:t>s</w:t>
      </w:r>
      <w:r w:rsidRPr="0069604A">
        <w:rPr>
          <w:rFonts w:cstheme="minorHAnsi"/>
          <w:sz w:val="21"/>
          <w:szCs w:val="21"/>
        </w:rPr>
        <w:t xml:space="preserve"> how the partners will work together to deliver results, including jointly managed coordination and implementation arrangements and effective progress monitoring and reporting. </w:t>
      </w:r>
    </w:p>
    <w:p w14:paraId="4D1906C8" w14:textId="77777777" w:rsidR="00422B17" w:rsidRPr="0069604A" w:rsidRDefault="00422B17" w:rsidP="00D9559C">
      <w:pPr>
        <w:spacing w:after="120" w:line="240" w:lineRule="auto"/>
        <w:ind w:right="-360"/>
        <w:jc w:val="both"/>
        <w:rPr>
          <w:b/>
          <w:color w:val="0F243E" w:themeColor="text2" w:themeShade="80"/>
          <w:sz w:val="24"/>
          <w:szCs w:val="24"/>
        </w:rPr>
      </w:pPr>
      <w:r w:rsidRPr="0069604A">
        <w:rPr>
          <w:b/>
          <w:color w:val="0F243E" w:themeColor="text2" w:themeShade="80"/>
          <w:sz w:val="24"/>
          <w:szCs w:val="24"/>
        </w:rPr>
        <w:t>1.2 Structure of the Cooperation Framework</w:t>
      </w:r>
      <w:r w:rsidRPr="0069604A">
        <w:rPr>
          <w:b/>
          <w:color w:val="0F243E" w:themeColor="text2" w:themeShade="80"/>
          <w:sz w:val="24"/>
          <w:szCs w:val="24"/>
        </w:rPr>
        <w:fldChar w:fldCharType="begin"/>
      </w:r>
      <w:r w:rsidRPr="0069604A">
        <w:rPr>
          <w:color w:val="0F243E" w:themeColor="text2" w:themeShade="80"/>
        </w:rPr>
        <w:instrText xml:space="preserve"> TC "</w:instrText>
      </w:r>
      <w:bookmarkStart w:id="15" w:name="_Toc21777821"/>
      <w:bookmarkStart w:id="16" w:name="_Toc23876353"/>
      <w:bookmarkStart w:id="17" w:name="_Toc23933977"/>
      <w:bookmarkStart w:id="18" w:name="_Toc26184382"/>
      <w:bookmarkStart w:id="19" w:name="_Toc38899110"/>
      <w:r w:rsidRPr="0069604A">
        <w:rPr>
          <w:b/>
          <w:color w:val="0F243E" w:themeColor="text2" w:themeShade="80"/>
          <w:sz w:val="24"/>
          <w:szCs w:val="24"/>
        </w:rPr>
        <w:instrText>1.2 Structure of the Cooperation Framework</w:instrText>
      </w:r>
      <w:bookmarkEnd w:id="15"/>
      <w:bookmarkEnd w:id="16"/>
      <w:bookmarkEnd w:id="17"/>
      <w:bookmarkEnd w:id="18"/>
      <w:bookmarkEnd w:id="19"/>
      <w:r w:rsidRPr="0069604A">
        <w:rPr>
          <w:color w:val="0F243E" w:themeColor="text2" w:themeShade="80"/>
        </w:rPr>
        <w:instrText xml:space="preserve">" \f C \l "2" </w:instrText>
      </w:r>
      <w:r w:rsidRPr="0069604A">
        <w:rPr>
          <w:b/>
          <w:color w:val="0F243E" w:themeColor="text2" w:themeShade="80"/>
          <w:sz w:val="24"/>
          <w:szCs w:val="24"/>
        </w:rPr>
        <w:fldChar w:fldCharType="end"/>
      </w:r>
    </w:p>
    <w:p w14:paraId="54260AAF" w14:textId="77777777" w:rsidR="00422B17" w:rsidRPr="0069604A" w:rsidRDefault="00422B17" w:rsidP="00D9559C">
      <w:pPr>
        <w:pStyle w:val="ListParagraph"/>
        <w:numPr>
          <w:ilvl w:val="0"/>
          <w:numId w:val="3"/>
        </w:numPr>
        <w:spacing w:after="60"/>
        <w:ind w:left="357" w:right="-360" w:hanging="357"/>
        <w:contextualSpacing w:val="0"/>
        <w:jc w:val="both"/>
        <w:rPr>
          <w:rFonts w:ascii="Calibri" w:hAnsi="Calibri"/>
          <w:sz w:val="21"/>
          <w:szCs w:val="21"/>
        </w:rPr>
      </w:pPr>
      <w:r w:rsidRPr="0069604A">
        <w:rPr>
          <w:sz w:val="21"/>
          <w:szCs w:val="21"/>
        </w:rPr>
        <w:t xml:space="preserve">The Cooperation Framework (CF) contains six parts. Following this introduction: </w:t>
      </w:r>
    </w:p>
    <w:p w14:paraId="5274C838" w14:textId="19CF8DA4" w:rsidR="00422B17" w:rsidRPr="0069604A" w:rsidRDefault="00422B17" w:rsidP="00D9559C">
      <w:pPr>
        <w:numPr>
          <w:ilvl w:val="0"/>
          <w:numId w:val="1"/>
        </w:numPr>
        <w:spacing w:after="60" w:line="240" w:lineRule="auto"/>
        <w:ind w:right="-360"/>
        <w:jc w:val="both"/>
        <w:rPr>
          <w:sz w:val="21"/>
          <w:szCs w:val="21"/>
          <w:lang w:val="en-US"/>
        </w:rPr>
      </w:pPr>
      <w:r w:rsidRPr="0069604A">
        <w:rPr>
          <w:sz w:val="21"/>
          <w:szCs w:val="21"/>
          <w:lang w:val="en-US"/>
        </w:rPr>
        <w:t xml:space="preserve">Part 2 offers a summary of the BiH development context, and trends and challenges that will influence the achievement of the 2030 Agenda and SDGs, </w:t>
      </w:r>
    </w:p>
    <w:p w14:paraId="6531F4B8" w14:textId="04079D1D" w:rsidR="00422B17" w:rsidRPr="0069604A" w:rsidRDefault="00422B17" w:rsidP="00D9559C">
      <w:pPr>
        <w:numPr>
          <w:ilvl w:val="0"/>
          <w:numId w:val="1"/>
        </w:numPr>
        <w:spacing w:after="60" w:line="240" w:lineRule="auto"/>
        <w:ind w:right="-360"/>
        <w:jc w:val="both"/>
        <w:rPr>
          <w:sz w:val="21"/>
          <w:szCs w:val="21"/>
          <w:lang w:val="en-US"/>
        </w:rPr>
      </w:pPr>
      <w:r w:rsidRPr="0069604A">
        <w:rPr>
          <w:sz w:val="21"/>
          <w:szCs w:val="21"/>
          <w:lang w:val="en-US"/>
        </w:rPr>
        <w:t xml:space="preserve">Part 3 describes the </w:t>
      </w:r>
      <w:r w:rsidR="007342E4" w:rsidRPr="0069604A">
        <w:rPr>
          <w:sz w:val="21"/>
          <w:szCs w:val="21"/>
          <w:lang w:val="en-US"/>
        </w:rPr>
        <w:t>CF</w:t>
      </w:r>
      <w:r w:rsidRPr="0069604A">
        <w:rPr>
          <w:sz w:val="21"/>
          <w:szCs w:val="21"/>
          <w:lang w:val="en-US"/>
        </w:rPr>
        <w:t xml:space="preserve"> priorities</w:t>
      </w:r>
      <w:r w:rsidR="007342E4" w:rsidRPr="0069604A">
        <w:rPr>
          <w:sz w:val="21"/>
          <w:szCs w:val="21"/>
          <w:lang w:val="en-US"/>
        </w:rPr>
        <w:t xml:space="preserve"> and outcomes and how these will contribute to priorities and related SDGs</w:t>
      </w:r>
      <w:r w:rsidR="00F71503" w:rsidRPr="0069604A">
        <w:rPr>
          <w:sz w:val="21"/>
          <w:szCs w:val="21"/>
          <w:lang w:val="en-US"/>
        </w:rPr>
        <w:t xml:space="preserve"> in BiH</w:t>
      </w:r>
      <w:r w:rsidRPr="0069604A">
        <w:rPr>
          <w:noProof/>
          <w:sz w:val="21"/>
          <w:szCs w:val="21"/>
        </w:rPr>
        <w:t xml:space="preserve">. It also describes how </w:t>
      </w:r>
      <w:r w:rsidR="008C1408" w:rsidRPr="0069604A">
        <w:rPr>
          <w:noProof/>
          <w:sz w:val="21"/>
          <w:szCs w:val="21"/>
        </w:rPr>
        <w:t>BiH authorities</w:t>
      </w:r>
      <w:r w:rsidRPr="0069604A">
        <w:rPr>
          <w:noProof/>
          <w:sz w:val="21"/>
          <w:szCs w:val="21"/>
        </w:rPr>
        <w:t xml:space="preserve"> and the UN system will </w:t>
      </w:r>
      <w:r w:rsidRPr="0069604A">
        <w:rPr>
          <w:rFonts w:eastAsia="DHPGothic-EB" w:cs="Arial"/>
          <w:sz w:val="21"/>
          <w:szCs w:val="21"/>
        </w:rPr>
        <w:t>work to ensure the sustainability of expected CF results,</w:t>
      </w:r>
    </w:p>
    <w:p w14:paraId="488611A8" w14:textId="2EF9E008" w:rsidR="00422B17" w:rsidRPr="003167BE" w:rsidRDefault="00422B17" w:rsidP="00D9559C">
      <w:pPr>
        <w:numPr>
          <w:ilvl w:val="0"/>
          <w:numId w:val="1"/>
        </w:numPr>
        <w:spacing w:after="60" w:line="240" w:lineRule="auto"/>
        <w:ind w:right="-360"/>
        <w:jc w:val="both"/>
        <w:rPr>
          <w:sz w:val="21"/>
          <w:szCs w:val="21"/>
          <w:lang w:val="en-US"/>
        </w:rPr>
      </w:pPr>
      <w:r w:rsidRPr="003167BE">
        <w:rPr>
          <w:sz w:val="21"/>
          <w:szCs w:val="21"/>
          <w:lang w:val="en-US"/>
        </w:rPr>
        <w:t>Part 4 describes the overall governance of the CF, including the mechanisms and processes for steering and, review, and adjustment,</w:t>
      </w:r>
      <w:r w:rsidR="00182A80" w:rsidRPr="003167BE">
        <w:rPr>
          <w:sz w:val="21"/>
          <w:szCs w:val="21"/>
          <w:lang w:val="en-US"/>
        </w:rPr>
        <w:t xml:space="preserve"> and</w:t>
      </w:r>
    </w:p>
    <w:p w14:paraId="5A603990" w14:textId="6584F344" w:rsidR="00422B17" w:rsidRPr="003167BE" w:rsidRDefault="00422B17" w:rsidP="00D9559C">
      <w:pPr>
        <w:numPr>
          <w:ilvl w:val="0"/>
          <w:numId w:val="1"/>
        </w:numPr>
        <w:spacing w:after="120" w:line="240" w:lineRule="auto"/>
        <w:ind w:left="714" w:right="-360" w:hanging="357"/>
        <w:jc w:val="both"/>
        <w:rPr>
          <w:sz w:val="21"/>
          <w:szCs w:val="21"/>
          <w:lang w:val="en-US"/>
        </w:rPr>
      </w:pPr>
      <w:r w:rsidRPr="003167BE">
        <w:rPr>
          <w:sz w:val="21"/>
          <w:szCs w:val="21"/>
          <w:lang w:val="en-US"/>
        </w:rPr>
        <w:t xml:space="preserve">Part 5 outlines the </w:t>
      </w:r>
      <w:r w:rsidRPr="003167BE">
        <w:rPr>
          <w:rFonts w:eastAsia="DHPGothic-EB" w:cs="Arial"/>
          <w:sz w:val="21"/>
          <w:szCs w:val="21"/>
        </w:rPr>
        <w:t>arrangements for monitoring, evaluation</w:t>
      </w:r>
      <w:r w:rsidR="0039784D">
        <w:rPr>
          <w:rFonts w:eastAsia="DHPGothic-EB" w:cs="Arial"/>
          <w:sz w:val="21"/>
          <w:szCs w:val="21"/>
        </w:rPr>
        <w:t>, and learning</w:t>
      </w:r>
      <w:r w:rsidRPr="003167BE">
        <w:rPr>
          <w:rFonts w:eastAsia="DHPGothic-EB" w:cs="Arial"/>
          <w:sz w:val="21"/>
          <w:szCs w:val="21"/>
        </w:rPr>
        <w:t xml:space="preserve"> f</w:t>
      </w:r>
      <w:r w:rsidR="004A27D5">
        <w:rPr>
          <w:rFonts w:eastAsia="DHPGothic-EB" w:cs="Arial"/>
          <w:sz w:val="21"/>
          <w:szCs w:val="21"/>
        </w:rPr>
        <w:t>or</w:t>
      </w:r>
      <w:r w:rsidRPr="003167BE">
        <w:rPr>
          <w:rFonts w:eastAsia="DHPGothic-EB" w:cs="Arial"/>
          <w:sz w:val="21"/>
          <w:szCs w:val="21"/>
        </w:rPr>
        <w:t xml:space="preserve"> the CF, based on the results matrix</w:t>
      </w:r>
      <w:r w:rsidR="00182A80" w:rsidRPr="003167BE">
        <w:rPr>
          <w:rFonts w:eastAsia="DHPGothic-EB" w:cs="Arial"/>
          <w:sz w:val="21"/>
          <w:szCs w:val="21"/>
        </w:rPr>
        <w:t>.</w:t>
      </w:r>
    </w:p>
    <w:p w14:paraId="1CF159A8" w14:textId="037F1D3D" w:rsidR="00422B17" w:rsidRPr="003167BE" w:rsidRDefault="00971A2D" w:rsidP="00D9559C">
      <w:pPr>
        <w:pStyle w:val="ListParagraph"/>
        <w:numPr>
          <w:ilvl w:val="0"/>
          <w:numId w:val="3"/>
        </w:numPr>
        <w:spacing w:after="240"/>
        <w:ind w:left="357" w:right="-360" w:hanging="357"/>
        <w:contextualSpacing w:val="0"/>
        <w:jc w:val="both"/>
        <w:rPr>
          <w:sz w:val="21"/>
          <w:szCs w:val="21"/>
        </w:rPr>
      </w:pPr>
      <w:r>
        <w:rPr>
          <w:sz w:val="21"/>
          <w:szCs w:val="21"/>
        </w:rPr>
        <w:t xml:space="preserve">A summary of the theory of change is shown in </w:t>
      </w:r>
      <w:r w:rsidRPr="00971A2D">
        <w:rPr>
          <w:b/>
          <w:sz w:val="21"/>
          <w:szCs w:val="21"/>
        </w:rPr>
        <w:t>Annex A</w:t>
      </w:r>
      <w:r>
        <w:rPr>
          <w:sz w:val="21"/>
          <w:szCs w:val="21"/>
        </w:rPr>
        <w:t>. The f</w:t>
      </w:r>
      <w:r w:rsidR="00422B17" w:rsidRPr="003167BE">
        <w:rPr>
          <w:sz w:val="21"/>
          <w:szCs w:val="21"/>
        </w:rPr>
        <w:t xml:space="preserve">ull results matrix is provided in </w:t>
      </w:r>
      <w:r w:rsidR="00422B17" w:rsidRPr="003167BE">
        <w:rPr>
          <w:b/>
          <w:sz w:val="21"/>
          <w:szCs w:val="21"/>
        </w:rPr>
        <w:t xml:space="preserve">Annex </w:t>
      </w:r>
      <w:r>
        <w:rPr>
          <w:b/>
          <w:sz w:val="21"/>
          <w:szCs w:val="21"/>
        </w:rPr>
        <w:t>B</w:t>
      </w:r>
      <w:r w:rsidR="00422B17" w:rsidRPr="003167BE">
        <w:rPr>
          <w:sz w:val="21"/>
          <w:szCs w:val="21"/>
        </w:rPr>
        <w:t xml:space="preserve">. </w:t>
      </w:r>
      <w:r w:rsidR="00334E0C">
        <w:rPr>
          <w:sz w:val="21"/>
          <w:szCs w:val="21"/>
        </w:rPr>
        <w:t xml:space="preserve">Links between the CO outcomes and the human rights commitments of BiH are provided </w:t>
      </w:r>
      <w:r w:rsidR="00334E0C" w:rsidRPr="00334E0C">
        <w:rPr>
          <w:b/>
          <w:sz w:val="21"/>
          <w:szCs w:val="21"/>
        </w:rPr>
        <w:t>in Annex C</w:t>
      </w:r>
      <w:r w:rsidR="00334E0C">
        <w:rPr>
          <w:sz w:val="21"/>
          <w:szCs w:val="21"/>
        </w:rPr>
        <w:t xml:space="preserve">. </w:t>
      </w:r>
      <w:r w:rsidR="00422B17" w:rsidRPr="003167BE">
        <w:rPr>
          <w:sz w:val="21"/>
          <w:szCs w:val="21"/>
        </w:rPr>
        <w:t xml:space="preserve">The standard legal annex for cooperation is in </w:t>
      </w:r>
      <w:r w:rsidR="00422B17" w:rsidRPr="003167BE">
        <w:rPr>
          <w:b/>
          <w:sz w:val="21"/>
          <w:szCs w:val="21"/>
        </w:rPr>
        <w:t xml:space="preserve">Annex </w:t>
      </w:r>
      <w:r w:rsidR="00334E0C">
        <w:rPr>
          <w:b/>
          <w:sz w:val="21"/>
          <w:szCs w:val="21"/>
        </w:rPr>
        <w:t>D</w:t>
      </w:r>
      <w:r w:rsidR="00422B17" w:rsidRPr="003167BE">
        <w:rPr>
          <w:sz w:val="21"/>
          <w:szCs w:val="21"/>
        </w:rPr>
        <w:t xml:space="preserve">. </w:t>
      </w:r>
    </w:p>
    <w:p w14:paraId="7209465D" w14:textId="77777777" w:rsidR="004A3440" w:rsidRPr="003167BE" w:rsidRDefault="00E14349" w:rsidP="00D9559C">
      <w:pPr>
        <w:spacing w:after="120" w:line="240" w:lineRule="auto"/>
        <w:ind w:right="-360"/>
        <w:jc w:val="both"/>
        <w:rPr>
          <w:b/>
          <w:color w:val="0F243E" w:themeColor="text2" w:themeShade="80"/>
          <w:sz w:val="28"/>
          <w:szCs w:val="28"/>
        </w:rPr>
      </w:pPr>
      <w:r w:rsidRPr="003167BE">
        <w:rPr>
          <w:b/>
          <w:color w:val="0F243E" w:themeColor="text2" w:themeShade="80"/>
          <w:sz w:val="28"/>
          <w:szCs w:val="28"/>
        </w:rPr>
        <w:t>2. P</w:t>
      </w:r>
      <w:r w:rsidR="004A3440" w:rsidRPr="003167BE">
        <w:rPr>
          <w:b/>
          <w:color w:val="0F243E" w:themeColor="text2" w:themeShade="80"/>
          <w:sz w:val="28"/>
          <w:szCs w:val="28"/>
        </w:rPr>
        <w:t>rogress toward the 2030 Agenda</w:t>
      </w:r>
      <w:r w:rsidR="004A3440" w:rsidRPr="003167BE">
        <w:rPr>
          <w:b/>
          <w:color w:val="0F243E" w:themeColor="text2" w:themeShade="80"/>
          <w:sz w:val="28"/>
          <w:szCs w:val="28"/>
        </w:rPr>
        <w:fldChar w:fldCharType="begin"/>
      </w:r>
      <w:r w:rsidR="004A3440" w:rsidRPr="003167BE">
        <w:rPr>
          <w:color w:val="0F243E" w:themeColor="text2" w:themeShade="80"/>
        </w:rPr>
        <w:instrText xml:space="preserve"> TC "</w:instrText>
      </w:r>
      <w:bookmarkStart w:id="20" w:name="_Toc21777822"/>
      <w:bookmarkStart w:id="21" w:name="_Toc22898019"/>
      <w:bookmarkStart w:id="22" w:name="_Toc38899111"/>
      <w:r w:rsidR="004A3440" w:rsidRPr="003167BE">
        <w:rPr>
          <w:b/>
          <w:color w:val="0F243E" w:themeColor="text2" w:themeShade="80"/>
          <w:sz w:val="28"/>
          <w:szCs w:val="28"/>
        </w:rPr>
        <w:instrText>2. Country progress toward the 2030 Agenda</w:instrText>
      </w:r>
      <w:bookmarkEnd w:id="20"/>
      <w:bookmarkEnd w:id="21"/>
      <w:bookmarkEnd w:id="22"/>
      <w:r w:rsidR="004A3440" w:rsidRPr="003167BE">
        <w:rPr>
          <w:color w:val="0F243E" w:themeColor="text2" w:themeShade="80"/>
        </w:rPr>
        <w:instrText xml:space="preserve">" \f C \l "1" </w:instrText>
      </w:r>
      <w:r w:rsidR="004A3440" w:rsidRPr="003167BE">
        <w:rPr>
          <w:b/>
          <w:color w:val="0F243E" w:themeColor="text2" w:themeShade="80"/>
          <w:sz w:val="28"/>
          <w:szCs w:val="28"/>
        </w:rPr>
        <w:fldChar w:fldCharType="end"/>
      </w:r>
      <w:r w:rsidR="004A3440" w:rsidRPr="003167BE">
        <w:rPr>
          <w:b/>
          <w:color w:val="0F243E" w:themeColor="text2" w:themeShade="80"/>
          <w:sz w:val="28"/>
          <w:szCs w:val="28"/>
        </w:rPr>
        <w:t xml:space="preserve"> </w:t>
      </w:r>
    </w:p>
    <w:p w14:paraId="68DD50CC" w14:textId="77777777" w:rsidR="004A3440" w:rsidRPr="003167BE" w:rsidRDefault="004A3440" w:rsidP="00D9559C">
      <w:pPr>
        <w:spacing w:after="120" w:line="240" w:lineRule="auto"/>
        <w:ind w:right="-360"/>
        <w:jc w:val="both"/>
        <w:rPr>
          <w:rFonts w:cstheme="minorHAnsi"/>
          <w:b/>
          <w:color w:val="0F243E" w:themeColor="text2" w:themeShade="80"/>
          <w:sz w:val="24"/>
          <w:szCs w:val="24"/>
        </w:rPr>
      </w:pPr>
      <w:r w:rsidRPr="003167BE">
        <w:rPr>
          <w:rFonts w:cstheme="minorHAnsi"/>
          <w:b/>
          <w:color w:val="0F243E" w:themeColor="text2" w:themeShade="80"/>
          <w:sz w:val="24"/>
          <w:szCs w:val="24"/>
        </w:rPr>
        <w:t>2.1 Context</w:t>
      </w:r>
      <w:r w:rsidRPr="003167BE">
        <w:rPr>
          <w:rFonts w:cstheme="minorHAnsi"/>
          <w:b/>
          <w:color w:val="0F243E" w:themeColor="text2" w:themeShade="80"/>
          <w:sz w:val="24"/>
          <w:szCs w:val="24"/>
        </w:rPr>
        <w:fldChar w:fldCharType="begin"/>
      </w:r>
      <w:r w:rsidRPr="003167BE">
        <w:rPr>
          <w:color w:val="0F243E" w:themeColor="text2" w:themeShade="80"/>
          <w:sz w:val="24"/>
          <w:szCs w:val="24"/>
        </w:rPr>
        <w:instrText xml:space="preserve"> TC "</w:instrText>
      </w:r>
      <w:bookmarkStart w:id="23" w:name="_Toc495656873"/>
      <w:bookmarkStart w:id="24" w:name="_Toc500930055"/>
      <w:bookmarkStart w:id="25" w:name="_Toc21777823"/>
      <w:bookmarkStart w:id="26" w:name="_Toc22898020"/>
      <w:bookmarkStart w:id="27" w:name="_Toc38899112"/>
      <w:r w:rsidRPr="003167BE">
        <w:rPr>
          <w:rFonts w:cstheme="minorHAnsi"/>
          <w:b/>
          <w:color w:val="0F243E" w:themeColor="text2" w:themeShade="80"/>
          <w:sz w:val="24"/>
          <w:szCs w:val="24"/>
        </w:rPr>
        <w:instrText>2.1 Country context</w:instrText>
      </w:r>
      <w:bookmarkEnd w:id="23"/>
      <w:bookmarkEnd w:id="24"/>
      <w:bookmarkEnd w:id="25"/>
      <w:bookmarkEnd w:id="26"/>
      <w:bookmarkEnd w:id="27"/>
      <w:r w:rsidRPr="003167BE">
        <w:rPr>
          <w:color w:val="0F243E" w:themeColor="text2" w:themeShade="80"/>
          <w:sz w:val="24"/>
          <w:szCs w:val="24"/>
        </w:rPr>
        <w:instrText xml:space="preserve">" \f C \l "2" </w:instrText>
      </w:r>
      <w:r w:rsidRPr="003167BE">
        <w:rPr>
          <w:rFonts w:cstheme="minorHAnsi"/>
          <w:b/>
          <w:color w:val="0F243E" w:themeColor="text2" w:themeShade="80"/>
          <w:sz w:val="24"/>
          <w:szCs w:val="24"/>
        </w:rPr>
        <w:fldChar w:fldCharType="end"/>
      </w:r>
    </w:p>
    <w:p w14:paraId="0D719B6C" w14:textId="43AA879C" w:rsidR="007C4892" w:rsidRPr="0069604A" w:rsidRDefault="007C4892" w:rsidP="00D9559C">
      <w:pPr>
        <w:pStyle w:val="ListParagraph"/>
        <w:numPr>
          <w:ilvl w:val="0"/>
          <w:numId w:val="3"/>
        </w:numPr>
        <w:spacing w:after="120"/>
        <w:ind w:right="-360"/>
        <w:contextualSpacing w:val="0"/>
        <w:jc w:val="both"/>
        <w:rPr>
          <w:sz w:val="21"/>
          <w:szCs w:val="21"/>
        </w:rPr>
      </w:pPr>
      <w:r w:rsidRPr="003167BE">
        <w:rPr>
          <w:sz w:val="21"/>
          <w:szCs w:val="21"/>
        </w:rPr>
        <w:t>Bosnia and Herzegovina (BiH) is an upper middle-income country of around 3.5 million people</w:t>
      </w:r>
      <w:r w:rsidR="00FD15C3">
        <w:rPr>
          <w:rStyle w:val="FootnoteReference"/>
          <w:sz w:val="21"/>
          <w:szCs w:val="21"/>
        </w:rPr>
        <w:footnoteReference w:id="25"/>
      </w:r>
      <w:r w:rsidRPr="003167BE">
        <w:rPr>
          <w:sz w:val="21"/>
          <w:szCs w:val="21"/>
        </w:rPr>
        <w:t xml:space="preserve">. Accession to </w:t>
      </w:r>
      <w:r w:rsidRPr="003167BE">
        <w:rPr>
          <w:rFonts w:cstheme="minorHAnsi"/>
          <w:sz w:val="21"/>
          <w:szCs w:val="21"/>
          <w:lang w:val="en-GB"/>
        </w:rPr>
        <w:t xml:space="preserve">the European Union (EU) is an over-arching priority. </w:t>
      </w:r>
      <w:r w:rsidR="00AB6EA6" w:rsidRPr="003167BE">
        <w:rPr>
          <w:rFonts w:cstheme="minorHAnsi"/>
          <w:sz w:val="21"/>
          <w:szCs w:val="21"/>
          <w:lang w:val="en-GB"/>
        </w:rPr>
        <w:t xml:space="preserve">Over two </w:t>
      </w:r>
      <w:r w:rsidRPr="003167BE">
        <w:rPr>
          <w:rFonts w:cstheme="minorHAnsi"/>
          <w:sz w:val="21"/>
          <w:szCs w:val="21"/>
          <w:lang w:val="en-GB"/>
        </w:rPr>
        <w:t xml:space="preserve">decades after the signing of the </w:t>
      </w:r>
      <w:r w:rsidRPr="003167BE">
        <w:rPr>
          <w:sz w:val="21"/>
          <w:szCs w:val="21"/>
        </w:rPr>
        <w:t>Dayton Peace Agreement (DPA)</w:t>
      </w:r>
      <w:r w:rsidRPr="003167BE">
        <w:rPr>
          <w:rStyle w:val="FootnoteReference"/>
          <w:sz w:val="21"/>
          <w:szCs w:val="21"/>
        </w:rPr>
        <w:footnoteReference w:id="26"/>
      </w:r>
      <w:r w:rsidRPr="003167BE">
        <w:rPr>
          <w:rFonts w:cstheme="minorHAnsi"/>
          <w:sz w:val="21"/>
          <w:szCs w:val="21"/>
          <w:lang w:val="en-GB"/>
        </w:rPr>
        <w:t xml:space="preserve">, with its complex </w:t>
      </w:r>
      <w:r w:rsidRPr="003167BE">
        <w:rPr>
          <w:sz w:val="21"/>
          <w:szCs w:val="21"/>
        </w:rPr>
        <w:t xml:space="preserve">and fragmented governance and power-sharing arrangements, progress toward accession is </w:t>
      </w:r>
      <w:r w:rsidRPr="003167BE">
        <w:rPr>
          <w:rFonts w:cstheme="minorHAnsi"/>
          <w:sz w:val="21"/>
          <w:szCs w:val="21"/>
          <w:lang w:val="en-GB"/>
        </w:rPr>
        <w:t>constrained by limited reform progress</w:t>
      </w:r>
      <w:r w:rsidR="007741C6">
        <w:rPr>
          <w:rFonts w:cstheme="minorHAnsi"/>
          <w:sz w:val="21"/>
          <w:szCs w:val="21"/>
          <w:lang w:val="en-GB"/>
        </w:rPr>
        <w:t xml:space="preserve">. This is </w:t>
      </w:r>
      <w:r w:rsidR="00D6213D" w:rsidRPr="003167BE">
        <w:rPr>
          <w:rFonts w:cstheme="minorHAnsi"/>
          <w:sz w:val="21"/>
          <w:szCs w:val="21"/>
          <w:lang w:val="en-GB"/>
        </w:rPr>
        <w:t>characterized by:</w:t>
      </w:r>
      <w:r w:rsidR="007741C6">
        <w:rPr>
          <w:rFonts w:cstheme="minorHAnsi"/>
          <w:sz w:val="21"/>
          <w:szCs w:val="21"/>
          <w:lang w:val="en-GB"/>
        </w:rPr>
        <w:t xml:space="preserve"> </w:t>
      </w:r>
      <w:r>
        <w:rPr>
          <w:rFonts w:cstheme="minorHAnsi"/>
          <w:sz w:val="21"/>
          <w:szCs w:val="21"/>
          <w:lang w:val="en-GB"/>
        </w:rPr>
        <w:t>frequent institutional deadlocks, political instability, lack of social cohesion</w:t>
      </w:r>
      <w:r w:rsidR="00456802">
        <w:rPr>
          <w:rStyle w:val="FootnoteReference"/>
          <w:rFonts w:cstheme="minorHAnsi"/>
          <w:sz w:val="21"/>
          <w:szCs w:val="21"/>
          <w:lang w:val="en-GB"/>
        </w:rPr>
        <w:footnoteReference w:id="27"/>
      </w:r>
      <w:r>
        <w:rPr>
          <w:rFonts w:cstheme="minorHAnsi"/>
          <w:sz w:val="21"/>
          <w:szCs w:val="21"/>
          <w:lang w:val="en-GB"/>
        </w:rPr>
        <w:t xml:space="preserve"> and trust, </w:t>
      </w:r>
      <w:r w:rsidRPr="0089124E">
        <w:rPr>
          <w:sz w:val="21"/>
          <w:szCs w:val="21"/>
        </w:rPr>
        <w:t>slow legislative processes</w:t>
      </w:r>
      <w:r w:rsidR="00237BB7">
        <w:rPr>
          <w:sz w:val="21"/>
          <w:szCs w:val="21"/>
        </w:rPr>
        <w:t>, weak accountability mechanisms</w:t>
      </w:r>
      <w:r w:rsidR="00001735">
        <w:rPr>
          <w:sz w:val="21"/>
          <w:szCs w:val="21"/>
        </w:rPr>
        <w:t>,</w:t>
      </w:r>
      <w:r w:rsidR="00F81E35">
        <w:rPr>
          <w:sz w:val="21"/>
          <w:szCs w:val="21"/>
        </w:rPr>
        <w:t xml:space="preserve"> </w:t>
      </w:r>
      <w:r w:rsidR="00F064F3">
        <w:rPr>
          <w:sz w:val="21"/>
          <w:szCs w:val="21"/>
        </w:rPr>
        <w:t xml:space="preserve">and insufficient organizational capacities </w:t>
      </w:r>
      <w:r w:rsidR="00833A49">
        <w:rPr>
          <w:sz w:val="21"/>
          <w:szCs w:val="21"/>
        </w:rPr>
        <w:t>for participation in decision-processes at various level of governance in BiH</w:t>
      </w:r>
      <w:r w:rsidRPr="0089124E">
        <w:rPr>
          <w:sz w:val="21"/>
          <w:szCs w:val="21"/>
        </w:rPr>
        <w:t>. Aside from a broad consensus for joining the EU</w:t>
      </w:r>
      <w:r w:rsidRPr="00CF3EB2">
        <w:rPr>
          <w:rStyle w:val="FootnoteReference"/>
          <w:sz w:val="21"/>
          <w:szCs w:val="21"/>
        </w:rPr>
        <w:footnoteReference w:id="28"/>
      </w:r>
      <w:r w:rsidRPr="0089124E">
        <w:rPr>
          <w:sz w:val="21"/>
          <w:szCs w:val="21"/>
        </w:rPr>
        <w:t>, a shared vision for the country has been difficult to achieve</w:t>
      </w:r>
      <w:r w:rsidRPr="00CF3EB2">
        <w:rPr>
          <w:rStyle w:val="FootnoteReference"/>
          <w:sz w:val="21"/>
          <w:szCs w:val="21"/>
        </w:rPr>
        <w:footnoteReference w:id="29"/>
      </w:r>
      <w:r w:rsidRPr="0089124E">
        <w:rPr>
          <w:sz w:val="21"/>
          <w:szCs w:val="21"/>
        </w:rPr>
        <w:t>.</w:t>
      </w:r>
      <w:r w:rsidR="0037647A">
        <w:rPr>
          <w:sz w:val="21"/>
          <w:szCs w:val="21"/>
        </w:rPr>
        <w:t xml:space="preserve"> </w:t>
      </w:r>
      <w:r w:rsidR="0037647A" w:rsidRPr="003167BE">
        <w:rPr>
          <w:sz w:val="21"/>
          <w:szCs w:val="21"/>
        </w:rPr>
        <w:t xml:space="preserve">Of critical importance, the </w:t>
      </w:r>
      <w:r w:rsidR="0037647A" w:rsidRPr="003167BE">
        <w:rPr>
          <w:sz w:val="21"/>
          <w:szCs w:val="21"/>
          <w:lang w:val="en-GB"/>
        </w:rPr>
        <w:t>population in BiH is shrinking and ageing. O</w:t>
      </w:r>
      <w:r w:rsidR="0037647A" w:rsidRPr="003167BE">
        <w:rPr>
          <w:bCs/>
          <w:sz w:val="21"/>
          <w:szCs w:val="21"/>
        </w:rPr>
        <w:t>ut-migration is an urgent challenge</w:t>
      </w:r>
      <w:r w:rsidR="0037647A" w:rsidRPr="003167BE">
        <w:rPr>
          <w:sz w:val="21"/>
          <w:szCs w:val="21"/>
        </w:rPr>
        <w:t xml:space="preserve">, representing a loss of young people and skilled workers upon which future sustainable development will depend: </w:t>
      </w:r>
      <w:r w:rsidR="0037647A" w:rsidRPr="003167BE">
        <w:rPr>
          <w:rFonts w:cstheme="minorHAnsi"/>
          <w:sz w:val="21"/>
          <w:szCs w:val="21"/>
        </w:rPr>
        <w:t xml:space="preserve">2 </w:t>
      </w:r>
      <w:r w:rsidR="0037647A" w:rsidRPr="0069604A">
        <w:rPr>
          <w:rFonts w:cstheme="minorHAnsi"/>
          <w:sz w:val="21"/>
          <w:szCs w:val="21"/>
        </w:rPr>
        <w:t>million citizens of BiH are currently working or residing abroad</w:t>
      </w:r>
      <w:r w:rsidR="0037647A" w:rsidRPr="0069604A">
        <w:rPr>
          <w:rStyle w:val="FootnoteReference"/>
          <w:rFonts w:cstheme="minorHAnsi"/>
          <w:sz w:val="21"/>
          <w:szCs w:val="21"/>
        </w:rPr>
        <w:footnoteReference w:id="30"/>
      </w:r>
      <w:r w:rsidR="0037647A" w:rsidRPr="0069604A">
        <w:rPr>
          <w:rFonts w:cstheme="minorHAnsi"/>
          <w:sz w:val="21"/>
          <w:szCs w:val="21"/>
        </w:rPr>
        <w:t>—the highest share in the Western Balkans</w:t>
      </w:r>
      <w:r w:rsidR="0037647A" w:rsidRPr="0069604A">
        <w:rPr>
          <w:rStyle w:val="FootnoteReference"/>
          <w:rFonts w:cstheme="minorHAnsi"/>
          <w:sz w:val="21"/>
          <w:szCs w:val="21"/>
        </w:rPr>
        <w:footnoteReference w:id="31"/>
      </w:r>
      <w:r w:rsidR="0037647A" w:rsidRPr="0069604A">
        <w:rPr>
          <w:rFonts w:cstheme="minorHAnsi"/>
          <w:sz w:val="21"/>
          <w:szCs w:val="21"/>
        </w:rPr>
        <w:t xml:space="preserve"> and projections suggest the </w:t>
      </w:r>
      <w:r w:rsidR="0037647A" w:rsidRPr="0069604A">
        <w:rPr>
          <w:rFonts w:cstheme="minorHAnsi"/>
          <w:sz w:val="21"/>
          <w:szCs w:val="21"/>
          <w:lang w:val="en-GB"/>
        </w:rPr>
        <w:t xml:space="preserve">population could decline </w:t>
      </w:r>
      <w:r w:rsidR="0037647A" w:rsidRPr="0069604A">
        <w:rPr>
          <w:sz w:val="21"/>
          <w:szCs w:val="21"/>
          <w:lang w:val="en-GB"/>
        </w:rPr>
        <w:t>below 2.3 million by 2100</w:t>
      </w:r>
      <w:r w:rsidR="0037647A" w:rsidRPr="0069604A">
        <w:rPr>
          <w:rStyle w:val="FootnoteReference"/>
          <w:sz w:val="21"/>
          <w:szCs w:val="21"/>
          <w:lang w:val="en-GB"/>
        </w:rPr>
        <w:footnoteReference w:id="32"/>
      </w:r>
      <w:r w:rsidR="0037647A" w:rsidRPr="0069604A">
        <w:rPr>
          <w:sz w:val="21"/>
          <w:szCs w:val="21"/>
          <w:lang w:val="en-GB"/>
        </w:rPr>
        <w:t>.</w:t>
      </w:r>
      <w:r w:rsidRPr="0069604A">
        <w:rPr>
          <w:rFonts w:cstheme="minorHAnsi"/>
          <w:sz w:val="21"/>
          <w:szCs w:val="21"/>
          <w:lang w:val="en-GB"/>
        </w:rPr>
        <w:t xml:space="preserve"> </w:t>
      </w:r>
    </w:p>
    <w:p w14:paraId="5A6434A2" w14:textId="4CB8F3B5" w:rsidR="007C4892" w:rsidRPr="0069604A" w:rsidRDefault="008358F1" w:rsidP="00D9559C">
      <w:pPr>
        <w:pStyle w:val="ListParagraph"/>
        <w:numPr>
          <w:ilvl w:val="0"/>
          <w:numId w:val="3"/>
        </w:numPr>
        <w:spacing w:after="120"/>
        <w:ind w:right="-360"/>
        <w:contextualSpacing w:val="0"/>
        <w:jc w:val="both"/>
        <w:rPr>
          <w:sz w:val="21"/>
          <w:szCs w:val="21"/>
        </w:rPr>
      </w:pPr>
      <w:r w:rsidRPr="0069604A">
        <w:rPr>
          <w:sz w:val="21"/>
          <w:szCs w:val="21"/>
        </w:rPr>
        <w:t>Administratively, BiH is comprised of two Entities</w:t>
      </w:r>
      <w:r w:rsidR="00B40FE4" w:rsidRPr="0069604A">
        <w:rPr>
          <w:sz w:val="21"/>
          <w:szCs w:val="21"/>
        </w:rPr>
        <w:t xml:space="preserve">: the </w:t>
      </w:r>
      <w:r w:rsidRPr="0069604A">
        <w:rPr>
          <w:sz w:val="21"/>
          <w:szCs w:val="21"/>
        </w:rPr>
        <w:t>Federation of BiH</w:t>
      </w:r>
      <w:r w:rsidR="00B40FE4" w:rsidRPr="0069604A">
        <w:rPr>
          <w:sz w:val="21"/>
          <w:szCs w:val="21"/>
        </w:rPr>
        <w:t xml:space="preserve"> (</w:t>
      </w:r>
      <w:r w:rsidRPr="0069604A">
        <w:rPr>
          <w:sz w:val="21"/>
          <w:szCs w:val="21"/>
        </w:rPr>
        <w:t>FBiH</w:t>
      </w:r>
      <w:r w:rsidR="00B40FE4" w:rsidRPr="0069604A">
        <w:rPr>
          <w:sz w:val="21"/>
          <w:szCs w:val="21"/>
        </w:rPr>
        <w:t>)</w:t>
      </w:r>
      <w:r w:rsidRPr="0069604A">
        <w:rPr>
          <w:sz w:val="21"/>
          <w:szCs w:val="21"/>
        </w:rPr>
        <w:t xml:space="preserve"> and Republika Srpska</w:t>
      </w:r>
      <w:r w:rsidR="00B40FE4" w:rsidRPr="0069604A">
        <w:rPr>
          <w:sz w:val="21"/>
          <w:szCs w:val="21"/>
        </w:rPr>
        <w:t xml:space="preserve"> (RS)</w:t>
      </w:r>
      <w:r w:rsidRPr="0069604A">
        <w:rPr>
          <w:sz w:val="21"/>
          <w:szCs w:val="21"/>
        </w:rPr>
        <w:t>, the Br</w:t>
      </w:r>
      <w:r w:rsidRPr="0069604A">
        <w:rPr>
          <w:sz w:val="21"/>
          <w:szCs w:val="21"/>
          <w:lang w:val="bs-Latn-BA"/>
        </w:rPr>
        <w:t xml:space="preserve">čko District of BiH, and 10 </w:t>
      </w:r>
      <w:r w:rsidRPr="0069604A">
        <w:rPr>
          <w:sz w:val="21"/>
          <w:szCs w:val="21"/>
        </w:rPr>
        <w:t>cantons</w:t>
      </w:r>
      <w:r w:rsidRPr="0069604A">
        <w:rPr>
          <w:sz w:val="21"/>
          <w:szCs w:val="21"/>
          <w:lang w:val="bs-Latn-BA"/>
        </w:rPr>
        <w:t xml:space="preserve"> within the FBiH.  </w:t>
      </w:r>
      <w:r w:rsidR="007C4892" w:rsidRPr="0069604A">
        <w:rPr>
          <w:sz w:val="21"/>
          <w:szCs w:val="21"/>
          <w:lang w:val="bs-Latn-BA"/>
        </w:rPr>
        <w:t xml:space="preserve">Overall, BiH </w:t>
      </w:r>
      <w:r w:rsidR="007C4892" w:rsidRPr="0069604A">
        <w:rPr>
          <w:sz w:val="21"/>
          <w:szCs w:val="21"/>
        </w:rPr>
        <w:t>has 14 constitutions and legal systems and more than 150 ministries. While responding to local accountability and representational concerns, this has had the effect of reducing the effectiveness of policy coherence and the delivery of effective public services.</w:t>
      </w:r>
      <w:r w:rsidR="00A73E8F" w:rsidRPr="0069604A">
        <w:rPr>
          <w:sz w:val="21"/>
          <w:szCs w:val="21"/>
        </w:rPr>
        <w:t xml:space="preserve"> </w:t>
      </w:r>
      <w:r w:rsidR="00100674" w:rsidRPr="0069604A">
        <w:rPr>
          <w:sz w:val="21"/>
          <w:szCs w:val="21"/>
        </w:rPr>
        <w:t xml:space="preserve">Furthermore, </w:t>
      </w:r>
      <w:r w:rsidR="008E262A" w:rsidRPr="0069604A">
        <w:rPr>
          <w:sz w:val="21"/>
          <w:szCs w:val="21"/>
        </w:rPr>
        <w:t xml:space="preserve">insufficient </w:t>
      </w:r>
      <w:r w:rsidR="00A73E8F" w:rsidRPr="0069604A">
        <w:rPr>
          <w:sz w:val="21"/>
          <w:szCs w:val="21"/>
        </w:rPr>
        <w:t>vertical and</w:t>
      </w:r>
      <w:r w:rsidR="00001735" w:rsidRPr="0069604A">
        <w:rPr>
          <w:sz w:val="21"/>
          <w:szCs w:val="21"/>
        </w:rPr>
        <w:t xml:space="preserve"> </w:t>
      </w:r>
      <w:r w:rsidR="00A73E8F" w:rsidRPr="0069604A">
        <w:rPr>
          <w:sz w:val="21"/>
          <w:szCs w:val="21"/>
        </w:rPr>
        <w:t xml:space="preserve">horizontal coherence in the development of laws and policies </w:t>
      </w:r>
      <w:r w:rsidR="00C87D62" w:rsidRPr="0069604A">
        <w:rPr>
          <w:sz w:val="21"/>
          <w:szCs w:val="21"/>
        </w:rPr>
        <w:t>on human rights remains a challenge</w:t>
      </w:r>
      <w:r w:rsidR="00A73E8F" w:rsidRPr="0069604A">
        <w:rPr>
          <w:sz w:val="21"/>
          <w:szCs w:val="21"/>
        </w:rPr>
        <w:t xml:space="preserve">. While human rights obligations extend to all levels of </w:t>
      </w:r>
      <w:r w:rsidR="004C056E" w:rsidRPr="0069604A">
        <w:rPr>
          <w:sz w:val="21"/>
          <w:szCs w:val="21"/>
        </w:rPr>
        <w:t>governance</w:t>
      </w:r>
      <w:r w:rsidR="00A73E8F" w:rsidRPr="0069604A">
        <w:t xml:space="preserve"> </w:t>
      </w:r>
      <w:r w:rsidR="00A73E8F" w:rsidRPr="0069604A">
        <w:rPr>
          <w:sz w:val="21"/>
          <w:szCs w:val="21"/>
        </w:rPr>
        <w:t>within their allocated sphere of responsibilities, the state as a primary duty bearer will be ultimately held accountable for responding efficiently to human rights and humanitarian challenges.</w:t>
      </w:r>
      <w:r w:rsidR="00A32AF0" w:rsidRPr="0069604A">
        <w:rPr>
          <w:rStyle w:val="FootnoteReference"/>
          <w:sz w:val="21"/>
          <w:szCs w:val="21"/>
        </w:rPr>
        <w:footnoteReference w:id="33"/>
      </w:r>
      <w:r w:rsidR="007C4892" w:rsidRPr="0069604A">
        <w:rPr>
          <w:sz w:val="21"/>
          <w:szCs w:val="21"/>
        </w:rPr>
        <w:t xml:space="preserve"> </w:t>
      </w:r>
    </w:p>
    <w:p w14:paraId="3AB5D7B6" w14:textId="2C405757" w:rsidR="007741C6" w:rsidRPr="0069604A" w:rsidRDefault="007741C6" w:rsidP="00D9559C">
      <w:pPr>
        <w:pStyle w:val="ListParagraph"/>
        <w:numPr>
          <w:ilvl w:val="0"/>
          <w:numId w:val="3"/>
        </w:numPr>
        <w:spacing w:after="120"/>
        <w:ind w:left="357" w:right="-360" w:hanging="357"/>
        <w:contextualSpacing w:val="0"/>
        <w:jc w:val="both"/>
        <w:rPr>
          <w:rFonts w:cstheme="minorHAnsi"/>
          <w:color w:val="212121"/>
          <w:sz w:val="21"/>
          <w:szCs w:val="21"/>
        </w:rPr>
      </w:pPr>
      <w:r w:rsidRPr="0069604A">
        <w:rPr>
          <w:rFonts w:cstheme="minorHAnsi"/>
          <w:sz w:val="21"/>
          <w:szCs w:val="21"/>
          <w:lang w:val="en-CA"/>
        </w:rPr>
        <w:t xml:space="preserve">These challenges are aggravated by the </w:t>
      </w:r>
      <w:r w:rsidRPr="0069604A">
        <w:rPr>
          <w:rFonts w:cstheme="minorHAnsi"/>
          <w:b/>
          <w:sz w:val="21"/>
          <w:szCs w:val="21"/>
          <w:lang w:val="en-CA"/>
        </w:rPr>
        <w:t>Coronavirus (COVID-19) pandemic</w:t>
      </w:r>
      <w:r w:rsidRPr="0069604A">
        <w:rPr>
          <w:rFonts w:cstheme="minorHAnsi"/>
          <w:sz w:val="21"/>
          <w:szCs w:val="21"/>
          <w:lang w:val="en-CA"/>
        </w:rPr>
        <w:t xml:space="preserve"> </w:t>
      </w:r>
      <w:r w:rsidRPr="0069604A">
        <w:rPr>
          <w:rFonts w:cstheme="minorHAnsi"/>
          <w:sz w:val="21"/>
          <w:szCs w:val="21"/>
        </w:rPr>
        <w:t xml:space="preserve">that is unprecedented in its spread and impacts on human health and well-being. Globally, the International Monetary Fund (IMF) predicts GDP per capita </w:t>
      </w:r>
      <w:r w:rsidRPr="0069604A">
        <w:rPr>
          <w:rFonts w:cstheme="minorHAnsi"/>
          <w:i/>
          <w:sz w:val="21"/>
          <w:szCs w:val="21"/>
        </w:rPr>
        <w:t>growth</w:t>
      </w:r>
      <w:r w:rsidRPr="0069604A">
        <w:rPr>
          <w:rFonts w:cstheme="minorHAnsi"/>
          <w:sz w:val="21"/>
          <w:szCs w:val="21"/>
        </w:rPr>
        <w:t xml:space="preserve"> will decline by 3% in 2020, worse than during the </w:t>
      </w:r>
      <w:r w:rsidR="00494F87" w:rsidRPr="0069604A">
        <w:rPr>
          <w:rFonts w:cstheme="minorHAnsi"/>
          <w:sz w:val="21"/>
          <w:szCs w:val="21"/>
        </w:rPr>
        <w:t>2007-</w:t>
      </w:r>
      <w:r w:rsidRPr="0069604A">
        <w:rPr>
          <w:rFonts w:cstheme="minorHAnsi"/>
          <w:sz w:val="21"/>
          <w:szCs w:val="21"/>
        </w:rPr>
        <w:t xml:space="preserve">2009 global financial crisis. While growth is predicted to rebound to over 5% in 2021, this assumes a fading of the pandemic in the second half of 2020, reduced control measures, a ‘normalization’ of economic activity, and restored consumer and investor confidence. The economic disruption and ongoing supply and demand shocks mean that global GDP at the end of 2021 is expected to remain </w:t>
      </w:r>
      <w:r w:rsidRPr="0069604A">
        <w:rPr>
          <w:rFonts w:cstheme="minorHAnsi"/>
          <w:i/>
          <w:sz w:val="21"/>
          <w:szCs w:val="21"/>
        </w:rPr>
        <w:t>below</w:t>
      </w:r>
      <w:r w:rsidRPr="0069604A">
        <w:rPr>
          <w:rFonts w:cstheme="minorHAnsi"/>
          <w:sz w:val="21"/>
          <w:szCs w:val="21"/>
        </w:rPr>
        <w:t xml:space="preserve"> the pre-virus baseline of January 2020</w:t>
      </w:r>
      <w:r w:rsidRPr="0069604A">
        <w:rPr>
          <w:color w:val="212121"/>
          <w:sz w:val="21"/>
          <w:szCs w:val="21"/>
          <w:vertAlign w:val="superscript"/>
        </w:rPr>
        <w:footnoteReference w:id="34"/>
      </w:r>
      <w:r w:rsidRPr="0069604A">
        <w:rPr>
          <w:rFonts w:cstheme="minorHAnsi"/>
          <w:color w:val="212121"/>
          <w:sz w:val="21"/>
          <w:szCs w:val="21"/>
        </w:rPr>
        <w:t xml:space="preserve">. </w:t>
      </w:r>
    </w:p>
    <w:p w14:paraId="0D54EF17" w14:textId="71FD0C72" w:rsidR="00A14B51" w:rsidRPr="0069604A" w:rsidRDefault="00A14B51" w:rsidP="00D9559C">
      <w:pPr>
        <w:pStyle w:val="ListParagraph"/>
        <w:numPr>
          <w:ilvl w:val="0"/>
          <w:numId w:val="3"/>
        </w:numPr>
        <w:spacing w:after="120"/>
        <w:ind w:right="-360"/>
        <w:jc w:val="both"/>
        <w:rPr>
          <w:rFonts w:cstheme="minorHAnsi"/>
          <w:sz w:val="21"/>
          <w:szCs w:val="21"/>
        </w:rPr>
      </w:pPr>
      <w:r w:rsidRPr="0069604A">
        <w:rPr>
          <w:rFonts w:cstheme="minorHAnsi"/>
          <w:sz w:val="21"/>
          <w:szCs w:val="21"/>
        </w:rPr>
        <w:t xml:space="preserve">The first cases of COVID-19 were detected in BiH on </w:t>
      </w:r>
      <w:r w:rsidR="008D0FAF" w:rsidRPr="0069604A">
        <w:rPr>
          <w:rFonts w:cstheme="minorHAnsi"/>
          <w:sz w:val="21"/>
          <w:szCs w:val="21"/>
        </w:rPr>
        <w:t>06 March</w:t>
      </w:r>
      <w:r w:rsidRPr="0069604A">
        <w:rPr>
          <w:rFonts w:cstheme="minorHAnsi"/>
          <w:sz w:val="21"/>
          <w:szCs w:val="21"/>
        </w:rPr>
        <w:t>; as at 2</w:t>
      </w:r>
      <w:r w:rsidR="008D0FAF" w:rsidRPr="0069604A">
        <w:rPr>
          <w:rFonts w:cstheme="minorHAnsi"/>
          <w:sz w:val="21"/>
          <w:szCs w:val="21"/>
        </w:rPr>
        <w:t>7 April</w:t>
      </w:r>
      <w:r w:rsidRPr="0069604A">
        <w:rPr>
          <w:rFonts w:cstheme="minorHAnsi"/>
          <w:sz w:val="21"/>
          <w:szCs w:val="21"/>
        </w:rPr>
        <w:t xml:space="preserve">, there </w:t>
      </w:r>
      <w:r w:rsidR="008D0FAF" w:rsidRPr="0069604A">
        <w:rPr>
          <w:rFonts w:cstheme="minorHAnsi"/>
          <w:sz w:val="21"/>
          <w:szCs w:val="21"/>
        </w:rPr>
        <w:t>were</w:t>
      </w:r>
      <w:r w:rsidRPr="0069604A">
        <w:rPr>
          <w:rFonts w:cstheme="minorHAnsi"/>
          <w:sz w:val="21"/>
          <w:szCs w:val="21"/>
        </w:rPr>
        <w:t xml:space="preserve"> </w:t>
      </w:r>
      <w:r w:rsidR="008D0FAF" w:rsidRPr="0069604A">
        <w:rPr>
          <w:rFonts w:cstheme="minorHAnsi"/>
          <w:sz w:val="21"/>
          <w:szCs w:val="21"/>
        </w:rPr>
        <w:t>1,516</w:t>
      </w:r>
      <w:r w:rsidRPr="0069604A">
        <w:rPr>
          <w:rFonts w:cstheme="minorHAnsi"/>
          <w:sz w:val="21"/>
          <w:szCs w:val="21"/>
        </w:rPr>
        <w:t xml:space="preserve"> cases and </w:t>
      </w:r>
      <w:r w:rsidR="008D0FAF" w:rsidRPr="0069604A">
        <w:rPr>
          <w:rFonts w:cstheme="minorHAnsi"/>
          <w:sz w:val="21"/>
          <w:szCs w:val="21"/>
        </w:rPr>
        <w:t xml:space="preserve">58 </w:t>
      </w:r>
      <w:r w:rsidRPr="0069604A">
        <w:rPr>
          <w:rFonts w:cstheme="minorHAnsi"/>
          <w:sz w:val="21"/>
          <w:szCs w:val="21"/>
        </w:rPr>
        <w:t>deaths</w:t>
      </w:r>
      <w:r w:rsidR="008D0FAF" w:rsidRPr="0069604A">
        <w:rPr>
          <w:rFonts w:cstheme="minorHAnsi"/>
          <w:sz w:val="21"/>
          <w:szCs w:val="21"/>
        </w:rPr>
        <w:t>, with some indications that the infection curve is flattening</w:t>
      </w:r>
      <w:r w:rsidRPr="0069604A">
        <w:rPr>
          <w:rStyle w:val="FootnoteReference"/>
          <w:rFonts w:cstheme="minorHAnsi"/>
          <w:sz w:val="21"/>
          <w:szCs w:val="21"/>
          <w:lang w:val="en-CA"/>
        </w:rPr>
        <w:footnoteReference w:id="35"/>
      </w:r>
      <w:r w:rsidRPr="0069604A">
        <w:rPr>
          <w:rFonts w:cstheme="minorHAnsi"/>
          <w:sz w:val="21"/>
          <w:szCs w:val="21"/>
        </w:rPr>
        <w:t xml:space="preserve">. Similar to all countries in the region, the pandemic has caused major socio-economic disruptions and it threatens the steady progress that </w:t>
      </w:r>
      <w:r w:rsidR="004C338B" w:rsidRPr="0069604A">
        <w:rPr>
          <w:rFonts w:cstheme="minorHAnsi"/>
          <w:sz w:val="21"/>
          <w:szCs w:val="21"/>
        </w:rPr>
        <w:t xml:space="preserve">BiH is making </w:t>
      </w:r>
      <w:r w:rsidRPr="0069604A">
        <w:rPr>
          <w:rFonts w:cstheme="minorHAnsi"/>
          <w:sz w:val="21"/>
          <w:szCs w:val="21"/>
        </w:rPr>
        <w:t xml:space="preserve">toward achievement of the 2030 Agenda for Sustainable Development and the SDGs. </w:t>
      </w:r>
      <w:r w:rsidR="00202E2E" w:rsidRPr="0069604A">
        <w:rPr>
          <w:sz w:val="21"/>
          <w:szCs w:val="21"/>
        </w:rPr>
        <w:t>In addition to capacity gaps in the health sector, the COVID-19 pandemic has exposed the challenges faced by highly decentralized governance systems when country-wide, cohesive responses</w:t>
      </w:r>
      <w:r w:rsidR="00F514D7" w:rsidRPr="0069604A">
        <w:rPr>
          <w:sz w:val="21"/>
          <w:szCs w:val="21"/>
        </w:rPr>
        <w:t xml:space="preserve"> </w:t>
      </w:r>
      <w:r w:rsidR="00AE4A71" w:rsidRPr="0069604A">
        <w:rPr>
          <w:sz w:val="21"/>
          <w:szCs w:val="21"/>
        </w:rPr>
        <w:t>and continued cooperation</w:t>
      </w:r>
      <w:r w:rsidR="00427980" w:rsidRPr="0069604A">
        <w:rPr>
          <w:sz w:val="21"/>
          <w:szCs w:val="21"/>
        </w:rPr>
        <w:t xml:space="preserve"> </w:t>
      </w:r>
      <w:r w:rsidR="008D3D4C" w:rsidRPr="0069604A">
        <w:rPr>
          <w:sz w:val="21"/>
          <w:szCs w:val="21"/>
        </w:rPr>
        <w:t>between the authorities in BiH as well as with international partners</w:t>
      </w:r>
      <w:r w:rsidR="00202E2E" w:rsidRPr="0069604A">
        <w:rPr>
          <w:sz w:val="21"/>
          <w:szCs w:val="21"/>
        </w:rPr>
        <w:t xml:space="preserve"> are needed. </w:t>
      </w:r>
      <w:r w:rsidRPr="0069604A">
        <w:rPr>
          <w:rFonts w:cstheme="minorHAnsi"/>
          <w:sz w:val="21"/>
          <w:szCs w:val="21"/>
        </w:rPr>
        <w:t>In line with international health recommendations</w:t>
      </w:r>
      <w:r w:rsidR="00B1124C" w:rsidRPr="0069604A">
        <w:rPr>
          <w:rFonts w:cstheme="minorHAnsi"/>
          <w:sz w:val="21"/>
          <w:szCs w:val="21"/>
        </w:rPr>
        <w:t>, the</w:t>
      </w:r>
      <w:r w:rsidR="00C64C91" w:rsidRPr="0069604A">
        <w:rPr>
          <w:rFonts w:cstheme="minorHAnsi"/>
          <w:sz w:val="21"/>
          <w:szCs w:val="21"/>
        </w:rPr>
        <w:t xml:space="preserve"> </w:t>
      </w:r>
      <w:r w:rsidR="0037647A" w:rsidRPr="0069604A">
        <w:rPr>
          <w:rFonts w:cstheme="minorHAnsi"/>
          <w:sz w:val="21"/>
          <w:szCs w:val="21"/>
        </w:rPr>
        <w:t>authorities in BiH are</w:t>
      </w:r>
      <w:r w:rsidRPr="0069604A">
        <w:rPr>
          <w:rFonts w:cstheme="minorHAnsi"/>
          <w:sz w:val="21"/>
          <w:szCs w:val="21"/>
        </w:rPr>
        <w:t xml:space="preserve"> acting swiftly to implement measures to contain the spread of the disease and to provide fiscal and monetary stimulus. </w:t>
      </w:r>
      <w:r w:rsidR="00C64C91" w:rsidRPr="0069604A">
        <w:rPr>
          <w:rFonts w:cstheme="minorHAnsi"/>
          <w:sz w:val="21"/>
          <w:szCs w:val="21"/>
        </w:rPr>
        <w:t>E</w:t>
      </w:r>
      <w:r w:rsidRPr="0069604A">
        <w:rPr>
          <w:rFonts w:cstheme="minorHAnsi"/>
          <w:sz w:val="21"/>
          <w:szCs w:val="21"/>
        </w:rPr>
        <w:t xml:space="preserve">conomic </w:t>
      </w:r>
      <w:r w:rsidR="004C338B" w:rsidRPr="0069604A">
        <w:rPr>
          <w:rFonts w:cstheme="minorHAnsi"/>
          <w:sz w:val="21"/>
          <w:szCs w:val="21"/>
        </w:rPr>
        <w:t xml:space="preserve">support </w:t>
      </w:r>
      <w:r w:rsidRPr="0069604A">
        <w:rPr>
          <w:rFonts w:cstheme="minorHAnsi"/>
          <w:sz w:val="21"/>
          <w:szCs w:val="21"/>
        </w:rPr>
        <w:t>package</w:t>
      </w:r>
      <w:r w:rsidR="004C338B" w:rsidRPr="0069604A">
        <w:rPr>
          <w:rFonts w:cstheme="minorHAnsi"/>
          <w:sz w:val="21"/>
          <w:szCs w:val="21"/>
        </w:rPr>
        <w:t>s</w:t>
      </w:r>
      <w:r w:rsidR="00202E2E" w:rsidRPr="0069604A">
        <w:rPr>
          <w:rFonts w:cstheme="minorHAnsi"/>
          <w:sz w:val="21"/>
          <w:szCs w:val="21"/>
        </w:rPr>
        <w:t xml:space="preserve"> </w:t>
      </w:r>
      <w:r w:rsidR="00C64C91" w:rsidRPr="0069604A">
        <w:rPr>
          <w:rFonts w:cstheme="minorHAnsi"/>
          <w:color w:val="212121"/>
          <w:sz w:val="21"/>
          <w:szCs w:val="21"/>
        </w:rPr>
        <w:t xml:space="preserve">are being finalized </w:t>
      </w:r>
      <w:r w:rsidRPr="0069604A">
        <w:rPr>
          <w:rFonts w:cstheme="minorHAnsi"/>
          <w:color w:val="212121"/>
          <w:sz w:val="21"/>
          <w:szCs w:val="21"/>
        </w:rPr>
        <w:t>to counteract the supply, demand, and unemployment shocks that have accompanied social distancing, lockdowns, and reduced travel, trade, and commerce</w:t>
      </w:r>
      <w:r w:rsidRPr="0069604A">
        <w:rPr>
          <w:vertAlign w:val="superscript"/>
        </w:rPr>
        <w:footnoteReference w:id="36"/>
      </w:r>
      <w:r w:rsidRPr="0069604A">
        <w:rPr>
          <w:rFonts w:cstheme="minorHAnsi"/>
          <w:color w:val="212121"/>
          <w:sz w:val="21"/>
          <w:szCs w:val="21"/>
        </w:rPr>
        <w:t xml:space="preserve">. </w:t>
      </w:r>
    </w:p>
    <w:p w14:paraId="72D3FCAF" w14:textId="77777777" w:rsidR="006D019B" w:rsidRPr="00B1124C" w:rsidRDefault="006D019B" w:rsidP="00D9559C">
      <w:pPr>
        <w:pStyle w:val="ListParagraph"/>
        <w:numPr>
          <w:ilvl w:val="0"/>
          <w:numId w:val="0"/>
        </w:numPr>
        <w:spacing w:after="120"/>
        <w:ind w:left="360" w:right="-360"/>
        <w:rPr>
          <w:rFonts w:cstheme="minorHAnsi"/>
          <w:sz w:val="21"/>
          <w:szCs w:val="21"/>
        </w:rPr>
      </w:pPr>
    </w:p>
    <w:p w14:paraId="4290EC31" w14:textId="354DC9B9" w:rsidR="00202E2E" w:rsidRPr="0069604A" w:rsidRDefault="007649EE" w:rsidP="00D9559C">
      <w:pPr>
        <w:pStyle w:val="ListParagraph"/>
        <w:numPr>
          <w:ilvl w:val="0"/>
          <w:numId w:val="3"/>
        </w:numPr>
        <w:spacing w:after="120"/>
        <w:ind w:left="357" w:right="-360" w:hanging="357"/>
        <w:contextualSpacing w:val="0"/>
        <w:jc w:val="both"/>
        <w:rPr>
          <w:sz w:val="21"/>
          <w:szCs w:val="21"/>
        </w:rPr>
      </w:pPr>
      <w:r w:rsidRPr="0069604A">
        <w:rPr>
          <w:sz w:val="21"/>
          <w:szCs w:val="21"/>
        </w:rPr>
        <w:t xml:space="preserve">Real GDP growth was 3% in 2018, relatively steady from 2015. Prior to the pandemic, </w:t>
      </w:r>
      <w:r w:rsidR="00202E2E" w:rsidRPr="0069604A">
        <w:rPr>
          <w:sz w:val="21"/>
          <w:szCs w:val="21"/>
        </w:rPr>
        <w:t>growth was projected to i</w:t>
      </w:r>
      <w:r w:rsidRPr="0069604A">
        <w:rPr>
          <w:sz w:val="21"/>
          <w:szCs w:val="21"/>
        </w:rPr>
        <w:t>ncrease to 3.3% by 2023 on the back of strong private consumption, public investment, and import demand from the EU</w:t>
      </w:r>
      <w:r w:rsidRPr="0069604A">
        <w:rPr>
          <w:rStyle w:val="FootnoteReference"/>
          <w:sz w:val="21"/>
          <w:szCs w:val="21"/>
        </w:rPr>
        <w:footnoteReference w:id="37"/>
      </w:r>
      <w:r w:rsidRPr="0069604A">
        <w:rPr>
          <w:sz w:val="21"/>
          <w:szCs w:val="21"/>
        </w:rPr>
        <w:t>. These growth prospects are</w:t>
      </w:r>
      <w:r w:rsidR="00FE4C98" w:rsidRPr="0069604A">
        <w:rPr>
          <w:sz w:val="21"/>
          <w:szCs w:val="21"/>
        </w:rPr>
        <w:t xml:space="preserve"> likely to be severely disrupted</w:t>
      </w:r>
      <w:r w:rsidR="0037647A" w:rsidRPr="0069604A">
        <w:rPr>
          <w:sz w:val="21"/>
          <w:szCs w:val="21"/>
        </w:rPr>
        <w:t xml:space="preserve"> and the EBRD projects that GDP will now contract in 2020 by 3.9%</w:t>
      </w:r>
      <w:r w:rsidR="0037647A" w:rsidRPr="0069604A">
        <w:rPr>
          <w:rStyle w:val="FootnoteReference"/>
          <w:sz w:val="21"/>
          <w:szCs w:val="21"/>
        </w:rPr>
        <w:footnoteReference w:id="38"/>
      </w:r>
      <w:r w:rsidR="0037647A" w:rsidRPr="0069604A">
        <w:rPr>
          <w:sz w:val="21"/>
          <w:szCs w:val="21"/>
        </w:rPr>
        <w:t xml:space="preserve">. </w:t>
      </w:r>
    </w:p>
    <w:p w14:paraId="38DB4EDF" w14:textId="5642C879" w:rsidR="003E1F92" w:rsidRPr="0069604A" w:rsidRDefault="007741C6" w:rsidP="00D9559C">
      <w:pPr>
        <w:pStyle w:val="ListParagraph"/>
        <w:numPr>
          <w:ilvl w:val="0"/>
          <w:numId w:val="3"/>
        </w:numPr>
        <w:spacing w:after="120"/>
        <w:ind w:left="357" w:right="-360" w:hanging="357"/>
        <w:contextualSpacing w:val="0"/>
        <w:jc w:val="both"/>
        <w:rPr>
          <w:sz w:val="21"/>
          <w:szCs w:val="21"/>
        </w:rPr>
      </w:pPr>
      <w:r w:rsidRPr="0069604A">
        <w:rPr>
          <w:rFonts w:cstheme="minorHAnsi"/>
          <w:sz w:val="21"/>
          <w:szCs w:val="21"/>
          <w:lang w:val="en-GB"/>
        </w:rPr>
        <w:t xml:space="preserve">The COVID-19 pandemic may </w:t>
      </w:r>
      <w:r w:rsidR="00202E2E" w:rsidRPr="0069604A">
        <w:rPr>
          <w:rFonts w:cstheme="minorHAnsi"/>
          <w:sz w:val="21"/>
          <w:szCs w:val="21"/>
          <w:lang w:val="en-GB"/>
        </w:rPr>
        <w:t xml:space="preserve">also </w:t>
      </w:r>
      <w:r w:rsidRPr="0069604A">
        <w:rPr>
          <w:rFonts w:cstheme="minorHAnsi"/>
          <w:sz w:val="21"/>
          <w:szCs w:val="21"/>
          <w:lang w:val="en-GB"/>
        </w:rPr>
        <w:t xml:space="preserve">have significant, negative implications for the </w:t>
      </w:r>
      <w:r w:rsidR="0073775C" w:rsidRPr="0069604A">
        <w:rPr>
          <w:rFonts w:cstheme="minorHAnsi"/>
          <w:sz w:val="21"/>
          <w:szCs w:val="21"/>
          <w:lang w:val="en-GB"/>
        </w:rPr>
        <w:t>realization</w:t>
      </w:r>
      <w:r w:rsidRPr="0069604A">
        <w:rPr>
          <w:rFonts w:cstheme="minorHAnsi"/>
          <w:sz w:val="21"/>
          <w:szCs w:val="21"/>
          <w:lang w:val="en-GB"/>
        </w:rPr>
        <w:t xml:space="preserve"> of basic human rights, especially among vulnerable groups. </w:t>
      </w:r>
      <w:r w:rsidR="00BF6379" w:rsidRPr="0069604A">
        <w:rPr>
          <w:sz w:val="21"/>
          <w:szCs w:val="21"/>
        </w:rPr>
        <w:t>Economic inequalities are prominent</w:t>
      </w:r>
      <w:r w:rsidR="0047665D" w:rsidRPr="0069604A">
        <w:rPr>
          <w:sz w:val="21"/>
          <w:szCs w:val="21"/>
        </w:rPr>
        <w:t xml:space="preserve"> and may be </w:t>
      </w:r>
      <w:r w:rsidR="00BE4C6A" w:rsidRPr="0069604A">
        <w:rPr>
          <w:sz w:val="21"/>
          <w:szCs w:val="21"/>
        </w:rPr>
        <w:t xml:space="preserve">aggravated by the </w:t>
      </w:r>
      <w:r w:rsidR="00001735" w:rsidRPr="0069604A">
        <w:rPr>
          <w:sz w:val="21"/>
          <w:szCs w:val="21"/>
        </w:rPr>
        <w:t>pandemic</w:t>
      </w:r>
      <w:r w:rsidR="00BF6379" w:rsidRPr="0069604A">
        <w:rPr>
          <w:sz w:val="21"/>
          <w:szCs w:val="21"/>
        </w:rPr>
        <w:t>. The Gini coefficient was 33 in 2017</w:t>
      </w:r>
      <w:r w:rsidR="00BF6379" w:rsidRPr="0069604A">
        <w:rPr>
          <w:rStyle w:val="FootnoteReference"/>
          <w:sz w:val="21"/>
          <w:szCs w:val="21"/>
        </w:rPr>
        <w:footnoteReference w:id="39"/>
      </w:r>
      <w:r w:rsidR="00BF6379" w:rsidRPr="0069604A">
        <w:rPr>
          <w:sz w:val="21"/>
          <w:szCs w:val="21"/>
        </w:rPr>
        <w:t>. The poverty rate in 2015 was 17%, a 1</w:t>
      </w:r>
      <w:r w:rsidR="00025C0B" w:rsidRPr="0069604A">
        <w:rPr>
          <w:sz w:val="21"/>
          <w:szCs w:val="21"/>
        </w:rPr>
        <w:t>-</w:t>
      </w:r>
      <w:r w:rsidR="00BF6379" w:rsidRPr="0069604A">
        <w:rPr>
          <w:sz w:val="21"/>
          <w:szCs w:val="21"/>
        </w:rPr>
        <w:t>point reduction from 2011: Today over 170,000 households and half a million people in BiH are living below the BiH poverty line</w:t>
      </w:r>
      <w:r w:rsidR="00BF6379" w:rsidRPr="0069604A">
        <w:rPr>
          <w:rStyle w:val="FootnoteReference"/>
          <w:sz w:val="21"/>
          <w:szCs w:val="21"/>
        </w:rPr>
        <w:footnoteReference w:id="40"/>
      </w:r>
      <w:r w:rsidR="00BF6379" w:rsidRPr="0069604A">
        <w:rPr>
          <w:sz w:val="21"/>
          <w:szCs w:val="21"/>
        </w:rPr>
        <w:t xml:space="preserve">. </w:t>
      </w:r>
    </w:p>
    <w:p w14:paraId="532610F9" w14:textId="5CFA7F1F" w:rsidR="007741C6" w:rsidRPr="0069604A" w:rsidRDefault="0089124E" w:rsidP="00D9559C">
      <w:pPr>
        <w:pStyle w:val="ListParagraph"/>
        <w:numPr>
          <w:ilvl w:val="0"/>
          <w:numId w:val="3"/>
        </w:numPr>
        <w:spacing w:after="120"/>
        <w:ind w:left="357" w:right="-360" w:hanging="357"/>
        <w:contextualSpacing w:val="0"/>
        <w:jc w:val="both"/>
        <w:rPr>
          <w:sz w:val="21"/>
          <w:szCs w:val="21"/>
        </w:rPr>
      </w:pPr>
      <w:r w:rsidRPr="0069604A">
        <w:rPr>
          <w:rFonts w:cstheme="minorHAnsi"/>
          <w:sz w:val="21"/>
          <w:szCs w:val="21"/>
          <w:lang w:val="en-GB"/>
        </w:rPr>
        <w:t>Unemployment rates have fallen in recent years to below 20% but with a large informal labour market, migration, and non-participation only about one third of the working-age population, and one quarter of working-age women are employed</w:t>
      </w:r>
      <w:r w:rsidRPr="0069604A">
        <w:rPr>
          <w:rStyle w:val="FootnoteReference"/>
          <w:rFonts w:cstheme="minorHAnsi"/>
          <w:sz w:val="21"/>
          <w:szCs w:val="21"/>
          <w:lang w:val="en-GB"/>
        </w:rPr>
        <w:footnoteReference w:id="41"/>
      </w:r>
      <w:r w:rsidRPr="0069604A">
        <w:rPr>
          <w:rFonts w:cstheme="minorHAnsi"/>
          <w:sz w:val="21"/>
          <w:szCs w:val="21"/>
          <w:lang w:val="en-GB"/>
        </w:rPr>
        <w:t>. Unemployment amongst young people (15-24) is much higher at 4</w:t>
      </w:r>
      <w:r w:rsidR="00537EA8" w:rsidRPr="0069604A">
        <w:rPr>
          <w:rFonts w:cstheme="minorHAnsi"/>
          <w:sz w:val="21"/>
          <w:szCs w:val="21"/>
          <w:lang w:val="en-GB"/>
        </w:rPr>
        <w:t>0</w:t>
      </w:r>
      <w:r w:rsidRPr="0069604A">
        <w:rPr>
          <w:rFonts w:cstheme="minorHAnsi"/>
          <w:sz w:val="21"/>
          <w:szCs w:val="21"/>
          <w:lang w:val="en-GB"/>
        </w:rPr>
        <w:t xml:space="preserve">% and </w:t>
      </w:r>
      <w:r w:rsidR="00537EA8" w:rsidRPr="0069604A">
        <w:rPr>
          <w:rFonts w:cstheme="minorHAnsi"/>
          <w:sz w:val="21"/>
          <w:szCs w:val="21"/>
          <w:lang w:val="en-GB"/>
        </w:rPr>
        <w:t>46</w:t>
      </w:r>
      <w:r w:rsidRPr="0069604A">
        <w:rPr>
          <w:rFonts w:cstheme="minorHAnsi"/>
          <w:sz w:val="21"/>
          <w:szCs w:val="21"/>
          <w:lang w:val="en-GB"/>
        </w:rPr>
        <w:t>% for women in 201</w:t>
      </w:r>
      <w:r w:rsidR="00537EA8" w:rsidRPr="0069604A">
        <w:rPr>
          <w:rFonts w:cstheme="minorHAnsi"/>
          <w:sz w:val="21"/>
          <w:szCs w:val="21"/>
          <w:lang w:val="en-GB"/>
        </w:rPr>
        <w:t>9</w:t>
      </w:r>
      <w:r w:rsidRPr="0069604A">
        <w:rPr>
          <w:rFonts w:cstheme="minorHAnsi"/>
          <w:sz w:val="21"/>
          <w:szCs w:val="21"/>
          <w:lang w:val="en-GB"/>
        </w:rPr>
        <w:t xml:space="preserve">, but down from rates over 60% </w:t>
      </w:r>
      <w:r w:rsidR="00537EA8" w:rsidRPr="0069604A">
        <w:rPr>
          <w:rFonts w:cstheme="minorHAnsi"/>
          <w:sz w:val="21"/>
          <w:szCs w:val="21"/>
          <w:lang w:val="en-GB"/>
        </w:rPr>
        <w:t xml:space="preserve">between </w:t>
      </w:r>
      <w:r w:rsidRPr="0069604A">
        <w:rPr>
          <w:rFonts w:cstheme="minorHAnsi"/>
          <w:sz w:val="21"/>
          <w:szCs w:val="21"/>
          <w:lang w:val="en-GB"/>
        </w:rPr>
        <w:t xml:space="preserve">2012 </w:t>
      </w:r>
      <w:r w:rsidR="00537EA8" w:rsidRPr="0069604A">
        <w:rPr>
          <w:rFonts w:cstheme="minorHAnsi"/>
          <w:sz w:val="21"/>
          <w:szCs w:val="21"/>
          <w:lang w:val="en-GB"/>
        </w:rPr>
        <w:t xml:space="preserve">and </w:t>
      </w:r>
      <w:r w:rsidRPr="0069604A">
        <w:rPr>
          <w:rFonts w:cstheme="minorHAnsi"/>
          <w:sz w:val="21"/>
          <w:szCs w:val="21"/>
          <w:lang w:val="en-GB"/>
        </w:rPr>
        <w:t>2015</w:t>
      </w:r>
      <w:r w:rsidRPr="0069604A">
        <w:rPr>
          <w:rStyle w:val="FootnoteReference"/>
          <w:rFonts w:cstheme="minorHAnsi"/>
          <w:sz w:val="21"/>
          <w:szCs w:val="21"/>
          <w:lang w:val="en-GB"/>
        </w:rPr>
        <w:footnoteReference w:id="42"/>
      </w:r>
      <w:r w:rsidRPr="0069604A">
        <w:rPr>
          <w:rFonts w:cstheme="minorHAnsi"/>
          <w:sz w:val="21"/>
          <w:szCs w:val="21"/>
          <w:lang w:val="en-GB"/>
        </w:rPr>
        <w:t>.</w:t>
      </w:r>
      <w:r w:rsidR="005A378C" w:rsidRPr="0069604A">
        <w:rPr>
          <w:rFonts w:cstheme="minorHAnsi"/>
          <w:sz w:val="21"/>
          <w:szCs w:val="21"/>
          <w:lang w:val="en-GB"/>
        </w:rPr>
        <w:t xml:space="preserve">  </w:t>
      </w:r>
      <w:r w:rsidR="003E1F92" w:rsidRPr="0069604A">
        <w:rPr>
          <w:rFonts w:eastAsia="Calibri" w:cstheme="minorHAnsi"/>
          <w:noProof/>
          <w:sz w:val="21"/>
          <w:szCs w:val="21"/>
        </w:rPr>
        <w:t xml:space="preserve">The Coronavirus pandemic is altering radically the world of work, and worsening labour and work vulnerabilities for young people, as well as small and medium enterprises, the self-employed, and daily wage earners. There is a need of urgent short- and medium-term financial, economic and fiscal policy measures to replace lost incomes for all people and to ensure that human </w:t>
      </w:r>
      <w:r w:rsidR="00E476B1" w:rsidRPr="0069604A">
        <w:rPr>
          <w:rFonts w:eastAsia="Calibri" w:cstheme="minorHAnsi"/>
          <w:noProof/>
          <w:sz w:val="21"/>
          <w:szCs w:val="21"/>
        </w:rPr>
        <w:t>resources</w:t>
      </w:r>
      <w:r w:rsidR="003E1F92" w:rsidRPr="0069604A">
        <w:rPr>
          <w:rFonts w:eastAsia="Calibri" w:cstheme="minorHAnsi"/>
          <w:noProof/>
          <w:sz w:val="21"/>
          <w:szCs w:val="21"/>
        </w:rPr>
        <w:t xml:space="preserve"> are not lost or degraded for the eventual return to normal economic activity.</w:t>
      </w:r>
    </w:p>
    <w:p w14:paraId="629A9C10" w14:textId="3266E3EF" w:rsidR="00FD29BD" w:rsidRPr="003167BE" w:rsidRDefault="0089124E" w:rsidP="00D9559C">
      <w:pPr>
        <w:pStyle w:val="ListParagraph"/>
        <w:numPr>
          <w:ilvl w:val="0"/>
          <w:numId w:val="3"/>
        </w:numPr>
        <w:spacing w:after="120"/>
        <w:ind w:right="-360"/>
        <w:contextualSpacing w:val="0"/>
        <w:jc w:val="both"/>
        <w:rPr>
          <w:sz w:val="21"/>
          <w:szCs w:val="21"/>
        </w:rPr>
      </w:pPr>
      <w:r w:rsidRPr="003167BE">
        <w:rPr>
          <w:sz w:val="21"/>
          <w:szCs w:val="21"/>
        </w:rPr>
        <w:t>Gender discrimination, a gender divide in the labour market and occupational segregation, and gender-based violence remain critical concerns</w:t>
      </w:r>
      <w:r w:rsidRPr="003167BE">
        <w:rPr>
          <w:rStyle w:val="FootnoteReference"/>
          <w:sz w:val="21"/>
          <w:szCs w:val="21"/>
        </w:rPr>
        <w:footnoteReference w:id="43"/>
      </w:r>
      <w:r w:rsidRPr="003167BE">
        <w:rPr>
          <w:sz w:val="21"/>
          <w:szCs w:val="21"/>
        </w:rPr>
        <w:t>. For example, the shortfall in women’s share of income is over 50% in BiH, the highest in Western Balkans. In addition, substantial improvements are needed to address judicial independence and the protection of fundamental rights, particularly for women</w:t>
      </w:r>
      <w:r w:rsidR="002253B4" w:rsidRPr="003167BE">
        <w:rPr>
          <w:sz w:val="21"/>
          <w:szCs w:val="21"/>
        </w:rPr>
        <w:t xml:space="preserve"> and vulnerable groups.</w:t>
      </w:r>
      <w:r w:rsidR="00E31EA9">
        <w:rPr>
          <w:sz w:val="21"/>
          <w:szCs w:val="21"/>
        </w:rPr>
        <w:t xml:space="preserve">  While judicial mechanisms are at the core of ensuring access to remedy, non-judicial mechanism such as </w:t>
      </w:r>
      <w:r w:rsidR="00965E8E">
        <w:rPr>
          <w:sz w:val="21"/>
          <w:szCs w:val="21"/>
        </w:rPr>
        <w:t>the</w:t>
      </w:r>
      <w:r w:rsidR="00E31EA9">
        <w:rPr>
          <w:sz w:val="21"/>
          <w:szCs w:val="21"/>
        </w:rPr>
        <w:t xml:space="preserve"> human rights institutions</w:t>
      </w:r>
      <w:r w:rsidR="00965E8E">
        <w:rPr>
          <w:sz w:val="21"/>
          <w:szCs w:val="21"/>
        </w:rPr>
        <w:t xml:space="preserve"> in BiH</w:t>
      </w:r>
      <w:r w:rsidR="00E31EA9">
        <w:rPr>
          <w:sz w:val="21"/>
          <w:szCs w:val="21"/>
        </w:rPr>
        <w:t xml:space="preserve"> (NHRIs) have an essential role in preventing human rights violations and facilitating access to remedy for vulnerable groups.</w:t>
      </w:r>
      <w:r w:rsidR="002253B4" w:rsidRPr="003167BE">
        <w:rPr>
          <w:sz w:val="21"/>
          <w:szCs w:val="21"/>
        </w:rPr>
        <w:t xml:space="preserve"> </w:t>
      </w:r>
      <w:r w:rsidRPr="003167BE">
        <w:rPr>
          <w:sz w:val="21"/>
          <w:szCs w:val="21"/>
        </w:rPr>
        <w:t xml:space="preserve"> </w:t>
      </w:r>
    </w:p>
    <w:p w14:paraId="6061EDAC" w14:textId="3F3742CD" w:rsidR="00237E54" w:rsidRPr="009A2201" w:rsidRDefault="004D6BCD" w:rsidP="00D9559C">
      <w:pPr>
        <w:pStyle w:val="ListParagraph"/>
        <w:numPr>
          <w:ilvl w:val="0"/>
          <w:numId w:val="3"/>
        </w:numPr>
        <w:spacing w:after="120"/>
        <w:ind w:right="-360"/>
        <w:contextualSpacing w:val="0"/>
        <w:jc w:val="both"/>
        <w:rPr>
          <w:sz w:val="21"/>
          <w:szCs w:val="21"/>
        </w:rPr>
      </w:pPr>
      <w:r w:rsidRPr="009A2201">
        <w:rPr>
          <w:color w:val="000000" w:themeColor="text1"/>
          <w:sz w:val="21"/>
          <w:szCs w:val="21"/>
        </w:rPr>
        <w:t>BiH is undergoing a long-term, complex and extremely challenging transition from a post-conflict society toward the path of EU membership. This is reflected in the ongoing struggle to find a common vision for the future of the country, including internal governing arrangements, and to generate stronger social cohesion.</w:t>
      </w:r>
      <w:r w:rsidR="000919CE" w:rsidRPr="009A2201">
        <w:rPr>
          <w:color w:val="000000" w:themeColor="text1"/>
          <w:sz w:val="21"/>
          <w:szCs w:val="21"/>
        </w:rPr>
        <w:t xml:space="preserve">  It further reveals the need to </w:t>
      </w:r>
      <w:r w:rsidR="005604F0" w:rsidRPr="009A2201">
        <w:rPr>
          <w:color w:val="000000" w:themeColor="text1"/>
          <w:sz w:val="21"/>
          <w:szCs w:val="21"/>
        </w:rPr>
        <w:t xml:space="preserve">further </w:t>
      </w:r>
      <w:r w:rsidR="000919CE" w:rsidRPr="009A2201">
        <w:rPr>
          <w:color w:val="000000" w:themeColor="text1"/>
          <w:sz w:val="21"/>
          <w:szCs w:val="21"/>
        </w:rPr>
        <w:t xml:space="preserve">promote </w:t>
      </w:r>
      <w:r w:rsidR="00181AD8" w:rsidRPr="009A2201">
        <w:rPr>
          <w:color w:val="000000" w:themeColor="text1"/>
          <w:sz w:val="21"/>
          <w:szCs w:val="21"/>
        </w:rPr>
        <w:t xml:space="preserve">protection of human rights, </w:t>
      </w:r>
      <w:r w:rsidR="00ED6313" w:rsidRPr="009A2201">
        <w:rPr>
          <w:color w:val="000000" w:themeColor="text1"/>
          <w:sz w:val="21"/>
          <w:szCs w:val="21"/>
        </w:rPr>
        <w:t>including r</w:t>
      </w:r>
      <w:r w:rsidR="00FF74C8" w:rsidRPr="009A2201">
        <w:rPr>
          <w:color w:val="000000" w:themeColor="text1"/>
          <w:sz w:val="21"/>
          <w:szCs w:val="21"/>
        </w:rPr>
        <w:t>emedies</w:t>
      </w:r>
      <w:r w:rsidR="005604F0" w:rsidRPr="009A2201">
        <w:rPr>
          <w:color w:val="000000" w:themeColor="text1"/>
          <w:sz w:val="21"/>
          <w:szCs w:val="21"/>
        </w:rPr>
        <w:t>.</w:t>
      </w:r>
    </w:p>
    <w:p w14:paraId="27E7D3DA" w14:textId="77777777" w:rsidR="00B43D53" w:rsidRPr="00734019" w:rsidRDefault="00B43D53" w:rsidP="00D9559C">
      <w:pPr>
        <w:spacing w:after="120" w:line="240" w:lineRule="auto"/>
        <w:ind w:right="-360"/>
        <w:jc w:val="both"/>
        <w:rPr>
          <w:rFonts w:cstheme="minorHAnsi"/>
          <w:b/>
          <w:color w:val="0F243E" w:themeColor="text2" w:themeShade="80"/>
          <w:sz w:val="24"/>
          <w:szCs w:val="24"/>
          <w:lang w:bidi="en-US"/>
        </w:rPr>
      </w:pPr>
      <w:r w:rsidRPr="00734019">
        <w:rPr>
          <w:rFonts w:cstheme="minorHAnsi"/>
          <w:b/>
          <w:color w:val="0F243E" w:themeColor="text2" w:themeShade="80"/>
          <w:sz w:val="24"/>
          <w:szCs w:val="24"/>
          <w:lang w:bidi="en-US"/>
        </w:rPr>
        <w:t xml:space="preserve">2.2 </w:t>
      </w:r>
      <w:r w:rsidR="00B615D0" w:rsidRPr="00734019">
        <w:rPr>
          <w:rFonts w:cstheme="minorHAnsi"/>
          <w:b/>
          <w:color w:val="0F243E" w:themeColor="text2" w:themeShade="80"/>
          <w:sz w:val="24"/>
          <w:szCs w:val="24"/>
          <w:lang w:bidi="en-US"/>
        </w:rPr>
        <w:t>V</w:t>
      </w:r>
      <w:r w:rsidRPr="00734019">
        <w:rPr>
          <w:rFonts w:cstheme="minorHAnsi"/>
          <w:b/>
          <w:color w:val="0F243E" w:themeColor="text2" w:themeShade="80"/>
          <w:sz w:val="24"/>
          <w:szCs w:val="24"/>
          <w:lang w:bidi="en-US"/>
        </w:rPr>
        <w:t>ision for sustainable development</w:t>
      </w:r>
      <w:r w:rsidRPr="00734019">
        <w:rPr>
          <w:rFonts w:cstheme="minorHAnsi"/>
          <w:b/>
          <w:color w:val="0F243E" w:themeColor="text2" w:themeShade="80"/>
          <w:sz w:val="24"/>
          <w:szCs w:val="24"/>
          <w:lang w:bidi="en-US"/>
        </w:rPr>
        <w:fldChar w:fldCharType="begin"/>
      </w:r>
      <w:r w:rsidRPr="00734019">
        <w:rPr>
          <w:color w:val="0F243E" w:themeColor="text2" w:themeShade="80"/>
        </w:rPr>
        <w:instrText xml:space="preserve"> TC "</w:instrText>
      </w:r>
      <w:bookmarkStart w:id="28" w:name="_Toc22898021"/>
      <w:bookmarkStart w:id="29" w:name="_Toc38899113"/>
      <w:r w:rsidRPr="00734019">
        <w:rPr>
          <w:rFonts w:cstheme="minorHAnsi"/>
          <w:b/>
          <w:color w:val="0F243E" w:themeColor="text2" w:themeShade="80"/>
          <w:sz w:val="24"/>
          <w:szCs w:val="24"/>
          <w:lang w:bidi="en-US"/>
        </w:rPr>
        <w:instrText xml:space="preserve">2.2 </w:instrText>
      </w:r>
      <w:r w:rsidR="00147561" w:rsidRPr="00734019">
        <w:rPr>
          <w:rFonts w:cstheme="minorHAnsi"/>
          <w:b/>
          <w:color w:val="0F243E" w:themeColor="text2" w:themeShade="80"/>
          <w:sz w:val="24"/>
          <w:szCs w:val="24"/>
          <w:lang w:bidi="en-US"/>
        </w:rPr>
        <w:instrText>V</w:instrText>
      </w:r>
      <w:r w:rsidRPr="00734019">
        <w:rPr>
          <w:rFonts w:cstheme="minorHAnsi"/>
          <w:b/>
          <w:color w:val="0F243E" w:themeColor="text2" w:themeShade="80"/>
          <w:sz w:val="24"/>
          <w:szCs w:val="24"/>
          <w:lang w:bidi="en-US"/>
        </w:rPr>
        <w:instrText>ision for sustainable development</w:instrText>
      </w:r>
      <w:bookmarkEnd w:id="28"/>
      <w:bookmarkEnd w:id="29"/>
      <w:r w:rsidRPr="00734019">
        <w:rPr>
          <w:color w:val="0F243E" w:themeColor="text2" w:themeShade="80"/>
        </w:rPr>
        <w:instrText xml:space="preserve"> " \f C \l "2" </w:instrText>
      </w:r>
      <w:r w:rsidRPr="00734019">
        <w:rPr>
          <w:rFonts w:cstheme="minorHAnsi"/>
          <w:b/>
          <w:color w:val="0F243E" w:themeColor="text2" w:themeShade="80"/>
          <w:sz w:val="24"/>
          <w:szCs w:val="24"/>
          <w:lang w:bidi="en-US"/>
        </w:rPr>
        <w:fldChar w:fldCharType="end"/>
      </w:r>
    </w:p>
    <w:p w14:paraId="03B7090C" w14:textId="268318AD" w:rsidR="003C35BB" w:rsidRPr="0069604A" w:rsidRDefault="00733AA7" w:rsidP="00D9559C">
      <w:pPr>
        <w:pStyle w:val="ListParagraph"/>
        <w:numPr>
          <w:ilvl w:val="0"/>
          <w:numId w:val="3"/>
        </w:numPr>
        <w:spacing w:after="120"/>
        <w:ind w:right="-360"/>
        <w:contextualSpacing w:val="0"/>
        <w:jc w:val="both"/>
        <w:rPr>
          <w:sz w:val="21"/>
          <w:szCs w:val="21"/>
        </w:rPr>
      </w:pPr>
      <w:r w:rsidRPr="0029141D">
        <w:rPr>
          <w:sz w:val="21"/>
          <w:szCs w:val="21"/>
        </w:rPr>
        <w:t>While BiH has yet to adopt a country-wide vision for sustainable devel</w:t>
      </w:r>
      <w:r w:rsidR="00631FBE">
        <w:rPr>
          <w:sz w:val="21"/>
          <w:szCs w:val="21"/>
        </w:rPr>
        <w:t>opment, strategic priorities ar</w:t>
      </w:r>
      <w:r w:rsidRPr="0029141D">
        <w:rPr>
          <w:sz w:val="21"/>
          <w:szCs w:val="21"/>
        </w:rPr>
        <w:t xml:space="preserve">e </w:t>
      </w:r>
      <w:r w:rsidRPr="003167BE">
        <w:rPr>
          <w:sz w:val="21"/>
          <w:szCs w:val="21"/>
        </w:rPr>
        <w:t>expressed by</w:t>
      </w:r>
      <w:r w:rsidR="0037382D" w:rsidRPr="003167BE">
        <w:rPr>
          <w:sz w:val="21"/>
          <w:szCs w:val="21"/>
        </w:rPr>
        <w:t>:</w:t>
      </w:r>
      <w:r w:rsidRPr="003167BE">
        <w:rPr>
          <w:sz w:val="21"/>
          <w:szCs w:val="21"/>
        </w:rPr>
        <w:t xml:space="preserve"> </w:t>
      </w:r>
      <w:r w:rsidR="0037382D" w:rsidRPr="003167BE">
        <w:rPr>
          <w:sz w:val="21"/>
          <w:szCs w:val="21"/>
        </w:rPr>
        <w:t>(</w:t>
      </w:r>
      <w:r w:rsidRPr="003167BE">
        <w:rPr>
          <w:sz w:val="21"/>
          <w:szCs w:val="21"/>
        </w:rPr>
        <w:t xml:space="preserve">1) </w:t>
      </w:r>
      <w:r w:rsidR="00B40FE4" w:rsidRPr="003167BE">
        <w:rPr>
          <w:sz w:val="21"/>
          <w:szCs w:val="21"/>
        </w:rPr>
        <w:t>t</w:t>
      </w:r>
      <w:r w:rsidRPr="003167BE">
        <w:rPr>
          <w:sz w:val="21"/>
          <w:szCs w:val="21"/>
        </w:rPr>
        <w:t xml:space="preserve">he SDGs and domesticated SDG targets, offered in the draft SDG Framework in BiH; (2) </w:t>
      </w:r>
      <w:r w:rsidR="003D6D06" w:rsidRPr="003167BE">
        <w:rPr>
          <w:sz w:val="21"/>
          <w:szCs w:val="21"/>
        </w:rPr>
        <w:t xml:space="preserve">priorities </w:t>
      </w:r>
      <w:r w:rsidR="00987FEC" w:rsidRPr="003167BE">
        <w:rPr>
          <w:sz w:val="21"/>
          <w:szCs w:val="21"/>
        </w:rPr>
        <w:t xml:space="preserve">associated with the process of </w:t>
      </w:r>
      <w:r w:rsidR="00391220" w:rsidRPr="003167BE">
        <w:rPr>
          <w:sz w:val="21"/>
          <w:szCs w:val="21"/>
        </w:rPr>
        <w:t xml:space="preserve">the </w:t>
      </w:r>
      <w:r w:rsidR="00864312" w:rsidRPr="003167BE">
        <w:rPr>
          <w:sz w:val="21"/>
          <w:szCs w:val="21"/>
        </w:rPr>
        <w:t>EU integration process</w:t>
      </w:r>
      <w:r w:rsidR="0027024F" w:rsidRPr="003167BE">
        <w:rPr>
          <w:sz w:val="21"/>
          <w:szCs w:val="21"/>
        </w:rPr>
        <w:t xml:space="preserve"> as expressed in the </w:t>
      </w:r>
      <w:r w:rsidR="00A54156" w:rsidRPr="003167BE">
        <w:rPr>
          <w:sz w:val="21"/>
          <w:szCs w:val="21"/>
        </w:rPr>
        <w:t xml:space="preserve">European Commission Opinion and Analytical </w:t>
      </w:r>
      <w:r w:rsidR="00371EF0" w:rsidRPr="003167BE">
        <w:rPr>
          <w:sz w:val="21"/>
          <w:szCs w:val="21"/>
        </w:rPr>
        <w:t>report of 2019</w:t>
      </w:r>
      <w:r w:rsidR="00B40FE4" w:rsidRPr="003167BE">
        <w:rPr>
          <w:rStyle w:val="FootnoteReference"/>
          <w:sz w:val="21"/>
          <w:szCs w:val="21"/>
        </w:rPr>
        <w:footnoteReference w:id="44"/>
      </w:r>
      <w:r w:rsidRPr="003167BE">
        <w:rPr>
          <w:sz w:val="21"/>
          <w:szCs w:val="21"/>
        </w:rPr>
        <w:t>; (3) the related Joint Socio-Economic Reform</w:t>
      </w:r>
      <w:r w:rsidR="00B40FE4" w:rsidRPr="003167BE">
        <w:rPr>
          <w:sz w:val="21"/>
          <w:szCs w:val="21"/>
        </w:rPr>
        <w:t xml:space="preserve"> for the period 2019-2022</w:t>
      </w:r>
      <w:r w:rsidR="00B40FE4" w:rsidRPr="003167BE">
        <w:rPr>
          <w:rStyle w:val="FootnoteReference"/>
          <w:sz w:val="21"/>
          <w:szCs w:val="21"/>
        </w:rPr>
        <w:footnoteReference w:id="45"/>
      </w:r>
      <w:r w:rsidR="009D4FC8" w:rsidRPr="003167BE">
        <w:rPr>
          <w:sz w:val="21"/>
          <w:szCs w:val="21"/>
        </w:rPr>
        <w:t xml:space="preserve"> </w:t>
      </w:r>
      <w:r w:rsidRPr="003167BE">
        <w:rPr>
          <w:sz w:val="21"/>
          <w:szCs w:val="21"/>
        </w:rPr>
        <w:t>(</w:t>
      </w:r>
      <w:r w:rsidR="00B40FE4" w:rsidRPr="003167BE">
        <w:rPr>
          <w:sz w:val="21"/>
          <w:szCs w:val="21"/>
        </w:rPr>
        <w:t>‘</w:t>
      </w:r>
      <w:r w:rsidR="00FA3B21" w:rsidRPr="003167BE">
        <w:rPr>
          <w:sz w:val="21"/>
          <w:szCs w:val="21"/>
        </w:rPr>
        <w:t>Reform Agenda</w:t>
      </w:r>
      <w:r w:rsidR="00B40FE4" w:rsidRPr="003167BE">
        <w:rPr>
          <w:sz w:val="21"/>
          <w:szCs w:val="21"/>
        </w:rPr>
        <w:t>’</w:t>
      </w:r>
      <w:r w:rsidRPr="003167BE">
        <w:rPr>
          <w:sz w:val="21"/>
          <w:szCs w:val="21"/>
        </w:rPr>
        <w:t>) that respon</w:t>
      </w:r>
      <w:r w:rsidR="00B40FE4" w:rsidRPr="003167BE">
        <w:rPr>
          <w:sz w:val="21"/>
          <w:szCs w:val="21"/>
        </w:rPr>
        <w:t>ds</w:t>
      </w:r>
      <w:r w:rsidRPr="003167BE">
        <w:rPr>
          <w:sz w:val="21"/>
          <w:szCs w:val="21"/>
        </w:rPr>
        <w:t xml:space="preserve"> to the European Commission Opinion; and (4) </w:t>
      </w:r>
      <w:r w:rsidR="00B40FE4" w:rsidRPr="003167BE">
        <w:rPr>
          <w:sz w:val="21"/>
          <w:szCs w:val="21"/>
        </w:rPr>
        <w:t>t</w:t>
      </w:r>
      <w:r w:rsidRPr="003167BE">
        <w:rPr>
          <w:sz w:val="21"/>
          <w:szCs w:val="21"/>
        </w:rPr>
        <w:t xml:space="preserve">he human rights commitments of BiH and other agreed international and regional development goals and treaty obligations. The </w:t>
      </w:r>
      <w:r w:rsidR="00B40FE4" w:rsidRPr="003167BE">
        <w:rPr>
          <w:sz w:val="21"/>
          <w:szCs w:val="21"/>
        </w:rPr>
        <w:t xml:space="preserve">Reform Agenda together </w:t>
      </w:r>
      <w:r w:rsidRPr="003167BE">
        <w:rPr>
          <w:sz w:val="21"/>
          <w:szCs w:val="21"/>
        </w:rPr>
        <w:t xml:space="preserve">with </w:t>
      </w:r>
      <w:r w:rsidR="003C35BB" w:rsidRPr="003167BE">
        <w:rPr>
          <w:sz w:val="21"/>
          <w:szCs w:val="21"/>
        </w:rPr>
        <w:t xml:space="preserve">a detailed Action Plan of measures call for a rapid shift of the public sector from driver to regulator and catalyst of economic growth, in partnership with the private sector, and reforms to drive more cost-effective investment in people to improve their standard of living. A main focus of the Action Plan is to address key constraints identified by the EU with regard to </w:t>
      </w:r>
      <w:r w:rsidR="003C35BB" w:rsidRPr="003167BE">
        <w:rPr>
          <w:color w:val="000000" w:themeColor="text1"/>
          <w:sz w:val="21"/>
          <w:szCs w:val="21"/>
        </w:rPr>
        <w:t xml:space="preserve">the </w:t>
      </w:r>
      <w:r w:rsidR="003C35BB" w:rsidRPr="003167BE">
        <w:rPr>
          <w:sz w:val="21"/>
          <w:szCs w:val="21"/>
        </w:rPr>
        <w:t xml:space="preserve">Copenhagen criteria for stability of institutions guaranteeing democracy, the </w:t>
      </w:r>
      <w:r w:rsidR="003C35BB" w:rsidRPr="0069604A">
        <w:rPr>
          <w:sz w:val="21"/>
          <w:szCs w:val="21"/>
        </w:rPr>
        <w:t>rule of law, human rights and respect for and protection of minorities</w:t>
      </w:r>
      <w:r w:rsidR="003C35BB" w:rsidRPr="0069604A">
        <w:rPr>
          <w:rStyle w:val="FootnoteReference"/>
          <w:sz w:val="21"/>
          <w:szCs w:val="21"/>
        </w:rPr>
        <w:footnoteReference w:id="46"/>
      </w:r>
      <w:r w:rsidR="003C35BB" w:rsidRPr="0069604A">
        <w:rPr>
          <w:sz w:val="21"/>
          <w:szCs w:val="21"/>
        </w:rPr>
        <w:t xml:space="preserve">. </w:t>
      </w:r>
      <w:r w:rsidR="00B43D53" w:rsidRPr="0069604A">
        <w:rPr>
          <w:sz w:val="21"/>
          <w:szCs w:val="21"/>
        </w:rPr>
        <w:t xml:space="preserve"> </w:t>
      </w:r>
    </w:p>
    <w:p w14:paraId="1FE2C357" w14:textId="41D14EB4" w:rsidR="00734019" w:rsidRPr="003167BE" w:rsidRDefault="00734019" w:rsidP="00D9559C">
      <w:pPr>
        <w:pStyle w:val="ListParagraph"/>
        <w:numPr>
          <w:ilvl w:val="0"/>
          <w:numId w:val="3"/>
        </w:numPr>
        <w:spacing w:after="240"/>
        <w:ind w:left="357" w:right="-360" w:hanging="357"/>
        <w:contextualSpacing w:val="0"/>
        <w:jc w:val="both"/>
        <w:rPr>
          <w:rFonts w:cstheme="minorHAnsi"/>
          <w:sz w:val="21"/>
          <w:szCs w:val="21"/>
        </w:rPr>
      </w:pPr>
      <w:r w:rsidRPr="0069604A">
        <w:rPr>
          <w:rFonts w:cstheme="minorHAnsi"/>
          <w:sz w:val="21"/>
          <w:szCs w:val="21"/>
        </w:rPr>
        <w:t xml:space="preserve">In 2018, with support of the UN, </w:t>
      </w:r>
      <w:r w:rsidR="00017A2C" w:rsidRPr="0069604A">
        <w:rPr>
          <w:rFonts w:cstheme="minorHAnsi"/>
          <w:sz w:val="21"/>
          <w:szCs w:val="21"/>
        </w:rPr>
        <w:t>the</w:t>
      </w:r>
      <w:r w:rsidR="008C1408" w:rsidRPr="0069604A">
        <w:rPr>
          <w:rFonts w:cstheme="minorHAnsi"/>
          <w:sz w:val="21"/>
          <w:szCs w:val="21"/>
        </w:rPr>
        <w:t xml:space="preserve"> authorities</w:t>
      </w:r>
      <w:r w:rsidR="00017A2C" w:rsidRPr="0069604A">
        <w:rPr>
          <w:rFonts w:cstheme="minorHAnsi"/>
          <w:sz w:val="21"/>
          <w:szCs w:val="21"/>
        </w:rPr>
        <w:t xml:space="preserve"> in BiH</w:t>
      </w:r>
      <w:r w:rsidRPr="0069604A">
        <w:rPr>
          <w:rFonts w:cstheme="minorHAnsi"/>
          <w:sz w:val="21"/>
          <w:szCs w:val="21"/>
        </w:rPr>
        <w:t xml:space="preserve"> initiated a country-wide process involving extensive consultations to roll-out the global 2030 Agenda for Sustainable Development and to localize the SDGs and targets. </w:t>
      </w:r>
      <w:r w:rsidR="002B2F5C" w:rsidRPr="0069604A">
        <w:rPr>
          <w:rFonts w:cstheme="minorHAnsi"/>
          <w:sz w:val="21"/>
          <w:szCs w:val="21"/>
        </w:rPr>
        <w:t xml:space="preserve">A </w:t>
      </w:r>
      <w:r w:rsidRPr="0069604A">
        <w:rPr>
          <w:rFonts w:cstheme="minorHAnsi"/>
          <w:sz w:val="21"/>
          <w:szCs w:val="21"/>
        </w:rPr>
        <w:t xml:space="preserve">first </w:t>
      </w:r>
      <w:r w:rsidR="00AB6EA6" w:rsidRPr="0069604A">
        <w:rPr>
          <w:rFonts w:cstheme="minorHAnsi"/>
          <w:sz w:val="21"/>
          <w:szCs w:val="21"/>
        </w:rPr>
        <w:t xml:space="preserve">BiH </w:t>
      </w:r>
      <w:r w:rsidRPr="0069604A">
        <w:rPr>
          <w:rFonts w:cstheme="minorHAnsi"/>
          <w:sz w:val="21"/>
          <w:szCs w:val="21"/>
        </w:rPr>
        <w:t>Voluntary Review</w:t>
      </w:r>
      <w:r w:rsidR="00AB6EA6" w:rsidRPr="0069604A">
        <w:rPr>
          <w:rFonts w:cstheme="minorHAnsi"/>
          <w:sz w:val="21"/>
          <w:szCs w:val="21"/>
        </w:rPr>
        <w:t xml:space="preserve"> was prese</w:t>
      </w:r>
      <w:r w:rsidR="00D9791B" w:rsidRPr="0069604A">
        <w:rPr>
          <w:rFonts w:cstheme="minorHAnsi"/>
          <w:sz w:val="21"/>
          <w:szCs w:val="21"/>
        </w:rPr>
        <w:t>n</w:t>
      </w:r>
      <w:r w:rsidR="00AB6EA6" w:rsidRPr="0069604A">
        <w:rPr>
          <w:rFonts w:cstheme="minorHAnsi"/>
          <w:sz w:val="21"/>
          <w:szCs w:val="21"/>
        </w:rPr>
        <w:t>ted</w:t>
      </w:r>
      <w:r w:rsidRPr="0069604A">
        <w:rPr>
          <w:rFonts w:cstheme="minorHAnsi"/>
          <w:sz w:val="21"/>
          <w:szCs w:val="21"/>
        </w:rPr>
        <w:t xml:space="preserve"> at the High-Level Political Forum in New York in 2019</w:t>
      </w:r>
      <w:r w:rsidR="002B2F5C" w:rsidRPr="0069604A">
        <w:rPr>
          <w:rFonts w:cstheme="minorHAnsi"/>
          <w:sz w:val="21"/>
          <w:szCs w:val="21"/>
        </w:rPr>
        <w:t xml:space="preserve"> and a </w:t>
      </w:r>
      <w:r w:rsidRPr="0069604A">
        <w:rPr>
          <w:rFonts w:cstheme="minorHAnsi"/>
          <w:sz w:val="21"/>
          <w:szCs w:val="21"/>
        </w:rPr>
        <w:t xml:space="preserve">working group representing all </w:t>
      </w:r>
      <w:r w:rsidR="00122F3B" w:rsidRPr="0069604A">
        <w:rPr>
          <w:rFonts w:cstheme="minorHAnsi"/>
          <w:sz w:val="21"/>
          <w:szCs w:val="21"/>
        </w:rPr>
        <w:t>the</w:t>
      </w:r>
      <w:r w:rsidRPr="0069604A">
        <w:rPr>
          <w:rFonts w:cstheme="minorHAnsi"/>
          <w:sz w:val="21"/>
          <w:szCs w:val="21"/>
        </w:rPr>
        <w:t xml:space="preserve"> authorities</w:t>
      </w:r>
      <w:r w:rsidR="00122F3B" w:rsidRPr="0069604A">
        <w:rPr>
          <w:rFonts w:cstheme="minorHAnsi"/>
          <w:sz w:val="21"/>
          <w:szCs w:val="21"/>
        </w:rPr>
        <w:t xml:space="preserve"> in BiH</w:t>
      </w:r>
      <w:r w:rsidRPr="0069604A">
        <w:rPr>
          <w:rFonts w:cstheme="minorHAnsi"/>
          <w:sz w:val="21"/>
          <w:szCs w:val="21"/>
        </w:rPr>
        <w:t xml:space="preserve"> has produced a </w:t>
      </w:r>
      <w:r w:rsidRPr="0069604A">
        <w:rPr>
          <w:rFonts w:cstheme="minorHAnsi"/>
          <w:i/>
          <w:sz w:val="21"/>
          <w:szCs w:val="21"/>
        </w:rPr>
        <w:t>draft</w:t>
      </w:r>
      <w:r w:rsidRPr="0069604A">
        <w:rPr>
          <w:rFonts w:cstheme="minorHAnsi"/>
          <w:sz w:val="21"/>
          <w:szCs w:val="21"/>
        </w:rPr>
        <w:t xml:space="preserve"> SDG Framework for BiH</w:t>
      </w:r>
      <w:r w:rsidRPr="0069604A">
        <w:rPr>
          <w:rStyle w:val="FootnoteReference"/>
          <w:rFonts w:cstheme="minorHAnsi"/>
          <w:color w:val="0F243E" w:themeColor="text2" w:themeShade="80"/>
          <w:sz w:val="21"/>
          <w:szCs w:val="21"/>
          <w:lang w:val="en"/>
        </w:rPr>
        <w:footnoteReference w:id="47"/>
      </w:r>
      <w:r w:rsidR="00D9791B" w:rsidRPr="0069604A">
        <w:rPr>
          <w:rFonts w:cstheme="minorHAnsi"/>
          <w:b/>
          <w:sz w:val="21"/>
          <w:szCs w:val="21"/>
        </w:rPr>
        <w:t>.</w:t>
      </w:r>
      <w:r w:rsidRPr="0069604A">
        <w:rPr>
          <w:rFonts w:cstheme="minorHAnsi"/>
          <w:sz w:val="21"/>
          <w:szCs w:val="21"/>
        </w:rPr>
        <w:t xml:space="preserve"> </w:t>
      </w:r>
      <w:r w:rsidR="00F27195" w:rsidRPr="0069604A">
        <w:rPr>
          <w:sz w:val="21"/>
          <w:szCs w:val="21"/>
        </w:rPr>
        <w:t xml:space="preserve">There are strong, complementary linkages between the </w:t>
      </w:r>
      <w:r w:rsidRPr="0069604A">
        <w:rPr>
          <w:sz w:val="21"/>
          <w:szCs w:val="21"/>
        </w:rPr>
        <w:t xml:space="preserve">pathways </w:t>
      </w:r>
      <w:r w:rsidR="002B2F5C" w:rsidRPr="0069604A">
        <w:rPr>
          <w:sz w:val="21"/>
          <w:szCs w:val="21"/>
        </w:rPr>
        <w:t xml:space="preserve">for achievement of </w:t>
      </w:r>
      <w:r w:rsidR="00F27195" w:rsidRPr="0069604A">
        <w:rPr>
          <w:sz w:val="21"/>
          <w:szCs w:val="21"/>
        </w:rPr>
        <w:t xml:space="preserve">domesticated </w:t>
      </w:r>
      <w:r w:rsidR="002B2F5C" w:rsidRPr="0069604A">
        <w:rPr>
          <w:sz w:val="21"/>
          <w:szCs w:val="21"/>
        </w:rPr>
        <w:t xml:space="preserve">SDG </w:t>
      </w:r>
      <w:r w:rsidR="00F27195" w:rsidRPr="0069604A">
        <w:rPr>
          <w:sz w:val="21"/>
          <w:szCs w:val="21"/>
        </w:rPr>
        <w:t>targets for BiH, the priority actions for EU candidacy</w:t>
      </w:r>
      <w:r w:rsidRPr="0069604A">
        <w:rPr>
          <w:sz w:val="21"/>
          <w:szCs w:val="21"/>
        </w:rPr>
        <w:t xml:space="preserve">, and regional frameworks, </w:t>
      </w:r>
      <w:r w:rsidR="00D9791B" w:rsidRPr="0069604A">
        <w:rPr>
          <w:sz w:val="21"/>
          <w:szCs w:val="21"/>
        </w:rPr>
        <w:t>including</w:t>
      </w:r>
      <w:r w:rsidRPr="0069604A">
        <w:rPr>
          <w:sz w:val="21"/>
          <w:szCs w:val="21"/>
        </w:rPr>
        <w:t xml:space="preserve"> the </w:t>
      </w:r>
      <w:r w:rsidRPr="0069604A">
        <w:rPr>
          <w:sz w:val="21"/>
          <w:szCs w:val="21"/>
          <w:lang w:val="en-CA"/>
        </w:rPr>
        <w:t>Western Balkans Action Plan</w:t>
      </w:r>
      <w:r w:rsidRPr="0069604A">
        <w:rPr>
          <w:sz w:val="21"/>
          <w:szCs w:val="21"/>
          <w:vertAlign w:val="superscript"/>
          <w:lang w:val="en-CA"/>
        </w:rPr>
        <w:footnoteReference w:id="48"/>
      </w:r>
      <w:r w:rsidRPr="0069604A">
        <w:rPr>
          <w:sz w:val="21"/>
          <w:szCs w:val="21"/>
        </w:rPr>
        <w:t>. T</w:t>
      </w:r>
      <w:r w:rsidR="000809B6" w:rsidRPr="0069604A">
        <w:rPr>
          <w:sz w:val="21"/>
          <w:szCs w:val="21"/>
        </w:rPr>
        <w:t xml:space="preserve">he </w:t>
      </w:r>
      <w:r w:rsidR="00972BE6" w:rsidRPr="0069604A">
        <w:rPr>
          <w:sz w:val="21"/>
          <w:szCs w:val="21"/>
        </w:rPr>
        <w:t>SDGs</w:t>
      </w:r>
      <w:r w:rsidRPr="0069604A">
        <w:rPr>
          <w:sz w:val="21"/>
          <w:szCs w:val="21"/>
        </w:rPr>
        <w:t xml:space="preserve"> </w:t>
      </w:r>
      <w:r w:rsidR="00B615D0" w:rsidRPr="0069604A">
        <w:rPr>
          <w:sz w:val="21"/>
          <w:szCs w:val="21"/>
        </w:rPr>
        <w:t>represent an important peace-building agenda as they address the drivers and root causes of instability and conflict.</w:t>
      </w:r>
      <w:r w:rsidRPr="0069604A">
        <w:rPr>
          <w:sz w:val="21"/>
          <w:szCs w:val="21"/>
        </w:rPr>
        <w:t xml:space="preserve"> Together, these represent the critical, complementary guiding frameworks for cooperation between </w:t>
      </w:r>
      <w:r w:rsidR="00122F3B" w:rsidRPr="0069604A">
        <w:rPr>
          <w:sz w:val="21"/>
          <w:szCs w:val="21"/>
        </w:rPr>
        <w:t>the</w:t>
      </w:r>
      <w:r w:rsidR="008C1408" w:rsidRPr="0069604A">
        <w:rPr>
          <w:sz w:val="21"/>
          <w:szCs w:val="21"/>
        </w:rPr>
        <w:t xml:space="preserve"> authorities</w:t>
      </w:r>
      <w:r w:rsidR="00122F3B" w:rsidRPr="0069604A">
        <w:rPr>
          <w:sz w:val="21"/>
          <w:szCs w:val="21"/>
        </w:rPr>
        <w:t xml:space="preserve"> in BiH</w:t>
      </w:r>
      <w:r w:rsidRPr="0069604A">
        <w:rPr>
          <w:sz w:val="21"/>
          <w:szCs w:val="21"/>
        </w:rPr>
        <w:t xml:space="preserve">, the UN system and other collaborating partners </w:t>
      </w:r>
      <w:r w:rsidRPr="0069604A">
        <w:rPr>
          <w:rFonts w:cstheme="minorHAnsi"/>
          <w:sz w:val="21"/>
          <w:szCs w:val="21"/>
        </w:rPr>
        <w:t>for country-wide and local-level planning, implementation and monitoring for SDG achievement.</w:t>
      </w:r>
      <w:r w:rsidR="00E800BE" w:rsidRPr="0069604A">
        <w:rPr>
          <w:rFonts w:cstheme="minorHAnsi"/>
          <w:sz w:val="21"/>
          <w:szCs w:val="21"/>
        </w:rPr>
        <w:t xml:space="preserve">  Furthermore, they represent alignment points for Cooperation Frameworks beyond 2025.  </w:t>
      </w:r>
      <w:r w:rsidR="00EF3303" w:rsidRPr="0069604A">
        <w:rPr>
          <w:rFonts w:cstheme="minorHAnsi"/>
          <w:sz w:val="21"/>
          <w:szCs w:val="21"/>
        </w:rPr>
        <w:t xml:space="preserve">Progress toward achievement of domesticated </w:t>
      </w:r>
      <w:r w:rsidR="00E800BE" w:rsidRPr="0069604A">
        <w:rPr>
          <w:rFonts w:cstheme="minorHAnsi"/>
          <w:sz w:val="21"/>
          <w:szCs w:val="21"/>
        </w:rPr>
        <w:t>SDG</w:t>
      </w:r>
      <w:r w:rsidR="00EF3303" w:rsidRPr="0069604A">
        <w:rPr>
          <w:rFonts w:cstheme="minorHAnsi"/>
          <w:sz w:val="21"/>
          <w:szCs w:val="21"/>
        </w:rPr>
        <w:t xml:space="preserve"> targets, as reported </w:t>
      </w:r>
      <w:r w:rsidR="00E800BE" w:rsidRPr="0069604A">
        <w:rPr>
          <w:rFonts w:cstheme="minorHAnsi"/>
          <w:sz w:val="21"/>
          <w:szCs w:val="21"/>
        </w:rPr>
        <w:t>in regular BiH Voluntary Reports,</w:t>
      </w:r>
      <w:r w:rsidR="00E800BE">
        <w:rPr>
          <w:rFonts w:cstheme="minorHAnsi"/>
          <w:sz w:val="21"/>
          <w:szCs w:val="21"/>
        </w:rPr>
        <w:t xml:space="preserve"> will inform the preparation </w:t>
      </w:r>
      <w:r w:rsidR="00EF3303">
        <w:rPr>
          <w:rFonts w:cstheme="minorHAnsi"/>
          <w:sz w:val="21"/>
          <w:szCs w:val="21"/>
        </w:rPr>
        <w:t xml:space="preserve">and implementation </w:t>
      </w:r>
      <w:r w:rsidR="00E800BE">
        <w:rPr>
          <w:rFonts w:cstheme="minorHAnsi"/>
          <w:sz w:val="21"/>
          <w:szCs w:val="21"/>
        </w:rPr>
        <w:t>of successive Cooperation Frameworks</w:t>
      </w:r>
      <w:r w:rsidR="00EF3303">
        <w:rPr>
          <w:rFonts w:cstheme="minorHAnsi"/>
          <w:sz w:val="21"/>
          <w:szCs w:val="21"/>
        </w:rPr>
        <w:t>,</w:t>
      </w:r>
      <w:r w:rsidR="00E800BE">
        <w:rPr>
          <w:rFonts w:cstheme="minorHAnsi"/>
          <w:sz w:val="21"/>
          <w:szCs w:val="21"/>
        </w:rPr>
        <w:t xml:space="preserve"> ensuring </w:t>
      </w:r>
      <w:r w:rsidR="00EF3303" w:rsidRPr="003F0E52">
        <w:rPr>
          <w:rFonts w:cstheme="minorHAnsi"/>
          <w:sz w:val="21"/>
          <w:szCs w:val="21"/>
        </w:rPr>
        <w:t xml:space="preserve">a country-wide </w:t>
      </w:r>
      <w:r w:rsidR="00E800BE" w:rsidRPr="003F0E52">
        <w:rPr>
          <w:rFonts w:cstheme="minorHAnsi"/>
          <w:sz w:val="21"/>
          <w:szCs w:val="21"/>
        </w:rPr>
        <w:t>vision</w:t>
      </w:r>
      <w:r w:rsidR="00E800BE">
        <w:rPr>
          <w:rFonts w:cstheme="minorHAnsi"/>
          <w:sz w:val="21"/>
          <w:szCs w:val="21"/>
        </w:rPr>
        <w:t xml:space="preserve"> for sustainable development</w:t>
      </w:r>
      <w:r w:rsidR="00EF3303">
        <w:rPr>
          <w:rFonts w:cstheme="minorHAnsi"/>
          <w:sz w:val="21"/>
          <w:szCs w:val="21"/>
        </w:rPr>
        <w:t>.</w:t>
      </w:r>
    </w:p>
    <w:p w14:paraId="596C9A00" w14:textId="77777777" w:rsidR="00721EF3" w:rsidRPr="003167BE" w:rsidRDefault="00721EF3" w:rsidP="00D9559C">
      <w:pPr>
        <w:spacing w:after="120" w:line="240" w:lineRule="auto"/>
        <w:ind w:right="-360"/>
        <w:jc w:val="both"/>
        <w:rPr>
          <w:b/>
          <w:color w:val="0F243E" w:themeColor="text2" w:themeShade="80"/>
          <w:sz w:val="24"/>
          <w:lang w:bidi="en-US"/>
        </w:rPr>
      </w:pPr>
      <w:r w:rsidRPr="003167BE">
        <w:rPr>
          <w:b/>
          <w:color w:val="0F243E" w:themeColor="text2" w:themeShade="80"/>
          <w:sz w:val="24"/>
          <w:lang w:bidi="en-US"/>
        </w:rPr>
        <w:t>2.3 Progress toward the SDGs</w:t>
      </w:r>
      <w:r w:rsidRPr="003167BE">
        <w:rPr>
          <w:b/>
          <w:color w:val="0F243E" w:themeColor="text2" w:themeShade="80"/>
          <w:sz w:val="24"/>
          <w:lang w:bidi="en-US"/>
        </w:rPr>
        <w:fldChar w:fldCharType="begin"/>
      </w:r>
      <w:r w:rsidRPr="003167BE">
        <w:rPr>
          <w:color w:val="0F243E" w:themeColor="text2" w:themeShade="80"/>
        </w:rPr>
        <w:instrText xml:space="preserve"> TC "</w:instrText>
      </w:r>
      <w:bookmarkStart w:id="30" w:name="_Toc21777825"/>
      <w:bookmarkStart w:id="31" w:name="_Toc22898022"/>
      <w:bookmarkStart w:id="32" w:name="_Toc38899114"/>
      <w:r w:rsidRPr="003167BE">
        <w:rPr>
          <w:color w:val="0F243E" w:themeColor="text2" w:themeShade="80"/>
        </w:rPr>
        <w:instrText>2</w:instrText>
      </w:r>
      <w:r w:rsidRPr="003167BE">
        <w:rPr>
          <w:b/>
          <w:color w:val="0F243E" w:themeColor="text2" w:themeShade="80"/>
          <w:sz w:val="24"/>
          <w:lang w:bidi="en-US"/>
        </w:rPr>
        <w:instrText>.3 Progress toward the SDGs</w:instrText>
      </w:r>
      <w:bookmarkEnd w:id="30"/>
      <w:bookmarkEnd w:id="31"/>
      <w:bookmarkEnd w:id="32"/>
      <w:r w:rsidRPr="003167BE">
        <w:rPr>
          <w:color w:val="0F243E" w:themeColor="text2" w:themeShade="80"/>
        </w:rPr>
        <w:instrText xml:space="preserve"> " \f C \l "2" </w:instrText>
      </w:r>
      <w:r w:rsidRPr="003167BE">
        <w:rPr>
          <w:b/>
          <w:color w:val="0F243E" w:themeColor="text2" w:themeShade="80"/>
          <w:sz w:val="24"/>
          <w:lang w:bidi="en-US"/>
        </w:rPr>
        <w:fldChar w:fldCharType="end"/>
      </w:r>
    </w:p>
    <w:p w14:paraId="365CD116" w14:textId="557CC87B" w:rsidR="0091475D" w:rsidRPr="004B4CEA" w:rsidRDefault="0091475D" w:rsidP="00D9559C">
      <w:pPr>
        <w:pStyle w:val="ListParagraph"/>
        <w:numPr>
          <w:ilvl w:val="0"/>
          <w:numId w:val="3"/>
        </w:numPr>
        <w:spacing w:after="120"/>
        <w:ind w:right="-360"/>
        <w:contextualSpacing w:val="0"/>
        <w:jc w:val="both"/>
        <w:rPr>
          <w:rFonts w:ascii="Calibri" w:eastAsia="Calibri" w:hAnsi="Calibri"/>
          <w:sz w:val="21"/>
          <w:szCs w:val="21"/>
        </w:rPr>
      </w:pPr>
      <w:r w:rsidRPr="003167BE">
        <w:rPr>
          <w:sz w:val="21"/>
          <w:szCs w:val="21"/>
        </w:rPr>
        <w:t xml:space="preserve">The </w:t>
      </w:r>
      <w:hyperlink r:id="rId25" w:history="1">
        <w:r w:rsidRPr="003167BE">
          <w:rPr>
            <w:rStyle w:val="Hyperlink"/>
            <w:rFonts w:cstheme="minorHAnsi"/>
            <w:sz w:val="21"/>
            <w:szCs w:val="21"/>
          </w:rPr>
          <w:t>human development index (HDI)</w:t>
        </w:r>
      </w:hyperlink>
      <w:r w:rsidRPr="003167BE">
        <w:rPr>
          <w:rFonts w:cstheme="minorHAnsi"/>
          <w:sz w:val="21"/>
          <w:szCs w:val="21"/>
        </w:rPr>
        <w:t xml:space="preserve"> value for BiH in </w:t>
      </w:r>
      <w:r w:rsidR="00FD6EC3" w:rsidRPr="003167BE">
        <w:rPr>
          <w:sz w:val="21"/>
          <w:szCs w:val="21"/>
        </w:rPr>
        <w:t>2018 was 0.769</w:t>
      </w:r>
      <w:r w:rsidRPr="003167BE">
        <w:rPr>
          <w:sz w:val="21"/>
          <w:szCs w:val="21"/>
        </w:rPr>
        <w:t xml:space="preserve">— </w:t>
      </w:r>
      <w:r w:rsidR="002B2F5C" w:rsidRPr="003167BE">
        <w:rPr>
          <w:sz w:val="21"/>
          <w:szCs w:val="21"/>
        </w:rPr>
        <w:t xml:space="preserve">placing </w:t>
      </w:r>
      <w:r w:rsidRPr="003167BE">
        <w:rPr>
          <w:sz w:val="21"/>
          <w:szCs w:val="21"/>
        </w:rPr>
        <w:t>the country in the high human development category</w:t>
      </w:r>
      <w:r w:rsidR="002B2F5C" w:rsidRPr="003167BE">
        <w:rPr>
          <w:sz w:val="21"/>
          <w:szCs w:val="21"/>
        </w:rPr>
        <w:t xml:space="preserve"> and </w:t>
      </w:r>
      <w:r w:rsidRPr="003167BE">
        <w:rPr>
          <w:sz w:val="21"/>
          <w:szCs w:val="21"/>
        </w:rPr>
        <w:t>7</w:t>
      </w:r>
      <w:r w:rsidR="00FD6EC3" w:rsidRPr="003167BE">
        <w:rPr>
          <w:sz w:val="21"/>
          <w:szCs w:val="21"/>
        </w:rPr>
        <w:t>5</w:t>
      </w:r>
      <w:r w:rsidRPr="003167BE">
        <w:rPr>
          <w:sz w:val="21"/>
          <w:szCs w:val="21"/>
          <w:vertAlign w:val="superscript"/>
        </w:rPr>
        <w:t>th</w:t>
      </w:r>
      <w:r w:rsidRPr="003167BE">
        <w:rPr>
          <w:sz w:val="21"/>
          <w:szCs w:val="21"/>
        </w:rPr>
        <w:t xml:space="preserve"> out of 189 countries and territories</w:t>
      </w:r>
      <w:r w:rsidRPr="003167BE">
        <w:rPr>
          <w:rFonts w:cstheme="minorHAnsi"/>
          <w:sz w:val="21"/>
          <w:szCs w:val="21"/>
          <w:vertAlign w:val="superscript"/>
        </w:rPr>
        <w:footnoteReference w:id="49"/>
      </w:r>
      <w:r w:rsidRPr="003167BE">
        <w:rPr>
          <w:rFonts w:cstheme="minorHAnsi"/>
          <w:sz w:val="21"/>
          <w:szCs w:val="21"/>
        </w:rPr>
        <w:t xml:space="preserve">.  </w:t>
      </w:r>
      <w:r w:rsidR="00DD2541" w:rsidRPr="003167BE">
        <w:rPr>
          <w:rFonts w:cstheme="minorHAnsi"/>
          <w:sz w:val="21"/>
          <w:szCs w:val="21"/>
        </w:rPr>
        <w:t xml:space="preserve">When discounted for inequality, the HDI falls to </w:t>
      </w:r>
      <w:r w:rsidR="00DD2541" w:rsidRPr="003167BE">
        <w:rPr>
          <w:sz w:val="21"/>
          <w:szCs w:val="21"/>
        </w:rPr>
        <w:t>0.6</w:t>
      </w:r>
      <w:r w:rsidR="00566EDC" w:rsidRPr="003167BE">
        <w:rPr>
          <w:sz w:val="21"/>
          <w:szCs w:val="21"/>
        </w:rPr>
        <w:t>58</w:t>
      </w:r>
      <w:r w:rsidR="00DD2541" w:rsidRPr="003167BE">
        <w:rPr>
          <w:sz w:val="21"/>
          <w:szCs w:val="21"/>
        </w:rPr>
        <w:t>, a loss of 1</w:t>
      </w:r>
      <w:r w:rsidR="00566EDC" w:rsidRPr="003167BE">
        <w:rPr>
          <w:sz w:val="21"/>
          <w:szCs w:val="21"/>
        </w:rPr>
        <w:t>4</w:t>
      </w:r>
      <w:r w:rsidR="00DD2541" w:rsidRPr="003167BE">
        <w:rPr>
          <w:sz w:val="21"/>
          <w:szCs w:val="21"/>
        </w:rPr>
        <w:t xml:space="preserve">% </w:t>
      </w:r>
      <w:r w:rsidR="00DD2541" w:rsidRPr="003167BE">
        <w:rPr>
          <w:rFonts w:cstheme="minorHAnsi"/>
          <w:sz w:val="21"/>
          <w:szCs w:val="21"/>
        </w:rPr>
        <w:t xml:space="preserve">due to inequality in the HDI variables. </w:t>
      </w:r>
      <w:r w:rsidRPr="003167BE">
        <w:rPr>
          <w:rFonts w:ascii="Calibri" w:eastAsia="Calibri" w:hAnsi="Calibri"/>
          <w:sz w:val="21"/>
          <w:szCs w:val="21"/>
        </w:rPr>
        <w:t>BiH has a gender inequality index (GII) value of</w:t>
      </w:r>
      <w:r w:rsidRPr="003167BE">
        <w:rPr>
          <w:rFonts w:ascii="Calibri" w:eastAsia="Calibri" w:hAnsi="Calibri"/>
          <w:b/>
          <w:sz w:val="21"/>
          <w:szCs w:val="21"/>
        </w:rPr>
        <w:t xml:space="preserve"> </w:t>
      </w:r>
      <w:r w:rsidR="00A2113F" w:rsidRPr="003167BE">
        <w:rPr>
          <w:sz w:val="21"/>
          <w:szCs w:val="21"/>
        </w:rPr>
        <w:t xml:space="preserve">0.162, ranking it 38 out of 162 countries </w:t>
      </w:r>
      <w:r w:rsidRPr="003167BE">
        <w:rPr>
          <w:sz w:val="21"/>
          <w:szCs w:val="21"/>
        </w:rPr>
        <w:t>in 201</w:t>
      </w:r>
      <w:r w:rsidR="00A2113F" w:rsidRPr="003167BE">
        <w:rPr>
          <w:sz w:val="21"/>
          <w:szCs w:val="21"/>
        </w:rPr>
        <w:t>8</w:t>
      </w:r>
      <w:r w:rsidRPr="003167BE">
        <w:rPr>
          <w:sz w:val="21"/>
          <w:szCs w:val="21"/>
        </w:rPr>
        <w:t xml:space="preserve">. This </w:t>
      </w:r>
      <w:r w:rsidRPr="003167BE">
        <w:rPr>
          <w:rFonts w:ascii="Calibri" w:eastAsia="Calibri" w:hAnsi="Calibri"/>
          <w:sz w:val="21"/>
          <w:szCs w:val="21"/>
        </w:rPr>
        <w:t>reflects impressive gains in life expectancy and reduced maternal mortality. Lagging indicators for BiH are access to secondary education, political representation, and low female participation</w:t>
      </w:r>
      <w:r w:rsidR="009077A5" w:rsidRPr="003167BE">
        <w:rPr>
          <w:rFonts w:ascii="Calibri" w:eastAsia="Calibri" w:hAnsi="Calibri"/>
          <w:sz w:val="21"/>
          <w:szCs w:val="21"/>
        </w:rPr>
        <w:t xml:space="preserve"> and gender</w:t>
      </w:r>
      <w:r w:rsidR="009077A5" w:rsidRPr="004B4CEA">
        <w:rPr>
          <w:rFonts w:ascii="Calibri" w:eastAsia="Calibri" w:hAnsi="Calibri"/>
          <w:sz w:val="21"/>
          <w:szCs w:val="21"/>
        </w:rPr>
        <w:t xml:space="preserve"> </w:t>
      </w:r>
      <w:r w:rsidR="0098303D" w:rsidRPr="004B4CEA">
        <w:rPr>
          <w:rFonts w:ascii="Calibri" w:eastAsia="Calibri" w:hAnsi="Calibri"/>
          <w:sz w:val="21"/>
          <w:szCs w:val="21"/>
        </w:rPr>
        <w:t>pay gap</w:t>
      </w:r>
      <w:r w:rsidR="008154E3">
        <w:rPr>
          <w:rFonts w:ascii="Calibri" w:eastAsia="Calibri" w:hAnsi="Calibri"/>
          <w:sz w:val="21"/>
          <w:szCs w:val="21"/>
        </w:rPr>
        <w:t xml:space="preserve"> in the labour market.</w:t>
      </w:r>
    </w:p>
    <w:p w14:paraId="21CDFFBA" w14:textId="51C79187" w:rsidR="00757FC7" w:rsidRPr="004B4CEA" w:rsidRDefault="007B5962" w:rsidP="00D9559C">
      <w:pPr>
        <w:pStyle w:val="ListParagraph"/>
        <w:numPr>
          <w:ilvl w:val="0"/>
          <w:numId w:val="3"/>
        </w:numPr>
        <w:spacing w:after="120"/>
        <w:ind w:right="-360"/>
        <w:contextualSpacing w:val="0"/>
        <w:jc w:val="both"/>
        <w:rPr>
          <w:sz w:val="21"/>
          <w:szCs w:val="21"/>
        </w:rPr>
      </w:pPr>
      <w:r w:rsidRPr="004B4CEA">
        <w:rPr>
          <w:sz w:val="21"/>
          <w:szCs w:val="21"/>
        </w:rPr>
        <w:t>T</w:t>
      </w:r>
      <w:r w:rsidR="002E55D5" w:rsidRPr="004B4CEA">
        <w:rPr>
          <w:sz w:val="21"/>
          <w:szCs w:val="21"/>
        </w:rPr>
        <w:t xml:space="preserve">he HDI </w:t>
      </w:r>
      <w:r w:rsidR="00EF3303">
        <w:rPr>
          <w:sz w:val="21"/>
          <w:szCs w:val="21"/>
        </w:rPr>
        <w:t>offers</w:t>
      </w:r>
      <w:r w:rsidR="002E55D5" w:rsidRPr="004B4CEA">
        <w:rPr>
          <w:sz w:val="21"/>
          <w:szCs w:val="21"/>
        </w:rPr>
        <w:t xml:space="preserve"> average measures of </w:t>
      </w:r>
      <w:r w:rsidR="0091475D" w:rsidRPr="004B4CEA">
        <w:rPr>
          <w:sz w:val="21"/>
          <w:szCs w:val="21"/>
        </w:rPr>
        <w:t>human well-being</w:t>
      </w:r>
      <w:r w:rsidR="008C7632" w:rsidRPr="004B4CEA">
        <w:rPr>
          <w:sz w:val="21"/>
          <w:szCs w:val="21"/>
        </w:rPr>
        <w:t xml:space="preserve">. </w:t>
      </w:r>
      <w:r w:rsidRPr="004B4CEA">
        <w:rPr>
          <w:sz w:val="21"/>
          <w:szCs w:val="21"/>
        </w:rPr>
        <w:t xml:space="preserve">It </w:t>
      </w:r>
      <w:r w:rsidR="008C7632" w:rsidRPr="004B4CEA">
        <w:rPr>
          <w:sz w:val="21"/>
          <w:szCs w:val="21"/>
        </w:rPr>
        <w:t>do</w:t>
      </w:r>
      <w:r w:rsidRPr="004B4CEA">
        <w:rPr>
          <w:sz w:val="21"/>
          <w:szCs w:val="21"/>
        </w:rPr>
        <w:t>es</w:t>
      </w:r>
      <w:r w:rsidR="008C7632" w:rsidRPr="004B4CEA">
        <w:rPr>
          <w:sz w:val="21"/>
          <w:szCs w:val="21"/>
        </w:rPr>
        <w:t xml:space="preserve"> </w:t>
      </w:r>
      <w:r w:rsidR="002E55D5" w:rsidRPr="004B4CEA">
        <w:rPr>
          <w:sz w:val="21"/>
          <w:szCs w:val="21"/>
        </w:rPr>
        <w:t xml:space="preserve">not provide an understanding of </w:t>
      </w:r>
      <w:r w:rsidR="0091475D" w:rsidRPr="004B4CEA">
        <w:rPr>
          <w:sz w:val="21"/>
          <w:szCs w:val="21"/>
        </w:rPr>
        <w:t xml:space="preserve">vulnerability and </w:t>
      </w:r>
      <w:r w:rsidR="002E55D5" w:rsidRPr="004B4CEA">
        <w:rPr>
          <w:sz w:val="21"/>
          <w:szCs w:val="21"/>
        </w:rPr>
        <w:t xml:space="preserve">social </w:t>
      </w:r>
      <w:r w:rsidR="0091475D" w:rsidRPr="004B4CEA">
        <w:rPr>
          <w:sz w:val="21"/>
          <w:szCs w:val="21"/>
        </w:rPr>
        <w:t>exclusion</w:t>
      </w:r>
      <w:r w:rsidR="002E55D5" w:rsidRPr="004B4CEA">
        <w:rPr>
          <w:sz w:val="21"/>
          <w:szCs w:val="21"/>
        </w:rPr>
        <w:t xml:space="preserve">. </w:t>
      </w:r>
      <w:r w:rsidR="00DD2541" w:rsidRPr="004B4CEA">
        <w:rPr>
          <w:rFonts w:cstheme="minorHAnsi"/>
          <w:sz w:val="21"/>
          <w:szCs w:val="21"/>
        </w:rPr>
        <w:t xml:space="preserve">The DPA created a complex </w:t>
      </w:r>
      <w:r w:rsidR="00947548">
        <w:rPr>
          <w:rFonts w:cstheme="minorHAnsi"/>
          <w:sz w:val="21"/>
          <w:szCs w:val="21"/>
        </w:rPr>
        <w:t>governance</w:t>
      </w:r>
      <w:r w:rsidR="000F1BA2">
        <w:rPr>
          <w:rFonts w:cstheme="minorHAnsi"/>
          <w:sz w:val="21"/>
          <w:szCs w:val="21"/>
        </w:rPr>
        <w:t xml:space="preserve"> structure with </w:t>
      </w:r>
      <w:r w:rsidR="00DD2541" w:rsidRPr="00EF3303">
        <w:rPr>
          <w:rFonts w:cstheme="minorHAnsi"/>
          <w:bCs/>
          <w:sz w:val="21"/>
          <w:szCs w:val="21"/>
        </w:rPr>
        <w:t>discriminatory provisions</w:t>
      </w:r>
      <w:r w:rsidR="00DD2541" w:rsidRPr="004B4CEA">
        <w:rPr>
          <w:rFonts w:cstheme="minorHAnsi"/>
          <w:sz w:val="21"/>
          <w:szCs w:val="21"/>
        </w:rPr>
        <w:t xml:space="preserve"> against minorities and non-constituent citizens</w:t>
      </w:r>
      <w:r w:rsidR="00367223">
        <w:rPr>
          <w:rFonts w:cstheme="minorHAnsi"/>
          <w:sz w:val="21"/>
          <w:szCs w:val="21"/>
        </w:rPr>
        <w:t xml:space="preserve"> (</w:t>
      </w:r>
      <w:r w:rsidR="00EF3303">
        <w:rPr>
          <w:rFonts w:cstheme="minorHAnsi"/>
          <w:sz w:val="21"/>
          <w:szCs w:val="21"/>
        </w:rPr>
        <w:t xml:space="preserve">for example, </w:t>
      </w:r>
      <w:r w:rsidR="00367223">
        <w:rPr>
          <w:rFonts w:cstheme="minorHAnsi"/>
          <w:sz w:val="21"/>
          <w:szCs w:val="21"/>
        </w:rPr>
        <w:t>see Sejdic-Finci case law)</w:t>
      </w:r>
      <w:r w:rsidR="00493EDB">
        <w:rPr>
          <w:rFonts w:cstheme="minorHAnsi"/>
          <w:sz w:val="21"/>
          <w:szCs w:val="21"/>
        </w:rPr>
        <w:t xml:space="preserve">.  This structure has adversely </w:t>
      </w:r>
      <w:r w:rsidR="00210A3A">
        <w:rPr>
          <w:rFonts w:cstheme="minorHAnsi"/>
          <w:sz w:val="21"/>
          <w:szCs w:val="21"/>
        </w:rPr>
        <w:t xml:space="preserve">affected the country’s functionality, including </w:t>
      </w:r>
      <w:r w:rsidR="00DB3820">
        <w:rPr>
          <w:rFonts w:cstheme="minorHAnsi"/>
          <w:sz w:val="21"/>
          <w:szCs w:val="21"/>
        </w:rPr>
        <w:t>reform efforts</w:t>
      </w:r>
      <w:r w:rsidR="00AB7BD1">
        <w:rPr>
          <w:rFonts w:cstheme="minorHAnsi"/>
          <w:sz w:val="21"/>
          <w:szCs w:val="21"/>
        </w:rPr>
        <w:t xml:space="preserve"> and progress towards EU integration</w:t>
      </w:r>
      <w:r w:rsidR="00EF3303">
        <w:rPr>
          <w:rFonts w:cstheme="minorHAnsi"/>
          <w:sz w:val="21"/>
          <w:szCs w:val="21"/>
        </w:rPr>
        <w:t>,</w:t>
      </w:r>
      <w:r w:rsidR="00544BD5">
        <w:rPr>
          <w:rFonts w:cstheme="minorHAnsi"/>
          <w:sz w:val="21"/>
          <w:szCs w:val="21"/>
        </w:rPr>
        <w:t xml:space="preserve"> as highlighted in the 2019 EC Opinion</w:t>
      </w:r>
      <w:r w:rsidR="00905DBE">
        <w:rPr>
          <w:rFonts w:cstheme="minorHAnsi"/>
          <w:sz w:val="21"/>
          <w:szCs w:val="21"/>
        </w:rPr>
        <w:t>.</w:t>
      </w:r>
      <w:r w:rsidR="00AB17DD">
        <w:rPr>
          <w:rStyle w:val="FootnoteReference"/>
          <w:rFonts w:cstheme="minorHAnsi"/>
          <w:sz w:val="21"/>
          <w:szCs w:val="21"/>
        </w:rPr>
        <w:footnoteReference w:id="50"/>
      </w:r>
      <w:r w:rsidR="00757FC7" w:rsidRPr="004B4CEA">
        <w:rPr>
          <w:rFonts w:cstheme="minorHAnsi"/>
          <w:sz w:val="21"/>
          <w:szCs w:val="21"/>
        </w:rPr>
        <w:t xml:space="preserve"> </w:t>
      </w:r>
    </w:p>
    <w:p w14:paraId="76D84807" w14:textId="6C04C913" w:rsidR="00766D3E" w:rsidRPr="004B4CEA" w:rsidRDefault="0091475D" w:rsidP="00D9559C">
      <w:pPr>
        <w:pStyle w:val="ListParagraph"/>
        <w:numPr>
          <w:ilvl w:val="0"/>
          <w:numId w:val="3"/>
        </w:numPr>
        <w:spacing w:after="120"/>
        <w:ind w:right="-360"/>
        <w:contextualSpacing w:val="0"/>
        <w:jc w:val="both"/>
        <w:rPr>
          <w:sz w:val="21"/>
          <w:szCs w:val="21"/>
        </w:rPr>
      </w:pPr>
      <w:r w:rsidRPr="004B4CEA">
        <w:rPr>
          <w:rFonts w:cstheme="minorHAnsi"/>
          <w:color w:val="212121"/>
          <w:sz w:val="21"/>
          <w:szCs w:val="21"/>
        </w:rPr>
        <w:t xml:space="preserve">The </w:t>
      </w:r>
      <w:hyperlink r:id="rId26" w:history="1">
        <w:r w:rsidRPr="004B4CEA">
          <w:rPr>
            <w:rStyle w:val="Hyperlink"/>
            <w:rFonts w:cstheme="minorHAnsi"/>
            <w:sz w:val="21"/>
            <w:szCs w:val="21"/>
          </w:rPr>
          <w:t>2019 Sustainable Development Report</w:t>
        </w:r>
      </w:hyperlink>
      <w:r w:rsidRPr="004B4CEA">
        <w:rPr>
          <w:rFonts w:cstheme="minorHAnsi"/>
          <w:color w:val="212121"/>
          <w:sz w:val="21"/>
          <w:szCs w:val="21"/>
        </w:rPr>
        <w:t xml:space="preserve"> provides a globally comparable index and dashboards for monitoring SDG achievement with country data. For 2019, </w:t>
      </w:r>
      <w:hyperlink r:id="rId27" w:history="1">
        <w:r w:rsidRPr="004B4CEA">
          <w:rPr>
            <w:rStyle w:val="Hyperlink"/>
            <w:rFonts w:cstheme="minorHAnsi"/>
            <w:sz w:val="21"/>
            <w:szCs w:val="21"/>
          </w:rPr>
          <w:t>BiH</w:t>
        </w:r>
      </w:hyperlink>
      <w:r w:rsidRPr="004B4CEA">
        <w:rPr>
          <w:rFonts w:cstheme="minorHAnsi"/>
          <w:color w:val="212121"/>
          <w:sz w:val="21"/>
          <w:szCs w:val="21"/>
        </w:rPr>
        <w:t xml:space="preserve"> has an overall index score of 69, suggesting it is 69% or over two-thirds of the </w:t>
      </w:r>
      <w:r w:rsidR="007B5962" w:rsidRPr="004B4CEA">
        <w:rPr>
          <w:rFonts w:cstheme="minorHAnsi"/>
          <w:color w:val="212121"/>
          <w:sz w:val="21"/>
          <w:szCs w:val="21"/>
        </w:rPr>
        <w:t>way towards SDG achievement. It</w:t>
      </w:r>
      <w:r w:rsidRPr="004B4CEA">
        <w:rPr>
          <w:rFonts w:cstheme="minorHAnsi"/>
          <w:color w:val="212121"/>
          <w:sz w:val="21"/>
          <w:szCs w:val="21"/>
        </w:rPr>
        <w:t>s rank is 69 out of 162 countries</w:t>
      </w:r>
      <w:r w:rsidRPr="007E4270">
        <w:rPr>
          <w:rFonts w:cstheme="minorHAnsi"/>
          <w:color w:val="212121"/>
          <w:sz w:val="21"/>
          <w:szCs w:val="21"/>
        </w:rPr>
        <w:t>. The SDG dashboard indicates</w:t>
      </w:r>
      <w:r w:rsidR="009540FD" w:rsidRPr="007E4270">
        <w:rPr>
          <w:rFonts w:cstheme="minorHAnsi"/>
          <w:color w:val="212121"/>
          <w:sz w:val="21"/>
          <w:szCs w:val="21"/>
        </w:rPr>
        <w:t xml:space="preserve"> the following </w:t>
      </w:r>
      <w:r w:rsidRPr="007E4270">
        <w:rPr>
          <w:rFonts w:cstheme="minorHAnsi"/>
          <w:b/>
          <w:color w:val="212121"/>
          <w:sz w:val="21"/>
          <w:szCs w:val="21"/>
        </w:rPr>
        <w:t>SDGs</w:t>
      </w:r>
      <w:r w:rsidRPr="007E4270">
        <w:rPr>
          <w:rFonts w:cstheme="minorHAnsi"/>
          <w:color w:val="212121"/>
          <w:sz w:val="21"/>
          <w:szCs w:val="21"/>
        </w:rPr>
        <w:t xml:space="preserve"> as </w:t>
      </w:r>
      <w:r w:rsidR="009540FD" w:rsidRPr="007E4270">
        <w:rPr>
          <w:rFonts w:cstheme="minorHAnsi"/>
          <w:color w:val="212121"/>
          <w:sz w:val="21"/>
          <w:szCs w:val="21"/>
        </w:rPr>
        <w:t xml:space="preserve">priorities: </w:t>
      </w:r>
      <w:r w:rsidRPr="007E4270">
        <w:rPr>
          <w:rFonts w:cstheme="minorHAnsi"/>
          <w:color w:val="212121"/>
          <w:sz w:val="21"/>
          <w:szCs w:val="21"/>
        </w:rPr>
        <w:t xml:space="preserve">5. Gender equality, 8. Decent work and economic growth, 9. Industry, innovation and infrastructure, </w:t>
      </w:r>
      <w:r w:rsidR="009540FD" w:rsidRPr="007E4270">
        <w:rPr>
          <w:rFonts w:cstheme="minorHAnsi"/>
          <w:color w:val="212121"/>
          <w:sz w:val="21"/>
          <w:szCs w:val="21"/>
        </w:rPr>
        <w:t xml:space="preserve">13. Climate Action, </w:t>
      </w:r>
      <w:r w:rsidRPr="007E4270">
        <w:rPr>
          <w:rFonts w:cstheme="minorHAnsi"/>
          <w:color w:val="212121"/>
          <w:sz w:val="21"/>
          <w:szCs w:val="21"/>
        </w:rPr>
        <w:t>15. Life on land, and 16. Peace justice and strong institutions</w:t>
      </w:r>
      <w:r w:rsidRPr="007E4270">
        <w:rPr>
          <w:rStyle w:val="FootnoteReference"/>
          <w:rFonts w:cstheme="minorHAnsi"/>
          <w:color w:val="212121"/>
          <w:sz w:val="21"/>
          <w:szCs w:val="21"/>
        </w:rPr>
        <w:footnoteReference w:id="51"/>
      </w:r>
      <w:r w:rsidRPr="007E4270">
        <w:rPr>
          <w:rFonts w:cstheme="minorHAnsi"/>
          <w:color w:val="212121"/>
          <w:sz w:val="21"/>
          <w:szCs w:val="21"/>
        </w:rPr>
        <w:t xml:space="preserve">. </w:t>
      </w:r>
      <w:r w:rsidR="00766D3E" w:rsidRPr="007E4270">
        <w:rPr>
          <w:sz w:val="21"/>
          <w:szCs w:val="21"/>
        </w:rPr>
        <w:t>Achieving the SDGs</w:t>
      </w:r>
      <w:r w:rsidR="00E46008" w:rsidRPr="007E4270">
        <w:rPr>
          <w:sz w:val="21"/>
          <w:szCs w:val="21"/>
        </w:rPr>
        <w:t xml:space="preserve"> in BiH</w:t>
      </w:r>
      <w:r w:rsidR="00766D3E" w:rsidRPr="007E4270">
        <w:rPr>
          <w:sz w:val="21"/>
          <w:szCs w:val="21"/>
        </w:rPr>
        <w:t xml:space="preserve"> will require</w:t>
      </w:r>
      <w:r w:rsidR="00E46008" w:rsidRPr="007E4270">
        <w:rPr>
          <w:sz w:val="21"/>
          <w:szCs w:val="21"/>
        </w:rPr>
        <w:t xml:space="preserve"> broader partnership </w:t>
      </w:r>
      <w:r w:rsidR="007E5169" w:rsidRPr="007E4270">
        <w:rPr>
          <w:sz w:val="21"/>
          <w:szCs w:val="21"/>
        </w:rPr>
        <w:t xml:space="preserve">and financing </w:t>
      </w:r>
      <w:r w:rsidR="00E46008" w:rsidRPr="007E4270">
        <w:rPr>
          <w:sz w:val="21"/>
          <w:szCs w:val="21"/>
        </w:rPr>
        <w:t>fram</w:t>
      </w:r>
      <w:r w:rsidR="00170B08" w:rsidRPr="007E4270">
        <w:rPr>
          <w:sz w:val="21"/>
          <w:szCs w:val="21"/>
        </w:rPr>
        <w:t>ework</w:t>
      </w:r>
      <w:r w:rsidR="00EF3303" w:rsidRPr="007E4270">
        <w:rPr>
          <w:sz w:val="21"/>
          <w:szCs w:val="21"/>
        </w:rPr>
        <w:t>s</w:t>
      </w:r>
      <w:r w:rsidR="00766D3E" w:rsidRPr="007E4270">
        <w:rPr>
          <w:sz w:val="21"/>
          <w:szCs w:val="21"/>
        </w:rPr>
        <w:t xml:space="preserve"> that can</w:t>
      </w:r>
      <w:r w:rsidR="00766D3E" w:rsidRPr="004B4CEA">
        <w:rPr>
          <w:sz w:val="21"/>
          <w:szCs w:val="21"/>
        </w:rPr>
        <w:t xml:space="preserve"> only be generated by </w:t>
      </w:r>
      <w:r w:rsidR="00EF3303">
        <w:rPr>
          <w:sz w:val="21"/>
          <w:szCs w:val="21"/>
        </w:rPr>
        <w:t xml:space="preserve">increased </w:t>
      </w:r>
      <w:r w:rsidR="00EF3303">
        <w:rPr>
          <w:bCs/>
          <w:sz w:val="21"/>
          <w:szCs w:val="21"/>
        </w:rPr>
        <w:t xml:space="preserve">engagement between authorities in BiH, </w:t>
      </w:r>
      <w:r w:rsidR="00766D3E" w:rsidRPr="004B4CEA">
        <w:rPr>
          <w:bCs/>
          <w:sz w:val="21"/>
          <w:szCs w:val="21"/>
        </w:rPr>
        <w:t>the private sector</w:t>
      </w:r>
      <w:r w:rsidR="00EF3303">
        <w:rPr>
          <w:bCs/>
          <w:sz w:val="21"/>
          <w:szCs w:val="21"/>
        </w:rPr>
        <w:t>,</w:t>
      </w:r>
      <w:r w:rsidR="00766D3E" w:rsidRPr="004B4CEA">
        <w:rPr>
          <w:bCs/>
          <w:sz w:val="21"/>
          <w:szCs w:val="21"/>
        </w:rPr>
        <w:t xml:space="preserve"> and international financial institutions</w:t>
      </w:r>
      <w:r w:rsidR="00EF3303">
        <w:rPr>
          <w:bCs/>
          <w:sz w:val="21"/>
          <w:szCs w:val="21"/>
        </w:rPr>
        <w:t>.</w:t>
      </w:r>
      <w:r w:rsidR="00766D3E" w:rsidRPr="004B4CEA">
        <w:rPr>
          <w:bCs/>
          <w:sz w:val="21"/>
          <w:szCs w:val="21"/>
        </w:rPr>
        <w:t xml:space="preserve"> </w:t>
      </w:r>
      <w:r w:rsidR="00766D3E" w:rsidRPr="004B4CEA">
        <w:rPr>
          <w:sz w:val="21"/>
          <w:szCs w:val="21"/>
        </w:rPr>
        <w:t xml:space="preserve">  </w:t>
      </w:r>
    </w:p>
    <w:p w14:paraId="50BCBEA8" w14:textId="322390F8" w:rsidR="0038127F" w:rsidRPr="0069604A" w:rsidRDefault="0091475D" w:rsidP="00D9559C">
      <w:pPr>
        <w:pStyle w:val="ListParagraph"/>
        <w:numPr>
          <w:ilvl w:val="0"/>
          <w:numId w:val="3"/>
        </w:numPr>
        <w:spacing w:after="120"/>
        <w:ind w:right="-360"/>
        <w:contextualSpacing w:val="0"/>
        <w:jc w:val="both"/>
        <w:rPr>
          <w:rFonts w:cstheme="minorHAnsi"/>
          <w:sz w:val="21"/>
          <w:szCs w:val="21"/>
        </w:rPr>
      </w:pPr>
      <w:r w:rsidRPr="004B4CEA">
        <w:rPr>
          <w:rFonts w:cstheme="minorHAnsi"/>
          <w:sz w:val="21"/>
          <w:szCs w:val="21"/>
        </w:rPr>
        <w:t xml:space="preserve">In this context the </w:t>
      </w:r>
      <w:r w:rsidR="009A7E3B" w:rsidRPr="004B4CEA">
        <w:rPr>
          <w:rFonts w:cstheme="minorHAnsi"/>
          <w:sz w:val="21"/>
          <w:szCs w:val="21"/>
        </w:rPr>
        <w:t xml:space="preserve">BiH-UN system cooperation </w:t>
      </w:r>
      <w:r w:rsidRPr="004B4CEA">
        <w:rPr>
          <w:rFonts w:cstheme="minorHAnsi"/>
          <w:sz w:val="21"/>
          <w:szCs w:val="21"/>
        </w:rPr>
        <w:t xml:space="preserve">will necessarily place </w:t>
      </w:r>
      <w:r w:rsidRPr="0069604A">
        <w:rPr>
          <w:rFonts w:cstheme="minorHAnsi"/>
          <w:sz w:val="21"/>
          <w:szCs w:val="21"/>
        </w:rPr>
        <w:t xml:space="preserve">emphasis on high level technical and policy advice to strengthen country capacities, systems, and procedures so that </w:t>
      </w:r>
      <w:r w:rsidR="00191F02" w:rsidRPr="0069604A">
        <w:rPr>
          <w:rFonts w:cstheme="minorHAnsi"/>
          <w:sz w:val="21"/>
          <w:szCs w:val="21"/>
        </w:rPr>
        <w:t>the</w:t>
      </w:r>
      <w:r w:rsidR="008C1408" w:rsidRPr="0069604A">
        <w:rPr>
          <w:rFonts w:cstheme="minorHAnsi"/>
          <w:sz w:val="21"/>
          <w:szCs w:val="21"/>
        </w:rPr>
        <w:t xml:space="preserve"> authorities</w:t>
      </w:r>
      <w:r w:rsidR="00191F02" w:rsidRPr="0069604A">
        <w:rPr>
          <w:rFonts w:cstheme="minorHAnsi"/>
          <w:sz w:val="21"/>
          <w:szCs w:val="21"/>
        </w:rPr>
        <w:t xml:space="preserve"> in BiH</w:t>
      </w:r>
      <w:r w:rsidRPr="0069604A">
        <w:rPr>
          <w:rFonts w:cstheme="minorHAnsi"/>
          <w:sz w:val="21"/>
          <w:szCs w:val="21"/>
        </w:rPr>
        <w:t xml:space="preserve"> can strengthen services, in line with international standards and reach-out to vulnerable groups. </w:t>
      </w:r>
      <w:r w:rsidR="009A7E3B" w:rsidRPr="0069604A">
        <w:rPr>
          <w:rFonts w:cstheme="minorHAnsi"/>
          <w:sz w:val="21"/>
          <w:szCs w:val="21"/>
        </w:rPr>
        <w:t>The concept of ‘leave no one behind’ is aimed at eliminating the multidimensional causes of poverty, inequality and discrimination</w:t>
      </w:r>
      <w:r w:rsidR="00766D3E" w:rsidRPr="0069604A">
        <w:rPr>
          <w:rFonts w:cstheme="minorHAnsi"/>
          <w:sz w:val="21"/>
          <w:szCs w:val="21"/>
        </w:rPr>
        <w:t>,</w:t>
      </w:r>
      <w:r w:rsidR="009A7E3B" w:rsidRPr="0069604A">
        <w:rPr>
          <w:rFonts w:cstheme="minorHAnsi"/>
          <w:sz w:val="21"/>
          <w:szCs w:val="21"/>
        </w:rPr>
        <w:t xml:space="preserve"> reducing multiple vulnerabilities</w:t>
      </w:r>
      <w:r w:rsidR="00926876" w:rsidRPr="0069604A">
        <w:rPr>
          <w:rFonts w:cstheme="minorHAnsi"/>
          <w:sz w:val="21"/>
          <w:szCs w:val="21"/>
        </w:rPr>
        <w:t xml:space="preserve"> and </w:t>
      </w:r>
      <w:r w:rsidR="00293C0F" w:rsidRPr="0069604A">
        <w:rPr>
          <w:rFonts w:cstheme="minorHAnsi"/>
          <w:sz w:val="21"/>
          <w:szCs w:val="21"/>
        </w:rPr>
        <w:t xml:space="preserve">strengthening the country’s resilience to shocks and </w:t>
      </w:r>
      <w:r w:rsidR="008154E3" w:rsidRPr="0069604A">
        <w:rPr>
          <w:rFonts w:cstheme="minorHAnsi"/>
          <w:sz w:val="21"/>
          <w:szCs w:val="21"/>
        </w:rPr>
        <w:t>crises</w:t>
      </w:r>
      <w:r w:rsidR="00FD3409" w:rsidRPr="0069604A">
        <w:rPr>
          <w:rFonts w:cstheme="minorHAnsi"/>
          <w:sz w:val="21"/>
          <w:szCs w:val="21"/>
        </w:rPr>
        <w:t>.</w:t>
      </w:r>
      <w:r w:rsidR="009A7E3B" w:rsidRPr="0069604A">
        <w:rPr>
          <w:rFonts w:cstheme="minorHAnsi"/>
          <w:sz w:val="21"/>
          <w:szCs w:val="21"/>
        </w:rPr>
        <w:t xml:space="preserve"> </w:t>
      </w:r>
    </w:p>
    <w:p w14:paraId="36751E35" w14:textId="65AAB9D7" w:rsidR="009A7E3B" w:rsidRPr="0069604A" w:rsidRDefault="00504173" w:rsidP="00D9559C">
      <w:pPr>
        <w:pStyle w:val="ListParagraph"/>
        <w:numPr>
          <w:ilvl w:val="0"/>
          <w:numId w:val="3"/>
        </w:numPr>
        <w:spacing w:after="120"/>
        <w:ind w:right="-360"/>
        <w:contextualSpacing w:val="0"/>
        <w:jc w:val="both"/>
        <w:rPr>
          <w:rFonts w:cstheme="minorHAnsi"/>
          <w:sz w:val="21"/>
          <w:szCs w:val="21"/>
        </w:rPr>
      </w:pPr>
      <w:r w:rsidRPr="0069604A">
        <w:rPr>
          <w:rFonts w:cstheme="minorHAnsi"/>
          <w:sz w:val="21"/>
          <w:szCs w:val="21"/>
        </w:rPr>
        <w:t xml:space="preserve">Pressing concerns are the </w:t>
      </w:r>
      <w:r w:rsidR="008C7632" w:rsidRPr="0069604A">
        <w:rPr>
          <w:rFonts w:cstheme="minorHAnsi"/>
          <w:sz w:val="21"/>
          <w:szCs w:val="21"/>
        </w:rPr>
        <w:t>entrenched patriarchal attitudes and deeply rooted stereotypes about the roles and responsibilities of men and women within the family and in society.</w:t>
      </w:r>
      <w:r w:rsidRPr="0069604A">
        <w:rPr>
          <w:rFonts w:cstheme="minorHAnsi"/>
          <w:sz w:val="21"/>
          <w:szCs w:val="21"/>
        </w:rPr>
        <w:t xml:space="preserve"> G</w:t>
      </w:r>
      <w:r w:rsidR="008C7632" w:rsidRPr="0069604A">
        <w:rPr>
          <w:rFonts w:cstheme="minorHAnsi"/>
          <w:sz w:val="21"/>
          <w:szCs w:val="21"/>
        </w:rPr>
        <w:t xml:space="preserve">ender-based exclusion exists at many different levels Traditional gender roles are still widespread in BiH and are reflected in indicators ranging from </w:t>
      </w:r>
      <w:r w:rsidR="0023651B" w:rsidRPr="0069604A">
        <w:rPr>
          <w:rFonts w:cstheme="minorHAnsi"/>
          <w:sz w:val="21"/>
          <w:szCs w:val="21"/>
        </w:rPr>
        <w:t xml:space="preserve">education and </w:t>
      </w:r>
      <w:r w:rsidR="008C7632" w:rsidRPr="0069604A">
        <w:rPr>
          <w:rFonts w:cstheme="minorHAnsi"/>
          <w:sz w:val="21"/>
          <w:szCs w:val="21"/>
        </w:rPr>
        <w:t xml:space="preserve">labor-force participation to the composition of the </w:t>
      </w:r>
      <w:r w:rsidR="006050CD" w:rsidRPr="0069604A">
        <w:rPr>
          <w:rFonts w:cstheme="minorHAnsi"/>
          <w:sz w:val="21"/>
          <w:szCs w:val="21"/>
        </w:rPr>
        <w:t xml:space="preserve">parliaments in </w:t>
      </w:r>
      <w:r w:rsidR="008C7632" w:rsidRPr="0069604A">
        <w:rPr>
          <w:rFonts w:cstheme="minorHAnsi"/>
          <w:sz w:val="21"/>
          <w:szCs w:val="21"/>
        </w:rPr>
        <w:t>BiH</w:t>
      </w:r>
      <w:r w:rsidRPr="0069604A">
        <w:rPr>
          <w:rFonts w:cstheme="minorHAnsi"/>
          <w:sz w:val="21"/>
          <w:szCs w:val="21"/>
        </w:rPr>
        <w:t>.</w:t>
      </w:r>
    </w:p>
    <w:p w14:paraId="46149A3D" w14:textId="77777777" w:rsidR="00AB785B" w:rsidRPr="0069604A" w:rsidRDefault="00AB785B" w:rsidP="00D9559C">
      <w:pPr>
        <w:spacing w:after="120" w:line="240" w:lineRule="auto"/>
        <w:ind w:right="-360"/>
        <w:jc w:val="both"/>
        <w:rPr>
          <w:b/>
          <w:color w:val="0F243E" w:themeColor="text2" w:themeShade="80"/>
          <w:sz w:val="24"/>
          <w:szCs w:val="24"/>
          <w:lang w:bidi="en-US"/>
        </w:rPr>
      </w:pPr>
      <w:r w:rsidRPr="0069604A">
        <w:rPr>
          <w:b/>
          <w:color w:val="0F243E" w:themeColor="text2" w:themeShade="80"/>
          <w:sz w:val="24"/>
          <w:szCs w:val="24"/>
          <w:lang w:bidi="en-US"/>
        </w:rPr>
        <w:t>2.4 Gaps and challenges</w:t>
      </w:r>
      <w:r w:rsidRPr="0069604A">
        <w:rPr>
          <w:b/>
          <w:color w:val="0F243E" w:themeColor="text2" w:themeShade="80"/>
          <w:sz w:val="24"/>
          <w:szCs w:val="24"/>
          <w:lang w:bidi="en-US"/>
        </w:rPr>
        <w:fldChar w:fldCharType="begin"/>
      </w:r>
      <w:r w:rsidRPr="0069604A">
        <w:rPr>
          <w:color w:val="0F243E" w:themeColor="text2" w:themeShade="80"/>
        </w:rPr>
        <w:instrText xml:space="preserve"> TC "</w:instrText>
      </w:r>
      <w:bookmarkStart w:id="33" w:name="_Toc21777826"/>
      <w:bookmarkStart w:id="34" w:name="_Toc23876358"/>
      <w:bookmarkStart w:id="35" w:name="_Toc23933982"/>
      <w:bookmarkStart w:id="36" w:name="_Toc26184387"/>
      <w:bookmarkStart w:id="37" w:name="_Toc38899115"/>
      <w:r w:rsidR="00C311AB" w:rsidRPr="0069604A">
        <w:rPr>
          <w:b/>
          <w:color w:val="0F243E" w:themeColor="text2" w:themeShade="80"/>
          <w:sz w:val="24"/>
          <w:szCs w:val="24"/>
          <w:lang w:bidi="en-US"/>
        </w:rPr>
        <w:instrText xml:space="preserve">2.4 </w:instrText>
      </w:r>
      <w:r w:rsidRPr="0069604A">
        <w:rPr>
          <w:b/>
          <w:color w:val="0F243E" w:themeColor="text2" w:themeShade="80"/>
          <w:sz w:val="24"/>
          <w:szCs w:val="24"/>
          <w:lang w:bidi="en-US"/>
        </w:rPr>
        <w:instrText xml:space="preserve"> Gaps and challenges</w:instrText>
      </w:r>
      <w:bookmarkEnd w:id="33"/>
      <w:bookmarkEnd w:id="34"/>
      <w:bookmarkEnd w:id="35"/>
      <w:bookmarkEnd w:id="36"/>
      <w:bookmarkEnd w:id="37"/>
      <w:r w:rsidRPr="0069604A">
        <w:rPr>
          <w:color w:val="0F243E" w:themeColor="text2" w:themeShade="80"/>
        </w:rPr>
        <w:instrText xml:space="preserve"> " \f C \l "2" </w:instrText>
      </w:r>
      <w:r w:rsidRPr="0069604A">
        <w:rPr>
          <w:b/>
          <w:color w:val="0F243E" w:themeColor="text2" w:themeShade="80"/>
          <w:sz w:val="24"/>
          <w:szCs w:val="24"/>
          <w:lang w:bidi="en-US"/>
        </w:rPr>
        <w:fldChar w:fldCharType="end"/>
      </w:r>
    </w:p>
    <w:p w14:paraId="1F6DFED6" w14:textId="291C1826" w:rsidR="00DF406B" w:rsidRPr="0069604A" w:rsidRDefault="00D045C0" w:rsidP="00D9559C">
      <w:pPr>
        <w:pStyle w:val="ListParagraph"/>
        <w:numPr>
          <w:ilvl w:val="0"/>
          <w:numId w:val="3"/>
        </w:numPr>
        <w:spacing w:after="120"/>
        <w:ind w:right="-360"/>
        <w:contextualSpacing w:val="0"/>
        <w:jc w:val="both"/>
        <w:rPr>
          <w:rFonts w:ascii="Calibri" w:hAnsi="Calibri"/>
          <w:sz w:val="21"/>
          <w:szCs w:val="21"/>
        </w:rPr>
      </w:pPr>
      <w:r w:rsidRPr="0069604A">
        <w:rPr>
          <w:rFonts w:cstheme="minorHAnsi"/>
          <w:sz w:val="21"/>
          <w:szCs w:val="21"/>
        </w:rPr>
        <w:t xml:space="preserve">The CF builds-upon the extensive consultations about the 2030 Agenda for Sustainable Development and the SDGs in BiH that were initiated in April 2017 and further expanded in May 2018 and June 2019. These involved over 800 people, including representatives of </w:t>
      </w:r>
      <w:r w:rsidR="005017ED" w:rsidRPr="0069604A">
        <w:rPr>
          <w:rFonts w:cstheme="minorHAnsi"/>
          <w:sz w:val="21"/>
          <w:szCs w:val="21"/>
        </w:rPr>
        <w:t>the</w:t>
      </w:r>
      <w:r w:rsidRPr="0069604A">
        <w:rPr>
          <w:rFonts w:cstheme="minorHAnsi"/>
          <w:sz w:val="21"/>
          <w:szCs w:val="21"/>
        </w:rPr>
        <w:t xml:space="preserve"> authorities</w:t>
      </w:r>
      <w:r w:rsidR="005017ED" w:rsidRPr="0069604A">
        <w:rPr>
          <w:rFonts w:cstheme="minorHAnsi"/>
          <w:sz w:val="21"/>
          <w:szCs w:val="21"/>
        </w:rPr>
        <w:t xml:space="preserve"> in BiH</w:t>
      </w:r>
      <w:r w:rsidRPr="0069604A">
        <w:rPr>
          <w:rFonts w:cstheme="minorHAnsi"/>
          <w:sz w:val="21"/>
          <w:szCs w:val="21"/>
        </w:rPr>
        <w:t xml:space="preserve">, civil society groups, the private sector, and academia. The consultations catalyzed the preparation of the BiH Voluntary Review of progress towards SDG achievement and the draft </w:t>
      </w:r>
      <w:r w:rsidRPr="0069604A">
        <w:rPr>
          <w:rFonts w:cstheme="minorHAnsi"/>
          <w:sz w:val="21"/>
          <w:szCs w:val="21"/>
          <w:lang w:val="en"/>
        </w:rPr>
        <w:t>SDG Framework in BiH, and they informed the UN system’s Common Country Analysis, a main analytical resource for the CF. These reports highlight the major gaps and challenges for achieving the 2030 Agenda, to which the priorities and outcomes of the CF respond</w:t>
      </w:r>
      <w:r w:rsidRPr="0069604A">
        <w:rPr>
          <w:rStyle w:val="FootnoteReference"/>
          <w:rFonts w:cstheme="minorHAnsi"/>
          <w:sz w:val="21"/>
          <w:szCs w:val="21"/>
          <w:lang w:val="en"/>
        </w:rPr>
        <w:footnoteReference w:id="52"/>
      </w:r>
      <w:r w:rsidRPr="0069604A">
        <w:rPr>
          <w:rFonts w:cstheme="minorHAnsi"/>
          <w:sz w:val="21"/>
          <w:szCs w:val="21"/>
          <w:lang w:val="en"/>
        </w:rPr>
        <w:t xml:space="preserve">. These </w:t>
      </w:r>
      <w:r w:rsidR="00AB785B" w:rsidRPr="0069604A">
        <w:rPr>
          <w:rFonts w:cstheme="minorHAnsi"/>
          <w:sz w:val="21"/>
          <w:szCs w:val="21"/>
        </w:rPr>
        <w:t>concern</w:t>
      </w:r>
      <w:r w:rsidR="001348D9" w:rsidRPr="0069604A">
        <w:rPr>
          <w:rStyle w:val="FootnoteReference"/>
          <w:rFonts w:cstheme="minorHAnsi"/>
          <w:sz w:val="21"/>
          <w:szCs w:val="21"/>
        </w:rPr>
        <w:footnoteReference w:id="53"/>
      </w:r>
      <w:r w:rsidR="00AB785B" w:rsidRPr="0069604A">
        <w:rPr>
          <w:rFonts w:cstheme="minorHAnsi"/>
          <w:sz w:val="21"/>
          <w:szCs w:val="21"/>
        </w:rPr>
        <w:t>:</w:t>
      </w:r>
    </w:p>
    <w:p w14:paraId="59D62810" w14:textId="35D72E11" w:rsidR="00DF406B" w:rsidRPr="0069604A" w:rsidRDefault="00DF406B" w:rsidP="00D9559C">
      <w:pPr>
        <w:pStyle w:val="ListParagraph"/>
        <w:numPr>
          <w:ilvl w:val="0"/>
          <w:numId w:val="3"/>
        </w:numPr>
        <w:spacing w:after="120"/>
        <w:ind w:right="-360"/>
        <w:contextualSpacing w:val="0"/>
        <w:jc w:val="both"/>
        <w:rPr>
          <w:rFonts w:ascii="Calibri" w:hAnsi="Calibri"/>
          <w:sz w:val="21"/>
          <w:szCs w:val="21"/>
        </w:rPr>
      </w:pPr>
      <w:r w:rsidRPr="0069604A">
        <w:rPr>
          <w:b/>
          <w:bCs/>
          <w:sz w:val="21"/>
          <w:szCs w:val="21"/>
        </w:rPr>
        <w:t>Democratic governance</w:t>
      </w:r>
      <w:r w:rsidR="007C7153" w:rsidRPr="0069604A">
        <w:rPr>
          <w:b/>
          <w:bCs/>
          <w:sz w:val="21"/>
          <w:szCs w:val="21"/>
        </w:rPr>
        <w:t>, human rights</w:t>
      </w:r>
      <w:r w:rsidRPr="0069604A">
        <w:rPr>
          <w:b/>
          <w:bCs/>
          <w:sz w:val="21"/>
          <w:szCs w:val="21"/>
        </w:rPr>
        <w:t xml:space="preserve"> and peace: </w:t>
      </w:r>
      <w:r w:rsidRPr="0069604A">
        <w:rPr>
          <w:sz w:val="21"/>
          <w:szCs w:val="21"/>
        </w:rPr>
        <w:t xml:space="preserve">More coherent and transparent governance institutions are needed that are </w:t>
      </w:r>
      <w:r w:rsidR="007C7153" w:rsidRPr="0069604A">
        <w:rPr>
          <w:sz w:val="21"/>
          <w:szCs w:val="21"/>
        </w:rPr>
        <w:t xml:space="preserve">accountable and </w:t>
      </w:r>
      <w:r w:rsidRPr="0069604A">
        <w:rPr>
          <w:sz w:val="21"/>
          <w:szCs w:val="21"/>
        </w:rPr>
        <w:t xml:space="preserve">free from corruption. These are essential for greater transparency and more effective administration of the complex governance system in BiH. </w:t>
      </w:r>
      <w:r w:rsidR="007D6AFE" w:rsidRPr="0069604A">
        <w:rPr>
          <w:sz w:val="21"/>
          <w:szCs w:val="21"/>
        </w:rPr>
        <w:t>Ongoing activities aimed at strengthening the independence, integrity and professionalism of the judiciary</w:t>
      </w:r>
      <w:r w:rsidR="00295D56" w:rsidRPr="0069604A">
        <w:rPr>
          <w:sz w:val="21"/>
          <w:szCs w:val="21"/>
        </w:rPr>
        <w:t>,</w:t>
      </w:r>
      <w:r w:rsidR="007D6AFE" w:rsidRPr="0069604A">
        <w:rPr>
          <w:sz w:val="21"/>
          <w:szCs w:val="21"/>
        </w:rPr>
        <w:t xml:space="preserve"> police, prosecutors, and other formal institutions need to be complemented b</w:t>
      </w:r>
      <w:r w:rsidR="007D6AFE" w:rsidRPr="0069604A">
        <w:rPr>
          <w:sz w:val="21"/>
          <w:szCs w:val="21"/>
          <w:lang w:val="en-GB"/>
        </w:rPr>
        <w:t>y measures</w:t>
      </w:r>
      <w:r w:rsidR="007D6AFE" w:rsidRPr="0069604A">
        <w:rPr>
          <w:sz w:val="21"/>
          <w:szCs w:val="21"/>
        </w:rPr>
        <w:t xml:space="preserve"> that would strengthen peoples’ </w:t>
      </w:r>
      <w:r w:rsidR="00BC7D44" w:rsidRPr="0069604A">
        <w:rPr>
          <w:sz w:val="21"/>
          <w:szCs w:val="21"/>
        </w:rPr>
        <w:t>understanding</w:t>
      </w:r>
      <w:r w:rsidR="00786BB2" w:rsidRPr="0069604A">
        <w:rPr>
          <w:sz w:val="21"/>
          <w:szCs w:val="21"/>
        </w:rPr>
        <w:t xml:space="preserve"> of</w:t>
      </w:r>
      <w:r w:rsidR="00BC7D44" w:rsidRPr="0069604A">
        <w:rPr>
          <w:sz w:val="21"/>
          <w:szCs w:val="21"/>
        </w:rPr>
        <w:t xml:space="preserve">, </w:t>
      </w:r>
      <w:r w:rsidR="00786BB2" w:rsidRPr="0069604A">
        <w:rPr>
          <w:sz w:val="21"/>
          <w:szCs w:val="21"/>
        </w:rPr>
        <w:t xml:space="preserve">and </w:t>
      </w:r>
      <w:r w:rsidR="00BC7D44" w:rsidRPr="0069604A">
        <w:rPr>
          <w:sz w:val="21"/>
          <w:szCs w:val="21"/>
        </w:rPr>
        <w:t>participation</w:t>
      </w:r>
      <w:r w:rsidR="007D6AFE" w:rsidRPr="0069604A">
        <w:rPr>
          <w:sz w:val="21"/>
          <w:szCs w:val="21"/>
        </w:rPr>
        <w:t xml:space="preserve"> in</w:t>
      </w:r>
      <w:r w:rsidR="00786BB2" w:rsidRPr="0069604A">
        <w:rPr>
          <w:sz w:val="21"/>
          <w:szCs w:val="21"/>
        </w:rPr>
        <w:t>,</w:t>
      </w:r>
      <w:r w:rsidR="007D6AFE" w:rsidRPr="0069604A">
        <w:rPr>
          <w:sz w:val="21"/>
          <w:szCs w:val="21"/>
        </w:rPr>
        <w:t xml:space="preserve"> making and monitoring policies, laws, </w:t>
      </w:r>
      <w:r w:rsidR="00DF6A5A" w:rsidRPr="0069604A">
        <w:rPr>
          <w:sz w:val="21"/>
          <w:szCs w:val="21"/>
        </w:rPr>
        <w:t xml:space="preserve">and </w:t>
      </w:r>
      <w:r w:rsidR="007D6AFE" w:rsidRPr="0069604A">
        <w:rPr>
          <w:sz w:val="21"/>
          <w:szCs w:val="21"/>
        </w:rPr>
        <w:t>strategies.</w:t>
      </w:r>
      <w:r w:rsidR="00880290" w:rsidRPr="0069604A">
        <w:rPr>
          <w:sz w:val="21"/>
          <w:szCs w:val="21"/>
        </w:rPr>
        <w:t xml:space="preserve">  </w:t>
      </w:r>
      <w:r w:rsidR="00786BB2" w:rsidRPr="0069604A">
        <w:rPr>
          <w:sz w:val="21"/>
          <w:szCs w:val="21"/>
        </w:rPr>
        <w:t>R</w:t>
      </w:r>
      <w:r w:rsidR="007D6AFE" w:rsidRPr="0069604A">
        <w:rPr>
          <w:sz w:val="21"/>
          <w:szCs w:val="21"/>
        </w:rPr>
        <w:t>ecognition of equality and non</w:t>
      </w:r>
      <w:r w:rsidR="007D6AFE" w:rsidRPr="0069604A">
        <w:rPr>
          <w:sz w:val="21"/>
          <w:szCs w:val="21"/>
          <w:lang w:val="en-GB"/>
        </w:rPr>
        <w:t>-discrimination</w:t>
      </w:r>
      <w:r w:rsidR="007D6AFE" w:rsidRPr="0069604A">
        <w:rPr>
          <w:sz w:val="21"/>
          <w:szCs w:val="21"/>
        </w:rPr>
        <w:t xml:space="preserve"> in the legislative framework and ensuring the right of everyone to vote and to be elected, and to take part in the government, is </w:t>
      </w:r>
      <w:r w:rsidR="00786BB2" w:rsidRPr="0069604A">
        <w:rPr>
          <w:sz w:val="21"/>
          <w:szCs w:val="21"/>
        </w:rPr>
        <w:t xml:space="preserve">central to </w:t>
      </w:r>
      <w:r w:rsidR="007D6AFE" w:rsidRPr="0069604A">
        <w:rPr>
          <w:sz w:val="21"/>
          <w:szCs w:val="21"/>
        </w:rPr>
        <w:t>enhanc</w:t>
      </w:r>
      <w:r w:rsidR="00786BB2" w:rsidRPr="0069604A">
        <w:rPr>
          <w:sz w:val="21"/>
          <w:szCs w:val="21"/>
        </w:rPr>
        <w:t>e</w:t>
      </w:r>
      <w:r w:rsidR="007D6AFE" w:rsidRPr="0069604A">
        <w:rPr>
          <w:sz w:val="21"/>
          <w:szCs w:val="21"/>
        </w:rPr>
        <w:t xml:space="preserve"> the perceived fairness and legitimacy of laws and</w:t>
      </w:r>
      <w:r w:rsidR="00695BDC" w:rsidRPr="0069604A">
        <w:rPr>
          <w:sz w:val="21"/>
          <w:szCs w:val="21"/>
        </w:rPr>
        <w:t xml:space="preserve"> to make </w:t>
      </w:r>
      <w:r w:rsidR="00786BB2" w:rsidRPr="0069604A">
        <w:rPr>
          <w:sz w:val="21"/>
          <w:szCs w:val="21"/>
        </w:rPr>
        <w:t xml:space="preserve">strengthen </w:t>
      </w:r>
      <w:r w:rsidR="00367F32" w:rsidRPr="0069604A">
        <w:rPr>
          <w:sz w:val="21"/>
          <w:szCs w:val="21"/>
        </w:rPr>
        <w:t xml:space="preserve">social </w:t>
      </w:r>
      <w:r w:rsidR="0042181F" w:rsidRPr="0069604A">
        <w:rPr>
          <w:sz w:val="21"/>
          <w:szCs w:val="21"/>
        </w:rPr>
        <w:t>cohesion</w:t>
      </w:r>
      <w:r w:rsidR="00786BB2" w:rsidRPr="0069604A">
        <w:rPr>
          <w:sz w:val="21"/>
          <w:szCs w:val="21"/>
        </w:rPr>
        <w:t>.</w:t>
      </w:r>
      <w:r w:rsidR="0042181F" w:rsidRPr="0069604A">
        <w:rPr>
          <w:sz w:val="21"/>
          <w:szCs w:val="21"/>
        </w:rPr>
        <w:t xml:space="preserve"> </w:t>
      </w:r>
      <w:r w:rsidR="007D6AFE" w:rsidRPr="0069604A">
        <w:rPr>
          <w:sz w:val="21"/>
          <w:szCs w:val="21"/>
        </w:rPr>
        <w:t xml:space="preserve"> </w:t>
      </w:r>
      <w:r w:rsidRPr="0069604A">
        <w:rPr>
          <w:sz w:val="21"/>
          <w:szCs w:val="21"/>
        </w:rPr>
        <w:t>Country-wide, accession to the EU is seen as providing the momentum to strengthen effective institutions and foster better governance, peace and the rule of law.</w:t>
      </w:r>
    </w:p>
    <w:p w14:paraId="07CBE33B" w14:textId="6339CA3D" w:rsidR="00DF406B" w:rsidRPr="003167BE" w:rsidRDefault="00DF406B" w:rsidP="00D9559C">
      <w:pPr>
        <w:pStyle w:val="ListParagraph"/>
        <w:numPr>
          <w:ilvl w:val="0"/>
          <w:numId w:val="3"/>
        </w:numPr>
        <w:spacing w:after="120"/>
        <w:ind w:right="-360"/>
        <w:contextualSpacing w:val="0"/>
        <w:jc w:val="both"/>
        <w:rPr>
          <w:sz w:val="21"/>
          <w:szCs w:val="21"/>
        </w:rPr>
      </w:pPr>
      <w:r w:rsidRPr="0069604A">
        <w:rPr>
          <w:b/>
          <w:bCs/>
          <w:sz w:val="21"/>
          <w:szCs w:val="21"/>
        </w:rPr>
        <w:t xml:space="preserve">Education: </w:t>
      </w:r>
      <w:r w:rsidRPr="0069604A">
        <w:rPr>
          <w:sz w:val="21"/>
          <w:szCs w:val="21"/>
        </w:rPr>
        <w:t xml:space="preserve">Improved access to and quality of education </w:t>
      </w:r>
      <w:r w:rsidR="00255ADE" w:rsidRPr="0069604A">
        <w:rPr>
          <w:sz w:val="21"/>
          <w:szCs w:val="21"/>
        </w:rPr>
        <w:t xml:space="preserve">is seen as critical to future, sustainable development. Major concerns include: ongoing </w:t>
      </w:r>
      <w:r w:rsidR="00DE4B86" w:rsidRPr="0069604A">
        <w:rPr>
          <w:sz w:val="21"/>
          <w:szCs w:val="21"/>
        </w:rPr>
        <w:t>divisive</w:t>
      </w:r>
      <w:r w:rsidR="004808A2" w:rsidRPr="0069604A">
        <w:rPr>
          <w:sz w:val="21"/>
          <w:szCs w:val="21"/>
        </w:rPr>
        <w:t xml:space="preserve"> </w:t>
      </w:r>
      <w:r w:rsidR="00113BDC" w:rsidRPr="0069604A">
        <w:rPr>
          <w:sz w:val="21"/>
          <w:szCs w:val="21"/>
        </w:rPr>
        <w:t>approaches</w:t>
      </w:r>
      <w:r w:rsidR="00255ADE" w:rsidRPr="0069604A">
        <w:rPr>
          <w:sz w:val="21"/>
          <w:szCs w:val="21"/>
        </w:rPr>
        <w:t xml:space="preserve"> in education systems</w:t>
      </w:r>
      <w:r w:rsidR="00D640EC" w:rsidRPr="0069604A">
        <w:rPr>
          <w:sz w:val="21"/>
          <w:szCs w:val="21"/>
        </w:rPr>
        <w:t xml:space="preserve"> in some parts of the country</w:t>
      </w:r>
      <w:r w:rsidR="001E45D2" w:rsidRPr="0069604A">
        <w:rPr>
          <w:sz w:val="21"/>
          <w:szCs w:val="21"/>
        </w:rPr>
        <w:t xml:space="preserve"> including access to education for marginalized groups</w:t>
      </w:r>
      <w:r w:rsidRPr="0069604A">
        <w:rPr>
          <w:sz w:val="21"/>
          <w:szCs w:val="21"/>
        </w:rPr>
        <w:t xml:space="preserve">, </w:t>
      </w:r>
      <w:r w:rsidR="009268B2" w:rsidRPr="0069604A">
        <w:rPr>
          <w:sz w:val="21"/>
          <w:szCs w:val="21"/>
        </w:rPr>
        <w:t>insufficient</w:t>
      </w:r>
      <w:r w:rsidR="00255ADE" w:rsidRPr="0069604A">
        <w:rPr>
          <w:sz w:val="21"/>
          <w:szCs w:val="21"/>
        </w:rPr>
        <w:t xml:space="preserve"> quality, affordable</w:t>
      </w:r>
      <w:r w:rsidR="00255ADE" w:rsidRPr="003167BE">
        <w:rPr>
          <w:sz w:val="21"/>
          <w:szCs w:val="21"/>
        </w:rPr>
        <w:t xml:space="preserve"> e</w:t>
      </w:r>
      <w:r w:rsidRPr="003167BE">
        <w:rPr>
          <w:sz w:val="21"/>
          <w:szCs w:val="21"/>
        </w:rPr>
        <w:t>arly childhood education</w:t>
      </w:r>
      <w:r w:rsidR="00255ADE" w:rsidRPr="003167BE">
        <w:rPr>
          <w:sz w:val="21"/>
          <w:szCs w:val="21"/>
        </w:rPr>
        <w:t xml:space="preserve">, enhanced quality of learning and student learning performance, </w:t>
      </w:r>
      <w:r w:rsidR="001A480C">
        <w:rPr>
          <w:sz w:val="21"/>
          <w:szCs w:val="21"/>
        </w:rPr>
        <w:t>insufficient</w:t>
      </w:r>
      <w:r w:rsidR="001A480C" w:rsidRPr="003167BE">
        <w:rPr>
          <w:sz w:val="21"/>
          <w:szCs w:val="21"/>
        </w:rPr>
        <w:t xml:space="preserve"> </w:t>
      </w:r>
      <w:r w:rsidRPr="003167BE">
        <w:rPr>
          <w:sz w:val="21"/>
          <w:szCs w:val="21"/>
        </w:rPr>
        <w:t xml:space="preserve">opportunities for vocational education and skills development, </w:t>
      </w:r>
      <w:r w:rsidR="00255ADE" w:rsidRPr="003167BE">
        <w:rPr>
          <w:sz w:val="21"/>
          <w:szCs w:val="21"/>
        </w:rPr>
        <w:t xml:space="preserve">and </w:t>
      </w:r>
      <w:r w:rsidR="00C45CD1">
        <w:rPr>
          <w:sz w:val="21"/>
          <w:szCs w:val="21"/>
        </w:rPr>
        <w:t>limited</w:t>
      </w:r>
      <w:r w:rsidR="00C45CD1" w:rsidRPr="003167BE">
        <w:rPr>
          <w:sz w:val="21"/>
          <w:szCs w:val="21"/>
        </w:rPr>
        <w:t xml:space="preserve"> </w:t>
      </w:r>
      <w:r w:rsidRPr="003167BE">
        <w:rPr>
          <w:sz w:val="21"/>
          <w:szCs w:val="21"/>
        </w:rPr>
        <w:t xml:space="preserve">knowledge </w:t>
      </w:r>
      <w:r w:rsidR="00255ADE" w:rsidRPr="003167BE">
        <w:rPr>
          <w:sz w:val="21"/>
          <w:szCs w:val="21"/>
        </w:rPr>
        <w:t xml:space="preserve">about </w:t>
      </w:r>
      <w:r w:rsidRPr="003167BE">
        <w:rPr>
          <w:sz w:val="21"/>
          <w:szCs w:val="21"/>
        </w:rPr>
        <w:t xml:space="preserve">sustainable development and natural resources management. </w:t>
      </w:r>
      <w:r w:rsidR="00831D96" w:rsidRPr="003167BE">
        <w:rPr>
          <w:sz w:val="21"/>
          <w:szCs w:val="21"/>
        </w:rPr>
        <w:t>There are no mechanisms to systematically monitor and measure the effectiveness of education spending and learning outcomes to support the policy-making process</w:t>
      </w:r>
    </w:p>
    <w:p w14:paraId="6C12F1C6" w14:textId="6A02BB38" w:rsidR="000E3246" w:rsidRPr="0069604A" w:rsidRDefault="000E3246" w:rsidP="00D9559C">
      <w:pPr>
        <w:pStyle w:val="ListParagraph"/>
        <w:numPr>
          <w:ilvl w:val="0"/>
          <w:numId w:val="3"/>
        </w:numPr>
        <w:spacing w:after="120"/>
        <w:ind w:right="-360" w:hanging="502"/>
        <w:contextualSpacing w:val="0"/>
        <w:jc w:val="both"/>
        <w:rPr>
          <w:rFonts w:eastAsia="Calibri Light"/>
          <w:sz w:val="21"/>
          <w:szCs w:val="21"/>
        </w:rPr>
      </w:pPr>
      <w:r w:rsidRPr="003167BE">
        <w:rPr>
          <w:rFonts w:cstheme="minorHAnsi"/>
          <w:b/>
          <w:sz w:val="21"/>
          <w:szCs w:val="21"/>
          <w:lang w:val="en-GB"/>
        </w:rPr>
        <w:t>Health and wellness</w:t>
      </w:r>
      <w:r w:rsidRPr="003167BE">
        <w:rPr>
          <w:rFonts w:cstheme="minorHAnsi"/>
          <w:sz w:val="21"/>
          <w:szCs w:val="21"/>
          <w:lang w:val="en-GB"/>
        </w:rPr>
        <w:t>: Accelerated and more inclusive economic growth will depend on a healthy, fit population</w:t>
      </w:r>
      <w:r w:rsidRPr="00410BDD">
        <w:rPr>
          <w:rStyle w:val="FootnoteReference"/>
          <w:rFonts w:cstheme="minorHAnsi"/>
          <w:sz w:val="21"/>
          <w:szCs w:val="21"/>
          <w:lang w:val="en-GB"/>
        </w:rPr>
        <w:footnoteReference w:id="54"/>
      </w:r>
      <w:r w:rsidRPr="00410BDD">
        <w:rPr>
          <w:rFonts w:cstheme="minorHAnsi"/>
          <w:sz w:val="21"/>
          <w:szCs w:val="21"/>
          <w:lang w:val="en-GB"/>
        </w:rPr>
        <w:t>.</w:t>
      </w:r>
      <w:r w:rsidRPr="00410BDD">
        <w:rPr>
          <w:rFonts w:cstheme="minorHAnsi"/>
          <w:sz w:val="21"/>
          <w:szCs w:val="21"/>
        </w:rPr>
        <w:t xml:space="preserve"> </w:t>
      </w:r>
      <w:r w:rsidR="00786BB2">
        <w:rPr>
          <w:rFonts w:cstheme="minorHAnsi"/>
          <w:sz w:val="21"/>
          <w:szCs w:val="21"/>
        </w:rPr>
        <w:t>The l</w:t>
      </w:r>
      <w:r w:rsidR="00410BDD" w:rsidRPr="00410BDD">
        <w:rPr>
          <w:sz w:val="21"/>
          <w:szCs w:val="21"/>
        </w:rPr>
        <w:t xml:space="preserve">onger-term consequences of </w:t>
      </w:r>
      <w:r w:rsidR="00786BB2">
        <w:rPr>
          <w:sz w:val="21"/>
          <w:szCs w:val="21"/>
        </w:rPr>
        <w:t xml:space="preserve">the </w:t>
      </w:r>
      <w:r w:rsidR="00410BDD" w:rsidRPr="00410BDD">
        <w:rPr>
          <w:sz w:val="21"/>
          <w:szCs w:val="21"/>
        </w:rPr>
        <w:t xml:space="preserve">COVID-19 pandemic will significantly impact </w:t>
      </w:r>
      <w:r w:rsidR="00786BB2">
        <w:rPr>
          <w:sz w:val="21"/>
          <w:szCs w:val="21"/>
        </w:rPr>
        <w:t xml:space="preserve">the </w:t>
      </w:r>
      <w:r w:rsidR="00410BDD" w:rsidRPr="00410BDD">
        <w:rPr>
          <w:sz w:val="21"/>
          <w:szCs w:val="21"/>
        </w:rPr>
        <w:t>overall health of population in BIH, in all aspects of physical, mental and social well-being. These consequences are expected to be most severe in population groups wh</w:t>
      </w:r>
      <w:r w:rsidR="00786BB2">
        <w:rPr>
          <w:sz w:val="21"/>
          <w:szCs w:val="21"/>
        </w:rPr>
        <w:t>o</w:t>
      </w:r>
      <w:r w:rsidR="00410BDD" w:rsidRPr="00410BDD">
        <w:rPr>
          <w:sz w:val="21"/>
          <w:szCs w:val="21"/>
        </w:rPr>
        <w:t xml:space="preserve"> </w:t>
      </w:r>
      <w:r w:rsidR="00786BB2">
        <w:rPr>
          <w:sz w:val="21"/>
          <w:szCs w:val="21"/>
        </w:rPr>
        <w:t xml:space="preserve">have underlying health challenges (such as the elderly) and who </w:t>
      </w:r>
      <w:r w:rsidR="00410BDD" w:rsidRPr="00410BDD">
        <w:rPr>
          <w:sz w:val="21"/>
          <w:szCs w:val="21"/>
        </w:rPr>
        <w:t>are mo</w:t>
      </w:r>
      <w:r w:rsidR="00786BB2">
        <w:rPr>
          <w:sz w:val="21"/>
          <w:szCs w:val="21"/>
        </w:rPr>
        <w:t>re</w:t>
      </w:r>
      <w:r w:rsidR="00410BDD" w:rsidRPr="00410BDD">
        <w:rPr>
          <w:sz w:val="21"/>
          <w:szCs w:val="21"/>
        </w:rPr>
        <w:t xml:space="preserve"> vulnerable to interruption of educational processes</w:t>
      </w:r>
      <w:r w:rsidR="00786BB2">
        <w:rPr>
          <w:sz w:val="21"/>
          <w:szCs w:val="21"/>
        </w:rPr>
        <w:t xml:space="preserve"> and</w:t>
      </w:r>
      <w:r w:rsidR="00410BDD" w:rsidRPr="00410BDD">
        <w:rPr>
          <w:sz w:val="21"/>
          <w:szCs w:val="21"/>
        </w:rPr>
        <w:t xml:space="preserve"> job and income losses.</w:t>
      </w:r>
      <w:r w:rsidR="00410BDD">
        <w:t xml:space="preserve">  </w:t>
      </w:r>
      <w:r w:rsidRPr="003167BE">
        <w:rPr>
          <w:sz w:val="21"/>
          <w:szCs w:val="21"/>
        </w:rPr>
        <w:t>Universal immunization coverage of children 18-29 months old is 61%, considerably below the target of 95%</w:t>
      </w:r>
      <w:r w:rsidRPr="003167BE">
        <w:rPr>
          <w:rStyle w:val="FootnoteReference"/>
          <w:rFonts w:cstheme="minorHAnsi"/>
          <w:sz w:val="21"/>
          <w:szCs w:val="21"/>
        </w:rPr>
        <w:footnoteReference w:id="55"/>
      </w:r>
      <w:r w:rsidRPr="003167BE">
        <w:rPr>
          <w:rFonts w:cstheme="minorHAnsi"/>
          <w:sz w:val="21"/>
          <w:szCs w:val="21"/>
        </w:rPr>
        <w:t xml:space="preserve">. </w:t>
      </w:r>
      <w:r w:rsidRPr="003167BE">
        <w:rPr>
          <w:color w:val="000000" w:themeColor="text1"/>
          <w:sz w:val="21"/>
          <w:szCs w:val="21"/>
        </w:rPr>
        <w:t xml:space="preserve">Sexual and reproductive health services are of variable quality and not provided equally across BiH. </w:t>
      </w:r>
      <w:r w:rsidR="003145E9" w:rsidRPr="003167BE">
        <w:rPr>
          <w:color w:val="000000" w:themeColor="text1"/>
          <w:sz w:val="21"/>
          <w:szCs w:val="21"/>
        </w:rPr>
        <w:t>Non-communicable diseases (</w:t>
      </w:r>
      <w:r w:rsidRPr="003167BE">
        <w:rPr>
          <w:rFonts w:ascii="Calibri" w:hAnsi="Calibri" w:cs="TT22Dt00"/>
          <w:sz w:val="21"/>
          <w:szCs w:val="21"/>
          <w:lang w:eastAsia="en-CA"/>
        </w:rPr>
        <w:t>NCDs</w:t>
      </w:r>
      <w:r w:rsidR="003145E9" w:rsidRPr="003167BE">
        <w:rPr>
          <w:rFonts w:ascii="Calibri" w:hAnsi="Calibri" w:cs="TT22Dt00"/>
          <w:sz w:val="21"/>
          <w:szCs w:val="21"/>
          <w:lang w:eastAsia="en-CA"/>
        </w:rPr>
        <w:t>)</w:t>
      </w:r>
      <w:r w:rsidRPr="003167BE">
        <w:rPr>
          <w:rFonts w:ascii="Calibri" w:hAnsi="Calibri" w:cs="TT22Dt00"/>
          <w:sz w:val="21"/>
          <w:szCs w:val="21"/>
          <w:lang w:eastAsia="en-CA"/>
        </w:rPr>
        <w:t xml:space="preserve"> including </w:t>
      </w:r>
      <w:r w:rsidRPr="003167BE">
        <w:rPr>
          <w:rFonts w:ascii="Calibri" w:hAnsi="Calibri" w:cs="TT1BFt00"/>
          <w:sz w:val="21"/>
          <w:szCs w:val="21"/>
          <w:lang w:eastAsia="en-CA"/>
        </w:rPr>
        <w:t xml:space="preserve">cardiovascular diseases, diabetes, </w:t>
      </w:r>
      <w:r w:rsidRPr="003167BE">
        <w:rPr>
          <w:rFonts w:ascii="Calibri" w:hAnsi="Calibri" w:cs="TT22Dt00"/>
          <w:sz w:val="21"/>
          <w:szCs w:val="21"/>
          <w:lang w:eastAsia="en-CA"/>
        </w:rPr>
        <w:t xml:space="preserve">chronic respiratory diseases, </w:t>
      </w:r>
      <w:r w:rsidRPr="003167BE">
        <w:rPr>
          <w:rFonts w:ascii="Calibri" w:hAnsi="Calibri" w:cs="TT1BFt00"/>
          <w:sz w:val="21"/>
          <w:szCs w:val="21"/>
          <w:lang w:eastAsia="en-CA"/>
        </w:rPr>
        <w:t>cancer, and injuries, are rising dramatically, accounting for 94% of all deaths, country-wide</w:t>
      </w:r>
      <w:r w:rsidRPr="003167BE">
        <w:rPr>
          <w:rStyle w:val="FootnoteReference"/>
          <w:rFonts w:ascii="Calibri" w:hAnsi="Calibri" w:cs="TT1BFt00"/>
          <w:sz w:val="21"/>
          <w:szCs w:val="21"/>
          <w:lang w:eastAsia="en-CA"/>
        </w:rPr>
        <w:footnoteReference w:id="56"/>
      </w:r>
      <w:r w:rsidRPr="003167BE">
        <w:rPr>
          <w:rFonts w:cs="Arial"/>
          <w:sz w:val="21"/>
          <w:szCs w:val="21"/>
          <w:lang w:val="en"/>
        </w:rPr>
        <w:t xml:space="preserve">. Rates of </w:t>
      </w:r>
      <w:r w:rsidRPr="0069604A">
        <w:rPr>
          <w:rFonts w:ascii="Calibri" w:hAnsi="Calibri"/>
          <w:sz w:val="21"/>
          <w:szCs w:val="21"/>
        </w:rPr>
        <w:t xml:space="preserve">overweight and obesity are growing with about 1 in 4 adults classified as obese and the need to </w:t>
      </w:r>
      <w:r w:rsidRPr="0069604A">
        <w:rPr>
          <w:rFonts w:eastAsia="Simplified" w:cstheme="minorHAnsi"/>
          <w:color w:val="000000"/>
          <w:sz w:val="21"/>
          <w:szCs w:val="21"/>
        </w:rPr>
        <w:t>improve knowledge and awareness about healthy eating and active lifestyles.</w:t>
      </w:r>
    </w:p>
    <w:p w14:paraId="2DD22CD8" w14:textId="60BF65A7" w:rsidR="000E3246" w:rsidRPr="0069604A" w:rsidRDefault="0072604D" w:rsidP="00D9559C">
      <w:pPr>
        <w:pStyle w:val="ListParagraph"/>
        <w:numPr>
          <w:ilvl w:val="0"/>
          <w:numId w:val="3"/>
        </w:numPr>
        <w:spacing w:after="120"/>
        <w:ind w:right="-360" w:hanging="502"/>
        <w:contextualSpacing w:val="0"/>
        <w:jc w:val="both"/>
        <w:rPr>
          <w:rFonts w:eastAsia="Calibri Light"/>
          <w:sz w:val="21"/>
          <w:szCs w:val="21"/>
        </w:rPr>
      </w:pPr>
      <w:r w:rsidRPr="0069604A">
        <w:rPr>
          <w:sz w:val="21"/>
          <w:szCs w:val="21"/>
        </w:rPr>
        <w:t>Harmonization</w:t>
      </w:r>
      <w:r w:rsidR="00DF3936" w:rsidRPr="0069604A">
        <w:rPr>
          <w:sz w:val="21"/>
          <w:szCs w:val="21"/>
        </w:rPr>
        <w:t xml:space="preserve"> of policies and services</w:t>
      </w:r>
      <w:r w:rsidRPr="0069604A">
        <w:rPr>
          <w:sz w:val="21"/>
          <w:szCs w:val="21"/>
        </w:rPr>
        <w:t xml:space="preserve"> </w:t>
      </w:r>
      <w:r w:rsidR="00505438" w:rsidRPr="0069604A">
        <w:rPr>
          <w:sz w:val="21"/>
          <w:szCs w:val="21"/>
        </w:rPr>
        <w:t xml:space="preserve">between the </w:t>
      </w:r>
      <w:r w:rsidR="00DF3936" w:rsidRPr="0069604A">
        <w:rPr>
          <w:sz w:val="21"/>
          <w:szCs w:val="21"/>
        </w:rPr>
        <w:t xml:space="preserve">health systems in BiH remains a challenge in BiH </w:t>
      </w:r>
      <w:r w:rsidR="00B649E4" w:rsidRPr="0069604A">
        <w:rPr>
          <w:sz w:val="21"/>
          <w:szCs w:val="21"/>
        </w:rPr>
        <w:t>in terms of streamlining service</w:t>
      </w:r>
      <w:r w:rsidR="00786BB2" w:rsidRPr="0069604A">
        <w:rPr>
          <w:sz w:val="21"/>
          <w:szCs w:val="21"/>
        </w:rPr>
        <w:t>s,</w:t>
      </w:r>
      <w:r w:rsidR="00A64F88" w:rsidRPr="0069604A">
        <w:rPr>
          <w:sz w:val="21"/>
          <w:szCs w:val="21"/>
        </w:rPr>
        <w:t xml:space="preserve"> </w:t>
      </w:r>
      <w:r w:rsidR="00786BB2" w:rsidRPr="0069604A">
        <w:rPr>
          <w:sz w:val="21"/>
          <w:szCs w:val="21"/>
        </w:rPr>
        <w:t xml:space="preserve">and improving access and quality </w:t>
      </w:r>
      <w:r w:rsidR="00AA7E39" w:rsidRPr="0069604A">
        <w:rPr>
          <w:sz w:val="21"/>
          <w:szCs w:val="21"/>
        </w:rPr>
        <w:t>throughout the country</w:t>
      </w:r>
      <w:r w:rsidR="0029290A" w:rsidRPr="0069604A">
        <w:rPr>
          <w:sz w:val="21"/>
          <w:szCs w:val="21"/>
        </w:rPr>
        <w:t>.</w:t>
      </w:r>
      <w:r w:rsidR="000E3246" w:rsidRPr="0069604A">
        <w:rPr>
          <w:rStyle w:val="FootnoteReference"/>
          <w:rFonts w:cstheme="minorBidi"/>
          <w:sz w:val="21"/>
          <w:szCs w:val="21"/>
        </w:rPr>
        <w:footnoteReference w:id="57"/>
      </w:r>
      <w:r w:rsidR="001C6374" w:rsidRPr="0069604A">
        <w:rPr>
          <w:sz w:val="21"/>
          <w:szCs w:val="21"/>
        </w:rPr>
        <w:t xml:space="preserve">  </w:t>
      </w:r>
      <w:r w:rsidR="000E3246" w:rsidRPr="0069604A">
        <w:rPr>
          <w:sz w:val="21"/>
          <w:szCs w:val="21"/>
        </w:rPr>
        <w:t xml:space="preserve">Another </w:t>
      </w:r>
      <w:r w:rsidR="000E3246" w:rsidRPr="0069604A">
        <w:rPr>
          <w:rFonts w:cstheme="minorHAnsi"/>
          <w:sz w:val="21"/>
          <w:szCs w:val="21"/>
        </w:rPr>
        <w:t xml:space="preserve">challenge is the pronounced territorial, gender, and age imbalance of health workers in BiH, and their ongoing out-migration to better paying countries with better working conditions. </w:t>
      </w:r>
      <w:r w:rsidR="000E3246" w:rsidRPr="0069604A">
        <w:rPr>
          <w:sz w:val="21"/>
          <w:szCs w:val="21"/>
        </w:rPr>
        <w:t xml:space="preserve">Current health expenditure was </w:t>
      </w:r>
      <w:r w:rsidR="000E3246" w:rsidRPr="0069604A">
        <w:rPr>
          <w:rFonts w:cstheme="minorHAnsi"/>
          <w:sz w:val="21"/>
          <w:szCs w:val="21"/>
        </w:rPr>
        <w:t xml:space="preserve">9.2% of GDP in 2016, </w:t>
      </w:r>
      <w:r w:rsidR="000E3246" w:rsidRPr="0069604A">
        <w:rPr>
          <w:sz w:val="21"/>
          <w:szCs w:val="21"/>
        </w:rPr>
        <w:t>relatively steady since 2006</w:t>
      </w:r>
      <w:r w:rsidR="000E3246" w:rsidRPr="0069604A">
        <w:rPr>
          <w:rStyle w:val="FootnoteReference"/>
          <w:rFonts w:cstheme="minorHAnsi"/>
          <w:sz w:val="21"/>
          <w:szCs w:val="21"/>
        </w:rPr>
        <w:footnoteReference w:id="58"/>
      </w:r>
      <w:r w:rsidR="000E3246" w:rsidRPr="0069604A">
        <w:rPr>
          <w:sz w:val="21"/>
          <w:szCs w:val="21"/>
        </w:rPr>
        <w:t>. However</w:t>
      </w:r>
      <w:r w:rsidR="007130D1" w:rsidRPr="0069604A">
        <w:rPr>
          <w:sz w:val="21"/>
          <w:szCs w:val="21"/>
        </w:rPr>
        <w:t xml:space="preserve">, </w:t>
      </w:r>
      <w:r w:rsidR="009A7C3E" w:rsidRPr="0069604A">
        <w:rPr>
          <w:sz w:val="21"/>
          <w:szCs w:val="21"/>
        </w:rPr>
        <w:t xml:space="preserve">the quality of the health services </w:t>
      </w:r>
      <w:r w:rsidR="003D08BE" w:rsidRPr="0069604A">
        <w:rPr>
          <w:sz w:val="21"/>
          <w:szCs w:val="21"/>
        </w:rPr>
        <w:t xml:space="preserve">remains </w:t>
      </w:r>
      <w:r w:rsidR="00716CAC" w:rsidRPr="0069604A">
        <w:rPr>
          <w:sz w:val="21"/>
          <w:szCs w:val="21"/>
        </w:rPr>
        <w:t>in</w:t>
      </w:r>
      <w:r w:rsidR="00923080" w:rsidRPr="0069604A">
        <w:rPr>
          <w:sz w:val="21"/>
          <w:szCs w:val="21"/>
        </w:rPr>
        <w:t>adequate</w:t>
      </w:r>
      <w:r w:rsidR="007F3C7F" w:rsidRPr="0069604A">
        <w:rPr>
          <w:sz w:val="21"/>
          <w:szCs w:val="21"/>
        </w:rPr>
        <w:t xml:space="preserve"> as noted in the Reform Agenda</w:t>
      </w:r>
      <w:r w:rsidR="00786BB2" w:rsidRPr="0069604A">
        <w:rPr>
          <w:sz w:val="21"/>
          <w:szCs w:val="21"/>
        </w:rPr>
        <w:t>,</w:t>
      </w:r>
      <w:r w:rsidR="00716CAC" w:rsidRPr="0069604A">
        <w:rPr>
          <w:sz w:val="21"/>
          <w:szCs w:val="21"/>
        </w:rPr>
        <w:t xml:space="preserve"> </w:t>
      </w:r>
      <w:r w:rsidR="00565FDD" w:rsidRPr="0069604A">
        <w:rPr>
          <w:sz w:val="21"/>
          <w:szCs w:val="21"/>
        </w:rPr>
        <w:t>with the mandatory h</w:t>
      </w:r>
      <w:r w:rsidR="00264C37" w:rsidRPr="0069604A">
        <w:rPr>
          <w:sz w:val="21"/>
          <w:szCs w:val="21"/>
        </w:rPr>
        <w:t>ealth insurance coverage yet to be fully achieved</w:t>
      </w:r>
      <w:r w:rsidR="005A7791" w:rsidRPr="0069604A">
        <w:rPr>
          <w:sz w:val="21"/>
          <w:szCs w:val="21"/>
        </w:rPr>
        <w:t xml:space="preserve"> in all </w:t>
      </w:r>
      <w:r w:rsidR="00786BB2" w:rsidRPr="0069604A">
        <w:rPr>
          <w:sz w:val="21"/>
          <w:szCs w:val="21"/>
        </w:rPr>
        <w:t>h</w:t>
      </w:r>
      <w:r w:rsidR="005A7791" w:rsidRPr="0069604A">
        <w:rPr>
          <w:sz w:val="21"/>
          <w:szCs w:val="21"/>
        </w:rPr>
        <w:t>ealth systems in BiH.</w:t>
      </w:r>
      <w:r w:rsidR="000C79B7" w:rsidRPr="0069604A">
        <w:rPr>
          <w:sz w:val="21"/>
          <w:szCs w:val="21"/>
        </w:rPr>
        <w:t xml:space="preserve"> </w:t>
      </w:r>
      <w:r w:rsidR="009E1C20" w:rsidRPr="0069604A">
        <w:rPr>
          <w:sz w:val="21"/>
          <w:szCs w:val="21"/>
        </w:rPr>
        <w:t xml:space="preserve"> </w:t>
      </w:r>
      <w:r w:rsidR="00786BB2" w:rsidRPr="0069604A">
        <w:rPr>
          <w:sz w:val="21"/>
          <w:szCs w:val="21"/>
        </w:rPr>
        <w:t>The o</w:t>
      </w:r>
      <w:r w:rsidR="009E1C20" w:rsidRPr="0069604A">
        <w:t xml:space="preserve">ngoing </w:t>
      </w:r>
      <w:r w:rsidR="009E1C20" w:rsidRPr="0069604A">
        <w:rPr>
          <w:sz w:val="21"/>
          <w:szCs w:val="21"/>
        </w:rPr>
        <w:t xml:space="preserve">COVID-19 </w:t>
      </w:r>
      <w:r w:rsidR="00786BB2" w:rsidRPr="0069604A">
        <w:rPr>
          <w:sz w:val="21"/>
          <w:szCs w:val="21"/>
        </w:rPr>
        <w:t xml:space="preserve">pandemic is placing </w:t>
      </w:r>
      <w:r w:rsidR="009E1C20" w:rsidRPr="0069604A">
        <w:t>additional burden</w:t>
      </w:r>
      <w:r w:rsidR="00786BB2" w:rsidRPr="0069604A">
        <w:t>s</w:t>
      </w:r>
      <w:r w:rsidR="009E1C20" w:rsidRPr="0069604A">
        <w:t xml:space="preserve"> on health systems in BIH, both on </w:t>
      </w:r>
      <w:r w:rsidR="00786BB2" w:rsidRPr="0069604A">
        <w:t xml:space="preserve">service delivery </w:t>
      </w:r>
      <w:r w:rsidR="009E1C20" w:rsidRPr="0069604A">
        <w:t xml:space="preserve">(health financing and human and material resources) and on demand for services (psychosocial support, </w:t>
      </w:r>
      <w:r w:rsidR="005B7263" w:rsidRPr="0069604A">
        <w:t>immunization</w:t>
      </w:r>
      <w:r w:rsidR="009E1C20" w:rsidRPr="0069604A">
        <w:t xml:space="preserve">, increased health seeking behaviour and consumption of medicines and medical products). </w:t>
      </w:r>
      <w:r w:rsidR="00786BB2" w:rsidRPr="0069604A">
        <w:t xml:space="preserve">Future health systems </w:t>
      </w:r>
      <w:r w:rsidR="009E1C20" w:rsidRPr="0069604A">
        <w:t>reform in B</w:t>
      </w:r>
      <w:r w:rsidR="005F70BB" w:rsidRPr="0069604A">
        <w:t>i</w:t>
      </w:r>
      <w:r w:rsidR="009E1C20" w:rsidRPr="0069604A">
        <w:t>H</w:t>
      </w:r>
      <w:r w:rsidR="00786BB2" w:rsidRPr="0069604A">
        <w:t xml:space="preserve"> must focus </w:t>
      </w:r>
      <w:r w:rsidR="00B23B07" w:rsidRPr="0069604A">
        <w:t>on</w:t>
      </w:r>
      <w:r w:rsidR="009E1C20" w:rsidRPr="0069604A">
        <w:t xml:space="preserve"> </w:t>
      </w:r>
      <w:r w:rsidR="009E1C20" w:rsidRPr="0069604A">
        <w:rPr>
          <w:sz w:val="21"/>
          <w:szCs w:val="21"/>
        </w:rPr>
        <w:t xml:space="preserve">emergency preparedness and planning, in order to increase resilience </w:t>
      </w:r>
      <w:r w:rsidR="00786BB2" w:rsidRPr="0069604A">
        <w:rPr>
          <w:sz w:val="21"/>
          <w:szCs w:val="21"/>
        </w:rPr>
        <w:t>to future pandemics.</w:t>
      </w:r>
    </w:p>
    <w:p w14:paraId="33D8F3C0" w14:textId="72752BCA" w:rsidR="00DF406B" w:rsidRPr="003167BE" w:rsidRDefault="00DF406B" w:rsidP="00D9559C">
      <w:pPr>
        <w:pStyle w:val="ListParagraph"/>
        <w:numPr>
          <w:ilvl w:val="0"/>
          <w:numId w:val="3"/>
        </w:numPr>
        <w:spacing w:after="120"/>
        <w:ind w:right="-360"/>
        <w:contextualSpacing w:val="0"/>
        <w:jc w:val="both"/>
        <w:rPr>
          <w:sz w:val="21"/>
          <w:szCs w:val="21"/>
        </w:rPr>
      </w:pPr>
      <w:r w:rsidRPr="0069604A">
        <w:rPr>
          <w:b/>
          <w:bCs/>
          <w:sz w:val="21"/>
          <w:szCs w:val="21"/>
        </w:rPr>
        <w:t>Economic potential and job creation:</w:t>
      </w:r>
      <w:r w:rsidR="00255ADE" w:rsidRPr="0069604A">
        <w:rPr>
          <w:sz w:val="21"/>
          <w:szCs w:val="21"/>
        </w:rPr>
        <w:t xml:space="preserve"> </w:t>
      </w:r>
      <w:r w:rsidR="00255ADE" w:rsidRPr="0069604A">
        <w:rPr>
          <w:bCs/>
          <w:sz w:val="21"/>
          <w:szCs w:val="21"/>
        </w:rPr>
        <w:t>Inequality of opportunity</w:t>
      </w:r>
      <w:r w:rsidR="00255ADE" w:rsidRPr="0069604A">
        <w:rPr>
          <w:sz w:val="21"/>
          <w:szCs w:val="21"/>
        </w:rPr>
        <w:t>,</w:t>
      </w:r>
      <w:r w:rsidR="00255ADE" w:rsidRPr="0069604A">
        <w:rPr>
          <w:b/>
          <w:bCs/>
          <w:sz w:val="21"/>
          <w:szCs w:val="21"/>
        </w:rPr>
        <w:t xml:space="preserve"> </w:t>
      </w:r>
      <w:r w:rsidR="00255ADE" w:rsidRPr="0069604A">
        <w:rPr>
          <w:sz w:val="21"/>
          <w:szCs w:val="21"/>
        </w:rPr>
        <w:t xml:space="preserve">segregation in the labor market, and the </w:t>
      </w:r>
      <w:r w:rsidRPr="0069604A">
        <w:rPr>
          <w:sz w:val="21"/>
          <w:szCs w:val="21"/>
        </w:rPr>
        <w:t xml:space="preserve">lack of decent work is one of the main risks undermining the country’s development trajectory and the achievement of the SDG Agenda. The development and adoption of a comprehensive employment policy framework and paving the way to local employment plans, is a priority for </w:t>
      </w:r>
      <w:r w:rsidR="00C141FF" w:rsidRPr="0069604A">
        <w:rPr>
          <w:sz w:val="21"/>
          <w:szCs w:val="21"/>
        </w:rPr>
        <w:t xml:space="preserve">the authorities </w:t>
      </w:r>
      <w:r w:rsidR="00D61041" w:rsidRPr="0069604A">
        <w:rPr>
          <w:sz w:val="21"/>
          <w:szCs w:val="21"/>
        </w:rPr>
        <w:t>in BiH</w:t>
      </w:r>
      <w:r w:rsidR="008F6036" w:rsidRPr="0069604A">
        <w:rPr>
          <w:sz w:val="21"/>
          <w:szCs w:val="21"/>
        </w:rPr>
        <w:t xml:space="preserve"> </w:t>
      </w:r>
      <w:r w:rsidRPr="0069604A">
        <w:rPr>
          <w:sz w:val="21"/>
          <w:szCs w:val="21"/>
        </w:rPr>
        <w:t>with responsibilities concerning employment and social policy.</w:t>
      </w:r>
      <w:r w:rsidR="00255ADE" w:rsidRPr="0069604A">
        <w:rPr>
          <w:sz w:val="21"/>
          <w:szCs w:val="21"/>
        </w:rPr>
        <w:t xml:space="preserve"> Agriculture and tourism, tied to effective natural resource</w:t>
      </w:r>
      <w:r w:rsidR="00255ADE" w:rsidRPr="003167BE">
        <w:rPr>
          <w:sz w:val="21"/>
          <w:szCs w:val="21"/>
        </w:rPr>
        <w:t xml:space="preserve"> management, are sectors with strong growth potential.  </w:t>
      </w:r>
    </w:p>
    <w:p w14:paraId="7A610C65" w14:textId="25CBC2CF" w:rsidR="00C67DB9" w:rsidRPr="003167BE" w:rsidRDefault="00F538B2" w:rsidP="00D9559C">
      <w:pPr>
        <w:pStyle w:val="NoSpacing"/>
        <w:numPr>
          <w:ilvl w:val="0"/>
          <w:numId w:val="3"/>
        </w:numPr>
        <w:spacing w:after="120"/>
        <w:ind w:right="-360"/>
        <w:jc w:val="both"/>
        <w:rPr>
          <w:rFonts w:eastAsia="Calibri Light"/>
          <w:sz w:val="21"/>
          <w:szCs w:val="21"/>
        </w:rPr>
      </w:pPr>
      <w:r w:rsidRPr="007E4270">
        <w:rPr>
          <w:b/>
          <w:bCs/>
          <w:sz w:val="21"/>
          <w:szCs w:val="21"/>
        </w:rPr>
        <w:t>Climate-resilient, n</w:t>
      </w:r>
      <w:r w:rsidR="00DF406B" w:rsidRPr="007E4270">
        <w:rPr>
          <w:b/>
          <w:bCs/>
          <w:sz w:val="21"/>
          <w:szCs w:val="21"/>
        </w:rPr>
        <w:t>atural resources</w:t>
      </w:r>
      <w:r w:rsidR="00255ADE" w:rsidRPr="009540FD">
        <w:rPr>
          <w:b/>
          <w:bCs/>
          <w:sz w:val="21"/>
          <w:szCs w:val="21"/>
        </w:rPr>
        <w:t xml:space="preserve"> management</w:t>
      </w:r>
      <w:r w:rsidR="00DF406B" w:rsidRPr="009540FD">
        <w:rPr>
          <w:b/>
          <w:bCs/>
          <w:sz w:val="21"/>
          <w:szCs w:val="21"/>
        </w:rPr>
        <w:t>:</w:t>
      </w:r>
      <w:r w:rsidR="00DF406B" w:rsidRPr="003167BE">
        <w:rPr>
          <w:b/>
          <w:bCs/>
          <w:sz w:val="21"/>
          <w:szCs w:val="21"/>
        </w:rPr>
        <w:t xml:space="preserve"> </w:t>
      </w:r>
      <w:r w:rsidR="00C67DB9" w:rsidRPr="003167BE">
        <w:rPr>
          <w:sz w:val="21"/>
          <w:szCs w:val="21"/>
        </w:rPr>
        <w:t>The degradation of water, air</w:t>
      </w:r>
      <w:r w:rsidR="00C67DB9" w:rsidRPr="003167BE">
        <w:rPr>
          <w:rStyle w:val="FootnoteReference"/>
          <w:sz w:val="21"/>
          <w:szCs w:val="21"/>
        </w:rPr>
        <w:footnoteReference w:id="59"/>
      </w:r>
      <w:r w:rsidR="00C67DB9" w:rsidRPr="003167BE">
        <w:rPr>
          <w:sz w:val="21"/>
          <w:szCs w:val="21"/>
        </w:rPr>
        <w:t xml:space="preserve">, forests, and agricultural land, as well as the accelerated pace of biodiversity loss are </w:t>
      </w:r>
      <w:r w:rsidR="008F6036">
        <w:rPr>
          <w:sz w:val="21"/>
          <w:szCs w:val="21"/>
        </w:rPr>
        <w:t xml:space="preserve">creating health problems and </w:t>
      </w:r>
      <w:r w:rsidR="00C67DB9" w:rsidRPr="003167BE">
        <w:rPr>
          <w:sz w:val="21"/>
          <w:szCs w:val="21"/>
        </w:rPr>
        <w:t xml:space="preserve">putting sustainable economic growth at risk. These risks are associated with an incomplete </w:t>
      </w:r>
      <w:r w:rsidR="00C67DB9" w:rsidRPr="003167BE">
        <w:rPr>
          <w:bCs/>
          <w:sz w:val="21"/>
          <w:szCs w:val="21"/>
        </w:rPr>
        <w:t xml:space="preserve">legal and policy framework not yet aligned with the EU Acquis and the slow pace of </w:t>
      </w:r>
      <w:r w:rsidR="00C67DB9" w:rsidRPr="003167BE">
        <w:rPr>
          <w:sz w:val="21"/>
          <w:szCs w:val="21"/>
        </w:rPr>
        <w:t>implementation</w:t>
      </w:r>
      <w:r w:rsidR="00C67DB9" w:rsidRPr="003167BE">
        <w:rPr>
          <w:sz w:val="21"/>
          <w:szCs w:val="21"/>
          <w:vertAlign w:val="superscript"/>
        </w:rPr>
        <w:footnoteReference w:id="60"/>
      </w:r>
      <w:r w:rsidR="00C67DB9" w:rsidRPr="003167BE">
        <w:rPr>
          <w:sz w:val="21"/>
          <w:szCs w:val="21"/>
        </w:rPr>
        <w:t xml:space="preserve">.  </w:t>
      </w:r>
      <w:r w:rsidR="00C67DB9" w:rsidRPr="009540FD">
        <w:rPr>
          <w:b/>
          <w:bCs/>
          <w:sz w:val="21"/>
          <w:szCs w:val="21"/>
        </w:rPr>
        <w:t>Climate change</w:t>
      </w:r>
      <w:r w:rsidR="00C67DB9" w:rsidRPr="003167BE">
        <w:rPr>
          <w:sz w:val="21"/>
          <w:szCs w:val="21"/>
        </w:rPr>
        <w:t xml:space="preserve"> is contributing to pronounced rainfall variability and increasing temperatures, which are causing more frequent and intense droughts and increasing the likelihood of floods and landslides. Country-wide there is high exposure to </w:t>
      </w:r>
      <w:r w:rsidR="00C67DB9" w:rsidRPr="003167BE">
        <w:rPr>
          <w:b/>
          <w:bCs/>
          <w:sz w:val="21"/>
          <w:szCs w:val="21"/>
        </w:rPr>
        <w:t>natural</w:t>
      </w:r>
      <w:r w:rsidR="007233F3" w:rsidRPr="003167BE">
        <w:rPr>
          <w:b/>
          <w:bCs/>
          <w:sz w:val="21"/>
          <w:szCs w:val="21"/>
        </w:rPr>
        <w:t xml:space="preserve"> hazards</w:t>
      </w:r>
      <w:r w:rsidR="00C67DB9" w:rsidRPr="003167BE">
        <w:rPr>
          <w:sz w:val="21"/>
          <w:szCs w:val="21"/>
        </w:rPr>
        <w:t>, especially floods and landslides,</w:t>
      </w:r>
      <w:r w:rsidR="00C67DB9" w:rsidRPr="003167BE">
        <w:rPr>
          <w:sz w:val="21"/>
          <w:szCs w:val="21"/>
          <w:vertAlign w:val="superscript"/>
        </w:rPr>
        <w:footnoteReference w:id="61"/>
      </w:r>
      <w:r w:rsidR="00C67DB9" w:rsidRPr="003167BE">
        <w:rPr>
          <w:sz w:val="21"/>
          <w:szCs w:val="21"/>
        </w:rPr>
        <w:t xml:space="preserve"> with more than 20% of its territory prone to flooding</w:t>
      </w:r>
      <w:r w:rsidR="00C67DB9" w:rsidRPr="003167BE">
        <w:rPr>
          <w:sz w:val="21"/>
          <w:szCs w:val="21"/>
          <w:vertAlign w:val="superscript"/>
        </w:rPr>
        <w:footnoteReference w:id="62"/>
      </w:r>
      <w:r w:rsidR="00C67DB9" w:rsidRPr="003167BE">
        <w:rPr>
          <w:sz w:val="21"/>
          <w:szCs w:val="21"/>
        </w:rPr>
        <w:t xml:space="preserve"> and an estimated 260,000 people exposed to significant flood and landslide risks</w:t>
      </w:r>
      <w:r w:rsidR="00C67DB9" w:rsidRPr="003167BE">
        <w:rPr>
          <w:sz w:val="21"/>
          <w:szCs w:val="21"/>
          <w:vertAlign w:val="superscript"/>
        </w:rPr>
        <w:footnoteReference w:id="63"/>
      </w:r>
      <w:r w:rsidR="00C67DB9" w:rsidRPr="003167BE">
        <w:rPr>
          <w:rFonts w:eastAsia="Calibri Light"/>
          <w:sz w:val="21"/>
          <w:szCs w:val="21"/>
        </w:rPr>
        <w:t>.</w:t>
      </w:r>
      <w:r w:rsidR="00C67DB9" w:rsidRPr="003167BE">
        <w:rPr>
          <w:sz w:val="21"/>
          <w:szCs w:val="21"/>
        </w:rPr>
        <w:t xml:space="preserve"> </w:t>
      </w:r>
      <w:r w:rsidR="004D6BCD" w:rsidRPr="003167BE">
        <w:rPr>
          <w:sz w:val="21"/>
          <w:szCs w:val="21"/>
        </w:rPr>
        <w:t>M</w:t>
      </w:r>
      <w:r w:rsidR="004D6BCD" w:rsidRPr="003167BE">
        <w:rPr>
          <w:rFonts w:eastAsia="Calibri Light"/>
          <w:sz w:val="21"/>
          <w:szCs w:val="21"/>
        </w:rPr>
        <w:t xml:space="preserve">ajor threats to </w:t>
      </w:r>
      <w:r w:rsidR="004D6BCD" w:rsidRPr="003167BE">
        <w:rPr>
          <w:rFonts w:eastAsia="Calibri Light"/>
          <w:b/>
          <w:bCs/>
          <w:sz w:val="21"/>
          <w:szCs w:val="21"/>
        </w:rPr>
        <w:t>biodiversity</w:t>
      </w:r>
      <w:r w:rsidR="004D6BCD" w:rsidRPr="003167BE">
        <w:rPr>
          <w:rFonts w:eastAsia="Calibri Light"/>
          <w:sz w:val="21"/>
          <w:szCs w:val="21"/>
        </w:rPr>
        <w:t xml:space="preserve"> include unsustainable use of land and forests, habitat conversion, vegetation succession and invasive alien species, overexploitation of natural resources, waste mismanagement, inadequate fire protection, illegal hunting and fishing and climate change. </w:t>
      </w:r>
      <w:r w:rsidR="00C67DB9" w:rsidRPr="003167BE">
        <w:rPr>
          <w:sz w:val="21"/>
          <w:szCs w:val="21"/>
          <w:lang w:val="en-US"/>
        </w:rPr>
        <w:t xml:space="preserve">Environmental policy constraints and poor implementation are major barriers for EU accession. These also constitute a major opportunity and </w:t>
      </w:r>
      <w:r w:rsidR="00C67DB9" w:rsidRPr="003167BE">
        <w:rPr>
          <w:sz w:val="21"/>
          <w:szCs w:val="21"/>
        </w:rPr>
        <w:t xml:space="preserve">driver to strengthen environmental policy and governance. </w:t>
      </w:r>
      <w:r w:rsidR="00C67DB9" w:rsidRPr="003167BE">
        <w:rPr>
          <w:bCs/>
          <w:sz w:val="21"/>
          <w:szCs w:val="21"/>
        </w:rPr>
        <w:t xml:space="preserve">BiH has an </w:t>
      </w:r>
      <w:r w:rsidR="00C67DB9" w:rsidRPr="003167BE">
        <w:rPr>
          <w:sz w:val="21"/>
          <w:szCs w:val="21"/>
        </w:rPr>
        <w:t xml:space="preserve">abundance of natural resource wealth that is not being sustainably managed, requiring a country-wide strategy to support the </w:t>
      </w:r>
      <w:r w:rsidR="00C67DB9" w:rsidRPr="003167BE">
        <w:rPr>
          <w:bCs/>
          <w:sz w:val="21"/>
          <w:szCs w:val="21"/>
        </w:rPr>
        <w:t>vision of an environmentally clean and sustainable BiH</w:t>
      </w:r>
      <w:r w:rsidR="00C67DB9" w:rsidRPr="003167BE">
        <w:rPr>
          <w:sz w:val="21"/>
          <w:szCs w:val="21"/>
        </w:rPr>
        <w:t>.</w:t>
      </w:r>
      <w:r w:rsidR="0010320F">
        <w:rPr>
          <w:sz w:val="21"/>
          <w:szCs w:val="21"/>
        </w:rPr>
        <w:t xml:space="preserve">  </w:t>
      </w:r>
      <w:r w:rsidR="00264D3F">
        <w:rPr>
          <w:sz w:val="21"/>
          <w:szCs w:val="21"/>
        </w:rPr>
        <w:t xml:space="preserve">The </w:t>
      </w:r>
      <w:r w:rsidR="00E06C44">
        <w:rPr>
          <w:sz w:val="21"/>
          <w:szCs w:val="21"/>
        </w:rPr>
        <w:t>authorities</w:t>
      </w:r>
      <w:r w:rsidR="00264D3F">
        <w:rPr>
          <w:sz w:val="21"/>
          <w:szCs w:val="21"/>
          <w:lang w:val="en-US"/>
        </w:rPr>
        <w:t xml:space="preserve"> in BiH</w:t>
      </w:r>
      <w:r w:rsidR="0010320F" w:rsidRPr="0078435D">
        <w:rPr>
          <w:sz w:val="21"/>
          <w:szCs w:val="21"/>
          <w:lang w:val="en-US"/>
        </w:rPr>
        <w:t xml:space="preserve"> remain insufficiently prepared to address </w:t>
      </w:r>
      <w:r w:rsidR="0010320F">
        <w:rPr>
          <w:sz w:val="21"/>
          <w:szCs w:val="21"/>
          <w:lang w:val="en-US"/>
        </w:rPr>
        <w:t xml:space="preserve">natural </w:t>
      </w:r>
      <w:r w:rsidR="0010320F" w:rsidRPr="0078435D">
        <w:rPr>
          <w:sz w:val="21"/>
          <w:szCs w:val="21"/>
          <w:lang w:val="en-US"/>
        </w:rPr>
        <w:t xml:space="preserve">hazards and </w:t>
      </w:r>
      <w:r w:rsidR="008F6036">
        <w:rPr>
          <w:sz w:val="21"/>
          <w:szCs w:val="21"/>
          <w:lang w:val="en-US"/>
        </w:rPr>
        <w:t>disaster risks.</w:t>
      </w:r>
    </w:p>
    <w:p w14:paraId="71F57A4F" w14:textId="77777777" w:rsidR="001A3142" w:rsidRPr="0069604A" w:rsidRDefault="00DF406B" w:rsidP="00D9559C">
      <w:pPr>
        <w:pStyle w:val="ListParagraph"/>
        <w:numPr>
          <w:ilvl w:val="0"/>
          <w:numId w:val="3"/>
        </w:numPr>
        <w:spacing w:after="120"/>
        <w:ind w:right="-360"/>
        <w:contextualSpacing w:val="0"/>
        <w:jc w:val="both"/>
        <w:rPr>
          <w:sz w:val="21"/>
          <w:szCs w:val="21"/>
        </w:rPr>
      </w:pPr>
      <w:r w:rsidRPr="00255ADE">
        <w:rPr>
          <w:b/>
          <w:sz w:val="21"/>
          <w:szCs w:val="21"/>
        </w:rPr>
        <w:t xml:space="preserve">Gender equality and women’s empowerment: </w:t>
      </w:r>
      <w:r w:rsidRPr="00255ADE">
        <w:rPr>
          <w:sz w:val="21"/>
          <w:szCs w:val="21"/>
        </w:rPr>
        <w:t xml:space="preserve">In terms of exercising civil and political rights of women in BiH, there is still ongoing inequality and under-representation, and the Gender Equality Law of BiH is being violated. </w:t>
      </w:r>
      <w:r w:rsidR="003405DF">
        <w:rPr>
          <w:sz w:val="21"/>
          <w:szCs w:val="21"/>
        </w:rPr>
        <w:t xml:space="preserve">A key factor impeding the </w:t>
      </w:r>
      <w:r w:rsidRPr="00255ADE">
        <w:rPr>
          <w:sz w:val="21"/>
          <w:szCs w:val="21"/>
        </w:rPr>
        <w:t>political participation of women is the partial application of gender quotas prescribed by the Gender Equality Law which was integrated into the Election Law of BiH.</w:t>
      </w:r>
      <w:r w:rsidR="003405DF">
        <w:rPr>
          <w:sz w:val="21"/>
          <w:szCs w:val="21"/>
        </w:rPr>
        <w:t xml:space="preserve"> </w:t>
      </w:r>
      <w:r w:rsidR="003405DF" w:rsidRPr="00255ADE">
        <w:rPr>
          <w:sz w:val="21"/>
          <w:szCs w:val="21"/>
        </w:rPr>
        <w:t>The gender quota is not yet applied consistently when it comes to appointments in the executive authority, public company boards, nor is it applied in elections in local communities</w:t>
      </w:r>
      <w:r w:rsidR="003405DF" w:rsidRPr="007E4270">
        <w:rPr>
          <w:sz w:val="21"/>
          <w:szCs w:val="21"/>
        </w:rPr>
        <w:t xml:space="preserve">. There is great potential to </w:t>
      </w:r>
      <w:r w:rsidR="00BA2B7E" w:rsidRPr="007E4270">
        <w:rPr>
          <w:sz w:val="21"/>
          <w:szCs w:val="21"/>
        </w:rPr>
        <w:t xml:space="preserve">increase the economic participation of </w:t>
      </w:r>
      <w:r w:rsidR="003405DF" w:rsidRPr="007E4270">
        <w:rPr>
          <w:sz w:val="21"/>
          <w:szCs w:val="21"/>
        </w:rPr>
        <w:t>women</w:t>
      </w:r>
      <w:r w:rsidR="00BA2B7E" w:rsidRPr="007E4270">
        <w:rPr>
          <w:sz w:val="21"/>
          <w:szCs w:val="21"/>
        </w:rPr>
        <w:t xml:space="preserve">: </w:t>
      </w:r>
      <w:hyperlink r:id="rId28" w:history="1">
        <w:r w:rsidR="00BA2B7E" w:rsidRPr="007E4270">
          <w:rPr>
            <w:rStyle w:val="Hyperlink"/>
            <w:sz w:val="21"/>
            <w:szCs w:val="21"/>
          </w:rPr>
          <w:t>Wo</w:t>
        </w:r>
        <w:r w:rsidR="003405DF" w:rsidRPr="007E4270">
          <w:rPr>
            <w:rStyle w:val="Hyperlink"/>
            <w:sz w:val="21"/>
            <w:szCs w:val="21"/>
          </w:rPr>
          <w:t>men’s participation in the labour force</w:t>
        </w:r>
      </w:hyperlink>
      <w:r w:rsidR="003405DF" w:rsidRPr="007E4270">
        <w:rPr>
          <w:color w:val="000000" w:themeColor="text1"/>
          <w:sz w:val="21"/>
          <w:szCs w:val="21"/>
        </w:rPr>
        <w:t xml:space="preserve"> is the lowest in the region</w:t>
      </w:r>
      <w:r w:rsidR="00BA2B7E" w:rsidRPr="007E4270">
        <w:rPr>
          <w:color w:val="000000" w:themeColor="text1"/>
          <w:sz w:val="21"/>
          <w:szCs w:val="21"/>
        </w:rPr>
        <w:t xml:space="preserve"> at 35% in 2019</w:t>
      </w:r>
      <w:r w:rsidR="003405DF" w:rsidRPr="007E4270">
        <w:rPr>
          <w:color w:val="000000" w:themeColor="text1"/>
          <w:sz w:val="21"/>
          <w:szCs w:val="21"/>
        </w:rPr>
        <w:t>, women have a lower employment rate than men (25% compared to 44%) and a higher unemployment rate (20% compared to 17%).</w:t>
      </w:r>
      <w:r w:rsidR="00BA2B7E" w:rsidRPr="007E4270">
        <w:rPr>
          <w:color w:val="000000" w:themeColor="text1"/>
          <w:sz w:val="21"/>
          <w:szCs w:val="21"/>
        </w:rPr>
        <w:t xml:space="preserve"> Each of these gaps is greater for young women ages 15 to 29.</w:t>
      </w:r>
      <w:r w:rsidR="003405DF" w:rsidRPr="007E4270">
        <w:rPr>
          <w:color w:val="000000" w:themeColor="text1"/>
          <w:sz w:val="21"/>
          <w:szCs w:val="21"/>
        </w:rPr>
        <w:t xml:space="preserve"> Despite legal provisions, a gender pay gap exists and persists without regard to qualification, education and age</w:t>
      </w:r>
      <w:r w:rsidRPr="007E4270">
        <w:rPr>
          <w:sz w:val="21"/>
          <w:szCs w:val="21"/>
        </w:rPr>
        <w:t>.</w:t>
      </w:r>
      <w:r w:rsidR="00255ADE" w:rsidRPr="007E4270">
        <w:rPr>
          <w:sz w:val="21"/>
          <w:szCs w:val="21"/>
        </w:rPr>
        <w:t xml:space="preserve"> </w:t>
      </w:r>
      <w:r w:rsidRPr="007E4270">
        <w:rPr>
          <w:sz w:val="21"/>
          <w:szCs w:val="21"/>
        </w:rPr>
        <w:t>While the Istanbul</w:t>
      </w:r>
      <w:r w:rsidRPr="00255ADE">
        <w:rPr>
          <w:sz w:val="21"/>
          <w:szCs w:val="21"/>
        </w:rPr>
        <w:t xml:space="preserve"> Convention concerning violence against women and girls has been implemented at the strategic level, actual </w:t>
      </w:r>
      <w:r w:rsidRPr="0069604A">
        <w:rPr>
          <w:sz w:val="21"/>
          <w:szCs w:val="21"/>
        </w:rPr>
        <w:t>implementation is slow. Vertical and horizontal linkages between relevant institutions law enforcement, justice, and support bodies are not yet established. A mechanism has been established to support preventive action, response and protection in cases of domestic violence and there has been an ongoing harmonization of regulations, training of professionals, and enhancement of data collection. Violence against women from persons other than an intimate partner</w:t>
      </w:r>
      <w:r w:rsidR="00255ADE" w:rsidRPr="0069604A">
        <w:rPr>
          <w:sz w:val="21"/>
          <w:szCs w:val="21"/>
        </w:rPr>
        <w:t xml:space="preserve"> is </w:t>
      </w:r>
      <w:r w:rsidRPr="0069604A">
        <w:rPr>
          <w:sz w:val="21"/>
          <w:szCs w:val="21"/>
        </w:rPr>
        <w:t>not being strategically addressed.</w:t>
      </w:r>
      <w:r w:rsidR="001A3142" w:rsidRPr="0069604A">
        <w:rPr>
          <w:sz w:val="21"/>
          <w:szCs w:val="21"/>
        </w:rPr>
        <w:t xml:space="preserve"> </w:t>
      </w:r>
    </w:p>
    <w:p w14:paraId="6C1C9FD0" w14:textId="3112259D" w:rsidR="001A3142" w:rsidRPr="0069604A" w:rsidRDefault="001A3142" w:rsidP="00D9559C">
      <w:pPr>
        <w:pStyle w:val="ListParagraph"/>
        <w:numPr>
          <w:ilvl w:val="0"/>
          <w:numId w:val="3"/>
        </w:numPr>
        <w:spacing w:after="60"/>
        <w:ind w:left="357" w:right="-360" w:hanging="357"/>
        <w:contextualSpacing w:val="0"/>
        <w:jc w:val="both"/>
        <w:rPr>
          <w:sz w:val="21"/>
          <w:szCs w:val="21"/>
        </w:rPr>
      </w:pPr>
      <w:r w:rsidRPr="0069604A">
        <w:rPr>
          <w:rFonts w:ascii="Calibri" w:eastAsia="Calibri" w:hAnsi="Calibri"/>
          <w:noProof/>
          <w:sz w:val="21"/>
          <w:szCs w:val="21"/>
        </w:rPr>
        <w:t>The COVID-19 pandemic poses additional challenges for efforts to achieve gender equality and women’s empowerment in BiH</w:t>
      </w:r>
      <w:r w:rsidRPr="0069604A">
        <w:rPr>
          <w:rStyle w:val="FootnoteReference"/>
          <w:rFonts w:ascii="Calibri" w:eastAsia="Calibri" w:hAnsi="Calibri"/>
          <w:noProof/>
          <w:sz w:val="21"/>
          <w:szCs w:val="21"/>
        </w:rPr>
        <w:footnoteReference w:id="64"/>
      </w:r>
      <w:r w:rsidRPr="0069604A">
        <w:rPr>
          <w:rFonts w:ascii="Calibri" w:eastAsia="Calibri" w:hAnsi="Calibri"/>
          <w:noProof/>
          <w:sz w:val="21"/>
          <w:szCs w:val="21"/>
        </w:rPr>
        <w:t xml:space="preserve">: </w:t>
      </w:r>
    </w:p>
    <w:p w14:paraId="212BD6F1" w14:textId="77777777" w:rsidR="001A3142" w:rsidRPr="0069604A" w:rsidRDefault="001A3142" w:rsidP="00D9559C">
      <w:pPr>
        <w:pStyle w:val="ListParagraph"/>
        <w:numPr>
          <w:ilvl w:val="0"/>
          <w:numId w:val="17"/>
        </w:numPr>
        <w:spacing w:after="40"/>
        <w:ind w:right="-360"/>
        <w:rPr>
          <w:rFonts w:eastAsia="Calibri"/>
          <w:noProof/>
          <w:sz w:val="21"/>
          <w:szCs w:val="21"/>
        </w:rPr>
      </w:pPr>
      <w:r w:rsidRPr="0069604A">
        <w:rPr>
          <w:rFonts w:eastAsia="Calibri"/>
          <w:noProof/>
          <w:sz w:val="21"/>
          <w:szCs w:val="21"/>
        </w:rPr>
        <w:t xml:space="preserve">The majority of health care and social workers are women and face increased risks to infection with COVID-19; </w:t>
      </w:r>
    </w:p>
    <w:p w14:paraId="29E19014" w14:textId="1B2300E8" w:rsidR="001A3142" w:rsidRPr="0069604A" w:rsidRDefault="001A3142" w:rsidP="00D9559C">
      <w:pPr>
        <w:pStyle w:val="ListParagraph"/>
        <w:numPr>
          <w:ilvl w:val="0"/>
          <w:numId w:val="17"/>
        </w:numPr>
        <w:spacing w:after="40"/>
        <w:ind w:right="-360"/>
        <w:rPr>
          <w:rFonts w:eastAsia="Calibri"/>
          <w:noProof/>
          <w:sz w:val="21"/>
          <w:szCs w:val="21"/>
        </w:rPr>
      </w:pPr>
      <w:r w:rsidRPr="0069604A">
        <w:rPr>
          <w:rFonts w:eastAsia="Calibri"/>
          <w:noProof/>
          <w:sz w:val="21"/>
          <w:szCs w:val="21"/>
        </w:rPr>
        <w:t>Women and girls are called</w:t>
      </w:r>
      <w:r w:rsidR="00AA0B80" w:rsidRPr="0069604A">
        <w:rPr>
          <w:rFonts w:eastAsia="Calibri"/>
          <w:noProof/>
          <w:sz w:val="21"/>
          <w:szCs w:val="21"/>
        </w:rPr>
        <w:t xml:space="preserve"> </w:t>
      </w:r>
      <w:r w:rsidRPr="0069604A">
        <w:rPr>
          <w:rFonts w:eastAsia="Calibri"/>
          <w:noProof/>
          <w:sz w:val="21"/>
          <w:szCs w:val="21"/>
        </w:rPr>
        <w:t>upon to provide the lion’s share of unpaid care, especially for sick family members;</w:t>
      </w:r>
    </w:p>
    <w:p w14:paraId="3FCE5507" w14:textId="44B4DC4E" w:rsidR="001A3142" w:rsidRPr="0069604A" w:rsidRDefault="001A3142" w:rsidP="00D9559C">
      <w:pPr>
        <w:pStyle w:val="ListParagraph"/>
        <w:numPr>
          <w:ilvl w:val="0"/>
          <w:numId w:val="17"/>
        </w:numPr>
        <w:spacing w:after="120"/>
        <w:ind w:left="714" w:right="-360" w:hanging="357"/>
        <w:contextualSpacing w:val="0"/>
        <w:rPr>
          <w:rFonts w:eastAsia="Calibri"/>
          <w:noProof/>
          <w:sz w:val="21"/>
          <w:szCs w:val="21"/>
        </w:rPr>
      </w:pPr>
      <w:r w:rsidRPr="0069604A">
        <w:rPr>
          <w:rFonts w:eastAsia="Calibri"/>
          <w:noProof/>
          <w:sz w:val="21"/>
          <w:szCs w:val="21"/>
        </w:rPr>
        <w:t>There are concerns that increased family isolation and reduced access to social services may inc</w:t>
      </w:r>
      <w:r w:rsidRPr="0069604A">
        <w:rPr>
          <w:sz w:val="21"/>
          <w:szCs w:val="21"/>
        </w:rPr>
        <w:t>rease vulnerability to gender-based violence (GBV) and domestic violence.</w:t>
      </w:r>
    </w:p>
    <w:p w14:paraId="729C16D3" w14:textId="1BDF2981" w:rsidR="008B5629" w:rsidRDefault="00255ADE" w:rsidP="00D9559C">
      <w:pPr>
        <w:pStyle w:val="ListParagraph"/>
        <w:numPr>
          <w:ilvl w:val="0"/>
          <w:numId w:val="3"/>
        </w:numPr>
        <w:spacing w:after="240"/>
        <w:ind w:left="357" w:right="-360" w:hanging="357"/>
        <w:contextualSpacing w:val="0"/>
        <w:jc w:val="both"/>
        <w:rPr>
          <w:sz w:val="21"/>
          <w:szCs w:val="21"/>
        </w:rPr>
      </w:pPr>
      <w:r w:rsidRPr="00AF0317">
        <w:rPr>
          <w:rFonts w:ascii="Calibri" w:hAnsi="Calibri"/>
          <w:sz w:val="21"/>
          <w:szCs w:val="21"/>
        </w:rPr>
        <w:t xml:space="preserve">Underlying </w:t>
      </w:r>
      <w:r w:rsidR="009D53D7" w:rsidRPr="00AF0317">
        <w:rPr>
          <w:rFonts w:ascii="Calibri" w:hAnsi="Calibri"/>
          <w:sz w:val="21"/>
          <w:szCs w:val="21"/>
        </w:rPr>
        <w:t xml:space="preserve">these major gaps and challenges are </w:t>
      </w:r>
      <w:r w:rsidR="009E694D" w:rsidRPr="00AF0317">
        <w:rPr>
          <w:sz w:val="21"/>
          <w:szCs w:val="21"/>
        </w:rPr>
        <w:t xml:space="preserve">two </w:t>
      </w:r>
      <w:r w:rsidR="009D53D7" w:rsidRPr="00AF0317">
        <w:rPr>
          <w:sz w:val="21"/>
          <w:szCs w:val="21"/>
        </w:rPr>
        <w:t xml:space="preserve">critical </w:t>
      </w:r>
      <w:r w:rsidR="009E694D" w:rsidRPr="00AF0317">
        <w:rPr>
          <w:sz w:val="21"/>
          <w:szCs w:val="21"/>
        </w:rPr>
        <w:t>bottlenecks</w:t>
      </w:r>
      <w:r w:rsidR="009D53D7" w:rsidRPr="00AF0317">
        <w:rPr>
          <w:sz w:val="21"/>
          <w:szCs w:val="21"/>
        </w:rPr>
        <w:t>: 1) T</w:t>
      </w:r>
      <w:r w:rsidR="009E694D" w:rsidRPr="00AF0317">
        <w:rPr>
          <w:sz w:val="21"/>
          <w:szCs w:val="21"/>
        </w:rPr>
        <w:t>he absence of a country-wide vision for sustainable development</w:t>
      </w:r>
      <w:r w:rsidR="009D53D7" w:rsidRPr="00AF0317">
        <w:rPr>
          <w:sz w:val="21"/>
          <w:szCs w:val="21"/>
        </w:rPr>
        <w:t xml:space="preserve"> and 2) </w:t>
      </w:r>
      <w:r w:rsidR="009E694D" w:rsidRPr="00AF0317">
        <w:rPr>
          <w:sz w:val="21"/>
          <w:szCs w:val="21"/>
        </w:rPr>
        <w:t>systemic weaknesses in statistical data</w:t>
      </w:r>
      <w:r w:rsidR="00CC7BB5">
        <w:rPr>
          <w:sz w:val="21"/>
          <w:szCs w:val="21"/>
        </w:rPr>
        <w:t xml:space="preserve"> and analysis</w:t>
      </w:r>
      <w:r w:rsidR="007D7A23" w:rsidRPr="00AF0317">
        <w:rPr>
          <w:sz w:val="21"/>
          <w:szCs w:val="21"/>
        </w:rPr>
        <w:t xml:space="preserve">. </w:t>
      </w:r>
      <w:r w:rsidR="009E694D" w:rsidRPr="00AF0317">
        <w:rPr>
          <w:sz w:val="21"/>
          <w:szCs w:val="21"/>
        </w:rPr>
        <w:t xml:space="preserve">Quality, accessible, timely and </w:t>
      </w:r>
      <w:r w:rsidR="009E694D" w:rsidRPr="00AF0317">
        <w:rPr>
          <w:bCs/>
          <w:sz w:val="21"/>
          <w:szCs w:val="21"/>
        </w:rPr>
        <w:t>reliable</w:t>
      </w:r>
      <w:r w:rsidR="009E694D" w:rsidRPr="00AF0317">
        <w:rPr>
          <w:b/>
          <w:sz w:val="21"/>
          <w:szCs w:val="21"/>
        </w:rPr>
        <w:t xml:space="preserve"> disaggregated data</w:t>
      </w:r>
      <w:r w:rsidR="00335256">
        <w:rPr>
          <w:b/>
          <w:sz w:val="21"/>
          <w:szCs w:val="21"/>
        </w:rPr>
        <w:t xml:space="preserve"> </w:t>
      </w:r>
      <w:r w:rsidR="009E694D" w:rsidRPr="00AF0317">
        <w:rPr>
          <w:sz w:val="21"/>
          <w:szCs w:val="21"/>
        </w:rPr>
        <w:t>will</w:t>
      </w:r>
      <w:r w:rsidR="00230276">
        <w:rPr>
          <w:sz w:val="21"/>
          <w:szCs w:val="21"/>
        </w:rPr>
        <w:t xml:space="preserve"> ensure </w:t>
      </w:r>
      <w:r w:rsidR="008F6036">
        <w:rPr>
          <w:sz w:val="21"/>
          <w:szCs w:val="21"/>
        </w:rPr>
        <w:t xml:space="preserve">a more </w:t>
      </w:r>
      <w:r w:rsidR="00230276">
        <w:rPr>
          <w:sz w:val="21"/>
          <w:szCs w:val="21"/>
        </w:rPr>
        <w:t xml:space="preserve">inclusive lens </w:t>
      </w:r>
      <w:r w:rsidR="008F6036">
        <w:rPr>
          <w:sz w:val="21"/>
          <w:szCs w:val="21"/>
        </w:rPr>
        <w:t>for analysis and h</w:t>
      </w:r>
      <w:r w:rsidR="009E694D" w:rsidRPr="00AF0317">
        <w:rPr>
          <w:sz w:val="21"/>
          <w:szCs w:val="21"/>
        </w:rPr>
        <w:t xml:space="preserve">elp </w:t>
      </w:r>
      <w:r w:rsidR="008F6036">
        <w:rPr>
          <w:sz w:val="21"/>
          <w:szCs w:val="21"/>
        </w:rPr>
        <w:t xml:space="preserve">to </w:t>
      </w:r>
      <w:r w:rsidR="004039A8">
        <w:rPr>
          <w:sz w:val="21"/>
          <w:szCs w:val="21"/>
        </w:rPr>
        <w:t>measure</w:t>
      </w:r>
      <w:r w:rsidR="008F6036">
        <w:rPr>
          <w:sz w:val="21"/>
          <w:szCs w:val="21"/>
        </w:rPr>
        <w:t xml:space="preserve"> progress towards the SDGs, </w:t>
      </w:r>
      <w:r w:rsidR="009E694D" w:rsidRPr="00AF0317">
        <w:rPr>
          <w:sz w:val="21"/>
          <w:szCs w:val="21"/>
        </w:rPr>
        <w:t>ensur</w:t>
      </w:r>
      <w:r w:rsidR="008F6036">
        <w:rPr>
          <w:sz w:val="21"/>
          <w:szCs w:val="21"/>
        </w:rPr>
        <w:t>ing</w:t>
      </w:r>
      <w:r w:rsidR="009E694D" w:rsidRPr="00AF0317">
        <w:rPr>
          <w:sz w:val="21"/>
          <w:szCs w:val="21"/>
        </w:rPr>
        <w:t xml:space="preserve"> that no one is left behind. </w:t>
      </w:r>
      <w:r w:rsidR="008F6036">
        <w:rPr>
          <w:sz w:val="21"/>
          <w:szCs w:val="21"/>
        </w:rPr>
        <w:t xml:space="preserve">This </w:t>
      </w:r>
      <w:r w:rsidR="008F6036" w:rsidRPr="00401ADA">
        <w:rPr>
          <w:sz w:val="21"/>
          <w:szCs w:val="21"/>
        </w:rPr>
        <w:t>includes sources of data from human rights institutions and civil society organizations in BiH</w:t>
      </w:r>
      <w:r w:rsidR="008F6036">
        <w:rPr>
          <w:b/>
          <w:sz w:val="21"/>
          <w:szCs w:val="21"/>
        </w:rPr>
        <w:t>.</w:t>
      </w:r>
      <w:r w:rsidR="008F6036" w:rsidRPr="00AF0317">
        <w:rPr>
          <w:sz w:val="21"/>
          <w:szCs w:val="21"/>
        </w:rPr>
        <w:t xml:space="preserve"> </w:t>
      </w:r>
      <w:r w:rsidR="009E694D" w:rsidRPr="00AF0317">
        <w:rPr>
          <w:sz w:val="21"/>
          <w:szCs w:val="21"/>
        </w:rPr>
        <w:t xml:space="preserve">However, attaining a clear picture of the demographic situation and population profile in BiH, including disaggregated information on characteristics such as sex, age, ethnicity, disability, socioeconomic status, employment and place of residence, is severely hampered by the lack of </w:t>
      </w:r>
      <w:r w:rsidR="005E6972">
        <w:rPr>
          <w:sz w:val="21"/>
          <w:szCs w:val="21"/>
        </w:rPr>
        <w:t xml:space="preserve">country-wide, reliable </w:t>
      </w:r>
      <w:r w:rsidR="009E694D" w:rsidRPr="00AF0317">
        <w:rPr>
          <w:sz w:val="21"/>
          <w:szCs w:val="21"/>
        </w:rPr>
        <w:t xml:space="preserve">data. </w:t>
      </w:r>
    </w:p>
    <w:p w14:paraId="5B48070A" w14:textId="77777777" w:rsidR="00253CA1" w:rsidRPr="00AF0317" w:rsidRDefault="00253CA1" w:rsidP="00253CA1">
      <w:pPr>
        <w:pStyle w:val="ListParagraph"/>
        <w:numPr>
          <w:ilvl w:val="0"/>
          <w:numId w:val="0"/>
        </w:numPr>
        <w:spacing w:after="240"/>
        <w:ind w:left="357" w:right="-360"/>
        <w:contextualSpacing w:val="0"/>
        <w:jc w:val="both"/>
        <w:rPr>
          <w:sz w:val="21"/>
          <w:szCs w:val="21"/>
        </w:rPr>
      </w:pPr>
    </w:p>
    <w:p w14:paraId="69249C2E" w14:textId="3F0C7853" w:rsidR="004A3440" w:rsidRPr="003167BE" w:rsidRDefault="004A3440" w:rsidP="00D9559C">
      <w:pPr>
        <w:ind w:right="-360"/>
        <w:jc w:val="both"/>
        <w:rPr>
          <w:b/>
          <w:color w:val="0F243E" w:themeColor="text2" w:themeShade="80"/>
          <w:sz w:val="28"/>
          <w:szCs w:val="28"/>
        </w:rPr>
      </w:pPr>
      <w:r w:rsidRPr="003C36B1">
        <w:rPr>
          <w:b/>
          <w:color w:val="0F243E" w:themeColor="text2" w:themeShade="80"/>
          <w:sz w:val="28"/>
          <w:szCs w:val="28"/>
        </w:rPr>
        <w:t xml:space="preserve">3. </w:t>
      </w:r>
      <w:r w:rsidRPr="003167BE">
        <w:rPr>
          <w:b/>
          <w:color w:val="0F243E" w:themeColor="text2" w:themeShade="80"/>
          <w:sz w:val="28"/>
          <w:szCs w:val="28"/>
        </w:rPr>
        <w:t>Cooperation for the 2030 Agenda</w:t>
      </w:r>
      <w:r w:rsidRPr="003167BE">
        <w:rPr>
          <w:b/>
          <w:color w:val="0F243E" w:themeColor="text2" w:themeShade="80"/>
          <w:sz w:val="28"/>
          <w:szCs w:val="28"/>
        </w:rPr>
        <w:fldChar w:fldCharType="begin"/>
      </w:r>
      <w:r w:rsidRPr="003167BE">
        <w:rPr>
          <w:color w:val="0F243E" w:themeColor="text2" w:themeShade="80"/>
        </w:rPr>
        <w:instrText xml:space="preserve"> TC "</w:instrText>
      </w:r>
      <w:bookmarkStart w:id="38" w:name="_Toc21777827"/>
      <w:bookmarkStart w:id="39" w:name="_Toc22898023"/>
      <w:bookmarkStart w:id="40" w:name="_Toc38899116"/>
      <w:r w:rsidRPr="003167BE">
        <w:rPr>
          <w:b/>
          <w:color w:val="0F243E" w:themeColor="text2" w:themeShade="80"/>
          <w:sz w:val="28"/>
          <w:szCs w:val="28"/>
        </w:rPr>
        <w:instrText>3</w:instrText>
      </w:r>
      <w:r w:rsidR="00707381" w:rsidRPr="003167BE">
        <w:rPr>
          <w:b/>
          <w:color w:val="0F243E" w:themeColor="text2" w:themeShade="80"/>
          <w:sz w:val="28"/>
          <w:szCs w:val="28"/>
        </w:rPr>
        <w:instrText>.</w:instrText>
      </w:r>
      <w:r w:rsidRPr="003167BE">
        <w:rPr>
          <w:b/>
          <w:color w:val="0F243E" w:themeColor="text2" w:themeShade="80"/>
          <w:sz w:val="28"/>
          <w:szCs w:val="28"/>
        </w:rPr>
        <w:instrText xml:space="preserve"> Cooperation for the 2030 Agenda</w:instrText>
      </w:r>
      <w:bookmarkEnd w:id="38"/>
      <w:bookmarkEnd w:id="39"/>
      <w:bookmarkEnd w:id="40"/>
      <w:r w:rsidRPr="003167BE">
        <w:rPr>
          <w:color w:val="0F243E" w:themeColor="text2" w:themeShade="80"/>
        </w:rPr>
        <w:instrText xml:space="preserve">" \f C \l "1" </w:instrText>
      </w:r>
      <w:r w:rsidRPr="003167BE">
        <w:rPr>
          <w:b/>
          <w:color w:val="0F243E" w:themeColor="text2" w:themeShade="80"/>
          <w:sz w:val="28"/>
          <w:szCs w:val="28"/>
        </w:rPr>
        <w:fldChar w:fldCharType="end"/>
      </w:r>
    </w:p>
    <w:p w14:paraId="3C88708B" w14:textId="2A29F2C4" w:rsidR="003C36B1" w:rsidRPr="003167BE" w:rsidRDefault="003C36B1" w:rsidP="00D9559C">
      <w:pPr>
        <w:spacing w:after="120" w:line="240" w:lineRule="auto"/>
        <w:ind w:right="-360"/>
        <w:jc w:val="both"/>
        <w:rPr>
          <w:rFonts w:cstheme="minorHAnsi"/>
          <w:b/>
          <w:color w:val="0F243E" w:themeColor="text2" w:themeShade="80"/>
          <w:sz w:val="24"/>
          <w:szCs w:val="24"/>
        </w:rPr>
      </w:pPr>
      <w:r w:rsidRPr="003167BE">
        <w:rPr>
          <w:rFonts w:cstheme="minorHAnsi"/>
          <w:b/>
          <w:color w:val="0F243E" w:themeColor="text2" w:themeShade="80"/>
          <w:sz w:val="24"/>
          <w:szCs w:val="24"/>
        </w:rPr>
        <w:t>3.1 Theory of change</w:t>
      </w:r>
      <w:r w:rsidR="000F4267" w:rsidRPr="003167BE">
        <w:rPr>
          <w:rStyle w:val="FootnoteReference"/>
          <w:rFonts w:cstheme="minorHAnsi"/>
          <w:b/>
          <w:color w:val="0F243E" w:themeColor="text2" w:themeShade="80"/>
          <w:sz w:val="24"/>
          <w:szCs w:val="24"/>
        </w:rPr>
        <w:footnoteReference w:id="65"/>
      </w:r>
      <w:r w:rsidRPr="003167BE">
        <w:rPr>
          <w:rFonts w:cstheme="minorHAnsi"/>
          <w:b/>
          <w:color w:val="0F243E" w:themeColor="text2" w:themeShade="80"/>
          <w:sz w:val="24"/>
          <w:szCs w:val="24"/>
        </w:rPr>
        <w:fldChar w:fldCharType="begin"/>
      </w:r>
      <w:r w:rsidRPr="003167BE">
        <w:rPr>
          <w:color w:val="0F243E" w:themeColor="text2" w:themeShade="80"/>
          <w:sz w:val="24"/>
          <w:szCs w:val="24"/>
        </w:rPr>
        <w:instrText xml:space="preserve"> TC "</w:instrText>
      </w:r>
      <w:bookmarkStart w:id="41" w:name="_Toc26184389"/>
      <w:bookmarkStart w:id="42" w:name="_Toc38899117"/>
      <w:r w:rsidRPr="003167BE">
        <w:rPr>
          <w:rFonts w:cstheme="minorHAnsi"/>
          <w:b/>
          <w:color w:val="0F243E" w:themeColor="text2" w:themeShade="80"/>
          <w:sz w:val="24"/>
          <w:szCs w:val="24"/>
        </w:rPr>
        <w:instrText>3.1 Theory of change</w:instrText>
      </w:r>
      <w:bookmarkEnd w:id="41"/>
      <w:bookmarkEnd w:id="42"/>
      <w:r w:rsidRPr="003167BE">
        <w:rPr>
          <w:color w:val="0F243E" w:themeColor="text2" w:themeShade="80"/>
          <w:sz w:val="24"/>
          <w:szCs w:val="24"/>
        </w:rPr>
        <w:instrText xml:space="preserve">" \f C \l "2" </w:instrText>
      </w:r>
      <w:r w:rsidRPr="003167BE">
        <w:rPr>
          <w:rFonts w:cstheme="minorHAnsi"/>
          <w:b/>
          <w:color w:val="0F243E" w:themeColor="text2" w:themeShade="80"/>
          <w:sz w:val="24"/>
          <w:szCs w:val="24"/>
        </w:rPr>
        <w:fldChar w:fldCharType="end"/>
      </w:r>
    </w:p>
    <w:tbl>
      <w:tblPr>
        <w:tblStyle w:val="TableGrid"/>
        <w:tblW w:w="9450" w:type="dxa"/>
        <w:tblInd w:w="270" w:type="dxa"/>
        <w:tblBorders>
          <w:top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450"/>
      </w:tblGrid>
      <w:tr w:rsidR="000B0D28" w:rsidRPr="00D86D88" w14:paraId="2476CAE4" w14:textId="77777777" w:rsidTr="00331E00">
        <w:trPr>
          <w:tblHeader/>
        </w:trPr>
        <w:tc>
          <w:tcPr>
            <w:tcW w:w="9450" w:type="dxa"/>
            <w:shd w:val="clear" w:color="auto" w:fill="C6D9F1" w:themeFill="text2" w:themeFillTint="33"/>
          </w:tcPr>
          <w:p w14:paraId="5B45EBE0" w14:textId="77777777" w:rsidR="000B0D28" w:rsidRPr="00DC13C6" w:rsidRDefault="000B0D28" w:rsidP="00D9559C">
            <w:pPr>
              <w:spacing w:before="40" w:after="40" w:line="264" w:lineRule="auto"/>
              <w:ind w:right="-360"/>
              <w:jc w:val="both"/>
              <w:rPr>
                <w:rFonts w:ascii="Calibri" w:hAnsi="Calibri"/>
                <w:b/>
                <w:sz w:val="20"/>
                <w:szCs w:val="20"/>
              </w:rPr>
            </w:pPr>
            <w:r w:rsidRPr="00DC13C6">
              <w:rPr>
                <w:rFonts w:ascii="Calibri" w:hAnsi="Calibri"/>
                <w:b/>
                <w:sz w:val="20"/>
                <w:szCs w:val="20"/>
              </w:rPr>
              <w:t>BiH-UN Cooperation Framework: Summary theory of change</w:t>
            </w:r>
          </w:p>
        </w:tc>
      </w:tr>
      <w:tr w:rsidR="000B0D28" w:rsidRPr="0069604A" w14:paraId="5CBB9E4E" w14:textId="77777777" w:rsidTr="00331E00">
        <w:tc>
          <w:tcPr>
            <w:tcW w:w="9450" w:type="dxa"/>
          </w:tcPr>
          <w:p w14:paraId="7C52507C" w14:textId="58BD44DB" w:rsidR="000B0D28" w:rsidRPr="0069604A" w:rsidRDefault="000B0D28" w:rsidP="00D9559C">
            <w:pPr>
              <w:spacing w:before="40" w:after="60"/>
              <w:ind w:right="-360"/>
              <w:jc w:val="both"/>
              <w:rPr>
                <w:rFonts w:ascii="Calibri" w:hAnsi="Calibri"/>
                <w:b/>
                <w:sz w:val="20"/>
                <w:szCs w:val="20"/>
              </w:rPr>
            </w:pPr>
            <w:r w:rsidRPr="0069604A">
              <w:rPr>
                <w:rFonts w:ascii="Calibri" w:hAnsi="Calibri"/>
                <w:b/>
                <w:sz w:val="20"/>
                <w:szCs w:val="20"/>
              </w:rPr>
              <w:t xml:space="preserve">By 2030, achievement of </w:t>
            </w:r>
            <w:r w:rsidR="00986BA0" w:rsidRPr="0069604A">
              <w:rPr>
                <w:rFonts w:ascii="Calibri" w:hAnsi="Calibri"/>
                <w:b/>
                <w:sz w:val="20"/>
                <w:szCs w:val="20"/>
              </w:rPr>
              <w:t>the</w:t>
            </w:r>
            <w:r w:rsidRPr="0069604A">
              <w:rPr>
                <w:rFonts w:ascii="Calibri" w:hAnsi="Calibri"/>
                <w:b/>
                <w:sz w:val="20"/>
                <w:szCs w:val="20"/>
              </w:rPr>
              <w:t xml:space="preserve"> priorities</w:t>
            </w:r>
            <w:r w:rsidR="00986BA0" w:rsidRPr="0069604A">
              <w:rPr>
                <w:rFonts w:ascii="Calibri" w:hAnsi="Calibri"/>
                <w:b/>
                <w:sz w:val="20"/>
                <w:szCs w:val="20"/>
              </w:rPr>
              <w:t xml:space="preserve"> in BiH</w:t>
            </w:r>
            <w:r w:rsidRPr="0069604A">
              <w:rPr>
                <w:rFonts w:ascii="Calibri" w:hAnsi="Calibri"/>
                <w:b/>
                <w:sz w:val="20"/>
                <w:szCs w:val="20"/>
              </w:rPr>
              <w:t xml:space="preserve">, including the sustainable development goals and domesticated SDG targets </w:t>
            </w:r>
            <w:r w:rsidRPr="0069604A">
              <w:rPr>
                <w:rFonts w:ascii="Calibri" w:hAnsi="Calibri"/>
                <w:b/>
                <w:i/>
                <w:sz w:val="20"/>
                <w:szCs w:val="20"/>
              </w:rPr>
              <w:t>will depend upon</w:t>
            </w:r>
            <w:r w:rsidRPr="0069604A">
              <w:rPr>
                <w:rFonts w:ascii="Calibri" w:hAnsi="Calibri"/>
                <w:b/>
                <w:sz w:val="20"/>
                <w:szCs w:val="20"/>
              </w:rPr>
              <w:t xml:space="preserve"> sustainable and diversified economic growth, with benefits that are more widely and fairly shared</w:t>
            </w:r>
          </w:p>
          <w:p w14:paraId="7CE6A612" w14:textId="77777777" w:rsidR="000B0D28" w:rsidRPr="0069604A" w:rsidRDefault="000B0D28" w:rsidP="00D9559C">
            <w:pPr>
              <w:spacing w:after="60"/>
              <w:ind w:right="-360"/>
              <w:jc w:val="both"/>
              <w:rPr>
                <w:rFonts w:ascii="Calibri" w:hAnsi="Calibri"/>
                <w:b/>
                <w:sz w:val="20"/>
                <w:szCs w:val="20"/>
              </w:rPr>
            </w:pPr>
            <w:r w:rsidRPr="0069604A">
              <w:rPr>
                <w:rFonts w:ascii="Calibri" w:hAnsi="Calibri"/>
                <w:b/>
                <w:sz w:val="20"/>
                <w:szCs w:val="20"/>
              </w:rPr>
              <w:t xml:space="preserve">By 2025, this will </w:t>
            </w:r>
            <w:r w:rsidRPr="0069604A">
              <w:rPr>
                <w:rFonts w:ascii="Calibri" w:hAnsi="Calibri"/>
                <w:b/>
                <w:i/>
                <w:sz w:val="20"/>
                <w:szCs w:val="20"/>
              </w:rPr>
              <w:t>depend upon</w:t>
            </w:r>
            <w:r w:rsidRPr="0069604A">
              <w:rPr>
                <w:rFonts w:ascii="Calibri" w:hAnsi="Calibri"/>
                <w:b/>
                <w:sz w:val="20"/>
                <w:szCs w:val="20"/>
              </w:rPr>
              <w:t>:</w:t>
            </w:r>
          </w:p>
          <w:p w14:paraId="377DF8A6" w14:textId="21DAB5A7" w:rsidR="000B0D28" w:rsidRPr="0069604A" w:rsidRDefault="000B0D28" w:rsidP="00D9559C">
            <w:pPr>
              <w:pStyle w:val="ListParagraph"/>
              <w:numPr>
                <w:ilvl w:val="0"/>
                <w:numId w:val="12"/>
              </w:numPr>
              <w:spacing w:after="60"/>
              <w:ind w:left="426" w:right="-360" w:hanging="270"/>
              <w:contextualSpacing w:val="0"/>
              <w:jc w:val="both"/>
              <w:rPr>
                <w:rFonts w:cstheme="minorHAnsi"/>
                <w:sz w:val="20"/>
                <w:szCs w:val="20"/>
              </w:rPr>
            </w:pPr>
            <w:r w:rsidRPr="0069604A">
              <w:rPr>
                <w:rFonts w:cstheme="minorHAnsi"/>
                <w:sz w:val="20"/>
                <w:szCs w:val="20"/>
              </w:rPr>
              <w:t xml:space="preserve">A </w:t>
            </w:r>
            <w:r w:rsidRPr="0069604A">
              <w:rPr>
                <w:rFonts w:cstheme="minorHAnsi"/>
                <w:sz w:val="20"/>
                <w:szCs w:val="20"/>
                <w:lang w:val="en-CA"/>
              </w:rPr>
              <w:t xml:space="preserve">stronger policy and regulatory environment </w:t>
            </w:r>
            <w:r w:rsidRPr="0069604A">
              <w:rPr>
                <w:rFonts w:cstheme="minorHAnsi"/>
                <w:sz w:val="20"/>
                <w:szCs w:val="20"/>
              </w:rPr>
              <w:t>to enable low-carbon development, spur business development, support the creation of green and decent jobs</w:t>
            </w:r>
            <w:r w:rsidR="000076CB" w:rsidRPr="0069604A">
              <w:rPr>
                <w:rFonts w:cstheme="minorHAnsi"/>
                <w:sz w:val="20"/>
                <w:szCs w:val="20"/>
              </w:rPr>
              <w:t xml:space="preserve"> for all</w:t>
            </w:r>
            <w:r w:rsidRPr="0069604A">
              <w:rPr>
                <w:rFonts w:cstheme="minorHAnsi"/>
                <w:sz w:val="20"/>
                <w:szCs w:val="20"/>
              </w:rPr>
              <w:t>, and enhance environmental management,</w:t>
            </w:r>
          </w:p>
          <w:p w14:paraId="76B8D8BC" w14:textId="77777777" w:rsidR="000B0D28" w:rsidRPr="0069604A" w:rsidRDefault="000B0D28" w:rsidP="00D9559C">
            <w:pPr>
              <w:pStyle w:val="ListParagraph"/>
              <w:numPr>
                <w:ilvl w:val="0"/>
                <w:numId w:val="12"/>
              </w:numPr>
              <w:spacing w:after="60"/>
              <w:ind w:left="426" w:right="-360" w:hanging="270"/>
              <w:contextualSpacing w:val="0"/>
              <w:jc w:val="both"/>
              <w:rPr>
                <w:rFonts w:cstheme="minorHAnsi"/>
                <w:sz w:val="20"/>
                <w:szCs w:val="20"/>
              </w:rPr>
            </w:pPr>
            <w:r w:rsidRPr="0069604A">
              <w:rPr>
                <w:rFonts w:cstheme="minorHAnsi"/>
                <w:sz w:val="20"/>
                <w:szCs w:val="20"/>
                <w:lang w:eastAsia="en-CA"/>
              </w:rPr>
              <w:t>Conditions for more inclusive and higher quality education that offer all children and young people the 21</w:t>
            </w:r>
            <w:r w:rsidRPr="0069604A">
              <w:rPr>
                <w:rFonts w:cstheme="minorHAnsi"/>
                <w:sz w:val="20"/>
                <w:szCs w:val="20"/>
                <w:vertAlign w:val="superscript"/>
                <w:lang w:eastAsia="en-CA"/>
              </w:rPr>
              <w:t>st</w:t>
            </w:r>
            <w:r w:rsidRPr="0069604A">
              <w:rPr>
                <w:rFonts w:cstheme="minorHAnsi"/>
                <w:sz w:val="20"/>
                <w:szCs w:val="20"/>
                <w:lang w:eastAsia="en-CA"/>
              </w:rPr>
              <w:t xml:space="preserve"> century skills they will need for employment success in a modern, EU-oriented labour market,</w:t>
            </w:r>
          </w:p>
          <w:p w14:paraId="2C5F9BBC" w14:textId="0095B36D" w:rsidR="000B0D28" w:rsidRPr="0069604A" w:rsidRDefault="000B0D28" w:rsidP="00D9559C">
            <w:pPr>
              <w:pStyle w:val="ListParagraph"/>
              <w:numPr>
                <w:ilvl w:val="0"/>
                <w:numId w:val="12"/>
              </w:numPr>
              <w:spacing w:after="60"/>
              <w:ind w:left="426" w:right="-360" w:hanging="270"/>
              <w:contextualSpacing w:val="0"/>
              <w:jc w:val="both"/>
              <w:rPr>
                <w:rFonts w:cstheme="minorHAnsi"/>
                <w:sz w:val="20"/>
                <w:szCs w:val="20"/>
              </w:rPr>
            </w:pPr>
            <w:r w:rsidRPr="0069604A">
              <w:rPr>
                <w:rFonts w:cstheme="minorHAnsi"/>
                <w:sz w:val="20"/>
                <w:szCs w:val="20"/>
                <w:lang w:eastAsia="en-CA"/>
              </w:rPr>
              <w:t>More efficient, fair, inclusive</w:t>
            </w:r>
            <w:r w:rsidR="000076CB" w:rsidRPr="0069604A">
              <w:rPr>
                <w:rFonts w:cstheme="minorHAnsi"/>
                <w:sz w:val="20"/>
                <w:szCs w:val="20"/>
                <w:lang w:eastAsia="en-CA"/>
              </w:rPr>
              <w:t>, and gender-responsive</w:t>
            </w:r>
            <w:r w:rsidRPr="0069604A">
              <w:rPr>
                <w:rFonts w:cstheme="minorHAnsi"/>
                <w:sz w:val="20"/>
                <w:szCs w:val="20"/>
                <w:lang w:eastAsia="en-CA"/>
              </w:rPr>
              <w:t xml:space="preserve"> health and social services  that respond to the context of an </w:t>
            </w:r>
            <w:r w:rsidRPr="0069604A">
              <w:rPr>
                <w:rFonts w:cstheme="minorHAnsi"/>
                <w:sz w:val="20"/>
                <w:szCs w:val="20"/>
              </w:rPr>
              <w:t xml:space="preserve">ageing population and high levels of out-migration, and that better serve </w:t>
            </w:r>
            <w:r w:rsidRPr="0069604A">
              <w:rPr>
                <w:rFonts w:cstheme="minorHAnsi"/>
                <w:sz w:val="20"/>
                <w:szCs w:val="20"/>
                <w:lang w:eastAsia="en-CA"/>
              </w:rPr>
              <w:t>vulnerable groups,</w:t>
            </w:r>
          </w:p>
          <w:p w14:paraId="6AE64373" w14:textId="5D9DD424" w:rsidR="000B0D28" w:rsidRPr="0069604A" w:rsidRDefault="000B0D28" w:rsidP="00D9559C">
            <w:pPr>
              <w:pStyle w:val="ListParagraph"/>
              <w:numPr>
                <w:ilvl w:val="0"/>
                <w:numId w:val="12"/>
              </w:numPr>
              <w:spacing w:after="60"/>
              <w:ind w:left="426" w:right="-360" w:hanging="270"/>
              <w:contextualSpacing w:val="0"/>
              <w:jc w:val="both"/>
              <w:rPr>
                <w:rFonts w:cstheme="minorHAnsi"/>
                <w:sz w:val="20"/>
                <w:szCs w:val="20"/>
              </w:rPr>
            </w:pPr>
            <w:r w:rsidRPr="0069604A">
              <w:rPr>
                <w:rFonts w:cstheme="minorHAnsi"/>
                <w:sz w:val="20"/>
                <w:szCs w:val="20"/>
                <w:lang w:eastAsia="en-CA"/>
              </w:rPr>
              <w:t>Practical reforms to strengthen</w:t>
            </w:r>
            <w:r w:rsidR="00574D19" w:rsidRPr="0069604A">
              <w:rPr>
                <w:rFonts w:cstheme="minorHAnsi"/>
                <w:sz w:val="20"/>
                <w:szCs w:val="20"/>
                <w:lang w:eastAsia="en-CA"/>
              </w:rPr>
              <w:t xml:space="preserve"> </w:t>
            </w:r>
            <w:r w:rsidR="004B0341" w:rsidRPr="0069604A">
              <w:rPr>
                <w:rFonts w:cstheme="minorHAnsi"/>
                <w:sz w:val="20"/>
                <w:szCs w:val="20"/>
                <w:lang w:eastAsia="en-CA"/>
              </w:rPr>
              <w:t>democracy through good</w:t>
            </w:r>
            <w:r w:rsidRPr="0069604A">
              <w:rPr>
                <w:rFonts w:cstheme="minorHAnsi"/>
                <w:sz w:val="20"/>
                <w:szCs w:val="20"/>
                <w:lang w:eastAsia="en-CA"/>
              </w:rPr>
              <w:t xml:space="preserve"> governance</w:t>
            </w:r>
            <w:r w:rsidR="004B0341" w:rsidRPr="0069604A">
              <w:rPr>
                <w:rFonts w:cstheme="minorHAnsi"/>
                <w:sz w:val="20"/>
                <w:szCs w:val="20"/>
                <w:lang w:eastAsia="en-CA"/>
              </w:rPr>
              <w:t>, human rights</w:t>
            </w:r>
            <w:r w:rsidRPr="0069604A">
              <w:rPr>
                <w:rFonts w:cstheme="minorHAnsi"/>
                <w:sz w:val="20"/>
                <w:szCs w:val="20"/>
                <w:lang w:eastAsia="en-CA"/>
              </w:rPr>
              <w:t xml:space="preserve"> and the rule of law and </w:t>
            </w:r>
            <w:r w:rsidRPr="0069604A">
              <w:rPr>
                <w:rFonts w:cstheme="minorHAnsi"/>
                <w:sz w:val="20"/>
                <w:szCs w:val="20"/>
              </w:rPr>
              <w:t xml:space="preserve">more </w:t>
            </w:r>
            <w:r w:rsidRPr="0069604A">
              <w:rPr>
                <w:sz w:val="20"/>
                <w:szCs w:val="20"/>
              </w:rPr>
              <w:t xml:space="preserve">accountable institutions to deliver effective public services </w:t>
            </w:r>
            <w:r w:rsidRPr="0069604A">
              <w:rPr>
                <w:rFonts w:cstheme="minorHAnsi"/>
                <w:sz w:val="20"/>
                <w:szCs w:val="20"/>
              </w:rPr>
              <w:t>that are gender-responsive and inclusive of vulnerable groups, and</w:t>
            </w:r>
          </w:p>
          <w:p w14:paraId="1EB68FE9" w14:textId="77777777" w:rsidR="000B0D28" w:rsidRPr="0069604A" w:rsidRDefault="000B0D28" w:rsidP="00D9559C">
            <w:pPr>
              <w:pStyle w:val="ListParagraph"/>
              <w:numPr>
                <w:ilvl w:val="0"/>
                <w:numId w:val="12"/>
              </w:numPr>
              <w:spacing w:after="120" w:line="264" w:lineRule="auto"/>
              <w:ind w:left="426" w:right="-360" w:hanging="270"/>
              <w:contextualSpacing w:val="0"/>
              <w:jc w:val="both"/>
              <w:rPr>
                <w:rFonts w:cstheme="minorHAnsi"/>
                <w:sz w:val="20"/>
                <w:szCs w:val="20"/>
              </w:rPr>
            </w:pPr>
            <w:r w:rsidRPr="0069604A">
              <w:rPr>
                <w:rFonts w:cstheme="minorHAnsi"/>
                <w:sz w:val="20"/>
                <w:szCs w:val="20"/>
                <w:lang w:eastAsia="en-CA"/>
              </w:rPr>
              <w:t>I</w:t>
            </w:r>
            <w:r w:rsidRPr="0069604A">
              <w:rPr>
                <w:rFonts w:cstheme="minorHAnsi"/>
                <w:sz w:val="20"/>
                <w:szCs w:val="20"/>
              </w:rPr>
              <w:t xml:space="preserve">ncreased levels of mutual respect, trust and empathy between people and communities across all of BiH.  </w:t>
            </w:r>
          </w:p>
        </w:tc>
      </w:tr>
    </w:tbl>
    <w:p w14:paraId="6F49CC59" w14:textId="7D3172D5" w:rsidR="000B0D28" w:rsidRPr="0069604A" w:rsidRDefault="000B0D28" w:rsidP="00D9559C">
      <w:pPr>
        <w:pStyle w:val="ListParagraph"/>
        <w:numPr>
          <w:ilvl w:val="0"/>
          <w:numId w:val="0"/>
        </w:numPr>
        <w:spacing w:after="120"/>
        <w:ind w:left="357" w:right="-360"/>
        <w:contextualSpacing w:val="0"/>
        <w:jc w:val="both"/>
        <w:rPr>
          <w:rFonts w:ascii="Calibri" w:hAnsi="Calibri"/>
          <w:b/>
          <w:sz w:val="21"/>
          <w:szCs w:val="21"/>
          <w:lang w:val="en-CA"/>
        </w:rPr>
      </w:pPr>
    </w:p>
    <w:p w14:paraId="59526A8C" w14:textId="02326950" w:rsidR="00E02262" w:rsidRPr="003167BE" w:rsidRDefault="003C36B1" w:rsidP="00D9559C">
      <w:pPr>
        <w:pStyle w:val="ListParagraph"/>
        <w:numPr>
          <w:ilvl w:val="0"/>
          <w:numId w:val="3"/>
        </w:numPr>
        <w:spacing w:after="120"/>
        <w:ind w:left="357" w:right="-360" w:hanging="357"/>
        <w:contextualSpacing w:val="0"/>
        <w:jc w:val="both"/>
        <w:rPr>
          <w:rFonts w:ascii="Calibri" w:hAnsi="Calibri"/>
          <w:b/>
          <w:sz w:val="21"/>
          <w:szCs w:val="21"/>
          <w:lang w:val="en-CA"/>
        </w:rPr>
      </w:pPr>
      <w:r w:rsidRPr="0069604A">
        <w:rPr>
          <w:rFonts w:ascii="Calibri" w:hAnsi="Calibri"/>
          <w:sz w:val="21"/>
          <w:szCs w:val="21"/>
          <w:lang w:val="en-CA"/>
        </w:rPr>
        <w:t>This cooperation framework is d</w:t>
      </w:r>
      <w:r w:rsidRPr="0069604A">
        <w:rPr>
          <w:rFonts w:ascii="Calibri" w:hAnsi="Calibri"/>
          <w:sz w:val="21"/>
          <w:szCs w:val="21"/>
        </w:rPr>
        <w:t xml:space="preserve">riven by </w:t>
      </w:r>
      <w:r w:rsidR="00E24657" w:rsidRPr="0069604A">
        <w:rPr>
          <w:rFonts w:ascii="Calibri" w:hAnsi="Calibri"/>
          <w:sz w:val="21"/>
          <w:szCs w:val="21"/>
        </w:rPr>
        <w:t xml:space="preserve">the </w:t>
      </w:r>
      <w:r w:rsidRPr="0069604A">
        <w:rPr>
          <w:rFonts w:ascii="Calibri" w:hAnsi="Calibri"/>
          <w:sz w:val="21"/>
          <w:szCs w:val="21"/>
        </w:rPr>
        <w:t>priorities</w:t>
      </w:r>
      <w:r w:rsidR="00510EBA" w:rsidRPr="0069604A">
        <w:rPr>
          <w:rFonts w:ascii="Calibri" w:hAnsi="Calibri"/>
          <w:sz w:val="21"/>
          <w:szCs w:val="21"/>
        </w:rPr>
        <w:t xml:space="preserve"> </w:t>
      </w:r>
      <w:r w:rsidR="00510EBA" w:rsidRPr="0069604A">
        <w:rPr>
          <w:rFonts w:ascii="Calibri" w:hAnsi="Calibri"/>
          <w:sz w:val="21"/>
          <w:szCs w:val="21"/>
          <w:lang w:val="en-CA"/>
        </w:rPr>
        <w:t>and domesticated SDG targets</w:t>
      </w:r>
      <w:r w:rsidR="00DF6600" w:rsidRPr="0069604A">
        <w:rPr>
          <w:rStyle w:val="FootnoteReference"/>
          <w:rFonts w:ascii="Calibri" w:hAnsi="Calibri"/>
          <w:sz w:val="21"/>
          <w:szCs w:val="21"/>
        </w:rPr>
        <w:footnoteReference w:id="66"/>
      </w:r>
      <w:r w:rsidR="00E24657" w:rsidRPr="0069604A">
        <w:rPr>
          <w:rFonts w:ascii="Calibri" w:hAnsi="Calibri"/>
          <w:sz w:val="21"/>
          <w:szCs w:val="21"/>
          <w:lang w:val="en-CA"/>
        </w:rPr>
        <w:t xml:space="preserve"> in BiH</w:t>
      </w:r>
      <w:r w:rsidRPr="0069604A">
        <w:rPr>
          <w:rFonts w:ascii="Calibri" w:hAnsi="Calibri"/>
          <w:sz w:val="21"/>
          <w:szCs w:val="21"/>
        </w:rPr>
        <w:t xml:space="preserve">. </w:t>
      </w:r>
      <w:r w:rsidR="00510EBA" w:rsidRPr="0069604A">
        <w:rPr>
          <w:rFonts w:ascii="Calibri" w:hAnsi="Calibri"/>
          <w:sz w:val="21"/>
          <w:szCs w:val="21"/>
        </w:rPr>
        <w:t>To contribute to these priorities and targets, c</w:t>
      </w:r>
      <w:r w:rsidR="009604C0" w:rsidRPr="0069604A">
        <w:rPr>
          <w:rFonts w:ascii="Calibri" w:hAnsi="Calibri"/>
          <w:sz w:val="21"/>
          <w:szCs w:val="21"/>
        </w:rPr>
        <w:t xml:space="preserve">ooperation </w:t>
      </w:r>
      <w:r w:rsidR="009B7EC6" w:rsidRPr="0069604A">
        <w:rPr>
          <w:rFonts w:ascii="Calibri" w:hAnsi="Calibri"/>
          <w:sz w:val="21"/>
          <w:szCs w:val="21"/>
        </w:rPr>
        <w:t xml:space="preserve">aims to achieve </w:t>
      </w:r>
      <w:r w:rsidR="00950216" w:rsidRPr="0069604A">
        <w:rPr>
          <w:rFonts w:ascii="Calibri" w:hAnsi="Calibri"/>
          <w:sz w:val="21"/>
          <w:szCs w:val="21"/>
        </w:rPr>
        <w:t>a</w:t>
      </w:r>
      <w:r w:rsidR="009604C0" w:rsidRPr="0069604A">
        <w:rPr>
          <w:rFonts w:ascii="Calibri" w:hAnsi="Calibri"/>
          <w:sz w:val="21"/>
          <w:szCs w:val="21"/>
        </w:rPr>
        <w:t xml:space="preserve"> set of inter-connected changes </w:t>
      </w:r>
      <w:r w:rsidR="00950216" w:rsidRPr="0069604A">
        <w:rPr>
          <w:rFonts w:ascii="Calibri" w:hAnsi="Calibri"/>
          <w:sz w:val="21"/>
          <w:szCs w:val="21"/>
        </w:rPr>
        <w:t>that</w:t>
      </w:r>
      <w:r w:rsidR="00950216" w:rsidRPr="003167BE">
        <w:rPr>
          <w:rFonts w:ascii="Calibri" w:hAnsi="Calibri"/>
          <w:sz w:val="21"/>
          <w:szCs w:val="21"/>
        </w:rPr>
        <w:t xml:space="preserve"> will </w:t>
      </w:r>
      <w:r w:rsidR="00734019" w:rsidRPr="003167BE">
        <w:rPr>
          <w:rFonts w:ascii="Calibri" w:hAnsi="Calibri"/>
          <w:sz w:val="21"/>
          <w:szCs w:val="21"/>
        </w:rPr>
        <w:t xml:space="preserve">strengthen </w:t>
      </w:r>
      <w:r w:rsidR="00950216" w:rsidRPr="003167BE">
        <w:rPr>
          <w:rFonts w:ascii="Calibri" w:hAnsi="Calibri"/>
          <w:sz w:val="21"/>
          <w:szCs w:val="21"/>
        </w:rPr>
        <w:t xml:space="preserve">institutional and community level </w:t>
      </w:r>
      <w:r w:rsidR="0073115B" w:rsidRPr="003167BE">
        <w:rPr>
          <w:rFonts w:ascii="Calibri" w:hAnsi="Calibri"/>
          <w:sz w:val="21"/>
          <w:szCs w:val="21"/>
        </w:rPr>
        <w:t xml:space="preserve">conditions for </w:t>
      </w:r>
      <w:r w:rsidR="00950216" w:rsidRPr="003167BE">
        <w:rPr>
          <w:rFonts w:ascii="Calibri" w:hAnsi="Calibri"/>
          <w:b/>
          <w:sz w:val="21"/>
          <w:szCs w:val="21"/>
          <w:lang w:val="en-CA"/>
        </w:rPr>
        <w:t>sustainable and diversified economic growth, with benefits that are more widely and fairly shared</w:t>
      </w:r>
      <w:r w:rsidR="00D9485D">
        <w:rPr>
          <w:rFonts w:ascii="Calibri" w:hAnsi="Calibri"/>
          <w:b/>
          <w:sz w:val="21"/>
          <w:szCs w:val="21"/>
          <w:lang w:val="en-CA"/>
        </w:rPr>
        <w:t xml:space="preserve"> </w:t>
      </w:r>
      <w:r w:rsidR="00D9485D">
        <w:rPr>
          <w:rFonts w:ascii="Calibri" w:hAnsi="Calibri"/>
          <w:sz w:val="21"/>
          <w:szCs w:val="21"/>
          <w:lang w:val="en-CA"/>
        </w:rPr>
        <w:t xml:space="preserve">across all people, </w:t>
      </w:r>
      <w:r w:rsidR="00257113">
        <w:rPr>
          <w:rFonts w:ascii="Calibri" w:hAnsi="Calibri"/>
          <w:sz w:val="21"/>
          <w:szCs w:val="21"/>
          <w:lang w:val="en-CA"/>
        </w:rPr>
        <w:t>particularly those that are vulnerable</w:t>
      </w:r>
      <w:r w:rsidR="00950216" w:rsidRPr="003167BE">
        <w:rPr>
          <w:rFonts w:ascii="Calibri" w:hAnsi="Calibri"/>
          <w:sz w:val="21"/>
          <w:szCs w:val="21"/>
          <w:lang w:val="en-CA"/>
        </w:rPr>
        <w:t xml:space="preserve">. </w:t>
      </w:r>
      <w:r w:rsidRPr="003167BE">
        <w:rPr>
          <w:rFonts w:ascii="Calibri" w:hAnsi="Calibri"/>
          <w:sz w:val="21"/>
          <w:szCs w:val="21"/>
          <w:lang w:val="en-CA"/>
        </w:rPr>
        <w:t xml:space="preserve">There are </w:t>
      </w:r>
      <w:r w:rsidRPr="003167BE">
        <w:rPr>
          <w:rFonts w:ascii="Calibri" w:hAnsi="Calibri"/>
          <w:sz w:val="21"/>
          <w:szCs w:val="21"/>
          <w:u w:val="single"/>
          <w:lang w:val="en-CA"/>
        </w:rPr>
        <w:t>f</w:t>
      </w:r>
      <w:r w:rsidR="00510EBA" w:rsidRPr="003167BE">
        <w:rPr>
          <w:rFonts w:ascii="Calibri" w:hAnsi="Calibri"/>
          <w:sz w:val="21"/>
          <w:szCs w:val="21"/>
          <w:u w:val="single"/>
          <w:lang w:val="en-CA"/>
        </w:rPr>
        <w:t>ive</w:t>
      </w:r>
      <w:r w:rsidRPr="003167BE">
        <w:rPr>
          <w:rFonts w:ascii="Calibri" w:hAnsi="Calibri"/>
          <w:sz w:val="21"/>
          <w:szCs w:val="21"/>
          <w:u w:val="single"/>
          <w:lang w:val="en-CA"/>
        </w:rPr>
        <w:t xml:space="preserve"> main </w:t>
      </w:r>
      <w:r w:rsidRPr="003167BE">
        <w:rPr>
          <w:rFonts w:ascii="Calibri" w:hAnsi="Calibri"/>
          <w:i/>
          <w:sz w:val="21"/>
          <w:szCs w:val="21"/>
          <w:u w:val="single"/>
          <w:lang w:val="en-CA"/>
        </w:rPr>
        <w:t>conditions</w:t>
      </w:r>
      <w:r w:rsidRPr="003167BE">
        <w:rPr>
          <w:rFonts w:ascii="Calibri" w:hAnsi="Calibri"/>
          <w:sz w:val="21"/>
          <w:szCs w:val="21"/>
          <w:lang w:val="en-CA"/>
        </w:rPr>
        <w:t xml:space="preserve"> for this </w:t>
      </w:r>
      <w:r w:rsidR="00950216" w:rsidRPr="003167BE">
        <w:rPr>
          <w:rFonts w:ascii="Calibri" w:hAnsi="Calibri"/>
          <w:sz w:val="21"/>
          <w:szCs w:val="21"/>
          <w:lang w:val="en-CA"/>
        </w:rPr>
        <w:t>change</w:t>
      </w:r>
      <w:r w:rsidR="00510EBA" w:rsidRPr="003167BE">
        <w:rPr>
          <w:rFonts w:ascii="Calibri" w:hAnsi="Calibri"/>
          <w:sz w:val="21"/>
          <w:szCs w:val="21"/>
          <w:lang w:val="en-CA"/>
        </w:rPr>
        <w:t>:</w:t>
      </w:r>
    </w:p>
    <w:p w14:paraId="49CE65D5" w14:textId="141DD813" w:rsidR="00E02262" w:rsidRPr="003167BE" w:rsidRDefault="003C36B1" w:rsidP="00D9559C">
      <w:pPr>
        <w:pStyle w:val="ListParagraph"/>
        <w:numPr>
          <w:ilvl w:val="0"/>
          <w:numId w:val="3"/>
        </w:numPr>
        <w:spacing w:after="120"/>
        <w:ind w:left="357" w:right="-360" w:hanging="357"/>
        <w:contextualSpacing w:val="0"/>
        <w:jc w:val="both"/>
        <w:rPr>
          <w:rFonts w:cstheme="minorHAnsi"/>
          <w:sz w:val="21"/>
          <w:szCs w:val="21"/>
          <w:lang w:val="en-CA"/>
        </w:rPr>
      </w:pPr>
      <w:r w:rsidRPr="003167BE">
        <w:rPr>
          <w:rFonts w:cstheme="minorHAnsi"/>
          <w:sz w:val="21"/>
          <w:szCs w:val="21"/>
          <w:lang w:val="en-CA"/>
        </w:rPr>
        <w:t>First</w:t>
      </w:r>
      <w:r w:rsidR="00E74389" w:rsidRPr="003167BE">
        <w:rPr>
          <w:rFonts w:cstheme="minorHAnsi"/>
          <w:sz w:val="21"/>
          <w:szCs w:val="21"/>
          <w:lang w:val="en-CA"/>
        </w:rPr>
        <w:t>,</w:t>
      </w:r>
      <w:r w:rsidR="00E02262" w:rsidRPr="003167BE">
        <w:rPr>
          <w:rFonts w:cstheme="minorHAnsi"/>
          <w:sz w:val="21"/>
          <w:szCs w:val="21"/>
          <w:lang w:val="en-CA"/>
        </w:rPr>
        <w:t xml:space="preserve"> </w:t>
      </w:r>
      <w:r w:rsidR="00950216" w:rsidRPr="003167BE">
        <w:rPr>
          <w:rFonts w:cstheme="minorHAnsi"/>
          <w:sz w:val="21"/>
          <w:szCs w:val="21"/>
          <w:lang w:val="en-CA"/>
        </w:rPr>
        <w:t xml:space="preserve">cooperation efforts must address the </w:t>
      </w:r>
      <w:r w:rsidR="00E02262" w:rsidRPr="003167BE">
        <w:rPr>
          <w:bCs/>
          <w:sz w:val="21"/>
          <w:szCs w:val="21"/>
        </w:rPr>
        <w:t xml:space="preserve">structural weaknesses </w:t>
      </w:r>
      <w:r w:rsidR="00950216" w:rsidRPr="003167BE">
        <w:rPr>
          <w:bCs/>
          <w:sz w:val="21"/>
          <w:szCs w:val="21"/>
        </w:rPr>
        <w:t>of the economy</w:t>
      </w:r>
      <w:r w:rsidR="005E4C34" w:rsidRPr="003167BE">
        <w:rPr>
          <w:bCs/>
          <w:sz w:val="21"/>
          <w:szCs w:val="21"/>
        </w:rPr>
        <w:t>. These are</w:t>
      </w:r>
      <w:r w:rsidR="009C311D" w:rsidRPr="003167BE">
        <w:rPr>
          <w:bCs/>
          <w:sz w:val="21"/>
          <w:szCs w:val="21"/>
        </w:rPr>
        <w:t xml:space="preserve"> a</w:t>
      </w:r>
      <w:r w:rsidR="009C311D" w:rsidRPr="003167BE">
        <w:rPr>
          <w:rFonts w:cstheme="minorHAnsi"/>
          <w:sz w:val="21"/>
          <w:szCs w:val="21"/>
        </w:rPr>
        <w:t xml:space="preserve"> major driver of poverty and exclusion</w:t>
      </w:r>
      <w:r w:rsidR="00C37B17" w:rsidRPr="003167BE">
        <w:rPr>
          <w:rFonts w:cstheme="minorHAnsi"/>
          <w:sz w:val="21"/>
          <w:szCs w:val="21"/>
        </w:rPr>
        <w:t>,</w:t>
      </w:r>
      <w:r w:rsidR="009C311D" w:rsidRPr="003167BE">
        <w:rPr>
          <w:rFonts w:cstheme="minorHAnsi"/>
          <w:sz w:val="21"/>
          <w:szCs w:val="21"/>
        </w:rPr>
        <w:t xml:space="preserve"> with </w:t>
      </w:r>
      <w:r w:rsidR="009C311D" w:rsidRPr="003167BE">
        <w:rPr>
          <w:sz w:val="21"/>
          <w:szCs w:val="21"/>
        </w:rPr>
        <w:t>over 170,000 households and half a million people in BiH living below the BiH poverty line</w:t>
      </w:r>
      <w:r w:rsidR="009C311D" w:rsidRPr="003167BE">
        <w:rPr>
          <w:rStyle w:val="FootnoteReference"/>
          <w:sz w:val="21"/>
          <w:szCs w:val="21"/>
        </w:rPr>
        <w:footnoteReference w:id="67"/>
      </w:r>
      <w:r w:rsidR="009C311D" w:rsidRPr="003167BE">
        <w:rPr>
          <w:sz w:val="21"/>
          <w:szCs w:val="21"/>
        </w:rPr>
        <w:t xml:space="preserve">. </w:t>
      </w:r>
      <w:r w:rsidR="005E4C34" w:rsidRPr="003167BE">
        <w:rPr>
          <w:sz w:val="21"/>
          <w:szCs w:val="21"/>
        </w:rPr>
        <w:t>F</w:t>
      </w:r>
      <w:r w:rsidR="009C311D" w:rsidRPr="003167BE">
        <w:rPr>
          <w:sz w:val="21"/>
          <w:szCs w:val="21"/>
        </w:rPr>
        <w:t xml:space="preserve">actors </w:t>
      </w:r>
      <w:r w:rsidR="009C311D" w:rsidRPr="003167BE">
        <w:rPr>
          <w:bCs/>
          <w:sz w:val="21"/>
          <w:szCs w:val="21"/>
        </w:rPr>
        <w:t>impeding</w:t>
      </w:r>
      <w:r w:rsidR="00E02262" w:rsidRPr="003167BE">
        <w:rPr>
          <w:bCs/>
          <w:sz w:val="21"/>
          <w:szCs w:val="21"/>
        </w:rPr>
        <w:t xml:space="preserve"> faster and more inclusive growth</w:t>
      </w:r>
      <w:r w:rsidR="00D7440D" w:rsidRPr="003167BE">
        <w:rPr>
          <w:bCs/>
          <w:sz w:val="21"/>
          <w:szCs w:val="21"/>
        </w:rPr>
        <w:t xml:space="preserve"> are</w:t>
      </w:r>
      <w:r w:rsidR="009C311D" w:rsidRPr="003167BE">
        <w:rPr>
          <w:bCs/>
          <w:sz w:val="21"/>
          <w:szCs w:val="21"/>
        </w:rPr>
        <w:t xml:space="preserve">: an over-reliance on consumption growth, </w:t>
      </w:r>
      <w:r w:rsidR="00E02262" w:rsidRPr="003167BE">
        <w:rPr>
          <w:rFonts w:cstheme="minorHAnsi"/>
          <w:sz w:val="21"/>
          <w:szCs w:val="21"/>
        </w:rPr>
        <w:t>inefficient markets, low labour force participation rate in the formal economy, especially for women and young people, limited access to finance</w:t>
      </w:r>
      <w:r w:rsidR="00E02262" w:rsidRPr="003167BE">
        <w:rPr>
          <w:rStyle w:val="FootnoteReference"/>
          <w:rFonts w:cstheme="minorHAnsi"/>
          <w:color w:val="000000" w:themeColor="text1"/>
          <w:sz w:val="21"/>
          <w:szCs w:val="21"/>
        </w:rPr>
        <w:footnoteReference w:id="68"/>
      </w:r>
      <w:r w:rsidR="00E02262" w:rsidRPr="003167BE">
        <w:rPr>
          <w:rFonts w:cstheme="minorHAnsi"/>
          <w:sz w:val="21"/>
          <w:szCs w:val="21"/>
        </w:rPr>
        <w:t xml:space="preserve">, insufficiently developed business clusters and value chains, unclear property rights and a cumbersome regulatory environment, and corruption. Some 80% of </w:t>
      </w:r>
      <w:r w:rsidR="008358F1" w:rsidRPr="003167BE">
        <w:rPr>
          <w:rFonts w:cstheme="minorHAnsi"/>
          <w:sz w:val="21"/>
          <w:szCs w:val="21"/>
        </w:rPr>
        <w:t>BiH</w:t>
      </w:r>
      <w:r w:rsidR="00E02262" w:rsidRPr="003167BE">
        <w:rPr>
          <w:rFonts w:cstheme="minorHAnsi"/>
          <w:sz w:val="21"/>
          <w:szCs w:val="21"/>
        </w:rPr>
        <w:t xml:space="preserve"> exports are concentrated in the hands of ten companies and the shares of GDP devoted to savings and investment are below that of countries in the region, depriving BiH of needed capital and new technology to </w:t>
      </w:r>
      <w:r w:rsidR="00E02262" w:rsidRPr="007E4270">
        <w:rPr>
          <w:rFonts w:cstheme="minorHAnsi"/>
          <w:sz w:val="21"/>
          <w:szCs w:val="21"/>
        </w:rPr>
        <w:t>drive</w:t>
      </w:r>
      <w:r w:rsidR="005C5471" w:rsidRPr="007E4270">
        <w:rPr>
          <w:rFonts w:cstheme="minorHAnsi"/>
          <w:sz w:val="21"/>
          <w:szCs w:val="21"/>
        </w:rPr>
        <w:t xml:space="preserve"> business</w:t>
      </w:r>
      <w:r w:rsidR="00E02262" w:rsidRPr="003167BE">
        <w:rPr>
          <w:rFonts w:cstheme="minorHAnsi"/>
          <w:sz w:val="21"/>
          <w:szCs w:val="21"/>
        </w:rPr>
        <w:t xml:space="preserve"> competitiveness</w:t>
      </w:r>
      <w:r w:rsidR="00E02262" w:rsidRPr="003167BE">
        <w:rPr>
          <w:sz w:val="21"/>
          <w:szCs w:val="21"/>
        </w:rPr>
        <w:t xml:space="preserve">. </w:t>
      </w:r>
      <w:bookmarkStart w:id="43" w:name="_Hlk25335350"/>
      <w:r w:rsidR="00E02262" w:rsidRPr="003167BE">
        <w:rPr>
          <w:sz w:val="21"/>
          <w:szCs w:val="21"/>
        </w:rPr>
        <w:t xml:space="preserve"> Since the 2013 census and until 2017, around </w:t>
      </w:r>
      <w:r w:rsidR="00E02262" w:rsidRPr="003167BE">
        <w:rPr>
          <w:color w:val="000000" w:themeColor="text1"/>
          <w:sz w:val="21"/>
          <w:szCs w:val="21"/>
        </w:rPr>
        <w:t>150,000 citizens left BiH</w:t>
      </w:r>
      <w:r w:rsidR="00E02262" w:rsidRPr="003167BE">
        <w:rPr>
          <w:rStyle w:val="FootnoteReference"/>
          <w:sz w:val="21"/>
          <w:szCs w:val="21"/>
        </w:rPr>
        <w:footnoteReference w:id="69"/>
      </w:r>
      <w:r w:rsidR="00E02262" w:rsidRPr="003167BE">
        <w:rPr>
          <w:sz w:val="21"/>
          <w:szCs w:val="21"/>
        </w:rPr>
        <w:t xml:space="preserve"> – amongst them h</w:t>
      </w:r>
      <w:r w:rsidR="00E02262" w:rsidRPr="003167BE">
        <w:rPr>
          <w:color w:val="000000" w:themeColor="text1"/>
          <w:sz w:val="21"/>
          <w:szCs w:val="21"/>
        </w:rPr>
        <w:t xml:space="preserve">ighly qualified workers </w:t>
      </w:r>
      <w:r w:rsidR="002A6BD5" w:rsidRPr="003167BE">
        <w:rPr>
          <w:color w:val="000000" w:themeColor="text1"/>
          <w:sz w:val="21"/>
          <w:szCs w:val="21"/>
        </w:rPr>
        <w:t xml:space="preserve">and </w:t>
      </w:r>
      <w:r w:rsidR="00E02262" w:rsidRPr="003167BE">
        <w:rPr>
          <w:color w:val="000000" w:themeColor="text1"/>
          <w:sz w:val="21"/>
          <w:szCs w:val="21"/>
        </w:rPr>
        <w:t xml:space="preserve">young people, to seek </w:t>
      </w:r>
      <w:r w:rsidR="0023651B" w:rsidRPr="003167BE">
        <w:rPr>
          <w:color w:val="000000" w:themeColor="text1"/>
          <w:sz w:val="21"/>
          <w:szCs w:val="21"/>
        </w:rPr>
        <w:t xml:space="preserve">better education, </w:t>
      </w:r>
      <w:r w:rsidR="00E02262" w:rsidRPr="003167BE">
        <w:rPr>
          <w:color w:val="000000" w:themeColor="text1"/>
          <w:sz w:val="21"/>
          <w:szCs w:val="21"/>
        </w:rPr>
        <w:t xml:space="preserve">employment, and higher incomes elsewhere. </w:t>
      </w:r>
      <w:bookmarkEnd w:id="43"/>
      <w:r w:rsidR="009C311D" w:rsidRPr="003167BE">
        <w:rPr>
          <w:sz w:val="21"/>
          <w:szCs w:val="21"/>
        </w:rPr>
        <w:t xml:space="preserve">In parallel, there is over-exploitation of natural resources. The </w:t>
      </w:r>
      <w:r w:rsidR="009C311D" w:rsidRPr="003167BE">
        <w:rPr>
          <w:rFonts w:cstheme="minorHAnsi"/>
          <w:sz w:val="21"/>
          <w:szCs w:val="21"/>
        </w:rPr>
        <w:t>degradation of water, air, forests, and agricultural land, as well as the impact of climate change and biodiversity loss are putting sustainable economic growth at risk</w:t>
      </w:r>
      <w:r w:rsidR="009C311D" w:rsidRPr="003167BE">
        <w:rPr>
          <w:rStyle w:val="FootnoteReference"/>
          <w:rFonts w:cstheme="minorHAnsi"/>
          <w:sz w:val="21"/>
          <w:szCs w:val="21"/>
        </w:rPr>
        <w:footnoteReference w:id="70"/>
      </w:r>
      <w:r w:rsidR="009C311D" w:rsidRPr="003167BE">
        <w:rPr>
          <w:rFonts w:cstheme="minorHAnsi"/>
          <w:sz w:val="21"/>
          <w:szCs w:val="21"/>
        </w:rPr>
        <w:t>. T</w:t>
      </w:r>
      <w:r w:rsidR="00E02262" w:rsidRPr="003167BE">
        <w:rPr>
          <w:rFonts w:cstheme="minorHAnsi"/>
          <w:sz w:val="21"/>
          <w:szCs w:val="21"/>
        </w:rPr>
        <w:t xml:space="preserve">hese challenges are </w:t>
      </w:r>
      <w:r w:rsidR="009C311D" w:rsidRPr="003167BE">
        <w:rPr>
          <w:rFonts w:cstheme="minorHAnsi"/>
          <w:sz w:val="21"/>
          <w:szCs w:val="21"/>
        </w:rPr>
        <w:t>associated with</w:t>
      </w:r>
      <w:r w:rsidR="00222528">
        <w:rPr>
          <w:rFonts w:cstheme="minorHAnsi"/>
          <w:sz w:val="21"/>
          <w:szCs w:val="21"/>
        </w:rPr>
        <w:t xml:space="preserve"> an accountability deficit</w:t>
      </w:r>
      <w:r w:rsidR="008F6036">
        <w:rPr>
          <w:rFonts w:cstheme="minorHAnsi"/>
          <w:sz w:val="21"/>
          <w:szCs w:val="21"/>
        </w:rPr>
        <w:t>,</w:t>
      </w:r>
      <w:r w:rsidR="003F185D">
        <w:rPr>
          <w:rFonts w:cstheme="minorHAnsi"/>
          <w:sz w:val="21"/>
          <w:szCs w:val="21"/>
        </w:rPr>
        <w:t xml:space="preserve"> </w:t>
      </w:r>
      <w:r w:rsidR="006215EC">
        <w:rPr>
          <w:rFonts w:cstheme="minorHAnsi"/>
          <w:sz w:val="21"/>
          <w:szCs w:val="21"/>
        </w:rPr>
        <w:t xml:space="preserve">primarily </w:t>
      </w:r>
      <w:r w:rsidR="003F185D">
        <w:rPr>
          <w:rFonts w:cstheme="minorHAnsi"/>
          <w:sz w:val="21"/>
          <w:szCs w:val="21"/>
        </w:rPr>
        <w:t>in the governing structures</w:t>
      </w:r>
      <w:r w:rsidR="00DE3A86">
        <w:rPr>
          <w:rFonts w:cstheme="minorHAnsi"/>
          <w:sz w:val="21"/>
          <w:szCs w:val="21"/>
        </w:rPr>
        <w:t xml:space="preserve"> but also in the general public</w:t>
      </w:r>
      <w:r w:rsidR="003F185D">
        <w:rPr>
          <w:rFonts w:cstheme="minorHAnsi"/>
          <w:sz w:val="21"/>
          <w:szCs w:val="21"/>
        </w:rPr>
        <w:t>,</w:t>
      </w:r>
      <w:r w:rsidR="009C311D" w:rsidRPr="003167BE">
        <w:rPr>
          <w:rFonts w:cstheme="minorHAnsi"/>
          <w:sz w:val="21"/>
          <w:szCs w:val="21"/>
        </w:rPr>
        <w:t xml:space="preserve"> an incomplete </w:t>
      </w:r>
      <w:r w:rsidR="009C311D" w:rsidRPr="003167BE">
        <w:rPr>
          <w:rFonts w:cstheme="minorHAnsi"/>
          <w:bCs/>
          <w:sz w:val="21"/>
          <w:szCs w:val="21"/>
        </w:rPr>
        <w:t xml:space="preserve">legal and policy framework not yet aligned with the EU Acquis and the slow pace of </w:t>
      </w:r>
      <w:r w:rsidR="009C311D" w:rsidRPr="003167BE">
        <w:rPr>
          <w:rFonts w:cstheme="minorHAnsi"/>
          <w:sz w:val="21"/>
          <w:szCs w:val="21"/>
        </w:rPr>
        <w:t xml:space="preserve">implementation of reforms and existing strategies and policies. Overall, </w:t>
      </w:r>
      <w:r w:rsidR="00D7440D" w:rsidRPr="003167BE">
        <w:rPr>
          <w:rFonts w:cstheme="minorHAnsi"/>
          <w:sz w:val="21"/>
          <w:szCs w:val="21"/>
        </w:rPr>
        <w:t>t</w:t>
      </w:r>
      <w:r w:rsidR="009C311D" w:rsidRPr="003167BE">
        <w:rPr>
          <w:sz w:val="21"/>
          <w:szCs w:val="21"/>
        </w:rPr>
        <w:t xml:space="preserve">his </w:t>
      </w:r>
      <w:r w:rsidR="00D7440D" w:rsidRPr="003167BE">
        <w:rPr>
          <w:sz w:val="21"/>
          <w:szCs w:val="21"/>
        </w:rPr>
        <w:t xml:space="preserve">situation </w:t>
      </w:r>
      <w:r w:rsidR="009C311D" w:rsidRPr="003167BE">
        <w:rPr>
          <w:sz w:val="21"/>
          <w:szCs w:val="21"/>
        </w:rPr>
        <w:t>undermines the prospects for a growing, diversifying economy and prosperity that is more widely shared</w:t>
      </w:r>
      <w:r w:rsidR="009C311D" w:rsidRPr="003167BE">
        <w:rPr>
          <w:rStyle w:val="FootnoteReference"/>
          <w:sz w:val="21"/>
          <w:szCs w:val="21"/>
        </w:rPr>
        <w:footnoteReference w:id="71"/>
      </w:r>
      <w:r w:rsidR="009C311D" w:rsidRPr="003167BE">
        <w:rPr>
          <w:sz w:val="21"/>
          <w:szCs w:val="21"/>
        </w:rPr>
        <w:t xml:space="preserve">. </w:t>
      </w:r>
      <w:r w:rsidR="00E02262" w:rsidRPr="003167BE">
        <w:rPr>
          <w:rFonts w:cstheme="minorHAnsi"/>
          <w:sz w:val="21"/>
          <w:szCs w:val="21"/>
        </w:rPr>
        <w:t xml:space="preserve"> </w:t>
      </w:r>
    </w:p>
    <w:p w14:paraId="0E258894" w14:textId="5CD11473" w:rsidR="005E651E" w:rsidRPr="0069604A" w:rsidRDefault="005E651E" w:rsidP="00D9559C">
      <w:pPr>
        <w:pStyle w:val="ListParagraph"/>
        <w:numPr>
          <w:ilvl w:val="0"/>
          <w:numId w:val="3"/>
        </w:numPr>
        <w:spacing w:after="120"/>
        <w:ind w:right="-360"/>
        <w:contextualSpacing w:val="0"/>
        <w:jc w:val="both"/>
        <w:rPr>
          <w:rFonts w:cstheme="minorHAnsi"/>
          <w:sz w:val="21"/>
          <w:szCs w:val="21"/>
          <w:lang w:val="en-CA"/>
        </w:rPr>
      </w:pPr>
      <w:r w:rsidRPr="009D6F29">
        <w:rPr>
          <w:rFonts w:ascii="Calibri" w:hAnsi="Calibri"/>
          <w:sz w:val="21"/>
          <w:szCs w:val="21"/>
          <w:lang w:val="en-CA"/>
        </w:rPr>
        <w:t xml:space="preserve">Second, </w:t>
      </w:r>
      <w:r w:rsidRPr="003167BE">
        <w:rPr>
          <w:rFonts w:ascii="Calibri" w:hAnsi="Calibri"/>
          <w:sz w:val="21"/>
          <w:szCs w:val="21"/>
          <w:lang w:val="en-CA"/>
        </w:rPr>
        <w:t xml:space="preserve">and </w:t>
      </w:r>
      <w:r w:rsidRPr="003167BE">
        <w:rPr>
          <w:rFonts w:cstheme="minorHAnsi"/>
          <w:sz w:val="21"/>
          <w:szCs w:val="21"/>
        </w:rPr>
        <w:t xml:space="preserve">in order to make the shift to a more diversified, knowledge-based economy, renewed efforts are </w:t>
      </w:r>
      <w:r w:rsidRPr="0069604A">
        <w:rPr>
          <w:rFonts w:cstheme="minorHAnsi"/>
          <w:sz w:val="21"/>
          <w:szCs w:val="21"/>
        </w:rPr>
        <w:t xml:space="preserve">needed to strengthen the performance of the education, health, and social protection </w:t>
      </w:r>
      <w:r w:rsidR="00422305" w:rsidRPr="0069604A">
        <w:rPr>
          <w:rFonts w:cstheme="minorHAnsi"/>
          <w:sz w:val="21"/>
          <w:szCs w:val="21"/>
        </w:rPr>
        <w:t xml:space="preserve">and social welfare </w:t>
      </w:r>
      <w:r w:rsidRPr="0069604A">
        <w:rPr>
          <w:rFonts w:cstheme="minorHAnsi"/>
          <w:sz w:val="21"/>
          <w:szCs w:val="21"/>
        </w:rPr>
        <w:t>systems</w:t>
      </w:r>
      <w:r w:rsidR="00B51798" w:rsidRPr="0069604A">
        <w:rPr>
          <w:rFonts w:cstheme="minorHAnsi"/>
          <w:sz w:val="21"/>
          <w:szCs w:val="21"/>
        </w:rPr>
        <w:t xml:space="preserve"> and improve the availability, accessibility, and quality of services</w:t>
      </w:r>
      <w:r w:rsidRPr="0069604A">
        <w:rPr>
          <w:rFonts w:cstheme="minorHAnsi"/>
          <w:sz w:val="21"/>
          <w:szCs w:val="21"/>
        </w:rPr>
        <w:t>. Weaknesses in the education and skilling system</w:t>
      </w:r>
      <w:r w:rsidR="00722692" w:rsidRPr="0069604A">
        <w:rPr>
          <w:rFonts w:cstheme="minorHAnsi"/>
          <w:sz w:val="21"/>
          <w:szCs w:val="21"/>
        </w:rPr>
        <w:t>s</w:t>
      </w:r>
      <w:r w:rsidRPr="0069604A">
        <w:rPr>
          <w:rFonts w:cstheme="minorHAnsi"/>
          <w:sz w:val="21"/>
          <w:szCs w:val="21"/>
        </w:rPr>
        <w:t xml:space="preserve"> in BiH (formal, non-formal, and technical-vocational) are evident in the unemployment rate amongst young people (15-24 years) which, at 47% in 2018, is one of the highest in Europe</w:t>
      </w:r>
      <w:r w:rsidRPr="0069604A">
        <w:rPr>
          <w:rStyle w:val="FootnoteReference"/>
          <w:rFonts w:cstheme="minorHAnsi"/>
          <w:sz w:val="21"/>
          <w:szCs w:val="21"/>
        </w:rPr>
        <w:footnoteReference w:id="72"/>
      </w:r>
      <w:r w:rsidRPr="0069604A">
        <w:rPr>
          <w:rFonts w:eastAsia="Calibri Light" w:cstheme="minorHAnsi"/>
          <w:sz w:val="21"/>
          <w:szCs w:val="21"/>
        </w:rPr>
        <w:t xml:space="preserve">. Amongst women (15-24) the rate is 52%. </w:t>
      </w:r>
      <w:r w:rsidRPr="0069604A">
        <w:rPr>
          <w:rFonts w:cstheme="minorHAnsi"/>
          <w:sz w:val="21"/>
          <w:szCs w:val="21"/>
        </w:rPr>
        <w:t>The main causes are: Few decent jobs in the formal sector, poor overall quality of the education system</w:t>
      </w:r>
      <w:r w:rsidR="009F22E0" w:rsidRPr="0069604A">
        <w:rPr>
          <w:rFonts w:cstheme="minorHAnsi"/>
          <w:sz w:val="21"/>
          <w:szCs w:val="21"/>
        </w:rPr>
        <w:t>s</w:t>
      </w:r>
      <w:r w:rsidRPr="0069604A">
        <w:rPr>
          <w:rFonts w:cstheme="minorHAnsi"/>
          <w:sz w:val="21"/>
          <w:szCs w:val="21"/>
        </w:rPr>
        <w:t xml:space="preserve">, contributing to skills-mismatches for school-leavers, </w:t>
      </w:r>
      <w:r w:rsidR="00D7440D" w:rsidRPr="0069604A">
        <w:rPr>
          <w:sz w:val="21"/>
          <w:szCs w:val="21"/>
        </w:rPr>
        <w:t>traditional gender roles and lack of jobs with provisions to help balance work and family life,</w:t>
      </w:r>
      <w:r w:rsidR="00D7440D" w:rsidRPr="0069604A">
        <w:rPr>
          <w:rFonts w:cstheme="minorHAnsi"/>
          <w:sz w:val="21"/>
          <w:szCs w:val="21"/>
        </w:rPr>
        <w:t xml:space="preserve"> </w:t>
      </w:r>
      <w:r w:rsidRPr="0069604A">
        <w:rPr>
          <w:rFonts w:cstheme="minorHAnsi"/>
          <w:sz w:val="21"/>
          <w:szCs w:val="21"/>
        </w:rPr>
        <w:t>and little coordination between education system</w:t>
      </w:r>
      <w:r w:rsidR="009F22E0" w:rsidRPr="0069604A">
        <w:rPr>
          <w:rFonts w:cstheme="minorHAnsi"/>
          <w:sz w:val="21"/>
          <w:szCs w:val="21"/>
        </w:rPr>
        <w:t>s</w:t>
      </w:r>
      <w:r w:rsidRPr="0069604A">
        <w:rPr>
          <w:rFonts w:cstheme="minorHAnsi"/>
          <w:sz w:val="21"/>
          <w:szCs w:val="21"/>
        </w:rPr>
        <w:t xml:space="preserve"> offerings and labour market demands. </w:t>
      </w:r>
      <w:r w:rsidRPr="0069604A">
        <w:rPr>
          <w:sz w:val="21"/>
          <w:szCs w:val="21"/>
        </w:rPr>
        <w:t xml:space="preserve">Establishing a foundation for learning in the early years is essential for learning and employment success in later years. The </w:t>
      </w:r>
      <w:r w:rsidRPr="0069604A">
        <w:rPr>
          <w:bCs/>
          <w:sz w:val="21"/>
          <w:szCs w:val="21"/>
        </w:rPr>
        <w:t>preschool enrolment</w:t>
      </w:r>
      <w:r w:rsidRPr="0069604A">
        <w:rPr>
          <w:sz w:val="21"/>
          <w:szCs w:val="21"/>
        </w:rPr>
        <w:t xml:space="preserve"> rate at 17% for children ages 3 to 6 is the lowest in Europe, with a big gap between urban and rural areas and between employed and unemployed parents.</w:t>
      </w:r>
    </w:p>
    <w:p w14:paraId="50F55454" w14:textId="63CB35C9" w:rsidR="005E651E" w:rsidRPr="0069604A" w:rsidRDefault="007A51CE" w:rsidP="00D9559C">
      <w:pPr>
        <w:pStyle w:val="ListParagraph"/>
        <w:numPr>
          <w:ilvl w:val="0"/>
          <w:numId w:val="3"/>
        </w:numPr>
        <w:spacing w:after="120"/>
        <w:ind w:right="-360"/>
        <w:contextualSpacing w:val="0"/>
        <w:jc w:val="both"/>
        <w:rPr>
          <w:rFonts w:cstheme="minorHAnsi"/>
          <w:sz w:val="21"/>
          <w:szCs w:val="21"/>
          <w:lang w:val="en-CA"/>
        </w:rPr>
      </w:pPr>
      <w:r w:rsidRPr="0069604A">
        <w:rPr>
          <w:rFonts w:cstheme="minorHAnsi"/>
          <w:sz w:val="21"/>
          <w:szCs w:val="21"/>
        </w:rPr>
        <w:t>Third, and d</w:t>
      </w:r>
      <w:r w:rsidR="005E651E" w:rsidRPr="0069604A">
        <w:rPr>
          <w:rFonts w:cstheme="minorHAnsi"/>
          <w:sz w:val="21"/>
          <w:szCs w:val="21"/>
        </w:rPr>
        <w:t>espite robust health spending at 9.2% of GDP in 2016</w:t>
      </w:r>
      <w:r w:rsidR="005E651E" w:rsidRPr="0069604A">
        <w:rPr>
          <w:rStyle w:val="FootnoteReference"/>
          <w:rFonts w:cstheme="minorHAnsi"/>
          <w:sz w:val="21"/>
          <w:szCs w:val="21"/>
        </w:rPr>
        <w:footnoteReference w:id="73"/>
      </w:r>
      <w:r w:rsidR="005E651E" w:rsidRPr="0069604A">
        <w:rPr>
          <w:rFonts w:cstheme="minorHAnsi"/>
          <w:sz w:val="21"/>
          <w:szCs w:val="21"/>
        </w:rPr>
        <w:t xml:space="preserve">, better health outcomes for all people in BiH are challenged by </w:t>
      </w:r>
      <w:r w:rsidR="005E651E" w:rsidRPr="0069604A">
        <w:rPr>
          <w:sz w:val="21"/>
          <w:szCs w:val="21"/>
        </w:rPr>
        <w:t xml:space="preserve">performance concerns and limited financial protection for vulnerable groups. </w:t>
      </w:r>
      <w:r w:rsidR="005E651E" w:rsidRPr="0069604A">
        <w:rPr>
          <w:rFonts w:cstheme="minorHAnsi"/>
          <w:sz w:val="21"/>
          <w:szCs w:val="21"/>
          <w:lang w:val="en-GB"/>
        </w:rPr>
        <w:t xml:space="preserve">As </w:t>
      </w:r>
      <w:r w:rsidR="005E651E" w:rsidRPr="0069604A">
        <w:rPr>
          <w:rFonts w:cstheme="minorHAnsi"/>
          <w:sz w:val="21"/>
          <w:szCs w:val="21"/>
        </w:rPr>
        <w:t xml:space="preserve">noted in the </w:t>
      </w:r>
      <w:r w:rsidR="00C307F2" w:rsidRPr="0069604A">
        <w:rPr>
          <w:rFonts w:cstheme="minorHAnsi"/>
          <w:sz w:val="21"/>
          <w:szCs w:val="21"/>
        </w:rPr>
        <w:t xml:space="preserve">Reform </w:t>
      </w:r>
      <w:r w:rsidR="008358F1" w:rsidRPr="0069604A">
        <w:rPr>
          <w:rFonts w:cstheme="minorHAnsi"/>
          <w:sz w:val="21"/>
          <w:szCs w:val="21"/>
        </w:rPr>
        <w:t>Agenda</w:t>
      </w:r>
      <w:r w:rsidR="00771308" w:rsidRPr="0069604A">
        <w:rPr>
          <w:rFonts w:cstheme="minorHAnsi"/>
          <w:sz w:val="21"/>
          <w:szCs w:val="21"/>
        </w:rPr>
        <w:t xml:space="preserve"> and evident during the COVID-19 crisis</w:t>
      </w:r>
      <w:r w:rsidR="005E651E" w:rsidRPr="0069604A">
        <w:rPr>
          <w:rFonts w:cstheme="minorHAnsi"/>
          <w:sz w:val="21"/>
          <w:szCs w:val="21"/>
        </w:rPr>
        <w:t xml:space="preserve">, the </w:t>
      </w:r>
      <w:r w:rsidR="00F85E03" w:rsidRPr="0069604A">
        <w:rPr>
          <w:rFonts w:cstheme="minorHAnsi"/>
          <w:sz w:val="21"/>
          <w:szCs w:val="21"/>
        </w:rPr>
        <w:t xml:space="preserve">quality of the health systems </w:t>
      </w:r>
      <w:r w:rsidR="00B13D4F" w:rsidRPr="0069604A">
        <w:rPr>
          <w:rFonts w:cstheme="minorHAnsi"/>
          <w:sz w:val="21"/>
          <w:szCs w:val="21"/>
        </w:rPr>
        <w:t xml:space="preserve">in BiH </w:t>
      </w:r>
      <w:r w:rsidR="005A604B" w:rsidRPr="0069604A">
        <w:rPr>
          <w:sz w:val="21"/>
          <w:szCs w:val="21"/>
        </w:rPr>
        <w:t>remains inadequate</w:t>
      </w:r>
      <w:r w:rsidR="008F6036" w:rsidRPr="0069604A">
        <w:rPr>
          <w:sz w:val="21"/>
          <w:szCs w:val="21"/>
        </w:rPr>
        <w:t xml:space="preserve"> and m</w:t>
      </w:r>
      <w:r w:rsidR="005A604B" w:rsidRPr="0069604A">
        <w:rPr>
          <w:sz w:val="21"/>
          <w:szCs w:val="21"/>
        </w:rPr>
        <w:t>andatory health insurance coverage yet to be fully achieved in all health systems in BiH</w:t>
      </w:r>
      <w:r w:rsidR="00B13D4F" w:rsidRPr="0069604A">
        <w:rPr>
          <w:rFonts w:cstheme="minorHAnsi"/>
          <w:sz w:val="21"/>
          <w:szCs w:val="21"/>
        </w:rPr>
        <w:t>.</w:t>
      </w:r>
      <w:r w:rsidR="005E651E" w:rsidRPr="0069604A">
        <w:rPr>
          <w:rStyle w:val="FootnoteReference"/>
          <w:rFonts w:cstheme="minorHAnsi"/>
          <w:sz w:val="21"/>
          <w:szCs w:val="21"/>
        </w:rPr>
        <w:footnoteReference w:id="74"/>
      </w:r>
      <w:r w:rsidR="005E651E" w:rsidRPr="0069604A">
        <w:rPr>
          <w:sz w:val="21"/>
          <w:szCs w:val="21"/>
        </w:rPr>
        <w:t xml:space="preserve"> This limits access to essential health services and threatens the sustainability of priority public health interventions</w:t>
      </w:r>
      <w:r w:rsidR="005E651E" w:rsidRPr="0069604A">
        <w:rPr>
          <w:rFonts w:cstheme="minorHAnsi"/>
          <w:sz w:val="21"/>
          <w:szCs w:val="21"/>
        </w:rPr>
        <w:t xml:space="preserve">. In 2015, spending on social protection </w:t>
      </w:r>
      <w:r w:rsidR="005E651E" w:rsidRPr="0069604A">
        <w:rPr>
          <w:rFonts w:cstheme="minorBidi"/>
          <w:sz w:val="21"/>
          <w:szCs w:val="21"/>
        </w:rPr>
        <w:t>assistance</w:t>
      </w:r>
      <w:r w:rsidR="005E651E" w:rsidRPr="0069604A">
        <w:rPr>
          <w:rFonts w:cstheme="minorHAnsi"/>
          <w:sz w:val="21"/>
          <w:szCs w:val="21"/>
        </w:rPr>
        <w:t xml:space="preserve"> at 4% of GDP was on par with Slovenia and Croatia, but only about 1% goes to the poor and socially excluded. Among the poorest 1/5</w:t>
      </w:r>
      <w:r w:rsidR="005E651E" w:rsidRPr="0069604A">
        <w:rPr>
          <w:rFonts w:cstheme="minorHAnsi"/>
          <w:sz w:val="21"/>
          <w:szCs w:val="21"/>
          <w:vertAlign w:val="superscript"/>
        </w:rPr>
        <w:t>th</w:t>
      </w:r>
      <w:r w:rsidR="005E651E" w:rsidRPr="0069604A">
        <w:rPr>
          <w:rFonts w:cstheme="minorHAnsi"/>
          <w:sz w:val="21"/>
          <w:szCs w:val="21"/>
        </w:rPr>
        <w:t xml:space="preserve"> of households, most do not receive contributory social protection benefits</w:t>
      </w:r>
      <w:r w:rsidR="005E651E" w:rsidRPr="0069604A">
        <w:rPr>
          <w:rStyle w:val="FootnoteReference"/>
          <w:rFonts w:cstheme="minorHAnsi"/>
          <w:sz w:val="21"/>
          <w:szCs w:val="21"/>
        </w:rPr>
        <w:footnoteReference w:id="75"/>
      </w:r>
      <w:r w:rsidR="005E651E" w:rsidRPr="0069604A">
        <w:rPr>
          <w:rFonts w:cstheme="minorHAnsi"/>
          <w:sz w:val="21"/>
          <w:szCs w:val="21"/>
        </w:rPr>
        <w:t xml:space="preserve">. </w:t>
      </w:r>
    </w:p>
    <w:p w14:paraId="6EB10E0D" w14:textId="097F094C" w:rsidR="002317F1" w:rsidRPr="007E4270" w:rsidRDefault="007A51CE" w:rsidP="00D9559C">
      <w:pPr>
        <w:pStyle w:val="ListParagraph"/>
        <w:numPr>
          <w:ilvl w:val="0"/>
          <w:numId w:val="3"/>
        </w:numPr>
        <w:spacing w:after="120"/>
        <w:ind w:left="357" w:right="-360" w:hanging="502"/>
        <w:contextualSpacing w:val="0"/>
        <w:jc w:val="both"/>
        <w:rPr>
          <w:rFonts w:cstheme="minorHAnsi"/>
          <w:sz w:val="21"/>
          <w:szCs w:val="21"/>
        </w:rPr>
      </w:pPr>
      <w:r w:rsidRPr="0069604A">
        <w:rPr>
          <w:rFonts w:ascii="Calibri" w:hAnsi="Calibri"/>
          <w:sz w:val="21"/>
          <w:szCs w:val="21"/>
          <w:lang w:val="en-CA"/>
        </w:rPr>
        <w:t>Fourth</w:t>
      </w:r>
      <w:r w:rsidR="00BD0C93" w:rsidRPr="0069604A">
        <w:rPr>
          <w:rFonts w:ascii="Calibri" w:hAnsi="Calibri"/>
          <w:sz w:val="21"/>
          <w:szCs w:val="21"/>
          <w:lang w:val="en-CA"/>
        </w:rPr>
        <w:t>,</w:t>
      </w:r>
      <w:r w:rsidR="008F79FA" w:rsidRPr="0069604A">
        <w:rPr>
          <w:rFonts w:ascii="Calibri" w:hAnsi="Calibri"/>
          <w:sz w:val="21"/>
          <w:szCs w:val="21"/>
          <w:lang w:val="en-CA"/>
        </w:rPr>
        <w:t xml:space="preserve"> sustainable inclusive growth and the effective delivery of quality </w:t>
      </w:r>
      <w:r w:rsidR="00771308" w:rsidRPr="0069604A">
        <w:rPr>
          <w:rFonts w:ascii="Calibri" w:hAnsi="Calibri"/>
          <w:sz w:val="21"/>
          <w:szCs w:val="21"/>
          <w:lang w:val="en-CA"/>
        </w:rPr>
        <w:t xml:space="preserve">public </w:t>
      </w:r>
      <w:r w:rsidR="008F79FA" w:rsidRPr="0069604A">
        <w:rPr>
          <w:rFonts w:ascii="Calibri" w:hAnsi="Calibri"/>
          <w:sz w:val="21"/>
          <w:szCs w:val="21"/>
          <w:lang w:val="en-CA"/>
        </w:rPr>
        <w:t xml:space="preserve">services will depend upon more </w:t>
      </w:r>
      <w:r w:rsidR="008F79FA" w:rsidRPr="0069604A">
        <w:rPr>
          <w:rFonts w:cstheme="minorHAnsi"/>
          <w:sz w:val="21"/>
          <w:szCs w:val="21"/>
        </w:rPr>
        <w:t>effective governance and rule of law. The</w:t>
      </w:r>
      <w:r w:rsidR="004A2A07" w:rsidRPr="0069604A">
        <w:rPr>
          <w:rFonts w:ascii="Calibri" w:hAnsi="Calibri"/>
          <w:sz w:val="21"/>
          <w:szCs w:val="21"/>
          <w:lang w:val="en-CA"/>
        </w:rPr>
        <w:t xml:space="preserve"> </w:t>
      </w:r>
      <w:r w:rsidR="002317F1" w:rsidRPr="0069604A">
        <w:rPr>
          <w:rFonts w:cstheme="minorHAnsi"/>
          <w:sz w:val="21"/>
          <w:szCs w:val="21"/>
        </w:rPr>
        <w:t xml:space="preserve">highly complex, multi-tier governing structure provided under the </w:t>
      </w:r>
      <w:r w:rsidR="002317F1" w:rsidRPr="0069604A">
        <w:rPr>
          <w:sz w:val="21"/>
          <w:szCs w:val="21"/>
        </w:rPr>
        <w:t>Dayton Peace Agreement</w:t>
      </w:r>
      <w:r w:rsidR="004A2A07" w:rsidRPr="0069604A">
        <w:rPr>
          <w:sz w:val="21"/>
          <w:szCs w:val="21"/>
        </w:rPr>
        <w:t xml:space="preserve"> </w:t>
      </w:r>
      <w:r w:rsidR="00693967" w:rsidRPr="0069604A">
        <w:rPr>
          <w:sz w:val="21"/>
          <w:szCs w:val="21"/>
        </w:rPr>
        <w:t xml:space="preserve">often </w:t>
      </w:r>
      <w:r w:rsidR="00CB29D2" w:rsidRPr="0069604A">
        <w:rPr>
          <w:sz w:val="21"/>
          <w:szCs w:val="21"/>
        </w:rPr>
        <w:t>creates challenges to</w:t>
      </w:r>
      <w:r w:rsidR="008F79FA" w:rsidRPr="0069604A">
        <w:rPr>
          <w:sz w:val="21"/>
          <w:szCs w:val="21"/>
        </w:rPr>
        <w:t xml:space="preserve"> </w:t>
      </w:r>
      <w:r w:rsidR="002317F1" w:rsidRPr="0069604A">
        <w:rPr>
          <w:rFonts w:cstheme="minorHAnsi"/>
          <w:sz w:val="21"/>
          <w:szCs w:val="21"/>
        </w:rPr>
        <w:t xml:space="preserve">effective governance and </w:t>
      </w:r>
      <w:r w:rsidR="002317F1" w:rsidRPr="0069604A">
        <w:rPr>
          <w:rFonts w:cstheme="minorHAnsi"/>
          <w:b/>
          <w:sz w:val="21"/>
          <w:szCs w:val="21"/>
        </w:rPr>
        <w:t>rule of law</w:t>
      </w:r>
      <w:r w:rsidR="00010EFF" w:rsidRPr="0069604A">
        <w:rPr>
          <w:rStyle w:val="FootnoteReference"/>
          <w:sz w:val="21"/>
          <w:szCs w:val="21"/>
        </w:rPr>
        <w:footnoteReference w:id="76"/>
      </w:r>
      <w:r w:rsidR="004A2A07" w:rsidRPr="0069604A">
        <w:rPr>
          <w:rFonts w:cstheme="minorHAnsi"/>
          <w:sz w:val="21"/>
          <w:szCs w:val="21"/>
        </w:rPr>
        <w:t xml:space="preserve"> and </w:t>
      </w:r>
      <w:r w:rsidR="008F79FA" w:rsidRPr="0069604A">
        <w:rPr>
          <w:rFonts w:cstheme="minorHAnsi"/>
          <w:sz w:val="21"/>
          <w:szCs w:val="21"/>
        </w:rPr>
        <w:t xml:space="preserve">the </w:t>
      </w:r>
      <w:r w:rsidR="004A2A07" w:rsidRPr="0069604A">
        <w:rPr>
          <w:rFonts w:cstheme="minorHAnsi"/>
          <w:sz w:val="21"/>
          <w:szCs w:val="21"/>
        </w:rPr>
        <w:t xml:space="preserve">work to </w:t>
      </w:r>
      <w:r w:rsidR="002317F1" w:rsidRPr="0069604A">
        <w:rPr>
          <w:rFonts w:cstheme="minorHAnsi"/>
          <w:sz w:val="21"/>
          <w:szCs w:val="21"/>
        </w:rPr>
        <w:t>deliver human rights commitments</w:t>
      </w:r>
      <w:r w:rsidR="007B112A" w:rsidRPr="0069604A">
        <w:rPr>
          <w:rFonts w:cstheme="minorHAnsi"/>
          <w:sz w:val="21"/>
          <w:szCs w:val="21"/>
        </w:rPr>
        <w:t xml:space="preserve"> of BiH</w:t>
      </w:r>
      <w:r w:rsidR="00010EFF" w:rsidRPr="0069604A">
        <w:rPr>
          <w:rFonts w:cstheme="minorHAnsi"/>
          <w:sz w:val="21"/>
          <w:szCs w:val="21"/>
        </w:rPr>
        <w:t>. These are</w:t>
      </w:r>
      <w:r w:rsidR="002317F1" w:rsidRPr="0069604A">
        <w:rPr>
          <w:rFonts w:cstheme="minorHAnsi"/>
          <w:sz w:val="21"/>
          <w:szCs w:val="21"/>
        </w:rPr>
        <w:t xml:space="preserve"> instrumental for </w:t>
      </w:r>
      <w:r w:rsidR="004A2A07" w:rsidRPr="0069604A">
        <w:rPr>
          <w:rFonts w:cstheme="minorHAnsi"/>
          <w:sz w:val="21"/>
          <w:szCs w:val="21"/>
        </w:rPr>
        <w:t>t</w:t>
      </w:r>
      <w:r w:rsidR="002317F1" w:rsidRPr="0069604A">
        <w:rPr>
          <w:rFonts w:cstheme="minorHAnsi"/>
          <w:sz w:val="21"/>
          <w:szCs w:val="21"/>
        </w:rPr>
        <w:t>he stability</w:t>
      </w:r>
      <w:r w:rsidR="002317F1" w:rsidRPr="00517329">
        <w:rPr>
          <w:rFonts w:cstheme="minorHAnsi"/>
          <w:sz w:val="21"/>
          <w:szCs w:val="21"/>
        </w:rPr>
        <w:t xml:space="preserve"> and grow</w:t>
      </w:r>
      <w:r w:rsidR="004A2A07" w:rsidRPr="00517329">
        <w:rPr>
          <w:rFonts w:cstheme="minorHAnsi"/>
          <w:sz w:val="21"/>
          <w:szCs w:val="21"/>
        </w:rPr>
        <w:t xml:space="preserve">th of the </w:t>
      </w:r>
      <w:r w:rsidR="002317F1" w:rsidRPr="00517329">
        <w:rPr>
          <w:rFonts w:cstheme="minorHAnsi"/>
          <w:sz w:val="21"/>
          <w:szCs w:val="21"/>
        </w:rPr>
        <w:t>economy</w:t>
      </w:r>
      <w:r w:rsidR="00010EFF" w:rsidRPr="00517329">
        <w:rPr>
          <w:rStyle w:val="FootnoteReference"/>
          <w:rFonts w:cstheme="minorHAnsi"/>
          <w:sz w:val="21"/>
          <w:szCs w:val="21"/>
        </w:rPr>
        <w:footnoteReference w:id="77"/>
      </w:r>
      <w:r w:rsidR="002317F1" w:rsidRPr="00517329">
        <w:rPr>
          <w:rFonts w:cstheme="minorHAnsi"/>
          <w:sz w:val="21"/>
          <w:szCs w:val="21"/>
        </w:rPr>
        <w:t>.</w:t>
      </w:r>
      <w:r w:rsidR="00010EFF" w:rsidRPr="00517329">
        <w:rPr>
          <w:rFonts w:cstheme="minorHAnsi"/>
          <w:sz w:val="21"/>
          <w:szCs w:val="21"/>
        </w:rPr>
        <w:t xml:space="preserve"> </w:t>
      </w:r>
      <w:r w:rsidR="002317F1" w:rsidRPr="00517329">
        <w:rPr>
          <w:rFonts w:cstheme="minorHAnsi"/>
          <w:bCs/>
          <w:sz w:val="21"/>
          <w:szCs w:val="21"/>
        </w:rPr>
        <w:t>Discriminatory provisions</w:t>
      </w:r>
      <w:r w:rsidR="002317F1" w:rsidRPr="00517329">
        <w:rPr>
          <w:rFonts w:cstheme="minorHAnsi"/>
          <w:sz w:val="21"/>
          <w:szCs w:val="21"/>
        </w:rPr>
        <w:t xml:space="preserve"> in the Constitution </w:t>
      </w:r>
      <w:r w:rsidR="002317F1" w:rsidRPr="007E4270">
        <w:rPr>
          <w:rFonts w:cstheme="minorHAnsi"/>
          <w:sz w:val="21"/>
          <w:szCs w:val="21"/>
        </w:rPr>
        <w:t>against minorities and the non-constituent peoples have led to their political, economic and social marginalization</w:t>
      </w:r>
      <w:r w:rsidR="002317F1" w:rsidRPr="007E4270">
        <w:rPr>
          <w:rStyle w:val="FootnoteReference"/>
          <w:rFonts w:cstheme="minorHAnsi"/>
          <w:sz w:val="21"/>
          <w:szCs w:val="21"/>
        </w:rPr>
        <w:footnoteReference w:id="78"/>
      </w:r>
      <w:r w:rsidR="002317F1" w:rsidRPr="007E4270">
        <w:rPr>
          <w:rFonts w:cstheme="minorHAnsi"/>
          <w:sz w:val="21"/>
          <w:szCs w:val="21"/>
        </w:rPr>
        <w:t xml:space="preserve">. </w:t>
      </w:r>
      <w:bookmarkStart w:id="44" w:name="_Hlk25915307"/>
      <w:r w:rsidR="002317F1" w:rsidRPr="007E4270">
        <w:rPr>
          <w:rFonts w:cstheme="minorHAnsi"/>
          <w:sz w:val="21"/>
          <w:szCs w:val="21"/>
        </w:rPr>
        <w:t xml:space="preserve">Furthermore, there is </w:t>
      </w:r>
      <w:r w:rsidR="009128D4" w:rsidRPr="007E4270">
        <w:rPr>
          <w:rFonts w:cstheme="minorHAnsi"/>
          <w:sz w:val="21"/>
          <w:szCs w:val="21"/>
        </w:rPr>
        <w:t xml:space="preserve">high distrust by citizens </w:t>
      </w:r>
      <w:r w:rsidR="009A37D8" w:rsidRPr="007E4270">
        <w:rPr>
          <w:rFonts w:cstheme="minorHAnsi"/>
          <w:sz w:val="21"/>
          <w:szCs w:val="21"/>
        </w:rPr>
        <w:t>in</w:t>
      </w:r>
      <w:r w:rsidR="009128D4" w:rsidRPr="007E4270">
        <w:rPr>
          <w:rFonts w:cstheme="minorHAnsi"/>
          <w:sz w:val="21"/>
          <w:szCs w:val="21"/>
        </w:rPr>
        <w:t xml:space="preserve"> </w:t>
      </w:r>
      <w:r w:rsidR="002317F1" w:rsidRPr="007E4270">
        <w:rPr>
          <w:rFonts w:cstheme="minorHAnsi"/>
          <w:sz w:val="21"/>
          <w:szCs w:val="21"/>
        </w:rPr>
        <w:t xml:space="preserve">the rule of law and </w:t>
      </w:r>
      <w:r w:rsidR="00570939" w:rsidRPr="007E4270">
        <w:rPr>
          <w:rFonts w:cstheme="minorHAnsi"/>
          <w:sz w:val="21"/>
          <w:szCs w:val="21"/>
        </w:rPr>
        <w:t xml:space="preserve">in </w:t>
      </w:r>
      <w:r w:rsidR="002317F1" w:rsidRPr="007E4270">
        <w:rPr>
          <w:sz w:val="21"/>
          <w:szCs w:val="21"/>
        </w:rPr>
        <w:t xml:space="preserve">public institutions </w:t>
      </w:r>
      <w:r w:rsidR="00570939" w:rsidRPr="007E4270">
        <w:rPr>
          <w:sz w:val="21"/>
          <w:szCs w:val="21"/>
        </w:rPr>
        <w:t>in general</w:t>
      </w:r>
      <w:r w:rsidR="0072268E" w:rsidRPr="007E4270">
        <w:rPr>
          <w:sz w:val="21"/>
          <w:szCs w:val="21"/>
        </w:rPr>
        <w:t xml:space="preserve"> which in turn,</w:t>
      </w:r>
      <w:r w:rsidR="00517329" w:rsidRPr="007E4270">
        <w:rPr>
          <w:sz w:val="21"/>
          <w:szCs w:val="21"/>
        </w:rPr>
        <w:t xml:space="preserve"> </w:t>
      </w:r>
      <w:r w:rsidR="002317F1" w:rsidRPr="007E4270">
        <w:rPr>
          <w:sz w:val="21"/>
          <w:szCs w:val="21"/>
        </w:rPr>
        <w:t>challenges law enforcement and safety and security of citizens</w:t>
      </w:r>
      <w:r w:rsidR="002317F1" w:rsidRPr="007E4270">
        <w:rPr>
          <w:rFonts w:cstheme="minorHAnsi"/>
          <w:sz w:val="21"/>
          <w:szCs w:val="21"/>
        </w:rPr>
        <w:t xml:space="preserve">. </w:t>
      </w:r>
      <w:bookmarkEnd w:id="44"/>
      <w:r w:rsidR="002317F1" w:rsidRPr="007E4270">
        <w:rPr>
          <w:rFonts w:cstheme="minorHAnsi"/>
          <w:sz w:val="21"/>
          <w:szCs w:val="21"/>
        </w:rPr>
        <w:t xml:space="preserve"> Different forms of organized crimes are interconnected also in their effects on the economy and the rule of law.</w:t>
      </w:r>
    </w:p>
    <w:p w14:paraId="5DD1C17D" w14:textId="7F0A9DAC" w:rsidR="00EF596B" w:rsidRPr="00197F4E" w:rsidRDefault="002317F1" w:rsidP="00D9559C">
      <w:pPr>
        <w:pStyle w:val="ListParagraph"/>
        <w:numPr>
          <w:ilvl w:val="0"/>
          <w:numId w:val="3"/>
        </w:numPr>
        <w:spacing w:after="120"/>
        <w:ind w:right="-360"/>
        <w:contextualSpacing w:val="0"/>
        <w:jc w:val="both"/>
        <w:rPr>
          <w:rFonts w:cstheme="minorHAnsi"/>
          <w:sz w:val="21"/>
          <w:szCs w:val="21"/>
        </w:rPr>
      </w:pPr>
      <w:r w:rsidRPr="00197F4E">
        <w:rPr>
          <w:rFonts w:ascii="Calibri" w:hAnsi="Calibri"/>
          <w:sz w:val="21"/>
          <w:szCs w:val="21"/>
          <w:lang w:val="en-CA"/>
        </w:rPr>
        <w:t>F</w:t>
      </w:r>
      <w:r w:rsidR="007A51CE" w:rsidRPr="00197F4E">
        <w:rPr>
          <w:rFonts w:ascii="Calibri" w:hAnsi="Calibri"/>
          <w:sz w:val="21"/>
          <w:szCs w:val="21"/>
          <w:lang w:val="en-CA"/>
        </w:rPr>
        <w:t>ifth</w:t>
      </w:r>
      <w:r w:rsidRPr="00197F4E">
        <w:rPr>
          <w:rFonts w:ascii="Calibri" w:hAnsi="Calibri"/>
          <w:sz w:val="21"/>
          <w:szCs w:val="21"/>
          <w:lang w:val="en-CA"/>
        </w:rPr>
        <w:t xml:space="preserve"> </w:t>
      </w:r>
      <w:r w:rsidR="0025266B" w:rsidRPr="00197F4E">
        <w:rPr>
          <w:rFonts w:cstheme="minorHAnsi"/>
          <w:sz w:val="21"/>
          <w:szCs w:val="21"/>
          <w:lang w:val="en-CA"/>
        </w:rPr>
        <w:t>–</w:t>
      </w:r>
      <w:r w:rsidR="0073115B" w:rsidRPr="00197F4E">
        <w:rPr>
          <w:rFonts w:cstheme="minorHAnsi"/>
          <w:sz w:val="21"/>
          <w:szCs w:val="21"/>
          <w:lang w:val="en-CA"/>
        </w:rPr>
        <w:t xml:space="preserve"> </w:t>
      </w:r>
      <w:r w:rsidR="0025266B" w:rsidRPr="00197F4E">
        <w:rPr>
          <w:rFonts w:cstheme="minorHAnsi"/>
          <w:sz w:val="21"/>
          <w:szCs w:val="21"/>
          <w:lang w:val="en-CA"/>
        </w:rPr>
        <w:t xml:space="preserve">and </w:t>
      </w:r>
      <w:r w:rsidR="0073115B" w:rsidRPr="00197F4E">
        <w:rPr>
          <w:rFonts w:cstheme="minorHAnsi"/>
          <w:sz w:val="21"/>
          <w:szCs w:val="21"/>
          <w:lang w:val="en-CA"/>
        </w:rPr>
        <w:t xml:space="preserve">foundational </w:t>
      </w:r>
      <w:r w:rsidR="008F79FA" w:rsidRPr="00197F4E">
        <w:rPr>
          <w:rFonts w:cstheme="minorHAnsi"/>
          <w:sz w:val="21"/>
          <w:szCs w:val="21"/>
          <w:lang w:val="en-CA"/>
        </w:rPr>
        <w:t xml:space="preserve">to </w:t>
      </w:r>
      <w:r w:rsidR="0025266B" w:rsidRPr="00197F4E">
        <w:rPr>
          <w:rFonts w:cstheme="minorHAnsi"/>
          <w:sz w:val="21"/>
          <w:szCs w:val="21"/>
          <w:lang w:val="en-CA"/>
        </w:rPr>
        <w:t>each of t</w:t>
      </w:r>
      <w:r w:rsidR="0073115B" w:rsidRPr="00197F4E">
        <w:rPr>
          <w:rFonts w:cstheme="minorHAnsi"/>
          <w:sz w:val="21"/>
          <w:szCs w:val="21"/>
          <w:lang w:val="en-CA"/>
        </w:rPr>
        <w:t>he changes above - t</w:t>
      </w:r>
      <w:r w:rsidR="0073115B" w:rsidRPr="00197F4E">
        <w:rPr>
          <w:rFonts w:ascii="Calibri" w:hAnsi="Calibri"/>
          <w:sz w:val="21"/>
          <w:szCs w:val="21"/>
          <w:lang w:val="en-CA"/>
        </w:rPr>
        <w:t>here is a critical need to increase trust amongst people and in their governing institutions, creating a foundation for more durable social cohe</w:t>
      </w:r>
      <w:r w:rsidR="0025266B" w:rsidRPr="00197F4E">
        <w:rPr>
          <w:rFonts w:ascii="Calibri" w:hAnsi="Calibri"/>
          <w:sz w:val="21"/>
          <w:szCs w:val="21"/>
          <w:lang w:val="en-CA"/>
        </w:rPr>
        <w:t>sion</w:t>
      </w:r>
      <w:r w:rsidR="0025266B" w:rsidRPr="009D6F29">
        <w:rPr>
          <w:rStyle w:val="FootnoteReference"/>
          <w:rFonts w:cstheme="minorHAnsi"/>
          <w:sz w:val="21"/>
          <w:szCs w:val="21"/>
          <w:lang w:val="en-CA"/>
        </w:rPr>
        <w:footnoteReference w:id="79"/>
      </w:r>
      <w:r w:rsidR="0073115B" w:rsidRPr="00197F4E">
        <w:rPr>
          <w:rFonts w:ascii="Calibri" w:hAnsi="Calibri"/>
          <w:sz w:val="21"/>
          <w:szCs w:val="21"/>
          <w:lang w:val="en-CA"/>
        </w:rPr>
        <w:t>.</w:t>
      </w:r>
      <w:r w:rsidR="0025266B" w:rsidRPr="00197F4E">
        <w:rPr>
          <w:rFonts w:ascii="Calibri" w:hAnsi="Calibri"/>
          <w:sz w:val="21"/>
          <w:szCs w:val="21"/>
          <w:lang w:val="en-CA"/>
        </w:rPr>
        <w:t xml:space="preserve"> </w:t>
      </w:r>
      <w:r w:rsidR="0025266B" w:rsidRPr="00197F4E">
        <w:rPr>
          <w:rFonts w:cstheme="minorHAnsi"/>
          <w:sz w:val="21"/>
          <w:szCs w:val="21"/>
          <w:lang w:val="en-CA"/>
        </w:rPr>
        <w:t>Nearly a quarter of a century after the end of the conflict, relations in BiH and the wider region between different groups and communities remain fragile.  Society continues to confront strong divisive rhetoric that</w:t>
      </w:r>
      <w:r w:rsidR="0025266B" w:rsidRPr="00197F4E">
        <w:rPr>
          <w:rFonts w:cstheme="minorHAnsi"/>
          <w:bCs/>
          <w:sz w:val="21"/>
          <w:szCs w:val="21"/>
        </w:rPr>
        <w:t xml:space="preserve"> perpetuates fear and mistrust that impedes constructive dialogue and interaction and diminishes prospects for</w:t>
      </w:r>
      <w:r w:rsidR="0025266B" w:rsidRPr="00197F4E">
        <w:rPr>
          <w:rFonts w:cstheme="minorHAnsi"/>
          <w:sz w:val="21"/>
          <w:szCs w:val="21"/>
          <w:lang w:val="en-CA"/>
        </w:rPr>
        <w:t xml:space="preserve"> a common vision for the country</w:t>
      </w:r>
      <w:r w:rsidR="0025266B" w:rsidRPr="00197F4E">
        <w:rPr>
          <w:rFonts w:cstheme="minorHAnsi"/>
          <w:bCs/>
          <w:sz w:val="21"/>
          <w:szCs w:val="21"/>
        </w:rPr>
        <w:t xml:space="preserve">. </w:t>
      </w:r>
    </w:p>
    <w:p w14:paraId="0CDE7970" w14:textId="68EACFBB" w:rsidR="00CE2B39" w:rsidRPr="0069604A" w:rsidRDefault="00D21175" w:rsidP="00D9559C">
      <w:pPr>
        <w:pStyle w:val="ListParagraph"/>
        <w:numPr>
          <w:ilvl w:val="0"/>
          <w:numId w:val="3"/>
        </w:numPr>
        <w:spacing w:before="120" w:after="240"/>
        <w:ind w:left="357" w:right="-360" w:hanging="357"/>
        <w:contextualSpacing w:val="0"/>
        <w:jc w:val="both"/>
        <w:rPr>
          <w:rFonts w:cstheme="minorHAnsi"/>
          <w:sz w:val="21"/>
          <w:szCs w:val="21"/>
        </w:rPr>
      </w:pPr>
      <w:r w:rsidRPr="0069604A">
        <w:rPr>
          <w:bCs/>
          <w:sz w:val="21"/>
          <w:szCs w:val="21"/>
        </w:rPr>
        <w:t xml:space="preserve">Important </w:t>
      </w:r>
      <w:r w:rsidRPr="0069604A">
        <w:rPr>
          <w:b/>
          <w:bCs/>
          <w:sz w:val="21"/>
          <w:szCs w:val="21"/>
        </w:rPr>
        <w:t>assumptions</w:t>
      </w:r>
      <w:r w:rsidRPr="0069604A">
        <w:rPr>
          <w:bCs/>
          <w:sz w:val="21"/>
          <w:szCs w:val="21"/>
        </w:rPr>
        <w:t xml:space="preserve"> for cooperation are: 1)</w:t>
      </w:r>
      <w:r w:rsidR="00CD692C" w:rsidRPr="0069604A">
        <w:rPr>
          <w:bCs/>
          <w:sz w:val="21"/>
          <w:szCs w:val="21"/>
        </w:rPr>
        <w:t xml:space="preserve"> That the current, multi-tier governing structure</w:t>
      </w:r>
      <w:r w:rsidR="007F3227" w:rsidRPr="0069604A">
        <w:rPr>
          <w:bCs/>
          <w:sz w:val="21"/>
          <w:szCs w:val="21"/>
        </w:rPr>
        <w:t xml:space="preserve"> in BiH</w:t>
      </w:r>
      <w:r w:rsidR="00CD692C" w:rsidRPr="0069604A">
        <w:rPr>
          <w:bCs/>
          <w:sz w:val="21"/>
          <w:szCs w:val="21"/>
        </w:rPr>
        <w:t xml:space="preserve"> </w:t>
      </w:r>
      <w:r w:rsidR="00CD692C" w:rsidRPr="0069604A">
        <w:rPr>
          <w:sz w:val="21"/>
          <w:szCs w:val="21"/>
        </w:rPr>
        <w:t xml:space="preserve">will continue </w:t>
      </w:r>
      <w:r w:rsidR="00CD692C" w:rsidRPr="0069604A">
        <w:rPr>
          <w:bCs/>
          <w:sz w:val="21"/>
          <w:szCs w:val="21"/>
        </w:rPr>
        <w:t>for the duration of the CF</w:t>
      </w:r>
      <w:r w:rsidRPr="0069604A">
        <w:rPr>
          <w:bCs/>
          <w:sz w:val="21"/>
          <w:szCs w:val="21"/>
        </w:rPr>
        <w:t xml:space="preserve">, with increased reliance on local level planning and decision-making; 2) That the </w:t>
      </w:r>
      <w:r w:rsidRPr="0069604A">
        <w:rPr>
          <w:rFonts w:cstheme="minorHAnsi"/>
          <w:i/>
          <w:sz w:val="21"/>
          <w:szCs w:val="21"/>
          <w:lang w:val="en"/>
        </w:rPr>
        <w:t>SDG Framework in BiH and domesticated SDG targets</w:t>
      </w:r>
      <w:r w:rsidRPr="0069604A">
        <w:rPr>
          <w:bCs/>
          <w:sz w:val="21"/>
          <w:szCs w:val="21"/>
        </w:rPr>
        <w:t xml:space="preserve"> will be endorsed by </w:t>
      </w:r>
      <w:r w:rsidR="00821366" w:rsidRPr="0069604A">
        <w:rPr>
          <w:bCs/>
          <w:sz w:val="21"/>
          <w:szCs w:val="21"/>
        </w:rPr>
        <w:t>the</w:t>
      </w:r>
      <w:r w:rsidRPr="0069604A">
        <w:rPr>
          <w:bCs/>
          <w:sz w:val="21"/>
          <w:szCs w:val="21"/>
        </w:rPr>
        <w:t xml:space="preserve"> authorities</w:t>
      </w:r>
      <w:r w:rsidR="00821366" w:rsidRPr="0069604A">
        <w:rPr>
          <w:bCs/>
          <w:sz w:val="21"/>
          <w:szCs w:val="21"/>
        </w:rPr>
        <w:t xml:space="preserve"> in BiH</w:t>
      </w:r>
      <w:r w:rsidRPr="0069604A">
        <w:rPr>
          <w:bCs/>
          <w:sz w:val="21"/>
          <w:szCs w:val="21"/>
        </w:rPr>
        <w:t xml:space="preserve"> with a country-wide mechanism for implementation; 3) That strong engagement with international human rights bodies and mechanisms will continue; and 4) That there is increasing recognition of the need to address discrimination, exclusion and vulnerability in the policies and programmes of </w:t>
      </w:r>
      <w:r w:rsidR="00821366" w:rsidRPr="0069604A">
        <w:rPr>
          <w:bCs/>
          <w:sz w:val="21"/>
          <w:szCs w:val="21"/>
        </w:rPr>
        <w:t>the</w:t>
      </w:r>
      <w:r w:rsidRPr="0069604A">
        <w:rPr>
          <w:bCs/>
          <w:sz w:val="21"/>
          <w:szCs w:val="21"/>
        </w:rPr>
        <w:t xml:space="preserve"> authorities</w:t>
      </w:r>
      <w:r w:rsidR="00821366" w:rsidRPr="0069604A">
        <w:rPr>
          <w:bCs/>
          <w:sz w:val="21"/>
          <w:szCs w:val="21"/>
        </w:rPr>
        <w:t xml:space="preserve"> in BiH</w:t>
      </w:r>
      <w:r w:rsidRPr="0069604A">
        <w:rPr>
          <w:bCs/>
          <w:sz w:val="21"/>
          <w:szCs w:val="21"/>
        </w:rPr>
        <w:t xml:space="preserve"> and to collect </w:t>
      </w:r>
      <w:r w:rsidRPr="0069604A">
        <w:rPr>
          <w:sz w:val="21"/>
          <w:szCs w:val="21"/>
        </w:rPr>
        <w:t xml:space="preserve">timely and </w:t>
      </w:r>
      <w:r w:rsidRPr="0069604A">
        <w:rPr>
          <w:bCs/>
          <w:sz w:val="21"/>
          <w:szCs w:val="21"/>
        </w:rPr>
        <w:t>reliable</w:t>
      </w:r>
      <w:r w:rsidRPr="0069604A">
        <w:rPr>
          <w:b/>
          <w:sz w:val="21"/>
          <w:szCs w:val="21"/>
        </w:rPr>
        <w:t xml:space="preserve"> </w:t>
      </w:r>
      <w:r w:rsidRPr="0069604A">
        <w:rPr>
          <w:sz w:val="21"/>
          <w:szCs w:val="21"/>
        </w:rPr>
        <w:t>disaggregated data to understand those at risk of being left behind.</w:t>
      </w:r>
      <w:r w:rsidRPr="0069604A">
        <w:rPr>
          <w:bCs/>
          <w:sz w:val="21"/>
          <w:szCs w:val="21"/>
        </w:rPr>
        <w:t xml:space="preserve">  </w:t>
      </w:r>
      <w:r w:rsidR="00491B2C" w:rsidRPr="0069604A">
        <w:rPr>
          <w:sz w:val="21"/>
          <w:szCs w:val="21"/>
        </w:rPr>
        <w:t xml:space="preserve">Major risks </w:t>
      </w:r>
      <w:r w:rsidRPr="0069604A">
        <w:rPr>
          <w:sz w:val="21"/>
          <w:szCs w:val="21"/>
        </w:rPr>
        <w:t xml:space="preserve">to cooperation are described in detail in </w:t>
      </w:r>
      <w:r w:rsidRPr="0069604A">
        <w:rPr>
          <w:b/>
          <w:sz w:val="21"/>
          <w:szCs w:val="21"/>
        </w:rPr>
        <w:t>section 5</w:t>
      </w:r>
      <w:r w:rsidRPr="0069604A">
        <w:rPr>
          <w:sz w:val="21"/>
          <w:szCs w:val="21"/>
        </w:rPr>
        <w:t>.</w:t>
      </w:r>
    </w:p>
    <w:p w14:paraId="3A6877E5" w14:textId="77777777" w:rsidR="003C36B1" w:rsidRPr="0069604A" w:rsidRDefault="003C36B1" w:rsidP="00D9559C">
      <w:pPr>
        <w:spacing w:after="120"/>
        <w:ind w:right="-360"/>
        <w:jc w:val="both"/>
        <w:rPr>
          <w:rFonts w:ascii="Calibri" w:hAnsi="Calibri"/>
          <w:color w:val="0F243E" w:themeColor="text2" w:themeShade="80"/>
          <w:sz w:val="21"/>
          <w:szCs w:val="21"/>
          <w:lang w:val="en-US"/>
        </w:rPr>
      </w:pPr>
      <w:r w:rsidRPr="0069604A">
        <w:rPr>
          <w:rFonts w:cstheme="minorHAnsi"/>
          <w:b/>
          <w:color w:val="0F243E" w:themeColor="text2" w:themeShade="80"/>
          <w:sz w:val="24"/>
          <w:szCs w:val="24"/>
        </w:rPr>
        <w:t xml:space="preserve">3.2 Strategic priorities for </w:t>
      </w:r>
      <w:r w:rsidR="00707381" w:rsidRPr="0069604A">
        <w:rPr>
          <w:rFonts w:cstheme="minorHAnsi"/>
          <w:b/>
          <w:color w:val="0F243E" w:themeColor="text2" w:themeShade="80"/>
          <w:sz w:val="24"/>
          <w:szCs w:val="24"/>
        </w:rPr>
        <w:t>cooperation</w:t>
      </w:r>
      <w:r w:rsidRPr="0069604A">
        <w:rPr>
          <w:rFonts w:cstheme="minorHAnsi"/>
          <w:b/>
          <w:color w:val="0F243E" w:themeColor="text2" w:themeShade="80"/>
          <w:sz w:val="24"/>
          <w:szCs w:val="24"/>
        </w:rPr>
        <w:fldChar w:fldCharType="begin"/>
      </w:r>
      <w:r w:rsidRPr="0069604A">
        <w:rPr>
          <w:color w:val="0F243E" w:themeColor="text2" w:themeShade="80"/>
          <w:sz w:val="24"/>
          <w:szCs w:val="24"/>
        </w:rPr>
        <w:instrText xml:space="preserve"> TC "</w:instrText>
      </w:r>
      <w:bookmarkStart w:id="45" w:name="_Toc26184390"/>
      <w:bookmarkStart w:id="46" w:name="_Toc38899118"/>
      <w:r w:rsidRPr="0069604A">
        <w:rPr>
          <w:rFonts w:cstheme="minorHAnsi"/>
          <w:b/>
          <w:color w:val="0F243E" w:themeColor="text2" w:themeShade="80"/>
          <w:sz w:val="24"/>
          <w:szCs w:val="24"/>
        </w:rPr>
        <w:instrText xml:space="preserve">3.2 Strategic priorities for </w:instrText>
      </w:r>
      <w:r w:rsidR="00707381" w:rsidRPr="0069604A">
        <w:rPr>
          <w:rFonts w:cstheme="minorHAnsi"/>
          <w:b/>
          <w:color w:val="0F243E" w:themeColor="text2" w:themeShade="80"/>
          <w:sz w:val="24"/>
          <w:szCs w:val="24"/>
        </w:rPr>
        <w:instrText>cooperation</w:instrText>
      </w:r>
      <w:bookmarkEnd w:id="45"/>
      <w:bookmarkEnd w:id="46"/>
      <w:r w:rsidRPr="0069604A">
        <w:rPr>
          <w:color w:val="0F243E" w:themeColor="text2" w:themeShade="80"/>
          <w:sz w:val="24"/>
          <w:szCs w:val="24"/>
        </w:rPr>
        <w:instrText xml:space="preserve">" \f C \l "2" </w:instrText>
      </w:r>
      <w:r w:rsidRPr="0069604A">
        <w:rPr>
          <w:rFonts w:cstheme="minorHAnsi"/>
          <w:b/>
          <w:color w:val="0F243E" w:themeColor="text2" w:themeShade="80"/>
          <w:sz w:val="24"/>
          <w:szCs w:val="24"/>
        </w:rPr>
        <w:fldChar w:fldCharType="end"/>
      </w:r>
    </w:p>
    <w:p w14:paraId="54CC6ECC" w14:textId="7FF9260D" w:rsidR="00C26B40" w:rsidRPr="0069604A" w:rsidRDefault="003C36B1" w:rsidP="00D9559C">
      <w:pPr>
        <w:pStyle w:val="ListParagraph"/>
        <w:numPr>
          <w:ilvl w:val="0"/>
          <w:numId w:val="3"/>
        </w:numPr>
        <w:spacing w:after="120"/>
        <w:ind w:right="-360"/>
        <w:contextualSpacing w:val="0"/>
        <w:jc w:val="both"/>
        <w:rPr>
          <w:rFonts w:ascii="Calibri" w:hAnsi="Calibri"/>
          <w:b/>
          <w:sz w:val="21"/>
          <w:szCs w:val="21"/>
          <w:lang w:val="en-CA"/>
        </w:rPr>
      </w:pPr>
      <w:r w:rsidRPr="0069604A">
        <w:rPr>
          <w:rFonts w:ascii="Calibri" w:hAnsi="Calibri"/>
          <w:sz w:val="21"/>
          <w:szCs w:val="21"/>
          <w:lang w:val="en-CA"/>
        </w:rPr>
        <w:t xml:space="preserve">The theory of change and the necessary </w:t>
      </w:r>
      <w:r w:rsidRPr="0069604A">
        <w:rPr>
          <w:rFonts w:ascii="Calibri" w:hAnsi="Calibri"/>
          <w:i/>
          <w:sz w:val="21"/>
          <w:szCs w:val="21"/>
          <w:lang w:val="en-CA"/>
        </w:rPr>
        <w:t>pre-conditions</w:t>
      </w:r>
      <w:r w:rsidRPr="0069604A">
        <w:rPr>
          <w:rFonts w:ascii="Calibri" w:hAnsi="Calibri"/>
          <w:sz w:val="21"/>
          <w:szCs w:val="21"/>
          <w:lang w:val="en-CA"/>
        </w:rPr>
        <w:t xml:space="preserve"> for achievement of priorities</w:t>
      </w:r>
      <w:r w:rsidR="00E04940" w:rsidRPr="0069604A">
        <w:rPr>
          <w:rFonts w:ascii="Calibri" w:hAnsi="Calibri"/>
          <w:sz w:val="21"/>
          <w:szCs w:val="21"/>
          <w:lang w:val="en-CA"/>
        </w:rPr>
        <w:t xml:space="preserve"> in BiH</w:t>
      </w:r>
      <w:r w:rsidRPr="0069604A">
        <w:rPr>
          <w:rFonts w:ascii="Calibri" w:hAnsi="Calibri"/>
          <w:sz w:val="21"/>
          <w:szCs w:val="21"/>
          <w:lang w:val="en-CA"/>
        </w:rPr>
        <w:t xml:space="preserve"> </w:t>
      </w:r>
      <w:r w:rsidR="005E2733" w:rsidRPr="0069604A">
        <w:rPr>
          <w:rFonts w:ascii="Calibri" w:hAnsi="Calibri"/>
          <w:sz w:val="21"/>
          <w:szCs w:val="21"/>
          <w:lang w:val="en-CA"/>
        </w:rPr>
        <w:t>afford</w:t>
      </w:r>
      <w:r w:rsidRPr="0069604A">
        <w:rPr>
          <w:rFonts w:ascii="Calibri" w:hAnsi="Calibri"/>
          <w:sz w:val="21"/>
          <w:szCs w:val="21"/>
          <w:lang w:val="en-CA"/>
        </w:rPr>
        <w:t xml:space="preserve"> </w:t>
      </w:r>
      <w:r w:rsidRPr="0069604A">
        <w:rPr>
          <w:rFonts w:ascii="Calibri" w:hAnsi="Calibri"/>
          <w:b/>
          <w:sz w:val="21"/>
          <w:szCs w:val="21"/>
          <w:lang w:val="en-CA"/>
        </w:rPr>
        <w:t>four priorities</w:t>
      </w:r>
      <w:r w:rsidRPr="0069604A">
        <w:rPr>
          <w:rFonts w:ascii="Calibri" w:hAnsi="Calibri"/>
          <w:sz w:val="21"/>
          <w:szCs w:val="21"/>
          <w:lang w:val="en-CA"/>
        </w:rPr>
        <w:t xml:space="preserve"> for </w:t>
      </w:r>
      <w:r w:rsidR="005E2733" w:rsidRPr="0069604A">
        <w:rPr>
          <w:rFonts w:ascii="Calibri" w:hAnsi="Calibri"/>
          <w:sz w:val="21"/>
          <w:szCs w:val="21"/>
          <w:lang w:val="en-CA"/>
        </w:rPr>
        <w:t xml:space="preserve">cooperation between </w:t>
      </w:r>
      <w:r w:rsidR="00E04940" w:rsidRPr="0069604A">
        <w:rPr>
          <w:rFonts w:ascii="Calibri" w:hAnsi="Calibri"/>
          <w:sz w:val="21"/>
          <w:szCs w:val="21"/>
          <w:lang w:val="en-CA"/>
        </w:rPr>
        <w:t>the</w:t>
      </w:r>
      <w:r w:rsidR="008C1408" w:rsidRPr="0069604A">
        <w:rPr>
          <w:rFonts w:ascii="Calibri" w:hAnsi="Calibri"/>
          <w:sz w:val="21"/>
          <w:szCs w:val="21"/>
          <w:lang w:val="en-CA"/>
        </w:rPr>
        <w:t xml:space="preserve"> authorities</w:t>
      </w:r>
      <w:r w:rsidR="00E04940" w:rsidRPr="0069604A">
        <w:rPr>
          <w:rFonts w:ascii="Calibri" w:hAnsi="Calibri"/>
          <w:sz w:val="21"/>
          <w:szCs w:val="21"/>
          <w:lang w:val="en-CA"/>
        </w:rPr>
        <w:t xml:space="preserve"> in BiH</w:t>
      </w:r>
      <w:r w:rsidR="005E2733" w:rsidRPr="0069604A">
        <w:rPr>
          <w:rFonts w:ascii="Calibri" w:hAnsi="Calibri"/>
          <w:sz w:val="21"/>
          <w:szCs w:val="21"/>
          <w:lang w:val="en-CA"/>
        </w:rPr>
        <w:t xml:space="preserve">, the UN system, and other local and international partners. </w:t>
      </w:r>
      <w:r w:rsidR="00BA5486" w:rsidRPr="0069604A">
        <w:rPr>
          <w:rFonts w:ascii="Calibri" w:hAnsi="Calibri"/>
          <w:sz w:val="21"/>
          <w:szCs w:val="21"/>
          <w:lang w:val="en-CA"/>
        </w:rPr>
        <w:t xml:space="preserve">They </w:t>
      </w:r>
      <w:r w:rsidRPr="0069604A">
        <w:rPr>
          <w:rFonts w:ascii="Calibri" w:hAnsi="Calibri"/>
          <w:sz w:val="21"/>
          <w:szCs w:val="21"/>
          <w:lang w:val="en-CA"/>
        </w:rPr>
        <w:t xml:space="preserve">were identified on the basis of country analytic work and </w:t>
      </w:r>
      <w:r w:rsidR="005E2733" w:rsidRPr="0069604A">
        <w:rPr>
          <w:rFonts w:ascii="Calibri" w:hAnsi="Calibri"/>
          <w:sz w:val="21"/>
          <w:szCs w:val="21"/>
          <w:lang w:val="en-CA"/>
        </w:rPr>
        <w:t xml:space="preserve">validated through </w:t>
      </w:r>
      <w:r w:rsidRPr="0069604A">
        <w:rPr>
          <w:rFonts w:ascii="Calibri" w:hAnsi="Calibri"/>
          <w:sz w:val="21"/>
          <w:szCs w:val="21"/>
          <w:lang w:val="en-CA"/>
        </w:rPr>
        <w:t>multi-stakeholder consultations.</w:t>
      </w:r>
      <w:r w:rsidR="00C26B40" w:rsidRPr="0069604A">
        <w:rPr>
          <w:rFonts w:ascii="Calibri" w:hAnsi="Calibri"/>
          <w:sz w:val="21"/>
          <w:szCs w:val="21"/>
        </w:rPr>
        <w:t xml:space="preserve"> In line with the 2030 Agenda for Sustainable Development, none of priorities concerns a single sector or </w:t>
      </w:r>
      <w:r w:rsidR="0069604A" w:rsidRPr="0069604A">
        <w:rPr>
          <w:rFonts w:ascii="Calibri" w:hAnsi="Calibri"/>
          <w:sz w:val="21"/>
          <w:szCs w:val="21"/>
        </w:rPr>
        <w:t>single stakeholder</w:t>
      </w:r>
      <w:r w:rsidR="00C26B40" w:rsidRPr="0069604A">
        <w:rPr>
          <w:rFonts w:ascii="Calibri" w:hAnsi="Calibri"/>
          <w:sz w:val="21"/>
          <w:szCs w:val="21"/>
        </w:rPr>
        <w:t xml:space="preserve">. Rather they represent a nexus of change and partnerships that, combined, offer an effective pathway for </w:t>
      </w:r>
      <w:r w:rsidR="00C26B40" w:rsidRPr="0069604A">
        <w:rPr>
          <w:rFonts w:ascii="Calibri" w:hAnsi="Calibri"/>
          <w:sz w:val="21"/>
          <w:szCs w:val="21"/>
          <w:lang w:val="en-CA"/>
        </w:rPr>
        <w:t xml:space="preserve">BiH-UN system cooperation </w:t>
      </w:r>
      <w:r w:rsidR="005E4C34" w:rsidRPr="0069604A">
        <w:rPr>
          <w:rFonts w:ascii="Calibri" w:hAnsi="Calibri"/>
          <w:sz w:val="21"/>
          <w:szCs w:val="21"/>
          <w:lang w:val="en-CA"/>
        </w:rPr>
        <w:t xml:space="preserve">to </w:t>
      </w:r>
      <w:r w:rsidR="00C26B40" w:rsidRPr="0069604A">
        <w:rPr>
          <w:rFonts w:ascii="Calibri" w:hAnsi="Calibri"/>
          <w:sz w:val="21"/>
          <w:szCs w:val="21"/>
          <w:lang w:val="en-CA"/>
        </w:rPr>
        <w:t xml:space="preserve">make tangible, measurable contributions towards </w:t>
      </w:r>
      <w:r w:rsidR="00DB306B" w:rsidRPr="0069604A">
        <w:rPr>
          <w:rFonts w:ascii="Calibri" w:hAnsi="Calibri"/>
          <w:sz w:val="21"/>
          <w:szCs w:val="21"/>
          <w:lang w:val="en-CA"/>
        </w:rPr>
        <w:t xml:space="preserve">the </w:t>
      </w:r>
      <w:r w:rsidR="00C26B40" w:rsidRPr="0069604A">
        <w:rPr>
          <w:rFonts w:ascii="Calibri" w:hAnsi="Calibri"/>
          <w:sz w:val="21"/>
          <w:szCs w:val="21"/>
          <w:lang w:val="en-CA"/>
        </w:rPr>
        <w:t>priorities</w:t>
      </w:r>
      <w:r w:rsidR="00DB306B" w:rsidRPr="0069604A">
        <w:rPr>
          <w:rFonts w:ascii="Calibri" w:hAnsi="Calibri"/>
          <w:sz w:val="21"/>
          <w:szCs w:val="21"/>
          <w:lang w:val="en-CA"/>
        </w:rPr>
        <w:t xml:space="preserve"> in BiH</w:t>
      </w:r>
      <w:r w:rsidR="00C26B40" w:rsidRPr="0069604A">
        <w:rPr>
          <w:rFonts w:ascii="Calibri" w:hAnsi="Calibri"/>
          <w:sz w:val="21"/>
          <w:szCs w:val="21"/>
          <w:lang w:val="en-CA"/>
        </w:rPr>
        <w:t>. The four strategic priorities are:</w:t>
      </w:r>
    </w:p>
    <w:p w14:paraId="41C36372" w14:textId="77777777" w:rsidR="002A406E" w:rsidRPr="00197F4E" w:rsidRDefault="002A406E" w:rsidP="00D9559C">
      <w:pPr>
        <w:pStyle w:val="ListParagraph"/>
        <w:numPr>
          <w:ilvl w:val="0"/>
          <w:numId w:val="0"/>
        </w:numPr>
        <w:spacing w:after="120"/>
        <w:ind w:left="360" w:right="-360"/>
        <w:contextualSpacing w:val="0"/>
        <w:jc w:val="both"/>
        <w:rPr>
          <w:rFonts w:cstheme="minorHAnsi"/>
          <w:b/>
          <w:szCs w:val="22"/>
          <w:lang w:val="en-CA"/>
        </w:rPr>
      </w:pPr>
      <w:r w:rsidRPr="00197F4E">
        <w:rPr>
          <w:rFonts w:cstheme="minorHAnsi"/>
          <w:b/>
          <w:szCs w:val="22"/>
          <w:lang w:val="en-CA"/>
        </w:rPr>
        <w:t>I. Sustainable, resilient and inclusive growth</w:t>
      </w:r>
    </w:p>
    <w:p w14:paraId="7FCAF65C" w14:textId="1B713F8A" w:rsidR="002A406E" w:rsidRPr="00197F4E" w:rsidRDefault="000E2DEC" w:rsidP="00D9559C">
      <w:pPr>
        <w:pStyle w:val="ListParagraph"/>
        <w:numPr>
          <w:ilvl w:val="0"/>
          <w:numId w:val="3"/>
        </w:numPr>
        <w:spacing w:after="120"/>
        <w:ind w:right="-360"/>
        <w:contextualSpacing w:val="0"/>
        <w:jc w:val="both"/>
        <w:rPr>
          <w:rFonts w:cstheme="minorHAnsi"/>
          <w:sz w:val="21"/>
          <w:szCs w:val="21"/>
        </w:rPr>
      </w:pPr>
      <w:r w:rsidRPr="00197F4E">
        <w:rPr>
          <w:rFonts w:cstheme="minorHAnsi"/>
          <w:sz w:val="21"/>
          <w:szCs w:val="21"/>
        </w:rPr>
        <w:t xml:space="preserve">The cooperation outcome is an integrated response to these challenges, promoting the implementation of </w:t>
      </w:r>
      <w:r w:rsidR="008D177B" w:rsidRPr="00197F4E">
        <w:rPr>
          <w:rFonts w:cstheme="minorHAnsi"/>
          <w:sz w:val="21"/>
          <w:szCs w:val="21"/>
        </w:rPr>
        <w:t xml:space="preserve">strategies and policies </w:t>
      </w:r>
      <w:r w:rsidRPr="00197F4E">
        <w:rPr>
          <w:rFonts w:cstheme="minorHAnsi"/>
          <w:sz w:val="21"/>
          <w:szCs w:val="21"/>
        </w:rPr>
        <w:t>for economic growth that is more inclusive</w:t>
      </w:r>
      <w:r w:rsidR="00C4120C">
        <w:rPr>
          <w:rFonts w:cstheme="minorHAnsi"/>
          <w:sz w:val="21"/>
          <w:szCs w:val="21"/>
        </w:rPr>
        <w:t>,</w:t>
      </w:r>
      <w:r w:rsidRPr="00197F4E">
        <w:rPr>
          <w:rFonts w:cstheme="minorHAnsi"/>
          <w:sz w:val="21"/>
          <w:szCs w:val="21"/>
        </w:rPr>
        <w:t xml:space="preserve"> sustainable</w:t>
      </w:r>
      <w:r w:rsidR="008F17FC">
        <w:rPr>
          <w:rFonts w:cstheme="minorHAnsi"/>
          <w:sz w:val="21"/>
          <w:szCs w:val="21"/>
        </w:rPr>
        <w:t xml:space="preserve"> a</w:t>
      </w:r>
      <w:r w:rsidR="00814344">
        <w:rPr>
          <w:rFonts w:cstheme="minorHAnsi"/>
          <w:sz w:val="21"/>
          <w:szCs w:val="21"/>
        </w:rPr>
        <w:t>nd</w:t>
      </w:r>
      <w:r w:rsidR="009F22BF">
        <w:rPr>
          <w:rFonts w:cstheme="minorHAnsi"/>
          <w:sz w:val="21"/>
          <w:szCs w:val="21"/>
        </w:rPr>
        <w:t xml:space="preserve"> geared </w:t>
      </w:r>
      <w:r w:rsidR="00C4120C">
        <w:rPr>
          <w:rFonts w:cstheme="minorHAnsi"/>
          <w:sz w:val="21"/>
          <w:szCs w:val="21"/>
        </w:rPr>
        <w:t>toward</w:t>
      </w:r>
      <w:r w:rsidR="00BC3C32">
        <w:rPr>
          <w:rFonts w:cstheme="minorHAnsi"/>
          <w:sz w:val="21"/>
          <w:szCs w:val="21"/>
        </w:rPr>
        <w:t xml:space="preserve"> </w:t>
      </w:r>
      <w:r w:rsidR="00BF12EE">
        <w:rPr>
          <w:rFonts w:cstheme="minorHAnsi"/>
          <w:sz w:val="21"/>
          <w:szCs w:val="21"/>
        </w:rPr>
        <w:t>maximizing resources</w:t>
      </w:r>
      <w:r w:rsidR="009D0B8C">
        <w:rPr>
          <w:rFonts w:cstheme="minorHAnsi"/>
          <w:sz w:val="21"/>
          <w:szCs w:val="21"/>
        </w:rPr>
        <w:t xml:space="preserve"> for social protection</w:t>
      </w:r>
      <w:r w:rsidR="006B44E9">
        <w:rPr>
          <w:rFonts w:cstheme="minorHAnsi"/>
          <w:sz w:val="21"/>
          <w:szCs w:val="21"/>
        </w:rPr>
        <w:t xml:space="preserve"> and</w:t>
      </w:r>
      <w:r w:rsidR="009D0B8C">
        <w:rPr>
          <w:rFonts w:cstheme="minorHAnsi"/>
          <w:sz w:val="21"/>
          <w:szCs w:val="21"/>
        </w:rPr>
        <w:t xml:space="preserve"> investments in quality health, education and other public services.  </w:t>
      </w:r>
      <w:r w:rsidR="00EA7031" w:rsidRPr="00197F4E">
        <w:rPr>
          <w:rFonts w:cstheme="minorHAnsi"/>
          <w:sz w:val="21"/>
          <w:szCs w:val="21"/>
        </w:rPr>
        <w:t xml:space="preserve">This requires a shift towards a low-carbon </w:t>
      </w:r>
      <w:r w:rsidR="00CC03DE">
        <w:rPr>
          <w:rFonts w:cstheme="minorHAnsi"/>
          <w:sz w:val="21"/>
          <w:szCs w:val="21"/>
        </w:rPr>
        <w:t xml:space="preserve">and resilient </w:t>
      </w:r>
      <w:r w:rsidR="00EA7031" w:rsidRPr="00197F4E">
        <w:rPr>
          <w:rFonts w:cstheme="minorHAnsi"/>
          <w:sz w:val="21"/>
          <w:szCs w:val="21"/>
        </w:rPr>
        <w:t>economy and living. </w:t>
      </w:r>
      <w:r w:rsidR="00A3788B" w:rsidRPr="00197F4E">
        <w:rPr>
          <w:rFonts w:cstheme="minorHAnsi"/>
          <w:sz w:val="21"/>
          <w:szCs w:val="21"/>
        </w:rPr>
        <w:t xml:space="preserve">The UN system will support a </w:t>
      </w:r>
      <w:r w:rsidR="00A3788B" w:rsidRPr="00197F4E">
        <w:rPr>
          <w:rFonts w:cstheme="minorHAnsi"/>
          <w:sz w:val="21"/>
          <w:szCs w:val="21"/>
          <w:lang w:val="en-CA"/>
        </w:rPr>
        <w:t xml:space="preserve">stronger policy and regulatory environment </w:t>
      </w:r>
      <w:r w:rsidR="00A3788B" w:rsidRPr="00197F4E">
        <w:rPr>
          <w:rFonts w:cstheme="minorHAnsi"/>
          <w:sz w:val="21"/>
          <w:szCs w:val="21"/>
        </w:rPr>
        <w:t xml:space="preserve">and </w:t>
      </w:r>
      <w:r w:rsidR="00EA7031" w:rsidRPr="00197F4E">
        <w:rPr>
          <w:rFonts w:cstheme="minorHAnsi"/>
          <w:sz w:val="21"/>
          <w:szCs w:val="21"/>
        </w:rPr>
        <w:t xml:space="preserve">stimulus measures </w:t>
      </w:r>
      <w:r w:rsidR="00A3788B" w:rsidRPr="00197F4E">
        <w:rPr>
          <w:rFonts w:cstheme="minorHAnsi"/>
          <w:sz w:val="21"/>
          <w:szCs w:val="21"/>
        </w:rPr>
        <w:t xml:space="preserve">to </w:t>
      </w:r>
      <w:r w:rsidR="00EA7031" w:rsidRPr="00197F4E">
        <w:rPr>
          <w:rFonts w:cstheme="minorHAnsi"/>
          <w:sz w:val="21"/>
          <w:szCs w:val="21"/>
        </w:rPr>
        <w:t xml:space="preserve">enable low-carbon development, </w:t>
      </w:r>
      <w:r w:rsidR="00A3788B" w:rsidRPr="00197F4E">
        <w:rPr>
          <w:rFonts w:cstheme="minorHAnsi"/>
          <w:sz w:val="21"/>
          <w:szCs w:val="21"/>
        </w:rPr>
        <w:t xml:space="preserve">spur business development and increased competitiveness, and support the creation of </w:t>
      </w:r>
      <w:r w:rsidR="00EA7031" w:rsidRPr="00197F4E">
        <w:rPr>
          <w:rFonts w:cstheme="minorHAnsi"/>
          <w:sz w:val="21"/>
          <w:szCs w:val="21"/>
        </w:rPr>
        <w:t xml:space="preserve">green and decent jobs, complemented by environmental action. </w:t>
      </w:r>
      <w:r w:rsidR="002A406E" w:rsidRPr="00197F4E">
        <w:rPr>
          <w:rFonts w:cstheme="minorHAnsi"/>
          <w:sz w:val="21"/>
          <w:szCs w:val="21"/>
        </w:rPr>
        <w:t xml:space="preserve">Tangible results will include </w:t>
      </w:r>
      <w:r w:rsidR="00A3788B" w:rsidRPr="00197F4E">
        <w:rPr>
          <w:rFonts w:cstheme="minorHAnsi"/>
          <w:sz w:val="21"/>
          <w:szCs w:val="21"/>
        </w:rPr>
        <w:t xml:space="preserve">stronger climate change mitigation policies, the introduction of low carbon technology and digital economy strategies and plans, </w:t>
      </w:r>
      <w:r w:rsidR="002A406E" w:rsidRPr="00197F4E">
        <w:rPr>
          <w:rFonts w:cstheme="minorHAnsi"/>
          <w:sz w:val="21"/>
          <w:szCs w:val="21"/>
        </w:rPr>
        <w:t xml:space="preserve">more small and medium enterprises (SMEs) in </w:t>
      </w:r>
      <w:r w:rsidR="00FD1CE9" w:rsidRPr="00197F4E">
        <w:rPr>
          <w:rFonts w:cstheme="minorHAnsi"/>
          <w:sz w:val="21"/>
          <w:szCs w:val="21"/>
        </w:rPr>
        <w:t xml:space="preserve">main </w:t>
      </w:r>
      <w:r w:rsidR="002A406E" w:rsidRPr="00197F4E">
        <w:rPr>
          <w:rFonts w:cstheme="minorHAnsi"/>
          <w:sz w:val="21"/>
          <w:szCs w:val="21"/>
        </w:rPr>
        <w:t>economy sectors</w:t>
      </w:r>
      <w:r w:rsidR="00FD1CE9" w:rsidRPr="00197F4E">
        <w:rPr>
          <w:rFonts w:cstheme="minorHAnsi"/>
          <w:sz w:val="21"/>
          <w:szCs w:val="21"/>
        </w:rPr>
        <w:t xml:space="preserve"> applying sustainable business models</w:t>
      </w:r>
      <w:r w:rsidR="00A3788B" w:rsidRPr="00197F4E">
        <w:rPr>
          <w:rFonts w:cstheme="minorHAnsi"/>
          <w:sz w:val="21"/>
          <w:szCs w:val="21"/>
        </w:rPr>
        <w:t>,</w:t>
      </w:r>
      <w:r w:rsidR="002A406E" w:rsidRPr="00197F4E">
        <w:rPr>
          <w:rFonts w:cstheme="minorHAnsi"/>
          <w:sz w:val="21"/>
          <w:szCs w:val="21"/>
        </w:rPr>
        <w:t xml:space="preserve"> stronger active labour market measures (ALMPs) to connect young people, especially young women</w:t>
      </w:r>
      <w:r w:rsidR="00A3788B" w:rsidRPr="00197F4E">
        <w:rPr>
          <w:rFonts w:cstheme="minorHAnsi"/>
          <w:sz w:val="21"/>
          <w:szCs w:val="21"/>
        </w:rPr>
        <w:t xml:space="preserve"> and </w:t>
      </w:r>
      <w:r w:rsidR="004D5C58" w:rsidRPr="00197F4E">
        <w:rPr>
          <w:rFonts w:cstheme="minorHAnsi"/>
          <w:sz w:val="21"/>
          <w:szCs w:val="21"/>
        </w:rPr>
        <w:t>vulnerable groups</w:t>
      </w:r>
      <w:r w:rsidR="00A3788B" w:rsidRPr="00197F4E">
        <w:rPr>
          <w:rFonts w:cstheme="minorHAnsi"/>
          <w:sz w:val="21"/>
          <w:szCs w:val="21"/>
        </w:rPr>
        <w:t>,</w:t>
      </w:r>
      <w:r w:rsidR="004D5C58" w:rsidRPr="00197F4E">
        <w:rPr>
          <w:rFonts w:cstheme="minorHAnsi"/>
          <w:sz w:val="21"/>
          <w:szCs w:val="21"/>
        </w:rPr>
        <w:t xml:space="preserve"> </w:t>
      </w:r>
      <w:r w:rsidR="002A406E" w:rsidRPr="00197F4E">
        <w:rPr>
          <w:rFonts w:cstheme="minorHAnsi"/>
          <w:sz w:val="21"/>
          <w:szCs w:val="21"/>
        </w:rPr>
        <w:t>with good jobs in the formal economy</w:t>
      </w:r>
      <w:r w:rsidR="00A3788B" w:rsidRPr="00197F4E">
        <w:rPr>
          <w:rFonts w:cstheme="minorHAnsi"/>
          <w:sz w:val="21"/>
          <w:szCs w:val="21"/>
        </w:rPr>
        <w:t xml:space="preserve">, </w:t>
      </w:r>
      <w:r w:rsidR="002A406E" w:rsidRPr="00197F4E">
        <w:rPr>
          <w:rFonts w:cstheme="minorHAnsi"/>
          <w:sz w:val="21"/>
          <w:szCs w:val="21"/>
        </w:rPr>
        <w:t xml:space="preserve">and stronger incentives for investments in innovation and research </w:t>
      </w:r>
      <w:r w:rsidR="006E7548" w:rsidRPr="00197F4E">
        <w:rPr>
          <w:rFonts w:cstheme="minorHAnsi"/>
          <w:sz w:val="21"/>
          <w:szCs w:val="21"/>
        </w:rPr>
        <w:t>and</w:t>
      </w:r>
      <w:r w:rsidR="002A406E" w:rsidRPr="00197F4E">
        <w:rPr>
          <w:rFonts w:cstheme="minorHAnsi"/>
          <w:sz w:val="21"/>
          <w:szCs w:val="21"/>
        </w:rPr>
        <w:t xml:space="preserve"> development (R&amp;D). These will be backstopped with </w:t>
      </w:r>
      <w:r w:rsidR="002A406E" w:rsidRPr="00197F4E">
        <w:rPr>
          <w:rFonts w:cstheme="minorHAnsi"/>
          <w:sz w:val="21"/>
          <w:szCs w:val="21"/>
          <w:lang w:eastAsia="en-CA"/>
        </w:rPr>
        <w:t>coordinated implementation of natural and cultural resource management policies and plans, in line with the EU and international standards.</w:t>
      </w:r>
      <w:r w:rsidR="001A3142">
        <w:rPr>
          <w:rFonts w:cstheme="minorHAnsi"/>
          <w:sz w:val="21"/>
          <w:szCs w:val="21"/>
          <w:lang w:eastAsia="en-CA"/>
        </w:rPr>
        <w:t xml:space="preserve"> </w:t>
      </w:r>
    </w:p>
    <w:p w14:paraId="24C3417A" w14:textId="77777777" w:rsidR="0050563E" w:rsidRPr="00197F4E" w:rsidRDefault="0050563E" w:rsidP="00D9559C">
      <w:pPr>
        <w:ind w:left="360" w:right="-360"/>
        <w:jc w:val="both"/>
        <w:rPr>
          <w:rFonts w:cstheme="minorHAnsi"/>
          <w:b/>
        </w:rPr>
      </w:pPr>
      <w:r w:rsidRPr="00197F4E">
        <w:rPr>
          <w:rFonts w:cstheme="minorHAnsi"/>
          <w:b/>
        </w:rPr>
        <w:t>II. Quality, accessible and inclusive education, health and social protection</w:t>
      </w:r>
    </w:p>
    <w:p w14:paraId="3921269C" w14:textId="22569405" w:rsidR="00601766" w:rsidRPr="00197F4E" w:rsidRDefault="00A13E47" w:rsidP="00D9559C">
      <w:pPr>
        <w:pStyle w:val="ListParagraph"/>
        <w:numPr>
          <w:ilvl w:val="0"/>
          <w:numId w:val="3"/>
        </w:numPr>
        <w:spacing w:after="120"/>
        <w:ind w:right="-360"/>
        <w:contextualSpacing w:val="0"/>
        <w:jc w:val="both"/>
        <w:rPr>
          <w:rFonts w:cstheme="minorHAnsi"/>
          <w:sz w:val="21"/>
          <w:szCs w:val="21"/>
          <w:lang w:val="en-CA"/>
        </w:rPr>
      </w:pPr>
      <w:r w:rsidRPr="00197F4E">
        <w:rPr>
          <w:rFonts w:cstheme="minorHAnsi"/>
          <w:sz w:val="21"/>
          <w:szCs w:val="21"/>
        </w:rPr>
        <w:t xml:space="preserve">Under this </w:t>
      </w:r>
      <w:r w:rsidR="001C3CC6" w:rsidRPr="00197F4E">
        <w:rPr>
          <w:rFonts w:cstheme="minorHAnsi"/>
          <w:sz w:val="21"/>
          <w:szCs w:val="21"/>
        </w:rPr>
        <w:t>priority</w:t>
      </w:r>
      <w:r w:rsidRPr="00197F4E">
        <w:rPr>
          <w:rFonts w:cstheme="minorHAnsi"/>
          <w:sz w:val="21"/>
          <w:szCs w:val="21"/>
        </w:rPr>
        <w:t xml:space="preserve">, the UN system will support </w:t>
      </w:r>
      <w:r w:rsidR="001C3CC6" w:rsidRPr="00197F4E">
        <w:rPr>
          <w:rFonts w:cstheme="minorHAnsi"/>
          <w:sz w:val="21"/>
          <w:szCs w:val="21"/>
        </w:rPr>
        <w:t xml:space="preserve">two </w:t>
      </w:r>
      <w:r w:rsidRPr="00197F4E">
        <w:rPr>
          <w:rFonts w:cstheme="minorHAnsi"/>
          <w:sz w:val="21"/>
          <w:szCs w:val="21"/>
        </w:rPr>
        <w:t>critical</w:t>
      </w:r>
      <w:r w:rsidR="00510EBA" w:rsidRPr="00197F4E">
        <w:rPr>
          <w:rFonts w:cstheme="minorHAnsi"/>
          <w:sz w:val="21"/>
          <w:szCs w:val="21"/>
        </w:rPr>
        <w:t xml:space="preserve"> and </w:t>
      </w:r>
      <w:r w:rsidR="007F3C59" w:rsidRPr="00197F4E">
        <w:rPr>
          <w:rFonts w:cstheme="minorHAnsi"/>
          <w:sz w:val="21"/>
          <w:szCs w:val="21"/>
        </w:rPr>
        <w:t xml:space="preserve">complementary </w:t>
      </w:r>
      <w:r w:rsidR="008E78A7" w:rsidRPr="00197F4E">
        <w:rPr>
          <w:rFonts w:cstheme="minorHAnsi"/>
          <w:sz w:val="21"/>
          <w:szCs w:val="21"/>
        </w:rPr>
        <w:t>ou</w:t>
      </w:r>
      <w:r w:rsidR="00510EBA" w:rsidRPr="00197F4E">
        <w:rPr>
          <w:rFonts w:cstheme="minorHAnsi"/>
          <w:sz w:val="21"/>
          <w:szCs w:val="21"/>
        </w:rPr>
        <w:t>t</w:t>
      </w:r>
      <w:r w:rsidR="008E78A7" w:rsidRPr="00197F4E">
        <w:rPr>
          <w:rFonts w:cstheme="minorHAnsi"/>
          <w:sz w:val="21"/>
          <w:szCs w:val="21"/>
        </w:rPr>
        <w:t>comes,</w:t>
      </w:r>
      <w:r w:rsidR="00CF0E07" w:rsidRPr="00197F4E">
        <w:rPr>
          <w:rFonts w:cstheme="minorHAnsi"/>
          <w:sz w:val="21"/>
          <w:szCs w:val="21"/>
        </w:rPr>
        <w:t xml:space="preserve"> central to a more inclusive and fair society</w:t>
      </w:r>
      <w:r w:rsidR="00601766" w:rsidRPr="00197F4E">
        <w:rPr>
          <w:rFonts w:cstheme="minorHAnsi"/>
          <w:sz w:val="21"/>
          <w:szCs w:val="21"/>
        </w:rPr>
        <w:t>:</w:t>
      </w:r>
      <w:r w:rsidR="00601766" w:rsidRPr="00197F4E">
        <w:rPr>
          <w:rFonts w:ascii="Calibri" w:hAnsi="Calibri"/>
          <w:sz w:val="21"/>
          <w:szCs w:val="21"/>
          <w:lang w:val="en-CA"/>
        </w:rPr>
        <w:t xml:space="preserve"> </w:t>
      </w:r>
    </w:p>
    <w:p w14:paraId="1799BAFE" w14:textId="20945863" w:rsidR="0050563E" w:rsidRPr="009575D9" w:rsidRDefault="00601766" w:rsidP="00D9559C">
      <w:pPr>
        <w:pStyle w:val="ListParagraph"/>
        <w:numPr>
          <w:ilvl w:val="0"/>
          <w:numId w:val="0"/>
        </w:numPr>
        <w:spacing w:after="120"/>
        <w:ind w:left="360" w:right="-360"/>
        <w:contextualSpacing w:val="0"/>
        <w:jc w:val="both"/>
        <w:rPr>
          <w:rFonts w:cstheme="minorHAnsi"/>
          <w:sz w:val="21"/>
          <w:szCs w:val="21"/>
          <w:lang w:val="en-CA"/>
        </w:rPr>
      </w:pPr>
      <w:r w:rsidRPr="00197F4E">
        <w:rPr>
          <w:rFonts w:cstheme="minorHAnsi"/>
          <w:sz w:val="21"/>
          <w:szCs w:val="21"/>
          <w:lang w:val="en-CA"/>
        </w:rPr>
        <w:t xml:space="preserve">1) </w:t>
      </w:r>
      <w:r w:rsidR="0050563E" w:rsidRPr="00197F4E">
        <w:rPr>
          <w:rFonts w:cstheme="minorHAnsi"/>
          <w:sz w:val="21"/>
          <w:szCs w:val="21"/>
          <w:lang w:val="en-CA"/>
        </w:rPr>
        <w:t xml:space="preserve">The first concerns </w:t>
      </w:r>
      <w:r w:rsidRPr="00197F4E">
        <w:rPr>
          <w:rFonts w:cstheme="minorHAnsi"/>
          <w:sz w:val="21"/>
          <w:szCs w:val="21"/>
          <w:lang w:val="en-CA"/>
        </w:rPr>
        <w:t>m</w:t>
      </w:r>
      <w:r w:rsidRPr="00197F4E">
        <w:rPr>
          <w:rFonts w:ascii="Calibri" w:hAnsi="Calibri"/>
          <w:sz w:val="21"/>
          <w:szCs w:val="21"/>
          <w:lang w:val="en-CA"/>
        </w:rPr>
        <w:t>ore inclusive and higher quality education, focused on 21st century skills</w:t>
      </w:r>
      <w:r w:rsidRPr="00197F4E">
        <w:rPr>
          <w:rStyle w:val="FootnoteReference"/>
          <w:rFonts w:ascii="Calibri" w:hAnsi="Calibri"/>
          <w:sz w:val="21"/>
          <w:szCs w:val="21"/>
          <w:lang w:val="en-CA"/>
        </w:rPr>
        <w:footnoteReference w:id="80"/>
      </w:r>
      <w:r w:rsidRPr="00197F4E">
        <w:rPr>
          <w:rFonts w:ascii="Calibri" w:hAnsi="Calibri"/>
          <w:sz w:val="21"/>
          <w:szCs w:val="21"/>
          <w:lang w:val="en-CA"/>
        </w:rPr>
        <w:t xml:space="preserve"> and employability</w:t>
      </w:r>
      <w:r w:rsidR="0050563E" w:rsidRPr="00197F4E">
        <w:rPr>
          <w:rFonts w:cstheme="minorHAnsi"/>
          <w:sz w:val="21"/>
          <w:szCs w:val="21"/>
          <w:lang w:val="en-CA"/>
        </w:rPr>
        <w:t xml:space="preserve"> of people, especially the young</w:t>
      </w:r>
      <w:r w:rsidR="006E7548" w:rsidRPr="00197F4E">
        <w:rPr>
          <w:rFonts w:cstheme="minorHAnsi"/>
          <w:sz w:val="21"/>
          <w:szCs w:val="21"/>
          <w:lang w:val="en-CA"/>
        </w:rPr>
        <w:t xml:space="preserve"> and vulnerable</w:t>
      </w:r>
      <w:r w:rsidR="0050563E" w:rsidRPr="00197F4E">
        <w:rPr>
          <w:rFonts w:cstheme="minorHAnsi"/>
          <w:sz w:val="21"/>
          <w:szCs w:val="21"/>
          <w:lang w:val="en-CA"/>
        </w:rPr>
        <w:t xml:space="preserve">. Cooperation will </w:t>
      </w:r>
      <w:r w:rsidR="0050563E" w:rsidRPr="00197F4E">
        <w:rPr>
          <w:sz w:val="21"/>
          <w:szCs w:val="21"/>
          <w:shd w:val="clear" w:color="auto" w:fill="FFFFFF"/>
        </w:rPr>
        <w:t xml:space="preserve">support </w:t>
      </w:r>
      <w:r w:rsidR="0050563E" w:rsidRPr="00197F4E">
        <w:rPr>
          <w:rFonts w:cstheme="minorHAnsi"/>
          <w:sz w:val="21"/>
          <w:szCs w:val="21"/>
          <w:lang w:eastAsia="en-CA"/>
        </w:rPr>
        <w:t>conditions for more inclusive and higher quality education that offer all children and young people the 21</w:t>
      </w:r>
      <w:r w:rsidR="0050563E" w:rsidRPr="00197F4E">
        <w:rPr>
          <w:rFonts w:cstheme="minorHAnsi"/>
          <w:sz w:val="21"/>
          <w:szCs w:val="21"/>
          <w:vertAlign w:val="superscript"/>
          <w:lang w:eastAsia="en-CA"/>
        </w:rPr>
        <w:t>st</w:t>
      </w:r>
      <w:r w:rsidR="0050563E" w:rsidRPr="00197F4E">
        <w:rPr>
          <w:rFonts w:cstheme="minorHAnsi"/>
          <w:sz w:val="21"/>
          <w:szCs w:val="21"/>
          <w:lang w:eastAsia="en-CA"/>
        </w:rPr>
        <w:t xml:space="preserve"> century skills they will need for employment success in a modern, EU</w:t>
      </w:r>
      <w:r w:rsidR="0050563E" w:rsidRPr="009575D9">
        <w:rPr>
          <w:rFonts w:cstheme="minorHAnsi"/>
          <w:sz w:val="21"/>
          <w:szCs w:val="21"/>
          <w:lang w:eastAsia="en-CA"/>
        </w:rPr>
        <w:t xml:space="preserve">-oriented labour market. </w:t>
      </w:r>
      <w:r w:rsidR="0050563E" w:rsidRPr="009575D9">
        <w:rPr>
          <w:rFonts w:cstheme="minorHAnsi"/>
          <w:sz w:val="21"/>
          <w:szCs w:val="21"/>
        </w:rPr>
        <w:t>Renewed political will and innovative efforts are needed to strengthen the education system</w:t>
      </w:r>
      <w:r w:rsidR="003C498B" w:rsidRPr="009575D9">
        <w:rPr>
          <w:rFonts w:cstheme="minorHAnsi"/>
          <w:sz w:val="21"/>
          <w:szCs w:val="21"/>
        </w:rPr>
        <w:t>s</w:t>
      </w:r>
      <w:r w:rsidR="0050563E" w:rsidRPr="009575D9">
        <w:rPr>
          <w:rFonts w:cstheme="minorHAnsi"/>
          <w:sz w:val="21"/>
          <w:szCs w:val="21"/>
        </w:rPr>
        <w:t xml:space="preserve"> performance and learning outcomes, and to forge closer links between the education and training systems with the labour market and employer’s organizations.</w:t>
      </w:r>
    </w:p>
    <w:p w14:paraId="7FA75C57" w14:textId="3893392B" w:rsidR="0050563E" w:rsidRPr="009575D9" w:rsidRDefault="00601766" w:rsidP="00D9559C">
      <w:pPr>
        <w:pStyle w:val="ListParagraph"/>
        <w:numPr>
          <w:ilvl w:val="0"/>
          <w:numId w:val="0"/>
        </w:numPr>
        <w:spacing w:after="120"/>
        <w:ind w:left="360" w:right="-360"/>
        <w:contextualSpacing w:val="0"/>
        <w:jc w:val="both"/>
        <w:rPr>
          <w:rFonts w:cstheme="minorHAnsi"/>
          <w:sz w:val="21"/>
          <w:szCs w:val="21"/>
          <w:lang w:val="en-CA"/>
        </w:rPr>
      </w:pPr>
      <w:r w:rsidRPr="009575D9">
        <w:rPr>
          <w:rFonts w:cstheme="minorHAnsi"/>
          <w:sz w:val="21"/>
          <w:szCs w:val="21"/>
          <w:lang w:val="en-CA"/>
        </w:rPr>
        <w:t xml:space="preserve">2) </w:t>
      </w:r>
      <w:r w:rsidR="00F31E4B" w:rsidRPr="009575D9">
        <w:rPr>
          <w:rFonts w:cstheme="minorHAnsi"/>
          <w:sz w:val="21"/>
          <w:szCs w:val="21"/>
          <w:lang w:val="en-CA"/>
        </w:rPr>
        <w:t xml:space="preserve">The second </w:t>
      </w:r>
      <w:r w:rsidR="00892CA7" w:rsidRPr="009575D9">
        <w:rPr>
          <w:rFonts w:cstheme="minorHAnsi"/>
          <w:sz w:val="21"/>
          <w:szCs w:val="21"/>
          <w:lang w:val="en-CA"/>
        </w:rPr>
        <w:t xml:space="preserve">outcome </w:t>
      </w:r>
      <w:r w:rsidR="009604C0" w:rsidRPr="009575D9">
        <w:rPr>
          <w:rFonts w:cstheme="minorHAnsi"/>
          <w:sz w:val="21"/>
          <w:szCs w:val="21"/>
          <w:lang w:val="en-CA"/>
        </w:rPr>
        <w:t xml:space="preserve">is to </w:t>
      </w:r>
      <w:r w:rsidR="00F31E4B" w:rsidRPr="009575D9">
        <w:rPr>
          <w:rFonts w:cstheme="minorHAnsi"/>
          <w:sz w:val="21"/>
          <w:szCs w:val="21"/>
          <w:lang w:val="en-CA"/>
        </w:rPr>
        <w:t>improve the q</w:t>
      </w:r>
      <w:r w:rsidR="0050563E" w:rsidRPr="009575D9">
        <w:rPr>
          <w:rFonts w:cstheme="minorHAnsi"/>
          <w:sz w:val="21"/>
          <w:szCs w:val="21"/>
          <w:lang w:val="en-CA"/>
        </w:rPr>
        <w:t>uality</w:t>
      </w:r>
      <w:r w:rsidR="00F31E4B" w:rsidRPr="009575D9">
        <w:rPr>
          <w:rFonts w:cstheme="minorHAnsi"/>
          <w:sz w:val="21"/>
          <w:szCs w:val="21"/>
          <w:lang w:val="en-CA"/>
        </w:rPr>
        <w:t xml:space="preserve"> and affordability of </w:t>
      </w:r>
      <w:r w:rsidR="0050563E" w:rsidRPr="009575D9">
        <w:rPr>
          <w:rFonts w:cstheme="minorHAnsi"/>
          <w:sz w:val="21"/>
          <w:szCs w:val="21"/>
          <w:lang w:val="en-CA"/>
        </w:rPr>
        <w:t>health services and social protection for all people in BiH, and especially vulnerable groups</w:t>
      </w:r>
      <w:r w:rsidR="00F31E4B" w:rsidRPr="009575D9">
        <w:rPr>
          <w:rFonts w:cstheme="minorHAnsi"/>
          <w:sz w:val="21"/>
          <w:szCs w:val="21"/>
          <w:lang w:val="en-CA"/>
        </w:rPr>
        <w:t xml:space="preserve">. This </w:t>
      </w:r>
      <w:r w:rsidR="0050563E" w:rsidRPr="009575D9">
        <w:rPr>
          <w:rFonts w:cstheme="minorHAnsi"/>
          <w:sz w:val="21"/>
          <w:szCs w:val="21"/>
          <w:lang w:val="en-CA"/>
        </w:rPr>
        <w:t>is urgent</w:t>
      </w:r>
      <w:r w:rsidR="00F31E4B" w:rsidRPr="009575D9">
        <w:rPr>
          <w:rFonts w:cstheme="minorHAnsi"/>
          <w:sz w:val="21"/>
          <w:szCs w:val="21"/>
          <w:lang w:val="en-CA"/>
        </w:rPr>
        <w:t xml:space="preserve">. </w:t>
      </w:r>
      <w:r w:rsidR="0050563E" w:rsidRPr="009575D9">
        <w:rPr>
          <w:rFonts w:cstheme="minorHAnsi"/>
          <w:sz w:val="21"/>
          <w:szCs w:val="21"/>
          <w:lang w:val="en-CA"/>
        </w:rPr>
        <w:t xml:space="preserve">Cooperation will strengthen </w:t>
      </w:r>
      <w:r w:rsidR="009604C0" w:rsidRPr="009575D9">
        <w:rPr>
          <w:rFonts w:cstheme="minorHAnsi"/>
          <w:sz w:val="21"/>
          <w:szCs w:val="21"/>
          <w:lang w:val="en-CA"/>
        </w:rPr>
        <w:t xml:space="preserve">the institutional </w:t>
      </w:r>
      <w:r w:rsidR="0050563E" w:rsidRPr="009575D9">
        <w:rPr>
          <w:rFonts w:cstheme="minorHAnsi"/>
          <w:sz w:val="21"/>
          <w:szCs w:val="21"/>
          <w:lang w:eastAsia="en-CA"/>
        </w:rPr>
        <w:t>conditions for more efficient, fair, and inclusive health and social protection systems, including</w:t>
      </w:r>
      <w:r w:rsidR="0050563E" w:rsidRPr="009575D9">
        <w:rPr>
          <w:rFonts w:cstheme="minorHAnsi"/>
          <w:sz w:val="21"/>
          <w:szCs w:val="21"/>
          <w:lang w:val="en-CA"/>
        </w:rPr>
        <w:t xml:space="preserve"> multi-sectoral referrals</w:t>
      </w:r>
      <w:r w:rsidR="00FC53E7" w:rsidRPr="009575D9">
        <w:rPr>
          <w:rFonts w:cstheme="minorHAnsi"/>
          <w:sz w:val="21"/>
          <w:szCs w:val="21"/>
          <w:lang w:val="en-CA"/>
        </w:rPr>
        <w:t xml:space="preserve"> </w:t>
      </w:r>
      <w:r w:rsidR="00463D29" w:rsidRPr="009575D9">
        <w:rPr>
          <w:rFonts w:cstheme="minorHAnsi"/>
          <w:sz w:val="21"/>
          <w:szCs w:val="21"/>
          <w:lang w:val="en-CA"/>
        </w:rPr>
        <w:t>to prevent and offer protection from g</w:t>
      </w:r>
      <w:r w:rsidR="0050563E" w:rsidRPr="009575D9">
        <w:rPr>
          <w:rFonts w:cstheme="minorHAnsi"/>
          <w:sz w:val="21"/>
          <w:szCs w:val="21"/>
          <w:lang w:val="en-CA"/>
        </w:rPr>
        <w:t>ender-based violence</w:t>
      </w:r>
      <w:r w:rsidR="00FC53E7" w:rsidRPr="009575D9">
        <w:rPr>
          <w:rFonts w:cstheme="minorHAnsi"/>
          <w:sz w:val="21"/>
          <w:szCs w:val="21"/>
          <w:lang w:val="en-CA"/>
        </w:rPr>
        <w:t xml:space="preserve"> and </w:t>
      </w:r>
      <w:r w:rsidR="00463D29" w:rsidRPr="009575D9">
        <w:rPr>
          <w:rFonts w:cstheme="minorHAnsi"/>
          <w:sz w:val="21"/>
          <w:szCs w:val="21"/>
          <w:lang w:val="en-CA"/>
        </w:rPr>
        <w:t>v</w:t>
      </w:r>
      <w:r w:rsidR="00FC53E7" w:rsidRPr="009575D9">
        <w:rPr>
          <w:rFonts w:cstheme="minorHAnsi"/>
          <w:sz w:val="21"/>
          <w:szCs w:val="21"/>
          <w:lang w:val="en-CA"/>
        </w:rPr>
        <w:t xml:space="preserve">iolence, abuse and exploitation </w:t>
      </w:r>
      <w:r w:rsidR="00463D29" w:rsidRPr="009575D9">
        <w:rPr>
          <w:rFonts w:cstheme="minorHAnsi"/>
          <w:sz w:val="21"/>
          <w:szCs w:val="21"/>
          <w:lang w:val="en-CA"/>
        </w:rPr>
        <w:t>o</w:t>
      </w:r>
      <w:r w:rsidR="00FC53E7" w:rsidRPr="009575D9">
        <w:rPr>
          <w:rFonts w:cstheme="minorHAnsi"/>
          <w:sz w:val="21"/>
          <w:szCs w:val="21"/>
          <w:lang w:val="en-CA"/>
        </w:rPr>
        <w:t>f children</w:t>
      </w:r>
      <w:r w:rsidR="0050563E" w:rsidRPr="009575D9">
        <w:rPr>
          <w:rFonts w:cstheme="minorHAnsi"/>
          <w:sz w:val="21"/>
          <w:szCs w:val="21"/>
          <w:lang w:eastAsia="en-CA"/>
        </w:rPr>
        <w:t xml:space="preserve">. An equity focus, with improved spending analysis and targeting, will be supported to ensure that </w:t>
      </w:r>
      <w:r w:rsidR="0050563E" w:rsidRPr="009575D9">
        <w:rPr>
          <w:rFonts w:cstheme="minorHAnsi"/>
          <w:sz w:val="21"/>
          <w:szCs w:val="21"/>
        </w:rPr>
        <w:t xml:space="preserve">health and social protection programmes and services </w:t>
      </w:r>
      <w:r w:rsidR="0050563E" w:rsidRPr="009575D9">
        <w:rPr>
          <w:rFonts w:cstheme="minorHAnsi"/>
          <w:sz w:val="21"/>
          <w:szCs w:val="21"/>
          <w:lang w:eastAsia="en-CA"/>
        </w:rPr>
        <w:t xml:space="preserve">are responding effectively to the situation of vulnerable groups. </w:t>
      </w:r>
    </w:p>
    <w:p w14:paraId="528E6D0A" w14:textId="77777777" w:rsidR="009C582C" w:rsidRPr="009575D9" w:rsidRDefault="009C582C" w:rsidP="00D9559C">
      <w:pPr>
        <w:pStyle w:val="ListParagraph"/>
        <w:numPr>
          <w:ilvl w:val="0"/>
          <w:numId w:val="0"/>
        </w:numPr>
        <w:spacing w:after="120"/>
        <w:ind w:left="360" w:right="-360"/>
        <w:contextualSpacing w:val="0"/>
        <w:jc w:val="both"/>
        <w:rPr>
          <w:rFonts w:cstheme="minorHAnsi"/>
          <w:b/>
          <w:szCs w:val="22"/>
          <w:lang w:val="en-CA"/>
        </w:rPr>
      </w:pPr>
      <w:r w:rsidRPr="009575D9">
        <w:rPr>
          <w:rFonts w:cstheme="minorHAnsi"/>
          <w:b/>
          <w:szCs w:val="22"/>
          <w:lang w:val="en-CA"/>
        </w:rPr>
        <w:t>III. People centered governance and rule of law</w:t>
      </w:r>
    </w:p>
    <w:p w14:paraId="44A2C320" w14:textId="2513F8D8" w:rsidR="00CF0E07" w:rsidRPr="00197F4E" w:rsidRDefault="007F3C59" w:rsidP="00D9559C">
      <w:pPr>
        <w:pStyle w:val="ListParagraph"/>
        <w:numPr>
          <w:ilvl w:val="0"/>
          <w:numId w:val="3"/>
        </w:numPr>
        <w:spacing w:after="120"/>
        <w:ind w:right="-360"/>
        <w:contextualSpacing w:val="0"/>
        <w:jc w:val="both"/>
        <w:rPr>
          <w:rFonts w:cstheme="minorHAnsi"/>
          <w:sz w:val="21"/>
          <w:szCs w:val="21"/>
          <w:lang w:val="en-CA"/>
        </w:rPr>
      </w:pPr>
      <w:r w:rsidRPr="009575D9">
        <w:rPr>
          <w:rFonts w:cstheme="minorHAnsi"/>
          <w:sz w:val="21"/>
          <w:szCs w:val="21"/>
        </w:rPr>
        <w:t xml:space="preserve">In partnership with </w:t>
      </w:r>
      <w:r w:rsidR="00CA1316" w:rsidRPr="009575D9">
        <w:rPr>
          <w:rFonts w:cstheme="minorHAnsi"/>
          <w:sz w:val="21"/>
          <w:szCs w:val="21"/>
        </w:rPr>
        <w:t xml:space="preserve">the </w:t>
      </w:r>
      <w:r w:rsidRPr="009575D9">
        <w:rPr>
          <w:rFonts w:cstheme="minorHAnsi"/>
          <w:sz w:val="21"/>
          <w:szCs w:val="21"/>
        </w:rPr>
        <w:t>authorities</w:t>
      </w:r>
      <w:r w:rsidR="00CA1316" w:rsidRPr="009575D9">
        <w:rPr>
          <w:rFonts w:cstheme="minorHAnsi"/>
          <w:sz w:val="21"/>
          <w:szCs w:val="21"/>
        </w:rPr>
        <w:t xml:space="preserve"> in BiH</w:t>
      </w:r>
      <w:r w:rsidRPr="009575D9">
        <w:rPr>
          <w:rFonts w:cstheme="minorHAnsi"/>
          <w:sz w:val="21"/>
          <w:szCs w:val="21"/>
        </w:rPr>
        <w:t xml:space="preserve">, the </w:t>
      </w:r>
      <w:r w:rsidR="008E78A7" w:rsidRPr="009575D9">
        <w:rPr>
          <w:rFonts w:cstheme="minorHAnsi"/>
          <w:sz w:val="21"/>
          <w:szCs w:val="21"/>
        </w:rPr>
        <w:t xml:space="preserve">cooperation outcome </w:t>
      </w:r>
      <w:r w:rsidRPr="009575D9">
        <w:rPr>
          <w:rFonts w:cstheme="minorHAnsi"/>
          <w:sz w:val="21"/>
          <w:szCs w:val="21"/>
        </w:rPr>
        <w:t>will support p</w:t>
      </w:r>
      <w:r w:rsidR="009C582C" w:rsidRPr="009575D9">
        <w:rPr>
          <w:rFonts w:cstheme="minorHAnsi"/>
          <w:sz w:val="21"/>
          <w:szCs w:val="21"/>
          <w:lang w:eastAsia="en-CA"/>
        </w:rPr>
        <w:t>ractical governance reforms</w:t>
      </w:r>
      <w:r w:rsidRPr="009575D9">
        <w:rPr>
          <w:rFonts w:cstheme="minorHAnsi"/>
          <w:sz w:val="21"/>
          <w:szCs w:val="21"/>
          <w:lang w:eastAsia="en-CA"/>
        </w:rPr>
        <w:t>, in</w:t>
      </w:r>
      <w:r w:rsidR="009C582C" w:rsidRPr="009575D9">
        <w:rPr>
          <w:rFonts w:cstheme="minorHAnsi"/>
          <w:sz w:val="21"/>
          <w:szCs w:val="21"/>
          <w:lang w:eastAsia="en-CA"/>
        </w:rPr>
        <w:t xml:space="preserve"> line with </w:t>
      </w:r>
      <w:r w:rsidR="00CA1316" w:rsidRPr="009575D9">
        <w:rPr>
          <w:rFonts w:cstheme="minorHAnsi"/>
          <w:sz w:val="21"/>
          <w:szCs w:val="21"/>
          <w:lang w:eastAsia="en-CA"/>
        </w:rPr>
        <w:t>the</w:t>
      </w:r>
      <w:r w:rsidR="009C582C" w:rsidRPr="009575D9">
        <w:rPr>
          <w:rFonts w:cstheme="minorHAnsi"/>
          <w:sz w:val="21"/>
          <w:szCs w:val="21"/>
          <w:lang w:eastAsia="en-CA"/>
        </w:rPr>
        <w:t xml:space="preserve"> priorities</w:t>
      </w:r>
      <w:r w:rsidR="00CA1316" w:rsidRPr="009575D9">
        <w:rPr>
          <w:rFonts w:cstheme="minorHAnsi"/>
          <w:sz w:val="21"/>
          <w:szCs w:val="21"/>
          <w:lang w:eastAsia="en-CA"/>
        </w:rPr>
        <w:t xml:space="preserve"> in BiH</w:t>
      </w:r>
      <w:r w:rsidR="004F70AE" w:rsidRPr="009575D9">
        <w:rPr>
          <w:rFonts w:cstheme="minorHAnsi"/>
          <w:sz w:val="21"/>
          <w:szCs w:val="21"/>
          <w:lang w:eastAsia="en-CA"/>
        </w:rPr>
        <w:t xml:space="preserve">. These will </w:t>
      </w:r>
      <w:r w:rsidR="009C582C" w:rsidRPr="009575D9">
        <w:rPr>
          <w:rFonts w:cstheme="minorHAnsi"/>
          <w:sz w:val="21"/>
          <w:szCs w:val="21"/>
          <w:lang w:eastAsia="en-CA"/>
        </w:rPr>
        <w:t>enabl</w:t>
      </w:r>
      <w:r w:rsidRPr="009575D9">
        <w:rPr>
          <w:rFonts w:cstheme="minorHAnsi"/>
          <w:sz w:val="21"/>
          <w:szCs w:val="21"/>
          <w:lang w:eastAsia="en-CA"/>
        </w:rPr>
        <w:t>e</w:t>
      </w:r>
      <w:r w:rsidR="009C582C" w:rsidRPr="009575D9">
        <w:rPr>
          <w:rFonts w:cstheme="minorHAnsi"/>
          <w:sz w:val="21"/>
          <w:szCs w:val="21"/>
          <w:lang w:eastAsia="en-CA"/>
        </w:rPr>
        <w:t xml:space="preserve"> </w:t>
      </w:r>
      <w:r w:rsidRPr="009575D9">
        <w:rPr>
          <w:rFonts w:cstheme="minorHAnsi"/>
          <w:sz w:val="21"/>
          <w:szCs w:val="21"/>
          <w:lang w:eastAsia="en-CA"/>
        </w:rPr>
        <w:t xml:space="preserve">the </w:t>
      </w:r>
      <w:r w:rsidR="009C582C" w:rsidRPr="009575D9">
        <w:rPr>
          <w:rFonts w:cstheme="minorHAnsi"/>
          <w:sz w:val="21"/>
          <w:szCs w:val="21"/>
          <w:lang w:eastAsia="en-CA"/>
        </w:rPr>
        <w:t xml:space="preserve">authorities to </w:t>
      </w:r>
      <w:r w:rsidR="009C582C" w:rsidRPr="009575D9">
        <w:rPr>
          <w:rFonts w:cstheme="minorHAnsi"/>
          <w:sz w:val="21"/>
          <w:szCs w:val="21"/>
        </w:rPr>
        <w:t xml:space="preserve">partner more effectively </w:t>
      </w:r>
      <w:r w:rsidR="009C582C" w:rsidRPr="009575D9">
        <w:rPr>
          <w:rFonts w:cstheme="minorHAnsi"/>
          <w:i/>
          <w:sz w:val="21"/>
          <w:szCs w:val="21"/>
        </w:rPr>
        <w:t>with people</w:t>
      </w:r>
      <w:r w:rsidR="009C582C" w:rsidRPr="009575D9">
        <w:rPr>
          <w:rFonts w:cstheme="minorHAnsi"/>
          <w:sz w:val="21"/>
          <w:szCs w:val="21"/>
        </w:rPr>
        <w:t xml:space="preserve"> to shape and deliver transparent, fair, and more responsive</w:t>
      </w:r>
      <w:r w:rsidR="009C582C" w:rsidRPr="007E4270">
        <w:rPr>
          <w:rFonts w:cstheme="minorHAnsi"/>
          <w:sz w:val="21"/>
          <w:szCs w:val="21"/>
        </w:rPr>
        <w:t xml:space="preserve"> policies, laws and public services</w:t>
      </w:r>
      <w:r w:rsidR="004F70AE" w:rsidRPr="007E4270">
        <w:rPr>
          <w:rFonts w:cstheme="minorHAnsi"/>
          <w:sz w:val="21"/>
          <w:szCs w:val="21"/>
        </w:rPr>
        <w:t xml:space="preserve"> and this includes the response to the current mixed movement of asylum-seekers and migrants in the country. </w:t>
      </w:r>
      <w:r w:rsidRPr="007E4270">
        <w:rPr>
          <w:rFonts w:cstheme="minorHAnsi"/>
          <w:sz w:val="21"/>
          <w:szCs w:val="21"/>
        </w:rPr>
        <w:t xml:space="preserve"> </w:t>
      </w:r>
      <w:r w:rsidR="006C38F5" w:rsidRPr="007E4270">
        <w:rPr>
          <w:rFonts w:cstheme="minorHAnsi"/>
          <w:i/>
          <w:sz w:val="21"/>
          <w:szCs w:val="21"/>
        </w:rPr>
        <w:t>For example</w:t>
      </w:r>
      <w:r w:rsidR="004F70AE" w:rsidRPr="007E4270">
        <w:rPr>
          <w:rFonts w:cstheme="minorHAnsi"/>
          <w:sz w:val="21"/>
          <w:szCs w:val="21"/>
        </w:rPr>
        <w:t xml:space="preserve">: </w:t>
      </w:r>
      <w:r w:rsidR="00DB1844" w:rsidRPr="007E4270">
        <w:rPr>
          <w:rFonts w:cstheme="minorHAnsi"/>
          <w:sz w:val="21"/>
          <w:szCs w:val="21"/>
        </w:rPr>
        <w:t>c</w:t>
      </w:r>
      <w:r w:rsidR="006C38F5" w:rsidRPr="007E4270">
        <w:rPr>
          <w:rFonts w:cstheme="minorHAnsi"/>
          <w:sz w:val="21"/>
          <w:szCs w:val="21"/>
        </w:rPr>
        <w:t xml:space="preserve">antons and </w:t>
      </w:r>
      <w:r w:rsidR="00DB1844" w:rsidRPr="007E4270">
        <w:rPr>
          <w:rFonts w:cstheme="minorHAnsi"/>
          <w:sz w:val="21"/>
          <w:szCs w:val="21"/>
        </w:rPr>
        <w:t xml:space="preserve">local </w:t>
      </w:r>
      <w:r w:rsidR="00D555F0" w:rsidRPr="007E4270">
        <w:rPr>
          <w:rFonts w:cstheme="minorHAnsi"/>
          <w:sz w:val="21"/>
          <w:szCs w:val="21"/>
        </w:rPr>
        <w:t>governments</w:t>
      </w:r>
      <w:r w:rsidR="006C38F5" w:rsidRPr="007E4270">
        <w:rPr>
          <w:rFonts w:cstheme="minorHAnsi"/>
          <w:sz w:val="21"/>
          <w:szCs w:val="21"/>
        </w:rPr>
        <w:t xml:space="preserve"> will be supported to develop</w:t>
      </w:r>
      <w:r w:rsidR="004F70AE" w:rsidRPr="007E4270">
        <w:rPr>
          <w:rFonts w:cstheme="minorHAnsi"/>
          <w:sz w:val="21"/>
          <w:szCs w:val="21"/>
        </w:rPr>
        <w:t xml:space="preserve"> SDG-aligned development plans and monitoring systems, </w:t>
      </w:r>
      <w:r w:rsidR="00D555F0" w:rsidRPr="007E4270">
        <w:rPr>
          <w:rFonts w:cstheme="minorHAnsi"/>
          <w:sz w:val="21"/>
          <w:szCs w:val="21"/>
        </w:rPr>
        <w:t xml:space="preserve">acquire </w:t>
      </w:r>
      <w:r w:rsidR="004F70AE" w:rsidRPr="007E4270">
        <w:rPr>
          <w:rFonts w:cstheme="minorHAnsi"/>
          <w:sz w:val="21"/>
          <w:szCs w:val="21"/>
        </w:rPr>
        <w:t xml:space="preserve">new capabilities and mechanisms to strengthen citizen consultation and participation in policymaking, and </w:t>
      </w:r>
      <w:r w:rsidR="00F92F44" w:rsidRPr="007E4270">
        <w:rPr>
          <w:rFonts w:cstheme="minorHAnsi"/>
          <w:sz w:val="21"/>
          <w:szCs w:val="21"/>
        </w:rPr>
        <w:t xml:space="preserve">shift towards e-governance to </w:t>
      </w:r>
      <w:r w:rsidR="009575D9" w:rsidRPr="007E4270">
        <w:rPr>
          <w:rFonts w:cstheme="minorHAnsi"/>
          <w:sz w:val="21"/>
          <w:szCs w:val="21"/>
        </w:rPr>
        <w:t>modernize</w:t>
      </w:r>
      <w:r w:rsidR="00F92F44" w:rsidRPr="007E4270">
        <w:rPr>
          <w:rFonts w:cstheme="minorHAnsi"/>
          <w:sz w:val="21"/>
          <w:szCs w:val="21"/>
        </w:rPr>
        <w:t xml:space="preserve"> public performance and make public services more effective and </w:t>
      </w:r>
      <w:r w:rsidR="00F92F44" w:rsidRPr="009575D9">
        <w:rPr>
          <w:rFonts w:cstheme="minorHAnsi"/>
          <w:sz w:val="21"/>
          <w:szCs w:val="21"/>
        </w:rPr>
        <w:t>accessible</w:t>
      </w:r>
      <w:r w:rsidR="004F70AE" w:rsidRPr="009575D9">
        <w:rPr>
          <w:color w:val="000000" w:themeColor="text1"/>
          <w:sz w:val="21"/>
          <w:szCs w:val="21"/>
        </w:rPr>
        <w:t xml:space="preserve">. </w:t>
      </w:r>
      <w:r w:rsidR="006C38F5" w:rsidRPr="009575D9">
        <w:rPr>
          <w:rFonts w:cstheme="minorHAnsi"/>
          <w:sz w:val="21"/>
          <w:szCs w:val="21"/>
        </w:rPr>
        <w:t xml:space="preserve"> </w:t>
      </w:r>
      <w:r w:rsidR="001B7144" w:rsidRPr="009575D9">
        <w:rPr>
          <w:rFonts w:cstheme="minorHAnsi"/>
          <w:sz w:val="21"/>
          <w:szCs w:val="21"/>
        </w:rPr>
        <w:t>Stronger</w:t>
      </w:r>
      <w:r w:rsidR="001B7144" w:rsidRPr="00197F4E">
        <w:rPr>
          <w:rFonts w:cstheme="minorHAnsi"/>
          <w:sz w:val="21"/>
          <w:szCs w:val="21"/>
        </w:rPr>
        <w:t xml:space="preserve"> focus will be placed on the accountability and integrity of the public service, with focus </w:t>
      </w:r>
      <w:r w:rsidR="00965B2D" w:rsidRPr="00197F4E">
        <w:rPr>
          <w:rFonts w:cstheme="minorHAnsi"/>
          <w:sz w:val="21"/>
          <w:szCs w:val="21"/>
        </w:rPr>
        <w:t xml:space="preserve">on public utilities. </w:t>
      </w:r>
      <w:r w:rsidR="009C582C" w:rsidRPr="00197F4E">
        <w:rPr>
          <w:rFonts w:cstheme="minorHAnsi"/>
          <w:sz w:val="21"/>
          <w:szCs w:val="21"/>
        </w:rPr>
        <w:t xml:space="preserve">Efforts will also focus increasing </w:t>
      </w:r>
      <w:r w:rsidR="009C582C" w:rsidRPr="00197F4E">
        <w:rPr>
          <w:sz w:val="21"/>
          <w:szCs w:val="21"/>
        </w:rPr>
        <w:t>women’s participation in political and economic decision-making.</w:t>
      </w:r>
      <w:r w:rsidR="00F1596B" w:rsidRPr="00197F4E">
        <w:rPr>
          <w:sz w:val="21"/>
          <w:szCs w:val="21"/>
        </w:rPr>
        <w:t xml:space="preserve"> </w:t>
      </w:r>
      <w:r w:rsidRPr="00197F4E">
        <w:rPr>
          <w:sz w:val="21"/>
          <w:szCs w:val="21"/>
        </w:rPr>
        <w:t>A s</w:t>
      </w:r>
      <w:r w:rsidR="00F1596B" w:rsidRPr="00197F4E">
        <w:rPr>
          <w:sz w:val="21"/>
          <w:szCs w:val="21"/>
        </w:rPr>
        <w:t>tronger focus will be placed on sustainable and resilient urban development.</w:t>
      </w:r>
      <w:r w:rsidR="009C582C" w:rsidRPr="00197F4E">
        <w:rPr>
          <w:rFonts w:cstheme="minorHAnsi"/>
          <w:sz w:val="21"/>
          <w:szCs w:val="21"/>
        </w:rPr>
        <w:t xml:space="preserve"> </w:t>
      </w:r>
    </w:p>
    <w:p w14:paraId="3CFA0727" w14:textId="07D6BDCF" w:rsidR="009C582C" w:rsidRPr="009575D9" w:rsidRDefault="00133AEC" w:rsidP="00D9559C">
      <w:pPr>
        <w:pStyle w:val="ListParagraph"/>
        <w:numPr>
          <w:ilvl w:val="0"/>
          <w:numId w:val="3"/>
        </w:numPr>
        <w:spacing w:after="120"/>
        <w:ind w:right="-360"/>
        <w:contextualSpacing w:val="0"/>
        <w:jc w:val="both"/>
        <w:rPr>
          <w:rFonts w:cstheme="minorHAnsi"/>
          <w:sz w:val="21"/>
          <w:szCs w:val="21"/>
          <w:lang w:val="en-CA"/>
        </w:rPr>
      </w:pPr>
      <w:r w:rsidRPr="00197F4E">
        <w:rPr>
          <w:rFonts w:cstheme="minorHAnsi"/>
          <w:sz w:val="21"/>
          <w:szCs w:val="21"/>
        </w:rPr>
        <w:t xml:space="preserve">At </w:t>
      </w:r>
      <w:r w:rsidR="0033505F">
        <w:rPr>
          <w:rFonts w:cstheme="minorHAnsi"/>
          <w:sz w:val="21"/>
          <w:szCs w:val="21"/>
        </w:rPr>
        <w:t>c</w:t>
      </w:r>
      <w:r w:rsidRPr="00197F4E">
        <w:rPr>
          <w:rFonts w:cstheme="minorHAnsi"/>
          <w:sz w:val="21"/>
          <w:szCs w:val="21"/>
        </w:rPr>
        <w:t>antonal and local levels, t</w:t>
      </w:r>
      <w:r w:rsidR="009C582C" w:rsidRPr="00197F4E">
        <w:rPr>
          <w:rFonts w:cstheme="minorHAnsi"/>
          <w:sz w:val="21"/>
          <w:szCs w:val="21"/>
        </w:rPr>
        <w:t>angible new skills, abilities, and mechanisms will be developed</w:t>
      </w:r>
      <w:r w:rsidR="001B7123" w:rsidRPr="00197F4E">
        <w:rPr>
          <w:rFonts w:cstheme="minorHAnsi"/>
          <w:sz w:val="21"/>
          <w:szCs w:val="21"/>
        </w:rPr>
        <w:t xml:space="preserve"> </w:t>
      </w:r>
      <w:r w:rsidR="009C582C" w:rsidRPr="00197F4E">
        <w:rPr>
          <w:rFonts w:cstheme="minorHAnsi"/>
          <w:sz w:val="21"/>
          <w:szCs w:val="21"/>
        </w:rPr>
        <w:t xml:space="preserve">to strengthen citizen consultation and participation in policymaking, and revise or </w:t>
      </w:r>
      <w:r w:rsidR="009C582C" w:rsidRPr="009575D9">
        <w:rPr>
          <w:rFonts w:cstheme="minorHAnsi"/>
          <w:sz w:val="21"/>
          <w:szCs w:val="21"/>
        </w:rPr>
        <w:t>develop policies and programmes that are gender-responsive, and inclusive of other vulnerable groups</w:t>
      </w:r>
      <w:r w:rsidR="001B7123" w:rsidRPr="009575D9">
        <w:rPr>
          <w:rFonts w:cstheme="minorHAnsi"/>
          <w:sz w:val="21"/>
          <w:szCs w:val="21"/>
        </w:rPr>
        <w:t>.</w:t>
      </w:r>
      <w:r w:rsidR="009C582C" w:rsidRPr="009575D9">
        <w:rPr>
          <w:rFonts w:cstheme="minorHAnsi"/>
          <w:sz w:val="21"/>
          <w:szCs w:val="21"/>
        </w:rPr>
        <w:t xml:space="preserve"> UN system agencies will continue to support </w:t>
      </w:r>
      <w:r w:rsidR="00E012ED" w:rsidRPr="009575D9">
        <w:rPr>
          <w:rFonts w:cstheme="minorHAnsi"/>
          <w:sz w:val="21"/>
          <w:szCs w:val="21"/>
        </w:rPr>
        <w:t>the</w:t>
      </w:r>
      <w:r w:rsidR="009C582C" w:rsidRPr="009575D9">
        <w:rPr>
          <w:rFonts w:cstheme="minorHAnsi"/>
          <w:sz w:val="21"/>
          <w:szCs w:val="21"/>
        </w:rPr>
        <w:t xml:space="preserve"> authorities</w:t>
      </w:r>
      <w:r w:rsidR="00E012ED" w:rsidRPr="009575D9">
        <w:rPr>
          <w:rFonts w:cstheme="minorHAnsi"/>
          <w:sz w:val="21"/>
          <w:szCs w:val="21"/>
        </w:rPr>
        <w:t xml:space="preserve"> in BiH</w:t>
      </w:r>
      <w:r w:rsidR="009C582C" w:rsidRPr="009575D9">
        <w:rPr>
          <w:rFonts w:cstheme="minorHAnsi"/>
          <w:sz w:val="21"/>
          <w:szCs w:val="21"/>
        </w:rPr>
        <w:t xml:space="preserve"> to collect SDG-related data and use it to strengthen the evidence base for governance-related policies and plans that are aligned with the long-term sustainable goals as set forth in the emerging SDGs Framework in BiH as well as to tap into financing from private sector for SDGs implementation. The expected results under this priority are </w:t>
      </w:r>
      <w:r w:rsidR="001B7123" w:rsidRPr="009575D9">
        <w:rPr>
          <w:rFonts w:cstheme="minorHAnsi"/>
          <w:sz w:val="21"/>
          <w:szCs w:val="21"/>
        </w:rPr>
        <w:t xml:space="preserve">instrumental </w:t>
      </w:r>
      <w:r w:rsidR="009C582C" w:rsidRPr="009575D9">
        <w:rPr>
          <w:rFonts w:cstheme="minorHAnsi"/>
          <w:sz w:val="21"/>
          <w:szCs w:val="21"/>
        </w:rPr>
        <w:t xml:space="preserve">for the success of efforts to diversify the economy and to deliver </w:t>
      </w:r>
      <w:r w:rsidR="001B7123" w:rsidRPr="009575D9">
        <w:rPr>
          <w:rFonts w:cstheme="minorHAnsi"/>
          <w:sz w:val="21"/>
          <w:szCs w:val="21"/>
        </w:rPr>
        <w:t>more effective and inclusive basic services.</w:t>
      </w:r>
    </w:p>
    <w:p w14:paraId="5EF139EF" w14:textId="77777777" w:rsidR="009C582C" w:rsidRPr="00197F4E" w:rsidRDefault="009C582C" w:rsidP="00D9559C">
      <w:pPr>
        <w:pStyle w:val="ListParagraph"/>
        <w:numPr>
          <w:ilvl w:val="0"/>
          <w:numId w:val="0"/>
        </w:numPr>
        <w:spacing w:after="120"/>
        <w:ind w:left="357" w:right="-360"/>
        <w:contextualSpacing w:val="0"/>
        <w:jc w:val="both"/>
        <w:rPr>
          <w:rFonts w:cstheme="minorHAnsi"/>
          <w:szCs w:val="22"/>
          <w:lang w:val="en-CA"/>
        </w:rPr>
      </w:pPr>
      <w:r w:rsidRPr="00197F4E">
        <w:rPr>
          <w:rFonts w:cstheme="minorHAnsi"/>
          <w:b/>
          <w:szCs w:val="22"/>
          <w:lang w:val="en-CA"/>
        </w:rPr>
        <w:t xml:space="preserve">IV. </w:t>
      </w:r>
      <w:r w:rsidR="00F149B6" w:rsidRPr="00197F4E">
        <w:rPr>
          <w:rFonts w:cstheme="minorHAnsi"/>
          <w:b/>
          <w:szCs w:val="22"/>
          <w:lang w:val="en-CA"/>
        </w:rPr>
        <w:t>Citizen and community engagement for social cohesion</w:t>
      </w:r>
    </w:p>
    <w:p w14:paraId="77355B50" w14:textId="1837C3A1" w:rsidR="00B87D43" w:rsidRPr="00197F4E" w:rsidRDefault="00FB1807" w:rsidP="00D9559C">
      <w:pPr>
        <w:pStyle w:val="ListParagraph"/>
        <w:numPr>
          <w:ilvl w:val="0"/>
          <w:numId w:val="3"/>
        </w:numPr>
        <w:spacing w:after="120"/>
        <w:ind w:right="-360"/>
        <w:contextualSpacing w:val="0"/>
        <w:jc w:val="both"/>
        <w:rPr>
          <w:rFonts w:cstheme="minorHAnsi"/>
          <w:sz w:val="21"/>
          <w:szCs w:val="21"/>
          <w:lang w:val="en-CA"/>
        </w:rPr>
      </w:pPr>
      <w:r w:rsidRPr="00197F4E">
        <w:rPr>
          <w:rFonts w:cstheme="minorHAnsi"/>
          <w:sz w:val="21"/>
          <w:szCs w:val="21"/>
          <w:lang w:eastAsia="en-CA"/>
        </w:rPr>
        <w:t xml:space="preserve">This priority is a critical </w:t>
      </w:r>
      <w:r w:rsidRPr="00197F4E">
        <w:rPr>
          <w:rFonts w:cstheme="minorHAnsi"/>
          <w:i/>
          <w:sz w:val="21"/>
          <w:szCs w:val="21"/>
          <w:lang w:eastAsia="en-CA"/>
        </w:rPr>
        <w:t>enabler</w:t>
      </w:r>
      <w:r w:rsidRPr="00197F4E">
        <w:rPr>
          <w:rFonts w:cstheme="minorHAnsi"/>
          <w:sz w:val="21"/>
          <w:szCs w:val="21"/>
          <w:lang w:eastAsia="en-CA"/>
        </w:rPr>
        <w:t xml:space="preserve"> for all other priorities and related outcomes and for the EU accession and SDG-related priorities in BiH. </w:t>
      </w:r>
      <w:r w:rsidR="001B7123" w:rsidRPr="00197F4E">
        <w:rPr>
          <w:rFonts w:cstheme="minorHAnsi"/>
          <w:sz w:val="21"/>
          <w:szCs w:val="21"/>
        </w:rPr>
        <w:t xml:space="preserve">Society </w:t>
      </w:r>
      <w:r w:rsidR="00A217EB" w:rsidRPr="00197F4E">
        <w:rPr>
          <w:rFonts w:ascii="Calibri" w:eastAsia="Calibri" w:hAnsi="Calibri" w:cs="Calibri"/>
          <w:color w:val="000000"/>
          <w:sz w:val="21"/>
          <w:szCs w:val="21"/>
        </w:rPr>
        <w:t xml:space="preserve">is still recovering from the war-related pain and trauma, affecting intra- and inter-community relations. This legacy is not limited to survivors of war </w:t>
      </w:r>
      <w:r w:rsidR="00BF69AA" w:rsidRPr="00197F4E">
        <w:rPr>
          <w:rFonts w:ascii="Calibri" w:eastAsia="Calibri" w:hAnsi="Calibri" w:cs="Calibri"/>
          <w:color w:val="000000"/>
          <w:sz w:val="21"/>
          <w:szCs w:val="21"/>
        </w:rPr>
        <w:t>crimes and</w:t>
      </w:r>
      <w:r w:rsidR="00A217EB" w:rsidRPr="00197F4E">
        <w:rPr>
          <w:rFonts w:ascii="Calibri" w:eastAsia="Calibri" w:hAnsi="Calibri" w:cs="Calibri"/>
          <w:color w:val="000000"/>
          <w:sz w:val="21"/>
          <w:szCs w:val="21"/>
        </w:rPr>
        <w:t xml:space="preserve"> includes their immediate families and local communities. As such, it represents a major obstacle to collective healing and community cohesion.</w:t>
      </w:r>
      <w:r w:rsidR="009C582C" w:rsidRPr="00197F4E">
        <w:rPr>
          <w:rFonts w:cstheme="minorHAnsi"/>
          <w:sz w:val="21"/>
          <w:szCs w:val="21"/>
        </w:rPr>
        <w:t xml:space="preserve"> </w:t>
      </w:r>
      <w:r w:rsidR="001B7123" w:rsidRPr="00197F4E">
        <w:rPr>
          <w:rFonts w:cstheme="minorHAnsi"/>
          <w:sz w:val="21"/>
          <w:szCs w:val="21"/>
          <w:lang w:eastAsia="en-CA"/>
        </w:rPr>
        <w:t>I</w:t>
      </w:r>
      <w:r w:rsidR="001B7123" w:rsidRPr="00197F4E">
        <w:rPr>
          <w:rFonts w:cstheme="minorHAnsi"/>
          <w:sz w:val="21"/>
          <w:szCs w:val="21"/>
        </w:rPr>
        <w:t>ncreased levels of mutual respect, trust</w:t>
      </w:r>
      <w:r w:rsidR="009B2B93" w:rsidRPr="00197F4E">
        <w:rPr>
          <w:rFonts w:cstheme="minorHAnsi"/>
          <w:sz w:val="21"/>
          <w:szCs w:val="21"/>
        </w:rPr>
        <w:t>,</w:t>
      </w:r>
      <w:r w:rsidR="001B7123" w:rsidRPr="00197F4E">
        <w:rPr>
          <w:rFonts w:cstheme="minorHAnsi"/>
          <w:sz w:val="21"/>
          <w:szCs w:val="21"/>
        </w:rPr>
        <w:t xml:space="preserve"> and empathy between people and communities is instrumental for sustainable and faster growth, enhanced rule of law, and effective governance and delivery of basic services.</w:t>
      </w:r>
      <w:r w:rsidR="009B2B93" w:rsidRPr="00197F4E">
        <w:rPr>
          <w:rFonts w:cstheme="minorHAnsi"/>
          <w:sz w:val="21"/>
          <w:szCs w:val="21"/>
        </w:rPr>
        <w:t xml:space="preserve"> </w:t>
      </w:r>
    </w:p>
    <w:p w14:paraId="67486CB3" w14:textId="45018CE2" w:rsidR="00C26B40" w:rsidRPr="00197F4E" w:rsidRDefault="001B7123" w:rsidP="00D9559C">
      <w:pPr>
        <w:pStyle w:val="ListParagraph"/>
        <w:numPr>
          <w:ilvl w:val="0"/>
          <w:numId w:val="3"/>
        </w:numPr>
        <w:spacing w:after="120"/>
        <w:ind w:right="-360"/>
        <w:contextualSpacing w:val="0"/>
        <w:jc w:val="both"/>
        <w:rPr>
          <w:rFonts w:cstheme="minorHAnsi"/>
          <w:sz w:val="21"/>
          <w:szCs w:val="21"/>
          <w:lang w:val="en-CA"/>
        </w:rPr>
      </w:pPr>
      <w:r w:rsidRPr="00197F4E">
        <w:rPr>
          <w:rFonts w:cstheme="minorHAnsi"/>
          <w:sz w:val="21"/>
          <w:szCs w:val="21"/>
          <w:lang w:val="en-CA"/>
        </w:rPr>
        <w:t xml:space="preserve">The UN system will support and engage with </w:t>
      </w:r>
      <w:r w:rsidR="009C582C" w:rsidRPr="00197F4E">
        <w:rPr>
          <w:rFonts w:cstheme="minorHAnsi"/>
          <w:sz w:val="21"/>
          <w:szCs w:val="21"/>
          <w:lang w:val="en-CA"/>
        </w:rPr>
        <w:t xml:space="preserve">young people </w:t>
      </w:r>
      <w:r w:rsidRPr="00197F4E">
        <w:rPr>
          <w:rFonts w:cstheme="minorHAnsi"/>
          <w:sz w:val="21"/>
          <w:szCs w:val="21"/>
          <w:lang w:val="en-CA"/>
        </w:rPr>
        <w:t xml:space="preserve">who are </w:t>
      </w:r>
      <w:r w:rsidR="00032964" w:rsidRPr="00197F4E">
        <w:rPr>
          <w:rFonts w:cstheme="minorHAnsi"/>
          <w:sz w:val="21"/>
          <w:szCs w:val="21"/>
          <w:lang w:val="en-CA"/>
        </w:rPr>
        <w:t>the</w:t>
      </w:r>
      <w:r w:rsidRPr="00197F4E">
        <w:rPr>
          <w:rFonts w:cstheme="minorHAnsi"/>
          <w:sz w:val="21"/>
          <w:szCs w:val="21"/>
          <w:lang w:val="en-CA"/>
        </w:rPr>
        <w:t xml:space="preserve"> largest</w:t>
      </w:r>
      <w:r w:rsidR="00032964" w:rsidRPr="00197F4E">
        <w:rPr>
          <w:rFonts w:cstheme="minorHAnsi"/>
          <w:sz w:val="21"/>
          <w:szCs w:val="21"/>
          <w:lang w:val="en-CA"/>
        </w:rPr>
        <w:t xml:space="preserve"> recipients of trans</w:t>
      </w:r>
      <w:r w:rsidRPr="00197F4E">
        <w:rPr>
          <w:rFonts w:cstheme="minorHAnsi"/>
          <w:sz w:val="21"/>
          <w:szCs w:val="21"/>
          <w:lang w:val="en-CA"/>
        </w:rPr>
        <w:t>-</w:t>
      </w:r>
      <w:r w:rsidR="00032964" w:rsidRPr="00197F4E">
        <w:rPr>
          <w:rFonts w:cstheme="minorHAnsi"/>
          <w:sz w:val="21"/>
          <w:szCs w:val="21"/>
          <w:lang w:val="en-CA"/>
        </w:rPr>
        <w:t>generational trauma</w:t>
      </w:r>
      <w:r w:rsidRPr="00197F4E">
        <w:rPr>
          <w:rFonts w:cstheme="minorHAnsi"/>
          <w:sz w:val="21"/>
          <w:szCs w:val="21"/>
          <w:lang w:val="en-CA"/>
        </w:rPr>
        <w:t xml:space="preserve">. This can </w:t>
      </w:r>
      <w:r w:rsidR="00032964" w:rsidRPr="00197F4E">
        <w:rPr>
          <w:rFonts w:cstheme="minorHAnsi"/>
          <w:sz w:val="21"/>
          <w:szCs w:val="21"/>
          <w:lang w:val="en-CA"/>
        </w:rPr>
        <w:t>lock them into group-thinking and prevent</w:t>
      </w:r>
      <w:r w:rsidRPr="00197F4E">
        <w:rPr>
          <w:rFonts w:cstheme="minorHAnsi"/>
          <w:sz w:val="21"/>
          <w:szCs w:val="21"/>
          <w:lang w:val="en-CA"/>
        </w:rPr>
        <w:t xml:space="preserve"> </w:t>
      </w:r>
      <w:r w:rsidR="00032964" w:rsidRPr="00197F4E">
        <w:rPr>
          <w:rFonts w:cstheme="minorHAnsi"/>
          <w:sz w:val="21"/>
          <w:szCs w:val="21"/>
          <w:lang w:val="en-CA"/>
        </w:rPr>
        <w:t>meaningful engagement with people perceived to be outside their socio-political or ethnic groups. At the same time</w:t>
      </w:r>
      <w:r w:rsidRPr="00197F4E">
        <w:rPr>
          <w:rFonts w:cstheme="minorHAnsi"/>
          <w:sz w:val="21"/>
          <w:szCs w:val="21"/>
          <w:lang w:val="en-CA"/>
        </w:rPr>
        <w:t>, cooperation</w:t>
      </w:r>
      <w:r w:rsidR="00032964" w:rsidRPr="00197F4E">
        <w:rPr>
          <w:rFonts w:cstheme="minorHAnsi"/>
          <w:sz w:val="21"/>
          <w:szCs w:val="21"/>
          <w:lang w:val="en-CA"/>
        </w:rPr>
        <w:t xml:space="preserve"> will also target non-traditional actors, such as the religious communities, along with </w:t>
      </w:r>
      <w:r w:rsidR="009C582C" w:rsidRPr="00197F4E">
        <w:rPr>
          <w:rFonts w:cstheme="minorHAnsi"/>
          <w:sz w:val="21"/>
          <w:szCs w:val="21"/>
          <w:lang w:val="en-CA"/>
        </w:rPr>
        <w:t xml:space="preserve">the media and academia, to create local enabling environments for direct citizen engagement, volunteerism and dialogue. </w:t>
      </w:r>
      <w:r w:rsidR="009C582C" w:rsidRPr="00197F4E">
        <w:rPr>
          <w:sz w:val="21"/>
          <w:szCs w:val="21"/>
        </w:rPr>
        <w:t xml:space="preserve">Citizens will have access to new public and online spaces and opportunities to engage in constructive </w:t>
      </w:r>
      <w:r w:rsidR="00032964" w:rsidRPr="00197F4E">
        <w:rPr>
          <w:sz w:val="21"/>
          <w:szCs w:val="21"/>
        </w:rPr>
        <w:t xml:space="preserve">actions and </w:t>
      </w:r>
      <w:r w:rsidR="009C582C" w:rsidRPr="00197F4E">
        <w:rPr>
          <w:sz w:val="21"/>
          <w:szCs w:val="21"/>
        </w:rPr>
        <w:t xml:space="preserve">discussion about their communities and local authorities will have new skills and mechanisms to engage with and respond to their constituencies. </w:t>
      </w:r>
      <w:r w:rsidR="009C582C" w:rsidRPr="00197F4E">
        <w:rPr>
          <w:rFonts w:cstheme="minorHAnsi"/>
          <w:sz w:val="21"/>
          <w:szCs w:val="21"/>
          <w:lang w:val="en-CA"/>
        </w:rPr>
        <w:t xml:space="preserve">Amongst others this is expected to promote critical thinking and </w:t>
      </w:r>
      <w:r w:rsidR="009C582C" w:rsidRPr="00197F4E">
        <w:rPr>
          <w:rFonts w:cstheme="minorHAnsi"/>
          <w:sz w:val="21"/>
          <w:szCs w:val="21"/>
        </w:rPr>
        <w:t>zero tolerance for all forms of violence.</w:t>
      </w:r>
      <w:r w:rsidRPr="00197F4E">
        <w:rPr>
          <w:rFonts w:cstheme="minorHAnsi"/>
          <w:sz w:val="21"/>
          <w:szCs w:val="21"/>
        </w:rPr>
        <w:t xml:space="preserve"> </w:t>
      </w:r>
      <w:r w:rsidR="00C26B40" w:rsidRPr="00197F4E">
        <w:rPr>
          <w:rFonts w:cstheme="minorHAnsi"/>
          <w:sz w:val="21"/>
          <w:szCs w:val="21"/>
        </w:rPr>
        <w:t>This priority represents a major ‘demand-side’ strategy</w:t>
      </w:r>
      <w:r w:rsidRPr="00197F4E">
        <w:rPr>
          <w:rFonts w:cstheme="minorHAnsi"/>
          <w:sz w:val="21"/>
          <w:szCs w:val="21"/>
        </w:rPr>
        <w:t>, with a focus on young people. C</w:t>
      </w:r>
      <w:r w:rsidR="00C26B40" w:rsidRPr="00197F4E">
        <w:rPr>
          <w:rFonts w:cstheme="minorHAnsi"/>
          <w:sz w:val="21"/>
          <w:szCs w:val="21"/>
        </w:rPr>
        <w:t xml:space="preserve">ooperation results </w:t>
      </w:r>
      <w:r w:rsidRPr="00197F4E">
        <w:rPr>
          <w:rFonts w:cstheme="minorHAnsi"/>
          <w:sz w:val="21"/>
          <w:szCs w:val="21"/>
        </w:rPr>
        <w:t xml:space="preserve">will complement institutional governance reforms under priority III to </w:t>
      </w:r>
      <w:r w:rsidR="00C26B40" w:rsidRPr="00197F4E">
        <w:rPr>
          <w:rFonts w:cstheme="minorHAnsi"/>
          <w:sz w:val="21"/>
          <w:szCs w:val="21"/>
        </w:rPr>
        <w:t>strengthen citizen demands for greater transparency and accountability in public administration and services.</w:t>
      </w:r>
    </w:p>
    <w:p w14:paraId="607EF7ED" w14:textId="45737DB8" w:rsidR="003C36B1" w:rsidRPr="00F35C02" w:rsidRDefault="003C36B1" w:rsidP="00D9559C">
      <w:pPr>
        <w:spacing w:after="120"/>
        <w:ind w:right="-360"/>
        <w:jc w:val="both"/>
        <w:rPr>
          <w:rFonts w:ascii="Calibri" w:hAnsi="Calibri"/>
          <w:color w:val="0F243E" w:themeColor="text2" w:themeShade="80"/>
          <w:sz w:val="21"/>
          <w:szCs w:val="21"/>
        </w:rPr>
      </w:pPr>
      <w:r w:rsidRPr="00F35C02">
        <w:rPr>
          <w:rFonts w:cstheme="minorHAnsi"/>
          <w:b/>
          <w:color w:val="0F243E" w:themeColor="text2" w:themeShade="80"/>
          <w:sz w:val="24"/>
        </w:rPr>
        <w:t>3.3 Intended development results</w:t>
      </w:r>
      <w:r w:rsidRPr="00F35C02">
        <w:rPr>
          <w:rFonts w:cstheme="minorHAnsi"/>
          <w:b/>
          <w:color w:val="0F243E" w:themeColor="text2" w:themeShade="80"/>
          <w:sz w:val="24"/>
        </w:rPr>
        <w:fldChar w:fldCharType="begin"/>
      </w:r>
      <w:r w:rsidRPr="00F35C02">
        <w:rPr>
          <w:color w:val="0F243E" w:themeColor="text2" w:themeShade="80"/>
          <w:sz w:val="24"/>
        </w:rPr>
        <w:instrText xml:space="preserve"> TC "</w:instrText>
      </w:r>
      <w:bookmarkStart w:id="47" w:name="_Toc26184391"/>
      <w:bookmarkStart w:id="48" w:name="_Toc38899119"/>
      <w:r w:rsidRPr="00F35C02">
        <w:rPr>
          <w:rFonts w:cstheme="minorHAnsi"/>
          <w:b/>
          <w:color w:val="0F243E" w:themeColor="text2" w:themeShade="80"/>
          <w:sz w:val="24"/>
        </w:rPr>
        <w:instrText>3.3 Intended development results</w:instrText>
      </w:r>
      <w:bookmarkEnd w:id="47"/>
      <w:bookmarkEnd w:id="48"/>
      <w:r w:rsidRPr="00F35C02">
        <w:rPr>
          <w:color w:val="0F243E" w:themeColor="text2" w:themeShade="80"/>
          <w:sz w:val="24"/>
        </w:rPr>
        <w:instrText xml:space="preserve">" \f C \l "2" </w:instrText>
      </w:r>
      <w:r w:rsidRPr="00F35C02">
        <w:rPr>
          <w:rFonts w:cstheme="minorHAnsi"/>
          <w:b/>
          <w:color w:val="0F243E" w:themeColor="text2" w:themeShade="80"/>
          <w:sz w:val="24"/>
        </w:rPr>
        <w:fldChar w:fldCharType="end"/>
      </w:r>
    </w:p>
    <w:p w14:paraId="74506D33" w14:textId="543C6D5D" w:rsidR="00936685" w:rsidRDefault="003C36B1" w:rsidP="00D9559C">
      <w:pPr>
        <w:pStyle w:val="ListParagraph"/>
        <w:numPr>
          <w:ilvl w:val="0"/>
          <w:numId w:val="3"/>
        </w:numPr>
        <w:spacing w:after="240"/>
        <w:ind w:right="-360"/>
        <w:contextualSpacing w:val="0"/>
        <w:jc w:val="both"/>
        <w:rPr>
          <w:rFonts w:cstheme="minorHAnsi"/>
          <w:sz w:val="21"/>
          <w:szCs w:val="21"/>
          <w:lang w:val="en-CA"/>
        </w:rPr>
      </w:pPr>
      <w:r w:rsidRPr="002260DE">
        <w:rPr>
          <w:rFonts w:cstheme="minorHAnsi"/>
          <w:sz w:val="21"/>
          <w:szCs w:val="21"/>
        </w:rPr>
        <w:t xml:space="preserve">Under the four priorities, there are five expected outcomes. </w:t>
      </w:r>
      <w:r w:rsidRPr="002260DE">
        <w:rPr>
          <w:rFonts w:ascii="Calibri" w:hAnsi="Calibri"/>
          <w:sz w:val="21"/>
          <w:szCs w:val="21"/>
          <w:lang w:val="en-CA"/>
        </w:rPr>
        <w:t xml:space="preserve">Collective </w:t>
      </w:r>
      <w:r w:rsidRPr="009575D9">
        <w:rPr>
          <w:rFonts w:ascii="Calibri" w:hAnsi="Calibri"/>
          <w:sz w:val="21"/>
          <w:szCs w:val="21"/>
          <w:lang w:val="en-CA"/>
        </w:rPr>
        <w:t xml:space="preserve">efforts by </w:t>
      </w:r>
      <w:r w:rsidR="00C30812" w:rsidRPr="009575D9">
        <w:rPr>
          <w:rFonts w:ascii="Calibri" w:hAnsi="Calibri"/>
          <w:sz w:val="21"/>
          <w:szCs w:val="21"/>
          <w:lang w:val="en-CA"/>
        </w:rPr>
        <w:t>the</w:t>
      </w:r>
      <w:r w:rsidR="008C1408" w:rsidRPr="009575D9">
        <w:rPr>
          <w:rFonts w:ascii="Calibri" w:hAnsi="Calibri"/>
          <w:sz w:val="21"/>
          <w:szCs w:val="21"/>
          <w:lang w:val="en-CA"/>
        </w:rPr>
        <w:t xml:space="preserve"> authorities</w:t>
      </w:r>
      <w:r w:rsidR="00C30812" w:rsidRPr="009575D9">
        <w:rPr>
          <w:rFonts w:ascii="Calibri" w:hAnsi="Calibri"/>
          <w:sz w:val="21"/>
          <w:szCs w:val="21"/>
          <w:lang w:val="en-CA"/>
        </w:rPr>
        <w:t xml:space="preserve"> in BiH</w:t>
      </w:r>
      <w:r w:rsidRPr="009575D9">
        <w:rPr>
          <w:rFonts w:ascii="Calibri" w:hAnsi="Calibri"/>
          <w:sz w:val="21"/>
          <w:szCs w:val="21"/>
          <w:lang w:val="en-CA"/>
        </w:rPr>
        <w:t xml:space="preserve"> and the UN system will make a tangible </w:t>
      </w:r>
      <w:r w:rsidRPr="009575D9">
        <w:rPr>
          <w:rFonts w:ascii="Calibri" w:hAnsi="Calibri"/>
          <w:i/>
          <w:sz w:val="21"/>
          <w:szCs w:val="21"/>
          <w:lang w:val="en-CA"/>
        </w:rPr>
        <w:t>contribution</w:t>
      </w:r>
      <w:r w:rsidRPr="009575D9">
        <w:rPr>
          <w:rFonts w:ascii="Calibri" w:hAnsi="Calibri"/>
          <w:sz w:val="21"/>
          <w:szCs w:val="21"/>
          <w:lang w:val="en-CA"/>
        </w:rPr>
        <w:t xml:space="preserve"> to progress against </w:t>
      </w:r>
      <w:r w:rsidR="00CD01EE" w:rsidRPr="009575D9">
        <w:rPr>
          <w:rFonts w:ascii="Calibri" w:hAnsi="Calibri"/>
          <w:sz w:val="21"/>
          <w:szCs w:val="21"/>
          <w:lang w:val="en-CA"/>
        </w:rPr>
        <w:t xml:space="preserve">a </w:t>
      </w:r>
      <w:r w:rsidR="00731992" w:rsidRPr="009575D9">
        <w:rPr>
          <w:rFonts w:cstheme="minorHAnsi"/>
          <w:sz w:val="21"/>
          <w:szCs w:val="21"/>
          <w:lang w:val="en-CA"/>
        </w:rPr>
        <w:t>set of higher</w:t>
      </w:r>
      <w:r w:rsidR="00BF69AA" w:rsidRPr="009575D9">
        <w:rPr>
          <w:rFonts w:cstheme="minorHAnsi"/>
          <w:sz w:val="21"/>
          <w:szCs w:val="21"/>
          <w:lang w:val="en-CA"/>
        </w:rPr>
        <w:t>-</w:t>
      </w:r>
      <w:r w:rsidR="00731992" w:rsidRPr="009575D9">
        <w:rPr>
          <w:rFonts w:cstheme="minorHAnsi"/>
          <w:sz w:val="21"/>
          <w:szCs w:val="21"/>
          <w:lang w:val="en-CA"/>
        </w:rPr>
        <w:t xml:space="preserve">level </w:t>
      </w:r>
      <w:r w:rsidR="00731992" w:rsidRPr="009575D9">
        <w:rPr>
          <w:rFonts w:cstheme="minorHAnsi"/>
          <w:sz w:val="21"/>
          <w:szCs w:val="21"/>
          <w:u w:val="single"/>
          <w:lang w:val="en-CA"/>
        </w:rPr>
        <w:t>impact indicators</w:t>
      </w:r>
      <w:r w:rsidR="00731992" w:rsidRPr="009575D9">
        <w:rPr>
          <w:rFonts w:cstheme="minorHAnsi"/>
          <w:sz w:val="21"/>
          <w:szCs w:val="21"/>
          <w:lang w:val="en-CA"/>
        </w:rPr>
        <w:t xml:space="preserve"> have been chosen as </w:t>
      </w:r>
      <w:r w:rsidRPr="009575D9">
        <w:rPr>
          <w:rFonts w:ascii="Calibri" w:hAnsi="Calibri"/>
          <w:b/>
          <w:sz w:val="21"/>
          <w:szCs w:val="21"/>
          <w:lang w:val="en-CA"/>
        </w:rPr>
        <w:t>sentinels</w:t>
      </w:r>
      <w:r w:rsidRPr="009575D9">
        <w:rPr>
          <w:rStyle w:val="FootnoteReference"/>
          <w:rFonts w:ascii="Calibri" w:hAnsi="Calibri"/>
          <w:sz w:val="21"/>
          <w:szCs w:val="21"/>
          <w:lang w:val="en-CA"/>
        </w:rPr>
        <w:footnoteReference w:id="81"/>
      </w:r>
      <w:r w:rsidR="002260DE" w:rsidRPr="009575D9">
        <w:rPr>
          <w:rFonts w:ascii="Calibri" w:hAnsi="Calibri"/>
          <w:sz w:val="21"/>
          <w:szCs w:val="21"/>
          <w:lang w:val="en-CA"/>
        </w:rPr>
        <w:t xml:space="preserve">. These will be tracked to </w:t>
      </w:r>
      <w:r w:rsidR="00731992" w:rsidRPr="009575D9">
        <w:rPr>
          <w:rFonts w:ascii="Calibri" w:hAnsi="Calibri"/>
          <w:sz w:val="21"/>
          <w:szCs w:val="21"/>
          <w:lang w:val="en-CA"/>
        </w:rPr>
        <w:t xml:space="preserve">gauge the overall </w:t>
      </w:r>
      <w:r w:rsidR="00CD01EE" w:rsidRPr="009575D9">
        <w:rPr>
          <w:rFonts w:ascii="Calibri" w:hAnsi="Calibri"/>
          <w:sz w:val="21"/>
          <w:szCs w:val="21"/>
          <w:lang w:val="en-CA"/>
        </w:rPr>
        <w:t>direction and contribution</w:t>
      </w:r>
      <w:r w:rsidR="00CD01EE" w:rsidRPr="002260DE">
        <w:rPr>
          <w:rFonts w:ascii="Calibri" w:hAnsi="Calibri"/>
          <w:sz w:val="21"/>
          <w:szCs w:val="21"/>
          <w:lang w:val="en-CA"/>
        </w:rPr>
        <w:t xml:space="preserve"> o</w:t>
      </w:r>
      <w:r w:rsidR="00DB3E8C" w:rsidRPr="002260DE">
        <w:rPr>
          <w:rFonts w:ascii="Calibri" w:hAnsi="Calibri"/>
          <w:sz w:val="21"/>
          <w:szCs w:val="21"/>
          <w:lang w:val="en-CA"/>
        </w:rPr>
        <w:t>f BiH and UN system cooperation results,</w:t>
      </w:r>
      <w:r w:rsidR="00CD01EE" w:rsidRPr="002260DE">
        <w:rPr>
          <w:rFonts w:ascii="Calibri" w:hAnsi="Calibri"/>
          <w:sz w:val="21"/>
          <w:szCs w:val="21"/>
          <w:lang w:val="en-CA"/>
        </w:rPr>
        <w:t xml:space="preserve"> country-wide, to 2030</w:t>
      </w:r>
      <w:r w:rsidR="00CD01EE">
        <w:rPr>
          <w:rStyle w:val="FootnoteReference"/>
          <w:rFonts w:ascii="Calibri" w:hAnsi="Calibri"/>
          <w:sz w:val="21"/>
          <w:szCs w:val="21"/>
          <w:lang w:val="en-CA"/>
        </w:rPr>
        <w:footnoteReference w:id="82"/>
      </w:r>
      <w:r w:rsidR="007513D8" w:rsidRPr="002260DE">
        <w:rPr>
          <w:rFonts w:ascii="Calibri" w:hAnsi="Calibri"/>
          <w:sz w:val="21"/>
          <w:szCs w:val="21"/>
          <w:lang w:val="en-CA"/>
        </w:rPr>
        <w:t>:</w:t>
      </w:r>
      <w:r w:rsidR="0095371B" w:rsidRPr="002260DE">
        <w:rPr>
          <w:rFonts w:ascii="Calibri" w:hAnsi="Calibri"/>
          <w:sz w:val="21"/>
          <w:szCs w:val="21"/>
          <w:lang w:val="en-CA"/>
        </w:rPr>
        <w:t xml:space="preserve"> </w:t>
      </w:r>
      <w:r w:rsidR="0095371B" w:rsidRPr="002260DE">
        <w:rPr>
          <w:rFonts w:cstheme="minorHAnsi"/>
          <w:sz w:val="21"/>
          <w:szCs w:val="21"/>
          <w:lang w:val="en-CA"/>
        </w:rPr>
        <w:t xml:space="preserve"> </w:t>
      </w:r>
    </w:p>
    <w:tbl>
      <w:tblPr>
        <w:tblStyle w:val="TableGrid"/>
        <w:tblW w:w="9498" w:type="dxa"/>
        <w:tblInd w:w="108" w:type="dxa"/>
        <w:tblBorders>
          <w:top w:val="single" w:sz="4" w:space="0" w:color="1F497D" w:themeColor="text2"/>
          <w:bottom w:val="single" w:sz="4" w:space="0" w:color="1F497D" w:themeColor="text2"/>
          <w:insideH w:val="single" w:sz="4" w:space="0" w:color="1F497D" w:themeColor="text2"/>
          <w:insideV w:val="none" w:sz="0" w:space="0" w:color="auto"/>
        </w:tblBorders>
        <w:tblLook w:val="04A0" w:firstRow="1" w:lastRow="0" w:firstColumn="1" w:lastColumn="0" w:noHBand="0" w:noVBand="1"/>
      </w:tblPr>
      <w:tblGrid>
        <w:gridCol w:w="992"/>
        <w:gridCol w:w="4111"/>
        <w:gridCol w:w="4395"/>
      </w:tblGrid>
      <w:tr w:rsidR="00DE2B33" w:rsidRPr="00936685" w14:paraId="667D9305" w14:textId="77777777" w:rsidTr="00197F4E">
        <w:trPr>
          <w:tblHeader/>
        </w:trPr>
        <w:tc>
          <w:tcPr>
            <w:tcW w:w="5103" w:type="dxa"/>
            <w:gridSpan w:val="2"/>
            <w:shd w:val="clear" w:color="auto" w:fill="C6D9F1" w:themeFill="text2" w:themeFillTint="33"/>
          </w:tcPr>
          <w:p w14:paraId="4C7A30B2" w14:textId="3335C85B" w:rsidR="00DE2B33" w:rsidRPr="00936685" w:rsidRDefault="00DE2B33" w:rsidP="00D9559C">
            <w:pPr>
              <w:spacing w:before="40" w:after="40"/>
              <w:ind w:right="-360"/>
              <w:jc w:val="both"/>
              <w:rPr>
                <w:rFonts w:cstheme="minorHAnsi"/>
                <w:b/>
                <w:sz w:val="20"/>
                <w:szCs w:val="20"/>
              </w:rPr>
            </w:pPr>
            <w:r w:rsidRPr="00936685">
              <w:rPr>
                <w:rFonts w:cstheme="minorHAnsi"/>
                <w:b/>
                <w:sz w:val="20"/>
                <w:szCs w:val="20"/>
              </w:rPr>
              <w:t>Priorities</w:t>
            </w:r>
            <w:r w:rsidR="00390A59">
              <w:rPr>
                <w:rFonts w:cstheme="minorHAnsi"/>
                <w:b/>
                <w:sz w:val="20"/>
                <w:szCs w:val="20"/>
              </w:rPr>
              <w:t xml:space="preserve"> in BiH</w:t>
            </w:r>
          </w:p>
        </w:tc>
        <w:tc>
          <w:tcPr>
            <w:tcW w:w="4395" w:type="dxa"/>
            <w:shd w:val="clear" w:color="auto" w:fill="C6D9F1" w:themeFill="text2" w:themeFillTint="33"/>
          </w:tcPr>
          <w:p w14:paraId="06AAEE1D" w14:textId="6EB4AB68" w:rsidR="00DE2B33" w:rsidRPr="007E4270" w:rsidRDefault="00DE2B33" w:rsidP="00D9559C">
            <w:pPr>
              <w:spacing w:before="40" w:after="40"/>
              <w:ind w:right="-360"/>
              <w:jc w:val="both"/>
              <w:rPr>
                <w:rFonts w:cstheme="minorHAnsi"/>
                <w:b/>
                <w:sz w:val="20"/>
                <w:szCs w:val="20"/>
              </w:rPr>
            </w:pPr>
            <w:r w:rsidRPr="007E4270">
              <w:rPr>
                <w:rFonts w:cstheme="minorHAnsi"/>
                <w:b/>
                <w:sz w:val="20"/>
                <w:szCs w:val="20"/>
              </w:rPr>
              <w:t>1</w:t>
            </w:r>
            <w:r w:rsidR="002260DE" w:rsidRPr="007E4270">
              <w:rPr>
                <w:rFonts w:cstheme="minorHAnsi"/>
                <w:b/>
                <w:sz w:val="20"/>
                <w:szCs w:val="20"/>
              </w:rPr>
              <w:t>1</w:t>
            </w:r>
            <w:r w:rsidRPr="007E4270">
              <w:rPr>
                <w:rFonts w:cstheme="minorHAnsi"/>
                <w:b/>
                <w:sz w:val="20"/>
                <w:szCs w:val="20"/>
              </w:rPr>
              <w:t xml:space="preserve"> Sentinel impact indicators to 2030 </w:t>
            </w:r>
          </w:p>
        </w:tc>
      </w:tr>
      <w:tr w:rsidR="007513D8" w:rsidRPr="00197F4E" w14:paraId="7316D46A" w14:textId="77777777" w:rsidTr="00197F4E">
        <w:tc>
          <w:tcPr>
            <w:tcW w:w="992" w:type="dxa"/>
            <w:vMerge w:val="restart"/>
            <w:tcBorders>
              <w:right w:val="single" w:sz="4" w:space="0" w:color="auto"/>
            </w:tcBorders>
            <w:textDirection w:val="btLr"/>
            <w:vAlign w:val="center"/>
          </w:tcPr>
          <w:p w14:paraId="2ABBE417" w14:textId="0F58C443" w:rsidR="006217AB" w:rsidRPr="00197F4E" w:rsidRDefault="006217AB" w:rsidP="00D9559C">
            <w:pPr>
              <w:pStyle w:val="CommentText"/>
              <w:ind w:left="113" w:right="-360"/>
              <w:jc w:val="center"/>
              <w:rPr>
                <w:i/>
              </w:rPr>
            </w:pPr>
            <w:r w:rsidRPr="00197F4E">
              <w:rPr>
                <w:i/>
              </w:rPr>
              <w:t>SDG Framework (c</w:t>
            </w:r>
            <w:r w:rsidR="007513D8" w:rsidRPr="00197F4E">
              <w:rPr>
                <w:i/>
              </w:rPr>
              <w:t>ross-cutting)</w:t>
            </w:r>
          </w:p>
          <w:p w14:paraId="506E9E2C" w14:textId="77777777" w:rsidR="006217AB" w:rsidRPr="00197F4E" w:rsidRDefault="007513D8" w:rsidP="00D9559C">
            <w:pPr>
              <w:pStyle w:val="CommentText"/>
              <w:ind w:left="113" w:right="-360"/>
              <w:jc w:val="center"/>
              <w:rPr>
                <w:i/>
              </w:rPr>
            </w:pPr>
            <w:r w:rsidRPr="00197F4E">
              <w:rPr>
                <w:i/>
              </w:rPr>
              <w:t>Human Capital for 21</w:t>
            </w:r>
            <w:r w:rsidRPr="00197F4E">
              <w:rPr>
                <w:i/>
                <w:vertAlign w:val="superscript"/>
              </w:rPr>
              <w:t>st</w:t>
            </w:r>
            <w:r w:rsidRPr="00197F4E">
              <w:rPr>
                <w:i/>
              </w:rPr>
              <w:t xml:space="preserve"> Century</w:t>
            </w:r>
            <w:r w:rsidR="006217AB" w:rsidRPr="00197F4E">
              <w:rPr>
                <w:i/>
              </w:rPr>
              <w:t>;</w:t>
            </w:r>
          </w:p>
          <w:p w14:paraId="6C25AD3B" w14:textId="4630437A" w:rsidR="007513D8" w:rsidRPr="00197F4E" w:rsidRDefault="006217AB" w:rsidP="00D9559C">
            <w:pPr>
              <w:pStyle w:val="CommentText"/>
              <w:ind w:left="113" w:right="-360"/>
              <w:jc w:val="center"/>
              <w:rPr>
                <w:rFonts w:cstheme="minorHAnsi"/>
                <w:i/>
              </w:rPr>
            </w:pPr>
            <w:r w:rsidRPr="00197F4E">
              <w:rPr>
                <w:i/>
              </w:rPr>
              <w:t>Leave No One Behind</w:t>
            </w:r>
          </w:p>
        </w:tc>
        <w:tc>
          <w:tcPr>
            <w:tcW w:w="4111" w:type="dxa"/>
            <w:tcBorders>
              <w:left w:val="single" w:sz="4" w:space="0" w:color="auto"/>
              <w:right w:val="single" w:sz="4" w:space="0" w:color="auto"/>
            </w:tcBorders>
            <w:vAlign w:val="center"/>
          </w:tcPr>
          <w:p w14:paraId="4F08BD69" w14:textId="70A5B062" w:rsidR="007513D8" w:rsidRPr="00197F4E" w:rsidRDefault="007513D8" w:rsidP="00D9559C">
            <w:pPr>
              <w:spacing w:before="40" w:after="40"/>
              <w:ind w:right="-360"/>
              <w:jc w:val="both"/>
              <w:rPr>
                <w:rFonts w:cstheme="minorHAnsi"/>
                <w:i/>
                <w:sz w:val="20"/>
                <w:szCs w:val="20"/>
              </w:rPr>
            </w:pPr>
            <w:r w:rsidRPr="00197F4E">
              <w:rPr>
                <w:rFonts w:cstheme="minorHAnsi"/>
                <w:i/>
                <w:sz w:val="20"/>
                <w:szCs w:val="20"/>
              </w:rPr>
              <w:t xml:space="preserve">SDG Framework: Smart growth </w:t>
            </w:r>
          </w:p>
          <w:p w14:paraId="1D573BB0" w14:textId="1F6C80DC" w:rsidR="007513D8" w:rsidRPr="00197F4E" w:rsidRDefault="007513D8" w:rsidP="00D9559C">
            <w:pPr>
              <w:spacing w:before="40" w:after="40"/>
              <w:ind w:right="-360"/>
              <w:jc w:val="both"/>
              <w:rPr>
                <w:rFonts w:cstheme="minorHAnsi"/>
                <w:sz w:val="20"/>
                <w:szCs w:val="20"/>
              </w:rPr>
            </w:pPr>
            <w:r w:rsidRPr="00197F4E">
              <w:rPr>
                <w:rFonts w:cstheme="minorHAnsi"/>
                <w:sz w:val="20"/>
                <w:szCs w:val="20"/>
                <w:u w:val="single"/>
              </w:rPr>
              <w:t>Reform Agenda I</w:t>
            </w:r>
            <w:r w:rsidRPr="00197F4E">
              <w:rPr>
                <w:rFonts w:cstheme="minorHAnsi"/>
                <w:sz w:val="20"/>
                <w:szCs w:val="20"/>
              </w:rPr>
              <w:t>. Sustainable and Accelerated Economic Growth, Increased Competitiveness of the Economy and Improved Business Environment</w:t>
            </w:r>
          </w:p>
        </w:tc>
        <w:tc>
          <w:tcPr>
            <w:tcW w:w="4395" w:type="dxa"/>
            <w:tcBorders>
              <w:left w:val="single" w:sz="4" w:space="0" w:color="auto"/>
            </w:tcBorders>
            <w:vAlign w:val="center"/>
          </w:tcPr>
          <w:p w14:paraId="3699A0E9" w14:textId="77777777" w:rsidR="007513D8" w:rsidRPr="007E4270" w:rsidRDefault="007513D8" w:rsidP="00D9559C">
            <w:pPr>
              <w:spacing w:before="40" w:after="40"/>
              <w:ind w:right="-360"/>
              <w:jc w:val="both"/>
              <w:rPr>
                <w:rFonts w:cstheme="minorHAnsi"/>
                <w:sz w:val="20"/>
                <w:szCs w:val="20"/>
              </w:rPr>
            </w:pPr>
            <w:r w:rsidRPr="007E4270">
              <w:rPr>
                <w:rFonts w:cstheme="minorHAnsi"/>
                <w:sz w:val="20"/>
                <w:szCs w:val="20"/>
              </w:rPr>
              <w:t>1. Net migration rate</w:t>
            </w:r>
            <w:r w:rsidRPr="007E4270">
              <w:rPr>
                <w:rStyle w:val="FootnoteReference"/>
                <w:rFonts w:cstheme="minorHAnsi"/>
                <w:sz w:val="20"/>
                <w:szCs w:val="20"/>
              </w:rPr>
              <w:footnoteReference w:id="83"/>
            </w:r>
            <w:r w:rsidRPr="007E4270">
              <w:rPr>
                <w:rFonts w:cstheme="minorHAnsi"/>
                <w:sz w:val="20"/>
                <w:szCs w:val="20"/>
              </w:rPr>
              <w:t xml:space="preserve"> </w:t>
            </w:r>
          </w:p>
          <w:p w14:paraId="3EBED98B" w14:textId="521F67E8" w:rsidR="007513D8" w:rsidRPr="007E4270" w:rsidRDefault="007513D8" w:rsidP="00D9559C">
            <w:pPr>
              <w:spacing w:before="40" w:after="40"/>
              <w:ind w:right="-360"/>
              <w:jc w:val="both"/>
              <w:rPr>
                <w:rFonts w:cstheme="minorHAnsi"/>
                <w:sz w:val="20"/>
                <w:szCs w:val="20"/>
              </w:rPr>
            </w:pPr>
            <w:r w:rsidRPr="007E4270">
              <w:rPr>
                <w:rFonts w:cstheme="minorHAnsi"/>
                <w:sz w:val="20"/>
                <w:szCs w:val="20"/>
              </w:rPr>
              <w:t xml:space="preserve">2. </w:t>
            </w:r>
            <w:r w:rsidR="00063DBF" w:rsidRPr="007E4270">
              <w:rPr>
                <w:rFonts w:cstheme="minorHAnsi"/>
                <w:sz w:val="20"/>
                <w:szCs w:val="20"/>
              </w:rPr>
              <w:t>Unemployment and e</w:t>
            </w:r>
            <w:r w:rsidRPr="007E4270">
              <w:rPr>
                <w:rFonts w:cstheme="minorHAnsi"/>
                <w:sz w:val="20"/>
                <w:szCs w:val="20"/>
              </w:rPr>
              <w:t>mployment rates by sex (SDG 8.5.2)</w:t>
            </w:r>
            <w:r w:rsidR="004506DE" w:rsidRPr="007E4270">
              <w:rPr>
                <w:rStyle w:val="FootnoteReference"/>
                <w:rFonts w:cstheme="minorHAnsi"/>
                <w:sz w:val="20"/>
                <w:szCs w:val="20"/>
              </w:rPr>
              <w:footnoteReference w:id="84"/>
            </w:r>
          </w:p>
          <w:p w14:paraId="3AAC8D9A" w14:textId="0A7F4725" w:rsidR="007513D8" w:rsidRPr="007E4270" w:rsidRDefault="00063DBF" w:rsidP="00D9559C">
            <w:pPr>
              <w:spacing w:before="40"/>
              <w:ind w:right="-360"/>
              <w:jc w:val="both"/>
              <w:rPr>
                <w:rFonts w:cstheme="minorHAnsi"/>
                <w:sz w:val="20"/>
                <w:szCs w:val="20"/>
              </w:rPr>
            </w:pPr>
            <w:r w:rsidRPr="007E4270">
              <w:rPr>
                <w:rFonts w:cstheme="minorHAnsi"/>
                <w:sz w:val="20"/>
                <w:szCs w:val="20"/>
              </w:rPr>
              <w:t>3</w:t>
            </w:r>
            <w:r w:rsidR="004506DE" w:rsidRPr="007E4270">
              <w:rPr>
                <w:rFonts w:cstheme="minorHAnsi"/>
                <w:sz w:val="20"/>
                <w:szCs w:val="20"/>
              </w:rPr>
              <w:t xml:space="preserve">. </w:t>
            </w:r>
            <w:r w:rsidR="007513D8" w:rsidRPr="007E4270">
              <w:rPr>
                <w:rFonts w:cstheme="minorHAnsi"/>
                <w:sz w:val="20"/>
                <w:szCs w:val="20"/>
              </w:rPr>
              <w:t>Shortfall in women’s estimated GNI (SDG 5.a, 10.2, proxy)</w:t>
            </w:r>
          </w:p>
          <w:p w14:paraId="08C11A33" w14:textId="77777777" w:rsidR="007513D8" w:rsidRPr="007E4270" w:rsidRDefault="007513D8" w:rsidP="00D9559C">
            <w:pPr>
              <w:ind w:right="-360"/>
              <w:jc w:val="both"/>
              <w:rPr>
                <w:rFonts w:cstheme="minorHAnsi"/>
                <w:b/>
                <w:bCs/>
                <w:sz w:val="20"/>
                <w:szCs w:val="20"/>
              </w:rPr>
            </w:pPr>
            <w:r w:rsidRPr="007E4270">
              <w:rPr>
                <w:rFonts w:cstheme="minorHAnsi"/>
                <w:sz w:val="20"/>
                <w:szCs w:val="20"/>
              </w:rPr>
              <w:t>4. Energy intensity, in terms of primary energy and GDP (SDG 7.3.1)</w:t>
            </w:r>
          </w:p>
        </w:tc>
      </w:tr>
      <w:tr w:rsidR="007513D8" w:rsidRPr="00197F4E" w14:paraId="064E5822" w14:textId="77777777" w:rsidTr="00197F4E">
        <w:tc>
          <w:tcPr>
            <w:tcW w:w="992" w:type="dxa"/>
            <w:vMerge/>
            <w:tcBorders>
              <w:right w:val="single" w:sz="4" w:space="0" w:color="auto"/>
            </w:tcBorders>
          </w:tcPr>
          <w:p w14:paraId="7C94373C" w14:textId="77777777" w:rsidR="007513D8" w:rsidRPr="00197F4E" w:rsidRDefault="007513D8" w:rsidP="00D9559C">
            <w:pPr>
              <w:spacing w:before="40" w:after="40"/>
              <w:ind w:right="-360"/>
              <w:jc w:val="both"/>
              <w:rPr>
                <w:rFonts w:cstheme="minorHAnsi"/>
                <w:i/>
                <w:sz w:val="20"/>
                <w:szCs w:val="20"/>
              </w:rPr>
            </w:pPr>
          </w:p>
        </w:tc>
        <w:tc>
          <w:tcPr>
            <w:tcW w:w="4111" w:type="dxa"/>
            <w:tcBorders>
              <w:left w:val="single" w:sz="4" w:space="0" w:color="auto"/>
              <w:right w:val="single" w:sz="4" w:space="0" w:color="auto"/>
            </w:tcBorders>
            <w:vAlign w:val="center"/>
          </w:tcPr>
          <w:p w14:paraId="4DDFE80F" w14:textId="7C73ABD6" w:rsidR="007513D8" w:rsidRPr="00197F4E" w:rsidRDefault="007513D8" w:rsidP="00D9559C">
            <w:pPr>
              <w:spacing w:before="40" w:after="40"/>
              <w:ind w:right="-360"/>
              <w:jc w:val="both"/>
              <w:rPr>
                <w:rFonts w:cstheme="minorHAnsi"/>
                <w:i/>
                <w:sz w:val="20"/>
                <w:szCs w:val="20"/>
              </w:rPr>
            </w:pPr>
            <w:r w:rsidRPr="00197F4E">
              <w:rPr>
                <w:rFonts w:cstheme="minorHAnsi"/>
                <w:i/>
                <w:sz w:val="20"/>
                <w:szCs w:val="20"/>
              </w:rPr>
              <w:t>SDG Framework: Good governance and public sector management</w:t>
            </w:r>
          </w:p>
          <w:p w14:paraId="21D6638A" w14:textId="7CADE920" w:rsidR="007513D8" w:rsidRPr="00197F4E" w:rsidRDefault="007513D8" w:rsidP="00D9559C">
            <w:pPr>
              <w:spacing w:before="40" w:after="40"/>
              <w:ind w:right="-360"/>
              <w:jc w:val="both"/>
              <w:rPr>
                <w:rFonts w:cstheme="minorHAnsi"/>
                <w:sz w:val="20"/>
                <w:szCs w:val="20"/>
              </w:rPr>
            </w:pPr>
            <w:r w:rsidRPr="00197F4E">
              <w:rPr>
                <w:rFonts w:cstheme="minorHAnsi"/>
                <w:sz w:val="20"/>
                <w:szCs w:val="20"/>
                <w:u w:val="single"/>
              </w:rPr>
              <w:t>Reform Agenda II</w:t>
            </w:r>
            <w:r w:rsidRPr="00197F4E">
              <w:rPr>
                <w:rFonts w:cstheme="minorHAnsi"/>
                <w:sz w:val="20"/>
                <w:szCs w:val="20"/>
              </w:rPr>
              <w:t>. De-politicisation, Increased Sustainability and Efficiency of State-owned Enterprises</w:t>
            </w:r>
          </w:p>
        </w:tc>
        <w:tc>
          <w:tcPr>
            <w:tcW w:w="4395" w:type="dxa"/>
            <w:tcBorders>
              <w:left w:val="single" w:sz="4" w:space="0" w:color="auto"/>
            </w:tcBorders>
            <w:vAlign w:val="center"/>
          </w:tcPr>
          <w:p w14:paraId="38B561AD" w14:textId="77777777" w:rsidR="007513D8" w:rsidRPr="007E4270" w:rsidRDefault="007513D8" w:rsidP="00D9559C">
            <w:pPr>
              <w:spacing w:before="40" w:after="40"/>
              <w:ind w:right="-360"/>
              <w:jc w:val="both"/>
              <w:rPr>
                <w:rFonts w:cstheme="minorHAnsi"/>
                <w:sz w:val="20"/>
                <w:szCs w:val="20"/>
              </w:rPr>
            </w:pPr>
            <w:r w:rsidRPr="007E4270">
              <w:rPr>
                <w:rFonts w:cstheme="minorHAnsi"/>
                <w:sz w:val="20"/>
                <w:szCs w:val="20"/>
              </w:rPr>
              <w:t>5. Rule of law (SDG 16.3.1, proxy</w:t>
            </w:r>
            <w:r w:rsidRPr="007E4270">
              <w:rPr>
                <w:rStyle w:val="FootnoteReference"/>
                <w:rFonts w:cstheme="minorHAnsi"/>
                <w:sz w:val="20"/>
                <w:szCs w:val="20"/>
              </w:rPr>
              <w:footnoteReference w:id="85"/>
            </w:r>
            <w:r w:rsidRPr="007E4270">
              <w:rPr>
                <w:rFonts w:cstheme="minorHAnsi"/>
                <w:sz w:val="20"/>
                <w:szCs w:val="20"/>
              </w:rPr>
              <w:t>)</w:t>
            </w:r>
          </w:p>
          <w:p w14:paraId="2170FAB3" w14:textId="77777777" w:rsidR="007513D8" w:rsidRPr="007E4270" w:rsidRDefault="007513D8" w:rsidP="00D9559C">
            <w:pPr>
              <w:spacing w:before="40" w:after="40"/>
              <w:ind w:right="-360"/>
              <w:jc w:val="both"/>
              <w:rPr>
                <w:sz w:val="20"/>
                <w:szCs w:val="20"/>
              </w:rPr>
            </w:pPr>
            <w:r w:rsidRPr="007E4270">
              <w:rPr>
                <w:rFonts w:cstheme="minorHAnsi"/>
                <w:sz w:val="20"/>
                <w:szCs w:val="20"/>
              </w:rPr>
              <w:t>6. Voice &amp; accountability</w:t>
            </w:r>
            <w:r w:rsidRPr="007E4270">
              <w:rPr>
                <w:rStyle w:val="FootnoteReference"/>
                <w:rFonts w:cstheme="minorHAnsi"/>
                <w:sz w:val="20"/>
                <w:szCs w:val="20"/>
              </w:rPr>
              <w:footnoteReference w:id="86"/>
            </w:r>
            <w:r w:rsidRPr="007E4270">
              <w:rPr>
                <w:rFonts w:cstheme="minorHAnsi"/>
                <w:sz w:val="20"/>
                <w:szCs w:val="20"/>
              </w:rPr>
              <w:t xml:space="preserve">  (SDG 16.7.2, proxy)</w:t>
            </w:r>
          </w:p>
        </w:tc>
      </w:tr>
      <w:tr w:rsidR="007513D8" w:rsidRPr="00197F4E" w14:paraId="3B9151E6" w14:textId="77777777" w:rsidTr="00197F4E">
        <w:tc>
          <w:tcPr>
            <w:tcW w:w="992" w:type="dxa"/>
            <w:vMerge/>
            <w:tcBorders>
              <w:right w:val="single" w:sz="4" w:space="0" w:color="auto"/>
            </w:tcBorders>
          </w:tcPr>
          <w:p w14:paraId="7BFD43A4" w14:textId="77777777" w:rsidR="007513D8" w:rsidRPr="00197F4E" w:rsidRDefault="007513D8" w:rsidP="00D9559C">
            <w:pPr>
              <w:spacing w:before="40" w:after="40"/>
              <w:ind w:right="-360"/>
              <w:jc w:val="both"/>
              <w:rPr>
                <w:rFonts w:cstheme="minorHAnsi"/>
                <w:i/>
                <w:sz w:val="20"/>
                <w:szCs w:val="20"/>
              </w:rPr>
            </w:pPr>
          </w:p>
        </w:tc>
        <w:tc>
          <w:tcPr>
            <w:tcW w:w="4111" w:type="dxa"/>
            <w:tcBorders>
              <w:left w:val="single" w:sz="4" w:space="0" w:color="auto"/>
              <w:right w:val="single" w:sz="4" w:space="0" w:color="auto"/>
            </w:tcBorders>
            <w:vAlign w:val="center"/>
          </w:tcPr>
          <w:p w14:paraId="0697BF30" w14:textId="4C98B086" w:rsidR="007513D8" w:rsidRPr="00197F4E" w:rsidRDefault="007513D8" w:rsidP="00D9559C">
            <w:pPr>
              <w:spacing w:before="40" w:after="40"/>
              <w:ind w:right="-360"/>
              <w:jc w:val="both"/>
              <w:rPr>
                <w:rFonts w:cstheme="minorHAnsi"/>
                <w:i/>
                <w:sz w:val="20"/>
                <w:szCs w:val="20"/>
              </w:rPr>
            </w:pPr>
            <w:r w:rsidRPr="00197F4E">
              <w:rPr>
                <w:rFonts w:cstheme="minorHAnsi"/>
                <w:i/>
                <w:sz w:val="20"/>
                <w:szCs w:val="20"/>
              </w:rPr>
              <w:t>SDG Framework: Equal Opportunities</w:t>
            </w:r>
          </w:p>
          <w:p w14:paraId="068E35B6" w14:textId="53C06E34" w:rsidR="007513D8" w:rsidRPr="00197F4E" w:rsidRDefault="007513D8" w:rsidP="00D9559C">
            <w:pPr>
              <w:spacing w:before="40" w:after="40"/>
              <w:ind w:right="-360"/>
              <w:jc w:val="both"/>
              <w:rPr>
                <w:rFonts w:cstheme="minorHAnsi"/>
                <w:sz w:val="20"/>
                <w:szCs w:val="20"/>
              </w:rPr>
            </w:pPr>
            <w:r w:rsidRPr="00197F4E">
              <w:rPr>
                <w:rFonts w:cstheme="minorHAnsi"/>
                <w:sz w:val="20"/>
                <w:szCs w:val="20"/>
                <w:u w:val="single"/>
              </w:rPr>
              <w:t>Reform Agenda III</w:t>
            </w:r>
            <w:r w:rsidRPr="00197F4E">
              <w:rPr>
                <w:rFonts w:cstheme="minorHAnsi"/>
                <w:sz w:val="20"/>
                <w:szCs w:val="20"/>
              </w:rPr>
              <w:t xml:space="preserve">. Comprehensive Reform and Improved Quality of the </w:t>
            </w:r>
            <w:r w:rsidRPr="009575D9">
              <w:rPr>
                <w:rFonts w:cstheme="minorHAnsi"/>
                <w:sz w:val="20"/>
                <w:szCs w:val="20"/>
              </w:rPr>
              <w:t>Health Care System</w:t>
            </w:r>
            <w:r w:rsidR="00BE69EF" w:rsidRPr="009575D9">
              <w:rPr>
                <w:rFonts w:cstheme="minorHAnsi"/>
                <w:sz w:val="20"/>
                <w:szCs w:val="20"/>
              </w:rPr>
              <w:t>s</w:t>
            </w:r>
            <w:r w:rsidRPr="009575D9">
              <w:rPr>
                <w:rFonts w:cstheme="minorHAnsi"/>
                <w:sz w:val="20"/>
                <w:szCs w:val="20"/>
              </w:rPr>
              <w:t>,</w:t>
            </w:r>
          </w:p>
        </w:tc>
        <w:tc>
          <w:tcPr>
            <w:tcW w:w="4395" w:type="dxa"/>
            <w:tcBorders>
              <w:left w:val="single" w:sz="4" w:space="0" w:color="auto"/>
            </w:tcBorders>
            <w:vAlign w:val="center"/>
          </w:tcPr>
          <w:p w14:paraId="18AF2D1C" w14:textId="77777777" w:rsidR="007513D8" w:rsidRPr="007E4270" w:rsidRDefault="007513D8" w:rsidP="00D9559C">
            <w:pPr>
              <w:spacing w:before="40" w:after="40"/>
              <w:ind w:right="-360"/>
              <w:jc w:val="both"/>
              <w:rPr>
                <w:rFonts w:ascii="Calibri" w:hAnsi="Calibri"/>
                <w:sz w:val="20"/>
                <w:szCs w:val="20"/>
              </w:rPr>
            </w:pPr>
            <w:r w:rsidRPr="007E4270">
              <w:rPr>
                <w:rFonts w:ascii="Calibri" w:hAnsi="Calibri"/>
                <w:sz w:val="20"/>
                <w:szCs w:val="20"/>
              </w:rPr>
              <w:t xml:space="preserve">7. Child mortality rate, by sex (under-five years) (SDG3.2.1) </w:t>
            </w:r>
          </w:p>
          <w:p w14:paraId="1362422C" w14:textId="77777777" w:rsidR="007513D8" w:rsidRPr="007E4270" w:rsidRDefault="007513D8" w:rsidP="00D9559C">
            <w:pPr>
              <w:spacing w:before="40" w:after="40"/>
              <w:ind w:right="-360"/>
              <w:jc w:val="both"/>
              <w:rPr>
                <w:rFonts w:cstheme="minorHAnsi"/>
                <w:sz w:val="20"/>
                <w:szCs w:val="20"/>
              </w:rPr>
            </w:pPr>
            <w:r w:rsidRPr="007E4270">
              <w:rPr>
                <w:rFonts w:ascii="Calibri" w:hAnsi="Calibri"/>
                <w:sz w:val="20"/>
                <w:szCs w:val="20"/>
              </w:rPr>
              <w:t xml:space="preserve">8. Mortality rate attributed to cardiovascular disease, cancer, diabetes, or chronic respiratory disease, by sex (SDG 3.4.1) </w:t>
            </w:r>
          </w:p>
        </w:tc>
      </w:tr>
      <w:tr w:rsidR="007513D8" w:rsidRPr="00197F4E" w14:paraId="50650D75" w14:textId="77777777" w:rsidTr="00197F4E">
        <w:tc>
          <w:tcPr>
            <w:tcW w:w="992" w:type="dxa"/>
            <w:vMerge/>
            <w:tcBorders>
              <w:right w:val="single" w:sz="4" w:space="0" w:color="auto"/>
            </w:tcBorders>
          </w:tcPr>
          <w:p w14:paraId="5A9B075B" w14:textId="77777777" w:rsidR="007513D8" w:rsidRPr="00197F4E" w:rsidRDefault="007513D8" w:rsidP="00D9559C">
            <w:pPr>
              <w:spacing w:before="40" w:after="40"/>
              <w:ind w:right="-360"/>
              <w:jc w:val="both"/>
              <w:rPr>
                <w:rFonts w:cstheme="minorHAnsi"/>
                <w:i/>
                <w:sz w:val="20"/>
                <w:szCs w:val="20"/>
              </w:rPr>
            </w:pPr>
          </w:p>
        </w:tc>
        <w:tc>
          <w:tcPr>
            <w:tcW w:w="4111" w:type="dxa"/>
            <w:tcBorders>
              <w:left w:val="single" w:sz="4" w:space="0" w:color="auto"/>
              <w:right w:val="single" w:sz="4" w:space="0" w:color="auto"/>
            </w:tcBorders>
            <w:vAlign w:val="center"/>
          </w:tcPr>
          <w:p w14:paraId="50FFBC12" w14:textId="06998D5D" w:rsidR="007513D8" w:rsidRPr="00197F4E" w:rsidRDefault="007513D8" w:rsidP="00D9559C">
            <w:pPr>
              <w:spacing w:before="40" w:after="40"/>
              <w:ind w:right="-360"/>
              <w:jc w:val="both"/>
              <w:rPr>
                <w:rFonts w:cstheme="minorHAnsi"/>
                <w:i/>
                <w:sz w:val="20"/>
                <w:szCs w:val="20"/>
              </w:rPr>
            </w:pPr>
            <w:r w:rsidRPr="00197F4E">
              <w:rPr>
                <w:rFonts w:cstheme="minorHAnsi"/>
                <w:i/>
                <w:sz w:val="20"/>
                <w:szCs w:val="20"/>
              </w:rPr>
              <w:t>SDG Framework: Equal Opportunities</w:t>
            </w:r>
          </w:p>
          <w:p w14:paraId="7DDEDE5E" w14:textId="1338B80B" w:rsidR="007513D8" w:rsidRPr="00197F4E" w:rsidRDefault="007513D8" w:rsidP="00D9559C">
            <w:pPr>
              <w:spacing w:before="40" w:after="40"/>
              <w:ind w:right="-360"/>
              <w:jc w:val="both"/>
              <w:rPr>
                <w:rFonts w:cstheme="minorHAnsi"/>
                <w:sz w:val="20"/>
                <w:szCs w:val="20"/>
              </w:rPr>
            </w:pPr>
            <w:r w:rsidRPr="00197F4E">
              <w:rPr>
                <w:rFonts w:cstheme="minorHAnsi"/>
                <w:sz w:val="20"/>
                <w:szCs w:val="20"/>
                <w:u w:val="single"/>
              </w:rPr>
              <w:t>Reform Agenda IV</w:t>
            </w:r>
            <w:r w:rsidRPr="00197F4E">
              <w:rPr>
                <w:rFonts w:cstheme="minorHAnsi"/>
                <w:sz w:val="20"/>
                <w:szCs w:val="20"/>
              </w:rPr>
              <w:t>. Policies that Provide Opportunities to Youth, Women and other Vulnerable Groups</w:t>
            </w:r>
          </w:p>
        </w:tc>
        <w:tc>
          <w:tcPr>
            <w:tcW w:w="4395" w:type="dxa"/>
            <w:tcBorders>
              <w:left w:val="single" w:sz="4" w:space="0" w:color="auto"/>
            </w:tcBorders>
            <w:vAlign w:val="center"/>
          </w:tcPr>
          <w:p w14:paraId="6A05C890" w14:textId="77777777" w:rsidR="007513D8" w:rsidRPr="007E4270" w:rsidRDefault="007513D8" w:rsidP="00D9559C">
            <w:pPr>
              <w:ind w:right="-360"/>
              <w:jc w:val="both"/>
              <w:rPr>
                <w:rFonts w:cstheme="minorHAnsi"/>
                <w:sz w:val="20"/>
                <w:szCs w:val="20"/>
              </w:rPr>
            </w:pPr>
            <w:r w:rsidRPr="007E4270">
              <w:rPr>
                <w:rFonts w:cstheme="minorHAnsi"/>
                <w:sz w:val="20"/>
                <w:szCs w:val="20"/>
              </w:rPr>
              <w:t>9. Proportion of population living below the national (relative</w:t>
            </w:r>
            <w:r w:rsidRPr="007E4270">
              <w:rPr>
                <w:rStyle w:val="FootnoteReference"/>
                <w:rFonts w:cstheme="minorHAnsi"/>
                <w:sz w:val="20"/>
                <w:szCs w:val="20"/>
              </w:rPr>
              <w:footnoteReference w:id="87"/>
            </w:r>
            <w:r w:rsidRPr="007E4270">
              <w:rPr>
                <w:rFonts w:cstheme="minorHAnsi"/>
                <w:sz w:val="20"/>
                <w:szCs w:val="20"/>
              </w:rPr>
              <w:t>) poverty line, by location, sex and age (SDG 1.2.1)</w:t>
            </w:r>
          </w:p>
          <w:p w14:paraId="19E21B41" w14:textId="77777777" w:rsidR="007513D8" w:rsidRPr="007E4270" w:rsidRDefault="007513D8" w:rsidP="00D9559C">
            <w:pPr>
              <w:spacing w:before="40" w:after="40"/>
              <w:ind w:right="-360"/>
              <w:jc w:val="both"/>
              <w:rPr>
                <w:rFonts w:cstheme="minorHAnsi"/>
                <w:sz w:val="20"/>
                <w:szCs w:val="20"/>
              </w:rPr>
            </w:pPr>
            <w:r w:rsidRPr="007E4270">
              <w:rPr>
                <w:rFonts w:cstheme="minorHAnsi"/>
                <w:sz w:val="20"/>
                <w:szCs w:val="20"/>
              </w:rPr>
              <w:t>10. Share of poorest 20% of households receiving social assistance, by area (SDG 1.3.1)</w:t>
            </w:r>
          </w:p>
          <w:p w14:paraId="7AEC256F" w14:textId="1380D9CF" w:rsidR="00063DBF" w:rsidRPr="007E4270" w:rsidRDefault="00063DBF" w:rsidP="00D9559C">
            <w:pPr>
              <w:spacing w:before="40" w:after="40"/>
              <w:ind w:right="-360"/>
              <w:jc w:val="both"/>
              <w:rPr>
                <w:rFonts w:cstheme="minorHAnsi"/>
                <w:sz w:val="20"/>
                <w:szCs w:val="20"/>
              </w:rPr>
            </w:pPr>
            <w:r w:rsidRPr="007E4270">
              <w:rPr>
                <w:rFonts w:cstheme="minorHAnsi"/>
                <w:sz w:val="20"/>
                <w:szCs w:val="20"/>
              </w:rPr>
              <w:t xml:space="preserve">11. </w:t>
            </w:r>
            <w:r w:rsidR="00302347" w:rsidRPr="007E4270">
              <w:rPr>
                <w:rFonts w:cstheme="minorHAnsi"/>
                <w:sz w:val="20"/>
                <w:szCs w:val="20"/>
              </w:rPr>
              <w:t>Gini index of income inequality (SDG 10.1.1, proxy)</w:t>
            </w:r>
          </w:p>
        </w:tc>
      </w:tr>
    </w:tbl>
    <w:p w14:paraId="4FC21E57" w14:textId="2D3C6759" w:rsidR="00D405A3" w:rsidRPr="009575D9" w:rsidRDefault="00D405A3" w:rsidP="00D9559C">
      <w:pPr>
        <w:pStyle w:val="ListParagraph"/>
        <w:numPr>
          <w:ilvl w:val="0"/>
          <w:numId w:val="3"/>
        </w:numPr>
        <w:spacing w:before="240" w:after="120"/>
        <w:ind w:right="-360"/>
        <w:contextualSpacing w:val="0"/>
        <w:jc w:val="both"/>
        <w:rPr>
          <w:rFonts w:cstheme="minorHAnsi"/>
          <w:b/>
          <w:sz w:val="21"/>
          <w:szCs w:val="21"/>
          <w:lang w:val="en-CA"/>
        </w:rPr>
      </w:pPr>
      <w:r w:rsidRPr="00197F4E">
        <w:rPr>
          <w:rFonts w:cstheme="minorHAnsi"/>
          <w:sz w:val="21"/>
          <w:szCs w:val="21"/>
        </w:rPr>
        <w:t>Cooperation will be guided by</w:t>
      </w:r>
      <w:r w:rsidRPr="007F5550">
        <w:rPr>
          <w:rFonts w:cstheme="minorHAnsi"/>
          <w:sz w:val="21"/>
          <w:szCs w:val="21"/>
        </w:rPr>
        <w:t xml:space="preserve"> the following </w:t>
      </w:r>
      <w:r w:rsidR="00362981">
        <w:rPr>
          <w:rFonts w:cstheme="minorHAnsi"/>
          <w:sz w:val="21"/>
          <w:szCs w:val="21"/>
        </w:rPr>
        <w:t xml:space="preserve">guiding </w:t>
      </w:r>
      <w:r w:rsidRPr="007F5550">
        <w:rPr>
          <w:rFonts w:cstheme="minorHAnsi"/>
          <w:sz w:val="21"/>
          <w:szCs w:val="21"/>
        </w:rPr>
        <w:t xml:space="preserve">principles: (1) </w:t>
      </w:r>
      <w:r w:rsidRPr="007F5550">
        <w:rPr>
          <w:rFonts w:cstheme="minorHAnsi"/>
          <w:bCs/>
          <w:sz w:val="21"/>
          <w:szCs w:val="21"/>
        </w:rPr>
        <w:t>Inclusion and equity to ‘leave no one behind, (2) H</w:t>
      </w:r>
      <w:r w:rsidRPr="007F5550">
        <w:rPr>
          <w:rFonts w:cstheme="minorHAnsi"/>
          <w:sz w:val="21"/>
          <w:szCs w:val="21"/>
        </w:rPr>
        <w:t xml:space="preserve">uman rights, gender equality and the empowerment of women (GEWE), (3) Sustainability and resilience, and (4) </w:t>
      </w:r>
      <w:r w:rsidRPr="009575D9">
        <w:rPr>
          <w:rFonts w:cstheme="minorHAnsi"/>
          <w:sz w:val="21"/>
          <w:szCs w:val="21"/>
        </w:rPr>
        <w:t xml:space="preserve">Accountability, including the availability and use of quality data. At a programmatic level, under a </w:t>
      </w:r>
      <w:r w:rsidRPr="009575D9">
        <w:rPr>
          <w:rFonts w:cstheme="minorHAnsi"/>
          <w:i/>
          <w:sz w:val="21"/>
          <w:szCs w:val="21"/>
        </w:rPr>
        <w:t>chapeau</w:t>
      </w:r>
      <w:r w:rsidRPr="009575D9">
        <w:rPr>
          <w:rFonts w:cstheme="minorHAnsi"/>
          <w:sz w:val="21"/>
          <w:szCs w:val="21"/>
        </w:rPr>
        <w:t xml:space="preserve"> of ‘leaving no one behind’ there are a set </w:t>
      </w:r>
      <w:r w:rsidRPr="009575D9">
        <w:rPr>
          <w:rFonts w:cstheme="minorHAnsi"/>
          <w:sz w:val="21"/>
          <w:szCs w:val="21"/>
          <w:lang w:val="en-CA"/>
        </w:rPr>
        <w:t xml:space="preserve">of mutually </w:t>
      </w:r>
      <w:r w:rsidRPr="009575D9">
        <w:rPr>
          <w:rFonts w:cstheme="minorHAnsi"/>
          <w:sz w:val="21"/>
          <w:szCs w:val="21"/>
        </w:rPr>
        <w:t xml:space="preserve">reinforcing programming approaches for </w:t>
      </w:r>
      <w:r w:rsidRPr="009575D9">
        <w:rPr>
          <w:rFonts w:cstheme="minorHAnsi"/>
          <w:sz w:val="21"/>
          <w:szCs w:val="21"/>
          <w:lang w:val="en-CA"/>
        </w:rPr>
        <w:t xml:space="preserve">cooperation by </w:t>
      </w:r>
      <w:r w:rsidR="00943B2D" w:rsidRPr="009575D9">
        <w:rPr>
          <w:rFonts w:cstheme="minorHAnsi"/>
          <w:sz w:val="21"/>
          <w:szCs w:val="21"/>
          <w:lang w:val="en-CA"/>
        </w:rPr>
        <w:t>the</w:t>
      </w:r>
      <w:r w:rsidRPr="009575D9">
        <w:rPr>
          <w:rFonts w:cstheme="minorHAnsi"/>
          <w:sz w:val="21"/>
          <w:szCs w:val="21"/>
          <w:lang w:val="en-CA"/>
        </w:rPr>
        <w:t xml:space="preserve"> authorities</w:t>
      </w:r>
      <w:r w:rsidR="00943B2D" w:rsidRPr="009575D9">
        <w:rPr>
          <w:rFonts w:cstheme="minorHAnsi"/>
          <w:sz w:val="21"/>
          <w:szCs w:val="21"/>
          <w:lang w:val="en-CA"/>
        </w:rPr>
        <w:t xml:space="preserve"> in BiH</w:t>
      </w:r>
      <w:r w:rsidRPr="009575D9">
        <w:rPr>
          <w:rFonts w:cstheme="minorHAnsi"/>
          <w:sz w:val="21"/>
          <w:szCs w:val="21"/>
          <w:lang w:val="en-CA"/>
        </w:rPr>
        <w:t>, the UN system and other partners</w:t>
      </w:r>
      <w:r w:rsidRPr="009575D9">
        <w:rPr>
          <w:rFonts w:cstheme="minorHAnsi"/>
          <w:sz w:val="21"/>
          <w:szCs w:val="21"/>
          <w:vertAlign w:val="superscript"/>
          <w:lang w:val="en-GB"/>
        </w:rPr>
        <w:footnoteReference w:id="88"/>
      </w:r>
      <w:r w:rsidRPr="009575D9">
        <w:rPr>
          <w:rFonts w:cstheme="minorHAnsi"/>
          <w:sz w:val="21"/>
          <w:szCs w:val="21"/>
          <w:lang w:val="en-CA"/>
        </w:rPr>
        <w:t>:</w:t>
      </w:r>
    </w:p>
    <w:p w14:paraId="6512CB77" w14:textId="1316560A" w:rsidR="00D405A3" w:rsidRPr="009575D9" w:rsidRDefault="00D405A3" w:rsidP="00D9559C">
      <w:pPr>
        <w:numPr>
          <w:ilvl w:val="0"/>
          <w:numId w:val="4"/>
        </w:numPr>
        <w:spacing w:after="60" w:line="240" w:lineRule="auto"/>
        <w:ind w:right="-360"/>
        <w:jc w:val="both"/>
        <w:rPr>
          <w:rFonts w:cstheme="minorHAnsi"/>
          <w:sz w:val="21"/>
          <w:szCs w:val="21"/>
        </w:rPr>
      </w:pPr>
      <w:r w:rsidRPr="009575D9">
        <w:rPr>
          <w:rFonts w:eastAsia="MS PGothic" w:cstheme="minorHAnsi"/>
          <w:b/>
          <w:bCs/>
          <w:sz w:val="21"/>
          <w:szCs w:val="21"/>
        </w:rPr>
        <w:t>Cross-sector collaboration</w:t>
      </w:r>
      <w:r w:rsidRPr="009575D9">
        <w:rPr>
          <w:rFonts w:cstheme="minorHAnsi"/>
          <w:b/>
          <w:bCs/>
          <w:sz w:val="21"/>
          <w:szCs w:val="21"/>
        </w:rPr>
        <w:t xml:space="preserve"> and coherent policy support</w:t>
      </w:r>
      <w:r w:rsidRPr="009575D9">
        <w:rPr>
          <w:rFonts w:eastAsia="MS PGothic" w:cstheme="minorHAnsi"/>
          <w:b/>
          <w:bCs/>
          <w:sz w:val="21"/>
          <w:szCs w:val="21"/>
        </w:rPr>
        <w:t xml:space="preserve">: </w:t>
      </w:r>
      <w:r w:rsidRPr="009575D9">
        <w:rPr>
          <w:rFonts w:cstheme="minorHAnsi"/>
          <w:sz w:val="21"/>
          <w:szCs w:val="21"/>
        </w:rPr>
        <w:t>The i</w:t>
      </w:r>
      <w:r w:rsidRPr="009575D9">
        <w:rPr>
          <w:rFonts w:eastAsia="MS PGothic" w:cstheme="minorHAnsi"/>
          <w:sz w:val="21"/>
          <w:szCs w:val="21"/>
        </w:rPr>
        <w:t xml:space="preserve">nterconnected, complex nature of </w:t>
      </w:r>
      <w:r w:rsidRPr="009575D9">
        <w:rPr>
          <w:rFonts w:cstheme="minorHAnsi"/>
          <w:sz w:val="21"/>
          <w:szCs w:val="21"/>
        </w:rPr>
        <w:t xml:space="preserve">the CF priorities and outcomes requires: </w:t>
      </w:r>
      <w:r w:rsidR="0037382D" w:rsidRPr="009575D9">
        <w:rPr>
          <w:rFonts w:cstheme="minorHAnsi"/>
          <w:sz w:val="21"/>
          <w:szCs w:val="21"/>
        </w:rPr>
        <w:t>1)</w:t>
      </w:r>
      <w:r w:rsidRPr="009575D9">
        <w:rPr>
          <w:rFonts w:eastAsia="MS PGothic" w:cstheme="minorHAnsi"/>
          <w:sz w:val="21"/>
          <w:szCs w:val="21"/>
        </w:rPr>
        <w:t xml:space="preserve">. Cross-sectoral </w:t>
      </w:r>
      <w:r w:rsidR="00A9281B" w:rsidRPr="009575D9">
        <w:rPr>
          <w:rFonts w:eastAsia="MS PGothic" w:cstheme="minorHAnsi"/>
          <w:sz w:val="21"/>
          <w:szCs w:val="21"/>
        </w:rPr>
        <w:t xml:space="preserve">and participatory </w:t>
      </w:r>
      <w:r w:rsidRPr="009575D9">
        <w:rPr>
          <w:rFonts w:eastAsia="MS PGothic" w:cstheme="minorHAnsi"/>
          <w:sz w:val="21"/>
          <w:szCs w:val="21"/>
        </w:rPr>
        <w:t>policy appro</w:t>
      </w:r>
      <w:r w:rsidRPr="009575D9">
        <w:rPr>
          <w:rFonts w:cstheme="minorHAnsi"/>
          <w:sz w:val="21"/>
          <w:szCs w:val="21"/>
        </w:rPr>
        <w:t>aches</w:t>
      </w:r>
      <w:r w:rsidR="00A9281B" w:rsidRPr="009575D9">
        <w:rPr>
          <w:rFonts w:cstheme="minorHAnsi"/>
          <w:sz w:val="21"/>
          <w:szCs w:val="21"/>
        </w:rPr>
        <w:t>, including implementation and monitoring</w:t>
      </w:r>
      <w:r w:rsidR="0037382D" w:rsidRPr="009575D9">
        <w:rPr>
          <w:rFonts w:cstheme="minorHAnsi"/>
          <w:sz w:val="21"/>
          <w:szCs w:val="21"/>
        </w:rPr>
        <w:t>, and 2)</w:t>
      </w:r>
      <w:r w:rsidRPr="009575D9">
        <w:rPr>
          <w:rFonts w:cstheme="minorHAnsi"/>
          <w:sz w:val="21"/>
          <w:szCs w:val="21"/>
        </w:rPr>
        <w:t xml:space="preserve"> </w:t>
      </w:r>
      <w:r w:rsidR="0037382D" w:rsidRPr="009575D9">
        <w:rPr>
          <w:rFonts w:cstheme="minorHAnsi"/>
          <w:sz w:val="21"/>
          <w:szCs w:val="21"/>
        </w:rPr>
        <w:t>Enhanced c</w:t>
      </w:r>
      <w:r w:rsidRPr="009575D9">
        <w:rPr>
          <w:rFonts w:eastAsia="MS PGothic" w:cstheme="minorHAnsi"/>
          <w:sz w:val="21"/>
          <w:szCs w:val="21"/>
        </w:rPr>
        <w:t xml:space="preserve">oordination </w:t>
      </w:r>
      <w:r w:rsidRPr="009575D9">
        <w:rPr>
          <w:rFonts w:cstheme="minorHAnsi"/>
          <w:sz w:val="21"/>
          <w:szCs w:val="21"/>
        </w:rPr>
        <w:t xml:space="preserve">between </w:t>
      </w:r>
      <w:r w:rsidRPr="009575D9">
        <w:rPr>
          <w:rFonts w:eastAsia="MS PGothic" w:cstheme="minorHAnsi"/>
          <w:sz w:val="21"/>
          <w:szCs w:val="21"/>
        </w:rPr>
        <w:t>existing BiH working bodies</w:t>
      </w:r>
      <w:r w:rsidRPr="009575D9">
        <w:rPr>
          <w:rFonts w:cstheme="minorHAnsi"/>
          <w:sz w:val="21"/>
          <w:szCs w:val="21"/>
        </w:rPr>
        <w:t xml:space="preserve"> for cross-sector results, and to create open spaces for dialogue and consensus around shared priorities.</w:t>
      </w:r>
      <w:r w:rsidR="007A200F" w:rsidRPr="009575D9">
        <w:rPr>
          <w:rFonts w:cstheme="minorHAnsi"/>
          <w:sz w:val="21"/>
          <w:szCs w:val="21"/>
        </w:rPr>
        <w:t xml:space="preserve"> </w:t>
      </w:r>
    </w:p>
    <w:p w14:paraId="1D148899" w14:textId="47C22B9C" w:rsidR="00D405A3" w:rsidRPr="007F5550" w:rsidRDefault="00D405A3" w:rsidP="00D9559C">
      <w:pPr>
        <w:pStyle w:val="ListParagraph"/>
        <w:numPr>
          <w:ilvl w:val="0"/>
          <w:numId w:val="4"/>
        </w:numPr>
        <w:spacing w:after="60"/>
        <w:ind w:right="-360"/>
        <w:contextualSpacing w:val="0"/>
        <w:jc w:val="both"/>
        <w:rPr>
          <w:rFonts w:cstheme="minorHAnsi"/>
          <w:sz w:val="21"/>
          <w:szCs w:val="21"/>
        </w:rPr>
      </w:pPr>
      <w:r w:rsidRPr="009575D9">
        <w:rPr>
          <w:rFonts w:eastAsia="MS PGothic" w:cstheme="minorHAnsi"/>
          <w:b/>
          <w:bCs/>
          <w:sz w:val="21"/>
          <w:szCs w:val="21"/>
        </w:rPr>
        <w:t>Implementation: ‘</w:t>
      </w:r>
      <w:r w:rsidRPr="009575D9">
        <w:rPr>
          <w:rFonts w:eastAsia="MS PGothic" w:cstheme="minorHAnsi"/>
          <w:b/>
          <w:bCs/>
          <w:i/>
          <w:iCs/>
          <w:sz w:val="21"/>
          <w:szCs w:val="21"/>
        </w:rPr>
        <w:t xml:space="preserve">renewed focus on delivery at </w:t>
      </w:r>
      <w:r w:rsidR="0011670D" w:rsidRPr="009575D9">
        <w:rPr>
          <w:rFonts w:eastAsia="MS PGothic" w:cstheme="minorHAnsi"/>
          <w:b/>
          <w:bCs/>
          <w:i/>
          <w:iCs/>
          <w:sz w:val="21"/>
          <w:szCs w:val="21"/>
        </w:rPr>
        <w:t>c</w:t>
      </w:r>
      <w:r w:rsidR="00177726" w:rsidRPr="009575D9">
        <w:rPr>
          <w:rFonts w:eastAsia="MS PGothic" w:cstheme="minorHAnsi"/>
          <w:b/>
          <w:bCs/>
          <w:i/>
          <w:iCs/>
          <w:sz w:val="21"/>
          <w:szCs w:val="21"/>
        </w:rPr>
        <w:t xml:space="preserve">antonal and </w:t>
      </w:r>
      <w:r w:rsidRPr="009575D9">
        <w:rPr>
          <w:rFonts w:eastAsia="MS PGothic" w:cstheme="minorHAnsi"/>
          <w:b/>
          <w:bCs/>
          <w:i/>
          <w:iCs/>
          <w:sz w:val="21"/>
          <w:szCs w:val="21"/>
        </w:rPr>
        <w:t>local</w:t>
      </w:r>
      <w:r w:rsidR="0011670D" w:rsidRPr="009575D9">
        <w:rPr>
          <w:rFonts w:eastAsia="MS PGothic" w:cstheme="minorHAnsi"/>
          <w:b/>
          <w:bCs/>
          <w:i/>
          <w:iCs/>
          <w:sz w:val="21"/>
          <w:szCs w:val="21"/>
        </w:rPr>
        <w:t xml:space="preserve"> government</w:t>
      </w:r>
      <w:r w:rsidR="00CA04EF" w:rsidRPr="009575D9">
        <w:rPr>
          <w:rFonts w:eastAsia="MS PGothic" w:cstheme="minorHAnsi"/>
          <w:b/>
          <w:bCs/>
          <w:i/>
          <w:iCs/>
          <w:sz w:val="21"/>
          <w:szCs w:val="21"/>
        </w:rPr>
        <w:t xml:space="preserve"> </w:t>
      </w:r>
      <w:r w:rsidRPr="009575D9">
        <w:rPr>
          <w:rFonts w:eastAsia="MS PGothic" w:cstheme="minorHAnsi"/>
          <w:b/>
          <w:bCs/>
          <w:i/>
          <w:iCs/>
          <w:sz w:val="21"/>
          <w:szCs w:val="21"/>
        </w:rPr>
        <w:t>levels</w:t>
      </w:r>
      <w:r w:rsidRPr="009575D9">
        <w:rPr>
          <w:rFonts w:eastAsia="MS PGothic" w:cstheme="minorHAnsi"/>
          <w:b/>
          <w:bCs/>
          <w:sz w:val="21"/>
          <w:szCs w:val="21"/>
        </w:rPr>
        <w:t>’</w:t>
      </w:r>
      <w:r w:rsidRPr="009575D9">
        <w:rPr>
          <w:rFonts w:cstheme="minorHAnsi"/>
          <w:b/>
          <w:bCs/>
          <w:sz w:val="21"/>
          <w:szCs w:val="21"/>
        </w:rPr>
        <w:t xml:space="preserve">: </w:t>
      </w:r>
      <w:r w:rsidRPr="009575D9">
        <w:rPr>
          <w:rFonts w:cstheme="minorHAnsi"/>
          <w:sz w:val="21"/>
          <w:szCs w:val="21"/>
        </w:rPr>
        <w:t xml:space="preserve">This will involve efforts to link </w:t>
      </w:r>
      <w:r w:rsidRPr="009575D9">
        <w:rPr>
          <w:rFonts w:eastAsia="MS PGothic" w:cstheme="minorHAnsi"/>
          <w:sz w:val="21"/>
          <w:szCs w:val="21"/>
        </w:rPr>
        <w:t>policy to budget for implementation, with effective implementation at local level with local actors, involving them more effectively in monitoring, evaluation, and learning</w:t>
      </w:r>
      <w:r w:rsidRPr="009575D9">
        <w:rPr>
          <w:rFonts w:cstheme="minorHAnsi"/>
          <w:sz w:val="21"/>
          <w:szCs w:val="21"/>
        </w:rPr>
        <w:t xml:space="preserve">. </w:t>
      </w:r>
      <w:r w:rsidR="002933EA" w:rsidRPr="009575D9">
        <w:rPr>
          <w:rFonts w:cstheme="minorHAnsi"/>
          <w:sz w:val="21"/>
          <w:szCs w:val="21"/>
        </w:rPr>
        <w:t>The</w:t>
      </w:r>
      <w:r w:rsidRPr="009575D9">
        <w:rPr>
          <w:rFonts w:cstheme="minorHAnsi"/>
          <w:sz w:val="21"/>
          <w:szCs w:val="21"/>
        </w:rPr>
        <w:t xml:space="preserve"> authorities</w:t>
      </w:r>
      <w:r w:rsidR="002933EA" w:rsidRPr="009575D9">
        <w:rPr>
          <w:rFonts w:cstheme="minorHAnsi"/>
          <w:sz w:val="21"/>
          <w:szCs w:val="21"/>
        </w:rPr>
        <w:t xml:space="preserve"> in BiH</w:t>
      </w:r>
      <w:r w:rsidRPr="009575D9">
        <w:rPr>
          <w:rFonts w:cstheme="minorHAnsi"/>
          <w:sz w:val="21"/>
          <w:szCs w:val="21"/>
        </w:rPr>
        <w:t xml:space="preserve"> and the UN system will support a culture of measurement, monitoring, evaluation, and learning with working</w:t>
      </w:r>
      <w:r w:rsidRPr="007F5550">
        <w:rPr>
          <w:rFonts w:cstheme="minorHAnsi"/>
          <w:sz w:val="21"/>
          <w:szCs w:val="21"/>
        </w:rPr>
        <w:t xml:space="preserve"> mechanisms to monitor and manage for results and identify and address data gaps for country priorities and related SDGs.</w:t>
      </w:r>
    </w:p>
    <w:p w14:paraId="37C90C6E" w14:textId="3AD151CE" w:rsidR="00D405A3" w:rsidRPr="007F5550" w:rsidRDefault="00D405A3" w:rsidP="00D9559C">
      <w:pPr>
        <w:pStyle w:val="ListParagraph"/>
        <w:numPr>
          <w:ilvl w:val="0"/>
          <w:numId w:val="4"/>
        </w:numPr>
        <w:spacing w:after="60"/>
        <w:ind w:right="-360"/>
        <w:contextualSpacing w:val="0"/>
        <w:jc w:val="both"/>
        <w:rPr>
          <w:rFonts w:cstheme="minorHAnsi"/>
          <w:sz w:val="21"/>
          <w:szCs w:val="21"/>
        </w:rPr>
      </w:pPr>
      <w:r w:rsidRPr="007F5550">
        <w:rPr>
          <w:rFonts w:eastAsia="MS PGothic" w:cstheme="minorHAnsi"/>
          <w:b/>
          <w:bCs/>
          <w:sz w:val="21"/>
          <w:szCs w:val="21"/>
        </w:rPr>
        <w:t>Young people’</w:t>
      </w:r>
      <w:r w:rsidRPr="007F5550">
        <w:rPr>
          <w:rFonts w:cstheme="minorHAnsi"/>
          <w:b/>
          <w:bCs/>
          <w:sz w:val="21"/>
          <w:szCs w:val="21"/>
        </w:rPr>
        <w:t xml:space="preserve">s participation: </w:t>
      </w:r>
      <w:r w:rsidRPr="007F5550">
        <w:rPr>
          <w:rFonts w:cstheme="minorHAnsi"/>
          <w:bCs/>
          <w:sz w:val="21"/>
          <w:szCs w:val="21"/>
        </w:rPr>
        <w:t>Across all priorities and outcome, cooperation efforts must focus on g</w:t>
      </w:r>
      <w:r w:rsidRPr="007F5550">
        <w:rPr>
          <w:rFonts w:eastAsia="MS PGothic" w:cstheme="minorHAnsi"/>
          <w:sz w:val="21"/>
          <w:szCs w:val="21"/>
        </w:rPr>
        <w:t>iving young people (15-30</w:t>
      </w:r>
      <w:r>
        <w:rPr>
          <w:rFonts w:eastAsia="MS PGothic" w:cstheme="minorHAnsi"/>
          <w:sz w:val="21"/>
          <w:szCs w:val="21"/>
        </w:rPr>
        <w:t xml:space="preserve"> </w:t>
      </w:r>
      <w:r w:rsidRPr="007F5550">
        <w:rPr>
          <w:rFonts w:eastAsia="MS PGothic" w:cstheme="minorHAnsi"/>
          <w:sz w:val="21"/>
          <w:szCs w:val="21"/>
        </w:rPr>
        <w:t>y</w:t>
      </w:r>
      <w:r>
        <w:rPr>
          <w:rFonts w:eastAsia="MS PGothic" w:cstheme="minorHAnsi"/>
          <w:sz w:val="21"/>
          <w:szCs w:val="21"/>
        </w:rPr>
        <w:t>ea</w:t>
      </w:r>
      <w:r w:rsidRPr="007F5550">
        <w:rPr>
          <w:rFonts w:eastAsia="MS PGothic" w:cstheme="minorHAnsi"/>
          <w:sz w:val="21"/>
          <w:szCs w:val="21"/>
        </w:rPr>
        <w:t>rs)</w:t>
      </w:r>
      <w:r w:rsidRPr="007F5550">
        <w:rPr>
          <w:rFonts w:cstheme="minorHAnsi"/>
          <w:sz w:val="21"/>
          <w:szCs w:val="21"/>
        </w:rPr>
        <w:t xml:space="preserve">, especially </w:t>
      </w:r>
      <w:r w:rsidR="00FC53E7">
        <w:rPr>
          <w:rFonts w:cstheme="minorHAnsi"/>
          <w:sz w:val="21"/>
          <w:szCs w:val="21"/>
        </w:rPr>
        <w:t xml:space="preserve">girls, </w:t>
      </w:r>
      <w:r w:rsidRPr="007F5550">
        <w:rPr>
          <w:rFonts w:cstheme="minorHAnsi"/>
          <w:sz w:val="21"/>
          <w:szCs w:val="21"/>
        </w:rPr>
        <w:t>women and from vulnerable groups,</w:t>
      </w:r>
      <w:r w:rsidRPr="007F5550">
        <w:rPr>
          <w:rFonts w:eastAsia="MS PGothic" w:cstheme="minorHAnsi"/>
          <w:sz w:val="21"/>
          <w:szCs w:val="21"/>
        </w:rPr>
        <w:t xml:space="preserve"> a </w:t>
      </w:r>
      <w:r w:rsidRPr="007F5550">
        <w:rPr>
          <w:rFonts w:cstheme="minorHAnsi"/>
          <w:sz w:val="21"/>
          <w:szCs w:val="21"/>
        </w:rPr>
        <w:t xml:space="preserve">greater </w:t>
      </w:r>
      <w:r w:rsidRPr="007F5550">
        <w:rPr>
          <w:rFonts w:eastAsia="MS PGothic" w:cstheme="minorHAnsi"/>
          <w:sz w:val="21"/>
          <w:szCs w:val="21"/>
        </w:rPr>
        <w:t xml:space="preserve">stake </w:t>
      </w:r>
      <w:r w:rsidRPr="007F5550">
        <w:rPr>
          <w:rFonts w:cstheme="minorHAnsi"/>
          <w:sz w:val="21"/>
          <w:szCs w:val="21"/>
        </w:rPr>
        <w:t xml:space="preserve">in </w:t>
      </w:r>
      <w:r w:rsidRPr="007F5550">
        <w:rPr>
          <w:rFonts w:eastAsia="MS PGothic" w:cstheme="minorHAnsi"/>
          <w:sz w:val="21"/>
          <w:szCs w:val="21"/>
        </w:rPr>
        <w:t>country-wide development</w:t>
      </w:r>
      <w:r>
        <w:rPr>
          <w:rFonts w:eastAsia="MS PGothic" w:cstheme="minorHAnsi"/>
          <w:sz w:val="21"/>
          <w:szCs w:val="21"/>
        </w:rPr>
        <w:t>.</w:t>
      </w:r>
    </w:p>
    <w:p w14:paraId="36EEB04D" w14:textId="77777777" w:rsidR="00D405A3" w:rsidRPr="007F5550" w:rsidRDefault="00D405A3" w:rsidP="00D9559C">
      <w:pPr>
        <w:pStyle w:val="ListParagraph"/>
        <w:numPr>
          <w:ilvl w:val="0"/>
          <w:numId w:val="4"/>
        </w:numPr>
        <w:spacing w:after="60"/>
        <w:ind w:right="-360"/>
        <w:contextualSpacing w:val="0"/>
        <w:jc w:val="both"/>
        <w:rPr>
          <w:rFonts w:cstheme="minorHAnsi"/>
          <w:b/>
          <w:bCs/>
          <w:sz w:val="21"/>
          <w:szCs w:val="21"/>
        </w:rPr>
      </w:pPr>
      <w:r w:rsidRPr="007F5550">
        <w:rPr>
          <w:rFonts w:cstheme="minorHAnsi"/>
          <w:b/>
          <w:bCs/>
          <w:sz w:val="21"/>
          <w:szCs w:val="21"/>
        </w:rPr>
        <w:t xml:space="preserve">Gender mainstreaming: </w:t>
      </w:r>
      <w:r w:rsidRPr="007F5550">
        <w:rPr>
          <w:rFonts w:cstheme="minorHAnsi"/>
          <w:sz w:val="21"/>
          <w:szCs w:val="21"/>
        </w:rPr>
        <w:t>Gender discrimination, a gender divide in the labour market and occupational segregation, and gender-based violence remain critical concerns</w:t>
      </w:r>
      <w:r w:rsidRPr="007F5550">
        <w:rPr>
          <w:rStyle w:val="FootnoteReference"/>
          <w:rFonts w:cstheme="minorHAnsi"/>
          <w:sz w:val="21"/>
          <w:szCs w:val="21"/>
        </w:rPr>
        <w:footnoteReference w:id="89"/>
      </w:r>
      <w:r w:rsidRPr="007F5550">
        <w:rPr>
          <w:rFonts w:cstheme="minorHAnsi"/>
          <w:sz w:val="21"/>
          <w:szCs w:val="21"/>
        </w:rPr>
        <w:t xml:space="preserve">. </w:t>
      </w:r>
      <w:r>
        <w:rPr>
          <w:rFonts w:cstheme="minorHAnsi"/>
          <w:sz w:val="21"/>
          <w:szCs w:val="21"/>
        </w:rPr>
        <w:t>Across all outcomes, t</w:t>
      </w:r>
      <w:r w:rsidRPr="007F5550">
        <w:rPr>
          <w:rFonts w:cstheme="minorHAnsi"/>
          <w:sz w:val="21"/>
          <w:szCs w:val="21"/>
        </w:rPr>
        <w:t>he partners will address gaps in the legislative and institutional framework for the observance of international human rights law, working toward</w:t>
      </w:r>
      <w:r>
        <w:rPr>
          <w:rFonts w:cstheme="minorHAnsi"/>
          <w:sz w:val="21"/>
          <w:szCs w:val="21"/>
        </w:rPr>
        <w:t>s</w:t>
      </w:r>
      <w:r w:rsidRPr="007F5550">
        <w:rPr>
          <w:rFonts w:cstheme="minorHAnsi"/>
          <w:sz w:val="21"/>
          <w:szCs w:val="21"/>
        </w:rPr>
        <w:t xml:space="preserve"> greater consistency in implementation of recommendations of UN human rights mechanisms, and to </w:t>
      </w:r>
      <w:r w:rsidRPr="007F5550">
        <w:rPr>
          <w:rFonts w:cstheme="minorHAnsi"/>
          <w:sz w:val="21"/>
          <w:szCs w:val="21"/>
          <w:lang w:val="en-GB"/>
        </w:rPr>
        <w:t>contribute to stronger institutional capacities for gender analysis and gender-responsive programming</w:t>
      </w:r>
      <w:r w:rsidRPr="007F5550">
        <w:rPr>
          <w:rFonts w:cstheme="minorHAnsi"/>
          <w:sz w:val="21"/>
          <w:szCs w:val="21"/>
          <w:vertAlign w:val="superscript"/>
        </w:rPr>
        <w:footnoteReference w:id="90"/>
      </w:r>
      <w:r w:rsidRPr="007F5550">
        <w:rPr>
          <w:rFonts w:cstheme="minorHAnsi"/>
          <w:sz w:val="21"/>
          <w:szCs w:val="21"/>
        </w:rPr>
        <w:t>.</w:t>
      </w:r>
    </w:p>
    <w:p w14:paraId="7DEE59BA" w14:textId="77777777" w:rsidR="00D405A3" w:rsidRPr="007F5550" w:rsidRDefault="00D405A3" w:rsidP="00D9559C">
      <w:pPr>
        <w:pStyle w:val="ListParagraph"/>
        <w:numPr>
          <w:ilvl w:val="0"/>
          <w:numId w:val="4"/>
        </w:numPr>
        <w:spacing w:after="60"/>
        <w:ind w:right="-360"/>
        <w:contextualSpacing w:val="0"/>
        <w:jc w:val="both"/>
        <w:rPr>
          <w:rFonts w:cstheme="minorHAnsi"/>
          <w:b/>
          <w:bCs/>
          <w:sz w:val="21"/>
          <w:szCs w:val="21"/>
        </w:rPr>
      </w:pPr>
      <w:r w:rsidRPr="007F5550">
        <w:rPr>
          <w:rFonts w:eastAsia="MS PGothic" w:cstheme="minorHAnsi"/>
          <w:b/>
          <w:bCs/>
          <w:sz w:val="21"/>
          <w:szCs w:val="21"/>
        </w:rPr>
        <w:t>Technolo</w:t>
      </w:r>
      <w:r w:rsidRPr="007F5550">
        <w:rPr>
          <w:rFonts w:cstheme="minorHAnsi"/>
          <w:b/>
          <w:bCs/>
          <w:sz w:val="21"/>
          <w:szCs w:val="21"/>
        </w:rPr>
        <w:t xml:space="preserve">gy transfer and digital </w:t>
      </w:r>
      <w:r>
        <w:rPr>
          <w:rFonts w:cstheme="minorHAnsi"/>
          <w:b/>
          <w:bCs/>
          <w:sz w:val="21"/>
          <w:szCs w:val="21"/>
        </w:rPr>
        <w:t>transformation</w:t>
      </w:r>
      <w:r w:rsidRPr="007F5550">
        <w:rPr>
          <w:rFonts w:cstheme="minorHAnsi"/>
          <w:b/>
          <w:bCs/>
          <w:sz w:val="21"/>
          <w:szCs w:val="21"/>
        </w:rPr>
        <w:t xml:space="preserve">: </w:t>
      </w:r>
      <w:r w:rsidRPr="007F5550">
        <w:rPr>
          <w:rFonts w:cstheme="minorHAnsi"/>
          <w:sz w:val="21"/>
          <w:szCs w:val="21"/>
        </w:rPr>
        <w:t xml:space="preserve">Anticipating future skills needs and applications across the priorities and outcomes to drive innovation </w:t>
      </w:r>
      <w:r w:rsidRPr="007F5550">
        <w:rPr>
          <w:rFonts w:eastAsia="MS PGothic" w:cstheme="minorHAnsi"/>
          <w:sz w:val="21"/>
          <w:szCs w:val="21"/>
        </w:rPr>
        <w:t xml:space="preserve">opportunities for </w:t>
      </w:r>
      <w:r>
        <w:rPr>
          <w:rFonts w:eastAsia="MS PGothic" w:cstheme="minorHAnsi"/>
          <w:sz w:val="21"/>
          <w:szCs w:val="21"/>
        </w:rPr>
        <w:t xml:space="preserve">sustainable </w:t>
      </w:r>
      <w:r w:rsidRPr="007F5550">
        <w:rPr>
          <w:rFonts w:eastAsia="MS PGothic" w:cstheme="minorHAnsi"/>
          <w:sz w:val="21"/>
          <w:szCs w:val="21"/>
        </w:rPr>
        <w:t xml:space="preserve">growth </w:t>
      </w:r>
      <w:r>
        <w:rPr>
          <w:rFonts w:eastAsia="MS PGothic" w:cstheme="minorHAnsi"/>
          <w:sz w:val="21"/>
          <w:szCs w:val="21"/>
        </w:rPr>
        <w:t>and inclusive society.</w:t>
      </w:r>
    </w:p>
    <w:p w14:paraId="3BF53A05" w14:textId="2096D4A9" w:rsidR="00A14F5A" w:rsidRPr="007E4270" w:rsidRDefault="00D405A3" w:rsidP="00D9559C">
      <w:pPr>
        <w:pStyle w:val="ListParagraph"/>
        <w:numPr>
          <w:ilvl w:val="0"/>
          <w:numId w:val="4"/>
        </w:numPr>
        <w:spacing w:after="60"/>
        <w:ind w:left="714" w:right="-360" w:hanging="357"/>
        <w:contextualSpacing w:val="0"/>
        <w:jc w:val="both"/>
        <w:rPr>
          <w:rFonts w:cstheme="minorHAnsi"/>
          <w:b/>
          <w:color w:val="0F243E" w:themeColor="text2" w:themeShade="80"/>
          <w:sz w:val="24"/>
        </w:rPr>
      </w:pPr>
      <w:r w:rsidRPr="00AF0317">
        <w:rPr>
          <w:rFonts w:cstheme="minorHAnsi"/>
          <w:b/>
          <w:bCs/>
          <w:sz w:val="21"/>
          <w:szCs w:val="21"/>
        </w:rPr>
        <w:t xml:space="preserve">Data and statistics: </w:t>
      </w:r>
      <w:r w:rsidRPr="00AF0317">
        <w:rPr>
          <w:rFonts w:cstheme="minorHAnsi"/>
          <w:sz w:val="21"/>
          <w:szCs w:val="21"/>
        </w:rPr>
        <w:t xml:space="preserve">Across all outcomes, strong policies and plans and effective implementation will depend upon disaggregated </w:t>
      </w:r>
      <w:r w:rsidRPr="00AF0317">
        <w:rPr>
          <w:rFonts w:eastAsia="Calibri" w:cstheme="minorHAnsi"/>
          <w:b/>
          <w:sz w:val="21"/>
          <w:szCs w:val="21"/>
        </w:rPr>
        <w:t>data and evidence</w:t>
      </w:r>
      <w:r w:rsidRPr="007F5550">
        <w:rPr>
          <w:rStyle w:val="FootnoteReference"/>
          <w:rFonts w:eastAsia="Calibri" w:cstheme="minorHAnsi"/>
          <w:b/>
          <w:sz w:val="21"/>
          <w:szCs w:val="21"/>
        </w:rPr>
        <w:footnoteReference w:id="91"/>
      </w:r>
      <w:r w:rsidRPr="00AF0317">
        <w:rPr>
          <w:rFonts w:eastAsia="Calibri" w:cstheme="minorHAnsi"/>
          <w:sz w:val="21"/>
          <w:szCs w:val="21"/>
        </w:rPr>
        <w:t xml:space="preserve">. Under each outcome the </w:t>
      </w:r>
      <w:r w:rsidRPr="00AF0317">
        <w:rPr>
          <w:rFonts w:cstheme="minorHAnsi"/>
          <w:bCs/>
          <w:sz w:val="21"/>
          <w:szCs w:val="21"/>
        </w:rPr>
        <w:t xml:space="preserve">UN system will support the statistical institutions in BiH to strengthen data collection, monitoring, and reporting on the relevant SDGs, </w:t>
      </w:r>
      <w:r w:rsidRPr="007E4270">
        <w:rPr>
          <w:rFonts w:cstheme="minorHAnsi"/>
          <w:bCs/>
          <w:sz w:val="21"/>
          <w:szCs w:val="21"/>
        </w:rPr>
        <w:t>with a focus on addressing critical data gaps</w:t>
      </w:r>
      <w:r w:rsidR="000E0786" w:rsidRPr="007E4270">
        <w:rPr>
          <w:rFonts w:cstheme="minorHAnsi"/>
          <w:bCs/>
          <w:sz w:val="21"/>
          <w:szCs w:val="21"/>
        </w:rPr>
        <w:t xml:space="preserve"> </w:t>
      </w:r>
      <w:r w:rsidR="000E0786" w:rsidRPr="007E4270">
        <w:t xml:space="preserve">and </w:t>
      </w:r>
      <w:r w:rsidR="000E0786" w:rsidRPr="007E4270">
        <w:rPr>
          <w:rFonts w:cstheme="minorHAnsi"/>
          <w:bCs/>
          <w:sz w:val="21"/>
          <w:szCs w:val="21"/>
        </w:rPr>
        <w:t xml:space="preserve">leveraging qualitative data, from civil society organizations and </w:t>
      </w:r>
      <w:r w:rsidR="001367ED" w:rsidRPr="007E4270">
        <w:rPr>
          <w:rFonts w:cstheme="minorHAnsi"/>
          <w:bCs/>
          <w:sz w:val="21"/>
          <w:szCs w:val="21"/>
        </w:rPr>
        <w:t>the</w:t>
      </w:r>
      <w:r w:rsidR="000E0786" w:rsidRPr="007E4270">
        <w:rPr>
          <w:rFonts w:cstheme="minorHAnsi"/>
          <w:bCs/>
          <w:sz w:val="21"/>
          <w:szCs w:val="21"/>
        </w:rPr>
        <w:t xml:space="preserve"> Human Rights Institutions</w:t>
      </w:r>
      <w:r w:rsidR="001367ED" w:rsidRPr="007E4270">
        <w:rPr>
          <w:rFonts w:cstheme="minorHAnsi"/>
          <w:bCs/>
          <w:sz w:val="21"/>
          <w:szCs w:val="21"/>
        </w:rPr>
        <w:t xml:space="preserve"> in BiH</w:t>
      </w:r>
      <w:r w:rsidRPr="007E4270">
        <w:rPr>
          <w:rFonts w:cstheme="minorHAnsi"/>
          <w:bCs/>
          <w:sz w:val="21"/>
          <w:szCs w:val="21"/>
        </w:rPr>
        <w:t>.</w:t>
      </w:r>
    </w:p>
    <w:p w14:paraId="7B43A189" w14:textId="7542E7EA" w:rsidR="007A200F" w:rsidRPr="00253CA1" w:rsidRDefault="007A200F" w:rsidP="00D9559C">
      <w:pPr>
        <w:pStyle w:val="ListParagraph"/>
        <w:numPr>
          <w:ilvl w:val="0"/>
          <w:numId w:val="4"/>
        </w:numPr>
        <w:spacing w:after="240"/>
        <w:ind w:left="714" w:right="-360" w:hanging="357"/>
        <w:contextualSpacing w:val="0"/>
        <w:jc w:val="both"/>
        <w:rPr>
          <w:rFonts w:cstheme="minorHAnsi"/>
          <w:b/>
          <w:color w:val="0F243E" w:themeColor="text2" w:themeShade="80"/>
          <w:sz w:val="24"/>
        </w:rPr>
      </w:pPr>
      <w:r w:rsidRPr="007E4270">
        <w:rPr>
          <w:rFonts w:cstheme="minorHAnsi"/>
          <w:b/>
          <w:bCs/>
          <w:sz w:val="21"/>
          <w:szCs w:val="21"/>
        </w:rPr>
        <w:t xml:space="preserve">Capacity development </w:t>
      </w:r>
      <w:r w:rsidRPr="007E4270">
        <w:rPr>
          <w:rFonts w:cstheme="minorHAnsi"/>
          <w:bCs/>
          <w:sz w:val="21"/>
          <w:szCs w:val="21"/>
        </w:rPr>
        <w:t xml:space="preserve">is central to all programming approaches. For each priority, the UN system and BiH authorities will identify critical capacity gaps on the basis of </w:t>
      </w:r>
      <w:r w:rsidRPr="007E4270">
        <w:rPr>
          <w:rFonts w:cstheme="minorHAnsi"/>
          <w:sz w:val="21"/>
          <w:szCs w:val="21"/>
        </w:rPr>
        <w:t>capacity assessments and innovative measures to address institutional bottlenecks.</w:t>
      </w:r>
    </w:p>
    <w:p w14:paraId="22C801AF" w14:textId="77777777" w:rsidR="00253CA1" w:rsidRPr="007E4270" w:rsidRDefault="00253CA1" w:rsidP="00253CA1">
      <w:pPr>
        <w:pStyle w:val="ListParagraph"/>
        <w:numPr>
          <w:ilvl w:val="0"/>
          <w:numId w:val="0"/>
        </w:numPr>
        <w:spacing w:after="240"/>
        <w:ind w:left="714" w:right="-360"/>
        <w:contextualSpacing w:val="0"/>
        <w:jc w:val="both"/>
        <w:rPr>
          <w:rFonts w:cstheme="minorHAnsi"/>
          <w:b/>
          <w:color w:val="0F243E" w:themeColor="text2" w:themeShade="80"/>
          <w:sz w:val="24"/>
        </w:rPr>
      </w:pPr>
    </w:p>
    <w:p w14:paraId="49BF98A0" w14:textId="617E66ED" w:rsidR="004A3440" w:rsidRPr="00F40611" w:rsidRDefault="004A3440" w:rsidP="00D9559C">
      <w:pPr>
        <w:spacing w:after="120" w:line="240" w:lineRule="auto"/>
        <w:ind w:right="-360"/>
        <w:jc w:val="both"/>
        <w:rPr>
          <w:rFonts w:cstheme="minorHAnsi"/>
          <w:b/>
          <w:color w:val="0F243E" w:themeColor="text2" w:themeShade="80"/>
          <w:sz w:val="24"/>
          <w:szCs w:val="24"/>
        </w:rPr>
      </w:pPr>
      <w:r w:rsidRPr="00F40611">
        <w:rPr>
          <w:rFonts w:cstheme="minorHAnsi"/>
          <w:b/>
          <w:color w:val="0F243E" w:themeColor="text2" w:themeShade="80"/>
          <w:sz w:val="24"/>
          <w:szCs w:val="24"/>
        </w:rPr>
        <w:t>3.</w:t>
      </w:r>
      <w:r w:rsidR="001D5FF2">
        <w:rPr>
          <w:rFonts w:cstheme="minorHAnsi"/>
          <w:b/>
          <w:color w:val="0F243E" w:themeColor="text2" w:themeShade="80"/>
          <w:sz w:val="24"/>
          <w:szCs w:val="24"/>
        </w:rPr>
        <w:t>4</w:t>
      </w:r>
      <w:r w:rsidRPr="00F40611">
        <w:rPr>
          <w:rFonts w:cstheme="minorHAnsi"/>
          <w:b/>
          <w:color w:val="0F243E" w:themeColor="text2" w:themeShade="80"/>
          <w:sz w:val="24"/>
          <w:szCs w:val="24"/>
        </w:rPr>
        <w:t xml:space="preserve"> Cooperation </w:t>
      </w:r>
      <w:r w:rsidR="00DC51D1" w:rsidRPr="00F40611">
        <w:rPr>
          <w:rFonts w:cstheme="minorHAnsi"/>
          <w:b/>
          <w:color w:val="0F243E" w:themeColor="text2" w:themeShade="80"/>
          <w:sz w:val="24"/>
          <w:szCs w:val="24"/>
        </w:rPr>
        <w:t>o</w:t>
      </w:r>
      <w:r w:rsidRPr="00F40611">
        <w:rPr>
          <w:rFonts w:cstheme="minorHAnsi"/>
          <w:b/>
          <w:color w:val="0F243E" w:themeColor="text2" w:themeShade="80"/>
          <w:sz w:val="24"/>
          <w:szCs w:val="24"/>
        </w:rPr>
        <w:t>utcomes</w:t>
      </w:r>
      <w:r w:rsidR="00DC51D1" w:rsidRPr="00F40611">
        <w:rPr>
          <w:rFonts w:cstheme="minorHAnsi"/>
          <w:b/>
          <w:color w:val="0F243E" w:themeColor="text2" w:themeShade="80"/>
          <w:sz w:val="24"/>
          <w:szCs w:val="24"/>
        </w:rPr>
        <w:t xml:space="preserve"> </w:t>
      </w:r>
      <w:r w:rsidRPr="00F40611">
        <w:rPr>
          <w:rFonts w:cstheme="minorHAnsi"/>
          <w:b/>
          <w:color w:val="0F243E" w:themeColor="text2" w:themeShade="80"/>
          <w:sz w:val="24"/>
          <w:szCs w:val="24"/>
        </w:rPr>
        <w:t xml:space="preserve">  </w:t>
      </w:r>
      <w:r w:rsidRPr="00F40611">
        <w:rPr>
          <w:rFonts w:cstheme="minorHAnsi"/>
          <w:b/>
          <w:color w:val="0F243E" w:themeColor="text2" w:themeShade="80"/>
          <w:sz w:val="24"/>
          <w:szCs w:val="24"/>
        </w:rPr>
        <w:fldChar w:fldCharType="begin"/>
      </w:r>
      <w:r w:rsidRPr="00F40611">
        <w:rPr>
          <w:color w:val="0F243E" w:themeColor="text2" w:themeShade="80"/>
          <w:sz w:val="24"/>
          <w:szCs w:val="24"/>
        </w:rPr>
        <w:instrText xml:space="preserve"> TC "</w:instrText>
      </w:r>
      <w:bookmarkStart w:id="49" w:name="_Toc21777829"/>
      <w:bookmarkStart w:id="50" w:name="_Toc22898025"/>
      <w:bookmarkStart w:id="51" w:name="_Toc38899120"/>
      <w:r w:rsidRPr="00F40611">
        <w:rPr>
          <w:rFonts w:cstheme="minorHAnsi"/>
          <w:b/>
          <w:color w:val="0F243E" w:themeColor="text2" w:themeShade="80"/>
          <w:sz w:val="24"/>
          <w:szCs w:val="24"/>
        </w:rPr>
        <w:instrText>3.</w:instrText>
      </w:r>
      <w:r w:rsidR="001D5FF2">
        <w:rPr>
          <w:rFonts w:cstheme="minorHAnsi"/>
          <w:b/>
          <w:color w:val="0F243E" w:themeColor="text2" w:themeShade="80"/>
          <w:sz w:val="24"/>
          <w:szCs w:val="24"/>
        </w:rPr>
        <w:instrText>4</w:instrText>
      </w:r>
      <w:r w:rsidRPr="00F40611">
        <w:rPr>
          <w:rFonts w:cstheme="minorHAnsi"/>
          <w:b/>
          <w:color w:val="0F243E" w:themeColor="text2" w:themeShade="80"/>
          <w:sz w:val="24"/>
          <w:szCs w:val="24"/>
        </w:rPr>
        <w:instrText xml:space="preserve"> Cooperation </w:instrText>
      </w:r>
      <w:r w:rsidR="00147561" w:rsidRPr="00F40611">
        <w:rPr>
          <w:rFonts w:cstheme="minorHAnsi"/>
          <w:b/>
          <w:color w:val="0F243E" w:themeColor="text2" w:themeShade="80"/>
          <w:sz w:val="24"/>
          <w:szCs w:val="24"/>
        </w:rPr>
        <w:instrText>o</w:instrText>
      </w:r>
      <w:r w:rsidRPr="00F40611">
        <w:rPr>
          <w:rFonts w:cstheme="minorHAnsi"/>
          <w:b/>
          <w:color w:val="0F243E" w:themeColor="text2" w:themeShade="80"/>
          <w:sz w:val="24"/>
          <w:szCs w:val="24"/>
        </w:rPr>
        <w:instrText>utcomes</w:instrText>
      </w:r>
      <w:bookmarkEnd w:id="49"/>
      <w:r w:rsidR="00147561" w:rsidRPr="00F40611">
        <w:rPr>
          <w:rFonts w:cstheme="minorHAnsi"/>
          <w:b/>
          <w:color w:val="0F243E" w:themeColor="text2" w:themeShade="80"/>
          <w:sz w:val="24"/>
          <w:szCs w:val="24"/>
        </w:rPr>
        <w:instrText>, strategies, and partners</w:instrText>
      </w:r>
      <w:bookmarkEnd w:id="50"/>
      <w:bookmarkEnd w:id="51"/>
      <w:r w:rsidRPr="00F40611">
        <w:rPr>
          <w:color w:val="0F243E" w:themeColor="text2" w:themeShade="80"/>
          <w:sz w:val="24"/>
          <w:szCs w:val="24"/>
        </w:rPr>
        <w:instrText xml:space="preserve"> " \f C \l "2" </w:instrText>
      </w:r>
      <w:r w:rsidRPr="00F40611">
        <w:rPr>
          <w:rFonts w:cstheme="minorHAnsi"/>
          <w:b/>
          <w:color w:val="0F243E" w:themeColor="text2" w:themeShade="80"/>
          <w:sz w:val="24"/>
          <w:szCs w:val="24"/>
        </w:rPr>
        <w:fldChar w:fldCharType="end"/>
      </w:r>
    </w:p>
    <w:p w14:paraId="04EBFCC3" w14:textId="029D3DE2" w:rsidR="00117678" w:rsidRPr="00625553" w:rsidRDefault="00FB5221" w:rsidP="00B40D74">
      <w:pPr>
        <w:pStyle w:val="ListParagraph"/>
        <w:numPr>
          <w:ilvl w:val="0"/>
          <w:numId w:val="3"/>
        </w:numPr>
        <w:spacing w:after="120"/>
        <w:ind w:right="-360"/>
        <w:jc w:val="both"/>
        <w:rPr>
          <w:b/>
          <w:color w:val="0F243E" w:themeColor="text2" w:themeShade="80"/>
          <w:sz w:val="24"/>
        </w:rPr>
      </w:pPr>
      <w:r w:rsidRPr="00625553">
        <w:rPr>
          <w:rFonts w:cstheme="minorHAnsi"/>
          <w:sz w:val="21"/>
          <w:szCs w:val="21"/>
          <w:lang w:val="en-CA"/>
        </w:rPr>
        <w:t xml:space="preserve">Based upon on the </w:t>
      </w:r>
      <w:r w:rsidRPr="009575D9">
        <w:rPr>
          <w:rFonts w:cstheme="minorHAnsi"/>
          <w:sz w:val="21"/>
          <w:szCs w:val="21"/>
          <w:lang w:val="en-CA"/>
        </w:rPr>
        <w:t>theory of change and priorities</w:t>
      </w:r>
      <w:r w:rsidR="002C38CB" w:rsidRPr="009575D9">
        <w:rPr>
          <w:rFonts w:cstheme="minorHAnsi"/>
          <w:sz w:val="21"/>
          <w:szCs w:val="21"/>
          <w:lang w:val="en-CA"/>
        </w:rPr>
        <w:t xml:space="preserve"> in BiH</w:t>
      </w:r>
      <w:r w:rsidRPr="009575D9">
        <w:rPr>
          <w:rFonts w:cstheme="minorHAnsi"/>
          <w:sz w:val="21"/>
          <w:szCs w:val="21"/>
          <w:lang w:val="en-CA"/>
        </w:rPr>
        <w:t xml:space="preserve">, the following section describes the five outcomes for cooperation between </w:t>
      </w:r>
      <w:r w:rsidR="001367ED" w:rsidRPr="009575D9">
        <w:rPr>
          <w:rFonts w:cstheme="minorHAnsi"/>
          <w:sz w:val="21"/>
          <w:szCs w:val="21"/>
          <w:lang w:val="en-CA"/>
        </w:rPr>
        <w:t>the</w:t>
      </w:r>
      <w:r w:rsidRPr="009575D9">
        <w:rPr>
          <w:rFonts w:cstheme="minorHAnsi"/>
          <w:sz w:val="21"/>
          <w:szCs w:val="21"/>
          <w:lang w:val="en-CA"/>
        </w:rPr>
        <w:t xml:space="preserve"> authorities</w:t>
      </w:r>
      <w:r w:rsidR="001367ED" w:rsidRPr="009575D9">
        <w:rPr>
          <w:rFonts w:cstheme="minorHAnsi"/>
          <w:sz w:val="21"/>
          <w:szCs w:val="21"/>
          <w:lang w:val="en-CA"/>
        </w:rPr>
        <w:t xml:space="preserve"> in BiH</w:t>
      </w:r>
      <w:r w:rsidRPr="009575D9">
        <w:rPr>
          <w:rFonts w:cstheme="minorHAnsi"/>
          <w:sz w:val="21"/>
          <w:szCs w:val="21"/>
          <w:lang w:val="en-CA"/>
        </w:rPr>
        <w:t xml:space="preserve"> and the UN system</w:t>
      </w:r>
      <w:r w:rsidR="00C06633" w:rsidRPr="009575D9">
        <w:rPr>
          <w:rFonts w:cstheme="minorHAnsi"/>
          <w:sz w:val="21"/>
          <w:szCs w:val="21"/>
          <w:vertAlign w:val="superscript"/>
          <w:lang w:val="en-CA"/>
        </w:rPr>
        <w:footnoteReference w:id="92"/>
      </w:r>
      <w:r w:rsidRPr="009575D9">
        <w:rPr>
          <w:rFonts w:cstheme="minorHAnsi"/>
          <w:sz w:val="21"/>
          <w:szCs w:val="21"/>
          <w:lang w:val="en-CA"/>
        </w:rPr>
        <w:t>. Each section describes the</w:t>
      </w:r>
      <w:r w:rsidR="00892CA7" w:rsidRPr="009575D9">
        <w:rPr>
          <w:rFonts w:cstheme="minorHAnsi"/>
          <w:sz w:val="21"/>
          <w:szCs w:val="21"/>
          <w:lang w:val="en-CA"/>
        </w:rPr>
        <w:t xml:space="preserve"> theory of change</w:t>
      </w:r>
      <w:r w:rsidRPr="009575D9">
        <w:rPr>
          <w:rFonts w:cstheme="minorHAnsi"/>
          <w:sz w:val="21"/>
          <w:szCs w:val="21"/>
          <w:lang w:val="en-CA"/>
        </w:rPr>
        <w:t xml:space="preserve">, including the expected outcome, key indicators of progress, strategies and concrete conditions </w:t>
      </w:r>
      <w:r w:rsidRPr="009575D9">
        <w:rPr>
          <w:rFonts w:cstheme="minorHAnsi"/>
          <w:i/>
          <w:sz w:val="21"/>
          <w:szCs w:val="21"/>
          <w:lang w:val="en-CA"/>
        </w:rPr>
        <w:t>or</w:t>
      </w:r>
      <w:r w:rsidRPr="009575D9">
        <w:rPr>
          <w:rFonts w:cstheme="minorHAnsi"/>
          <w:sz w:val="21"/>
          <w:szCs w:val="21"/>
          <w:lang w:val="en-CA"/>
        </w:rPr>
        <w:t xml:space="preserve"> results expected from cooperation, that are essential for success. These concrete results are the </w:t>
      </w:r>
      <w:r w:rsidRPr="009575D9">
        <w:rPr>
          <w:rFonts w:cstheme="minorHAnsi"/>
          <w:b/>
          <w:sz w:val="21"/>
          <w:szCs w:val="21"/>
          <w:lang w:val="en-CA"/>
        </w:rPr>
        <w:t>key contributions</w:t>
      </w:r>
      <w:r w:rsidRPr="009575D9">
        <w:rPr>
          <w:rFonts w:cstheme="minorHAnsi"/>
          <w:sz w:val="21"/>
          <w:szCs w:val="21"/>
          <w:lang w:val="en-CA"/>
        </w:rPr>
        <w:t xml:space="preserve"> expected from UN system cooperation. </w:t>
      </w:r>
      <w:r w:rsidR="00C06633" w:rsidRPr="009575D9">
        <w:rPr>
          <w:rFonts w:cstheme="minorHAnsi"/>
          <w:sz w:val="21"/>
          <w:szCs w:val="21"/>
          <w:lang w:val="en-CA"/>
        </w:rPr>
        <w:t xml:space="preserve">Together these sections offer a more detailed </w:t>
      </w:r>
      <w:r w:rsidR="00A6441C" w:rsidRPr="009575D9">
        <w:rPr>
          <w:rFonts w:cstheme="minorHAnsi"/>
          <w:i/>
          <w:sz w:val="21"/>
          <w:szCs w:val="21"/>
          <w:lang w:val="en-CA"/>
        </w:rPr>
        <w:t>t</w:t>
      </w:r>
      <w:r w:rsidR="00C06633" w:rsidRPr="009575D9">
        <w:rPr>
          <w:rFonts w:cstheme="minorHAnsi"/>
          <w:i/>
          <w:sz w:val="21"/>
          <w:szCs w:val="21"/>
          <w:lang w:val="en-CA"/>
        </w:rPr>
        <w:t>heory of change</w:t>
      </w:r>
      <w:r w:rsidR="00C06633" w:rsidRPr="009575D9">
        <w:rPr>
          <w:rFonts w:cstheme="minorHAnsi"/>
          <w:sz w:val="21"/>
          <w:szCs w:val="21"/>
          <w:lang w:val="en-CA"/>
        </w:rPr>
        <w:t xml:space="preserve"> for how</w:t>
      </w:r>
      <w:r w:rsidR="00A14F5A" w:rsidRPr="009575D9">
        <w:rPr>
          <w:rFonts w:cstheme="minorHAnsi"/>
          <w:sz w:val="21"/>
          <w:szCs w:val="21"/>
          <w:lang w:val="en-CA"/>
        </w:rPr>
        <w:t xml:space="preserve"> cooperation between </w:t>
      </w:r>
      <w:r w:rsidR="001367ED" w:rsidRPr="009575D9">
        <w:rPr>
          <w:rFonts w:cstheme="minorHAnsi"/>
          <w:sz w:val="21"/>
          <w:szCs w:val="21"/>
          <w:lang w:val="en-CA"/>
        </w:rPr>
        <w:t>the</w:t>
      </w:r>
      <w:r w:rsidR="008C1408" w:rsidRPr="009575D9">
        <w:rPr>
          <w:rFonts w:cstheme="minorHAnsi"/>
          <w:sz w:val="21"/>
          <w:szCs w:val="21"/>
          <w:lang w:val="en-CA"/>
        </w:rPr>
        <w:t xml:space="preserve"> authorities</w:t>
      </w:r>
      <w:r w:rsidR="001367ED" w:rsidRPr="009575D9">
        <w:rPr>
          <w:rFonts w:cstheme="minorHAnsi"/>
          <w:sz w:val="21"/>
          <w:szCs w:val="21"/>
          <w:lang w:val="en-CA"/>
        </w:rPr>
        <w:t xml:space="preserve"> in BiH</w:t>
      </w:r>
      <w:r w:rsidR="00A14F5A" w:rsidRPr="009575D9">
        <w:rPr>
          <w:rFonts w:cstheme="minorHAnsi"/>
          <w:sz w:val="21"/>
          <w:szCs w:val="21"/>
          <w:lang w:val="en-CA"/>
        </w:rPr>
        <w:t xml:space="preserve"> and the UN system will </w:t>
      </w:r>
      <w:r w:rsidR="00C06633" w:rsidRPr="009575D9">
        <w:rPr>
          <w:rFonts w:cstheme="minorHAnsi"/>
          <w:i/>
          <w:sz w:val="21"/>
          <w:szCs w:val="21"/>
          <w:lang w:val="en-CA"/>
        </w:rPr>
        <w:t>catalyse</w:t>
      </w:r>
      <w:r w:rsidR="00C06633" w:rsidRPr="009575D9">
        <w:rPr>
          <w:rFonts w:cstheme="minorHAnsi"/>
          <w:sz w:val="21"/>
          <w:szCs w:val="21"/>
          <w:lang w:val="en-CA"/>
        </w:rPr>
        <w:t xml:space="preserve"> and </w:t>
      </w:r>
      <w:r w:rsidR="00C06633" w:rsidRPr="009575D9">
        <w:rPr>
          <w:rFonts w:cstheme="minorHAnsi"/>
          <w:i/>
          <w:sz w:val="21"/>
          <w:szCs w:val="21"/>
          <w:lang w:val="en-CA"/>
        </w:rPr>
        <w:t>contribute</w:t>
      </w:r>
      <w:r w:rsidR="00C06633" w:rsidRPr="009575D9">
        <w:rPr>
          <w:rFonts w:cstheme="minorHAnsi"/>
          <w:sz w:val="21"/>
          <w:szCs w:val="21"/>
          <w:lang w:val="en-CA"/>
        </w:rPr>
        <w:t xml:space="preserve"> to </w:t>
      </w:r>
      <w:r w:rsidR="00A14F5A" w:rsidRPr="009575D9">
        <w:rPr>
          <w:rFonts w:cstheme="minorHAnsi"/>
          <w:sz w:val="21"/>
          <w:szCs w:val="21"/>
          <w:lang w:val="en-CA"/>
        </w:rPr>
        <w:t>priorities</w:t>
      </w:r>
      <w:r w:rsidR="0049539F" w:rsidRPr="009575D9">
        <w:rPr>
          <w:rFonts w:cstheme="minorHAnsi"/>
          <w:sz w:val="21"/>
          <w:szCs w:val="21"/>
          <w:lang w:val="en-CA"/>
        </w:rPr>
        <w:t xml:space="preserve"> in BiH</w:t>
      </w:r>
      <w:r w:rsidR="00A14F5A" w:rsidRPr="009575D9">
        <w:rPr>
          <w:rFonts w:cstheme="minorHAnsi"/>
          <w:sz w:val="21"/>
          <w:szCs w:val="21"/>
          <w:lang w:val="en-CA"/>
        </w:rPr>
        <w:t xml:space="preserve">, including domesticated </w:t>
      </w:r>
      <w:r w:rsidR="00C06633" w:rsidRPr="009575D9">
        <w:rPr>
          <w:rFonts w:cstheme="minorHAnsi"/>
          <w:sz w:val="21"/>
          <w:szCs w:val="21"/>
          <w:lang w:val="en-CA"/>
        </w:rPr>
        <w:t>SDGs and targets.</w:t>
      </w:r>
      <w:r w:rsidR="0034791C" w:rsidRPr="009575D9">
        <w:rPr>
          <w:rFonts w:cstheme="minorHAnsi"/>
          <w:sz w:val="21"/>
          <w:szCs w:val="21"/>
          <w:lang w:val="en-CA"/>
        </w:rPr>
        <w:t xml:space="preserve">  </w:t>
      </w:r>
      <w:r w:rsidR="00C06633" w:rsidRPr="009575D9">
        <w:rPr>
          <w:rFonts w:cstheme="minorHAnsi"/>
          <w:sz w:val="21"/>
          <w:szCs w:val="21"/>
          <w:lang w:val="en-CA"/>
        </w:rPr>
        <w:t>The results matrix including indicators, baselines, targets, data</w:t>
      </w:r>
      <w:r w:rsidR="00C06633" w:rsidRPr="00625553">
        <w:rPr>
          <w:rFonts w:cstheme="minorHAnsi"/>
          <w:sz w:val="21"/>
          <w:szCs w:val="21"/>
          <w:lang w:val="en-CA"/>
        </w:rPr>
        <w:t xml:space="preserve"> sources, and partners is provided in </w:t>
      </w:r>
      <w:r w:rsidR="00C06633" w:rsidRPr="00625553">
        <w:rPr>
          <w:rFonts w:cstheme="minorHAnsi"/>
          <w:b/>
          <w:sz w:val="21"/>
          <w:szCs w:val="21"/>
          <w:lang w:val="en-CA"/>
        </w:rPr>
        <w:t xml:space="preserve">Annex </w:t>
      </w:r>
      <w:r w:rsidR="00117E69" w:rsidRPr="00625553">
        <w:rPr>
          <w:rFonts w:cstheme="minorHAnsi"/>
          <w:b/>
          <w:sz w:val="21"/>
          <w:szCs w:val="21"/>
          <w:lang w:val="en-CA"/>
        </w:rPr>
        <w:t>B</w:t>
      </w:r>
      <w:r w:rsidR="00C06633" w:rsidRPr="00625553">
        <w:rPr>
          <w:rFonts w:cstheme="minorHAnsi"/>
          <w:sz w:val="21"/>
          <w:szCs w:val="21"/>
          <w:lang w:val="en-CA"/>
        </w:rPr>
        <w:t>.</w:t>
      </w:r>
    </w:p>
    <w:p w14:paraId="6496DD4C" w14:textId="01FA9327" w:rsidR="002C7DC2" w:rsidRPr="00121927" w:rsidRDefault="00A543AA" w:rsidP="00D9559C">
      <w:pPr>
        <w:spacing w:after="120" w:line="240" w:lineRule="auto"/>
        <w:ind w:right="-360"/>
        <w:jc w:val="both"/>
        <w:rPr>
          <w:b/>
          <w:color w:val="0F243E" w:themeColor="text2" w:themeShade="80"/>
          <w:sz w:val="24"/>
          <w:szCs w:val="24"/>
        </w:rPr>
      </w:pPr>
      <w:r>
        <w:rPr>
          <w:b/>
          <w:color w:val="0F243E" w:themeColor="text2" w:themeShade="80"/>
          <w:sz w:val="24"/>
          <w:szCs w:val="24"/>
        </w:rPr>
        <w:t>I</w:t>
      </w:r>
      <w:r w:rsidR="002C7DC2" w:rsidRPr="00121927">
        <w:rPr>
          <w:b/>
          <w:color w:val="0F243E" w:themeColor="text2" w:themeShade="80"/>
          <w:sz w:val="24"/>
          <w:szCs w:val="24"/>
        </w:rPr>
        <w:t>. Sustainable, resilient and inclusive growth</w:t>
      </w:r>
      <w:r w:rsidR="00707381">
        <w:rPr>
          <w:b/>
          <w:color w:val="0F243E" w:themeColor="text2" w:themeShade="80"/>
          <w:sz w:val="24"/>
          <w:szCs w:val="24"/>
        </w:rPr>
        <w:fldChar w:fldCharType="begin"/>
      </w:r>
      <w:r w:rsidR="00707381">
        <w:instrText xml:space="preserve"> TC "</w:instrText>
      </w:r>
      <w:bookmarkStart w:id="52" w:name="_Toc38899121"/>
      <w:r w:rsidR="00707381" w:rsidRPr="00A84280">
        <w:rPr>
          <w:b/>
          <w:color w:val="0F243E" w:themeColor="text2" w:themeShade="80"/>
          <w:sz w:val="24"/>
          <w:szCs w:val="24"/>
        </w:rPr>
        <w:instrText>I. Sustainable, resilient and inclusive growth</w:instrText>
      </w:r>
      <w:bookmarkEnd w:id="52"/>
      <w:r w:rsidR="00707381">
        <w:instrText xml:space="preserve">" \f C \l "2" </w:instrText>
      </w:r>
      <w:r w:rsidR="00707381">
        <w:rPr>
          <w:b/>
          <w:color w:val="0F243E" w:themeColor="text2" w:themeShade="80"/>
          <w:sz w:val="24"/>
          <w:szCs w:val="24"/>
        </w:rPr>
        <w:fldChar w:fldCharType="end"/>
      </w:r>
      <w:r w:rsidR="002C7DC2" w:rsidRPr="00121927">
        <w:rPr>
          <w:b/>
          <w:color w:val="0F243E" w:themeColor="text2" w:themeShade="80"/>
          <w:sz w:val="24"/>
          <w:szCs w:val="24"/>
        </w:rPr>
        <w:t xml:space="preserve"> </w:t>
      </w:r>
    </w:p>
    <w:tbl>
      <w:tblPr>
        <w:tblStyle w:val="TableGrid"/>
        <w:tblW w:w="9356" w:type="dxa"/>
        <w:tblInd w:w="108" w:type="dxa"/>
        <w:tblBorders>
          <w:left w:val="none" w:sz="0" w:space="0" w:color="auto"/>
          <w:right w:val="none" w:sz="0" w:space="0" w:color="auto"/>
        </w:tblBorders>
        <w:shd w:val="clear" w:color="auto" w:fill="C6D9F1" w:themeFill="text2" w:themeFillTint="33"/>
        <w:tblLook w:val="04A0" w:firstRow="1" w:lastRow="0" w:firstColumn="1" w:lastColumn="0" w:noHBand="0" w:noVBand="1"/>
      </w:tblPr>
      <w:tblGrid>
        <w:gridCol w:w="9356"/>
      </w:tblGrid>
      <w:tr w:rsidR="00121927" w:rsidRPr="00A1653F" w14:paraId="596BCC7D" w14:textId="77777777" w:rsidTr="00197F4E">
        <w:trPr>
          <w:trHeight w:val="311"/>
        </w:trPr>
        <w:tc>
          <w:tcPr>
            <w:tcW w:w="9356"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3DC8BF9D" w14:textId="4DAE0938" w:rsidR="00121927" w:rsidRPr="00A1653F" w:rsidRDefault="00121927" w:rsidP="00D9559C">
            <w:pPr>
              <w:spacing w:before="120" w:after="120"/>
              <w:ind w:right="-360"/>
              <w:jc w:val="both"/>
              <w:rPr>
                <w:rFonts w:cstheme="minorHAnsi"/>
                <w:i/>
                <w:color w:val="0F243E" w:themeColor="text2" w:themeShade="80"/>
                <w:sz w:val="21"/>
                <w:szCs w:val="21"/>
              </w:rPr>
            </w:pPr>
            <w:r w:rsidRPr="00A1653F">
              <w:rPr>
                <w:rFonts w:cstheme="minorHAnsi"/>
                <w:b/>
                <w:sz w:val="21"/>
                <w:szCs w:val="21"/>
              </w:rPr>
              <w:t xml:space="preserve">Outcome 1. </w:t>
            </w:r>
            <w:r w:rsidRPr="00A1653F">
              <w:rPr>
                <w:rFonts w:cstheme="minorHAnsi"/>
                <w:bCs/>
                <w:sz w:val="21"/>
                <w:szCs w:val="21"/>
              </w:rPr>
              <w:t>By 2025, people benefit from resilient, inclusive and sustainable growth ensured by the convergence of economic development and management of environment and cultural resources</w:t>
            </w:r>
          </w:p>
        </w:tc>
      </w:tr>
    </w:tbl>
    <w:p w14:paraId="6CB28C43" w14:textId="5C7C0E2E" w:rsidR="002C7DC2" w:rsidRPr="009168BC" w:rsidRDefault="004650F3" w:rsidP="00D9559C">
      <w:pPr>
        <w:spacing w:before="120" w:after="120" w:line="240" w:lineRule="auto"/>
        <w:ind w:right="-360"/>
        <w:jc w:val="both"/>
        <w:rPr>
          <w:rFonts w:cstheme="minorHAnsi"/>
          <w:color w:val="0F243E" w:themeColor="text2" w:themeShade="80"/>
        </w:rPr>
      </w:pPr>
      <w:r>
        <w:rPr>
          <w:rFonts w:cstheme="minorHAnsi"/>
          <w:b/>
          <w:color w:val="0F243E" w:themeColor="text2" w:themeShade="80"/>
        </w:rPr>
        <w:t>T</w:t>
      </w:r>
      <w:r w:rsidR="002C7DC2" w:rsidRPr="009168BC">
        <w:rPr>
          <w:rFonts w:cstheme="minorHAnsi"/>
          <w:b/>
          <w:color w:val="0F243E" w:themeColor="text2" w:themeShade="80"/>
        </w:rPr>
        <w:t xml:space="preserve">heory of change </w:t>
      </w:r>
    </w:p>
    <w:p w14:paraId="5D38D6F6" w14:textId="278554BA" w:rsidR="00C96893" w:rsidRPr="00197F4E" w:rsidRDefault="004E0FF0" w:rsidP="00D9559C">
      <w:pPr>
        <w:pStyle w:val="ListParagraph"/>
        <w:numPr>
          <w:ilvl w:val="0"/>
          <w:numId w:val="3"/>
        </w:numPr>
        <w:spacing w:after="120"/>
        <w:ind w:right="-360"/>
        <w:contextualSpacing w:val="0"/>
        <w:jc w:val="both"/>
        <w:rPr>
          <w:rFonts w:cstheme="minorHAnsi"/>
          <w:sz w:val="21"/>
          <w:szCs w:val="21"/>
        </w:rPr>
      </w:pPr>
      <w:r w:rsidRPr="00197F4E">
        <w:rPr>
          <w:rFonts w:cstheme="minorHAnsi"/>
          <w:sz w:val="21"/>
          <w:szCs w:val="21"/>
          <w:lang w:eastAsia="en-CA"/>
        </w:rPr>
        <w:t xml:space="preserve">The theory of change underlying this outcome is that </w:t>
      </w:r>
      <w:r w:rsidRPr="00197F4E">
        <w:rPr>
          <w:rFonts w:cstheme="minorHAnsi"/>
          <w:sz w:val="21"/>
          <w:szCs w:val="21"/>
        </w:rPr>
        <w:t>economic growth will be made more resilient, inclusive and sustainable</w:t>
      </w:r>
      <w:r w:rsidRPr="00197F4E">
        <w:rPr>
          <w:rFonts w:cstheme="minorHAnsi"/>
          <w:sz w:val="21"/>
          <w:szCs w:val="21"/>
          <w:lang w:eastAsia="en-CA"/>
        </w:rPr>
        <w:t xml:space="preserve"> by the </w:t>
      </w:r>
      <w:r w:rsidR="002C7DC2" w:rsidRPr="00197F4E">
        <w:rPr>
          <w:rFonts w:cstheme="minorHAnsi"/>
          <w:sz w:val="21"/>
          <w:szCs w:val="21"/>
          <w:lang w:eastAsia="en-CA"/>
        </w:rPr>
        <w:t>design and implement</w:t>
      </w:r>
      <w:r w:rsidRPr="00197F4E">
        <w:rPr>
          <w:rFonts w:cstheme="minorHAnsi"/>
          <w:sz w:val="21"/>
          <w:szCs w:val="21"/>
          <w:lang w:eastAsia="en-CA"/>
        </w:rPr>
        <w:t xml:space="preserve">ation of </w:t>
      </w:r>
      <w:r w:rsidR="002C7DC2" w:rsidRPr="00197F4E">
        <w:rPr>
          <w:rFonts w:cstheme="minorHAnsi"/>
          <w:sz w:val="21"/>
          <w:szCs w:val="21"/>
        </w:rPr>
        <w:t xml:space="preserve">reforms </w:t>
      </w:r>
      <w:r w:rsidR="004B1EE7" w:rsidRPr="00197F4E">
        <w:rPr>
          <w:rFonts w:cstheme="minorHAnsi"/>
          <w:sz w:val="21"/>
          <w:szCs w:val="21"/>
        </w:rPr>
        <w:t xml:space="preserve">to </w:t>
      </w:r>
      <w:r w:rsidR="00F54690" w:rsidRPr="00197F4E">
        <w:rPr>
          <w:rFonts w:cstheme="minorHAnsi"/>
          <w:sz w:val="21"/>
          <w:szCs w:val="21"/>
        </w:rPr>
        <w:t xml:space="preserve">promote </w:t>
      </w:r>
      <w:r w:rsidR="004B1EE7" w:rsidRPr="00197F4E">
        <w:rPr>
          <w:rFonts w:cstheme="minorHAnsi"/>
          <w:sz w:val="21"/>
          <w:szCs w:val="21"/>
        </w:rPr>
        <w:t xml:space="preserve">the </w:t>
      </w:r>
      <w:r w:rsidR="00C96893" w:rsidRPr="00197F4E">
        <w:rPr>
          <w:rFonts w:cstheme="minorHAnsi"/>
          <w:sz w:val="21"/>
          <w:szCs w:val="21"/>
        </w:rPr>
        <w:t xml:space="preserve">shift toward a low-carbon economy. The UN system will support a </w:t>
      </w:r>
      <w:r w:rsidR="00C96893" w:rsidRPr="00197F4E">
        <w:rPr>
          <w:rFonts w:cstheme="minorHAnsi"/>
          <w:sz w:val="21"/>
          <w:szCs w:val="21"/>
          <w:lang w:val="en-CA"/>
        </w:rPr>
        <w:t xml:space="preserve">stronger policy and regulatory environment </w:t>
      </w:r>
      <w:r w:rsidR="00C96893" w:rsidRPr="00197F4E">
        <w:rPr>
          <w:rFonts w:cstheme="minorHAnsi"/>
          <w:sz w:val="21"/>
          <w:szCs w:val="21"/>
        </w:rPr>
        <w:t>and stimulus measures to enable low-carbon development, spur business development and increased competitiveness, and support the creation of green and decent jobs, complemented by environmental action</w:t>
      </w:r>
      <w:r w:rsidR="007D29F4">
        <w:rPr>
          <w:rFonts w:cstheme="minorHAnsi"/>
          <w:sz w:val="21"/>
          <w:szCs w:val="21"/>
        </w:rPr>
        <w:t>.</w:t>
      </w:r>
      <w:r w:rsidR="004563E8">
        <w:rPr>
          <w:rFonts w:cstheme="minorHAnsi"/>
          <w:sz w:val="21"/>
          <w:szCs w:val="21"/>
        </w:rPr>
        <w:t xml:space="preserve">  </w:t>
      </w:r>
      <w:r w:rsidR="001973DE">
        <w:rPr>
          <w:rFonts w:cstheme="minorHAnsi"/>
          <w:sz w:val="21"/>
          <w:szCs w:val="21"/>
        </w:rPr>
        <w:t>T</w:t>
      </w:r>
      <w:r w:rsidR="004563E8">
        <w:rPr>
          <w:rFonts w:cstheme="minorHAnsi"/>
          <w:sz w:val="21"/>
          <w:szCs w:val="21"/>
        </w:rPr>
        <w:t xml:space="preserve">he COVID-19 response and recovery </w:t>
      </w:r>
      <w:r w:rsidR="00840A58">
        <w:rPr>
          <w:rFonts w:cstheme="minorHAnsi"/>
          <w:sz w:val="21"/>
          <w:szCs w:val="21"/>
        </w:rPr>
        <w:t xml:space="preserve">stimulus measures </w:t>
      </w:r>
      <w:r w:rsidR="004563E8">
        <w:rPr>
          <w:rFonts w:cstheme="minorHAnsi"/>
          <w:sz w:val="21"/>
          <w:szCs w:val="21"/>
        </w:rPr>
        <w:t>provide an opportunity</w:t>
      </w:r>
      <w:r w:rsidR="00840A58">
        <w:rPr>
          <w:rFonts w:cstheme="minorHAnsi"/>
          <w:sz w:val="21"/>
          <w:szCs w:val="21"/>
        </w:rPr>
        <w:t xml:space="preserve"> to further advance the climate friendly </w:t>
      </w:r>
      <w:r w:rsidR="00C476A1">
        <w:rPr>
          <w:rFonts w:cstheme="minorHAnsi"/>
          <w:sz w:val="21"/>
          <w:szCs w:val="21"/>
        </w:rPr>
        <w:t>technologies and</w:t>
      </w:r>
      <w:r w:rsidR="00307B87">
        <w:rPr>
          <w:rFonts w:cstheme="minorHAnsi"/>
          <w:sz w:val="21"/>
          <w:szCs w:val="21"/>
        </w:rPr>
        <w:t xml:space="preserve"> approaches to </w:t>
      </w:r>
      <w:r w:rsidR="000208B2">
        <w:rPr>
          <w:rFonts w:cstheme="minorHAnsi"/>
          <w:sz w:val="21"/>
          <w:szCs w:val="21"/>
        </w:rPr>
        <w:t xml:space="preserve">climate change, </w:t>
      </w:r>
      <w:r w:rsidR="00CA70A3">
        <w:rPr>
          <w:rFonts w:cstheme="minorHAnsi"/>
          <w:sz w:val="21"/>
          <w:szCs w:val="21"/>
        </w:rPr>
        <w:t xml:space="preserve">environment protection and </w:t>
      </w:r>
      <w:r w:rsidR="00297128">
        <w:rPr>
          <w:rFonts w:cstheme="minorHAnsi"/>
          <w:sz w:val="21"/>
          <w:szCs w:val="21"/>
        </w:rPr>
        <w:t>reversal of biodiversity losses</w:t>
      </w:r>
      <w:r w:rsidR="0092411F">
        <w:rPr>
          <w:rFonts w:cstheme="minorHAnsi"/>
          <w:sz w:val="21"/>
          <w:szCs w:val="21"/>
        </w:rPr>
        <w:t xml:space="preserve"> as stipulated in the recent call by the UN Secretary-General</w:t>
      </w:r>
      <w:r w:rsidR="0092411F">
        <w:rPr>
          <w:rStyle w:val="FootnoteReference"/>
          <w:rFonts w:cstheme="minorHAnsi"/>
          <w:sz w:val="21"/>
          <w:szCs w:val="21"/>
        </w:rPr>
        <w:footnoteReference w:id="93"/>
      </w:r>
      <w:r w:rsidR="00297128">
        <w:rPr>
          <w:rFonts w:cstheme="minorHAnsi"/>
          <w:sz w:val="21"/>
          <w:szCs w:val="21"/>
        </w:rPr>
        <w:t>.</w:t>
      </w:r>
      <w:r w:rsidR="00D10AB6">
        <w:rPr>
          <w:rFonts w:cstheme="minorHAnsi"/>
          <w:sz w:val="21"/>
          <w:szCs w:val="21"/>
        </w:rPr>
        <w:t xml:space="preserve"> </w:t>
      </w:r>
      <w:r w:rsidR="00C476A1">
        <w:rPr>
          <w:rFonts w:cstheme="minorHAnsi"/>
          <w:sz w:val="21"/>
          <w:szCs w:val="21"/>
        </w:rPr>
        <w:t xml:space="preserve"> </w:t>
      </w:r>
      <w:r w:rsidR="004563E8">
        <w:rPr>
          <w:rFonts w:cstheme="minorHAnsi"/>
          <w:sz w:val="21"/>
          <w:szCs w:val="21"/>
        </w:rPr>
        <w:t xml:space="preserve"> </w:t>
      </w:r>
    </w:p>
    <w:p w14:paraId="18BBD0DA" w14:textId="7B7E321D" w:rsidR="0084610D" w:rsidRPr="00197F4E" w:rsidRDefault="002C7DC2" w:rsidP="00D9559C">
      <w:pPr>
        <w:pStyle w:val="ListParagraph"/>
        <w:numPr>
          <w:ilvl w:val="0"/>
          <w:numId w:val="3"/>
        </w:numPr>
        <w:spacing w:after="120"/>
        <w:ind w:right="-360"/>
        <w:contextualSpacing w:val="0"/>
        <w:jc w:val="both"/>
        <w:rPr>
          <w:rFonts w:cstheme="minorHAnsi"/>
          <w:sz w:val="21"/>
          <w:szCs w:val="21"/>
        </w:rPr>
      </w:pPr>
      <w:r w:rsidRPr="00197F4E">
        <w:rPr>
          <w:rFonts w:cstheme="minorHAnsi"/>
          <w:sz w:val="21"/>
          <w:szCs w:val="21"/>
          <w:lang w:eastAsia="en-CA"/>
        </w:rPr>
        <w:t>The outcome will make an important contribution to the implementation of reform priorities for sustainable economic growth and opportunities for young people, women and vulnerable groups.</w:t>
      </w:r>
      <w:r w:rsidR="00A22B99" w:rsidRPr="00197F4E">
        <w:rPr>
          <w:rFonts w:cstheme="minorHAnsi"/>
          <w:sz w:val="21"/>
          <w:szCs w:val="21"/>
          <w:lang w:eastAsia="en-CA"/>
        </w:rPr>
        <w:t xml:space="preserve"> </w:t>
      </w:r>
      <w:r w:rsidR="0084610D" w:rsidRPr="00197F4E">
        <w:rPr>
          <w:rFonts w:cstheme="minorHAnsi"/>
          <w:sz w:val="21"/>
          <w:szCs w:val="21"/>
          <w:lang w:eastAsia="en-CA"/>
        </w:rPr>
        <w:t>Accelerated economic diversification and more widely shared prosperity in BiH will also depend upon the sustainable management of its natural wealth</w:t>
      </w:r>
      <w:r w:rsidR="004E0FF0" w:rsidRPr="00197F4E">
        <w:rPr>
          <w:rFonts w:cstheme="minorHAnsi"/>
          <w:sz w:val="21"/>
          <w:szCs w:val="21"/>
          <w:lang w:eastAsia="en-CA"/>
        </w:rPr>
        <w:t>.</w:t>
      </w:r>
      <w:r w:rsidR="0084610D" w:rsidRPr="00197F4E">
        <w:rPr>
          <w:rFonts w:cstheme="minorHAnsi"/>
          <w:sz w:val="21"/>
          <w:szCs w:val="21"/>
          <w:lang w:eastAsia="en-CA"/>
        </w:rPr>
        <w:t xml:space="preserve"> </w:t>
      </w:r>
      <w:r w:rsidR="002421CD" w:rsidRPr="00197F4E">
        <w:rPr>
          <w:rFonts w:cstheme="minorHAnsi"/>
          <w:sz w:val="21"/>
          <w:szCs w:val="21"/>
          <w:lang w:eastAsia="en-CA"/>
        </w:rPr>
        <w:t>Linking economy and environment, the co</w:t>
      </w:r>
      <w:r w:rsidR="0084610D" w:rsidRPr="00197F4E">
        <w:rPr>
          <w:rFonts w:cstheme="minorHAnsi"/>
          <w:sz w:val="21"/>
          <w:szCs w:val="21"/>
          <w:lang w:eastAsia="en-CA"/>
        </w:rPr>
        <w:t xml:space="preserve">operation outcome will support the design and implementation of more integrated and inclusive policies and programmes for the management of </w:t>
      </w:r>
      <w:r w:rsidR="0084610D" w:rsidRPr="00197F4E">
        <w:rPr>
          <w:rFonts w:cstheme="minorHAnsi"/>
          <w:sz w:val="21"/>
          <w:szCs w:val="21"/>
        </w:rPr>
        <w:t>environment, agriculture, and culture resources.</w:t>
      </w:r>
      <w:r w:rsidR="0084610D" w:rsidRPr="00197F4E">
        <w:rPr>
          <w:rFonts w:cstheme="minorHAnsi"/>
          <w:sz w:val="21"/>
          <w:szCs w:val="21"/>
          <w:lang w:eastAsia="en-CA"/>
        </w:rPr>
        <w:t xml:space="preserve"> BiH and UN cooperation will focus on building tangible bridges between sectoral policy-making bodies for coordinated implementation of natural and cultural resource </w:t>
      </w:r>
      <w:r w:rsidR="0084610D" w:rsidRPr="009575D9">
        <w:rPr>
          <w:rFonts w:cstheme="minorHAnsi"/>
          <w:sz w:val="21"/>
          <w:szCs w:val="21"/>
          <w:lang w:eastAsia="en-CA"/>
        </w:rPr>
        <w:t>management policies and plans, in line with the EU and international standards.</w:t>
      </w:r>
      <w:r w:rsidR="00993985" w:rsidRPr="009575D9">
        <w:rPr>
          <w:rFonts w:cstheme="minorHAnsi"/>
          <w:sz w:val="21"/>
          <w:szCs w:val="21"/>
          <w:lang w:eastAsia="en-CA"/>
        </w:rPr>
        <w:t xml:space="preserve"> Cooperation is also expected to support </w:t>
      </w:r>
      <w:r w:rsidR="00370E6A" w:rsidRPr="009575D9">
        <w:rPr>
          <w:rFonts w:cstheme="minorHAnsi"/>
          <w:sz w:val="21"/>
          <w:szCs w:val="21"/>
          <w:lang w:eastAsia="en-CA"/>
        </w:rPr>
        <w:t>the</w:t>
      </w:r>
      <w:r w:rsidR="00993985" w:rsidRPr="009575D9">
        <w:rPr>
          <w:rFonts w:cstheme="minorHAnsi"/>
          <w:sz w:val="21"/>
          <w:szCs w:val="21"/>
          <w:lang w:eastAsia="en-CA"/>
        </w:rPr>
        <w:t xml:space="preserve"> authorities</w:t>
      </w:r>
      <w:r w:rsidR="00370E6A" w:rsidRPr="009575D9">
        <w:rPr>
          <w:rFonts w:cstheme="minorHAnsi"/>
          <w:sz w:val="21"/>
          <w:szCs w:val="21"/>
          <w:lang w:eastAsia="en-CA"/>
        </w:rPr>
        <w:t xml:space="preserve"> in BiH</w:t>
      </w:r>
      <w:r w:rsidR="00993985" w:rsidRPr="009575D9">
        <w:rPr>
          <w:rFonts w:cstheme="minorHAnsi"/>
          <w:sz w:val="21"/>
          <w:szCs w:val="21"/>
          <w:lang w:eastAsia="en-CA"/>
        </w:rPr>
        <w:t xml:space="preserve"> to implement recommendations from the </w:t>
      </w:r>
      <w:r w:rsidR="00744652" w:rsidRPr="009575D9">
        <w:rPr>
          <w:rFonts w:cstheme="minorHAnsi"/>
          <w:sz w:val="21"/>
          <w:szCs w:val="21"/>
          <w:lang w:eastAsia="en-CA"/>
        </w:rPr>
        <w:t xml:space="preserve">2020 </w:t>
      </w:r>
      <w:r w:rsidR="00993985" w:rsidRPr="009575D9">
        <w:rPr>
          <w:rFonts w:cstheme="minorHAnsi"/>
          <w:sz w:val="21"/>
          <w:szCs w:val="21"/>
          <w:lang w:eastAsia="en-CA"/>
        </w:rPr>
        <w:t>Universal Periodic Review (UPR) to promote sustainable economic and social</w:t>
      </w:r>
      <w:r w:rsidR="00993985" w:rsidRPr="00197F4E">
        <w:rPr>
          <w:rFonts w:cstheme="minorHAnsi"/>
          <w:sz w:val="21"/>
          <w:szCs w:val="21"/>
          <w:lang w:eastAsia="en-CA"/>
        </w:rPr>
        <w:t xml:space="preserve"> development, providing a solid foundation for the enjoyment of people’s rights</w:t>
      </w:r>
      <w:r w:rsidR="00993985" w:rsidRPr="00197F4E">
        <w:rPr>
          <w:rStyle w:val="FootnoteReference"/>
          <w:rFonts w:cstheme="minorHAnsi"/>
          <w:sz w:val="21"/>
          <w:szCs w:val="21"/>
          <w:lang w:eastAsia="en-CA"/>
        </w:rPr>
        <w:footnoteReference w:id="94"/>
      </w:r>
      <w:r w:rsidR="00993985" w:rsidRPr="00197F4E">
        <w:rPr>
          <w:rFonts w:cstheme="minorHAnsi"/>
          <w:sz w:val="21"/>
          <w:szCs w:val="21"/>
          <w:lang w:eastAsia="en-CA"/>
        </w:rPr>
        <w:t xml:space="preserve">. </w:t>
      </w:r>
    </w:p>
    <w:p w14:paraId="784809A4" w14:textId="77777777" w:rsidR="002C7DC2" w:rsidRPr="00197F4E" w:rsidRDefault="002C7DC2" w:rsidP="00D9559C">
      <w:pPr>
        <w:pStyle w:val="ListParagraph"/>
        <w:numPr>
          <w:ilvl w:val="0"/>
          <w:numId w:val="3"/>
        </w:numPr>
        <w:spacing w:after="60"/>
        <w:ind w:right="-360"/>
        <w:contextualSpacing w:val="0"/>
        <w:jc w:val="both"/>
        <w:rPr>
          <w:rFonts w:cstheme="minorHAnsi"/>
          <w:sz w:val="21"/>
          <w:szCs w:val="21"/>
          <w:lang w:val="en-CA"/>
        </w:rPr>
      </w:pPr>
      <w:r w:rsidRPr="00197F4E">
        <w:rPr>
          <w:rFonts w:ascii="Calibri" w:hAnsi="Calibri"/>
          <w:sz w:val="21"/>
          <w:szCs w:val="21"/>
        </w:rPr>
        <w:t xml:space="preserve">By 2025, the success of BiH and UN cooperation efforts will be seen in: </w:t>
      </w:r>
    </w:p>
    <w:p w14:paraId="7EA6DF98" w14:textId="619B5365" w:rsidR="002C7DC2" w:rsidRPr="00197F4E" w:rsidRDefault="002C7DC2" w:rsidP="00D9559C">
      <w:pPr>
        <w:pStyle w:val="ListParagraph"/>
        <w:numPr>
          <w:ilvl w:val="0"/>
          <w:numId w:val="5"/>
        </w:numPr>
        <w:spacing w:before="40" w:after="40"/>
        <w:ind w:right="-360"/>
        <w:contextualSpacing w:val="0"/>
        <w:jc w:val="both"/>
        <w:rPr>
          <w:sz w:val="21"/>
          <w:szCs w:val="21"/>
        </w:rPr>
      </w:pPr>
      <w:r w:rsidRPr="00197F4E">
        <w:rPr>
          <w:rFonts w:cstheme="minorHAnsi"/>
          <w:sz w:val="21"/>
          <w:szCs w:val="21"/>
        </w:rPr>
        <w:t xml:space="preserve">More SMEs registered in emerging </w:t>
      </w:r>
      <w:r w:rsidR="00C96893" w:rsidRPr="00197F4E">
        <w:rPr>
          <w:rFonts w:cstheme="minorHAnsi"/>
          <w:sz w:val="21"/>
          <w:szCs w:val="21"/>
        </w:rPr>
        <w:t xml:space="preserve">fast growing, low carbon </w:t>
      </w:r>
      <w:r w:rsidRPr="00197F4E">
        <w:rPr>
          <w:rFonts w:cstheme="minorHAnsi"/>
          <w:sz w:val="21"/>
          <w:szCs w:val="21"/>
        </w:rPr>
        <w:t>economy sectors,</w:t>
      </w:r>
    </w:p>
    <w:p w14:paraId="55CCDF3D" w14:textId="77777777" w:rsidR="00B346C9" w:rsidRPr="00197F4E" w:rsidRDefault="002C7DC2" w:rsidP="00D9559C">
      <w:pPr>
        <w:pStyle w:val="ListParagraph"/>
        <w:numPr>
          <w:ilvl w:val="0"/>
          <w:numId w:val="5"/>
        </w:numPr>
        <w:spacing w:before="40" w:after="40"/>
        <w:ind w:right="-360"/>
        <w:contextualSpacing w:val="0"/>
        <w:jc w:val="both"/>
        <w:rPr>
          <w:sz w:val="21"/>
          <w:szCs w:val="21"/>
        </w:rPr>
      </w:pPr>
      <w:r w:rsidRPr="00197F4E">
        <w:rPr>
          <w:rFonts w:cstheme="minorHAnsi"/>
          <w:sz w:val="21"/>
          <w:szCs w:val="21"/>
        </w:rPr>
        <w:t xml:space="preserve">More of these firms with female participation in ownership or leadership positions, </w:t>
      </w:r>
    </w:p>
    <w:p w14:paraId="62DCD6B5" w14:textId="0F9821CC" w:rsidR="002C7DC2" w:rsidRPr="009D6F29" w:rsidRDefault="00B346C9" w:rsidP="00D9559C">
      <w:pPr>
        <w:pStyle w:val="ListParagraph"/>
        <w:numPr>
          <w:ilvl w:val="0"/>
          <w:numId w:val="5"/>
        </w:numPr>
        <w:spacing w:before="40" w:after="40"/>
        <w:ind w:right="-360"/>
        <w:contextualSpacing w:val="0"/>
        <w:jc w:val="both"/>
        <w:rPr>
          <w:sz w:val="21"/>
          <w:szCs w:val="21"/>
        </w:rPr>
      </w:pPr>
      <w:r w:rsidRPr="009D6F29">
        <w:rPr>
          <w:rFonts w:cstheme="minorHAnsi"/>
          <w:sz w:val="21"/>
          <w:szCs w:val="21"/>
        </w:rPr>
        <w:t>More working places made available for members of vulnerable groups</w:t>
      </w:r>
      <w:r w:rsidR="00BF58D3" w:rsidRPr="009D6F29">
        <w:rPr>
          <w:rFonts w:cstheme="minorHAnsi"/>
          <w:sz w:val="21"/>
          <w:szCs w:val="21"/>
        </w:rPr>
        <w:t>,</w:t>
      </w:r>
      <w:r w:rsidRPr="009D6F29">
        <w:rPr>
          <w:rFonts w:cstheme="minorHAnsi"/>
          <w:sz w:val="21"/>
          <w:szCs w:val="21"/>
        </w:rPr>
        <w:t xml:space="preserve"> </w:t>
      </w:r>
    </w:p>
    <w:p w14:paraId="4D25CDC5" w14:textId="77777777" w:rsidR="002C7DC2" w:rsidRPr="009D6F29" w:rsidRDefault="002C7DC2" w:rsidP="00D9559C">
      <w:pPr>
        <w:pStyle w:val="ListParagraph"/>
        <w:numPr>
          <w:ilvl w:val="0"/>
          <w:numId w:val="5"/>
        </w:numPr>
        <w:spacing w:before="40" w:after="40"/>
        <w:ind w:right="-360"/>
        <w:contextualSpacing w:val="0"/>
        <w:jc w:val="both"/>
        <w:rPr>
          <w:sz w:val="21"/>
          <w:szCs w:val="21"/>
        </w:rPr>
      </w:pPr>
      <w:r w:rsidRPr="009D6F29">
        <w:rPr>
          <w:rFonts w:cstheme="minorHAnsi"/>
          <w:sz w:val="21"/>
          <w:szCs w:val="21"/>
        </w:rPr>
        <w:t xml:space="preserve">The existence of innovation and R&amp;D strategies with costed action plans for targeted sectors and enhanced implementation of fiscal strategy and measures to promote innovation and R&amp;D spending, especially for </w:t>
      </w:r>
      <w:hyperlink r:id="rId29" w:history="1">
        <w:r w:rsidRPr="009D6F29">
          <w:rPr>
            <w:rStyle w:val="Hyperlink"/>
            <w:rFonts w:cstheme="minorHAnsi"/>
            <w:sz w:val="21"/>
            <w:szCs w:val="21"/>
          </w:rPr>
          <w:t>sustainable consumption and production</w:t>
        </w:r>
      </w:hyperlink>
      <w:r w:rsidRPr="009D6F29">
        <w:rPr>
          <w:rFonts w:cstheme="minorHAnsi"/>
          <w:sz w:val="21"/>
          <w:szCs w:val="21"/>
        </w:rPr>
        <w:t xml:space="preserve"> and ‘green’ business practices,</w:t>
      </w:r>
    </w:p>
    <w:p w14:paraId="3E53ED9C" w14:textId="1EDB4314" w:rsidR="002C7DC2" w:rsidRPr="009D6F29" w:rsidRDefault="002C7DC2" w:rsidP="00D9559C">
      <w:pPr>
        <w:pStyle w:val="ListParagraph"/>
        <w:numPr>
          <w:ilvl w:val="0"/>
          <w:numId w:val="5"/>
        </w:numPr>
        <w:spacing w:after="60"/>
        <w:ind w:right="-360" w:hanging="357"/>
        <w:contextualSpacing w:val="0"/>
        <w:jc w:val="both"/>
        <w:rPr>
          <w:sz w:val="21"/>
          <w:szCs w:val="21"/>
        </w:rPr>
      </w:pPr>
      <w:r w:rsidRPr="009D6F29">
        <w:rPr>
          <w:rFonts w:ascii="Calibri" w:hAnsi="Calibri"/>
          <w:sz w:val="21"/>
          <w:szCs w:val="21"/>
        </w:rPr>
        <w:t>An increase in the number of public-private partnerships (PPP) and start-ups in emerging areas such as renewable energy, green building technologies, biotech to improve agri-business and information and communications technologies (ICTs).</w:t>
      </w:r>
    </w:p>
    <w:p w14:paraId="34CF5ADB" w14:textId="5CA913A1" w:rsidR="0084610D" w:rsidRPr="009D6F29" w:rsidRDefault="0084610D" w:rsidP="00D9559C">
      <w:pPr>
        <w:pStyle w:val="ListParagraph"/>
        <w:numPr>
          <w:ilvl w:val="0"/>
          <w:numId w:val="5"/>
        </w:numPr>
        <w:spacing w:before="40" w:after="40"/>
        <w:ind w:right="-360"/>
        <w:contextualSpacing w:val="0"/>
        <w:jc w:val="both"/>
        <w:rPr>
          <w:sz w:val="21"/>
          <w:szCs w:val="21"/>
        </w:rPr>
      </w:pPr>
      <w:r w:rsidRPr="009D6F29">
        <w:rPr>
          <w:rFonts w:cstheme="minorHAnsi"/>
          <w:sz w:val="21"/>
          <w:szCs w:val="21"/>
        </w:rPr>
        <w:t xml:space="preserve">Stronger alignment of existing policy and legal frameworks for environment, </w:t>
      </w:r>
      <w:r w:rsidR="00911B66" w:rsidRPr="009D6F29">
        <w:rPr>
          <w:rFonts w:cstheme="minorHAnsi"/>
          <w:sz w:val="21"/>
          <w:szCs w:val="21"/>
        </w:rPr>
        <w:t xml:space="preserve">sustainable forest management, </w:t>
      </w:r>
      <w:r w:rsidRPr="009D6F29">
        <w:rPr>
          <w:rFonts w:cstheme="minorHAnsi"/>
          <w:sz w:val="21"/>
          <w:szCs w:val="21"/>
        </w:rPr>
        <w:t>agriculture, and culture, with EU and international standards, including for gender equality and women’s empowerment,</w:t>
      </w:r>
    </w:p>
    <w:p w14:paraId="11DD4D97" w14:textId="77777777" w:rsidR="0084610D" w:rsidRPr="009D6F29" w:rsidRDefault="0084610D" w:rsidP="00D9559C">
      <w:pPr>
        <w:pStyle w:val="ListParagraph"/>
        <w:numPr>
          <w:ilvl w:val="0"/>
          <w:numId w:val="5"/>
        </w:numPr>
        <w:spacing w:before="40" w:after="40"/>
        <w:ind w:right="-360"/>
        <w:contextualSpacing w:val="0"/>
        <w:jc w:val="both"/>
        <w:rPr>
          <w:sz w:val="21"/>
          <w:szCs w:val="21"/>
        </w:rPr>
      </w:pPr>
      <w:r w:rsidRPr="009D6F29">
        <w:rPr>
          <w:rFonts w:cstheme="minorHAnsi"/>
          <w:sz w:val="21"/>
          <w:szCs w:val="21"/>
        </w:rPr>
        <w:t>Expansion and adequate management and funding of protected areas, in partnership with civil society and the private sector,</w:t>
      </w:r>
    </w:p>
    <w:p w14:paraId="71F65F03" w14:textId="77777777" w:rsidR="0084610D" w:rsidRPr="009575D9" w:rsidRDefault="0084610D" w:rsidP="00D9559C">
      <w:pPr>
        <w:pStyle w:val="ListParagraph"/>
        <w:numPr>
          <w:ilvl w:val="0"/>
          <w:numId w:val="5"/>
        </w:numPr>
        <w:spacing w:before="40" w:after="40"/>
        <w:ind w:right="-360"/>
        <w:contextualSpacing w:val="0"/>
        <w:jc w:val="both"/>
        <w:rPr>
          <w:sz w:val="21"/>
          <w:szCs w:val="21"/>
        </w:rPr>
      </w:pPr>
      <w:r w:rsidRPr="009D6F29">
        <w:rPr>
          <w:rFonts w:cstheme="minorHAnsi"/>
          <w:sz w:val="21"/>
          <w:szCs w:val="21"/>
        </w:rPr>
        <w:t xml:space="preserve">Action plans to explore and tap into potential growth in sustainable agri-business and tourism, linked with effective </w:t>
      </w:r>
      <w:r w:rsidRPr="009575D9">
        <w:rPr>
          <w:rFonts w:cstheme="minorHAnsi"/>
          <w:sz w:val="21"/>
          <w:szCs w:val="21"/>
        </w:rPr>
        <w:t>management of environmental and cultural resources,</w:t>
      </w:r>
    </w:p>
    <w:p w14:paraId="13A7E908" w14:textId="7A1237A8" w:rsidR="0084610D" w:rsidRPr="009575D9" w:rsidRDefault="0084610D" w:rsidP="00D9559C">
      <w:pPr>
        <w:pStyle w:val="ListParagraph"/>
        <w:numPr>
          <w:ilvl w:val="0"/>
          <w:numId w:val="5"/>
        </w:numPr>
        <w:spacing w:before="40" w:after="120"/>
        <w:ind w:right="-360"/>
        <w:contextualSpacing w:val="0"/>
        <w:jc w:val="both"/>
        <w:rPr>
          <w:sz w:val="21"/>
          <w:szCs w:val="21"/>
        </w:rPr>
      </w:pPr>
      <w:r w:rsidRPr="009575D9">
        <w:rPr>
          <w:rFonts w:cstheme="minorHAnsi"/>
          <w:sz w:val="21"/>
          <w:szCs w:val="21"/>
        </w:rPr>
        <w:t xml:space="preserve">More </w:t>
      </w:r>
      <w:r w:rsidR="00B667DC" w:rsidRPr="009575D9">
        <w:rPr>
          <w:rFonts w:cstheme="minorHAnsi"/>
          <w:sz w:val="21"/>
          <w:szCs w:val="21"/>
        </w:rPr>
        <w:t xml:space="preserve">local governments </w:t>
      </w:r>
      <w:r w:rsidRPr="009575D9">
        <w:rPr>
          <w:rFonts w:cstheme="minorHAnsi"/>
          <w:sz w:val="21"/>
          <w:szCs w:val="21"/>
        </w:rPr>
        <w:t xml:space="preserve">implementing action plans to strengthen their preparedness and response to natural </w:t>
      </w:r>
      <w:r w:rsidR="005710D0" w:rsidRPr="009575D9">
        <w:rPr>
          <w:rFonts w:cstheme="minorHAnsi"/>
          <w:sz w:val="21"/>
          <w:szCs w:val="21"/>
        </w:rPr>
        <w:t xml:space="preserve">hazards </w:t>
      </w:r>
      <w:r w:rsidR="00911B66" w:rsidRPr="009575D9">
        <w:rPr>
          <w:rFonts w:cstheme="minorHAnsi"/>
          <w:sz w:val="21"/>
          <w:szCs w:val="21"/>
        </w:rPr>
        <w:t>and industrial accidents</w:t>
      </w:r>
      <w:r w:rsidR="00C358F1" w:rsidRPr="009575D9">
        <w:rPr>
          <w:rFonts w:cstheme="minorHAnsi"/>
          <w:sz w:val="21"/>
          <w:szCs w:val="21"/>
        </w:rPr>
        <w:t>, including radiation emergency preparedness and radon exposure control</w:t>
      </w:r>
      <w:r w:rsidRPr="009575D9">
        <w:rPr>
          <w:rFonts w:cstheme="minorHAnsi"/>
          <w:sz w:val="21"/>
          <w:szCs w:val="21"/>
        </w:rPr>
        <w:t>, with the cooperation of civil society.</w:t>
      </w:r>
    </w:p>
    <w:p w14:paraId="2BA3A3F6" w14:textId="4B534530" w:rsidR="002C7DC2" w:rsidRPr="009575D9" w:rsidRDefault="0084610D" w:rsidP="00D9559C">
      <w:pPr>
        <w:pStyle w:val="ListParagraph"/>
        <w:numPr>
          <w:ilvl w:val="0"/>
          <w:numId w:val="3"/>
        </w:numPr>
        <w:spacing w:after="120"/>
        <w:ind w:right="-360"/>
        <w:contextualSpacing w:val="0"/>
        <w:jc w:val="both"/>
        <w:rPr>
          <w:rFonts w:cstheme="minorHAnsi"/>
          <w:sz w:val="21"/>
          <w:szCs w:val="21"/>
        </w:rPr>
      </w:pPr>
      <w:r w:rsidRPr="009575D9">
        <w:rPr>
          <w:rFonts w:cstheme="minorHAnsi"/>
          <w:sz w:val="21"/>
          <w:szCs w:val="21"/>
        </w:rPr>
        <w:t xml:space="preserve">This is a complex and highly inter-connected area for cooperation. </w:t>
      </w:r>
      <w:r w:rsidR="002C7DC2" w:rsidRPr="009575D9">
        <w:rPr>
          <w:rFonts w:cstheme="minorHAnsi"/>
          <w:sz w:val="21"/>
          <w:szCs w:val="21"/>
        </w:rPr>
        <w:t xml:space="preserve">There are </w:t>
      </w:r>
      <w:r w:rsidR="0024684C" w:rsidRPr="009575D9">
        <w:rPr>
          <w:rFonts w:cstheme="minorHAnsi"/>
          <w:b/>
          <w:sz w:val="21"/>
          <w:szCs w:val="21"/>
        </w:rPr>
        <w:t>six</w:t>
      </w:r>
      <w:r w:rsidR="002C7DC2" w:rsidRPr="009575D9">
        <w:rPr>
          <w:rFonts w:cstheme="minorHAnsi"/>
          <w:b/>
          <w:sz w:val="21"/>
          <w:szCs w:val="21"/>
        </w:rPr>
        <w:t xml:space="preserve"> </w:t>
      </w:r>
      <w:r w:rsidR="0024684C" w:rsidRPr="009575D9">
        <w:rPr>
          <w:rFonts w:cstheme="minorHAnsi"/>
          <w:b/>
          <w:sz w:val="21"/>
          <w:szCs w:val="21"/>
        </w:rPr>
        <w:t xml:space="preserve">necessary </w:t>
      </w:r>
      <w:r w:rsidR="002C7DC2" w:rsidRPr="009575D9">
        <w:rPr>
          <w:rFonts w:cstheme="minorHAnsi"/>
          <w:b/>
          <w:sz w:val="21"/>
          <w:szCs w:val="21"/>
        </w:rPr>
        <w:t>conditions</w:t>
      </w:r>
      <w:r w:rsidR="002C7DC2" w:rsidRPr="009575D9">
        <w:rPr>
          <w:rFonts w:cstheme="minorHAnsi"/>
          <w:sz w:val="21"/>
          <w:szCs w:val="21"/>
        </w:rPr>
        <w:t xml:space="preserve"> to</w:t>
      </w:r>
      <w:r w:rsidR="0024684C" w:rsidRPr="009575D9">
        <w:rPr>
          <w:rFonts w:cstheme="minorHAnsi"/>
          <w:sz w:val="21"/>
          <w:szCs w:val="21"/>
        </w:rPr>
        <w:t xml:space="preserve"> establish the institutional foundations and </w:t>
      </w:r>
      <w:r w:rsidR="002C7DC2" w:rsidRPr="009575D9">
        <w:rPr>
          <w:rFonts w:cstheme="minorHAnsi"/>
          <w:sz w:val="21"/>
          <w:szCs w:val="21"/>
        </w:rPr>
        <w:t xml:space="preserve">provide the right incentives and market signals for a more dynamic, growing economy and the creation of decent jobs. Close cooperation between </w:t>
      </w:r>
      <w:r w:rsidR="00CE56E4" w:rsidRPr="009575D9">
        <w:rPr>
          <w:rFonts w:cstheme="minorHAnsi"/>
          <w:sz w:val="21"/>
          <w:szCs w:val="21"/>
        </w:rPr>
        <w:t>the</w:t>
      </w:r>
      <w:r w:rsidR="008C1408" w:rsidRPr="009575D9">
        <w:rPr>
          <w:rFonts w:cstheme="minorHAnsi"/>
          <w:sz w:val="21"/>
          <w:szCs w:val="21"/>
        </w:rPr>
        <w:t xml:space="preserve"> authorities</w:t>
      </w:r>
      <w:r w:rsidR="00CE56E4" w:rsidRPr="009575D9">
        <w:rPr>
          <w:rFonts w:cstheme="minorHAnsi"/>
          <w:sz w:val="21"/>
          <w:szCs w:val="21"/>
        </w:rPr>
        <w:t xml:space="preserve"> in BiH</w:t>
      </w:r>
      <w:r w:rsidR="002C7DC2" w:rsidRPr="009575D9">
        <w:rPr>
          <w:rFonts w:cstheme="minorHAnsi"/>
          <w:sz w:val="21"/>
          <w:szCs w:val="21"/>
        </w:rPr>
        <w:t xml:space="preserve">, the UN and other partners in the private sector and civil society will produce </w:t>
      </w:r>
      <w:r w:rsidR="002C7DC2" w:rsidRPr="009575D9">
        <w:rPr>
          <w:color w:val="000000" w:themeColor="text1"/>
          <w:sz w:val="21"/>
          <w:szCs w:val="21"/>
        </w:rPr>
        <w:t>t</w:t>
      </w:r>
      <w:r w:rsidR="002C7DC2" w:rsidRPr="009575D9">
        <w:rPr>
          <w:rFonts w:cstheme="minorHAnsi"/>
          <w:sz w:val="21"/>
          <w:szCs w:val="21"/>
        </w:rPr>
        <w:t xml:space="preserve">angible new skills and abilities, products and services to support these conditions: </w:t>
      </w:r>
    </w:p>
    <w:p w14:paraId="4285B947" w14:textId="7A076820" w:rsidR="00450C0B" w:rsidRPr="00197F4E" w:rsidRDefault="002C7DC2" w:rsidP="00D9559C">
      <w:pPr>
        <w:pStyle w:val="ListParagraph"/>
        <w:numPr>
          <w:ilvl w:val="0"/>
          <w:numId w:val="3"/>
        </w:numPr>
        <w:spacing w:after="120"/>
        <w:ind w:right="-360"/>
        <w:contextualSpacing w:val="0"/>
        <w:jc w:val="both"/>
        <w:rPr>
          <w:rFonts w:cstheme="minorHAnsi"/>
          <w:sz w:val="21"/>
          <w:szCs w:val="21"/>
        </w:rPr>
      </w:pPr>
      <w:r w:rsidRPr="009575D9">
        <w:rPr>
          <w:sz w:val="21"/>
          <w:szCs w:val="21"/>
        </w:rPr>
        <w:t xml:space="preserve">First, </w:t>
      </w:r>
      <w:r w:rsidRPr="009575D9">
        <w:rPr>
          <w:b/>
          <w:bCs/>
          <w:sz w:val="21"/>
          <w:szCs w:val="21"/>
        </w:rPr>
        <w:t>enterprise transformation strateg</w:t>
      </w:r>
      <w:r w:rsidR="00566A61" w:rsidRPr="009575D9">
        <w:rPr>
          <w:b/>
          <w:bCs/>
          <w:sz w:val="21"/>
          <w:szCs w:val="21"/>
        </w:rPr>
        <w:t>ies</w:t>
      </w:r>
      <w:r w:rsidRPr="009575D9">
        <w:rPr>
          <w:b/>
          <w:bCs/>
          <w:sz w:val="21"/>
          <w:szCs w:val="21"/>
        </w:rPr>
        <w:t xml:space="preserve"> and framework</w:t>
      </w:r>
      <w:r w:rsidR="00566A61" w:rsidRPr="009575D9">
        <w:rPr>
          <w:b/>
          <w:bCs/>
          <w:sz w:val="21"/>
          <w:szCs w:val="21"/>
        </w:rPr>
        <w:t>s</w:t>
      </w:r>
      <w:r w:rsidRPr="009575D9">
        <w:rPr>
          <w:bCs/>
          <w:sz w:val="21"/>
          <w:szCs w:val="21"/>
        </w:rPr>
        <w:t xml:space="preserve"> </w:t>
      </w:r>
      <w:r w:rsidR="00566A61" w:rsidRPr="009575D9">
        <w:rPr>
          <w:bCs/>
          <w:sz w:val="21"/>
          <w:szCs w:val="21"/>
        </w:rPr>
        <w:t>are</w:t>
      </w:r>
      <w:r w:rsidRPr="009575D9">
        <w:rPr>
          <w:bCs/>
          <w:sz w:val="21"/>
          <w:szCs w:val="21"/>
        </w:rPr>
        <w:t xml:space="preserve"> needed</w:t>
      </w:r>
      <w:r w:rsidR="00692744" w:rsidRPr="009575D9">
        <w:rPr>
          <w:bCs/>
          <w:sz w:val="21"/>
          <w:szCs w:val="21"/>
        </w:rPr>
        <w:t xml:space="preserve"> in BiH</w:t>
      </w:r>
      <w:r w:rsidRPr="009575D9">
        <w:rPr>
          <w:bCs/>
          <w:sz w:val="21"/>
          <w:szCs w:val="21"/>
        </w:rPr>
        <w:t xml:space="preserve">, </w:t>
      </w:r>
      <w:r w:rsidR="00566A61" w:rsidRPr="009575D9">
        <w:rPr>
          <w:bCs/>
          <w:sz w:val="21"/>
          <w:szCs w:val="21"/>
        </w:rPr>
        <w:t>focused on SMEs</w:t>
      </w:r>
      <w:r w:rsidR="005C5471" w:rsidRPr="009575D9">
        <w:rPr>
          <w:bCs/>
          <w:sz w:val="21"/>
          <w:szCs w:val="21"/>
        </w:rPr>
        <w:t xml:space="preserve"> and increased business competitiveness</w:t>
      </w:r>
      <w:r w:rsidR="00566A61" w:rsidRPr="009575D9">
        <w:rPr>
          <w:bCs/>
          <w:sz w:val="21"/>
          <w:szCs w:val="21"/>
        </w:rPr>
        <w:t>. These</w:t>
      </w:r>
      <w:r w:rsidRPr="009575D9">
        <w:rPr>
          <w:bCs/>
          <w:sz w:val="21"/>
          <w:szCs w:val="21"/>
        </w:rPr>
        <w:t xml:space="preserve"> will provide fiscal and other programmatic incentives (e.g. business incubator and development services) that </w:t>
      </w:r>
      <w:r w:rsidR="00473438" w:rsidRPr="009575D9">
        <w:rPr>
          <w:bCs/>
          <w:sz w:val="21"/>
          <w:szCs w:val="21"/>
        </w:rPr>
        <w:t xml:space="preserve">promote low-carbon production, </w:t>
      </w:r>
      <w:r w:rsidRPr="009575D9">
        <w:rPr>
          <w:bCs/>
          <w:sz w:val="21"/>
          <w:szCs w:val="21"/>
        </w:rPr>
        <w:t xml:space="preserve">increase </w:t>
      </w:r>
      <w:r w:rsidRPr="009575D9">
        <w:rPr>
          <w:iCs/>
          <w:sz w:val="21"/>
          <w:szCs w:val="21"/>
        </w:rPr>
        <w:t xml:space="preserve">productivity, provide access to financing and technology, and facilitate entry to EU markets.  </w:t>
      </w:r>
      <w:r w:rsidR="001A3142" w:rsidRPr="009575D9">
        <w:rPr>
          <w:rFonts w:eastAsia="Calibri" w:cstheme="minorHAnsi"/>
          <w:noProof/>
          <w:sz w:val="21"/>
          <w:szCs w:val="21"/>
        </w:rPr>
        <w:t xml:space="preserve">SMEs will be among some of the hardest hit by the economic impacts of the Coronavirus pandemic and urgent stimulus measures are needed to avoid bankruptcies and long-term unemployment. </w:t>
      </w:r>
      <w:r w:rsidRPr="009575D9">
        <w:rPr>
          <w:sz w:val="21"/>
          <w:szCs w:val="21"/>
        </w:rPr>
        <w:t>A</w:t>
      </w:r>
      <w:r w:rsidRPr="009575D9">
        <w:rPr>
          <w:iCs/>
          <w:sz w:val="21"/>
          <w:szCs w:val="21"/>
        </w:rPr>
        <w:t>ttention will be focused on tailoring incentives and supports for women, young people, and marginalized groups. A key element of the strategy is reform of industrial and business regulations</w:t>
      </w:r>
      <w:r w:rsidRPr="009575D9">
        <w:rPr>
          <w:rFonts w:ascii="Calibri" w:hAnsi="Calibri"/>
          <w:color w:val="000000"/>
          <w:sz w:val="21"/>
          <w:szCs w:val="21"/>
          <w:lang w:val="en-GB"/>
        </w:rPr>
        <w:t xml:space="preserve"> and standards to promote sustainable consumption</w:t>
      </w:r>
      <w:r w:rsidRPr="009D6F29">
        <w:rPr>
          <w:rFonts w:ascii="Calibri" w:hAnsi="Calibri"/>
          <w:color w:val="000000"/>
          <w:sz w:val="21"/>
          <w:szCs w:val="21"/>
          <w:lang w:val="en-GB"/>
        </w:rPr>
        <w:t xml:space="preserve"> and production (SCP) and green business practices. This will involve a ‘</w:t>
      </w:r>
      <w:r w:rsidRPr="009D6F29">
        <w:rPr>
          <w:sz w:val="21"/>
          <w:szCs w:val="21"/>
        </w:rPr>
        <w:t xml:space="preserve">green’ economy jobs assessment including a gaps analysis related to technology and financing. </w:t>
      </w:r>
      <w:r w:rsidR="00F44B9C">
        <w:rPr>
          <w:sz w:val="21"/>
          <w:szCs w:val="21"/>
        </w:rPr>
        <w:t xml:space="preserve">The authorities in </w:t>
      </w:r>
      <w:r w:rsidR="003355D6">
        <w:rPr>
          <w:sz w:val="21"/>
          <w:szCs w:val="21"/>
        </w:rPr>
        <w:t>BiH</w:t>
      </w:r>
      <w:r w:rsidR="0024684C" w:rsidRPr="009D6F29">
        <w:rPr>
          <w:sz w:val="21"/>
          <w:szCs w:val="21"/>
        </w:rPr>
        <w:t xml:space="preserve"> require enhanced planning and implementation capacities for green growth, enhanced water management and agricultural development. </w:t>
      </w:r>
      <w:r w:rsidR="0024684C" w:rsidRPr="009D6F29">
        <w:rPr>
          <w:rFonts w:cstheme="minorHAnsi"/>
          <w:sz w:val="21"/>
          <w:szCs w:val="21"/>
          <w:lang w:val="en-GB"/>
        </w:rPr>
        <w:t xml:space="preserve">Critically, the </w:t>
      </w:r>
      <w:r w:rsidR="0024684C" w:rsidRPr="009D6F29">
        <w:rPr>
          <w:rFonts w:cstheme="minorHAnsi"/>
          <w:i/>
          <w:sz w:val="21"/>
          <w:szCs w:val="21"/>
          <w:lang w:val="en-GB"/>
        </w:rPr>
        <w:t>gender dimensions of ‘management’</w:t>
      </w:r>
      <w:r w:rsidR="0024684C" w:rsidRPr="009D6F29">
        <w:rPr>
          <w:rFonts w:cstheme="minorHAnsi"/>
          <w:sz w:val="21"/>
          <w:szCs w:val="21"/>
          <w:lang w:val="en-GB"/>
        </w:rPr>
        <w:t xml:space="preserve"> need to be examined in policy, programmes and budgets in order to </w:t>
      </w:r>
      <w:r w:rsidR="0024684C" w:rsidRPr="00197F4E">
        <w:rPr>
          <w:rFonts w:cstheme="minorHAnsi"/>
          <w:sz w:val="21"/>
          <w:szCs w:val="21"/>
          <w:lang w:val="en-GB"/>
        </w:rPr>
        <w:t>address systematic barriers that prevent women from taking a fuller role in environmental management and agri-business.</w:t>
      </w:r>
    </w:p>
    <w:p w14:paraId="097A02F6" w14:textId="7E931C80" w:rsidR="002C7DC2" w:rsidRPr="00197F4E" w:rsidRDefault="002C7DC2" w:rsidP="00D9559C">
      <w:pPr>
        <w:pStyle w:val="ListParagraph"/>
        <w:numPr>
          <w:ilvl w:val="0"/>
          <w:numId w:val="3"/>
        </w:numPr>
        <w:spacing w:after="120"/>
        <w:ind w:right="-360"/>
        <w:contextualSpacing w:val="0"/>
        <w:jc w:val="both"/>
        <w:rPr>
          <w:rFonts w:cstheme="minorBidi"/>
          <w:sz w:val="21"/>
          <w:szCs w:val="21"/>
        </w:rPr>
      </w:pPr>
      <w:r w:rsidRPr="00197F4E">
        <w:rPr>
          <w:rFonts w:cstheme="minorHAnsi"/>
          <w:sz w:val="21"/>
          <w:szCs w:val="21"/>
        </w:rPr>
        <w:t xml:space="preserve">Second, regulations, procedures, and services for the </w:t>
      </w:r>
      <w:r w:rsidRPr="00197F4E">
        <w:rPr>
          <w:rFonts w:cstheme="minorHAnsi"/>
          <w:b/>
          <w:sz w:val="21"/>
          <w:szCs w:val="21"/>
        </w:rPr>
        <w:t>start-up of new businesses</w:t>
      </w:r>
      <w:r w:rsidRPr="00197F4E">
        <w:rPr>
          <w:rFonts w:cstheme="minorHAnsi"/>
          <w:sz w:val="21"/>
          <w:szCs w:val="21"/>
        </w:rPr>
        <w:t xml:space="preserve"> and access to training and credit and will be made simpler and more easily accessible on e-government </w:t>
      </w:r>
      <w:r w:rsidRPr="009575D9">
        <w:rPr>
          <w:rFonts w:cstheme="minorHAnsi"/>
          <w:sz w:val="21"/>
          <w:szCs w:val="21"/>
        </w:rPr>
        <w:t xml:space="preserve">platforms. </w:t>
      </w:r>
      <w:r w:rsidR="00992656" w:rsidRPr="009575D9">
        <w:rPr>
          <w:rFonts w:cstheme="minorHAnsi"/>
          <w:sz w:val="21"/>
          <w:szCs w:val="21"/>
        </w:rPr>
        <w:t xml:space="preserve">The </w:t>
      </w:r>
      <w:r w:rsidR="008C1408" w:rsidRPr="009575D9">
        <w:rPr>
          <w:rFonts w:cstheme="minorHAnsi"/>
          <w:sz w:val="21"/>
          <w:szCs w:val="21"/>
        </w:rPr>
        <w:t>authorities</w:t>
      </w:r>
      <w:r w:rsidR="00992656" w:rsidRPr="009575D9">
        <w:rPr>
          <w:rFonts w:cstheme="minorHAnsi"/>
          <w:sz w:val="21"/>
          <w:szCs w:val="21"/>
        </w:rPr>
        <w:t xml:space="preserve"> in BiH</w:t>
      </w:r>
      <w:r w:rsidRPr="009575D9">
        <w:rPr>
          <w:rFonts w:cstheme="minorHAnsi"/>
          <w:sz w:val="21"/>
          <w:szCs w:val="21"/>
        </w:rPr>
        <w:t xml:space="preserve"> and the </w:t>
      </w:r>
      <w:r w:rsidRPr="009575D9">
        <w:rPr>
          <w:bCs/>
          <w:sz w:val="21"/>
          <w:szCs w:val="21"/>
        </w:rPr>
        <w:t xml:space="preserve">UN support the design and implementation of the </w:t>
      </w:r>
      <w:r w:rsidRPr="009575D9">
        <w:rPr>
          <w:b/>
          <w:bCs/>
          <w:sz w:val="21"/>
          <w:szCs w:val="21"/>
        </w:rPr>
        <w:t xml:space="preserve">E-government strategy &amp; policy </w:t>
      </w:r>
      <w:r w:rsidRPr="009575D9">
        <w:rPr>
          <w:bCs/>
          <w:sz w:val="21"/>
          <w:szCs w:val="21"/>
        </w:rPr>
        <w:t>to ensure that</w:t>
      </w:r>
      <w:r w:rsidRPr="009575D9">
        <w:rPr>
          <w:b/>
          <w:bCs/>
          <w:sz w:val="21"/>
          <w:szCs w:val="21"/>
        </w:rPr>
        <w:t xml:space="preserve"> </w:t>
      </w:r>
      <w:r w:rsidRPr="009575D9">
        <w:rPr>
          <w:sz w:val="21"/>
          <w:szCs w:val="21"/>
        </w:rPr>
        <w:t xml:space="preserve">systems are accessible, secure, user and mobile friendly. </w:t>
      </w:r>
      <w:r w:rsidRPr="009575D9">
        <w:rPr>
          <w:rFonts w:cstheme="minorHAnsi"/>
          <w:sz w:val="21"/>
          <w:szCs w:val="21"/>
        </w:rPr>
        <w:t>Q</w:t>
      </w:r>
      <w:r w:rsidRPr="009575D9">
        <w:rPr>
          <w:rFonts w:cstheme="minorHAnsi"/>
          <w:bCs/>
          <w:sz w:val="21"/>
          <w:szCs w:val="21"/>
        </w:rPr>
        <w:t xml:space="preserve">uality entrepreneurship and business development services will be made available and expanded through ‘one-stop-shop’ service centers that can also support more </w:t>
      </w:r>
      <w:r w:rsidRPr="009575D9">
        <w:rPr>
          <w:bCs/>
          <w:sz w:val="21"/>
          <w:szCs w:val="21"/>
        </w:rPr>
        <w:t>aggressive adoption of</w:t>
      </w:r>
      <w:r w:rsidRPr="009575D9">
        <w:rPr>
          <w:sz w:val="21"/>
          <w:szCs w:val="21"/>
        </w:rPr>
        <w:t xml:space="preserve"> </w:t>
      </w:r>
      <w:r w:rsidRPr="009575D9">
        <w:rPr>
          <w:bCs/>
          <w:sz w:val="21"/>
          <w:szCs w:val="21"/>
        </w:rPr>
        <w:t xml:space="preserve">ICT. </w:t>
      </w:r>
      <w:r w:rsidR="00473438" w:rsidRPr="009575D9">
        <w:rPr>
          <w:bCs/>
          <w:sz w:val="21"/>
          <w:szCs w:val="21"/>
        </w:rPr>
        <w:t xml:space="preserve"> The </w:t>
      </w:r>
      <w:r w:rsidR="00473438" w:rsidRPr="009575D9">
        <w:rPr>
          <w:sz w:val="21"/>
          <w:szCs w:val="21"/>
        </w:rPr>
        <w:t xml:space="preserve">UN system will support </w:t>
      </w:r>
      <w:r w:rsidR="00992656" w:rsidRPr="009575D9">
        <w:rPr>
          <w:sz w:val="21"/>
          <w:szCs w:val="21"/>
        </w:rPr>
        <w:t>the</w:t>
      </w:r>
      <w:r w:rsidR="00473438" w:rsidRPr="009575D9">
        <w:rPr>
          <w:sz w:val="21"/>
          <w:szCs w:val="21"/>
        </w:rPr>
        <w:t xml:space="preserve"> authorities</w:t>
      </w:r>
      <w:r w:rsidR="00992656" w:rsidRPr="009575D9">
        <w:rPr>
          <w:sz w:val="21"/>
          <w:szCs w:val="21"/>
        </w:rPr>
        <w:t xml:space="preserve"> in BiH</w:t>
      </w:r>
      <w:r w:rsidR="00473438" w:rsidRPr="009575D9">
        <w:rPr>
          <w:sz w:val="21"/>
          <w:szCs w:val="21"/>
        </w:rPr>
        <w:t xml:space="preserve"> to engage with and mobilise the </w:t>
      </w:r>
      <w:r w:rsidR="00450C0B" w:rsidRPr="009575D9">
        <w:rPr>
          <w:b/>
          <w:sz w:val="21"/>
          <w:szCs w:val="21"/>
        </w:rPr>
        <w:t xml:space="preserve">BiH </w:t>
      </w:r>
      <w:r w:rsidR="00473438" w:rsidRPr="009575D9">
        <w:rPr>
          <w:b/>
          <w:sz w:val="21"/>
          <w:szCs w:val="21"/>
        </w:rPr>
        <w:t>diaspora</w:t>
      </w:r>
      <w:r w:rsidR="00473438" w:rsidRPr="009575D9">
        <w:rPr>
          <w:sz w:val="21"/>
          <w:szCs w:val="21"/>
        </w:rPr>
        <w:t xml:space="preserve"> to play a greater role in development</w:t>
      </w:r>
      <w:r w:rsidR="00450C0B" w:rsidRPr="009575D9">
        <w:rPr>
          <w:sz w:val="21"/>
          <w:szCs w:val="21"/>
        </w:rPr>
        <w:t>, including in investment and business development</w:t>
      </w:r>
      <w:r w:rsidR="00473438" w:rsidRPr="00197F4E">
        <w:rPr>
          <w:sz w:val="21"/>
          <w:szCs w:val="21"/>
        </w:rPr>
        <w:t xml:space="preserve">. </w:t>
      </w:r>
      <w:r w:rsidRPr="00197F4E">
        <w:rPr>
          <w:bCs/>
          <w:sz w:val="21"/>
          <w:szCs w:val="21"/>
        </w:rPr>
        <w:t xml:space="preserve">A new scheme will be developed and piloted to attract members of the BiH </w:t>
      </w:r>
      <w:r w:rsidRPr="00197F4E">
        <w:rPr>
          <w:b/>
          <w:bCs/>
          <w:sz w:val="21"/>
          <w:szCs w:val="21"/>
        </w:rPr>
        <w:t>diaspora</w:t>
      </w:r>
      <w:r w:rsidRPr="00197F4E">
        <w:rPr>
          <w:bCs/>
          <w:sz w:val="21"/>
          <w:szCs w:val="21"/>
        </w:rPr>
        <w:t xml:space="preserve"> and new graduates in STEM</w:t>
      </w:r>
      <w:r w:rsidRPr="00197F4E">
        <w:rPr>
          <w:rStyle w:val="FootnoteReference"/>
          <w:bCs/>
          <w:sz w:val="21"/>
          <w:szCs w:val="21"/>
        </w:rPr>
        <w:footnoteReference w:id="95"/>
      </w:r>
      <w:r w:rsidRPr="00197F4E">
        <w:rPr>
          <w:bCs/>
          <w:sz w:val="21"/>
          <w:szCs w:val="21"/>
        </w:rPr>
        <w:t xml:space="preserve"> fields, to address high-skill gaps in the labour market</w:t>
      </w:r>
      <w:r w:rsidRPr="00197F4E">
        <w:rPr>
          <w:b/>
          <w:bCs/>
          <w:sz w:val="21"/>
          <w:szCs w:val="21"/>
        </w:rPr>
        <w:t>.</w:t>
      </w:r>
    </w:p>
    <w:p w14:paraId="28D04706" w14:textId="4DE08C56" w:rsidR="0024684C" w:rsidRPr="009D6F29" w:rsidRDefault="0024684C" w:rsidP="00D9559C">
      <w:pPr>
        <w:pStyle w:val="ListParagraph"/>
        <w:numPr>
          <w:ilvl w:val="0"/>
          <w:numId w:val="3"/>
        </w:numPr>
        <w:spacing w:after="120"/>
        <w:ind w:right="-360"/>
        <w:contextualSpacing w:val="0"/>
        <w:jc w:val="both"/>
        <w:rPr>
          <w:rFonts w:cstheme="minorHAnsi"/>
          <w:sz w:val="21"/>
          <w:szCs w:val="21"/>
        </w:rPr>
      </w:pPr>
      <w:r w:rsidRPr="00197F4E">
        <w:rPr>
          <w:rFonts w:cstheme="minorHAnsi"/>
          <w:noProof/>
          <w:sz w:val="21"/>
          <w:szCs w:val="21"/>
        </w:rPr>
        <w:t>Third, i</w:t>
      </w:r>
      <w:r w:rsidR="002C7DC2" w:rsidRPr="00197F4E">
        <w:rPr>
          <w:rFonts w:cstheme="minorHAnsi"/>
          <w:noProof/>
          <w:sz w:val="21"/>
          <w:szCs w:val="21"/>
        </w:rPr>
        <w:t xml:space="preserve">n </w:t>
      </w:r>
      <w:r w:rsidR="002C7DC2" w:rsidRPr="00197F4E">
        <w:rPr>
          <w:rFonts w:cstheme="minorHAnsi"/>
          <w:b/>
          <w:noProof/>
          <w:sz w:val="21"/>
          <w:szCs w:val="21"/>
        </w:rPr>
        <w:t>agriculture and agri-food</w:t>
      </w:r>
      <w:r w:rsidR="002C7DC2" w:rsidRPr="00197F4E">
        <w:rPr>
          <w:rFonts w:cstheme="minorHAnsi"/>
          <w:noProof/>
          <w:sz w:val="21"/>
          <w:szCs w:val="21"/>
        </w:rPr>
        <w:t>,</w:t>
      </w:r>
      <w:r w:rsidRPr="00197F4E">
        <w:rPr>
          <w:rFonts w:cstheme="minorHAnsi"/>
          <w:sz w:val="21"/>
          <w:szCs w:val="21"/>
        </w:rPr>
        <w:t xml:space="preserve"> the large share of rural population in BiH demands more concerted efforts to increase</w:t>
      </w:r>
      <w:r w:rsidR="00751481">
        <w:rPr>
          <w:rFonts w:cstheme="minorHAnsi"/>
          <w:sz w:val="21"/>
          <w:szCs w:val="21"/>
        </w:rPr>
        <w:t xml:space="preserve"> sustainable</w:t>
      </w:r>
      <w:r w:rsidRPr="00197F4E">
        <w:rPr>
          <w:rFonts w:cstheme="minorHAnsi"/>
          <w:sz w:val="21"/>
          <w:szCs w:val="21"/>
        </w:rPr>
        <w:t xml:space="preserve"> agricultural production and farm incomes, focused on</w:t>
      </w:r>
      <w:r w:rsidRPr="009D6F29">
        <w:rPr>
          <w:rFonts w:cstheme="minorHAnsi"/>
          <w:sz w:val="21"/>
          <w:szCs w:val="21"/>
        </w:rPr>
        <w:t xml:space="preserve"> small-holders. T</w:t>
      </w:r>
      <w:r w:rsidRPr="009D6F29">
        <w:rPr>
          <w:rFonts w:cstheme="minorHAnsi"/>
          <w:noProof/>
          <w:sz w:val="21"/>
          <w:szCs w:val="21"/>
        </w:rPr>
        <w:t xml:space="preserve">he UN system will support BiH efforts to raise land productivity, increase the production of locally cultivable food crops, and increase agricultural exports. </w:t>
      </w:r>
      <w:r w:rsidRPr="009D6F29">
        <w:rPr>
          <w:rFonts w:cstheme="minorHAnsi"/>
          <w:sz w:val="21"/>
          <w:szCs w:val="21"/>
        </w:rPr>
        <w:t>This will depend on integrating small-scale farmers into value chains and forging links with small and medium-sized agro-enterprise ‘processors’ (SMAEs). This will improve access to markets, increase farm incomes, and generate decent employment</w:t>
      </w:r>
      <w:r w:rsidR="00FD3409" w:rsidRPr="009D6F29">
        <w:rPr>
          <w:rFonts w:cstheme="minorHAnsi"/>
          <w:sz w:val="21"/>
          <w:szCs w:val="21"/>
        </w:rPr>
        <w:t>.</w:t>
      </w:r>
      <w:r w:rsidRPr="009D6F29">
        <w:rPr>
          <w:rFonts w:cstheme="minorHAnsi"/>
          <w:sz w:val="21"/>
          <w:szCs w:val="21"/>
        </w:rPr>
        <w:t xml:space="preserve"> In the near to mid-term, the BiH market is most important for small-holders and SMAEs. Production for export is a longer-term aim that will require the coordinated introduction of a quality management system such as HACCP or ISO certification. Competition domestically and with EU-based farmers requires a differentiation strategy based on quality, brand development, and may involve specialization in traditional and local specialties. A coherent country-wide strategy and action plan is needed to enhance small-holder productivity, support them to identify market niches, and create commercial linkages with SMAEs to add-value and get more products to market</w:t>
      </w:r>
      <w:r w:rsidRPr="009D6F29">
        <w:rPr>
          <w:rStyle w:val="FootnoteReference"/>
          <w:rFonts w:cstheme="minorHAnsi"/>
          <w:sz w:val="21"/>
          <w:szCs w:val="21"/>
        </w:rPr>
        <w:footnoteReference w:id="96"/>
      </w:r>
      <w:r w:rsidRPr="009D6F29">
        <w:rPr>
          <w:rFonts w:cstheme="minorHAnsi"/>
          <w:sz w:val="21"/>
          <w:szCs w:val="21"/>
        </w:rPr>
        <w:t>. In addition, c</w:t>
      </w:r>
      <w:r w:rsidRPr="009D6F29">
        <w:rPr>
          <w:rFonts w:cstheme="minorHAnsi"/>
          <w:noProof/>
          <w:sz w:val="21"/>
          <w:szCs w:val="21"/>
        </w:rPr>
        <w:t xml:space="preserve">apacities will be strengthened to </w:t>
      </w:r>
      <w:r w:rsidRPr="009D6F29">
        <w:rPr>
          <w:rFonts w:cstheme="minorHAnsi"/>
          <w:sz w:val="21"/>
          <w:szCs w:val="21"/>
        </w:rPr>
        <w:t>apply biotechnology to improve agricultural production and food safety monitoring, in line with EU standards.</w:t>
      </w:r>
    </w:p>
    <w:p w14:paraId="594178BC" w14:textId="77777777" w:rsidR="00566A61" w:rsidRPr="009575D9" w:rsidRDefault="0024684C" w:rsidP="00D9559C">
      <w:pPr>
        <w:pStyle w:val="ListParagraph"/>
        <w:numPr>
          <w:ilvl w:val="0"/>
          <w:numId w:val="3"/>
        </w:numPr>
        <w:spacing w:after="120"/>
        <w:ind w:right="-360"/>
        <w:contextualSpacing w:val="0"/>
        <w:jc w:val="both"/>
        <w:rPr>
          <w:rFonts w:cstheme="minorHAnsi"/>
          <w:sz w:val="21"/>
          <w:szCs w:val="21"/>
        </w:rPr>
      </w:pPr>
      <w:r w:rsidRPr="009D6F29">
        <w:rPr>
          <w:rFonts w:cstheme="minorHAnsi"/>
          <w:noProof/>
          <w:sz w:val="21"/>
          <w:szCs w:val="21"/>
        </w:rPr>
        <w:t>Fourth</w:t>
      </w:r>
      <w:r w:rsidR="00566A61" w:rsidRPr="009D6F29">
        <w:rPr>
          <w:sz w:val="21"/>
          <w:szCs w:val="21"/>
        </w:rPr>
        <w:t xml:space="preserve">, </w:t>
      </w:r>
      <w:r w:rsidR="00566A61" w:rsidRPr="009D6F29">
        <w:rPr>
          <w:b/>
          <w:sz w:val="21"/>
          <w:szCs w:val="21"/>
        </w:rPr>
        <w:t>climate change</w:t>
      </w:r>
      <w:r w:rsidR="00566A61" w:rsidRPr="009D6F29">
        <w:rPr>
          <w:sz w:val="21"/>
          <w:szCs w:val="21"/>
        </w:rPr>
        <w:t xml:space="preserve"> and its effects on environmental resources do not adhere to administrative boundaries. Effective management for sustainable economic growth requires a functional, </w:t>
      </w:r>
      <w:r w:rsidR="00566A61" w:rsidRPr="009D6F29">
        <w:rPr>
          <w:bCs/>
          <w:sz w:val="21"/>
          <w:szCs w:val="21"/>
        </w:rPr>
        <w:t>country-wide</w:t>
      </w:r>
      <w:r w:rsidR="00566A61" w:rsidRPr="009D6F29">
        <w:rPr>
          <w:sz w:val="21"/>
          <w:szCs w:val="21"/>
        </w:rPr>
        <w:t xml:space="preserve"> coordination mechanisms for ‘horizontal’ policy design and implementation among relevant institutions at all levels, focused on </w:t>
      </w:r>
      <w:r w:rsidR="00566A61" w:rsidRPr="009575D9">
        <w:rPr>
          <w:sz w:val="21"/>
          <w:szCs w:val="21"/>
        </w:rPr>
        <w:t xml:space="preserve">the inter-actions between environment, energy, agriculture, and livelihoods, especially for rural communities and vulnerable groups. Initiatives must all demonstrate adherence to the requirements of the EU Acquis, particularly chapters 11 (agriculture and rural development), 12 (food safety), 15 (energy), and 27 (environment). </w:t>
      </w:r>
    </w:p>
    <w:p w14:paraId="3FC1B00B" w14:textId="1ED9518E" w:rsidR="00566A61" w:rsidRPr="009575D9" w:rsidRDefault="00566A61" w:rsidP="00D9559C">
      <w:pPr>
        <w:pStyle w:val="ListParagraph"/>
        <w:numPr>
          <w:ilvl w:val="0"/>
          <w:numId w:val="3"/>
        </w:numPr>
        <w:spacing w:after="120"/>
        <w:ind w:right="-360"/>
        <w:contextualSpacing w:val="0"/>
        <w:jc w:val="both"/>
        <w:rPr>
          <w:rFonts w:cstheme="minorHAnsi"/>
          <w:sz w:val="21"/>
          <w:szCs w:val="21"/>
        </w:rPr>
      </w:pPr>
      <w:r w:rsidRPr="009575D9">
        <w:rPr>
          <w:sz w:val="21"/>
          <w:szCs w:val="21"/>
        </w:rPr>
        <w:t>F</w:t>
      </w:r>
      <w:r w:rsidR="0024684C" w:rsidRPr="009575D9">
        <w:rPr>
          <w:sz w:val="21"/>
          <w:szCs w:val="21"/>
        </w:rPr>
        <w:t>ifth</w:t>
      </w:r>
      <w:r w:rsidRPr="009575D9">
        <w:rPr>
          <w:sz w:val="21"/>
          <w:szCs w:val="21"/>
        </w:rPr>
        <w:t xml:space="preserve">, </w:t>
      </w:r>
      <w:r w:rsidR="00EC3958" w:rsidRPr="009575D9">
        <w:rPr>
          <w:sz w:val="21"/>
          <w:szCs w:val="21"/>
        </w:rPr>
        <w:t xml:space="preserve">the </w:t>
      </w:r>
      <w:r w:rsidRPr="009575D9">
        <w:rPr>
          <w:sz w:val="21"/>
          <w:szCs w:val="21"/>
        </w:rPr>
        <w:t>authorities</w:t>
      </w:r>
      <w:r w:rsidR="00EC3958" w:rsidRPr="009575D9">
        <w:rPr>
          <w:sz w:val="21"/>
          <w:szCs w:val="21"/>
        </w:rPr>
        <w:t xml:space="preserve"> in BiH</w:t>
      </w:r>
      <w:r w:rsidRPr="009575D9">
        <w:rPr>
          <w:sz w:val="21"/>
          <w:szCs w:val="21"/>
        </w:rPr>
        <w:t xml:space="preserve"> alone cannot adequately respond to the complexities and inter-actions between climate, environment, agriculture, and economic diversification. </w:t>
      </w:r>
      <w:r w:rsidR="00EC3958" w:rsidRPr="009575D9">
        <w:rPr>
          <w:sz w:val="21"/>
          <w:szCs w:val="21"/>
        </w:rPr>
        <w:t>The</w:t>
      </w:r>
      <w:r w:rsidR="008C1408" w:rsidRPr="009575D9">
        <w:rPr>
          <w:sz w:val="21"/>
          <w:szCs w:val="21"/>
        </w:rPr>
        <w:t xml:space="preserve"> authorities</w:t>
      </w:r>
      <w:r w:rsidR="00EC3958" w:rsidRPr="009575D9">
        <w:rPr>
          <w:sz w:val="21"/>
          <w:szCs w:val="21"/>
        </w:rPr>
        <w:t xml:space="preserve"> in BiH</w:t>
      </w:r>
      <w:r w:rsidRPr="009575D9">
        <w:rPr>
          <w:sz w:val="21"/>
          <w:szCs w:val="21"/>
        </w:rPr>
        <w:t xml:space="preserve"> and the UN system will pilot ‘partnership hubs’ to bring private and public stakeholders together to discuss common interests and potential partnerships in support of sustainable development. </w:t>
      </w:r>
    </w:p>
    <w:p w14:paraId="3EC93D0E" w14:textId="1C8F6309" w:rsidR="00E15229" w:rsidRPr="00197F4E" w:rsidRDefault="0024684C" w:rsidP="00D9559C">
      <w:pPr>
        <w:pStyle w:val="ListParagraph"/>
        <w:numPr>
          <w:ilvl w:val="0"/>
          <w:numId w:val="3"/>
        </w:numPr>
        <w:spacing w:after="120"/>
        <w:ind w:right="-360"/>
        <w:contextualSpacing w:val="0"/>
        <w:jc w:val="both"/>
        <w:rPr>
          <w:sz w:val="21"/>
          <w:szCs w:val="21"/>
          <w:lang w:val="en-CA"/>
        </w:rPr>
      </w:pPr>
      <w:r w:rsidRPr="009575D9">
        <w:rPr>
          <w:sz w:val="21"/>
          <w:szCs w:val="21"/>
        </w:rPr>
        <w:t>Sixth</w:t>
      </w:r>
      <w:r w:rsidR="00566A61" w:rsidRPr="009575D9">
        <w:rPr>
          <w:sz w:val="21"/>
          <w:szCs w:val="21"/>
        </w:rPr>
        <w:t xml:space="preserve">, </w:t>
      </w:r>
      <w:r w:rsidR="00E15229" w:rsidRPr="009575D9">
        <w:rPr>
          <w:sz w:val="21"/>
          <w:szCs w:val="21"/>
          <w:lang w:val="en-CA"/>
        </w:rPr>
        <w:t xml:space="preserve">BiH has a high exposure to </w:t>
      </w:r>
      <w:r w:rsidR="00E15229" w:rsidRPr="009575D9">
        <w:rPr>
          <w:b/>
          <w:bCs/>
          <w:sz w:val="21"/>
          <w:szCs w:val="21"/>
          <w:lang w:val="en-CA"/>
        </w:rPr>
        <w:t xml:space="preserve">natural </w:t>
      </w:r>
      <w:r w:rsidR="00911901" w:rsidRPr="009575D9">
        <w:rPr>
          <w:b/>
          <w:bCs/>
          <w:sz w:val="21"/>
          <w:szCs w:val="21"/>
          <w:lang w:val="en-CA"/>
        </w:rPr>
        <w:t xml:space="preserve">hazards </w:t>
      </w:r>
      <w:r w:rsidR="00E15229" w:rsidRPr="009575D9">
        <w:rPr>
          <w:sz w:val="21"/>
          <w:szCs w:val="21"/>
          <w:lang w:val="en-CA"/>
        </w:rPr>
        <w:t>with a risk index rating</w:t>
      </w:r>
      <w:r w:rsidR="00E15229" w:rsidRPr="00197F4E">
        <w:rPr>
          <w:sz w:val="21"/>
          <w:szCs w:val="21"/>
          <w:lang w:val="en-CA"/>
        </w:rPr>
        <w:t xml:space="preserve"> of 3.7/10, the highest of Western Balkans countries</w:t>
      </w:r>
      <w:r w:rsidR="00E15229" w:rsidRPr="00197F4E">
        <w:rPr>
          <w:sz w:val="21"/>
          <w:szCs w:val="21"/>
          <w:vertAlign w:val="superscript"/>
          <w:lang w:val="en-CA"/>
        </w:rPr>
        <w:footnoteReference w:id="97"/>
      </w:r>
      <w:r w:rsidR="00E15229" w:rsidRPr="00197F4E">
        <w:rPr>
          <w:sz w:val="21"/>
          <w:szCs w:val="21"/>
          <w:lang w:val="en-CA"/>
        </w:rPr>
        <w:t>. An estimated 20% of BiH territory and 280,000 people are exposed to significant flood risks and landslides are an increasing challenge with more than 260,000 people living in areas of significant risk</w:t>
      </w:r>
      <w:r w:rsidR="00E15229" w:rsidRPr="00197F4E">
        <w:rPr>
          <w:sz w:val="21"/>
          <w:szCs w:val="21"/>
          <w:vertAlign w:val="superscript"/>
          <w:lang w:val="en-CA"/>
        </w:rPr>
        <w:footnoteReference w:id="98"/>
      </w:r>
      <w:r w:rsidR="00E15229" w:rsidRPr="00197F4E">
        <w:rPr>
          <w:sz w:val="21"/>
          <w:szCs w:val="21"/>
          <w:lang w:val="en-CA"/>
        </w:rPr>
        <w:t xml:space="preserve">. </w:t>
      </w:r>
      <w:r w:rsidR="00E15229" w:rsidRPr="00197F4E">
        <w:rPr>
          <w:b/>
          <w:bCs/>
          <w:sz w:val="21"/>
          <w:szCs w:val="21"/>
          <w:lang w:val="en-CA"/>
        </w:rPr>
        <w:t>Climate change</w:t>
      </w:r>
      <w:r w:rsidR="00E15229" w:rsidRPr="00197F4E">
        <w:rPr>
          <w:sz w:val="21"/>
          <w:szCs w:val="21"/>
          <w:lang w:val="en-CA"/>
        </w:rPr>
        <w:t xml:space="preserve"> is contributing to pronounced rainfall variability and increasing temperatures, which are causing more frequent and intense droughts and storms</w:t>
      </w:r>
      <w:r w:rsidR="00E15229" w:rsidRPr="00197F4E">
        <w:rPr>
          <w:sz w:val="21"/>
          <w:szCs w:val="21"/>
          <w:vertAlign w:val="superscript"/>
          <w:lang w:val="en-CA"/>
        </w:rPr>
        <w:footnoteReference w:id="99"/>
      </w:r>
      <w:r w:rsidR="00E15229" w:rsidRPr="00197F4E">
        <w:rPr>
          <w:sz w:val="21"/>
          <w:szCs w:val="21"/>
          <w:lang w:val="en-CA"/>
        </w:rPr>
        <w:t xml:space="preserve">. The degradation of water, air, forests, and agricultural land are accelerating the loss of </w:t>
      </w:r>
      <w:r w:rsidR="00E15229" w:rsidRPr="00197F4E">
        <w:rPr>
          <w:bCs/>
          <w:sz w:val="21"/>
          <w:szCs w:val="21"/>
          <w:lang w:val="en-CA"/>
        </w:rPr>
        <w:t>biodiversity and increasing the</w:t>
      </w:r>
      <w:r w:rsidR="00E15229" w:rsidRPr="00197F4E">
        <w:rPr>
          <w:sz w:val="21"/>
          <w:szCs w:val="21"/>
          <w:lang w:val="en-CA"/>
        </w:rPr>
        <w:t xml:space="preserve"> </w:t>
      </w:r>
      <w:r w:rsidR="00E15229" w:rsidRPr="00197F4E">
        <w:rPr>
          <w:b/>
          <w:sz w:val="21"/>
          <w:szCs w:val="21"/>
          <w:lang w:val="en-CA"/>
        </w:rPr>
        <w:t>risk of catastrophic shocks</w:t>
      </w:r>
      <w:r w:rsidR="00E15229" w:rsidRPr="00197F4E">
        <w:rPr>
          <w:sz w:val="21"/>
          <w:szCs w:val="21"/>
          <w:lang w:val="en-CA"/>
        </w:rPr>
        <w:t xml:space="preserve">. Vulnerability to flooding and other disaster risks </w:t>
      </w:r>
      <w:r w:rsidR="00E15229" w:rsidRPr="00197F4E">
        <w:rPr>
          <w:i/>
          <w:sz w:val="21"/>
          <w:szCs w:val="21"/>
          <w:lang w:val="en-CA"/>
        </w:rPr>
        <w:t>underscores</w:t>
      </w:r>
      <w:r w:rsidR="00E15229" w:rsidRPr="00197F4E">
        <w:rPr>
          <w:sz w:val="21"/>
          <w:szCs w:val="21"/>
          <w:lang w:val="en-CA"/>
        </w:rPr>
        <w:t xml:space="preserve"> the importance of links between </w:t>
      </w:r>
      <w:r w:rsidR="002A5A97">
        <w:rPr>
          <w:sz w:val="21"/>
          <w:szCs w:val="21"/>
          <w:lang w:val="en-CA"/>
        </w:rPr>
        <w:t xml:space="preserve">inclusive and sustainable </w:t>
      </w:r>
      <w:r w:rsidR="00E15229" w:rsidRPr="00197F4E">
        <w:rPr>
          <w:sz w:val="21"/>
          <w:szCs w:val="21"/>
          <w:lang w:val="en-CA"/>
        </w:rPr>
        <w:t xml:space="preserve">economic growth, more integrated policy-making, disaster-risks reduction, and sustainable resource management. </w:t>
      </w:r>
    </w:p>
    <w:p w14:paraId="048B777B" w14:textId="2CC2B086" w:rsidR="00566A61" w:rsidRPr="009575D9" w:rsidRDefault="00E15229" w:rsidP="00D9559C">
      <w:pPr>
        <w:pStyle w:val="ListParagraph"/>
        <w:numPr>
          <w:ilvl w:val="0"/>
          <w:numId w:val="3"/>
        </w:numPr>
        <w:spacing w:after="120"/>
        <w:ind w:right="-360"/>
        <w:contextualSpacing w:val="0"/>
        <w:jc w:val="both"/>
        <w:rPr>
          <w:sz w:val="21"/>
          <w:szCs w:val="21"/>
          <w:lang w:val="en-CA"/>
        </w:rPr>
      </w:pPr>
      <w:r w:rsidRPr="00197F4E">
        <w:rPr>
          <w:sz w:val="21"/>
          <w:szCs w:val="21"/>
          <w:lang w:val="en-CA"/>
        </w:rPr>
        <w:t xml:space="preserve">The integration of environmental considerations into sectoral policies and legislation is at an early stage in energy, mining, transport, agriculture, forestry and health sectors, and has yet to be initiated in the tourism and education </w:t>
      </w:r>
      <w:r w:rsidRPr="009575D9">
        <w:rPr>
          <w:sz w:val="21"/>
          <w:szCs w:val="21"/>
          <w:lang w:val="en-CA"/>
        </w:rPr>
        <w:t xml:space="preserve">sectors. While BiH established a Platform for Disaster Risk Reduction in 2013, this has not yet been able to support effective coordination of comprehensive disaster-risk reduction initiatives country-wide. </w:t>
      </w:r>
      <w:r w:rsidRPr="009575D9">
        <w:rPr>
          <w:sz w:val="21"/>
          <w:szCs w:val="21"/>
        </w:rPr>
        <w:t>V</w:t>
      </w:r>
      <w:r w:rsidR="00566A61" w:rsidRPr="009575D9">
        <w:rPr>
          <w:sz w:val="21"/>
          <w:szCs w:val="21"/>
        </w:rPr>
        <w:t xml:space="preserve">ulnerable </w:t>
      </w:r>
      <w:r w:rsidR="00566A61" w:rsidRPr="009575D9">
        <w:rPr>
          <w:rFonts w:cstheme="minorHAnsi"/>
          <w:sz w:val="21"/>
          <w:szCs w:val="21"/>
          <w:lang w:val="en-GB"/>
        </w:rPr>
        <w:t xml:space="preserve">communities and groups are affected disproportionately by disasters as they have </w:t>
      </w:r>
      <w:r w:rsidR="00566A61" w:rsidRPr="009575D9">
        <w:rPr>
          <w:rFonts w:cstheme="minorHAnsi"/>
          <w:sz w:val="21"/>
          <w:szCs w:val="21"/>
        </w:rPr>
        <w:t xml:space="preserve">limited access to productive assets for coping and early recovery and less exposure to early warning systems. </w:t>
      </w:r>
      <w:r w:rsidR="00566A61" w:rsidRPr="009575D9">
        <w:rPr>
          <w:rFonts w:cstheme="minorHAnsi"/>
          <w:sz w:val="21"/>
          <w:szCs w:val="21"/>
          <w:lang w:val="en-GB"/>
        </w:rPr>
        <w:t xml:space="preserve">There is need for effective, robust, well-coordinated disaster risk </w:t>
      </w:r>
      <w:r w:rsidR="0024684C" w:rsidRPr="009575D9">
        <w:rPr>
          <w:rFonts w:cstheme="minorHAnsi"/>
          <w:sz w:val="21"/>
          <w:szCs w:val="21"/>
          <w:lang w:val="en-GB"/>
        </w:rPr>
        <w:t>reduction and response systems,</w:t>
      </w:r>
      <w:r w:rsidR="00CF580B" w:rsidRPr="009575D9">
        <w:rPr>
          <w:rFonts w:cstheme="minorHAnsi"/>
          <w:sz w:val="21"/>
          <w:szCs w:val="21"/>
          <w:lang w:val="en-GB"/>
        </w:rPr>
        <w:t xml:space="preserve"> </w:t>
      </w:r>
      <w:r w:rsidR="00566A61" w:rsidRPr="009575D9">
        <w:rPr>
          <w:rFonts w:cstheme="minorHAnsi"/>
          <w:sz w:val="21"/>
          <w:szCs w:val="21"/>
          <w:lang w:val="en-GB"/>
        </w:rPr>
        <w:t>especially at the local level. This entails capacity development for disaster preparedness, and pre-and post-disaster management</w:t>
      </w:r>
      <w:r w:rsidR="0046159E" w:rsidRPr="009575D9">
        <w:rPr>
          <w:rFonts w:cstheme="minorHAnsi"/>
          <w:sz w:val="21"/>
          <w:szCs w:val="21"/>
          <w:lang w:val="en-GB"/>
        </w:rPr>
        <w:t xml:space="preserve"> for relevant authorities in BiH</w:t>
      </w:r>
      <w:r w:rsidR="00566A61" w:rsidRPr="009575D9">
        <w:rPr>
          <w:rFonts w:cstheme="minorHAnsi"/>
          <w:sz w:val="21"/>
          <w:szCs w:val="21"/>
          <w:lang w:val="en-GB"/>
        </w:rPr>
        <w:t xml:space="preserve"> and the availability of quality, disaggregated poverty and inequality statistics for improved spatial planning</w:t>
      </w:r>
      <w:r w:rsidR="00566A61" w:rsidRPr="009575D9">
        <w:rPr>
          <w:sz w:val="21"/>
          <w:szCs w:val="21"/>
        </w:rPr>
        <w:t>.</w:t>
      </w:r>
      <w:r w:rsidR="00F83F99" w:rsidRPr="009575D9">
        <w:rPr>
          <w:sz w:val="21"/>
          <w:szCs w:val="21"/>
        </w:rPr>
        <w:t xml:space="preserve"> </w:t>
      </w:r>
    </w:p>
    <w:p w14:paraId="75736938" w14:textId="5D2E985D" w:rsidR="0024684C" w:rsidRPr="00197F4E" w:rsidRDefault="0024684C" w:rsidP="00D9559C">
      <w:pPr>
        <w:pStyle w:val="ListParagraph"/>
        <w:numPr>
          <w:ilvl w:val="0"/>
          <w:numId w:val="3"/>
        </w:numPr>
        <w:spacing w:after="240"/>
        <w:ind w:left="357" w:right="-360" w:hanging="357"/>
        <w:contextualSpacing w:val="0"/>
        <w:jc w:val="both"/>
        <w:rPr>
          <w:rFonts w:cstheme="minorHAnsi"/>
          <w:sz w:val="21"/>
          <w:szCs w:val="21"/>
        </w:rPr>
      </w:pPr>
      <w:r w:rsidRPr="009575D9">
        <w:rPr>
          <w:rFonts w:cstheme="minorHAnsi"/>
          <w:sz w:val="21"/>
          <w:szCs w:val="21"/>
        </w:rPr>
        <w:t xml:space="preserve">Combined, the cooperation outcome and contributing results and strategies will create stronger conditions for sustainable and more inclusive economic growth by </w:t>
      </w:r>
      <w:r w:rsidRPr="009575D9">
        <w:rPr>
          <w:color w:val="000000" w:themeColor="text1"/>
          <w:sz w:val="21"/>
          <w:szCs w:val="21"/>
        </w:rPr>
        <w:t>reducing barriers for SME</w:t>
      </w:r>
      <w:r w:rsidRPr="00197F4E">
        <w:rPr>
          <w:color w:val="000000" w:themeColor="text1"/>
          <w:sz w:val="21"/>
          <w:szCs w:val="21"/>
        </w:rPr>
        <w:t xml:space="preserve"> formation, enhancing conditions for formal, decent employment, </w:t>
      </w:r>
      <w:r w:rsidRPr="00197F4E">
        <w:rPr>
          <w:rFonts w:cstheme="minorHAnsi"/>
          <w:sz w:val="21"/>
          <w:szCs w:val="21"/>
        </w:rPr>
        <w:t xml:space="preserve">supporting climate resilience and biodiversity protection, and creating incentives and partnerships for the transition to renewable energy. Cooperation is expected to make specific and valued added contributions </w:t>
      </w:r>
      <w:r w:rsidRPr="00197F4E">
        <w:rPr>
          <w:color w:val="000000" w:themeColor="text1"/>
          <w:sz w:val="21"/>
          <w:szCs w:val="21"/>
        </w:rPr>
        <w:t>for a more dynamic economy, and more widely</w:t>
      </w:r>
      <w:r w:rsidR="00A60F81" w:rsidRPr="00197F4E">
        <w:rPr>
          <w:color w:val="000000" w:themeColor="text1"/>
          <w:sz w:val="21"/>
          <w:szCs w:val="21"/>
        </w:rPr>
        <w:t xml:space="preserve"> </w:t>
      </w:r>
      <w:r w:rsidRPr="00197F4E">
        <w:rPr>
          <w:color w:val="000000" w:themeColor="text1"/>
          <w:sz w:val="21"/>
          <w:szCs w:val="21"/>
        </w:rPr>
        <w:t>shared prosperity, especially for</w:t>
      </w:r>
      <w:r w:rsidR="0038127F" w:rsidRPr="00197F4E">
        <w:rPr>
          <w:color w:val="000000" w:themeColor="text1"/>
          <w:sz w:val="21"/>
          <w:szCs w:val="21"/>
        </w:rPr>
        <w:t xml:space="preserve"> women</w:t>
      </w:r>
      <w:r w:rsidRPr="00197F4E">
        <w:rPr>
          <w:color w:val="000000" w:themeColor="text1"/>
          <w:sz w:val="21"/>
          <w:szCs w:val="21"/>
        </w:rPr>
        <w:t xml:space="preserve"> </w:t>
      </w:r>
      <w:r w:rsidR="0038127F" w:rsidRPr="00197F4E">
        <w:rPr>
          <w:color w:val="000000" w:themeColor="text1"/>
          <w:sz w:val="21"/>
          <w:szCs w:val="21"/>
        </w:rPr>
        <w:t xml:space="preserve">and </w:t>
      </w:r>
      <w:r w:rsidRPr="00197F4E">
        <w:rPr>
          <w:color w:val="000000" w:themeColor="text1"/>
          <w:sz w:val="21"/>
          <w:szCs w:val="21"/>
        </w:rPr>
        <w:t>vulnerable groups.</w:t>
      </w:r>
    </w:p>
    <w:p w14:paraId="620F8F89" w14:textId="77777777" w:rsidR="00A543AA" w:rsidRPr="00197F4E" w:rsidRDefault="00A543AA" w:rsidP="00D9559C">
      <w:pPr>
        <w:spacing w:after="120" w:line="240" w:lineRule="auto"/>
        <w:ind w:right="-360"/>
        <w:jc w:val="both"/>
        <w:rPr>
          <w:b/>
          <w:color w:val="0F243E" w:themeColor="text2" w:themeShade="80"/>
          <w:sz w:val="24"/>
          <w:szCs w:val="24"/>
        </w:rPr>
      </w:pPr>
      <w:r w:rsidRPr="00197F4E">
        <w:rPr>
          <w:b/>
          <w:color w:val="0F243E" w:themeColor="text2" w:themeShade="80"/>
          <w:sz w:val="24"/>
          <w:szCs w:val="24"/>
        </w:rPr>
        <w:t>II. Quality, accessible and inclusive education, health and social protection</w:t>
      </w:r>
      <w:r w:rsidR="00707381" w:rsidRPr="00197F4E">
        <w:rPr>
          <w:b/>
          <w:color w:val="0F243E" w:themeColor="text2" w:themeShade="80"/>
          <w:sz w:val="24"/>
          <w:szCs w:val="24"/>
        </w:rPr>
        <w:fldChar w:fldCharType="begin"/>
      </w:r>
      <w:r w:rsidR="00707381" w:rsidRPr="00197F4E">
        <w:instrText xml:space="preserve"> TC "</w:instrText>
      </w:r>
      <w:bookmarkStart w:id="53" w:name="_Toc38899122"/>
      <w:r w:rsidR="00707381" w:rsidRPr="00197F4E">
        <w:rPr>
          <w:b/>
          <w:color w:val="0F243E" w:themeColor="text2" w:themeShade="80"/>
          <w:sz w:val="24"/>
          <w:szCs w:val="24"/>
        </w:rPr>
        <w:instrText>II. Quality, accessible and inclusive education, health and social protection</w:instrText>
      </w:r>
      <w:bookmarkEnd w:id="53"/>
      <w:r w:rsidR="00707381" w:rsidRPr="00197F4E">
        <w:instrText xml:space="preserve">" \f C \l "2" </w:instrText>
      </w:r>
      <w:r w:rsidR="00707381" w:rsidRPr="00197F4E">
        <w:rPr>
          <w:b/>
          <w:color w:val="0F243E" w:themeColor="text2" w:themeShade="80"/>
          <w:sz w:val="24"/>
          <w:szCs w:val="24"/>
        </w:rPr>
        <w:fldChar w:fldCharType="end"/>
      </w:r>
      <w:r w:rsidRPr="00197F4E">
        <w:rPr>
          <w:b/>
          <w:color w:val="0F243E" w:themeColor="text2" w:themeShade="80"/>
          <w:sz w:val="24"/>
          <w:szCs w:val="24"/>
        </w:rPr>
        <w:t xml:space="preserve"> </w:t>
      </w:r>
    </w:p>
    <w:p w14:paraId="0A0265EC" w14:textId="77777777" w:rsidR="00255FA5" w:rsidRPr="00197F4E" w:rsidRDefault="00255FA5" w:rsidP="00D9559C">
      <w:pPr>
        <w:pStyle w:val="ListParagraph"/>
        <w:numPr>
          <w:ilvl w:val="0"/>
          <w:numId w:val="3"/>
        </w:numPr>
        <w:spacing w:after="40"/>
        <w:ind w:right="-360"/>
        <w:contextualSpacing w:val="0"/>
        <w:jc w:val="both"/>
        <w:rPr>
          <w:rFonts w:cstheme="minorHAnsi"/>
          <w:sz w:val="21"/>
          <w:szCs w:val="21"/>
          <w:lang w:val="en-CA"/>
        </w:rPr>
      </w:pPr>
      <w:r w:rsidRPr="00197F4E">
        <w:rPr>
          <w:rFonts w:cstheme="minorHAnsi"/>
          <w:sz w:val="21"/>
          <w:szCs w:val="21"/>
          <w:lang w:val="en-CA"/>
        </w:rPr>
        <w:t xml:space="preserve">There are two proposed outcomes for cooperation: </w:t>
      </w:r>
    </w:p>
    <w:p w14:paraId="44D25227" w14:textId="5F981F85" w:rsidR="009D486F" w:rsidRPr="00197F4E" w:rsidRDefault="00255FA5" w:rsidP="00D9559C">
      <w:pPr>
        <w:pStyle w:val="ListParagraph"/>
        <w:numPr>
          <w:ilvl w:val="0"/>
          <w:numId w:val="5"/>
        </w:numPr>
        <w:spacing w:after="40"/>
        <w:ind w:right="-360" w:hanging="357"/>
        <w:contextualSpacing w:val="0"/>
        <w:jc w:val="both"/>
        <w:rPr>
          <w:sz w:val="21"/>
          <w:szCs w:val="21"/>
        </w:rPr>
      </w:pPr>
      <w:r w:rsidRPr="00197F4E">
        <w:rPr>
          <w:sz w:val="21"/>
          <w:szCs w:val="21"/>
          <w:shd w:val="clear" w:color="auto" w:fill="FFFFFF"/>
        </w:rPr>
        <w:t xml:space="preserve">The education and employability outcome will support </w:t>
      </w:r>
      <w:r w:rsidRPr="00197F4E">
        <w:rPr>
          <w:rFonts w:cstheme="minorHAnsi"/>
          <w:sz w:val="21"/>
          <w:szCs w:val="21"/>
          <w:lang w:eastAsia="en-CA"/>
        </w:rPr>
        <w:t>conditions for more inclusive and higher quality education that offers all children and young people the 21</w:t>
      </w:r>
      <w:r w:rsidRPr="00197F4E">
        <w:rPr>
          <w:rFonts w:cstheme="minorHAnsi"/>
          <w:sz w:val="21"/>
          <w:szCs w:val="21"/>
          <w:vertAlign w:val="superscript"/>
          <w:lang w:eastAsia="en-CA"/>
        </w:rPr>
        <w:t>st</w:t>
      </w:r>
      <w:r w:rsidRPr="00197F4E">
        <w:rPr>
          <w:rFonts w:cstheme="minorHAnsi"/>
          <w:sz w:val="21"/>
          <w:szCs w:val="21"/>
          <w:lang w:eastAsia="en-CA"/>
        </w:rPr>
        <w:t xml:space="preserve"> century skills they will need for employment success in a modern, EU-oriented labour market. </w:t>
      </w:r>
    </w:p>
    <w:p w14:paraId="5470FA5A" w14:textId="69FE1532" w:rsidR="009D486F" w:rsidRPr="00197F4E" w:rsidRDefault="00255FA5" w:rsidP="00D9559C">
      <w:pPr>
        <w:pStyle w:val="ListParagraph"/>
        <w:numPr>
          <w:ilvl w:val="0"/>
          <w:numId w:val="5"/>
        </w:numPr>
        <w:spacing w:after="40"/>
        <w:ind w:right="-360" w:hanging="357"/>
        <w:contextualSpacing w:val="0"/>
        <w:jc w:val="both"/>
        <w:rPr>
          <w:sz w:val="21"/>
          <w:szCs w:val="21"/>
        </w:rPr>
      </w:pPr>
      <w:r w:rsidRPr="00197F4E">
        <w:rPr>
          <w:sz w:val="21"/>
          <w:szCs w:val="21"/>
          <w:shd w:val="clear" w:color="auto" w:fill="FFFFFF"/>
        </w:rPr>
        <w:t xml:space="preserve">The health and social protection outcome will focus on </w:t>
      </w:r>
      <w:r w:rsidR="009D486F" w:rsidRPr="00197F4E">
        <w:rPr>
          <w:sz w:val="21"/>
          <w:szCs w:val="21"/>
          <w:shd w:val="clear" w:color="auto" w:fill="FFFFFF"/>
        </w:rPr>
        <w:t xml:space="preserve">policy, legal, and capacity changes for more </w:t>
      </w:r>
      <w:r w:rsidRPr="00197F4E">
        <w:rPr>
          <w:rFonts w:cstheme="minorHAnsi"/>
          <w:sz w:val="21"/>
          <w:szCs w:val="21"/>
          <w:lang w:eastAsia="en-CA"/>
        </w:rPr>
        <w:t>efficient, fair, and inclusive health care and social protection</w:t>
      </w:r>
      <w:r w:rsidR="002053DC" w:rsidRPr="00197F4E">
        <w:rPr>
          <w:rFonts w:cstheme="minorHAnsi"/>
          <w:sz w:val="21"/>
          <w:szCs w:val="21"/>
          <w:lang w:eastAsia="en-CA"/>
        </w:rPr>
        <w:t xml:space="preserve"> and </w:t>
      </w:r>
      <w:r w:rsidR="009D486F" w:rsidRPr="00197F4E">
        <w:rPr>
          <w:rFonts w:cstheme="minorHAnsi"/>
          <w:sz w:val="21"/>
          <w:szCs w:val="21"/>
          <w:lang w:eastAsia="en-CA"/>
        </w:rPr>
        <w:t xml:space="preserve">social </w:t>
      </w:r>
      <w:r w:rsidR="002053DC" w:rsidRPr="00197F4E">
        <w:rPr>
          <w:rFonts w:cstheme="minorHAnsi"/>
          <w:sz w:val="21"/>
          <w:szCs w:val="21"/>
          <w:lang w:eastAsia="en-CA"/>
        </w:rPr>
        <w:t>welfare</w:t>
      </w:r>
      <w:r w:rsidRPr="00197F4E">
        <w:rPr>
          <w:rFonts w:cstheme="minorHAnsi"/>
          <w:sz w:val="21"/>
          <w:szCs w:val="21"/>
          <w:lang w:eastAsia="en-CA"/>
        </w:rPr>
        <w:t xml:space="preserve"> systems</w:t>
      </w:r>
      <w:r w:rsidR="009D486F" w:rsidRPr="00197F4E">
        <w:rPr>
          <w:rFonts w:cstheme="minorHAnsi"/>
          <w:sz w:val="21"/>
          <w:szCs w:val="21"/>
          <w:lang w:eastAsia="en-CA"/>
        </w:rPr>
        <w:t xml:space="preserve"> and services.</w:t>
      </w:r>
      <w:r w:rsidRPr="00197F4E">
        <w:rPr>
          <w:rFonts w:cstheme="minorHAnsi"/>
          <w:sz w:val="21"/>
          <w:szCs w:val="21"/>
          <w:lang w:eastAsia="en-CA"/>
        </w:rPr>
        <w:t xml:space="preserve"> </w:t>
      </w:r>
    </w:p>
    <w:p w14:paraId="3F135243" w14:textId="48E54E8A" w:rsidR="009D486F" w:rsidRPr="007E4270" w:rsidRDefault="009D486F" w:rsidP="00D9559C">
      <w:pPr>
        <w:pStyle w:val="ListParagraph"/>
        <w:numPr>
          <w:ilvl w:val="0"/>
          <w:numId w:val="3"/>
        </w:numPr>
        <w:spacing w:after="120"/>
        <w:ind w:left="357" w:right="-360" w:hanging="357"/>
        <w:contextualSpacing w:val="0"/>
        <w:jc w:val="both"/>
        <w:rPr>
          <w:rFonts w:cstheme="minorHAnsi"/>
          <w:sz w:val="21"/>
          <w:szCs w:val="21"/>
          <w:lang w:val="en-CA"/>
        </w:rPr>
      </w:pPr>
      <w:r w:rsidRPr="00197F4E">
        <w:rPr>
          <w:sz w:val="21"/>
          <w:szCs w:val="21"/>
          <w:shd w:val="clear" w:color="auto" w:fill="FFFFFF"/>
          <w:lang w:val="en-CA"/>
        </w:rPr>
        <w:t xml:space="preserve">Both outcomes have an equity </w:t>
      </w:r>
      <w:r w:rsidRPr="00197F4E">
        <w:rPr>
          <w:sz w:val="21"/>
          <w:szCs w:val="21"/>
          <w:lang w:eastAsia="en-CA"/>
        </w:rPr>
        <w:t>focus, placing emphasis</w:t>
      </w:r>
      <w:r w:rsidRPr="005F596A">
        <w:rPr>
          <w:sz w:val="21"/>
          <w:szCs w:val="21"/>
          <w:lang w:eastAsia="en-CA"/>
        </w:rPr>
        <w:t xml:space="preserve"> on improved spending analysis and targeting, </w:t>
      </w:r>
      <w:r w:rsidRPr="007E4270">
        <w:rPr>
          <w:sz w:val="21"/>
          <w:szCs w:val="21"/>
          <w:lang w:eastAsia="en-CA"/>
        </w:rPr>
        <w:t>monitoring the quality and coverage of services, and responding effectively to the situation of vulnerable groups</w:t>
      </w:r>
      <w:r w:rsidR="009D253C" w:rsidRPr="007E4270">
        <w:rPr>
          <w:sz w:val="21"/>
          <w:szCs w:val="21"/>
          <w:lang w:eastAsia="en-CA"/>
        </w:rPr>
        <w:t xml:space="preserve">. Demand-side interventions are focused on supporting targeted rights holders to claim their rights to effective education, health and social protection services. </w:t>
      </w:r>
    </w:p>
    <w:tbl>
      <w:tblPr>
        <w:tblStyle w:val="TableGrid"/>
        <w:tblW w:w="9356" w:type="dxa"/>
        <w:tblInd w:w="108" w:type="dxa"/>
        <w:tblBorders>
          <w:left w:val="none" w:sz="0" w:space="0" w:color="auto"/>
          <w:right w:val="none" w:sz="0" w:space="0" w:color="auto"/>
        </w:tblBorders>
        <w:shd w:val="clear" w:color="auto" w:fill="C6D9F1" w:themeFill="text2" w:themeFillTint="33"/>
        <w:tblLook w:val="04A0" w:firstRow="1" w:lastRow="0" w:firstColumn="1" w:lastColumn="0" w:noHBand="0" w:noVBand="1"/>
      </w:tblPr>
      <w:tblGrid>
        <w:gridCol w:w="9356"/>
      </w:tblGrid>
      <w:tr w:rsidR="00A543AA" w:rsidRPr="00A1653F" w14:paraId="4362BD5A" w14:textId="77777777" w:rsidTr="00197F4E">
        <w:trPr>
          <w:trHeight w:val="311"/>
        </w:trPr>
        <w:tc>
          <w:tcPr>
            <w:tcW w:w="9356" w:type="dxa"/>
            <w:tcBorders>
              <w:top w:val="single" w:sz="4" w:space="0" w:color="548DD4" w:themeColor="text2" w:themeTint="99"/>
              <w:bottom w:val="single" w:sz="4" w:space="0" w:color="548DD4" w:themeColor="text2" w:themeTint="99"/>
              <w:right w:val="nil"/>
            </w:tcBorders>
            <w:shd w:val="clear" w:color="auto" w:fill="C6D9F1" w:themeFill="text2" w:themeFillTint="33"/>
          </w:tcPr>
          <w:p w14:paraId="66B185B1" w14:textId="0AF3B572" w:rsidR="00A543AA" w:rsidRPr="00A1653F" w:rsidRDefault="00A543AA" w:rsidP="00D9559C">
            <w:pPr>
              <w:spacing w:before="120" w:after="120"/>
              <w:ind w:right="-360"/>
              <w:jc w:val="both"/>
              <w:rPr>
                <w:rFonts w:cstheme="minorHAnsi"/>
                <w:sz w:val="21"/>
                <w:szCs w:val="21"/>
                <w:highlight w:val="yellow"/>
              </w:rPr>
            </w:pPr>
            <w:r w:rsidRPr="00A1653F">
              <w:rPr>
                <w:rFonts w:cstheme="minorHAnsi"/>
                <w:b/>
                <w:sz w:val="21"/>
                <w:szCs w:val="21"/>
              </w:rPr>
              <w:t xml:space="preserve">Outcome 2. </w:t>
            </w:r>
            <w:r w:rsidRPr="00A1653F">
              <w:rPr>
                <w:rFonts w:cstheme="minorHAnsi"/>
                <w:sz w:val="21"/>
                <w:szCs w:val="21"/>
              </w:rPr>
              <w:t>By 2025, people benefit from more inclusive and higher quality educational programmes focused on 21</w:t>
            </w:r>
            <w:r w:rsidRPr="00A1653F">
              <w:rPr>
                <w:rFonts w:cstheme="minorHAnsi"/>
                <w:sz w:val="21"/>
                <w:szCs w:val="21"/>
                <w:vertAlign w:val="superscript"/>
              </w:rPr>
              <w:t>st</w:t>
            </w:r>
            <w:r w:rsidRPr="00A1653F">
              <w:rPr>
                <w:rFonts w:cstheme="minorHAnsi"/>
                <w:sz w:val="21"/>
                <w:szCs w:val="21"/>
              </w:rPr>
              <w:t xml:space="preserve"> century skills for enhanced employability</w:t>
            </w:r>
            <w:r w:rsidR="002A184B" w:rsidRPr="00A1653F">
              <w:rPr>
                <w:rFonts w:cstheme="minorHAnsi"/>
                <w:sz w:val="21"/>
                <w:szCs w:val="21"/>
              </w:rPr>
              <w:t>,</w:t>
            </w:r>
            <w:r w:rsidRPr="00A1653F">
              <w:rPr>
                <w:rFonts w:cstheme="minorHAnsi"/>
                <w:sz w:val="21"/>
                <w:szCs w:val="21"/>
              </w:rPr>
              <w:t xml:space="preserve"> well-being </w:t>
            </w:r>
            <w:r w:rsidR="002A184B" w:rsidRPr="00A1653F">
              <w:rPr>
                <w:rFonts w:cstheme="minorHAnsi"/>
                <w:sz w:val="21"/>
                <w:szCs w:val="21"/>
              </w:rPr>
              <w:t xml:space="preserve">and </w:t>
            </w:r>
            <w:r w:rsidR="004028B0" w:rsidRPr="00A1653F">
              <w:rPr>
                <w:rFonts w:cstheme="minorHAnsi"/>
                <w:sz w:val="21"/>
                <w:szCs w:val="21"/>
              </w:rPr>
              <w:t>active participation in society</w:t>
            </w:r>
          </w:p>
        </w:tc>
      </w:tr>
    </w:tbl>
    <w:p w14:paraId="657A3433" w14:textId="65C7EBE6" w:rsidR="00A543AA" w:rsidRPr="00000026" w:rsidRDefault="009D486F" w:rsidP="00D9559C">
      <w:pPr>
        <w:spacing w:before="120" w:after="120" w:line="240" w:lineRule="auto"/>
        <w:ind w:right="-360"/>
        <w:jc w:val="both"/>
        <w:rPr>
          <w:rFonts w:cstheme="minorHAnsi"/>
          <w:color w:val="0F243E" w:themeColor="text2" w:themeShade="80"/>
        </w:rPr>
      </w:pPr>
      <w:r>
        <w:rPr>
          <w:rFonts w:cstheme="minorHAnsi"/>
          <w:b/>
          <w:color w:val="0F243E" w:themeColor="text2" w:themeShade="80"/>
        </w:rPr>
        <w:t>T</w:t>
      </w:r>
      <w:r w:rsidR="00A543AA" w:rsidRPr="00000026">
        <w:rPr>
          <w:rFonts w:cstheme="minorHAnsi"/>
          <w:b/>
          <w:color w:val="0F243E" w:themeColor="text2" w:themeShade="80"/>
        </w:rPr>
        <w:t xml:space="preserve">heory of change </w:t>
      </w:r>
    </w:p>
    <w:p w14:paraId="1C316764" w14:textId="1A0EE35D" w:rsidR="00A543AA" w:rsidRPr="009575D9" w:rsidRDefault="00936685" w:rsidP="00D9559C">
      <w:pPr>
        <w:pStyle w:val="ListParagraph"/>
        <w:numPr>
          <w:ilvl w:val="0"/>
          <w:numId w:val="3"/>
        </w:numPr>
        <w:spacing w:after="120"/>
        <w:ind w:right="-360"/>
        <w:contextualSpacing w:val="0"/>
        <w:jc w:val="both"/>
        <w:rPr>
          <w:sz w:val="21"/>
          <w:szCs w:val="21"/>
        </w:rPr>
      </w:pPr>
      <w:r w:rsidRPr="00197F4E">
        <w:rPr>
          <w:rFonts w:cstheme="minorHAnsi"/>
          <w:sz w:val="21"/>
          <w:szCs w:val="21"/>
          <w:lang w:eastAsia="en-CA"/>
        </w:rPr>
        <w:t>The theory of change underlying this outcome is that</w:t>
      </w:r>
      <w:r w:rsidRPr="00197F4E">
        <w:rPr>
          <w:rFonts w:cstheme="minorHAnsi"/>
          <w:sz w:val="21"/>
          <w:szCs w:val="21"/>
          <w:lang w:val="en-CA"/>
        </w:rPr>
        <w:t xml:space="preserve"> the </w:t>
      </w:r>
      <w:r w:rsidR="00A543AA" w:rsidRPr="00197F4E">
        <w:rPr>
          <w:rFonts w:cstheme="minorHAnsi"/>
          <w:sz w:val="21"/>
          <w:szCs w:val="21"/>
          <w:lang w:val="en-CA"/>
        </w:rPr>
        <w:t xml:space="preserve">educational performance of all young people is </w:t>
      </w:r>
      <w:r w:rsidR="00A543AA" w:rsidRPr="00197F4E">
        <w:rPr>
          <w:rFonts w:cstheme="minorHAnsi"/>
          <w:sz w:val="21"/>
          <w:szCs w:val="21"/>
        </w:rPr>
        <w:t>instrumental for the</w:t>
      </w:r>
      <w:r w:rsidR="00EF41AE" w:rsidRPr="00197F4E">
        <w:rPr>
          <w:rFonts w:cstheme="minorHAnsi"/>
          <w:sz w:val="21"/>
          <w:szCs w:val="21"/>
        </w:rPr>
        <w:t xml:space="preserve">ir </w:t>
      </w:r>
      <w:r w:rsidR="00EF41AE" w:rsidRPr="00197F4E">
        <w:rPr>
          <w:rFonts w:cstheme="minorHAnsi"/>
          <w:sz w:val="21"/>
          <w:szCs w:val="21"/>
          <w:lang w:eastAsia="en-CA"/>
        </w:rPr>
        <w:t>employment success in a modern, EU-oriented labour market</w:t>
      </w:r>
      <w:r w:rsidR="00A543AA" w:rsidRPr="00197F4E">
        <w:rPr>
          <w:rStyle w:val="FootnoteReference"/>
          <w:rFonts w:cstheme="minorHAnsi"/>
          <w:sz w:val="21"/>
          <w:szCs w:val="21"/>
        </w:rPr>
        <w:footnoteReference w:id="100"/>
      </w:r>
      <w:r w:rsidR="00A543AA" w:rsidRPr="00197F4E">
        <w:rPr>
          <w:rFonts w:cstheme="minorHAnsi"/>
          <w:sz w:val="21"/>
          <w:szCs w:val="21"/>
        </w:rPr>
        <w:t xml:space="preserve">. </w:t>
      </w:r>
      <w:r w:rsidR="00A543AA" w:rsidRPr="00197F4E">
        <w:rPr>
          <w:sz w:val="21"/>
          <w:szCs w:val="21"/>
          <w:shd w:val="clear" w:color="auto" w:fill="FFFFFF"/>
        </w:rPr>
        <w:t xml:space="preserve">The </w:t>
      </w:r>
      <w:r w:rsidR="00A543AA" w:rsidRPr="00197F4E">
        <w:rPr>
          <w:rFonts w:cstheme="minorHAnsi"/>
          <w:sz w:val="21"/>
          <w:szCs w:val="21"/>
          <w:lang w:eastAsia="en-CA"/>
        </w:rPr>
        <w:t xml:space="preserve">cooperation </w:t>
      </w:r>
      <w:r w:rsidR="00A543AA" w:rsidRPr="009575D9">
        <w:rPr>
          <w:rFonts w:cstheme="minorHAnsi"/>
          <w:sz w:val="21"/>
          <w:szCs w:val="21"/>
          <w:lang w:eastAsia="en-CA"/>
        </w:rPr>
        <w:t xml:space="preserve">outcome is </w:t>
      </w:r>
      <w:r w:rsidR="00771759" w:rsidRPr="009575D9">
        <w:rPr>
          <w:rFonts w:cstheme="minorHAnsi"/>
          <w:sz w:val="21"/>
          <w:szCs w:val="21"/>
          <w:lang w:eastAsia="en-CA"/>
        </w:rPr>
        <w:t xml:space="preserve">to </w:t>
      </w:r>
      <w:r w:rsidR="00A543AA" w:rsidRPr="009575D9">
        <w:rPr>
          <w:rFonts w:cstheme="minorHAnsi"/>
          <w:sz w:val="21"/>
          <w:szCs w:val="21"/>
          <w:lang w:eastAsia="en-CA"/>
        </w:rPr>
        <w:t xml:space="preserve">create conditions for more inclusive and higher quality education that offers </w:t>
      </w:r>
      <w:r w:rsidR="00EF41AE" w:rsidRPr="009575D9">
        <w:rPr>
          <w:rFonts w:cstheme="minorHAnsi"/>
          <w:sz w:val="21"/>
          <w:szCs w:val="21"/>
          <w:lang w:eastAsia="en-CA"/>
        </w:rPr>
        <w:t>21</w:t>
      </w:r>
      <w:r w:rsidR="00EF41AE" w:rsidRPr="009575D9">
        <w:rPr>
          <w:rFonts w:cstheme="minorHAnsi"/>
          <w:sz w:val="21"/>
          <w:szCs w:val="21"/>
          <w:vertAlign w:val="superscript"/>
          <w:lang w:eastAsia="en-CA"/>
        </w:rPr>
        <w:t>st</w:t>
      </w:r>
      <w:r w:rsidR="00EF41AE" w:rsidRPr="009575D9">
        <w:rPr>
          <w:rFonts w:cstheme="minorHAnsi"/>
          <w:sz w:val="21"/>
          <w:szCs w:val="21"/>
          <w:lang w:eastAsia="en-CA"/>
        </w:rPr>
        <w:t xml:space="preserve"> century skills to </w:t>
      </w:r>
      <w:r w:rsidR="00A543AA" w:rsidRPr="009575D9">
        <w:rPr>
          <w:rFonts w:cstheme="minorHAnsi"/>
          <w:sz w:val="21"/>
          <w:szCs w:val="21"/>
          <w:lang w:eastAsia="en-CA"/>
        </w:rPr>
        <w:t>all children and young people</w:t>
      </w:r>
      <w:r w:rsidR="00EF41AE" w:rsidRPr="009575D9">
        <w:rPr>
          <w:rFonts w:cstheme="minorHAnsi"/>
          <w:sz w:val="21"/>
          <w:szCs w:val="21"/>
          <w:lang w:eastAsia="en-CA"/>
        </w:rPr>
        <w:t>.</w:t>
      </w:r>
      <w:r w:rsidR="00A543AA" w:rsidRPr="009575D9">
        <w:rPr>
          <w:rFonts w:cstheme="minorHAnsi"/>
          <w:sz w:val="21"/>
          <w:szCs w:val="21"/>
          <w:lang w:eastAsia="en-CA"/>
        </w:rPr>
        <w:t xml:space="preserve"> </w:t>
      </w:r>
      <w:r w:rsidR="00A543AA" w:rsidRPr="009575D9">
        <w:rPr>
          <w:rFonts w:cstheme="minorHAnsi"/>
          <w:sz w:val="21"/>
          <w:szCs w:val="21"/>
        </w:rPr>
        <w:t>Renewed political will and innovative efforts are needed to strengthen the education system</w:t>
      </w:r>
      <w:r w:rsidR="004B3260" w:rsidRPr="009575D9">
        <w:rPr>
          <w:rFonts w:cstheme="minorHAnsi"/>
          <w:sz w:val="21"/>
          <w:szCs w:val="21"/>
        </w:rPr>
        <w:t>s</w:t>
      </w:r>
      <w:r w:rsidR="00A543AA" w:rsidRPr="009575D9">
        <w:rPr>
          <w:rFonts w:cstheme="minorHAnsi"/>
          <w:sz w:val="21"/>
          <w:szCs w:val="21"/>
        </w:rPr>
        <w:t xml:space="preserve"> performance and learning outcomes, and to forge closer links between the education and training systems with the labour market and employer’s organisations. Equity in education is a concern, as children, especially girls, from poor households and from minority groups suffer higher class repetition rates and drop-out rates.</w:t>
      </w:r>
      <w:r w:rsidR="00993985" w:rsidRPr="009575D9">
        <w:rPr>
          <w:rFonts w:cstheme="minorHAnsi"/>
          <w:sz w:val="21"/>
          <w:szCs w:val="21"/>
        </w:rPr>
        <w:t xml:space="preserve"> </w:t>
      </w:r>
      <w:r w:rsidR="00993985" w:rsidRPr="009575D9">
        <w:rPr>
          <w:rFonts w:cstheme="minorHAnsi"/>
          <w:sz w:val="21"/>
          <w:szCs w:val="21"/>
          <w:lang w:eastAsia="en-CA"/>
        </w:rPr>
        <w:t xml:space="preserve">Cooperation is expected to support </w:t>
      </w:r>
      <w:r w:rsidR="004B3260" w:rsidRPr="009575D9">
        <w:rPr>
          <w:rFonts w:cstheme="minorHAnsi"/>
          <w:sz w:val="21"/>
          <w:szCs w:val="21"/>
          <w:lang w:eastAsia="en-CA"/>
        </w:rPr>
        <w:t>the</w:t>
      </w:r>
      <w:r w:rsidR="00993985" w:rsidRPr="009575D9">
        <w:rPr>
          <w:rFonts w:cstheme="minorHAnsi"/>
          <w:sz w:val="21"/>
          <w:szCs w:val="21"/>
          <w:lang w:eastAsia="en-CA"/>
        </w:rPr>
        <w:t xml:space="preserve"> authorities</w:t>
      </w:r>
      <w:r w:rsidR="004B3260" w:rsidRPr="009575D9">
        <w:rPr>
          <w:rFonts w:cstheme="minorHAnsi"/>
          <w:sz w:val="21"/>
          <w:szCs w:val="21"/>
          <w:lang w:eastAsia="en-CA"/>
        </w:rPr>
        <w:t xml:space="preserve"> in BiH</w:t>
      </w:r>
      <w:r w:rsidR="00F6492A" w:rsidRPr="009575D9">
        <w:rPr>
          <w:rFonts w:cstheme="minorHAnsi"/>
          <w:sz w:val="21"/>
          <w:szCs w:val="21"/>
          <w:lang w:eastAsia="en-CA"/>
        </w:rPr>
        <w:t xml:space="preserve"> to implement </w:t>
      </w:r>
      <w:r w:rsidR="00993985" w:rsidRPr="009575D9">
        <w:rPr>
          <w:rFonts w:cstheme="minorHAnsi"/>
          <w:sz w:val="21"/>
          <w:szCs w:val="21"/>
          <w:lang w:eastAsia="en-CA"/>
        </w:rPr>
        <w:t xml:space="preserve">recommendations from the recent UPR to ensure </w:t>
      </w:r>
      <w:r w:rsidR="00993985" w:rsidRPr="009575D9">
        <w:rPr>
          <w:bCs/>
          <w:sz w:val="21"/>
          <w:szCs w:val="21"/>
          <w:lang w:val="en-GB"/>
        </w:rPr>
        <w:t>inclusive and quality education for all children, and especially minority groups</w:t>
      </w:r>
      <w:r w:rsidR="00993985" w:rsidRPr="009575D9">
        <w:rPr>
          <w:rStyle w:val="FootnoteReference"/>
          <w:rFonts w:cstheme="minorHAnsi"/>
          <w:sz w:val="21"/>
          <w:szCs w:val="21"/>
          <w:lang w:eastAsia="en-CA"/>
        </w:rPr>
        <w:footnoteReference w:id="101"/>
      </w:r>
      <w:r w:rsidR="00993985" w:rsidRPr="009575D9">
        <w:rPr>
          <w:rFonts w:cstheme="minorHAnsi"/>
          <w:sz w:val="21"/>
          <w:szCs w:val="21"/>
          <w:lang w:eastAsia="en-CA"/>
        </w:rPr>
        <w:t>.</w:t>
      </w:r>
    </w:p>
    <w:p w14:paraId="2E581928" w14:textId="77777777" w:rsidR="00A543AA" w:rsidRPr="009575D9" w:rsidRDefault="00A543AA" w:rsidP="00D9559C">
      <w:pPr>
        <w:pStyle w:val="ListParagraph"/>
        <w:numPr>
          <w:ilvl w:val="0"/>
          <w:numId w:val="3"/>
        </w:numPr>
        <w:spacing w:after="120"/>
        <w:ind w:right="-360"/>
        <w:contextualSpacing w:val="0"/>
        <w:jc w:val="both"/>
        <w:rPr>
          <w:sz w:val="21"/>
          <w:szCs w:val="21"/>
        </w:rPr>
      </w:pPr>
      <w:r w:rsidRPr="009575D9">
        <w:rPr>
          <w:rFonts w:ascii="Calibri" w:hAnsi="Calibri"/>
          <w:sz w:val="21"/>
          <w:szCs w:val="21"/>
        </w:rPr>
        <w:t xml:space="preserve">By 2025, the success of BiH and UN cooperation efforts will be seen in: </w:t>
      </w:r>
    </w:p>
    <w:p w14:paraId="04C9E55B" w14:textId="77777777" w:rsidR="00A543AA" w:rsidRPr="009575D9" w:rsidRDefault="00A543AA" w:rsidP="00D9559C">
      <w:pPr>
        <w:pStyle w:val="ListParagraph"/>
        <w:numPr>
          <w:ilvl w:val="0"/>
          <w:numId w:val="5"/>
        </w:numPr>
        <w:spacing w:before="40" w:after="40"/>
        <w:ind w:right="-360"/>
        <w:contextualSpacing w:val="0"/>
        <w:jc w:val="both"/>
        <w:rPr>
          <w:sz w:val="21"/>
          <w:szCs w:val="21"/>
        </w:rPr>
      </w:pPr>
      <w:r w:rsidRPr="009575D9">
        <w:rPr>
          <w:rFonts w:cstheme="minorHAnsi"/>
          <w:sz w:val="21"/>
          <w:szCs w:val="21"/>
        </w:rPr>
        <w:t>More children taking part in organized, quality early learning and pre-schools,</w:t>
      </w:r>
    </w:p>
    <w:p w14:paraId="50709505" w14:textId="77777777" w:rsidR="00A543AA" w:rsidRPr="009575D9" w:rsidRDefault="00A543AA" w:rsidP="00D9559C">
      <w:pPr>
        <w:pStyle w:val="ListParagraph"/>
        <w:numPr>
          <w:ilvl w:val="0"/>
          <w:numId w:val="5"/>
        </w:numPr>
        <w:spacing w:before="40" w:after="40"/>
        <w:ind w:right="-360"/>
        <w:contextualSpacing w:val="0"/>
        <w:jc w:val="both"/>
        <w:rPr>
          <w:sz w:val="21"/>
          <w:szCs w:val="21"/>
        </w:rPr>
      </w:pPr>
      <w:r w:rsidRPr="009575D9">
        <w:rPr>
          <w:rFonts w:cstheme="minorHAnsi"/>
          <w:sz w:val="21"/>
          <w:szCs w:val="21"/>
        </w:rPr>
        <w:t>Increased coherence and quality of the formal education and TVET systems,</w:t>
      </w:r>
    </w:p>
    <w:p w14:paraId="0A11CD2B" w14:textId="097BB54E" w:rsidR="00A543AA" w:rsidRPr="009575D9" w:rsidRDefault="00A543AA" w:rsidP="00D9559C">
      <w:pPr>
        <w:pStyle w:val="ListParagraph"/>
        <w:numPr>
          <w:ilvl w:val="0"/>
          <w:numId w:val="5"/>
        </w:numPr>
        <w:spacing w:before="40" w:after="40"/>
        <w:ind w:right="-360"/>
        <w:contextualSpacing w:val="0"/>
        <w:jc w:val="both"/>
        <w:rPr>
          <w:sz w:val="21"/>
          <w:szCs w:val="21"/>
        </w:rPr>
      </w:pPr>
      <w:r w:rsidRPr="009575D9">
        <w:rPr>
          <w:rFonts w:cstheme="minorHAnsi"/>
          <w:sz w:val="21"/>
          <w:szCs w:val="21"/>
        </w:rPr>
        <w:t>Reduced numbers of young people, especially women</w:t>
      </w:r>
      <w:r w:rsidR="00486296" w:rsidRPr="009575D9">
        <w:rPr>
          <w:rFonts w:cstheme="minorHAnsi"/>
          <w:sz w:val="21"/>
          <w:szCs w:val="21"/>
        </w:rPr>
        <w:t xml:space="preserve"> and members of vulnerable groups</w:t>
      </w:r>
      <w:r w:rsidRPr="009575D9">
        <w:rPr>
          <w:rFonts w:cstheme="minorHAnsi"/>
          <w:sz w:val="21"/>
          <w:szCs w:val="21"/>
        </w:rPr>
        <w:t>, not in education, employment, or training,</w:t>
      </w:r>
    </w:p>
    <w:p w14:paraId="67F890C2" w14:textId="77777777" w:rsidR="00A543AA" w:rsidRPr="009575D9" w:rsidRDefault="00A543AA" w:rsidP="00D9559C">
      <w:pPr>
        <w:pStyle w:val="ListParagraph"/>
        <w:numPr>
          <w:ilvl w:val="0"/>
          <w:numId w:val="5"/>
        </w:numPr>
        <w:spacing w:before="40" w:after="60"/>
        <w:ind w:left="714" w:right="-360" w:hanging="357"/>
        <w:contextualSpacing w:val="0"/>
        <w:jc w:val="both"/>
        <w:rPr>
          <w:sz w:val="21"/>
          <w:szCs w:val="21"/>
        </w:rPr>
      </w:pPr>
      <w:r w:rsidRPr="009575D9">
        <w:rPr>
          <w:rFonts w:cstheme="minorHAnsi"/>
          <w:sz w:val="21"/>
          <w:szCs w:val="21"/>
        </w:rPr>
        <w:t>Stronger policy alignment and working relationships between the education and training systems and the labour market and employer’s organisations.</w:t>
      </w:r>
    </w:p>
    <w:p w14:paraId="45D64DC6" w14:textId="7B1953C9" w:rsidR="00A543AA" w:rsidRPr="009D6F29" w:rsidRDefault="00A543AA" w:rsidP="00D9559C">
      <w:pPr>
        <w:spacing w:before="40" w:after="120" w:line="240" w:lineRule="auto"/>
        <w:ind w:left="357" w:right="-360"/>
        <w:jc w:val="both"/>
        <w:rPr>
          <w:rFonts w:cs="Times New Roman"/>
          <w:sz w:val="21"/>
          <w:szCs w:val="21"/>
        </w:rPr>
      </w:pPr>
      <w:r w:rsidRPr="009575D9">
        <w:rPr>
          <w:rFonts w:cstheme="minorHAnsi"/>
          <w:sz w:val="21"/>
          <w:szCs w:val="21"/>
        </w:rPr>
        <w:t xml:space="preserve">Cooperation between </w:t>
      </w:r>
      <w:r w:rsidR="00247708" w:rsidRPr="009575D9">
        <w:rPr>
          <w:rFonts w:cstheme="minorHAnsi"/>
          <w:sz w:val="21"/>
          <w:szCs w:val="21"/>
        </w:rPr>
        <w:t xml:space="preserve">the </w:t>
      </w:r>
      <w:r w:rsidR="008C1408" w:rsidRPr="009575D9">
        <w:rPr>
          <w:rFonts w:cstheme="minorHAnsi"/>
          <w:sz w:val="21"/>
          <w:szCs w:val="21"/>
        </w:rPr>
        <w:t>authorities</w:t>
      </w:r>
      <w:r w:rsidR="00247708" w:rsidRPr="009575D9">
        <w:rPr>
          <w:rFonts w:cstheme="minorHAnsi"/>
          <w:sz w:val="21"/>
          <w:szCs w:val="21"/>
        </w:rPr>
        <w:t xml:space="preserve"> in BiH</w:t>
      </w:r>
      <w:r w:rsidRPr="009575D9">
        <w:rPr>
          <w:rFonts w:cstheme="minorHAnsi"/>
          <w:sz w:val="21"/>
          <w:szCs w:val="21"/>
        </w:rPr>
        <w:t xml:space="preserve"> and the UN system will focus on </w:t>
      </w:r>
      <w:r w:rsidR="00892CA7" w:rsidRPr="009575D9">
        <w:rPr>
          <w:rFonts w:cstheme="minorHAnsi"/>
          <w:sz w:val="21"/>
          <w:szCs w:val="21"/>
        </w:rPr>
        <w:t>four</w:t>
      </w:r>
      <w:r w:rsidRPr="009575D9">
        <w:rPr>
          <w:rFonts w:cstheme="minorHAnsi"/>
          <w:sz w:val="21"/>
          <w:szCs w:val="21"/>
        </w:rPr>
        <w:t xml:space="preserve"> important conditions that will contribute to these changes.</w:t>
      </w:r>
      <w:r w:rsidRPr="009D6F29">
        <w:rPr>
          <w:rFonts w:cstheme="minorHAnsi"/>
          <w:sz w:val="21"/>
          <w:szCs w:val="21"/>
        </w:rPr>
        <w:t xml:space="preserve">  </w:t>
      </w:r>
    </w:p>
    <w:p w14:paraId="497282F7" w14:textId="15B041CE" w:rsidR="00A543AA" w:rsidRPr="009575D9" w:rsidRDefault="00A543AA" w:rsidP="00D9559C">
      <w:pPr>
        <w:pStyle w:val="ListParagraph"/>
        <w:numPr>
          <w:ilvl w:val="0"/>
          <w:numId w:val="3"/>
        </w:numPr>
        <w:spacing w:after="120"/>
        <w:ind w:right="-360"/>
        <w:contextualSpacing w:val="0"/>
        <w:jc w:val="both"/>
        <w:rPr>
          <w:sz w:val="21"/>
          <w:szCs w:val="21"/>
        </w:rPr>
      </w:pPr>
      <w:r w:rsidRPr="009D6F29">
        <w:rPr>
          <w:sz w:val="21"/>
          <w:szCs w:val="21"/>
        </w:rPr>
        <w:t>First, t</w:t>
      </w:r>
      <w:r w:rsidRPr="009D6F29">
        <w:rPr>
          <w:rFonts w:cstheme="minorHAnsi"/>
          <w:sz w:val="21"/>
          <w:szCs w:val="21"/>
          <w:lang w:val="en-CA"/>
        </w:rPr>
        <w:t xml:space="preserve">he educational performance of young people is </w:t>
      </w:r>
      <w:r w:rsidRPr="009D6F29">
        <w:rPr>
          <w:rFonts w:cstheme="minorHAnsi"/>
          <w:sz w:val="21"/>
          <w:szCs w:val="21"/>
        </w:rPr>
        <w:t xml:space="preserve">instrumental for the achievement of the </w:t>
      </w:r>
      <w:r w:rsidR="00892CA7" w:rsidRPr="009D6F29">
        <w:rPr>
          <w:rFonts w:cstheme="minorHAnsi"/>
          <w:sz w:val="21"/>
          <w:szCs w:val="21"/>
        </w:rPr>
        <w:t xml:space="preserve">Reform Agenda </w:t>
      </w:r>
      <w:r w:rsidRPr="009D6F29">
        <w:rPr>
          <w:rFonts w:cstheme="minorHAnsi"/>
          <w:sz w:val="21"/>
          <w:szCs w:val="21"/>
        </w:rPr>
        <w:t xml:space="preserve">and progress toward EU accession. </w:t>
      </w:r>
      <w:r w:rsidR="00462FC7" w:rsidRPr="009D6F29">
        <w:rPr>
          <w:rFonts w:cstheme="minorHAnsi"/>
          <w:sz w:val="21"/>
          <w:szCs w:val="21"/>
        </w:rPr>
        <w:t>A</w:t>
      </w:r>
      <w:r w:rsidRPr="009D6F29">
        <w:rPr>
          <w:rFonts w:cstheme="minorHAnsi"/>
          <w:sz w:val="21"/>
          <w:szCs w:val="21"/>
        </w:rPr>
        <w:t xml:space="preserve"> renewed focus on quality in teaching and learning is essential. </w:t>
      </w:r>
      <w:r w:rsidR="00462FC7" w:rsidRPr="009D6F29">
        <w:rPr>
          <w:rFonts w:cstheme="minorHAnsi"/>
          <w:sz w:val="21"/>
          <w:szCs w:val="21"/>
        </w:rPr>
        <w:t xml:space="preserve">The UN system will support </w:t>
      </w:r>
      <w:r w:rsidRPr="009D6F29">
        <w:rPr>
          <w:rFonts w:cstheme="minorHAnsi"/>
          <w:sz w:val="21"/>
          <w:szCs w:val="21"/>
        </w:rPr>
        <w:t xml:space="preserve">improved teacher training curriculum and programmes that will enable teachers to use active teaching and learning methods. These involve a </w:t>
      </w:r>
      <w:r w:rsidRPr="009D6F29">
        <w:rPr>
          <w:rFonts w:cstheme="minorHAnsi"/>
          <w:i/>
          <w:sz w:val="21"/>
          <w:szCs w:val="21"/>
        </w:rPr>
        <w:t>shift away</w:t>
      </w:r>
      <w:r w:rsidRPr="009D6F29">
        <w:rPr>
          <w:rFonts w:cstheme="minorHAnsi"/>
          <w:sz w:val="21"/>
          <w:szCs w:val="21"/>
        </w:rPr>
        <w:t xml:space="preserve"> from traditional, passive methods that focus on rote repetition and the reproduction of knowledge toward higher-order thinking skills to gain insight, appraise critically, and apply new knowledge in team or group settings. </w:t>
      </w:r>
      <w:r w:rsidRPr="009575D9">
        <w:rPr>
          <w:rFonts w:cstheme="minorHAnsi"/>
          <w:sz w:val="21"/>
          <w:szCs w:val="21"/>
        </w:rPr>
        <w:t xml:space="preserve">More teachers will have completed the updated minimum teacher training requirements, especially at primary level, and new systems will be established to monitor qualifications as well ongoing professional development. </w:t>
      </w:r>
      <w:r w:rsidR="00913E04" w:rsidRPr="009575D9">
        <w:rPr>
          <w:rFonts w:cstheme="minorHAnsi"/>
          <w:sz w:val="21"/>
          <w:szCs w:val="21"/>
        </w:rPr>
        <w:t>The</w:t>
      </w:r>
      <w:r w:rsidR="008C1408" w:rsidRPr="009575D9">
        <w:rPr>
          <w:rFonts w:cstheme="minorHAnsi"/>
          <w:sz w:val="21"/>
          <w:szCs w:val="21"/>
        </w:rPr>
        <w:t xml:space="preserve"> authorities</w:t>
      </w:r>
      <w:r w:rsidR="00913E04" w:rsidRPr="009575D9">
        <w:rPr>
          <w:rFonts w:cstheme="minorHAnsi"/>
          <w:sz w:val="21"/>
          <w:szCs w:val="21"/>
        </w:rPr>
        <w:t xml:space="preserve"> in BiH</w:t>
      </w:r>
      <w:r w:rsidR="00E83DF7" w:rsidRPr="009575D9">
        <w:rPr>
          <w:rFonts w:cstheme="minorHAnsi"/>
          <w:sz w:val="21"/>
          <w:szCs w:val="21"/>
        </w:rPr>
        <w:t xml:space="preserve"> and the </w:t>
      </w:r>
      <w:r w:rsidRPr="009575D9">
        <w:rPr>
          <w:rFonts w:cstheme="minorHAnsi"/>
          <w:sz w:val="21"/>
          <w:szCs w:val="21"/>
        </w:rPr>
        <w:t xml:space="preserve">UN system will </w:t>
      </w:r>
      <w:r w:rsidR="00E83DF7" w:rsidRPr="009575D9">
        <w:rPr>
          <w:rFonts w:cstheme="minorHAnsi"/>
          <w:sz w:val="21"/>
          <w:szCs w:val="21"/>
        </w:rPr>
        <w:t xml:space="preserve">explore </w:t>
      </w:r>
      <w:r w:rsidRPr="009575D9">
        <w:rPr>
          <w:rFonts w:cstheme="minorHAnsi"/>
          <w:sz w:val="21"/>
          <w:szCs w:val="21"/>
        </w:rPr>
        <w:t>Technology Innovation Labs (</w:t>
      </w:r>
      <w:hyperlink r:id="rId30" w:history="1">
        <w:r w:rsidRPr="009575D9">
          <w:rPr>
            <w:rStyle w:val="Hyperlink"/>
            <w:rFonts w:cstheme="minorHAnsi"/>
            <w:sz w:val="21"/>
            <w:szCs w:val="21"/>
          </w:rPr>
          <w:t>UNTIL</w:t>
        </w:r>
      </w:hyperlink>
      <w:r w:rsidRPr="009575D9">
        <w:rPr>
          <w:rFonts w:cstheme="minorHAnsi"/>
          <w:sz w:val="21"/>
          <w:szCs w:val="21"/>
        </w:rPr>
        <w:t>)</w:t>
      </w:r>
      <w:r w:rsidRPr="009575D9">
        <w:rPr>
          <w:sz w:val="21"/>
          <w:szCs w:val="21"/>
          <w:vertAlign w:val="superscript"/>
        </w:rPr>
        <w:footnoteReference w:id="102"/>
      </w:r>
      <w:r w:rsidRPr="009575D9">
        <w:rPr>
          <w:rFonts w:cstheme="minorHAnsi"/>
          <w:sz w:val="21"/>
          <w:szCs w:val="21"/>
        </w:rPr>
        <w:t xml:space="preserve"> to increase the connectivity of classrooms and create platforms for collaborative problem solving for sustainable development challenges in BiH, such as climate change. In order to address divisions and violence in schools, t</w:t>
      </w:r>
      <w:r w:rsidRPr="009575D9">
        <w:rPr>
          <w:sz w:val="21"/>
          <w:szCs w:val="21"/>
        </w:rPr>
        <w:t>eachers, parents, religious leaders, media and parents have new skills to speak out and encourage open dialogue.</w:t>
      </w:r>
    </w:p>
    <w:p w14:paraId="491715FF" w14:textId="25D93203" w:rsidR="00A543AA" w:rsidRPr="009D6F29" w:rsidRDefault="00A543AA" w:rsidP="00D9559C">
      <w:pPr>
        <w:pStyle w:val="ListParagraph"/>
        <w:numPr>
          <w:ilvl w:val="0"/>
          <w:numId w:val="3"/>
        </w:numPr>
        <w:spacing w:after="120"/>
        <w:ind w:right="-360"/>
        <w:contextualSpacing w:val="0"/>
        <w:jc w:val="both"/>
        <w:rPr>
          <w:sz w:val="21"/>
          <w:szCs w:val="21"/>
        </w:rPr>
      </w:pPr>
      <w:r w:rsidRPr="009575D9">
        <w:rPr>
          <w:sz w:val="21"/>
          <w:szCs w:val="21"/>
        </w:rPr>
        <w:t>Second, a foundation for success in the early years (0-3yrs) is essential for this shift. Research shows that a dollar invested in quality early childhood programs </w:t>
      </w:r>
      <w:hyperlink r:id="rId31" w:history="1">
        <w:r w:rsidRPr="009575D9">
          <w:rPr>
            <w:rStyle w:val="Hyperlink"/>
            <w:sz w:val="21"/>
            <w:szCs w:val="21"/>
          </w:rPr>
          <w:t>yields a return</w:t>
        </w:r>
      </w:hyperlink>
      <w:r w:rsidRPr="009575D9">
        <w:rPr>
          <w:sz w:val="21"/>
          <w:szCs w:val="21"/>
        </w:rPr>
        <w:t> of between $6 and $17 dollars</w:t>
      </w:r>
      <w:r w:rsidRPr="009575D9">
        <w:rPr>
          <w:rFonts w:cs="Arial"/>
          <w:color w:val="000000"/>
          <w:sz w:val="21"/>
          <w:szCs w:val="21"/>
          <w:vertAlign w:val="superscript"/>
          <w:lang w:val="en-GB" w:eastAsia="it-IT"/>
        </w:rPr>
        <w:footnoteReference w:id="103"/>
      </w:r>
      <w:r w:rsidRPr="009575D9">
        <w:rPr>
          <w:rFonts w:cs="Arial"/>
          <w:color w:val="000000"/>
          <w:sz w:val="21"/>
          <w:szCs w:val="21"/>
          <w:lang w:val="en-GB" w:eastAsia="it-IT"/>
        </w:rPr>
        <w:t>.</w:t>
      </w:r>
      <w:r w:rsidRPr="009575D9">
        <w:rPr>
          <w:sz w:val="21"/>
          <w:szCs w:val="21"/>
        </w:rPr>
        <w:t xml:space="preserve"> </w:t>
      </w:r>
      <w:r w:rsidR="000A2E5E" w:rsidRPr="009575D9">
        <w:rPr>
          <w:sz w:val="21"/>
          <w:szCs w:val="21"/>
        </w:rPr>
        <w:t>The</w:t>
      </w:r>
      <w:r w:rsidR="008C1408" w:rsidRPr="009575D9">
        <w:rPr>
          <w:sz w:val="21"/>
          <w:szCs w:val="21"/>
        </w:rPr>
        <w:t xml:space="preserve"> authorities</w:t>
      </w:r>
      <w:r w:rsidR="000A2E5E" w:rsidRPr="009575D9">
        <w:rPr>
          <w:sz w:val="21"/>
          <w:szCs w:val="21"/>
        </w:rPr>
        <w:t xml:space="preserve"> in BiH</w:t>
      </w:r>
      <w:r w:rsidRPr="009575D9">
        <w:rPr>
          <w:sz w:val="21"/>
          <w:szCs w:val="21"/>
        </w:rPr>
        <w:t xml:space="preserve"> have established multi-sector working groups for Early Childhood Development (ECD) and programmes and initiatives have been adopted</w:t>
      </w:r>
      <w:r w:rsidRPr="009575D9">
        <w:rPr>
          <w:rStyle w:val="FootnoteReference"/>
          <w:sz w:val="21"/>
          <w:szCs w:val="21"/>
        </w:rPr>
        <w:footnoteReference w:id="104"/>
      </w:r>
      <w:r w:rsidRPr="009575D9">
        <w:rPr>
          <w:sz w:val="21"/>
          <w:szCs w:val="21"/>
        </w:rPr>
        <w:t xml:space="preserve">. BiH and UN cooperation will focus on implementation, quality assurance, and performance monitoring to ensure the </w:t>
      </w:r>
      <w:r w:rsidRPr="009575D9">
        <w:rPr>
          <w:b/>
          <w:sz w:val="21"/>
          <w:szCs w:val="21"/>
        </w:rPr>
        <w:t>quality and affordability of day cares and kindergartens</w:t>
      </w:r>
      <w:r w:rsidRPr="009575D9">
        <w:rPr>
          <w:sz w:val="21"/>
          <w:szCs w:val="21"/>
        </w:rPr>
        <w:t>, especially in under-served area</w:t>
      </w:r>
      <w:r w:rsidR="00B72D5F" w:rsidRPr="009575D9">
        <w:rPr>
          <w:sz w:val="21"/>
          <w:szCs w:val="21"/>
        </w:rPr>
        <w:t>s</w:t>
      </w:r>
      <w:r w:rsidRPr="009575D9">
        <w:rPr>
          <w:sz w:val="21"/>
          <w:szCs w:val="21"/>
        </w:rPr>
        <w:t xml:space="preserve">. </w:t>
      </w:r>
      <w:r w:rsidR="00B72D5F" w:rsidRPr="009575D9">
        <w:rPr>
          <w:sz w:val="21"/>
          <w:szCs w:val="21"/>
        </w:rPr>
        <w:t xml:space="preserve">UN support will include policy and service development to strengthen the </w:t>
      </w:r>
      <w:r w:rsidR="00E47595" w:rsidRPr="009575D9">
        <w:rPr>
          <w:sz w:val="21"/>
          <w:szCs w:val="21"/>
        </w:rPr>
        <w:t xml:space="preserve">early identification of developmental delays </w:t>
      </w:r>
      <w:r w:rsidR="00B72D5F" w:rsidRPr="009575D9">
        <w:rPr>
          <w:sz w:val="21"/>
          <w:szCs w:val="21"/>
        </w:rPr>
        <w:t>and appropriate education system</w:t>
      </w:r>
      <w:r w:rsidR="00FC5E3E" w:rsidRPr="009575D9">
        <w:rPr>
          <w:sz w:val="21"/>
          <w:szCs w:val="21"/>
        </w:rPr>
        <w:t>s</w:t>
      </w:r>
      <w:r w:rsidR="00B72D5F" w:rsidRPr="009575D9">
        <w:rPr>
          <w:sz w:val="21"/>
          <w:szCs w:val="21"/>
        </w:rPr>
        <w:t xml:space="preserve"> responses</w:t>
      </w:r>
      <w:r w:rsidR="00B72D5F" w:rsidRPr="009D6F29">
        <w:rPr>
          <w:sz w:val="21"/>
          <w:szCs w:val="21"/>
        </w:rPr>
        <w:t>.</w:t>
      </w:r>
      <w:r w:rsidR="00E47595" w:rsidRPr="009D6F29">
        <w:rPr>
          <w:sz w:val="21"/>
          <w:szCs w:val="21"/>
        </w:rPr>
        <w:t xml:space="preserve">  </w:t>
      </w:r>
      <w:r w:rsidRPr="009D6F29">
        <w:rPr>
          <w:sz w:val="21"/>
          <w:szCs w:val="21"/>
        </w:rPr>
        <w:t>This will support efforts to ensure that the new generation of young people in BiH is ready to learn and thrive.</w:t>
      </w:r>
    </w:p>
    <w:p w14:paraId="15B3B06E" w14:textId="1B4BF0E1" w:rsidR="00A543AA" w:rsidRPr="009D6F29" w:rsidRDefault="00A543AA" w:rsidP="00D9559C">
      <w:pPr>
        <w:pStyle w:val="ListParagraph"/>
        <w:numPr>
          <w:ilvl w:val="0"/>
          <w:numId w:val="3"/>
        </w:numPr>
        <w:spacing w:after="120"/>
        <w:ind w:right="-360"/>
        <w:contextualSpacing w:val="0"/>
        <w:jc w:val="both"/>
        <w:rPr>
          <w:sz w:val="21"/>
          <w:szCs w:val="21"/>
        </w:rPr>
      </w:pPr>
      <w:r w:rsidRPr="009D6F29">
        <w:rPr>
          <w:sz w:val="21"/>
          <w:szCs w:val="21"/>
        </w:rPr>
        <w:t xml:space="preserve">Third, </w:t>
      </w:r>
      <w:r w:rsidRPr="009D6F29">
        <w:rPr>
          <w:rFonts w:cstheme="minorHAnsi"/>
          <w:sz w:val="21"/>
          <w:szCs w:val="21"/>
        </w:rPr>
        <w:t>technical and vocational education and training (TVET), are being called-upon to produce a new generation of entrepreneurs, managers and skilled workers. But they are insufficiently equipped to provide the marketable skills that employer</w:t>
      </w:r>
      <w:r w:rsidR="006336D7" w:rsidRPr="009D6F29">
        <w:rPr>
          <w:rFonts w:cstheme="minorHAnsi"/>
          <w:sz w:val="21"/>
          <w:szCs w:val="21"/>
        </w:rPr>
        <w:t>s</w:t>
      </w:r>
      <w:r w:rsidRPr="009D6F29">
        <w:rPr>
          <w:rFonts w:cstheme="minorHAnsi"/>
          <w:sz w:val="21"/>
          <w:szCs w:val="21"/>
        </w:rPr>
        <w:t xml:space="preserve"> want. It must find ways to boost offerings, tied with market needs, enhance teaching and learning performance and whet the appetites of young people for the entrepreneurial challenge. </w:t>
      </w:r>
    </w:p>
    <w:p w14:paraId="4E76CFA9" w14:textId="717E11EA" w:rsidR="00117678" w:rsidRDefault="00A543AA" w:rsidP="00D9559C">
      <w:pPr>
        <w:pStyle w:val="ListParagraph"/>
        <w:numPr>
          <w:ilvl w:val="0"/>
          <w:numId w:val="0"/>
        </w:numPr>
        <w:spacing w:after="240"/>
        <w:ind w:left="357" w:right="-360"/>
        <w:contextualSpacing w:val="0"/>
        <w:jc w:val="both"/>
        <w:rPr>
          <w:sz w:val="21"/>
          <w:szCs w:val="21"/>
        </w:rPr>
      </w:pPr>
      <w:r w:rsidRPr="00117678">
        <w:rPr>
          <w:sz w:val="21"/>
          <w:szCs w:val="21"/>
        </w:rPr>
        <w:t xml:space="preserve">Fourth, new mechanisms will be developed and piloted to connect employer organisations with decision makers in the education and training institutes </w:t>
      </w:r>
      <w:r w:rsidR="00B72D5F" w:rsidRPr="00117678">
        <w:rPr>
          <w:sz w:val="21"/>
          <w:szCs w:val="21"/>
        </w:rPr>
        <w:t xml:space="preserve">and universities </w:t>
      </w:r>
      <w:r w:rsidRPr="00117678">
        <w:rPr>
          <w:sz w:val="21"/>
          <w:szCs w:val="21"/>
        </w:rPr>
        <w:t xml:space="preserve">to strengthen the connection between education, skilling and employability. </w:t>
      </w:r>
      <w:r w:rsidR="00000026" w:rsidRPr="00117678">
        <w:rPr>
          <w:sz w:val="21"/>
          <w:szCs w:val="21"/>
        </w:rPr>
        <w:t>These will help to guide the a</w:t>
      </w:r>
      <w:r w:rsidRPr="00117678">
        <w:rPr>
          <w:sz w:val="21"/>
          <w:szCs w:val="21"/>
        </w:rPr>
        <w:t xml:space="preserve">ctive labour market measures </w:t>
      </w:r>
      <w:r w:rsidR="00000026" w:rsidRPr="00117678">
        <w:rPr>
          <w:sz w:val="21"/>
          <w:szCs w:val="21"/>
        </w:rPr>
        <w:t xml:space="preserve">(under outcome 1) </w:t>
      </w:r>
      <w:r w:rsidRPr="00117678">
        <w:rPr>
          <w:sz w:val="21"/>
          <w:szCs w:val="21"/>
        </w:rPr>
        <w:t>in targeted municipalities to support school leavers, the unemployed and underemployed to seek out new training and new careers opportunities.</w:t>
      </w:r>
    </w:p>
    <w:p w14:paraId="0C8231A0" w14:textId="79B68516" w:rsidR="00F27B71" w:rsidRDefault="00F27B71" w:rsidP="00D9559C">
      <w:pPr>
        <w:pStyle w:val="ListParagraph"/>
        <w:numPr>
          <w:ilvl w:val="0"/>
          <w:numId w:val="0"/>
        </w:numPr>
        <w:spacing w:after="240"/>
        <w:ind w:left="357" w:right="-360"/>
        <w:contextualSpacing w:val="0"/>
        <w:jc w:val="both"/>
        <w:rPr>
          <w:sz w:val="21"/>
          <w:szCs w:val="21"/>
        </w:rPr>
      </w:pPr>
    </w:p>
    <w:p w14:paraId="6A1CA582" w14:textId="77777777" w:rsidR="00F27B71" w:rsidRPr="00117678" w:rsidRDefault="00F27B71" w:rsidP="00D9559C">
      <w:pPr>
        <w:pStyle w:val="ListParagraph"/>
        <w:numPr>
          <w:ilvl w:val="0"/>
          <w:numId w:val="0"/>
        </w:numPr>
        <w:spacing w:after="240"/>
        <w:ind w:left="357" w:right="-360"/>
        <w:contextualSpacing w:val="0"/>
        <w:jc w:val="both"/>
        <w:rPr>
          <w:sz w:val="21"/>
          <w:szCs w:val="21"/>
        </w:rPr>
      </w:pPr>
    </w:p>
    <w:tbl>
      <w:tblPr>
        <w:tblStyle w:val="TableGrid"/>
        <w:tblW w:w="9923" w:type="dxa"/>
        <w:tblInd w:w="-34" w:type="dxa"/>
        <w:tblBorders>
          <w:left w:val="none" w:sz="0" w:space="0" w:color="auto"/>
          <w:right w:val="none" w:sz="0" w:space="0" w:color="auto"/>
        </w:tblBorders>
        <w:shd w:val="clear" w:color="auto" w:fill="C6D9F1" w:themeFill="text2" w:themeFillTint="33"/>
        <w:tblLook w:val="04A0" w:firstRow="1" w:lastRow="0" w:firstColumn="1" w:lastColumn="0" w:noHBand="0" w:noVBand="1"/>
      </w:tblPr>
      <w:tblGrid>
        <w:gridCol w:w="9923"/>
      </w:tblGrid>
      <w:tr w:rsidR="000E5D85" w:rsidRPr="00A1653F" w14:paraId="67795585" w14:textId="77777777" w:rsidTr="00197F4E">
        <w:trPr>
          <w:trHeight w:val="311"/>
        </w:trPr>
        <w:tc>
          <w:tcPr>
            <w:tcW w:w="9923" w:type="dxa"/>
            <w:tcBorders>
              <w:top w:val="single" w:sz="4" w:space="0" w:color="548DD4" w:themeColor="text2" w:themeTint="99"/>
              <w:bottom w:val="single" w:sz="4" w:space="0" w:color="548DD4" w:themeColor="text2" w:themeTint="99"/>
              <w:right w:val="nil"/>
            </w:tcBorders>
            <w:shd w:val="clear" w:color="auto" w:fill="C6D9F1" w:themeFill="text2" w:themeFillTint="33"/>
          </w:tcPr>
          <w:p w14:paraId="78F844EE" w14:textId="119F9C89" w:rsidR="000E5D85" w:rsidRPr="00A1653F" w:rsidRDefault="000E5D85" w:rsidP="00D9559C">
            <w:pPr>
              <w:spacing w:before="120" w:after="120"/>
              <w:ind w:right="-360"/>
              <w:jc w:val="both"/>
              <w:rPr>
                <w:rFonts w:cstheme="minorHAnsi"/>
                <w:sz w:val="21"/>
                <w:szCs w:val="21"/>
                <w:highlight w:val="yellow"/>
              </w:rPr>
            </w:pPr>
            <w:r w:rsidRPr="00A1653F">
              <w:rPr>
                <w:rFonts w:cstheme="minorHAnsi"/>
                <w:b/>
                <w:sz w:val="21"/>
                <w:szCs w:val="21"/>
              </w:rPr>
              <w:t xml:space="preserve">Outcome 3. </w:t>
            </w:r>
            <w:r w:rsidRPr="00A1653F">
              <w:rPr>
                <w:rFonts w:cstheme="minorHAnsi"/>
                <w:sz w:val="21"/>
                <w:szCs w:val="21"/>
              </w:rPr>
              <w:t>By 2025, people have access to better quality and inclusive health and social protection</w:t>
            </w:r>
            <w:r w:rsidR="00D819E7" w:rsidRPr="00A1653F">
              <w:rPr>
                <w:rFonts w:cstheme="minorHAnsi"/>
                <w:sz w:val="21"/>
                <w:szCs w:val="21"/>
              </w:rPr>
              <w:t xml:space="preserve"> </w:t>
            </w:r>
            <w:r w:rsidRPr="00A1653F">
              <w:rPr>
                <w:rFonts w:cstheme="minorHAnsi"/>
                <w:sz w:val="21"/>
                <w:szCs w:val="21"/>
              </w:rPr>
              <w:t>systems</w:t>
            </w:r>
          </w:p>
        </w:tc>
      </w:tr>
    </w:tbl>
    <w:p w14:paraId="0C1938C4" w14:textId="4EADED7F" w:rsidR="00A543AA" w:rsidRPr="00197F4E" w:rsidRDefault="005A505F" w:rsidP="00D9559C">
      <w:pPr>
        <w:spacing w:before="120" w:after="120" w:line="240" w:lineRule="auto"/>
        <w:ind w:right="-360"/>
        <w:jc w:val="both"/>
        <w:rPr>
          <w:rFonts w:cstheme="minorHAnsi"/>
          <w:color w:val="0F243E" w:themeColor="text2" w:themeShade="80"/>
        </w:rPr>
      </w:pPr>
      <w:r>
        <w:rPr>
          <w:rFonts w:cstheme="minorHAnsi"/>
          <w:b/>
          <w:color w:val="0F243E" w:themeColor="text2" w:themeShade="80"/>
        </w:rPr>
        <w:t>T</w:t>
      </w:r>
      <w:r w:rsidR="00A543AA" w:rsidRPr="00522ED7">
        <w:rPr>
          <w:rFonts w:cstheme="minorHAnsi"/>
          <w:b/>
          <w:color w:val="0F243E" w:themeColor="text2" w:themeShade="80"/>
        </w:rPr>
        <w:t xml:space="preserve">heory </w:t>
      </w:r>
      <w:r w:rsidR="00A543AA" w:rsidRPr="00197F4E">
        <w:rPr>
          <w:rFonts w:cstheme="minorHAnsi"/>
          <w:b/>
          <w:color w:val="0F243E" w:themeColor="text2" w:themeShade="80"/>
        </w:rPr>
        <w:t xml:space="preserve">of change </w:t>
      </w:r>
    </w:p>
    <w:p w14:paraId="433F53F3" w14:textId="4EA56454" w:rsidR="009625D5" w:rsidRPr="009625D5" w:rsidRDefault="00A543AA" w:rsidP="00D9559C">
      <w:pPr>
        <w:pStyle w:val="ListParagraph"/>
        <w:numPr>
          <w:ilvl w:val="0"/>
          <w:numId w:val="3"/>
        </w:numPr>
        <w:spacing w:after="120"/>
        <w:ind w:left="357" w:right="-360" w:hanging="357"/>
        <w:contextualSpacing w:val="0"/>
        <w:jc w:val="both"/>
        <w:rPr>
          <w:sz w:val="21"/>
          <w:szCs w:val="21"/>
        </w:rPr>
      </w:pPr>
      <w:r w:rsidRPr="00197F4E">
        <w:rPr>
          <w:rFonts w:cstheme="minorHAnsi"/>
          <w:sz w:val="21"/>
          <w:szCs w:val="21"/>
          <w:lang w:val="en-CA"/>
        </w:rPr>
        <w:t xml:space="preserve">In line with </w:t>
      </w:r>
      <w:r w:rsidR="00892CA7" w:rsidRPr="009575D9">
        <w:rPr>
          <w:rFonts w:cstheme="minorHAnsi"/>
          <w:sz w:val="21"/>
          <w:szCs w:val="21"/>
          <w:lang w:val="en-CA"/>
        </w:rPr>
        <w:t xml:space="preserve">the </w:t>
      </w:r>
      <w:r w:rsidR="00522ED7" w:rsidRPr="009575D9">
        <w:rPr>
          <w:rFonts w:cstheme="minorHAnsi"/>
          <w:sz w:val="21"/>
          <w:szCs w:val="21"/>
          <w:lang w:val="en-CA"/>
        </w:rPr>
        <w:t>priorities</w:t>
      </w:r>
      <w:r w:rsidR="00407884" w:rsidRPr="009575D9">
        <w:rPr>
          <w:rFonts w:cstheme="minorHAnsi"/>
          <w:sz w:val="21"/>
          <w:szCs w:val="21"/>
          <w:lang w:val="en-CA"/>
        </w:rPr>
        <w:t xml:space="preserve"> in BiH</w:t>
      </w:r>
      <w:r w:rsidRPr="009575D9">
        <w:rPr>
          <w:rFonts w:cstheme="minorHAnsi"/>
          <w:sz w:val="21"/>
          <w:szCs w:val="21"/>
          <w:lang w:val="en-CA"/>
        </w:rPr>
        <w:t xml:space="preserve">, </w:t>
      </w:r>
      <w:r w:rsidR="00892CA7" w:rsidRPr="009575D9">
        <w:rPr>
          <w:rFonts w:cstheme="minorHAnsi"/>
          <w:sz w:val="21"/>
          <w:szCs w:val="21"/>
          <w:lang w:eastAsia="en-CA"/>
        </w:rPr>
        <w:t>the theory of change underlying this outcome is that</w:t>
      </w:r>
      <w:r w:rsidR="00892CA7" w:rsidRPr="009575D9">
        <w:rPr>
          <w:rFonts w:cstheme="minorHAnsi"/>
          <w:sz w:val="21"/>
          <w:szCs w:val="21"/>
          <w:lang w:val="en-CA"/>
        </w:rPr>
        <w:t xml:space="preserve"> </w:t>
      </w:r>
      <w:r w:rsidRPr="009575D9">
        <w:rPr>
          <w:rFonts w:cstheme="minorHAnsi"/>
          <w:sz w:val="21"/>
          <w:szCs w:val="21"/>
          <w:lang w:val="en-CA"/>
        </w:rPr>
        <w:t xml:space="preserve">quality, affordable public health care </w:t>
      </w:r>
      <w:r w:rsidR="00D819E7" w:rsidRPr="009575D9">
        <w:rPr>
          <w:rFonts w:cstheme="minorHAnsi"/>
          <w:sz w:val="21"/>
          <w:szCs w:val="21"/>
          <w:lang w:val="en-CA"/>
        </w:rPr>
        <w:t xml:space="preserve">and social </w:t>
      </w:r>
      <w:r w:rsidR="00892CA7" w:rsidRPr="009575D9">
        <w:rPr>
          <w:rFonts w:cstheme="minorHAnsi"/>
          <w:sz w:val="21"/>
          <w:szCs w:val="21"/>
          <w:lang w:val="en-CA"/>
        </w:rPr>
        <w:t xml:space="preserve">protection and </w:t>
      </w:r>
      <w:r w:rsidR="00D819E7" w:rsidRPr="009575D9">
        <w:rPr>
          <w:rFonts w:cstheme="minorHAnsi"/>
          <w:sz w:val="21"/>
          <w:szCs w:val="21"/>
          <w:lang w:val="en-CA"/>
        </w:rPr>
        <w:t>welfare</w:t>
      </w:r>
      <w:r w:rsidR="00D819E7" w:rsidRPr="00197F4E">
        <w:rPr>
          <w:rFonts w:cstheme="minorHAnsi"/>
          <w:sz w:val="21"/>
          <w:szCs w:val="21"/>
          <w:lang w:val="en-CA"/>
        </w:rPr>
        <w:t xml:space="preserve"> services </w:t>
      </w:r>
      <w:r w:rsidR="008104CB" w:rsidRPr="00197F4E">
        <w:rPr>
          <w:rFonts w:cstheme="minorHAnsi"/>
          <w:sz w:val="21"/>
          <w:szCs w:val="21"/>
          <w:lang w:val="en-CA"/>
        </w:rPr>
        <w:t>will contribute</w:t>
      </w:r>
      <w:r w:rsidR="00240456">
        <w:rPr>
          <w:rFonts w:cstheme="minorHAnsi"/>
          <w:sz w:val="21"/>
          <w:szCs w:val="21"/>
          <w:lang w:val="en-CA"/>
        </w:rPr>
        <w:t xml:space="preserve"> to</w:t>
      </w:r>
      <w:r w:rsidR="008104CB" w:rsidRPr="00197F4E">
        <w:rPr>
          <w:rFonts w:cstheme="minorHAnsi"/>
          <w:sz w:val="21"/>
          <w:szCs w:val="21"/>
          <w:lang w:val="en-CA"/>
        </w:rPr>
        <w:t xml:space="preserve"> improved </w:t>
      </w:r>
      <w:r w:rsidR="004E3187">
        <w:rPr>
          <w:rFonts w:cstheme="minorHAnsi"/>
          <w:sz w:val="21"/>
          <w:szCs w:val="21"/>
          <w:lang w:val="en-CA"/>
        </w:rPr>
        <w:t xml:space="preserve">and </w:t>
      </w:r>
      <w:r w:rsidR="008104CB" w:rsidRPr="00197F4E">
        <w:rPr>
          <w:rFonts w:cstheme="minorHAnsi"/>
          <w:sz w:val="21"/>
          <w:szCs w:val="21"/>
          <w:lang w:val="en-CA"/>
        </w:rPr>
        <w:t>more resilient, secure livelihoods and stronger economic performance.</w:t>
      </w:r>
      <w:r w:rsidR="008104CB" w:rsidRPr="00197F4E">
        <w:rPr>
          <w:sz w:val="21"/>
          <w:szCs w:val="21"/>
          <w:shd w:val="clear" w:color="auto" w:fill="FFFFFF"/>
        </w:rPr>
        <w:t xml:space="preserve"> Th</w:t>
      </w:r>
      <w:r w:rsidRPr="00197F4E">
        <w:rPr>
          <w:sz w:val="21"/>
          <w:szCs w:val="21"/>
          <w:shd w:val="clear" w:color="auto" w:fill="FFFFFF"/>
        </w:rPr>
        <w:t xml:space="preserve">e </w:t>
      </w:r>
      <w:r w:rsidRPr="00197F4E">
        <w:rPr>
          <w:rFonts w:cstheme="minorHAnsi"/>
          <w:sz w:val="21"/>
          <w:szCs w:val="21"/>
          <w:lang w:eastAsia="en-CA"/>
        </w:rPr>
        <w:t>cooperation outcome is to create c</w:t>
      </w:r>
      <w:r w:rsidRPr="00197F4E">
        <w:rPr>
          <w:rFonts w:cstheme="minorHAnsi"/>
          <w:i/>
          <w:sz w:val="21"/>
          <w:szCs w:val="21"/>
          <w:lang w:eastAsia="en-CA"/>
        </w:rPr>
        <w:t>o</w:t>
      </w:r>
      <w:r w:rsidRPr="00197F4E">
        <w:rPr>
          <w:rFonts w:cstheme="minorHAnsi"/>
          <w:sz w:val="21"/>
          <w:szCs w:val="21"/>
          <w:lang w:eastAsia="en-CA"/>
        </w:rPr>
        <w:t xml:space="preserve">nditions for more efficient, fair, </w:t>
      </w:r>
      <w:r w:rsidR="00F301D6">
        <w:rPr>
          <w:rFonts w:cstheme="minorHAnsi"/>
          <w:sz w:val="21"/>
          <w:szCs w:val="21"/>
          <w:lang w:eastAsia="en-CA"/>
        </w:rPr>
        <w:t xml:space="preserve">resilient </w:t>
      </w:r>
      <w:r w:rsidRPr="00197F4E">
        <w:rPr>
          <w:rFonts w:cstheme="minorHAnsi"/>
          <w:sz w:val="21"/>
          <w:szCs w:val="21"/>
          <w:lang w:eastAsia="en-CA"/>
        </w:rPr>
        <w:t>and inclusive health care and social protection</w:t>
      </w:r>
      <w:r w:rsidR="00D819E7" w:rsidRPr="00197F4E">
        <w:rPr>
          <w:rFonts w:cstheme="minorHAnsi"/>
          <w:sz w:val="21"/>
          <w:szCs w:val="21"/>
          <w:lang w:eastAsia="en-CA"/>
        </w:rPr>
        <w:t xml:space="preserve"> and social welfare</w:t>
      </w:r>
      <w:r w:rsidRPr="00197F4E">
        <w:rPr>
          <w:rFonts w:cstheme="minorHAnsi"/>
          <w:sz w:val="21"/>
          <w:szCs w:val="21"/>
          <w:lang w:eastAsia="en-CA"/>
        </w:rPr>
        <w:t xml:space="preserve"> systems</w:t>
      </w:r>
      <w:r w:rsidR="00D819E7" w:rsidRPr="00197F4E">
        <w:rPr>
          <w:rFonts w:cstheme="minorHAnsi"/>
          <w:sz w:val="21"/>
          <w:szCs w:val="21"/>
          <w:lang w:eastAsia="en-CA"/>
        </w:rPr>
        <w:t xml:space="preserve"> and services</w:t>
      </w:r>
      <w:r w:rsidRPr="00197F4E">
        <w:rPr>
          <w:rFonts w:cstheme="minorHAnsi"/>
          <w:sz w:val="21"/>
          <w:szCs w:val="21"/>
          <w:lang w:eastAsia="en-CA"/>
        </w:rPr>
        <w:t>.</w:t>
      </w:r>
    </w:p>
    <w:p w14:paraId="09932540" w14:textId="36235740" w:rsidR="009625D5" w:rsidRPr="009575D9" w:rsidRDefault="009625D5" w:rsidP="00D9559C">
      <w:pPr>
        <w:pStyle w:val="ListParagraph"/>
        <w:numPr>
          <w:ilvl w:val="0"/>
          <w:numId w:val="3"/>
        </w:numPr>
        <w:spacing w:after="120"/>
        <w:ind w:left="357" w:right="-360" w:hanging="357"/>
        <w:contextualSpacing w:val="0"/>
        <w:jc w:val="both"/>
        <w:rPr>
          <w:rFonts w:cstheme="minorHAnsi"/>
          <w:sz w:val="21"/>
          <w:szCs w:val="21"/>
          <w:lang w:eastAsia="en-CA"/>
        </w:rPr>
      </w:pPr>
      <w:r w:rsidRPr="009575D9">
        <w:rPr>
          <w:rFonts w:cstheme="minorHAnsi"/>
          <w:sz w:val="21"/>
          <w:szCs w:val="21"/>
          <w:lang w:eastAsia="en-CA"/>
        </w:rPr>
        <w:t xml:space="preserve">The COVID-19 pandemic is placing health systems and services under tremendous strain. </w:t>
      </w:r>
      <w:r w:rsidR="00B9033E" w:rsidRPr="009575D9">
        <w:rPr>
          <w:rFonts w:cstheme="minorHAnsi"/>
          <w:sz w:val="21"/>
          <w:szCs w:val="21"/>
          <w:lang w:eastAsia="en-CA"/>
        </w:rPr>
        <w:t>The a</w:t>
      </w:r>
      <w:r w:rsidRPr="009575D9">
        <w:rPr>
          <w:rFonts w:cstheme="minorHAnsi"/>
          <w:sz w:val="21"/>
          <w:szCs w:val="21"/>
          <w:lang w:eastAsia="en-CA"/>
        </w:rPr>
        <w:t xml:space="preserve">uthorities in BiH will need to make difficult decisions to balance pandemic response with the maintenance of other essential health services, without risking system collapse. Many routine and elective services may be postponed or suspended. In addition, when routine practice comes under threat due to competing demands, simplified purpose-designed governance mechanisms and protocols can mitigate outright system failure. Establishing and maintaining effective screening, triage, and targeted referral of COVID-19 and non-COVID-19 cases is essential. Vulnerable groups may not have equal access to timely, quality information about infection risks and quality preventive and curative health services. </w:t>
      </w:r>
    </w:p>
    <w:p w14:paraId="1A3C8A01" w14:textId="37E9E62D" w:rsidR="00275400" w:rsidRPr="009575D9" w:rsidRDefault="00ED0854" w:rsidP="007D333C">
      <w:pPr>
        <w:pStyle w:val="ListParagraph"/>
        <w:numPr>
          <w:ilvl w:val="0"/>
          <w:numId w:val="3"/>
        </w:numPr>
        <w:spacing w:after="120"/>
        <w:ind w:left="357" w:right="-360" w:hanging="357"/>
        <w:contextualSpacing w:val="0"/>
        <w:jc w:val="both"/>
        <w:rPr>
          <w:rFonts w:cstheme="minorHAnsi"/>
          <w:sz w:val="21"/>
          <w:szCs w:val="21"/>
          <w:lang w:eastAsia="en-CA"/>
        </w:rPr>
      </w:pPr>
      <w:r w:rsidRPr="009575D9">
        <w:rPr>
          <w:rFonts w:cstheme="minorHAnsi"/>
          <w:sz w:val="21"/>
          <w:szCs w:val="21"/>
          <w:lang w:eastAsia="en-CA"/>
        </w:rPr>
        <w:t xml:space="preserve">Efforts to </w:t>
      </w:r>
      <w:r w:rsidR="008104CB" w:rsidRPr="009575D9">
        <w:rPr>
          <w:rFonts w:cstheme="minorHAnsi"/>
          <w:sz w:val="21"/>
          <w:szCs w:val="21"/>
          <w:lang w:eastAsia="en-CA"/>
        </w:rPr>
        <w:t xml:space="preserve">analyse and find efficiencies in </w:t>
      </w:r>
      <w:r w:rsidR="009625D5" w:rsidRPr="009575D9">
        <w:rPr>
          <w:rFonts w:cstheme="minorHAnsi"/>
          <w:sz w:val="21"/>
          <w:szCs w:val="21"/>
          <w:lang w:eastAsia="en-CA"/>
        </w:rPr>
        <w:t xml:space="preserve">health and social protection </w:t>
      </w:r>
      <w:r w:rsidR="00A543AA" w:rsidRPr="009575D9">
        <w:rPr>
          <w:rFonts w:cstheme="minorHAnsi"/>
          <w:sz w:val="21"/>
          <w:szCs w:val="21"/>
        </w:rPr>
        <w:t xml:space="preserve">spending and </w:t>
      </w:r>
      <w:r w:rsidR="009625D5" w:rsidRPr="009575D9">
        <w:rPr>
          <w:rFonts w:cstheme="minorHAnsi"/>
          <w:sz w:val="21"/>
          <w:szCs w:val="21"/>
        </w:rPr>
        <w:t xml:space="preserve">targeting of </w:t>
      </w:r>
      <w:r w:rsidR="00A543AA" w:rsidRPr="009575D9">
        <w:rPr>
          <w:rFonts w:cstheme="minorHAnsi"/>
          <w:sz w:val="21"/>
          <w:szCs w:val="21"/>
        </w:rPr>
        <w:t>services will be a major focus of cooperation efforts</w:t>
      </w:r>
      <w:r w:rsidR="009625D5" w:rsidRPr="009575D9">
        <w:rPr>
          <w:rFonts w:cstheme="minorHAnsi"/>
          <w:sz w:val="21"/>
          <w:szCs w:val="21"/>
        </w:rPr>
        <w:t xml:space="preserve">. The UN system will support an </w:t>
      </w:r>
      <w:r w:rsidR="009625D5" w:rsidRPr="009575D9">
        <w:rPr>
          <w:rFonts w:cstheme="minorHAnsi"/>
          <w:sz w:val="21"/>
          <w:szCs w:val="21"/>
          <w:lang w:eastAsia="en-CA"/>
        </w:rPr>
        <w:t xml:space="preserve">equity focus to ensure that </w:t>
      </w:r>
      <w:r w:rsidR="009625D5" w:rsidRPr="009575D9">
        <w:rPr>
          <w:rFonts w:cstheme="minorHAnsi"/>
          <w:sz w:val="21"/>
          <w:szCs w:val="21"/>
        </w:rPr>
        <w:t xml:space="preserve">health and social protection programmes and services </w:t>
      </w:r>
      <w:r w:rsidR="009625D5" w:rsidRPr="009575D9">
        <w:rPr>
          <w:rFonts w:cstheme="minorHAnsi"/>
          <w:sz w:val="21"/>
          <w:szCs w:val="21"/>
          <w:lang w:eastAsia="en-CA"/>
        </w:rPr>
        <w:t xml:space="preserve">are resilient and responding effectively to the situation of vulnerable groups. </w:t>
      </w:r>
      <w:r w:rsidR="009625D5" w:rsidRPr="009575D9">
        <w:rPr>
          <w:rFonts w:cstheme="minorHAnsi"/>
          <w:sz w:val="21"/>
          <w:szCs w:val="21"/>
        </w:rPr>
        <w:t xml:space="preserve">This includes support for </w:t>
      </w:r>
      <w:r w:rsidR="00330AEB" w:rsidRPr="009575D9">
        <w:rPr>
          <w:sz w:val="21"/>
          <w:szCs w:val="21"/>
        </w:rPr>
        <w:t xml:space="preserve">emergency preparedness and planning in order to increase </w:t>
      </w:r>
      <w:r w:rsidR="009625D5" w:rsidRPr="009575D9">
        <w:rPr>
          <w:sz w:val="21"/>
          <w:szCs w:val="21"/>
        </w:rPr>
        <w:t xml:space="preserve">the </w:t>
      </w:r>
      <w:r w:rsidR="00330AEB" w:rsidRPr="009575D9">
        <w:rPr>
          <w:sz w:val="21"/>
          <w:szCs w:val="21"/>
        </w:rPr>
        <w:t>resilience of these systems to future</w:t>
      </w:r>
      <w:r w:rsidR="009625D5" w:rsidRPr="009575D9">
        <w:rPr>
          <w:sz w:val="21"/>
          <w:szCs w:val="21"/>
        </w:rPr>
        <w:t xml:space="preserve"> pandemics</w:t>
      </w:r>
      <w:r w:rsidR="003C3296" w:rsidRPr="009575D9">
        <w:rPr>
          <w:sz w:val="21"/>
          <w:szCs w:val="21"/>
        </w:rPr>
        <w:t>.</w:t>
      </w:r>
      <w:r w:rsidR="00275400" w:rsidRPr="009575D9">
        <w:rPr>
          <w:rFonts w:cstheme="minorHAnsi"/>
          <w:sz w:val="21"/>
          <w:szCs w:val="21"/>
        </w:rPr>
        <w:t xml:space="preserve"> </w:t>
      </w:r>
      <w:r w:rsidR="007B344E" w:rsidRPr="009575D9">
        <w:rPr>
          <w:rFonts w:cstheme="minorHAnsi"/>
          <w:sz w:val="21"/>
          <w:szCs w:val="21"/>
          <w:lang w:eastAsia="en-CA"/>
        </w:rPr>
        <w:t xml:space="preserve">Cooperation will enable </w:t>
      </w:r>
      <w:r w:rsidR="00A966A0" w:rsidRPr="009575D9">
        <w:rPr>
          <w:rFonts w:cstheme="minorHAnsi"/>
          <w:sz w:val="21"/>
          <w:szCs w:val="21"/>
          <w:lang w:eastAsia="en-CA"/>
        </w:rPr>
        <w:t>the</w:t>
      </w:r>
      <w:r w:rsidR="007B344E" w:rsidRPr="009575D9">
        <w:rPr>
          <w:rFonts w:cstheme="minorHAnsi"/>
          <w:sz w:val="21"/>
          <w:szCs w:val="21"/>
          <w:lang w:eastAsia="en-CA"/>
        </w:rPr>
        <w:t xml:space="preserve"> authorities</w:t>
      </w:r>
      <w:r w:rsidR="00A966A0" w:rsidRPr="009575D9">
        <w:rPr>
          <w:rFonts w:cstheme="minorHAnsi"/>
          <w:sz w:val="21"/>
          <w:szCs w:val="21"/>
          <w:lang w:eastAsia="en-CA"/>
        </w:rPr>
        <w:t xml:space="preserve"> in BiH</w:t>
      </w:r>
      <w:r w:rsidR="00F6492A" w:rsidRPr="009575D9">
        <w:rPr>
          <w:rFonts w:cstheme="minorHAnsi"/>
          <w:sz w:val="21"/>
          <w:szCs w:val="21"/>
          <w:lang w:eastAsia="en-CA"/>
        </w:rPr>
        <w:t xml:space="preserve"> to implement </w:t>
      </w:r>
      <w:r w:rsidR="007B344E" w:rsidRPr="009575D9">
        <w:rPr>
          <w:rFonts w:cstheme="minorHAnsi"/>
          <w:sz w:val="21"/>
          <w:szCs w:val="21"/>
          <w:lang w:eastAsia="en-CA"/>
        </w:rPr>
        <w:t>recommendations from the re</w:t>
      </w:r>
      <w:r w:rsidR="0087649A" w:rsidRPr="009575D9">
        <w:rPr>
          <w:rFonts w:cstheme="minorHAnsi"/>
          <w:sz w:val="21"/>
          <w:szCs w:val="21"/>
          <w:lang w:eastAsia="en-CA"/>
        </w:rPr>
        <w:t xml:space="preserve">cent </w:t>
      </w:r>
      <w:r w:rsidR="007B344E" w:rsidRPr="009575D9">
        <w:rPr>
          <w:rFonts w:cstheme="minorHAnsi"/>
          <w:sz w:val="21"/>
          <w:szCs w:val="21"/>
          <w:lang w:eastAsia="en-CA"/>
        </w:rPr>
        <w:t>UPR to strengthen health-care services and to address the issue of universal health care, especially for vulnerable groups</w:t>
      </w:r>
      <w:r w:rsidR="007B344E" w:rsidRPr="009575D9">
        <w:rPr>
          <w:rStyle w:val="FootnoteReference"/>
          <w:rFonts w:cstheme="minorHAnsi"/>
          <w:sz w:val="21"/>
          <w:szCs w:val="21"/>
          <w:lang w:eastAsia="en-CA"/>
        </w:rPr>
        <w:footnoteReference w:id="105"/>
      </w:r>
      <w:r w:rsidR="007B344E" w:rsidRPr="009575D9">
        <w:rPr>
          <w:rFonts w:cstheme="minorHAnsi"/>
          <w:sz w:val="21"/>
          <w:szCs w:val="21"/>
          <w:lang w:eastAsia="en-CA"/>
        </w:rPr>
        <w:t>.</w:t>
      </w:r>
    </w:p>
    <w:p w14:paraId="584739A2" w14:textId="1AEFFB11" w:rsidR="00275400" w:rsidRPr="00197F4E" w:rsidRDefault="008104CB" w:rsidP="00D9559C">
      <w:pPr>
        <w:pStyle w:val="ListParagraph"/>
        <w:numPr>
          <w:ilvl w:val="0"/>
          <w:numId w:val="3"/>
        </w:numPr>
        <w:spacing w:after="120"/>
        <w:ind w:left="357" w:right="-360" w:hanging="357"/>
        <w:contextualSpacing w:val="0"/>
        <w:jc w:val="both"/>
        <w:rPr>
          <w:sz w:val="21"/>
          <w:szCs w:val="21"/>
        </w:rPr>
      </w:pPr>
      <w:r w:rsidRPr="009575D9">
        <w:rPr>
          <w:rFonts w:cstheme="minorHAnsi"/>
          <w:sz w:val="21"/>
          <w:szCs w:val="21"/>
        </w:rPr>
        <w:t xml:space="preserve">This is an urgent priority: </w:t>
      </w:r>
      <w:r w:rsidR="00ED0854" w:rsidRPr="009575D9">
        <w:rPr>
          <w:rFonts w:cstheme="minorHAnsi"/>
          <w:sz w:val="21"/>
          <w:szCs w:val="21"/>
        </w:rPr>
        <w:t>The rapidly ageing population, combined with out-migration</w:t>
      </w:r>
      <w:r w:rsidR="00275400" w:rsidRPr="009575D9">
        <w:rPr>
          <w:rFonts w:cstheme="minorHAnsi"/>
          <w:sz w:val="21"/>
          <w:szCs w:val="21"/>
        </w:rPr>
        <w:t>,</w:t>
      </w:r>
      <w:r w:rsidR="00ED0854" w:rsidRPr="009575D9">
        <w:rPr>
          <w:rFonts w:cstheme="minorHAnsi"/>
          <w:sz w:val="21"/>
          <w:szCs w:val="21"/>
        </w:rPr>
        <w:t xml:space="preserve"> is placing existing social protection and social welfare services under great st</w:t>
      </w:r>
      <w:r w:rsidR="00275400" w:rsidRPr="009575D9">
        <w:rPr>
          <w:rFonts w:cstheme="minorHAnsi"/>
          <w:sz w:val="21"/>
          <w:szCs w:val="21"/>
        </w:rPr>
        <w:t>rain</w:t>
      </w:r>
      <w:r w:rsidR="00ED0854" w:rsidRPr="009575D9">
        <w:rPr>
          <w:rFonts w:cstheme="minorHAnsi"/>
          <w:sz w:val="21"/>
          <w:szCs w:val="21"/>
        </w:rPr>
        <w:t xml:space="preserve">. </w:t>
      </w:r>
      <w:r w:rsidR="00ED0854" w:rsidRPr="009575D9">
        <w:rPr>
          <w:color w:val="000000" w:themeColor="text1"/>
          <w:sz w:val="21"/>
          <w:szCs w:val="21"/>
        </w:rPr>
        <w:t xml:space="preserve">In 2017, there were only 1.45 formally employed workers to support one pensioner; </w:t>
      </w:r>
      <w:r w:rsidR="00ED0854" w:rsidRPr="009575D9">
        <w:rPr>
          <w:sz w:val="21"/>
          <w:szCs w:val="21"/>
        </w:rPr>
        <w:t>fewer than 30% of citizens</w:t>
      </w:r>
      <w:r w:rsidR="00A966A0" w:rsidRPr="009575D9">
        <w:rPr>
          <w:sz w:val="21"/>
          <w:szCs w:val="21"/>
        </w:rPr>
        <w:t xml:space="preserve"> of BiH</w:t>
      </w:r>
      <w:r w:rsidR="00ED0854" w:rsidRPr="00197F4E">
        <w:rPr>
          <w:sz w:val="21"/>
          <w:szCs w:val="21"/>
        </w:rPr>
        <w:t xml:space="preserve"> of retirement age received old-age pensions; and only 2% of the unemployed received unemployment benefits</w:t>
      </w:r>
      <w:r w:rsidR="00275400" w:rsidRPr="00197F4E">
        <w:rPr>
          <w:rStyle w:val="FootnoteReference"/>
          <w:sz w:val="21"/>
          <w:szCs w:val="21"/>
        </w:rPr>
        <w:footnoteReference w:id="106"/>
      </w:r>
      <w:r w:rsidR="00ED0854" w:rsidRPr="00197F4E">
        <w:rPr>
          <w:sz w:val="21"/>
          <w:szCs w:val="21"/>
        </w:rPr>
        <w:t xml:space="preserve">. </w:t>
      </w:r>
      <w:r w:rsidR="00275400" w:rsidRPr="00197F4E">
        <w:rPr>
          <w:sz w:val="21"/>
          <w:szCs w:val="21"/>
        </w:rPr>
        <w:t xml:space="preserve">These demographic shifts will have </w:t>
      </w:r>
      <w:r w:rsidR="00ED0854" w:rsidRPr="00197F4E">
        <w:rPr>
          <w:sz w:val="21"/>
          <w:szCs w:val="21"/>
        </w:rPr>
        <w:t>significant implications for growth, living standards and fiscal sustainability</w:t>
      </w:r>
      <w:r w:rsidR="00275400" w:rsidRPr="00197F4E">
        <w:rPr>
          <w:sz w:val="21"/>
          <w:szCs w:val="21"/>
        </w:rPr>
        <w:t>.</w:t>
      </w:r>
    </w:p>
    <w:p w14:paraId="21820161" w14:textId="77777777" w:rsidR="00A543AA" w:rsidRPr="00197F4E" w:rsidRDefault="00A543AA" w:rsidP="00D9559C">
      <w:pPr>
        <w:pStyle w:val="ListParagraph"/>
        <w:numPr>
          <w:ilvl w:val="0"/>
          <w:numId w:val="3"/>
        </w:numPr>
        <w:spacing w:after="60"/>
        <w:ind w:right="-360" w:hanging="357"/>
        <w:contextualSpacing w:val="0"/>
        <w:jc w:val="both"/>
        <w:rPr>
          <w:sz w:val="21"/>
          <w:szCs w:val="21"/>
        </w:rPr>
      </w:pPr>
      <w:r w:rsidRPr="00197F4E">
        <w:rPr>
          <w:rFonts w:ascii="Calibri" w:hAnsi="Calibri"/>
          <w:sz w:val="21"/>
          <w:szCs w:val="21"/>
        </w:rPr>
        <w:t xml:space="preserve">By 2025, the success of BiH and UN cooperation efforts will be seen in: </w:t>
      </w:r>
    </w:p>
    <w:p w14:paraId="137BB9C9" w14:textId="77777777" w:rsidR="00A543AA" w:rsidRPr="00517329" w:rsidRDefault="00A543AA" w:rsidP="00D9559C">
      <w:pPr>
        <w:pStyle w:val="ListParagraph"/>
        <w:numPr>
          <w:ilvl w:val="0"/>
          <w:numId w:val="5"/>
        </w:numPr>
        <w:spacing w:after="60"/>
        <w:ind w:right="-360" w:hanging="357"/>
        <w:contextualSpacing w:val="0"/>
        <w:jc w:val="both"/>
        <w:rPr>
          <w:sz w:val="21"/>
          <w:szCs w:val="21"/>
        </w:rPr>
      </w:pPr>
      <w:r w:rsidRPr="00517329">
        <w:rPr>
          <w:rFonts w:cstheme="minorHAnsi"/>
          <w:sz w:val="21"/>
          <w:szCs w:val="21"/>
        </w:rPr>
        <w:t>More effective planning, budgeting and spending on health and social protection services,</w:t>
      </w:r>
    </w:p>
    <w:p w14:paraId="0C931BCE" w14:textId="627B1292" w:rsidR="00A543AA" w:rsidRPr="009575D9" w:rsidRDefault="00A543AA" w:rsidP="00D9559C">
      <w:pPr>
        <w:pStyle w:val="ListParagraph"/>
        <w:numPr>
          <w:ilvl w:val="0"/>
          <w:numId w:val="5"/>
        </w:numPr>
        <w:spacing w:after="60"/>
        <w:ind w:right="-360" w:hanging="357"/>
        <w:contextualSpacing w:val="0"/>
        <w:jc w:val="both"/>
        <w:rPr>
          <w:sz w:val="21"/>
          <w:szCs w:val="21"/>
        </w:rPr>
      </w:pPr>
      <w:r w:rsidRPr="00197F4E">
        <w:rPr>
          <w:rFonts w:cstheme="minorHAnsi"/>
          <w:sz w:val="21"/>
          <w:szCs w:val="21"/>
        </w:rPr>
        <w:t xml:space="preserve">More people, </w:t>
      </w:r>
      <w:r w:rsidRPr="009575D9">
        <w:rPr>
          <w:rFonts w:cstheme="minorHAnsi"/>
          <w:sz w:val="21"/>
          <w:szCs w:val="21"/>
        </w:rPr>
        <w:t>especially from vulnerable groups, enjoying health insurance or expanded coverage under the health systems,</w:t>
      </w:r>
    </w:p>
    <w:p w14:paraId="26846506" w14:textId="01A30321" w:rsidR="002366F4" w:rsidRPr="009575D9" w:rsidRDefault="002366F4" w:rsidP="00D9559C">
      <w:pPr>
        <w:pStyle w:val="ListParagraph"/>
        <w:numPr>
          <w:ilvl w:val="0"/>
          <w:numId w:val="5"/>
        </w:numPr>
        <w:spacing w:after="60"/>
        <w:ind w:right="-360" w:hanging="357"/>
        <w:contextualSpacing w:val="0"/>
        <w:jc w:val="both"/>
        <w:rPr>
          <w:sz w:val="21"/>
          <w:szCs w:val="21"/>
        </w:rPr>
      </w:pPr>
      <w:r w:rsidRPr="009575D9">
        <w:rPr>
          <w:rFonts w:cstheme="minorHAnsi"/>
          <w:sz w:val="21"/>
          <w:szCs w:val="21"/>
        </w:rPr>
        <w:t>Improved capacities of health care professionals for</w:t>
      </w:r>
      <w:r w:rsidR="002B0410" w:rsidRPr="009575D9">
        <w:rPr>
          <w:rFonts w:cstheme="minorHAnsi"/>
          <w:sz w:val="21"/>
          <w:szCs w:val="21"/>
        </w:rPr>
        <w:t xml:space="preserve"> overall resilience of the </w:t>
      </w:r>
      <w:r w:rsidR="005B65F9" w:rsidRPr="009575D9">
        <w:rPr>
          <w:rFonts w:cstheme="minorHAnsi"/>
          <w:sz w:val="21"/>
          <w:szCs w:val="21"/>
        </w:rPr>
        <w:t>health systems and</w:t>
      </w:r>
      <w:r w:rsidRPr="009575D9">
        <w:rPr>
          <w:rFonts w:cstheme="minorHAnsi"/>
          <w:sz w:val="21"/>
          <w:szCs w:val="21"/>
        </w:rPr>
        <w:t xml:space="preserve"> provision of services</w:t>
      </w:r>
      <w:r w:rsidR="00C358F1" w:rsidRPr="009575D9">
        <w:rPr>
          <w:rStyle w:val="FootnoteReference"/>
          <w:rFonts w:cstheme="minorHAnsi"/>
          <w:sz w:val="21"/>
          <w:szCs w:val="21"/>
        </w:rPr>
        <w:footnoteReference w:id="107"/>
      </w:r>
      <w:r w:rsidRPr="009575D9">
        <w:rPr>
          <w:rFonts w:cstheme="minorHAnsi"/>
          <w:sz w:val="21"/>
          <w:szCs w:val="21"/>
        </w:rPr>
        <w:t>.</w:t>
      </w:r>
    </w:p>
    <w:p w14:paraId="029E61C4" w14:textId="7BCB0103" w:rsidR="00A543AA" w:rsidRPr="009575D9" w:rsidRDefault="00A543AA" w:rsidP="00D9559C">
      <w:pPr>
        <w:pStyle w:val="ListParagraph"/>
        <w:numPr>
          <w:ilvl w:val="0"/>
          <w:numId w:val="5"/>
        </w:numPr>
        <w:spacing w:before="40" w:after="40"/>
        <w:ind w:right="-360"/>
        <w:contextualSpacing w:val="0"/>
        <w:jc w:val="both"/>
        <w:rPr>
          <w:sz w:val="21"/>
          <w:szCs w:val="21"/>
        </w:rPr>
      </w:pPr>
      <w:r w:rsidRPr="009575D9">
        <w:rPr>
          <w:rFonts w:cstheme="minorHAnsi"/>
          <w:sz w:val="21"/>
          <w:szCs w:val="21"/>
        </w:rPr>
        <w:t>More effective referral mechanisms in health</w:t>
      </w:r>
      <w:r w:rsidR="009D486F" w:rsidRPr="009575D9">
        <w:rPr>
          <w:rFonts w:cstheme="minorHAnsi"/>
          <w:sz w:val="21"/>
          <w:szCs w:val="21"/>
        </w:rPr>
        <w:t xml:space="preserve">, </w:t>
      </w:r>
      <w:r w:rsidRPr="009575D9">
        <w:rPr>
          <w:rFonts w:cstheme="minorHAnsi"/>
          <w:sz w:val="21"/>
          <w:szCs w:val="21"/>
        </w:rPr>
        <w:t xml:space="preserve">social </w:t>
      </w:r>
      <w:r w:rsidR="009D486F" w:rsidRPr="009575D9">
        <w:rPr>
          <w:rFonts w:cstheme="minorHAnsi"/>
          <w:sz w:val="21"/>
          <w:szCs w:val="21"/>
        </w:rPr>
        <w:t xml:space="preserve">and child </w:t>
      </w:r>
      <w:r w:rsidRPr="009575D9">
        <w:rPr>
          <w:rFonts w:cstheme="minorHAnsi"/>
          <w:sz w:val="21"/>
          <w:szCs w:val="21"/>
        </w:rPr>
        <w:t>protection systems to connect vulnerable groups to essential services.</w:t>
      </w:r>
    </w:p>
    <w:p w14:paraId="11194AF6" w14:textId="18605D15" w:rsidR="00A543AA" w:rsidRPr="00197F4E" w:rsidRDefault="00A543AA" w:rsidP="00D9559C">
      <w:pPr>
        <w:spacing w:before="40" w:after="120" w:line="240" w:lineRule="auto"/>
        <w:ind w:left="357" w:right="-360"/>
        <w:jc w:val="both"/>
        <w:rPr>
          <w:rFonts w:cs="Times New Roman"/>
          <w:sz w:val="21"/>
          <w:szCs w:val="21"/>
        </w:rPr>
      </w:pPr>
      <w:r w:rsidRPr="009575D9">
        <w:rPr>
          <w:rFonts w:cstheme="minorHAnsi"/>
          <w:sz w:val="21"/>
          <w:szCs w:val="21"/>
        </w:rPr>
        <w:t xml:space="preserve">Cooperation between </w:t>
      </w:r>
      <w:r w:rsidR="009F38E5" w:rsidRPr="009575D9">
        <w:rPr>
          <w:rFonts w:cstheme="minorHAnsi"/>
          <w:sz w:val="21"/>
          <w:szCs w:val="21"/>
        </w:rPr>
        <w:t>the</w:t>
      </w:r>
      <w:r w:rsidR="008C1408" w:rsidRPr="009575D9">
        <w:rPr>
          <w:rFonts w:cstheme="minorHAnsi"/>
          <w:sz w:val="21"/>
          <w:szCs w:val="21"/>
        </w:rPr>
        <w:t xml:space="preserve"> authorities</w:t>
      </w:r>
      <w:r w:rsidR="009F38E5" w:rsidRPr="009575D9">
        <w:rPr>
          <w:rFonts w:cstheme="minorHAnsi"/>
          <w:sz w:val="21"/>
          <w:szCs w:val="21"/>
        </w:rPr>
        <w:t xml:space="preserve"> in BiH</w:t>
      </w:r>
      <w:r w:rsidRPr="009575D9">
        <w:rPr>
          <w:rFonts w:cstheme="minorHAnsi"/>
          <w:sz w:val="21"/>
          <w:szCs w:val="21"/>
        </w:rPr>
        <w:t xml:space="preserve"> and the UN system will focus on </w:t>
      </w:r>
      <w:r w:rsidR="00D24DFB" w:rsidRPr="009575D9">
        <w:rPr>
          <w:rFonts w:cstheme="minorHAnsi"/>
          <w:sz w:val="21"/>
          <w:szCs w:val="21"/>
        </w:rPr>
        <w:t>four</w:t>
      </w:r>
      <w:r w:rsidRPr="009575D9">
        <w:rPr>
          <w:rFonts w:cstheme="minorHAnsi"/>
          <w:sz w:val="21"/>
          <w:szCs w:val="21"/>
        </w:rPr>
        <w:t xml:space="preserve"> important conditions that will contribute to these changes.</w:t>
      </w:r>
      <w:r w:rsidRPr="00197F4E">
        <w:rPr>
          <w:rFonts w:cstheme="minorHAnsi"/>
          <w:sz w:val="21"/>
          <w:szCs w:val="21"/>
        </w:rPr>
        <w:t xml:space="preserve">  </w:t>
      </w:r>
    </w:p>
    <w:p w14:paraId="125D8009" w14:textId="47ED5216" w:rsidR="00522ED7" w:rsidRPr="00522ED7" w:rsidRDefault="00A543AA" w:rsidP="00D9559C">
      <w:pPr>
        <w:pStyle w:val="ListParagraph"/>
        <w:numPr>
          <w:ilvl w:val="0"/>
          <w:numId w:val="3"/>
        </w:numPr>
        <w:spacing w:after="120"/>
        <w:ind w:right="-360"/>
        <w:contextualSpacing w:val="0"/>
        <w:jc w:val="both"/>
        <w:rPr>
          <w:sz w:val="21"/>
          <w:szCs w:val="21"/>
        </w:rPr>
      </w:pPr>
      <w:r w:rsidRPr="00197F4E">
        <w:rPr>
          <w:sz w:val="21"/>
          <w:szCs w:val="21"/>
        </w:rPr>
        <w:t xml:space="preserve">First, </w:t>
      </w:r>
      <w:r w:rsidR="00522ED7" w:rsidRPr="00197F4E">
        <w:rPr>
          <w:b/>
          <w:sz w:val="21"/>
          <w:szCs w:val="21"/>
        </w:rPr>
        <w:t>investments must flow more predictably</w:t>
      </w:r>
      <w:r w:rsidR="00522ED7" w:rsidRPr="00197F4E">
        <w:rPr>
          <w:sz w:val="21"/>
          <w:szCs w:val="21"/>
        </w:rPr>
        <w:t xml:space="preserve"> and </w:t>
      </w:r>
      <w:r w:rsidR="00D24DFB" w:rsidRPr="00197F4E">
        <w:rPr>
          <w:sz w:val="21"/>
          <w:szCs w:val="21"/>
        </w:rPr>
        <w:t xml:space="preserve">cost-effectively </w:t>
      </w:r>
      <w:r w:rsidR="00522ED7" w:rsidRPr="00197F4E">
        <w:rPr>
          <w:sz w:val="21"/>
          <w:szCs w:val="21"/>
        </w:rPr>
        <w:t>to where identified needs</w:t>
      </w:r>
      <w:r w:rsidR="00522ED7" w:rsidRPr="00522ED7">
        <w:rPr>
          <w:sz w:val="21"/>
          <w:szCs w:val="21"/>
        </w:rPr>
        <w:t xml:space="preserve"> are greatest, including at the subnational level. Too often, plans and strategies intend to reach excluded and marginalized groups, but the associated budgets and implementation measures are insufficient. S</w:t>
      </w:r>
      <w:r w:rsidRPr="00522ED7">
        <w:rPr>
          <w:sz w:val="21"/>
          <w:szCs w:val="21"/>
        </w:rPr>
        <w:t xml:space="preserve">trengthened </w:t>
      </w:r>
      <w:r w:rsidRPr="00522ED7">
        <w:rPr>
          <w:rFonts w:cstheme="minorHAnsi"/>
          <w:sz w:val="21"/>
          <w:szCs w:val="21"/>
        </w:rPr>
        <w:t xml:space="preserve">health and social protections systems require a renewed focus on quality assurance, </w:t>
      </w:r>
      <w:r w:rsidRPr="00522ED7">
        <w:rPr>
          <w:sz w:val="21"/>
          <w:szCs w:val="21"/>
        </w:rPr>
        <w:t>improved financing and health information systems</w:t>
      </w:r>
      <w:r w:rsidR="00370381">
        <w:rPr>
          <w:sz w:val="21"/>
          <w:szCs w:val="21"/>
        </w:rPr>
        <w:t>, improved technical capacities of health care professionals</w:t>
      </w:r>
      <w:r w:rsidRPr="00522ED7">
        <w:rPr>
          <w:sz w:val="21"/>
          <w:szCs w:val="21"/>
        </w:rPr>
        <w:t xml:space="preserve"> and the </w:t>
      </w:r>
      <w:r w:rsidRPr="00522ED7">
        <w:rPr>
          <w:rFonts w:cstheme="minorHAnsi"/>
          <w:sz w:val="21"/>
          <w:szCs w:val="21"/>
        </w:rPr>
        <w:t>cost-effectiveness of medicines, vaccines and medical devices</w:t>
      </w:r>
      <w:r w:rsidRPr="00522ED7">
        <w:rPr>
          <w:sz w:val="21"/>
          <w:szCs w:val="21"/>
        </w:rPr>
        <w:t xml:space="preserve">. Key health stakeholders will have enhanced capacities to </w:t>
      </w:r>
      <w:r w:rsidRPr="00517329">
        <w:rPr>
          <w:sz w:val="21"/>
          <w:szCs w:val="21"/>
        </w:rPr>
        <w:t>undertake results based budgeting and fiscal space and costing analyses to improve efficiency of health and social protection spending.</w:t>
      </w:r>
      <w:r w:rsidRPr="00522ED7">
        <w:rPr>
          <w:sz w:val="21"/>
          <w:szCs w:val="21"/>
        </w:rPr>
        <w:t xml:space="preserve"> Health and social welfare institutions have enhanced capacities to develop policies and legislation leading to universal health coverage and improved coverage of social protection benefits</w:t>
      </w:r>
      <w:r w:rsidR="0021200D">
        <w:rPr>
          <w:sz w:val="21"/>
          <w:szCs w:val="21"/>
        </w:rPr>
        <w:t xml:space="preserve"> and social welfare services</w:t>
      </w:r>
      <w:r w:rsidRPr="00522ED7">
        <w:rPr>
          <w:sz w:val="21"/>
          <w:szCs w:val="21"/>
        </w:rPr>
        <w:t>.</w:t>
      </w:r>
      <w:r w:rsidR="00522ED7" w:rsidRPr="00522ED7">
        <w:rPr>
          <w:sz w:val="21"/>
          <w:szCs w:val="21"/>
        </w:rPr>
        <w:t xml:space="preserve"> BiH and UN cooperation efforts will support local authorities to develop and implement targeted approaches that are tailored to local conditions and needs. </w:t>
      </w:r>
    </w:p>
    <w:p w14:paraId="28059A62" w14:textId="1B5D3953" w:rsidR="00D24DFB" w:rsidRPr="00197F4E" w:rsidRDefault="00522ED7" w:rsidP="00D9559C">
      <w:pPr>
        <w:pStyle w:val="ListParagraph"/>
        <w:numPr>
          <w:ilvl w:val="0"/>
          <w:numId w:val="3"/>
        </w:numPr>
        <w:spacing w:after="120"/>
        <w:ind w:right="-360"/>
        <w:contextualSpacing w:val="0"/>
        <w:jc w:val="both"/>
        <w:rPr>
          <w:sz w:val="21"/>
          <w:szCs w:val="21"/>
        </w:rPr>
      </w:pPr>
      <w:r w:rsidRPr="00D24DFB">
        <w:rPr>
          <w:sz w:val="21"/>
          <w:szCs w:val="21"/>
        </w:rPr>
        <w:t>Second, renewed efforts are needed to increase</w:t>
      </w:r>
      <w:r w:rsidR="001820A1" w:rsidRPr="00D24DFB">
        <w:rPr>
          <w:sz w:val="21"/>
          <w:szCs w:val="21"/>
        </w:rPr>
        <w:t xml:space="preserve"> the coverage of essential </w:t>
      </w:r>
      <w:r w:rsidR="00A543AA" w:rsidRPr="00D24DFB">
        <w:rPr>
          <w:b/>
          <w:bCs/>
          <w:sz w:val="21"/>
          <w:szCs w:val="21"/>
        </w:rPr>
        <w:t xml:space="preserve">immunization </w:t>
      </w:r>
      <w:r w:rsidR="001820A1" w:rsidRPr="00D24DFB">
        <w:rPr>
          <w:b/>
          <w:bCs/>
          <w:sz w:val="21"/>
          <w:szCs w:val="21"/>
        </w:rPr>
        <w:t>and family planning services</w:t>
      </w:r>
      <w:r w:rsidR="009D6F29">
        <w:rPr>
          <w:sz w:val="21"/>
          <w:szCs w:val="21"/>
        </w:rPr>
        <w:t xml:space="preserve">. The UN system will help to </w:t>
      </w:r>
      <w:r w:rsidRPr="00D24DFB">
        <w:rPr>
          <w:sz w:val="21"/>
          <w:szCs w:val="21"/>
        </w:rPr>
        <w:t xml:space="preserve">address </w:t>
      </w:r>
      <w:r w:rsidR="009D6F29">
        <w:rPr>
          <w:sz w:val="21"/>
          <w:szCs w:val="21"/>
        </w:rPr>
        <w:t xml:space="preserve">the </w:t>
      </w:r>
      <w:r w:rsidRPr="00D24DFB">
        <w:rPr>
          <w:sz w:val="21"/>
          <w:szCs w:val="21"/>
        </w:rPr>
        <w:t>structural factors that have reduced programme effectiveness</w:t>
      </w:r>
      <w:r w:rsidR="001820A1" w:rsidRPr="00D24DFB">
        <w:rPr>
          <w:sz w:val="21"/>
          <w:szCs w:val="21"/>
        </w:rPr>
        <w:t>. For immunization, this includes</w:t>
      </w:r>
      <w:r w:rsidR="0021200D">
        <w:rPr>
          <w:sz w:val="21"/>
          <w:szCs w:val="21"/>
        </w:rPr>
        <w:t xml:space="preserve"> more investments in</w:t>
      </w:r>
      <w:r w:rsidRPr="00D24DFB">
        <w:rPr>
          <w:sz w:val="21"/>
          <w:szCs w:val="21"/>
        </w:rPr>
        <w:t xml:space="preserve"> </w:t>
      </w:r>
      <w:r w:rsidR="00A543AA" w:rsidRPr="00D24DFB">
        <w:rPr>
          <w:sz w:val="21"/>
          <w:szCs w:val="21"/>
        </w:rPr>
        <w:t xml:space="preserve">health promotion </w:t>
      </w:r>
      <w:r w:rsidRPr="00D24DFB">
        <w:rPr>
          <w:sz w:val="21"/>
          <w:szCs w:val="21"/>
        </w:rPr>
        <w:t>to counteract</w:t>
      </w:r>
      <w:r w:rsidR="0021200D">
        <w:rPr>
          <w:sz w:val="21"/>
          <w:szCs w:val="21"/>
        </w:rPr>
        <w:t xml:space="preserve"> vaccine hesitancy</w:t>
      </w:r>
      <w:r w:rsidRPr="00D24DFB">
        <w:rPr>
          <w:sz w:val="21"/>
          <w:szCs w:val="21"/>
        </w:rPr>
        <w:t>,</w:t>
      </w:r>
      <w:r w:rsidR="0021200D">
        <w:rPr>
          <w:sz w:val="21"/>
          <w:szCs w:val="21"/>
        </w:rPr>
        <w:t xml:space="preserve"> improve procurement planning </w:t>
      </w:r>
      <w:r w:rsidRPr="00D24DFB">
        <w:rPr>
          <w:sz w:val="21"/>
          <w:szCs w:val="21"/>
        </w:rPr>
        <w:t>and</w:t>
      </w:r>
      <w:r w:rsidR="0021200D">
        <w:rPr>
          <w:sz w:val="21"/>
          <w:szCs w:val="21"/>
        </w:rPr>
        <w:t xml:space="preserve"> develop</w:t>
      </w:r>
      <w:r w:rsidRPr="00D24DFB">
        <w:rPr>
          <w:sz w:val="21"/>
          <w:szCs w:val="21"/>
        </w:rPr>
        <w:t xml:space="preserve"> </w:t>
      </w:r>
      <w:r w:rsidR="008358F1" w:rsidRPr="00D24DFB">
        <w:rPr>
          <w:sz w:val="21"/>
          <w:szCs w:val="21"/>
        </w:rPr>
        <w:t>targeted</w:t>
      </w:r>
      <w:r w:rsidRPr="00D24DFB">
        <w:rPr>
          <w:sz w:val="21"/>
          <w:szCs w:val="21"/>
        </w:rPr>
        <w:t xml:space="preserve"> approaches </w:t>
      </w:r>
      <w:r w:rsidR="0021200D">
        <w:rPr>
          <w:sz w:val="21"/>
          <w:szCs w:val="21"/>
        </w:rPr>
        <w:t>to address districts with the lowest coverage.</w:t>
      </w:r>
      <w:r w:rsidR="001820A1" w:rsidRPr="00D24DFB">
        <w:rPr>
          <w:sz w:val="21"/>
          <w:szCs w:val="21"/>
        </w:rPr>
        <w:t xml:space="preserve"> For family </w:t>
      </w:r>
      <w:r w:rsidR="00D24DFB" w:rsidRPr="00D24DFB">
        <w:rPr>
          <w:sz w:val="21"/>
          <w:szCs w:val="21"/>
        </w:rPr>
        <w:t xml:space="preserve">planning, renewed efforts are needed </w:t>
      </w:r>
      <w:r w:rsidR="009D6F29">
        <w:rPr>
          <w:sz w:val="21"/>
          <w:szCs w:val="21"/>
        </w:rPr>
        <w:t>to f</w:t>
      </w:r>
      <w:r w:rsidR="00D24DFB">
        <w:rPr>
          <w:sz w:val="21"/>
          <w:szCs w:val="21"/>
        </w:rPr>
        <w:t>inanc</w:t>
      </w:r>
      <w:r w:rsidR="009D6F29">
        <w:rPr>
          <w:sz w:val="21"/>
          <w:szCs w:val="21"/>
        </w:rPr>
        <w:t>e</w:t>
      </w:r>
      <w:r w:rsidR="00D24DFB">
        <w:rPr>
          <w:sz w:val="21"/>
          <w:szCs w:val="21"/>
        </w:rPr>
        <w:t xml:space="preserve"> and deliver quality services for all </w:t>
      </w:r>
      <w:r w:rsidR="00D24DFB" w:rsidRPr="00D24DFB">
        <w:rPr>
          <w:sz w:val="21"/>
          <w:szCs w:val="21"/>
        </w:rPr>
        <w:t>women</w:t>
      </w:r>
      <w:r w:rsidR="00D24DFB">
        <w:rPr>
          <w:sz w:val="21"/>
          <w:szCs w:val="21"/>
        </w:rPr>
        <w:t xml:space="preserve"> country-wide, in line with the 2012 </w:t>
      </w:r>
      <w:r w:rsidR="00D24DFB" w:rsidRPr="00D24DFB">
        <w:rPr>
          <w:sz w:val="21"/>
          <w:szCs w:val="21"/>
        </w:rPr>
        <w:t xml:space="preserve">Policy on Sexual and Reproductive Health and </w:t>
      </w:r>
      <w:r w:rsidR="00D24DFB" w:rsidRPr="00197F4E">
        <w:rPr>
          <w:sz w:val="21"/>
          <w:szCs w:val="21"/>
        </w:rPr>
        <w:t>Reproductive Rights in BiH. This includes pregnancy</w:t>
      </w:r>
      <w:r w:rsidR="009D6F29" w:rsidRPr="00197F4E">
        <w:rPr>
          <w:sz w:val="21"/>
          <w:szCs w:val="21"/>
        </w:rPr>
        <w:t xml:space="preserve">, </w:t>
      </w:r>
      <w:r w:rsidR="00D24DFB" w:rsidRPr="00197F4E">
        <w:rPr>
          <w:sz w:val="21"/>
          <w:szCs w:val="21"/>
        </w:rPr>
        <w:t xml:space="preserve">prenatal and postnatal care.  </w:t>
      </w:r>
    </w:p>
    <w:p w14:paraId="7A007585" w14:textId="1EFF505E" w:rsidR="00A543AA" w:rsidRPr="00DF4B3A" w:rsidRDefault="00D24DFB" w:rsidP="00D9559C">
      <w:pPr>
        <w:pStyle w:val="ListParagraph"/>
        <w:numPr>
          <w:ilvl w:val="0"/>
          <w:numId w:val="3"/>
        </w:numPr>
        <w:spacing w:after="120"/>
        <w:ind w:right="-360"/>
        <w:contextualSpacing w:val="0"/>
        <w:jc w:val="both"/>
        <w:rPr>
          <w:sz w:val="21"/>
          <w:szCs w:val="21"/>
        </w:rPr>
      </w:pPr>
      <w:r w:rsidRPr="00197F4E">
        <w:rPr>
          <w:sz w:val="21"/>
          <w:szCs w:val="21"/>
        </w:rPr>
        <w:t>Third</w:t>
      </w:r>
      <w:r w:rsidR="00A543AA" w:rsidRPr="00197F4E">
        <w:rPr>
          <w:sz w:val="21"/>
          <w:szCs w:val="21"/>
        </w:rPr>
        <w:t xml:space="preserve">, </w:t>
      </w:r>
      <w:r w:rsidR="00A543AA" w:rsidRPr="00197F4E">
        <w:rPr>
          <w:b/>
          <w:sz w:val="21"/>
          <w:szCs w:val="21"/>
        </w:rPr>
        <w:t>a focus on vulnerability and non-discrimination</w:t>
      </w:r>
      <w:r w:rsidR="00A543AA" w:rsidRPr="00197F4E">
        <w:rPr>
          <w:sz w:val="21"/>
          <w:szCs w:val="21"/>
        </w:rPr>
        <w:t xml:space="preserve"> must be institutionalized. Line ministries, agencies and CSOs will have enhanced capacities to deliver a multi-sectoral response to all forms of violence in line </w:t>
      </w:r>
      <w:r w:rsidR="00A543AA" w:rsidRPr="00DF4B3A">
        <w:rPr>
          <w:sz w:val="21"/>
          <w:szCs w:val="21"/>
        </w:rPr>
        <w:t xml:space="preserve">with international standards. Vulnerable groups </w:t>
      </w:r>
      <w:r w:rsidR="00D819E7" w:rsidRPr="00DF4B3A">
        <w:rPr>
          <w:sz w:val="21"/>
          <w:szCs w:val="21"/>
        </w:rPr>
        <w:t>w</w:t>
      </w:r>
      <w:r w:rsidR="00A543AA" w:rsidRPr="00DF4B3A">
        <w:rPr>
          <w:sz w:val="21"/>
          <w:szCs w:val="21"/>
        </w:rPr>
        <w:t>ill have new information resources and mechanisms to help them to exercise their rights to health</w:t>
      </w:r>
      <w:r w:rsidR="00AB6EA6" w:rsidRPr="00DF4B3A">
        <w:rPr>
          <w:sz w:val="21"/>
          <w:szCs w:val="21"/>
        </w:rPr>
        <w:t>,</w:t>
      </w:r>
      <w:r w:rsidR="00D819E7" w:rsidRPr="00DF4B3A">
        <w:rPr>
          <w:sz w:val="21"/>
          <w:szCs w:val="21"/>
        </w:rPr>
        <w:t xml:space="preserve"> </w:t>
      </w:r>
      <w:r w:rsidR="00A543AA" w:rsidRPr="00DF4B3A">
        <w:rPr>
          <w:sz w:val="21"/>
          <w:szCs w:val="21"/>
        </w:rPr>
        <w:t>social protection</w:t>
      </w:r>
      <w:r w:rsidR="00AB6EA6" w:rsidRPr="00DF4B3A">
        <w:rPr>
          <w:sz w:val="21"/>
          <w:szCs w:val="21"/>
        </w:rPr>
        <w:t xml:space="preserve"> and protection from all forms of violence</w:t>
      </w:r>
      <w:r w:rsidR="00A543AA" w:rsidRPr="00DF4B3A">
        <w:rPr>
          <w:sz w:val="21"/>
          <w:szCs w:val="21"/>
        </w:rPr>
        <w:t>.</w:t>
      </w:r>
      <w:r w:rsidR="00D819E7" w:rsidRPr="00DF4B3A">
        <w:rPr>
          <w:sz w:val="21"/>
          <w:szCs w:val="21"/>
        </w:rPr>
        <w:t xml:space="preserve"> </w:t>
      </w:r>
      <w:r w:rsidR="004179E0" w:rsidRPr="00DF4B3A">
        <w:rPr>
          <w:sz w:val="21"/>
          <w:szCs w:val="21"/>
        </w:rPr>
        <w:t>At local levels, t</w:t>
      </w:r>
      <w:r w:rsidR="00D819E7" w:rsidRPr="00DF4B3A">
        <w:rPr>
          <w:sz w:val="21"/>
          <w:szCs w:val="21"/>
        </w:rPr>
        <w:t xml:space="preserve">he UN system will support strengthened, </w:t>
      </w:r>
      <w:r w:rsidR="00D819E7" w:rsidRPr="00DF4B3A">
        <w:rPr>
          <w:rFonts w:cstheme="minorHAnsi"/>
          <w:sz w:val="21"/>
          <w:szCs w:val="21"/>
          <w:lang w:val="en-CA"/>
        </w:rPr>
        <w:t xml:space="preserve">multi-sectoral </w:t>
      </w:r>
      <w:r w:rsidR="00A06B6B" w:rsidRPr="00DF4B3A">
        <w:rPr>
          <w:rFonts w:cstheme="minorHAnsi"/>
          <w:sz w:val="21"/>
          <w:szCs w:val="21"/>
          <w:lang w:val="en-CA"/>
        </w:rPr>
        <w:t xml:space="preserve">mechanisms and </w:t>
      </w:r>
      <w:r w:rsidR="00D819E7" w:rsidRPr="00DF4B3A">
        <w:rPr>
          <w:rFonts w:cstheme="minorHAnsi"/>
          <w:sz w:val="21"/>
          <w:szCs w:val="21"/>
          <w:lang w:val="en-CA"/>
        </w:rPr>
        <w:t>referral systems to prevent and offer protection from gender-based violence and violence, abuse and exploitation of children</w:t>
      </w:r>
      <w:r w:rsidR="00D819E7" w:rsidRPr="00DF4B3A">
        <w:rPr>
          <w:rFonts w:cstheme="minorHAnsi"/>
          <w:sz w:val="21"/>
          <w:szCs w:val="21"/>
          <w:lang w:eastAsia="en-CA"/>
        </w:rPr>
        <w:t>.</w:t>
      </w:r>
    </w:p>
    <w:p w14:paraId="7EA959F0" w14:textId="0ED32F78" w:rsidR="00A543AA" w:rsidRPr="00197F4E" w:rsidRDefault="0024464B" w:rsidP="00D9559C">
      <w:pPr>
        <w:pStyle w:val="ListParagraph"/>
        <w:numPr>
          <w:ilvl w:val="0"/>
          <w:numId w:val="3"/>
        </w:numPr>
        <w:spacing w:after="240"/>
        <w:ind w:left="357" w:right="-360" w:hanging="357"/>
        <w:contextualSpacing w:val="0"/>
        <w:jc w:val="both"/>
        <w:rPr>
          <w:sz w:val="21"/>
          <w:szCs w:val="21"/>
        </w:rPr>
      </w:pPr>
      <w:r w:rsidRPr="00197F4E">
        <w:rPr>
          <w:sz w:val="21"/>
          <w:szCs w:val="21"/>
        </w:rPr>
        <w:t>Fourth</w:t>
      </w:r>
      <w:r w:rsidR="00D24DFB" w:rsidRPr="00197F4E">
        <w:rPr>
          <w:sz w:val="21"/>
          <w:szCs w:val="21"/>
        </w:rPr>
        <w:t xml:space="preserve"> and instrumental to all changes above, improved </w:t>
      </w:r>
      <w:r w:rsidR="00D24DFB" w:rsidRPr="00197F4E">
        <w:rPr>
          <w:b/>
          <w:sz w:val="21"/>
          <w:szCs w:val="21"/>
        </w:rPr>
        <w:t>data</w:t>
      </w:r>
      <w:r w:rsidR="00D24DFB" w:rsidRPr="00197F4E">
        <w:rPr>
          <w:sz w:val="21"/>
          <w:szCs w:val="21"/>
        </w:rPr>
        <w:t xml:space="preserve"> are essential for effective targeting and management of health and social protection spending and programmes. </w:t>
      </w:r>
      <w:r w:rsidR="009D486F" w:rsidRPr="00197F4E">
        <w:rPr>
          <w:sz w:val="21"/>
          <w:szCs w:val="21"/>
        </w:rPr>
        <w:t xml:space="preserve">For all health, social, and child protection systems in BiH a great challenge concerns the lack of </w:t>
      </w:r>
      <w:r w:rsidR="009D486F" w:rsidRPr="009575D9">
        <w:rPr>
          <w:b/>
          <w:sz w:val="21"/>
          <w:szCs w:val="21"/>
        </w:rPr>
        <w:t>sex-disaggregated data</w:t>
      </w:r>
      <w:r w:rsidR="009D486F" w:rsidRPr="009575D9">
        <w:rPr>
          <w:sz w:val="21"/>
          <w:szCs w:val="21"/>
        </w:rPr>
        <w:t xml:space="preserve">, especially for vulnerable groups. This provides little insight into their access to services and quality of life. Legal, institutional and socio-economic barriers impede their fair access to services, making them more vulnerable and exposed to violence, health risk factors and poverty. The UN system will support </w:t>
      </w:r>
      <w:r w:rsidR="00DF64BA" w:rsidRPr="009575D9">
        <w:rPr>
          <w:sz w:val="21"/>
          <w:szCs w:val="21"/>
        </w:rPr>
        <w:t xml:space="preserve">the relevant authorities in </w:t>
      </w:r>
      <w:r w:rsidR="00D24DFB" w:rsidRPr="009575D9">
        <w:rPr>
          <w:sz w:val="21"/>
          <w:szCs w:val="21"/>
        </w:rPr>
        <w:t xml:space="preserve">BiH </w:t>
      </w:r>
      <w:r w:rsidR="009D486F" w:rsidRPr="009575D9">
        <w:rPr>
          <w:sz w:val="21"/>
          <w:szCs w:val="21"/>
        </w:rPr>
        <w:t>to strengthen</w:t>
      </w:r>
      <w:r w:rsidR="00D24DFB" w:rsidRPr="009575D9">
        <w:rPr>
          <w:sz w:val="21"/>
          <w:szCs w:val="21"/>
        </w:rPr>
        <w:t xml:space="preserve"> capacities to systematically collect, </w:t>
      </w:r>
      <w:r w:rsidR="009575D9" w:rsidRPr="009575D9">
        <w:rPr>
          <w:sz w:val="21"/>
          <w:szCs w:val="21"/>
        </w:rPr>
        <w:t>analyze</w:t>
      </w:r>
      <w:r w:rsidR="00D24DFB" w:rsidRPr="009575D9">
        <w:rPr>
          <w:sz w:val="21"/>
          <w:szCs w:val="21"/>
        </w:rPr>
        <w:t xml:space="preserve"> and use disaggregated data to inform</w:t>
      </w:r>
      <w:r w:rsidR="00D24DFB" w:rsidRPr="00197F4E">
        <w:rPr>
          <w:sz w:val="21"/>
          <w:szCs w:val="21"/>
        </w:rPr>
        <w:t xml:space="preserve"> policy development with special focus on most vulnerable groups.</w:t>
      </w:r>
    </w:p>
    <w:p w14:paraId="5C474D1A" w14:textId="77777777" w:rsidR="00946463" w:rsidRDefault="00946463" w:rsidP="00D9559C">
      <w:pPr>
        <w:ind w:right="-360"/>
        <w:jc w:val="both"/>
        <w:rPr>
          <w:b/>
          <w:color w:val="0F243E" w:themeColor="text2" w:themeShade="80"/>
          <w:sz w:val="24"/>
          <w:szCs w:val="24"/>
        </w:rPr>
      </w:pPr>
      <w:r>
        <w:rPr>
          <w:b/>
          <w:color w:val="0F243E" w:themeColor="text2" w:themeShade="80"/>
          <w:sz w:val="24"/>
          <w:szCs w:val="24"/>
        </w:rPr>
        <w:t>III</w:t>
      </w:r>
      <w:r w:rsidR="007501AB" w:rsidRPr="00F40611">
        <w:rPr>
          <w:b/>
          <w:color w:val="0F243E" w:themeColor="text2" w:themeShade="80"/>
          <w:sz w:val="24"/>
          <w:szCs w:val="24"/>
        </w:rPr>
        <w:t xml:space="preserve">. </w:t>
      </w:r>
      <w:r w:rsidRPr="00946463">
        <w:rPr>
          <w:b/>
          <w:color w:val="0F243E" w:themeColor="text2" w:themeShade="80"/>
          <w:sz w:val="24"/>
          <w:szCs w:val="24"/>
        </w:rPr>
        <w:t>People centered governance and rule of law</w:t>
      </w:r>
      <w:r w:rsidR="00707381">
        <w:rPr>
          <w:b/>
          <w:color w:val="0F243E" w:themeColor="text2" w:themeShade="80"/>
          <w:sz w:val="24"/>
          <w:szCs w:val="24"/>
        </w:rPr>
        <w:fldChar w:fldCharType="begin"/>
      </w:r>
      <w:r w:rsidR="00707381">
        <w:instrText xml:space="preserve"> TC "</w:instrText>
      </w:r>
      <w:bookmarkStart w:id="54" w:name="_Toc38899123"/>
      <w:r w:rsidR="00707381" w:rsidRPr="00A84280">
        <w:rPr>
          <w:b/>
          <w:color w:val="0F243E" w:themeColor="text2" w:themeShade="80"/>
          <w:sz w:val="24"/>
          <w:szCs w:val="24"/>
        </w:rPr>
        <w:instrText>III. People centered governance and rule of law</w:instrText>
      </w:r>
      <w:bookmarkEnd w:id="54"/>
      <w:r w:rsidR="00707381">
        <w:instrText xml:space="preserve">" \f C \l "2" </w:instrText>
      </w:r>
      <w:r w:rsidR="00707381">
        <w:rPr>
          <w:b/>
          <w:color w:val="0F243E" w:themeColor="text2" w:themeShade="80"/>
          <w:sz w:val="24"/>
          <w:szCs w:val="24"/>
        </w:rPr>
        <w:fldChar w:fldCharType="end"/>
      </w:r>
      <w:r w:rsidRPr="00946463">
        <w:rPr>
          <w:b/>
          <w:color w:val="0F243E" w:themeColor="text2" w:themeShade="80"/>
          <w:sz w:val="24"/>
          <w:szCs w:val="24"/>
        </w:rPr>
        <w:t xml:space="preserve"> </w:t>
      </w:r>
    </w:p>
    <w:tbl>
      <w:tblPr>
        <w:tblStyle w:val="TableGrid"/>
        <w:tblW w:w="9356" w:type="dxa"/>
        <w:tblInd w:w="108" w:type="dxa"/>
        <w:tblBorders>
          <w:left w:val="none" w:sz="0" w:space="0" w:color="auto"/>
          <w:right w:val="none" w:sz="0" w:space="0" w:color="auto"/>
        </w:tblBorders>
        <w:shd w:val="clear" w:color="auto" w:fill="C6D9F1" w:themeFill="text2" w:themeFillTint="33"/>
        <w:tblLook w:val="04A0" w:firstRow="1" w:lastRow="0" w:firstColumn="1" w:lastColumn="0" w:noHBand="0" w:noVBand="1"/>
      </w:tblPr>
      <w:tblGrid>
        <w:gridCol w:w="9356"/>
      </w:tblGrid>
      <w:tr w:rsidR="00F40B9A" w:rsidRPr="00A1653F" w14:paraId="381B8924" w14:textId="77777777" w:rsidTr="00197F4E">
        <w:trPr>
          <w:trHeight w:val="311"/>
        </w:trPr>
        <w:tc>
          <w:tcPr>
            <w:tcW w:w="9356" w:type="dxa"/>
            <w:tcBorders>
              <w:top w:val="single" w:sz="4" w:space="0" w:color="548DD4" w:themeColor="text2" w:themeTint="99"/>
              <w:bottom w:val="single" w:sz="4" w:space="0" w:color="548DD4" w:themeColor="text2" w:themeTint="99"/>
              <w:right w:val="nil"/>
            </w:tcBorders>
            <w:shd w:val="clear" w:color="auto" w:fill="C6D9F1" w:themeFill="text2" w:themeFillTint="33"/>
          </w:tcPr>
          <w:p w14:paraId="43B5FF9A" w14:textId="77777777" w:rsidR="00F40B9A" w:rsidRPr="00A1653F" w:rsidRDefault="00F40B9A" w:rsidP="00D9559C">
            <w:pPr>
              <w:spacing w:before="120" w:after="120"/>
              <w:ind w:right="-360"/>
              <w:jc w:val="both"/>
              <w:rPr>
                <w:rFonts w:cstheme="minorHAnsi"/>
                <w:sz w:val="21"/>
                <w:szCs w:val="21"/>
              </w:rPr>
            </w:pPr>
            <w:r w:rsidRPr="00A1653F">
              <w:rPr>
                <w:rFonts w:cstheme="minorHAnsi"/>
                <w:b/>
                <w:sz w:val="21"/>
                <w:szCs w:val="21"/>
              </w:rPr>
              <w:t xml:space="preserve">Outcome 4. </w:t>
            </w:r>
            <w:r w:rsidRPr="00A1653F">
              <w:rPr>
                <w:rFonts w:cstheme="minorHAnsi"/>
                <w:bCs/>
                <w:sz w:val="21"/>
                <w:szCs w:val="21"/>
              </w:rPr>
              <w:t>By 2025, people contribute to, and benefit from more accountable and transparent governance systems that deliver quality public services, and ensure rule of law</w:t>
            </w:r>
          </w:p>
        </w:tc>
      </w:tr>
    </w:tbl>
    <w:p w14:paraId="781701BE" w14:textId="68CF0464" w:rsidR="00170C24" w:rsidRPr="00197F4E" w:rsidRDefault="003A0746" w:rsidP="00D9559C">
      <w:pPr>
        <w:spacing w:before="120" w:after="120" w:line="240" w:lineRule="auto"/>
        <w:ind w:right="-360"/>
        <w:jc w:val="both"/>
        <w:rPr>
          <w:rFonts w:cstheme="minorHAnsi"/>
          <w:color w:val="0F243E" w:themeColor="text2" w:themeShade="80"/>
        </w:rPr>
      </w:pPr>
      <w:r>
        <w:rPr>
          <w:rFonts w:cstheme="minorHAnsi"/>
          <w:b/>
          <w:color w:val="0F243E" w:themeColor="text2" w:themeShade="80"/>
        </w:rPr>
        <w:t>T</w:t>
      </w:r>
      <w:r w:rsidR="00170C24" w:rsidRPr="002E2068">
        <w:rPr>
          <w:rFonts w:cstheme="minorHAnsi"/>
          <w:b/>
          <w:color w:val="0F243E" w:themeColor="text2" w:themeShade="80"/>
        </w:rPr>
        <w:t xml:space="preserve">heory </w:t>
      </w:r>
      <w:r w:rsidR="00170C24" w:rsidRPr="00197F4E">
        <w:rPr>
          <w:rFonts w:cstheme="minorHAnsi"/>
          <w:b/>
          <w:color w:val="0F243E" w:themeColor="text2" w:themeShade="80"/>
        </w:rPr>
        <w:t xml:space="preserve">of change </w:t>
      </w:r>
    </w:p>
    <w:p w14:paraId="7DB6E937" w14:textId="4EDE79CC" w:rsidR="00D733C8" w:rsidRPr="009575D9" w:rsidRDefault="00170C24" w:rsidP="00D9559C">
      <w:pPr>
        <w:pStyle w:val="ListParagraph"/>
        <w:numPr>
          <w:ilvl w:val="0"/>
          <w:numId w:val="3"/>
        </w:numPr>
        <w:spacing w:after="120"/>
        <w:ind w:right="-360"/>
        <w:contextualSpacing w:val="0"/>
        <w:jc w:val="both"/>
        <w:rPr>
          <w:rFonts w:cstheme="minorHAnsi"/>
          <w:sz w:val="21"/>
          <w:szCs w:val="21"/>
          <w:lang w:val="en-CA"/>
        </w:rPr>
      </w:pPr>
      <w:r w:rsidRPr="00197F4E">
        <w:rPr>
          <w:sz w:val="21"/>
          <w:szCs w:val="21"/>
        </w:rPr>
        <w:t xml:space="preserve">The </w:t>
      </w:r>
      <w:r w:rsidR="00CE7896" w:rsidRPr="00197F4E">
        <w:rPr>
          <w:sz w:val="21"/>
          <w:szCs w:val="21"/>
        </w:rPr>
        <w:t>Reform Agenda o</w:t>
      </w:r>
      <w:r w:rsidRPr="00197F4E">
        <w:rPr>
          <w:sz w:val="21"/>
          <w:szCs w:val="21"/>
        </w:rPr>
        <w:t>ffer</w:t>
      </w:r>
      <w:r w:rsidR="00CE7896" w:rsidRPr="00197F4E">
        <w:rPr>
          <w:sz w:val="21"/>
          <w:szCs w:val="21"/>
        </w:rPr>
        <w:t>s</w:t>
      </w:r>
      <w:r w:rsidRPr="00197F4E">
        <w:rPr>
          <w:sz w:val="21"/>
          <w:szCs w:val="21"/>
        </w:rPr>
        <w:t xml:space="preserve"> a direct response to the EC Opinion, with priorities to address major </w:t>
      </w:r>
      <w:r w:rsidRPr="00197F4E">
        <w:rPr>
          <w:sz w:val="21"/>
          <w:szCs w:val="21"/>
          <w:shd w:val="clear" w:color="auto" w:fill="FFFFFF"/>
        </w:rPr>
        <w:t xml:space="preserve">structural challenges that impede effective governance and rule of law. </w:t>
      </w:r>
      <w:r w:rsidR="004850E8" w:rsidRPr="00197F4E">
        <w:rPr>
          <w:sz w:val="21"/>
          <w:szCs w:val="21"/>
          <w:shd w:val="clear" w:color="auto" w:fill="FFFFFF"/>
        </w:rPr>
        <w:t>In line with th</w:t>
      </w:r>
      <w:r w:rsidR="00D733C8" w:rsidRPr="00197F4E">
        <w:rPr>
          <w:sz w:val="21"/>
          <w:szCs w:val="21"/>
          <w:shd w:val="clear" w:color="auto" w:fill="FFFFFF"/>
        </w:rPr>
        <w:t>is a</w:t>
      </w:r>
      <w:r w:rsidR="00E25896" w:rsidRPr="00197F4E">
        <w:rPr>
          <w:sz w:val="21"/>
          <w:szCs w:val="21"/>
          <w:shd w:val="clear" w:color="auto" w:fill="FFFFFF"/>
        </w:rPr>
        <w:t>genda</w:t>
      </w:r>
      <w:r w:rsidR="004850E8" w:rsidRPr="00197F4E">
        <w:rPr>
          <w:sz w:val="21"/>
          <w:szCs w:val="21"/>
          <w:shd w:val="clear" w:color="auto" w:fill="FFFFFF"/>
        </w:rPr>
        <w:t>, t</w:t>
      </w:r>
      <w:r w:rsidRPr="00197F4E">
        <w:rPr>
          <w:sz w:val="21"/>
          <w:szCs w:val="21"/>
          <w:shd w:val="clear" w:color="auto" w:fill="FFFFFF"/>
        </w:rPr>
        <w:t>he</w:t>
      </w:r>
      <w:r w:rsidR="008104CB" w:rsidRPr="00197F4E">
        <w:rPr>
          <w:sz w:val="21"/>
          <w:szCs w:val="21"/>
          <w:shd w:val="clear" w:color="auto" w:fill="FFFFFF"/>
        </w:rPr>
        <w:t xml:space="preserve"> </w:t>
      </w:r>
      <w:r w:rsidR="008104CB" w:rsidRPr="00197F4E">
        <w:rPr>
          <w:rFonts w:cstheme="minorHAnsi"/>
          <w:sz w:val="21"/>
          <w:szCs w:val="21"/>
          <w:lang w:eastAsia="en-CA"/>
        </w:rPr>
        <w:t xml:space="preserve">theory of change underlying this outcome is </w:t>
      </w:r>
      <w:r w:rsidR="008104CB" w:rsidRPr="009575D9">
        <w:rPr>
          <w:rFonts w:cstheme="minorHAnsi"/>
          <w:sz w:val="21"/>
          <w:szCs w:val="21"/>
          <w:lang w:eastAsia="en-CA"/>
        </w:rPr>
        <w:t>that</w:t>
      </w:r>
      <w:r w:rsidR="00D733C8" w:rsidRPr="009575D9">
        <w:rPr>
          <w:rFonts w:cstheme="minorHAnsi"/>
          <w:sz w:val="21"/>
          <w:szCs w:val="21"/>
          <w:lang w:eastAsia="en-CA"/>
        </w:rPr>
        <w:t xml:space="preserve"> practical reforms to make governance systems more accountable and transparent will enable </w:t>
      </w:r>
      <w:r w:rsidR="004E35B3" w:rsidRPr="009575D9">
        <w:rPr>
          <w:rFonts w:cstheme="minorHAnsi"/>
          <w:sz w:val="21"/>
          <w:szCs w:val="21"/>
          <w:lang w:eastAsia="en-CA"/>
        </w:rPr>
        <w:t>the</w:t>
      </w:r>
      <w:r w:rsidR="00D733C8" w:rsidRPr="009575D9">
        <w:rPr>
          <w:rFonts w:cstheme="minorHAnsi"/>
          <w:sz w:val="21"/>
          <w:szCs w:val="21"/>
          <w:lang w:eastAsia="en-CA"/>
        </w:rPr>
        <w:t xml:space="preserve"> authorities</w:t>
      </w:r>
      <w:r w:rsidR="004E35B3" w:rsidRPr="009575D9">
        <w:rPr>
          <w:rFonts w:cstheme="minorHAnsi"/>
          <w:sz w:val="21"/>
          <w:szCs w:val="21"/>
          <w:lang w:eastAsia="en-CA"/>
        </w:rPr>
        <w:t xml:space="preserve"> in BiH</w:t>
      </w:r>
      <w:r w:rsidR="00D733C8" w:rsidRPr="009575D9">
        <w:rPr>
          <w:rFonts w:cstheme="minorHAnsi"/>
          <w:sz w:val="21"/>
          <w:szCs w:val="21"/>
          <w:lang w:eastAsia="en-CA"/>
        </w:rPr>
        <w:t xml:space="preserve"> to deliver effective public services, strengthen their relationships with people and build greater public confidence in </w:t>
      </w:r>
      <w:r w:rsidR="003873EA" w:rsidRPr="009575D9">
        <w:rPr>
          <w:rFonts w:cstheme="minorHAnsi"/>
          <w:sz w:val="21"/>
          <w:szCs w:val="21"/>
          <w:lang w:eastAsia="en-CA"/>
        </w:rPr>
        <w:t>the</w:t>
      </w:r>
      <w:r w:rsidR="00D733C8" w:rsidRPr="009575D9">
        <w:rPr>
          <w:rFonts w:cstheme="minorHAnsi"/>
          <w:sz w:val="21"/>
          <w:szCs w:val="21"/>
          <w:lang w:eastAsia="en-CA"/>
        </w:rPr>
        <w:t xml:space="preserve"> institutions</w:t>
      </w:r>
      <w:r w:rsidR="003873EA" w:rsidRPr="009575D9">
        <w:rPr>
          <w:rFonts w:cstheme="minorHAnsi"/>
          <w:sz w:val="21"/>
          <w:szCs w:val="21"/>
          <w:lang w:eastAsia="en-CA"/>
        </w:rPr>
        <w:t xml:space="preserve"> in BiH</w:t>
      </w:r>
      <w:r w:rsidR="00D733C8" w:rsidRPr="009575D9">
        <w:rPr>
          <w:rFonts w:cstheme="minorHAnsi"/>
          <w:sz w:val="21"/>
          <w:szCs w:val="21"/>
          <w:lang w:eastAsia="en-CA"/>
        </w:rPr>
        <w:t xml:space="preserve"> and rule of law.</w:t>
      </w:r>
    </w:p>
    <w:p w14:paraId="0CD43EF5" w14:textId="6139A0A9" w:rsidR="00E25896" w:rsidRPr="009575D9" w:rsidRDefault="001F3675" w:rsidP="00D9559C">
      <w:pPr>
        <w:pStyle w:val="ListParagraph"/>
        <w:numPr>
          <w:ilvl w:val="0"/>
          <w:numId w:val="3"/>
        </w:numPr>
        <w:spacing w:after="120"/>
        <w:ind w:right="-360"/>
        <w:contextualSpacing w:val="0"/>
        <w:jc w:val="both"/>
        <w:rPr>
          <w:rFonts w:cstheme="minorHAnsi"/>
          <w:sz w:val="21"/>
          <w:szCs w:val="21"/>
          <w:lang w:val="en-CA"/>
        </w:rPr>
      </w:pPr>
      <w:r w:rsidRPr="009575D9">
        <w:rPr>
          <w:rFonts w:cstheme="minorHAnsi"/>
          <w:sz w:val="21"/>
          <w:szCs w:val="21"/>
          <w:lang w:eastAsia="en-CA"/>
        </w:rPr>
        <w:t xml:space="preserve">More accountable and </w:t>
      </w:r>
      <w:r w:rsidR="00D733C8" w:rsidRPr="009575D9">
        <w:rPr>
          <w:rFonts w:cstheme="minorHAnsi"/>
          <w:sz w:val="21"/>
          <w:szCs w:val="21"/>
          <w:lang w:eastAsia="en-CA"/>
        </w:rPr>
        <w:t>t</w:t>
      </w:r>
      <w:r w:rsidR="008104CB" w:rsidRPr="009575D9">
        <w:rPr>
          <w:rFonts w:cstheme="minorHAnsi"/>
          <w:sz w:val="21"/>
          <w:szCs w:val="21"/>
          <w:lang w:eastAsia="en-CA"/>
        </w:rPr>
        <w:t xml:space="preserve">ransparent governance systems </w:t>
      </w:r>
      <w:r w:rsidR="00BA7A47" w:rsidRPr="009575D9">
        <w:rPr>
          <w:rFonts w:cstheme="minorHAnsi"/>
          <w:sz w:val="21"/>
          <w:szCs w:val="21"/>
          <w:lang w:eastAsia="en-CA"/>
        </w:rPr>
        <w:t xml:space="preserve">will </w:t>
      </w:r>
      <w:r w:rsidR="00CE7896" w:rsidRPr="009575D9">
        <w:rPr>
          <w:rFonts w:cstheme="minorHAnsi"/>
          <w:sz w:val="21"/>
          <w:szCs w:val="21"/>
          <w:lang w:eastAsia="en-CA"/>
        </w:rPr>
        <w:t>enab</w:t>
      </w:r>
      <w:r w:rsidRPr="009575D9">
        <w:rPr>
          <w:rFonts w:cstheme="minorHAnsi"/>
          <w:sz w:val="21"/>
          <w:szCs w:val="21"/>
          <w:lang w:eastAsia="en-CA"/>
        </w:rPr>
        <w:t>le</w:t>
      </w:r>
      <w:r w:rsidR="00CE7896" w:rsidRPr="009575D9">
        <w:rPr>
          <w:rFonts w:cstheme="minorHAnsi"/>
          <w:sz w:val="21"/>
          <w:szCs w:val="21"/>
          <w:lang w:eastAsia="en-CA"/>
        </w:rPr>
        <w:t xml:space="preserve"> </w:t>
      </w:r>
      <w:r w:rsidR="004E35B3" w:rsidRPr="009575D9">
        <w:rPr>
          <w:rFonts w:cstheme="minorHAnsi"/>
          <w:sz w:val="21"/>
          <w:szCs w:val="21"/>
          <w:lang w:eastAsia="en-CA"/>
        </w:rPr>
        <w:t>the</w:t>
      </w:r>
      <w:r w:rsidR="00CE7896" w:rsidRPr="009575D9">
        <w:rPr>
          <w:rFonts w:cstheme="minorHAnsi"/>
          <w:sz w:val="21"/>
          <w:szCs w:val="21"/>
          <w:lang w:eastAsia="en-CA"/>
        </w:rPr>
        <w:t xml:space="preserve"> authorities</w:t>
      </w:r>
      <w:r w:rsidR="004E35B3" w:rsidRPr="009575D9">
        <w:rPr>
          <w:rFonts w:cstheme="minorHAnsi"/>
          <w:sz w:val="21"/>
          <w:szCs w:val="21"/>
          <w:lang w:eastAsia="en-CA"/>
        </w:rPr>
        <w:t xml:space="preserve"> in BiH</w:t>
      </w:r>
      <w:r w:rsidR="00CE7896" w:rsidRPr="009575D9">
        <w:rPr>
          <w:rFonts w:cstheme="minorHAnsi"/>
          <w:sz w:val="21"/>
          <w:szCs w:val="21"/>
          <w:lang w:eastAsia="en-CA"/>
        </w:rPr>
        <w:t xml:space="preserve"> to </w:t>
      </w:r>
      <w:r w:rsidR="00CE7896" w:rsidRPr="009575D9">
        <w:rPr>
          <w:rFonts w:cstheme="minorHAnsi"/>
          <w:sz w:val="21"/>
          <w:szCs w:val="21"/>
        </w:rPr>
        <w:t xml:space="preserve">partner more effectively with people to shape and deliver more responsive policies, laws and public services, including in response to the current </w:t>
      </w:r>
      <w:r w:rsidR="00A146DF" w:rsidRPr="009575D9">
        <w:rPr>
          <w:rFonts w:cstheme="minorHAnsi"/>
          <w:sz w:val="21"/>
          <w:szCs w:val="21"/>
        </w:rPr>
        <w:t xml:space="preserve">COVID-19 </w:t>
      </w:r>
      <w:r w:rsidR="00B9033E" w:rsidRPr="009575D9">
        <w:rPr>
          <w:rFonts w:cstheme="minorHAnsi"/>
          <w:sz w:val="21"/>
          <w:szCs w:val="21"/>
        </w:rPr>
        <w:t>pandemic</w:t>
      </w:r>
      <w:r w:rsidR="00A146DF" w:rsidRPr="009575D9">
        <w:rPr>
          <w:rFonts w:cstheme="minorHAnsi"/>
          <w:sz w:val="21"/>
          <w:szCs w:val="21"/>
        </w:rPr>
        <w:t xml:space="preserve"> and the</w:t>
      </w:r>
      <w:r w:rsidR="00B9033E" w:rsidRPr="009575D9">
        <w:rPr>
          <w:rFonts w:cstheme="minorHAnsi"/>
          <w:sz w:val="21"/>
          <w:szCs w:val="21"/>
        </w:rPr>
        <w:t xml:space="preserve"> situation of </w:t>
      </w:r>
      <w:r w:rsidR="00CE7896" w:rsidRPr="009575D9">
        <w:rPr>
          <w:rFonts w:cstheme="minorHAnsi"/>
          <w:sz w:val="21"/>
          <w:szCs w:val="21"/>
        </w:rPr>
        <w:t>refugees and migrant in the country. Efforts will also focus on leveraging technology to modernize public performance and support digital governance</w:t>
      </w:r>
      <w:r w:rsidR="00A146DF" w:rsidRPr="009575D9">
        <w:rPr>
          <w:rFonts w:cstheme="minorHAnsi"/>
          <w:sz w:val="21"/>
          <w:szCs w:val="21"/>
        </w:rPr>
        <w:t>, as well as</w:t>
      </w:r>
      <w:r w:rsidR="00CE7896" w:rsidRPr="009575D9">
        <w:rPr>
          <w:rFonts w:cstheme="minorHAnsi"/>
          <w:sz w:val="21"/>
          <w:szCs w:val="21"/>
        </w:rPr>
        <w:t xml:space="preserve"> increasing </w:t>
      </w:r>
      <w:r w:rsidR="00CE7896" w:rsidRPr="009575D9">
        <w:rPr>
          <w:sz w:val="21"/>
          <w:szCs w:val="21"/>
        </w:rPr>
        <w:t>women’s participation in political and economic decision-making.</w:t>
      </w:r>
      <w:r w:rsidR="00CE7896" w:rsidRPr="009575D9">
        <w:rPr>
          <w:rFonts w:cstheme="minorHAnsi"/>
          <w:sz w:val="21"/>
          <w:szCs w:val="21"/>
        </w:rPr>
        <w:t xml:space="preserve"> </w:t>
      </w:r>
    </w:p>
    <w:p w14:paraId="25AAD1E2" w14:textId="79552F19" w:rsidR="00CE7896" w:rsidRPr="00197F4E" w:rsidRDefault="00CE7896" w:rsidP="00D9559C">
      <w:pPr>
        <w:pStyle w:val="ListParagraph"/>
        <w:numPr>
          <w:ilvl w:val="0"/>
          <w:numId w:val="3"/>
        </w:numPr>
        <w:spacing w:after="120"/>
        <w:ind w:right="-360"/>
        <w:contextualSpacing w:val="0"/>
        <w:jc w:val="both"/>
        <w:rPr>
          <w:rFonts w:cstheme="minorHAnsi"/>
          <w:sz w:val="21"/>
          <w:szCs w:val="21"/>
          <w:lang w:val="en-CA"/>
        </w:rPr>
      </w:pPr>
      <w:r w:rsidRPr="009575D9">
        <w:rPr>
          <w:rFonts w:cstheme="minorHAnsi"/>
          <w:sz w:val="21"/>
          <w:szCs w:val="21"/>
        </w:rPr>
        <w:t xml:space="preserve">At </w:t>
      </w:r>
      <w:r w:rsidR="00A146DF" w:rsidRPr="009575D9">
        <w:rPr>
          <w:rFonts w:cstheme="minorHAnsi"/>
          <w:sz w:val="21"/>
          <w:szCs w:val="21"/>
        </w:rPr>
        <w:t>c</w:t>
      </w:r>
      <w:r w:rsidR="00E25896" w:rsidRPr="009575D9">
        <w:rPr>
          <w:rFonts w:cstheme="minorHAnsi"/>
          <w:sz w:val="21"/>
          <w:szCs w:val="21"/>
        </w:rPr>
        <w:t xml:space="preserve">antonal and </w:t>
      </w:r>
      <w:r w:rsidR="00160E1F" w:rsidRPr="009575D9">
        <w:rPr>
          <w:rFonts w:cstheme="minorHAnsi"/>
          <w:sz w:val="21"/>
          <w:szCs w:val="21"/>
        </w:rPr>
        <w:t>l</w:t>
      </w:r>
      <w:r w:rsidRPr="009575D9">
        <w:rPr>
          <w:rFonts w:cstheme="minorHAnsi"/>
          <w:sz w:val="21"/>
          <w:szCs w:val="21"/>
        </w:rPr>
        <w:t xml:space="preserve">ocal </w:t>
      </w:r>
      <w:r w:rsidR="00A146DF" w:rsidRPr="009575D9">
        <w:rPr>
          <w:rFonts w:cstheme="minorHAnsi"/>
          <w:sz w:val="21"/>
          <w:szCs w:val="21"/>
        </w:rPr>
        <w:t xml:space="preserve">government </w:t>
      </w:r>
      <w:r w:rsidRPr="009575D9">
        <w:rPr>
          <w:rFonts w:cstheme="minorHAnsi"/>
          <w:sz w:val="21"/>
          <w:szCs w:val="21"/>
        </w:rPr>
        <w:t xml:space="preserve">levels, tangible new skills, abilities, and mechanisms will be developed, in partnership with </w:t>
      </w:r>
      <w:r w:rsidR="002853E4" w:rsidRPr="009575D9">
        <w:rPr>
          <w:rFonts w:cstheme="minorHAnsi"/>
          <w:sz w:val="21"/>
          <w:szCs w:val="21"/>
        </w:rPr>
        <w:t xml:space="preserve">the </w:t>
      </w:r>
      <w:r w:rsidRPr="009575D9">
        <w:rPr>
          <w:rFonts w:cstheme="minorHAnsi"/>
          <w:sz w:val="21"/>
          <w:szCs w:val="21"/>
        </w:rPr>
        <w:t>authorities</w:t>
      </w:r>
      <w:r w:rsidR="002853E4" w:rsidRPr="009575D9">
        <w:rPr>
          <w:rFonts w:cstheme="minorHAnsi"/>
          <w:sz w:val="21"/>
          <w:szCs w:val="21"/>
        </w:rPr>
        <w:t xml:space="preserve"> in BiH</w:t>
      </w:r>
      <w:r w:rsidRPr="009575D9">
        <w:rPr>
          <w:rFonts w:cstheme="minorHAnsi"/>
          <w:sz w:val="21"/>
          <w:szCs w:val="21"/>
        </w:rPr>
        <w:t xml:space="preserve"> to strengthen citizen consultation and participation in policymaking, and revise or develop policies and programmes that are gender-responsive, and inclusive of other vulnerable groups for targeting and service delivery. UN system agencies will continue to support </w:t>
      </w:r>
      <w:r w:rsidR="002853E4" w:rsidRPr="009575D9">
        <w:rPr>
          <w:rFonts w:cstheme="minorHAnsi"/>
          <w:sz w:val="21"/>
          <w:szCs w:val="21"/>
        </w:rPr>
        <w:t>the</w:t>
      </w:r>
      <w:r w:rsidRPr="009575D9">
        <w:rPr>
          <w:rFonts w:cstheme="minorHAnsi"/>
          <w:sz w:val="21"/>
          <w:szCs w:val="21"/>
        </w:rPr>
        <w:t xml:space="preserve"> authorities</w:t>
      </w:r>
      <w:r w:rsidR="002853E4" w:rsidRPr="009575D9">
        <w:rPr>
          <w:rFonts w:cstheme="minorHAnsi"/>
          <w:sz w:val="21"/>
          <w:szCs w:val="21"/>
        </w:rPr>
        <w:t xml:space="preserve"> in BiH</w:t>
      </w:r>
      <w:r w:rsidRPr="009575D9">
        <w:rPr>
          <w:rFonts w:cstheme="minorHAnsi"/>
          <w:sz w:val="21"/>
          <w:szCs w:val="21"/>
        </w:rPr>
        <w:t xml:space="preserve"> to collect SDG-related data and use it to strengthen the evidence base for governance-related policies and plans that are aligned with the long-term sustainable goals as set forth in the emerging SDGs Framework in BiH as well as to tap into financing from private sector for SDGs implementation. The expected results under this priority are </w:t>
      </w:r>
      <w:r w:rsidRPr="009575D9">
        <w:rPr>
          <w:rFonts w:cstheme="minorHAnsi"/>
          <w:i/>
          <w:sz w:val="21"/>
          <w:szCs w:val="21"/>
        </w:rPr>
        <w:t>pre-conditions</w:t>
      </w:r>
      <w:r w:rsidRPr="009575D9">
        <w:rPr>
          <w:rFonts w:cstheme="minorHAnsi"/>
          <w:sz w:val="21"/>
          <w:szCs w:val="21"/>
        </w:rPr>
        <w:t xml:space="preserve"> for the success of efforts to diversify the economy and to deliver prosperity that is more fairly shared (outcome 1).</w:t>
      </w:r>
      <w:r w:rsidR="00BF634A" w:rsidRPr="009575D9">
        <w:rPr>
          <w:rFonts w:cstheme="minorHAnsi"/>
          <w:sz w:val="21"/>
          <w:szCs w:val="21"/>
        </w:rPr>
        <w:t xml:space="preserve"> </w:t>
      </w:r>
      <w:r w:rsidR="0087649A" w:rsidRPr="009575D9">
        <w:rPr>
          <w:rFonts w:cstheme="minorHAnsi"/>
          <w:sz w:val="21"/>
          <w:szCs w:val="21"/>
          <w:lang w:eastAsia="en-CA"/>
        </w:rPr>
        <w:t xml:space="preserve">Cooperation is expected to support </w:t>
      </w:r>
      <w:r w:rsidR="002853E4" w:rsidRPr="009575D9">
        <w:rPr>
          <w:rFonts w:cstheme="minorHAnsi"/>
          <w:sz w:val="21"/>
          <w:szCs w:val="21"/>
          <w:lang w:eastAsia="en-CA"/>
        </w:rPr>
        <w:t>the</w:t>
      </w:r>
      <w:r w:rsidR="0087649A" w:rsidRPr="009575D9">
        <w:rPr>
          <w:rFonts w:cstheme="minorHAnsi"/>
          <w:sz w:val="21"/>
          <w:szCs w:val="21"/>
          <w:lang w:eastAsia="en-CA"/>
        </w:rPr>
        <w:t xml:space="preserve"> authorities</w:t>
      </w:r>
      <w:r w:rsidR="002853E4" w:rsidRPr="009575D9">
        <w:rPr>
          <w:rFonts w:cstheme="minorHAnsi"/>
          <w:sz w:val="21"/>
          <w:szCs w:val="21"/>
          <w:lang w:eastAsia="en-CA"/>
        </w:rPr>
        <w:t xml:space="preserve"> in BiH</w:t>
      </w:r>
      <w:r w:rsidR="0087649A" w:rsidRPr="009575D9">
        <w:rPr>
          <w:rFonts w:cstheme="minorHAnsi"/>
          <w:sz w:val="21"/>
          <w:szCs w:val="21"/>
          <w:lang w:eastAsia="en-CA"/>
        </w:rPr>
        <w:t xml:space="preserve"> to</w:t>
      </w:r>
      <w:r w:rsidR="0087649A" w:rsidRPr="00197F4E">
        <w:rPr>
          <w:rFonts w:cstheme="minorHAnsi"/>
          <w:sz w:val="21"/>
          <w:szCs w:val="21"/>
          <w:lang w:eastAsia="en-CA"/>
        </w:rPr>
        <w:t xml:space="preserve"> implement recommendations from the recent UPR to pr</w:t>
      </w:r>
      <w:r w:rsidR="0087649A" w:rsidRPr="00197F4E">
        <w:rPr>
          <w:rFonts w:cstheme="minorHAnsi"/>
          <w:sz w:val="21"/>
          <w:szCs w:val="21"/>
        </w:rPr>
        <w:t xml:space="preserve">otect and </w:t>
      </w:r>
      <w:r w:rsidR="0087649A" w:rsidRPr="007E4270">
        <w:rPr>
          <w:rFonts w:cstheme="minorHAnsi"/>
          <w:sz w:val="21"/>
          <w:szCs w:val="21"/>
        </w:rPr>
        <w:t>promote human rights through an evidence-based approach and to strengthen human rights policy coordination between authorities to address discrimination</w:t>
      </w:r>
      <w:r w:rsidR="0087649A" w:rsidRPr="00197F4E">
        <w:rPr>
          <w:rFonts w:cstheme="minorHAnsi"/>
          <w:sz w:val="21"/>
          <w:szCs w:val="21"/>
        </w:rPr>
        <w:t xml:space="preserve"> against women</w:t>
      </w:r>
      <w:r w:rsidR="009D253C">
        <w:rPr>
          <w:rFonts w:cstheme="minorHAnsi"/>
          <w:sz w:val="21"/>
          <w:szCs w:val="21"/>
        </w:rPr>
        <w:t xml:space="preserve">, children </w:t>
      </w:r>
      <w:r w:rsidR="0087649A" w:rsidRPr="00197F4E">
        <w:rPr>
          <w:rFonts w:cstheme="minorHAnsi"/>
          <w:sz w:val="21"/>
          <w:szCs w:val="21"/>
        </w:rPr>
        <w:t>and vulnerable groups</w:t>
      </w:r>
      <w:r w:rsidR="0087649A" w:rsidRPr="00197F4E">
        <w:rPr>
          <w:rStyle w:val="FootnoteReference"/>
          <w:rFonts w:cstheme="minorHAnsi"/>
          <w:sz w:val="21"/>
          <w:szCs w:val="21"/>
          <w:lang w:eastAsia="en-CA"/>
        </w:rPr>
        <w:footnoteReference w:id="108"/>
      </w:r>
      <w:r w:rsidR="0087649A" w:rsidRPr="00197F4E">
        <w:rPr>
          <w:rFonts w:cstheme="minorHAnsi"/>
          <w:sz w:val="21"/>
          <w:szCs w:val="21"/>
          <w:lang w:eastAsia="en-CA"/>
        </w:rPr>
        <w:t>.</w:t>
      </w:r>
    </w:p>
    <w:p w14:paraId="25428852" w14:textId="77777777" w:rsidR="00170C24" w:rsidRPr="00197F4E" w:rsidRDefault="00170C24" w:rsidP="00D9559C">
      <w:pPr>
        <w:pStyle w:val="ListParagraph"/>
        <w:numPr>
          <w:ilvl w:val="0"/>
          <w:numId w:val="3"/>
        </w:numPr>
        <w:spacing w:after="40"/>
        <w:ind w:right="-360"/>
        <w:contextualSpacing w:val="0"/>
        <w:jc w:val="both"/>
        <w:rPr>
          <w:rFonts w:cstheme="minorHAnsi"/>
          <w:sz w:val="21"/>
          <w:szCs w:val="21"/>
          <w:lang w:val="en-CA"/>
        </w:rPr>
      </w:pPr>
      <w:r w:rsidRPr="00197F4E">
        <w:rPr>
          <w:rFonts w:ascii="Calibri" w:hAnsi="Calibri"/>
          <w:sz w:val="21"/>
          <w:szCs w:val="21"/>
        </w:rPr>
        <w:t xml:space="preserve">By 2025, the success of BiH and UN cooperation efforts will be seen in: </w:t>
      </w:r>
    </w:p>
    <w:p w14:paraId="047474A1" w14:textId="77777777" w:rsidR="00170C24" w:rsidRPr="00197F4E" w:rsidRDefault="00170C24" w:rsidP="00D9559C">
      <w:pPr>
        <w:pStyle w:val="ListParagraph"/>
        <w:numPr>
          <w:ilvl w:val="0"/>
          <w:numId w:val="5"/>
        </w:numPr>
        <w:spacing w:after="40"/>
        <w:ind w:right="-360" w:hanging="357"/>
        <w:contextualSpacing w:val="0"/>
        <w:jc w:val="both"/>
        <w:rPr>
          <w:sz w:val="21"/>
          <w:szCs w:val="21"/>
        </w:rPr>
      </w:pPr>
      <w:r w:rsidRPr="00197F4E">
        <w:rPr>
          <w:rFonts w:cstheme="minorHAnsi"/>
          <w:sz w:val="21"/>
          <w:szCs w:val="21"/>
        </w:rPr>
        <w:t>Improved perceptions about, and increased satisfaction with, the transparency and quality of key public services;</w:t>
      </w:r>
    </w:p>
    <w:p w14:paraId="02AAF8DE" w14:textId="77777777" w:rsidR="00170C24" w:rsidRPr="00197F4E" w:rsidRDefault="00170C24" w:rsidP="00D9559C">
      <w:pPr>
        <w:pStyle w:val="ListParagraph"/>
        <w:numPr>
          <w:ilvl w:val="0"/>
          <w:numId w:val="5"/>
        </w:numPr>
        <w:spacing w:after="40"/>
        <w:ind w:right="-360" w:hanging="357"/>
        <w:contextualSpacing w:val="0"/>
        <w:jc w:val="both"/>
        <w:rPr>
          <w:sz w:val="21"/>
          <w:szCs w:val="21"/>
        </w:rPr>
      </w:pPr>
      <w:r w:rsidRPr="00197F4E">
        <w:rPr>
          <w:rFonts w:cstheme="minorHAnsi"/>
          <w:sz w:val="21"/>
          <w:szCs w:val="21"/>
        </w:rPr>
        <w:t>Implementation of international standards of governance at local levels, especially related to gender equality;</w:t>
      </w:r>
    </w:p>
    <w:p w14:paraId="741A0ED9" w14:textId="77777777" w:rsidR="00170C24" w:rsidRPr="00197F4E" w:rsidRDefault="00170C24" w:rsidP="00D9559C">
      <w:pPr>
        <w:pStyle w:val="ListParagraph"/>
        <w:numPr>
          <w:ilvl w:val="0"/>
          <w:numId w:val="5"/>
        </w:numPr>
        <w:spacing w:after="40"/>
        <w:ind w:right="-360" w:hanging="357"/>
        <w:contextualSpacing w:val="0"/>
        <w:jc w:val="both"/>
        <w:rPr>
          <w:sz w:val="21"/>
          <w:szCs w:val="21"/>
        </w:rPr>
      </w:pPr>
      <w:r w:rsidRPr="00197F4E">
        <w:rPr>
          <w:rFonts w:ascii="Calibri" w:hAnsi="Calibri"/>
          <w:sz w:val="21"/>
          <w:szCs w:val="21"/>
        </w:rPr>
        <w:t>Increased use of e-government platforms to facilitate day-to-day business and transactions</w:t>
      </w:r>
      <w:r w:rsidRPr="00197F4E">
        <w:rPr>
          <w:rFonts w:cstheme="minorHAnsi"/>
          <w:sz w:val="21"/>
          <w:szCs w:val="21"/>
        </w:rPr>
        <w:t>.</w:t>
      </w:r>
    </w:p>
    <w:p w14:paraId="09DD5C3A" w14:textId="7B975CD4" w:rsidR="001F4CF5" w:rsidRPr="007E4270" w:rsidRDefault="000F012A" w:rsidP="00D9559C">
      <w:pPr>
        <w:pStyle w:val="ListParagraph"/>
        <w:numPr>
          <w:ilvl w:val="0"/>
          <w:numId w:val="5"/>
        </w:numPr>
        <w:spacing w:after="40"/>
        <w:ind w:right="-360" w:hanging="357"/>
        <w:contextualSpacing w:val="0"/>
        <w:jc w:val="both"/>
        <w:rPr>
          <w:sz w:val="21"/>
          <w:szCs w:val="21"/>
        </w:rPr>
      </w:pPr>
      <w:r w:rsidRPr="007E4270">
        <w:rPr>
          <w:rFonts w:cstheme="minorHAnsi"/>
          <w:sz w:val="21"/>
          <w:szCs w:val="21"/>
        </w:rPr>
        <w:t xml:space="preserve">Strengthened </w:t>
      </w:r>
      <w:r w:rsidR="00A06B6B" w:rsidRPr="007E4270">
        <w:rPr>
          <w:rFonts w:cstheme="minorHAnsi"/>
          <w:sz w:val="21"/>
          <w:szCs w:val="21"/>
        </w:rPr>
        <w:t xml:space="preserve">implementation of </w:t>
      </w:r>
      <w:r w:rsidR="00D75A3F" w:rsidRPr="007E4270">
        <w:rPr>
          <w:rFonts w:cstheme="minorHAnsi"/>
          <w:sz w:val="21"/>
          <w:szCs w:val="21"/>
        </w:rPr>
        <w:t xml:space="preserve">country-wide </w:t>
      </w:r>
      <w:r w:rsidR="00A06B6B" w:rsidRPr="007E4270">
        <w:rPr>
          <w:rFonts w:cstheme="minorHAnsi"/>
          <w:sz w:val="21"/>
          <w:szCs w:val="21"/>
        </w:rPr>
        <w:t xml:space="preserve">strategies to </w:t>
      </w:r>
      <w:r w:rsidRPr="007E4270">
        <w:rPr>
          <w:rFonts w:cstheme="minorHAnsi"/>
          <w:sz w:val="21"/>
          <w:szCs w:val="21"/>
        </w:rPr>
        <w:t>prevent and respond to gender-based violence</w:t>
      </w:r>
      <w:r w:rsidR="00A06B6B" w:rsidRPr="007E4270">
        <w:rPr>
          <w:rFonts w:cstheme="minorHAnsi"/>
          <w:sz w:val="21"/>
          <w:szCs w:val="21"/>
        </w:rPr>
        <w:t xml:space="preserve"> and violence against chi</w:t>
      </w:r>
      <w:r w:rsidR="00D75A3F" w:rsidRPr="007E4270">
        <w:rPr>
          <w:rFonts w:cstheme="minorHAnsi"/>
          <w:sz w:val="21"/>
          <w:szCs w:val="21"/>
        </w:rPr>
        <w:t>ldren</w:t>
      </w:r>
      <w:r w:rsidRPr="007E4270">
        <w:rPr>
          <w:rFonts w:cstheme="minorHAnsi"/>
          <w:sz w:val="21"/>
          <w:szCs w:val="21"/>
        </w:rPr>
        <w:t xml:space="preserve"> and to promote greater </w:t>
      </w:r>
      <w:r w:rsidR="00D75A3F" w:rsidRPr="007E4270">
        <w:rPr>
          <w:rFonts w:cstheme="minorHAnsi"/>
          <w:sz w:val="21"/>
          <w:szCs w:val="21"/>
        </w:rPr>
        <w:t xml:space="preserve">public </w:t>
      </w:r>
      <w:r w:rsidRPr="007E4270">
        <w:rPr>
          <w:rFonts w:cstheme="minorHAnsi"/>
          <w:sz w:val="21"/>
          <w:szCs w:val="21"/>
        </w:rPr>
        <w:t>roles for women</w:t>
      </w:r>
      <w:r w:rsidR="00D75A3F" w:rsidRPr="007E4270">
        <w:rPr>
          <w:rFonts w:cstheme="minorHAnsi"/>
          <w:sz w:val="21"/>
          <w:szCs w:val="21"/>
        </w:rPr>
        <w:t>.</w:t>
      </w:r>
    </w:p>
    <w:p w14:paraId="26B88F80" w14:textId="70DFFEA3" w:rsidR="00170C24" w:rsidRPr="009D6F29" w:rsidRDefault="00170C24" w:rsidP="00D9559C">
      <w:pPr>
        <w:pStyle w:val="ListParagraph"/>
        <w:numPr>
          <w:ilvl w:val="0"/>
          <w:numId w:val="5"/>
        </w:numPr>
        <w:spacing w:after="120"/>
        <w:ind w:right="-360" w:hanging="357"/>
        <w:contextualSpacing w:val="0"/>
        <w:jc w:val="both"/>
        <w:rPr>
          <w:sz w:val="21"/>
          <w:szCs w:val="21"/>
        </w:rPr>
      </w:pPr>
      <w:r w:rsidRPr="00197F4E">
        <w:rPr>
          <w:rFonts w:cstheme="minorHAnsi"/>
          <w:sz w:val="21"/>
          <w:szCs w:val="21"/>
        </w:rPr>
        <w:t>Improvement in objective measures about how well policies and services are reaching vulnerable</w:t>
      </w:r>
      <w:r w:rsidRPr="009D6F29">
        <w:rPr>
          <w:rFonts w:cstheme="minorHAnsi"/>
          <w:sz w:val="21"/>
          <w:szCs w:val="21"/>
        </w:rPr>
        <w:t xml:space="preserve"> groups and providing genuine opportunities for them to improve their livelihoods, especially displaced families, and </w:t>
      </w:r>
      <w:r w:rsidR="00E25896" w:rsidRPr="009D6F29">
        <w:rPr>
          <w:rFonts w:cstheme="minorHAnsi"/>
          <w:sz w:val="21"/>
          <w:szCs w:val="21"/>
        </w:rPr>
        <w:t xml:space="preserve">refugees and </w:t>
      </w:r>
      <w:r w:rsidR="00FA1982" w:rsidRPr="009D6F29">
        <w:rPr>
          <w:rFonts w:cstheme="minorHAnsi"/>
          <w:sz w:val="21"/>
          <w:szCs w:val="21"/>
        </w:rPr>
        <w:t>mig</w:t>
      </w:r>
      <w:r w:rsidR="00E25896" w:rsidRPr="009D6F29">
        <w:rPr>
          <w:rFonts w:cstheme="minorHAnsi"/>
          <w:sz w:val="21"/>
          <w:szCs w:val="21"/>
        </w:rPr>
        <w:t>rants</w:t>
      </w:r>
      <w:r w:rsidRPr="009D6F29">
        <w:rPr>
          <w:rFonts w:cstheme="minorHAnsi"/>
          <w:sz w:val="21"/>
          <w:szCs w:val="21"/>
        </w:rPr>
        <w:t xml:space="preserve">. </w:t>
      </w:r>
    </w:p>
    <w:p w14:paraId="1165E4DD" w14:textId="129F6D81" w:rsidR="00170C24" w:rsidRPr="009D6F29" w:rsidRDefault="00170C24" w:rsidP="00D9559C">
      <w:pPr>
        <w:pStyle w:val="ListParagraph"/>
        <w:numPr>
          <w:ilvl w:val="0"/>
          <w:numId w:val="3"/>
        </w:numPr>
        <w:spacing w:after="120"/>
        <w:ind w:right="-360"/>
        <w:contextualSpacing w:val="0"/>
        <w:jc w:val="both"/>
        <w:rPr>
          <w:rFonts w:cstheme="minorHAnsi"/>
          <w:sz w:val="21"/>
          <w:szCs w:val="21"/>
        </w:rPr>
      </w:pPr>
      <w:r w:rsidRPr="009D6F29">
        <w:rPr>
          <w:rFonts w:cstheme="minorHAnsi"/>
          <w:sz w:val="21"/>
          <w:szCs w:val="21"/>
        </w:rPr>
        <w:t xml:space="preserve">There are </w:t>
      </w:r>
      <w:r w:rsidR="00EF41AE" w:rsidRPr="009D6F29">
        <w:rPr>
          <w:rFonts w:cstheme="minorHAnsi"/>
          <w:sz w:val="21"/>
          <w:szCs w:val="21"/>
        </w:rPr>
        <w:t>six</w:t>
      </w:r>
      <w:r w:rsidRPr="005F596A">
        <w:rPr>
          <w:rFonts w:cstheme="minorHAnsi"/>
          <w:sz w:val="21"/>
          <w:szCs w:val="21"/>
        </w:rPr>
        <w:t xml:space="preserve"> </w:t>
      </w:r>
      <w:r w:rsidR="00EF41AE" w:rsidRPr="009D6F29">
        <w:rPr>
          <w:rFonts w:cstheme="minorHAnsi"/>
          <w:sz w:val="21"/>
          <w:szCs w:val="21"/>
        </w:rPr>
        <w:t xml:space="preserve">necessary </w:t>
      </w:r>
      <w:r w:rsidRPr="005F596A">
        <w:rPr>
          <w:rFonts w:cstheme="minorHAnsi"/>
          <w:sz w:val="21"/>
          <w:szCs w:val="21"/>
        </w:rPr>
        <w:t xml:space="preserve">conditions </w:t>
      </w:r>
      <w:r w:rsidRPr="009D6F29">
        <w:rPr>
          <w:rFonts w:cstheme="minorHAnsi"/>
          <w:sz w:val="21"/>
          <w:szCs w:val="21"/>
        </w:rPr>
        <w:t xml:space="preserve">for more </w:t>
      </w:r>
      <w:r w:rsidRPr="009D6F29">
        <w:rPr>
          <w:color w:val="000000" w:themeColor="text1"/>
          <w:sz w:val="21"/>
          <w:szCs w:val="21"/>
        </w:rPr>
        <w:t>accountable, transparent institutions that can deliver effective and efficient public services and enforce the rule of law</w:t>
      </w:r>
      <w:r w:rsidRPr="009D6F29">
        <w:rPr>
          <w:rFonts w:cstheme="minorHAnsi"/>
          <w:sz w:val="21"/>
          <w:szCs w:val="21"/>
        </w:rPr>
        <w:t xml:space="preserve">: </w:t>
      </w:r>
    </w:p>
    <w:p w14:paraId="0D09B114" w14:textId="7BF360FD" w:rsidR="007D7AA4" w:rsidRPr="009D6F29" w:rsidRDefault="00170C24" w:rsidP="00D9559C">
      <w:pPr>
        <w:pStyle w:val="ListParagraph"/>
        <w:numPr>
          <w:ilvl w:val="0"/>
          <w:numId w:val="3"/>
        </w:numPr>
        <w:spacing w:after="120"/>
        <w:ind w:right="-360"/>
        <w:contextualSpacing w:val="0"/>
        <w:jc w:val="both"/>
        <w:rPr>
          <w:sz w:val="21"/>
          <w:szCs w:val="21"/>
        </w:rPr>
      </w:pPr>
      <w:r w:rsidRPr="009D6F29">
        <w:rPr>
          <w:color w:val="000000" w:themeColor="text1"/>
          <w:sz w:val="21"/>
          <w:szCs w:val="21"/>
        </w:rPr>
        <w:t>First, streamlined and ‘smarter’ policy and regulatory framework development</w:t>
      </w:r>
      <w:r w:rsidRPr="009D6F29">
        <w:rPr>
          <w:rStyle w:val="FootnoteReference"/>
          <w:rFonts w:ascii="Calibri" w:hAnsi="Calibri"/>
          <w:sz w:val="21"/>
          <w:szCs w:val="21"/>
        </w:rPr>
        <w:footnoteReference w:id="109"/>
      </w:r>
      <w:r w:rsidRPr="009D6F29">
        <w:rPr>
          <w:rFonts w:ascii="Calibri" w:hAnsi="Calibri"/>
          <w:sz w:val="21"/>
          <w:szCs w:val="21"/>
        </w:rPr>
        <w:t xml:space="preserve"> </w:t>
      </w:r>
      <w:r w:rsidRPr="009D6F29">
        <w:rPr>
          <w:color w:val="000000" w:themeColor="text1"/>
          <w:sz w:val="21"/>
          <w:szCs w:val="21"/>
        </w:rPr>
        <w:t xml:space="preserve">is a must </w:t>
      </w:r>
      <w:r w:rsidR="00160E1F" w:rsidRPr="009D6F29">
        <w:rPr>
          <w:color w:val="000000" w:themeColor="text1"/>
          <w:sz w:val="21"/>
          <w:szCs w:val="21"/>
        </w:rPr>
        <w:t xml:space="preserve">for </w:t>
      </w:r>
      <w:r w:rsidRPr="009D6F29">
        <w:rPr>
          <w:color w:val="000000" w:themeColor="text1"/>
          <w:sz w:val="21"/>
          <w:szCs w:val="21"/>
        </w:rPr>
        <w:t xml:space="preserve">tangible progress on priorities for EU-accession and SDG-related targets. This will require improved working mechanisms for coordination </w:t>
      </w:r>
      <w:r w:rsidR="00D0390B" w:rsidRPr="009D6F29">
        <w:rPr>
          <w:color w:val="000000" w:themeColor="text1"/>
          <w:sz w:val="21"/>
          <w:szCs w:val="21"/>
        </w:rPr>
        <w:t xml:space="preserve">of </w:t>
      </w:r>
      <w:r w:rsidRPr="009D6F29">
        <w:rPr>
          <w:color w:val="000000" w:themeColor="text1"/>
          <w:sz w:val="21"/>
          <w:szCs w:val="21"/>
        </w:rPr>
        <w:t>effective implementation between authorities. Enhanced performance monitoring is also central to moving beyond the impasse that has prevented implementation of governance reforms. New review mechanisms and ways of working with objective data and statistics are needed by authorities and civil society groups to better reflect vulnerability and gender equality concerns implementation measures for policies, programmes, and related budgets.</w:t>
      </w:r>
    </w:p>
    <w:p w14:paraId="3E4F39CF" w14:textId="315782F1" w:rsidR="006A4441" w:rsidRPr="009575D9" w:rsidRDefault="00160E1F" w:rsidP="00D9559C">
      <w:pPr>
        <w:pStyle w:val="ListParagraph"/>
        <w:numPr>
          <w:ilvl w:val="0"/>
          <w:numId w:val="3"/>
        </w:numPr>
        <w:spacing w:after="120"/>
        <w:ind w:right="-360"/>
        <w:contextualSpacing w:val="0"/>
        <w:jc w:val="both"/>
        <w:rPr>
          <w:rFonts w:cstheme="minorHAnsi"/>
          <w:sz w:val="21"/>
          <w:szCs w:val="21"/>
        </w:rPr>
      </w:pPr>
      <w:r w:rsidRPr="009D6F29">
        <w:rPr>
          <w:color w:val="000000" w:themeColor="text1"/>
          <w:sz w:val="21"/>
          <w:szCs w:val="21"/>
        </w:rPr>
        <w:t>Second, t</w:t>
      </w:r>
      <w:r w:rsidR="00170C24" w:rsidRPr="009D6F29">
        <w:rPr>
          <w:color w:val="000000" w:themeColor="text1"/>
          <w:sz w:val="21"/>
          <w:szCs w:val="21"/>
        </w:rPr>
        <w:t xml:space="preserve">hese efforts </w:t>
      </w:r>
      <w:r w:rsidR="00F948C4" w:rsidRPr="009D6F29">
        <w:rPr>
          <w:color w:val="000000" w:themeColor="text1"/>
          <w:sz w:val="21"/>
          <w:szCs w:val="21"/>
        </w:rPr>
        <w:t xml:space="preserve">will be </w:t>
      </w:r>
      <w:r w:rsidR="00170C24" w:rsidRPr="009D6F29">
        <w:rPr>
          <w:color w:val="000000" w:themeColor="text1"/>
          <w:sz w:val="21"/>
          <w:szCs w:val="21"/>
        </w:rPr>
        <w:t xml:space="preserve">accompanied by public administration and civil service reform efforts to shift toward merit and performance-based employment in public service and a professional civil service that is more resilient to political </w:t>
      </w:r>
      <w:r w:rsidR="00170C24" w:rsidRPr="009575D9">
        <w:rPr>
          <w:color w:val="000000" w:themeColor="text1"/>
          <w:sz w:val="21"/>
          <w:szCs w:val="21"/>
        </w:rPr>
        <w:t>interference. Good governance benchmarks and public report cards vetted by objective 3</w:t>
      </w:r>
      <w:r w:rsidR="00170C24" w:rsidRPr="009575D9">
        <w:rPr>
          <w:color w:val="000000" w:themeColor="text1"/>
          <w:sz w:val="21"/>
          <w:szCs w:val="21"/>
          <w:vertAlign w:val="superscript"/>
        </w:rPr>
        <w:t>rd</w:t>
      </w:r>
      <w:r w:rsidR="00170C24" w:rsidRPr="009575D9">
        <w:rPr>
          <w:color w:val="000000" w:themeColor="text1"/>
          <w:sz w:val="21"/>
          <w:szCs w:val="21"/>
        </w:rPr>
        <w:t xml:space="preserve"> parties have the potential to institutionalize new </w:t>
      </w:r>
      <w:r w:rsidR="00170C24" w:rsidRPr="009575D9">
        <w:rPr>
          <w:rFonts w:cstheme="minorHAnsi"/>
          <w:sz w:val="21"/>
          <w:szCs w:val="21"/>
        </w:rPr>
        <w:t xml:space="preserve">merit-based standards and respond to people’s demands for accountability. </w:t>
      </w:r>
      <w:r w:rsidR="00170C24" w:rsidRPr="009575D9">
        <w:rPr>
          <w:rFonts w:cstheme="minorHAnsi"/>
          <w:bCs/>
          <w:sz w:val="21"/>
          <w:szCs w:val="21"/>
        </w:rPr>
        <w:t>In targeted ministries and departments, c</w:t>
      </w:r>
      <w:r w:rsidR="00170C24" w:rsidRPr="009575D9">
        <w:rPr>
          <w:rFonts w:ascii="Calibri" w:hAnsi="Calibri"/>
          <w:sz w:val="21"/>
          <w:szCs w:val="21"/>
        </w:rPr>
        <w:t>ivil servants will be able to demonstrate new skills</w:t>
      </w:r>
      <w:r w:rsidR="00170C24" w:rsidRPr="009575D9">
        <w:rPr>
          <w:rStyle w:val="FootnoteReference"/>
          <w:sz w:val="21"/>
          <w:szCs w:val="21"/>
        </w:rPr>
        <w:footnoteReference w:id="110"/>
      </w:r>
      <w:r w:rsidR="00170C24" w:rsidRPr="009575D9">
        <w:rPr>
          <w:rFonts w:ascii="Calibri" w:hAnsi="Calibri"/>
          <w:sz w:val="21"/>
          <w:szCs w:val="21"/>
        </w:rPr>
        <w:t xml:space="preserve"> for evidence-based</w:t>
      </w:r>
      <w:r w:rsidR="00170C24" w:rsidRPr="009575D9">
        <w:rPr>
          <w:rFonts w:ascii="Calibri" w:hAnsi="Calibri"/>
          <w:b/>
          <w:sz w:val="21"/>
          <w:szCs w:val="21"/>
        </w:rPr>
        <w:t xml:space="preserve"> </w:t>
      </w:r>
      <w:r w:rsidR="00170C24" w:rsidRPr="009575D9">
        <w:rPr>
          <w:rFonts w:ascii="Calibri" w:hAnsi="Calibri"/>
          <w:sz w:val="21"/>
          <w:szCs w:val="21"/>
        </w:rPr>
        <w:t xml:space="preserve">policy </w:t>
      </w:r>
      <w:r w:rsidR="00170C24" w:rsidRPr="009575D9">
        <w:rPr>
          <w:sz w:val="21"/>
          <w:szCs w:val="21"/>
        </w:rPr>
        <w:t>innovation, cross-sector collaboration, and public consultation</w:t>
      </w:r>
      <w:r w:rsidR="007D7AA4" w:rsidRPr="009575D9">
        <w:rPr>
          <w:sz w:val="21"/>
          <w:szCs w:val="21"/>
        </w:rPr>
        <w:t xml:space="preserve">. In all the above, </w:t>
      </w:r>
      <w:r w:rsidR="008E0DF3" w:rsidRPr="009575D9">
        <w:rPr>
          <w:sz w:val="21"/>
          <w:szCs w:val="21"/>
        </w:rPr>
        <w:t>the</w:t>
      </w:r>
      <w:r w:rsidR="007D7AA4" w:rsidRPr="009575D9">
        <w:rPr>
          <w:sz w:val="21"/>
          <w:szCs w:val="21"/>
        </w:rPr>
        <w:t xml:space="preserve"> authorities</w:t>
      </w:r>
      <w:r w:rsidR="008E0DF3" w:rsidRPr="009575D9">
        <w:rPr>
          <w:sz w:val="21"/>
          <w:szCs w:val="21"/>
        </w:rPr>
        <w:t xml:space="preserve"> in BiH</w:t>
      </w:r>
      <w:r w:rsidR="007D7AA4" w:rsidRPr="009575D9">
        <w:rPr>
          <w:sz w:val="21"/>
          <w:szCs w:val="21"/>
        </w:rPr>
        <w:t xml:space="preserve"> will have new skills and abilities to improve access to justice</w:t>
      </w:r>
      <w:r w:rsidR="00D0390B" w:rsidRPr="009575D9">
        <w:rPr>
          <w:sz w:val="21"/>
          <w:szCs w:val="21"/>
        </w:rPr>
        <w:t>, uphold</w:t>
      </w:r>
      <w:r w:rsidRPr="009575D9">
        <w:rPr>
          <w:sz w:val="21"/>
          <w:szCs w:val="21"/>
        </w:rPr>
        <w:t xml:space="preserve"> their commitments to</w:t>
      </w:r>
      <w:r w:rsidR="00D0390B" w:rsidRPr="009575D9">
        <w:rPr>
          <w:sz w:val="21"/>
          <w:szCs w:val="21"/>
        </w:rPr>
        <w:t xml:space="preserve"> human </w:t>
      </w:r>
      <w:r w:rsidR="000C23EC" w:rsidRPr="009575D9">
        <w:rPr>
          <w:sz w:val="21"/>
          <w:szCs w:val="21"/>
        </w:rPr>
        <w:t>rights and</w:t>
      </w:r>
      <w:r w:rsidR="007D7AA4" w:rsidRPr="009575D9">
        <w:rPr>
          <w:sz w:val="21"/>
          <w:szCs w:val="21"/>
        </w:rPr>
        <w:t xml:space="preserve"> non-discrimination, </w:t>
      </w:r>
      <w:r w:rsidR="000268FC" w:rsidRPr="009575D9">
        <w:rPr>
          <w:sz w:val="21"/>
          <w:szCs w:val="21"/>
        </w:rPr>
        <w:t xml:space="preserve">strengthen capabilities for </w:t>
      </w:r>
      <w:r w:rsidR="00D929D7" w:rsidRPr="009575D9">
        <w:rPr>
          <w:sz w:val="21"/>
          <w:szCs w:val="21"/>
        </w:rPr>
        <w:t>disaster</w:t>
      </w:r>
      <w:r w:rsidR="000268FC" w:rsidRPr="009575D9">
        <w:rPr>
          <w:sz w:val="21"/>
          <w:szCs w:val="21"/>
        </w:rPr>
        <w:t xml:space="preserve"> </w:t>
      </w:r>
      <w:r w:rsidR="00426FA3" w:rsidRPr="009575D9">
        <w:rPr>
          <w:sz w:val="21"/>
          <w:szCs w:val="21"/>
        </w:rPr>
        <w:t xml:space="preserve">and emergency </w:t>
      </w:r>
      <w:r w:rsidR="000268FC" w:rsidRPr="009575D9">
        <w:rPr>
          <w:sz w:val="21"/>
          <w:szCs w:val="21"/>
        </w:rPr>
        <w:t>preparedness and response</w:t>
      </w:r>
      <w:r w:rsidR="009F2E58" w:rsidRPr="009575D9">
        <w:rPr>
          <w:sz w:val="21"/>
          <w:szCs w:val="21"/>
        </w:rPr>
        <w:t>,</w:t>
      </w:r>
      <w:r w:rsidR="00D631EE" w:rsidRPr="009575D9">
        <w:rPr>
          <w:sz w:val="21"/>
          <w:szCs w:val="21"/>
        </w:rPr>
        <w:t xml:space="preserve"> including coordination </w:t>
      </w:r>
      <w:r w:rsidR="00816DB6" w:rsidRPr="009575D9">
        <w:rPr>
          <w:sz w:val="21"/>
          <w:szCs w:val="21"/>
        </w:rPr>
        <w:t>between relevant authorities in BiH,</w:t>
      </w:r>
      <w:r w:rsidR="000268FC" w:rsidRPr="009575D9">
        <w:rPr>
          <w:sz w:val="21"/>
          <w:szCs w:val="21"/>
        </w:rPr>
        <w:t xml:space="preserve"> </w:t>
      </w:r>
      <w:r w:rsidR="007D7AA4" w:rsidRPr="009575D9">
        <w:rPr>
          <w:sz w:val="21"/>
          <w:szCs w:val="21"/>
        </w:rPr>
        <w:t>and provide better functioning protection mechanisms and humanitarian assistance for vulnerable groups.</w:t>
      </w:r>
    </w:p>
    <w:p w14:paraId="38CE1F78" w14:textId="599608E1" w:rsidR="00170C24" w:rsidRPr="009D6F29" w:rsidRDefault="00CE2FD6" w:rsidP="00D9559C">
      <w:pPr>
        <w:pStyle w:val="ListParagraph"/>
        <w:numPr>
          <w:ilvl w:val="0"/>
          <w:numId w:val="3"/>
        </w:numPr>
        <w:spacing w:after="120"/>
        <w:ind w:right="-360"/>
        <w:contextualSpacing w:val="0"/>
        <w:jc w:val="both"/>
        <w:rPr>
          <w:rFonts w:cstheme="minorHAnsi"/>
          <w:sz w:val="21"/>
          <w:szCs w:val="21"/>
        </w:rPr>
      </w:pPr>
      <w:r w:rsidRPr="009D6F29">
        <w:rPr>
          <w:color w:val="000000" w:themeColor="text1"/>
          <w:sz w:val="21"/>
          <w:szCs w:val="21"/>
        </w:rPr>
        <w:t>Third</w:t>
      </w:r>
      <w:r w:rsidR="00170C24" w:rsidRPr="009D6F29">
        <w:rPr>
          <w:color w:val="000000" w:themeColor="text1"/>
          <w:sz w:val="21"/>
          <w:szCs w:val="21"/>
        </w:rPr>
        <w:t>, businesses, communities, and people need to see tangible changes and benefits from this traction in governance performance. Authorities need to move closer to people with a renewed ‘service provider’ mindset: This means new channels and mechanisms to deliver quality services in a more direct manner to citizens and businesses. Authorities will be supported to implement e-government platforms and digital technology services to streamline access to public services and increase people’s abilities to provide feedback about their quality and timeliness and to call-out, safely, instances of discrimination and abuse of power.</w:t>
      </w:r>
    </w:p>
    <w:p w14:paraId="569A1F07" w14:textId="1AEB733E" w:rsidR="007D7AA4" w:rsidRPr="009575D9" w:rsidRDefault="0017781F" w:rsidP="00D9559C">
      <w:pPr>
        <w:pStyle w:val="ListParagraph"/>
        <w:numPr>
          <w:ilvl w:val="0"/>
          <w:numId w:val="3"/>
        </w:numPr>
        <w:spacing w:after="120"/>
        <w:ind w:right="-360"/>
        <w:contextualSpacing w:val="0"/>
        <w:jc w:val="both"/>
        <w:rPr>
          <w:rFonts w:cstheme="minorHAnsi"/>
          <w:sz w:val="21"/>
          <w:szCs w:val="21"/>
        </w:rPr>
      </w:pPr>
      <w:r w:rsidRPr="009D6F29">
        <w:rPr>
          <w:color w:val="000000" w:themeColor="text1"/>
          <w:sz w:val="21"/>
          <w:szCs w:val="21"/>
        </w:rPr>
        <w:t>F</w:t>
      </w:r>
      <w:r w:rsidR="00CE2FD6" w:rsidRPr="009D6F29">
        <w:rPr>
          <w:color w:val="000000" w:themeColor="text1"/>
          <w:sz w:val="21"/>
          <w:szCs w:val="21"/>
        </w:rPr>
        <w:t>ourth</w:t>
      </w:r>
      <w:r w:rsidR="00170C24" w:rsidRPr="009D6F29">
        <w:rPr>
          <w:color w:val="000000" w:themeColor="text1"/>
          <w:sz w:val="21"/>
          <w:szCs w:val="21"/>
        </w:rPr>
        <w:t xml:space="preserve">, increased traction for governance reforms, and more </w:t>
      </w:r>
      <w:r w:rsidR="00170C24" w:rsidRPr="00F27B71">
        <w:rPr>
          <w:color w:val="000000" w:themeColor="text1"/>
          <w:sz w:val="21"/>
          <w:szCs w:val="21"/>
        </w:rPr>
        <w:t xml:space="preserve">people-centered policy and services will need the assurance that comes from </w:t>
      </w:r>
      <w:r w:rsidR="007D7AA4" w:rsidRPr="00F27B71">
        <w:rPr>
          <w:color w:val="000000" w:themeColor="text1"/>
          <w:sz w:val="21"/>
          <w:szCs w:val="21"/>
        </w:rPr>
        <w:t xml:space="preserve">enhanced community and border </w:t>
      </w:r>
      <w:r w:rsidRPr="00F27B71">
        <w:rPr>
          <w:color w:val="000000" w:themeColor="text1"/>
          <w:sz w:val="21"/>
          <w:szCs w:val="21"/>
        </w:rPr>
        <w:t>management</w:t>
      </w:r>
      <w:r w:rsidR="007D7AA4" w:rsidRPr="00F27B71">
        <w:rPr>
          <w:color w:val="000000" w:themeColor="text1"/>
          <w:sz w:val="21"/>
          <w:szCs w:val="21"/>
        </w:rPr>
        <w:t>.</w:t>
      </w:r>
      <w:r w:rsidR="00F948C4" w:rsidRPr="00F27B71">
        <w:rPr>
          <w:color w:val="000000" w:themeColor="text1"/>
          <w:sz w:val="21"/>
          <w:szCs w:val="21"/>
        </w:rPr>
        <w:t xml:space="preserve"> Relevant </w:t>
      </w:r>
      <w:r w:rsidR="008C1408" w:rsidRPr="00F27B71">
        <w:rPr>
          <w:color w:val="000000" w:themeColor="text1"/>
          <w:sz w:val="21"/>
          <w:szCs w:val="21"/>
        </w:rPr>
        <w:t>authorities</w:t>
      </w:r>
      <w:r w:rsidR="00F948C4" w:rsidRPr="00F27B71">
        <w:rPr>
          <w:color w:val="000000" w:themeColor="text1"/>
          <w:sz w:val="21"/>
          <w:szCs w:val="21"/>
        </w:rPr>
        <w:t xml:space="preserve"> </w:t>
      </w:r>
      <w:r w:rsidR="003C51AD" w:rsidRPr="00F27B71">
        <w:rPr>
          <w:color w:val="000000" w:themeColor="text1"/>
          <w:sz w:val="21"/>
          <w:szCs w:val="21"/>
        </w:rPr>
        <w:t xml:space="preserve">in BiH </w:t>
      </w:r>
      <w:r w:rsidR="00F948C4" w:rsidRPr="00F27B71">
        <w:rPr>
          <w:color w:val="000000" w:themeColor="text1"/>
          <w:sz w:val="21"/>
          <w:szCs w:val="21"/>
        </w:rPr>
        <w:t xml:space="preserve">will have new capacities to prevent illicit arms trafficking, </w:t>
      </w:r>
      <w:r w:rsidR="00382E9E" w:rsidRPr="00F27B71">
        <w:rPr>
          <w:color w:val="000000" w:themeColor="text1"/>
          <w:sz w:val="21"/>
          <w:szCs w:val="21"/>
        </w:rPr>
        <w:t xml:space="preserve">improve </w:t>
      </w:r>
      <w:r w:rsidR="00F948C4" w:rsidRPr="00F27B71">
        <w:rPr>
          <w:color w:val="000000" w:themeColor="text1"/>
          <w:sz w:val="21"/>
          <w:szCs w:val="21"/>
        </w:rPr>
        <w:t>border</w:t>
      </w:r>
      <w:r w:rsidR="00160E1F" w:rsidRPr="00F27B71">
        <w:rPr>
          <w:color w:val="000000" w:themeColor="text1"/>
          <w:sz w:val="21"/>
          <w:szCs w:val="21"/>
        </w:rPr>
        <w:t xml:space="preserve"> and freight management</w:t>
      </w:r>
      <w:r w:rsidR="00F948C4" w:rsidRPr="00F27B71">
        <w:rPr>
          <w:color w:val="000000" w:themeColor="text1"/>
          <w:sz w:val="21"/>
          <w:szCs w:val="21"/>
        </w:rPr>
        <w:t xml:space="preserve"> and provide reliable data, supporting increased interdictions and arrests. Community safety management plans will</w:t>
      </w:r>
      <w:r w:rsidR="00F948C4" w:rsidRPr="009575D9">
        <w:rPr>
          <w:color w:val="000000" w:themeColor="text1"/>
          <w:sz w:val="21"/>
          <w:szCs w:val="21"/>
        </w:rPr>
        <w:t xml:space="preserve"> be developed in selected municipalities to help combat organized crime and efforts will continue to support </w:t>
      </w:r>
      <w:r w:rsidR="00D16276" w:rsidRPr="009575D9">
        <w:rPr>
          <w:iCs/>
          <w:sz w:val="21"/>
          <w:szCs w:val="21"/>
          <w:lang w:val="en-GB"/>
        </w:rPr>
        <w:t>the</w:t>
      </w:r>
      <w:r w:rsidR="00F948C4" w:rsidRPr="009575D9">
        <w:rPr>
          <w:iCs/>
          <w:sz w:val="21"/>
          <w:szCs w:val="21"/>
          <w:lang w:val="en-GB"/>
        </w:rPr>
        <w:t xml:space="preserve"> authorities</w:t>
      </w:r>
      <w:r w:rsidR="00D16276" w:rsidRPr="009575D9">
        <w:rPr>
          <w:iCs/>
          <w:sz w:val="21"/>
          <w:szCs w:val="21"/>
          <w:lang w:val="en-GB"/>
        </w:rPr>
        <w:t xml:space="preserve"> in BiH</w:t>
      </w:r>
      <w:r w:rsidR="00F948C4" w:rsidRPr="009575D9">
        <w:rPr>
          <w:iCs/>
          <w:sz w:val="21"/>
          <w:szCs w:val="21"/>
          <w:lang w:val="en-GB"/>
        </w:rPr>
        <w:t xml:space="preserve"> to </w:t>
      </w:r>
      <w:r w:rsidR="00F948C4" w:rsidRPr="009575D9">
        <w:rPr>
          <w:sz w:val="21"/>
          <w:szCs w:val="21"/>
          <w:lang w:val="en-GB"/>
        </w:rPr>
        <w:t>effectively manage war remnants and halt the proliferation of SALW.</w:t>
      </w:r>
    </w:p>
    <w:p w14:paraId="4ECC87A5" w14:textId="55B0C6DF" w:rsidR="00160E1F" w:rsidRPr="009575D9" w:rsidRDefault="00CE2FD6" w:rsidP="00D9559C">
      <w:pPr>
        <w:pStyle w:val="ListParagraph"/>
        <w:numPr>
          <w:ilvl w:val="0"/>
          <w:numId w:val="3"/>
        </w:numPr>
        <w:spacing w:before="120" w:after="120"/>
        <w:ind w:right="-360"/>
        <w:contextualSpacing w:val="0"/>
        <w:jc w:val="both"/>
        <w:rPr>
          <w:sz w:val="21"/>
          <w:szCs w:val="21"/>
        </w:rPr>
      </w:pPr>
      <w:r w:rsidRPr="009575D9">
        <w:rPr>
          <w:bCs/>
          <w:sz w:val="21"/>
          <w:szCs w:val="21"/>
        </w:rPr>
        <w:t>Fifth</w:t>
      </w:r>
      <w:r w:rsidR="00160E1F" w:rsidRPr="009575D9">
        <w:rPr>
          <w:bCs/>
          <w:sz w:val="21"/>
          <w:szCs w:val="21"/>
        </w:rPr>
        <w:t xml:space="preserve">, </w:t>
      </w:r>
      <w:r w:rsidR="00160E1F" w:rsidRPr="009575D9">
        <w:rPr>
          <w:sz w:val="21"/>
          <w:szCs w:val="21"/>
        </w:rPr>
        <w:t xml:space="preserve">the migration management and asylum system needs further strengthening to adequately respond to increased migrant and refugee flows which began in 2018. BiH lacks adequate and sustainable reception capacity, primarily for vulnerable individuals with specific needs, and there are no comprehensive integration programs. The UN system will support </w:t>
      </w:r>
      <w:r w:rsidR="00EF1A38" w:rsidRPr="009575D9">
        <w:rPr>
          <w:sz w:val="21"/>
          <w:szCs w:val="21"/>
        </w:rPr>
        <w:t>the</w:t>
      </w:r>
      <w:r w:rsidR="00160E1F" w:rsidRPr="009575D9">
        <w:rPr>
          <w:sz w:val="21"/>
          <w:szCs w:val="21"/>
        </w:rPr>
        <w:t xml:space="preserve"> authorities</w:t>
      </w:r>
      <w:r w:rsidR="00EF1A38" w:rsidRPr="009575D9">
        <w:rPr>
          <w:sz w:val="21"/>
          <w:szCs w:val="21"/>
        </w:rPr>
        <w:t xml:space="preserve"> in BiH</w:t>
      </w:r>
      <w:r w:rsidR="00160E1F" w:rsidRPr="009575D9">
        <w:rPr>
          <w:sz w:val="21"/>
          <w:szCs w:val="21"/>
        </w:rPr>
        <w:t xml:space="preserve"> to establish a sound protection environment with new capacities and mechanisms for status determination procedures, fair protection processes and documentation, strengthened responses for unaccompanied or separated children (UASC), and enhanced legal frameworks and effective coordination. </w:t>
      </w:r>
    </w:p>
    <w:p w14:paraId="5BD86772" w14:textId="0EB47A94" w:rsidR="00CE2FD6" w:rsidRPr="009575D9" w:rsidRDefault="00CE2FD6" w:rsidP="00D9559C">
      <w:pPr>
        <w:pStyle w:val="ListParagraph"/>
        <w:numPr>
          <w:ilvl w:val="0"/>
          <w:numId w:val="3"/>
        </w:numPr>
        <w:spacing w:after="120"/>
        <w:ind w:right="-360"/>
        <w:contextualSpacing w:val="0"/>
        <w:jc w:val="both"/>
        <w:rPr>
          <w:sz w:val="21"/>
          <w:szCs w:val="21"/>
        </w:rPr>
      </w:pPr>
      <w:r w:rsidRPr="009575D9">
        <w:rPr>
          <w:rFonts w:cstheme="minorHAnsi"/>
          <w:sz w:val="21"/>
          <w:szCs w:val="21"/>
        </w:rPr>
        <w:t xml:space="preserve">Sixth, and central to </w:t>
      </w:r>
      <w:r w:rsidR="00F75168" w:rsidRPr="009575D9">
        <w:rPr>
          <w:rFonts w:cstheme="minorHAnsi"/>
          <w:sz w:val="21"/>
          <w:szCs w:val="21"/>
        </w:rPr>
        <w:t xml:space="preserve">this and </w:t>
      </w:r>
      <w:r w:rsidRPr="009575D9">
        <w:rPr>
          <w:rFonts w:cstheme="minorHAnsi"/>
          <w:sz w:val="21"/>
          <w:szCs w:val="21"/>
        </w:rPr>
        <w:t>all</w:t>
      </w:r>
      <w:r w:rsidR="00F75168" w:rsidRPr="009575D9">
        <w:rPr>
          <w:rFonts w:cstheme="minorHAnsi"/>
          <w:sz w:val="21"/>
          <w:szCs w:val="21"/>
        </w:rPr>
        <w:t xml:space="preserve"> other</w:t>
      </w:r>
      <w:r w:rsidRPr="009575D9">
        <w:rPr>
          <w:rFonts w:cstheme="minorHAnsi"/>
          <w:sz w:val="21"/>
          <w:szCs w:val="21"/>
        </w:rPr>
        <w:t xml:space="preserve"> outcomes, cooperation will continue to address traditional </w:t>
      </w:r>
      <w:r w:rsidRPr="009575D9">
        <w:rPr>
          <w:rFonts w:cstheme="minorHAnsi"/>
          <w:b/>
          <w:sz w:val="21"/>
          <w:szCs w:val="21"/>
        </w:rPr>
        <w:t>gender roles and gender-based exclusion</w:t>
      </w:r>
      <w:r w:rsidRPr="009575D9">
        <w:rPr>
          <w:rFonts w:cstheme="minorHAnsi"/>
          <w:sz w:val="21"/>
          <w:szCs w:val="21"/>
        </w:rPr>
        <w:t xml:space="preserve"> that are still widespread in BiH, reflected in indicators ranging from labor-force participation to the composition of the BiH parliament. While t</w:t>
      </w:r>
      <w:r w:rsidRPr="009575D9">
        <w:rPr>
          <w:sz w:val="21"/>
          <w:szCs w:val="21"/>
        </w:rPr>
        <w:t xml:space="preserve">he legal and institutional frameworks for women’s rights and gender equality are largely in place, </w:t>
      </w:r>
      <w:r w:rsidRPr="009575D9">
        <w:rPr>
          <w:rFonts w:cstheme="minorHAnsi"/>
          <w:sz w:val="21"/>
          <w:szCs w:val="21"/>
        </w:rPr>
        <w:t>gender-based</w:t>
      </w:r>
      <w:r w:rsidR="00CB5B96" w:rsidRPr="009575D9">
        <w:rPr>
          <w:rFonts w:cstheme="minorHAnsi"/>
          <w:sz w:val="21"/>
          <w:szCs w:val="21"/>
        </w:rPr>
        <w:t xml:space="preserve"> discrimination</w:t>
      </w:r>
      <w:r w:rsidRPr="009575D9">
        <w:rPr>
          <w:rFonts w:cstheme="minorHAnsi"/>
          <w:sz w:val="21"/>
          <w:szCs w:val="21"/>
        </w:rPr>
        <w:t xml:space="preserve"> continues to exist at many levels</w:t>
      </w:r>
      <w:r w:rsidRPr="009575D9">
        <w:rPr>
          <w:rStyle w:val="FootnoteReference"/>
          <w:color w:val="000000" w:themeColor="text1"/>
          <w:sz w:val="21"/>
          <w:szCs w:val="21"/>
        </w:rPr>
        <w:footnoteReference w:id="111"/>
      </w:r>
      <w:r w:rsidRPr="009575D9">
        <w:rPr>
          <w:rFonts w:cstheme="minorHAnsi"/>
          <w:sz w:val="21"/>
          <w:szCs w:val="21"/>
        </w:rPr>
        <w:t>. The most significant inequalities are economic: employment and access to economic resources, family planning, unpaid work, family care, property ownership, pay gaps, entrepreneurship opportunities, and traditional and patriarchal values. Women, and especially those from poor households and rural areas, are largely excluded from decision-making and from communication channels with their authorities. This limits their capacities to raise their voice and express their needs. Roma women and girls often doubly discriminated against</w:t>
      </w:r>
      <w:r w:rsidRPr="009575D9">
        <w:rPr>
          <w:rStyle w:val="FootnoteReference"/>
          <w:rFonts w:cstheme="minorHAnsi"/>
          <w:sz w:val="21"/>
          <w:szCs w:val="21"/>
        </w:rPr>
        <w:footnoteReference w:id="112"/>
      </w:r>
      <w:r w:rsidRPr="009575D9">
        <w:rPr>
          <w:rFonts w:cstheme="minorHAnsi"/>
          <w:sz w:val="21"/>
          <w:szCs w:val="21"/>
        </w:rPr>
        <w:t xml:space="preserve">. </w:t>
      </w:r>
      <w:r w:rsidRPr="009575D9">
        <w:rPr>
          <w:sz w:val="21"/>
          <w:szCs w:val="21"/>
        </w:rPr>
        <w:t>Domestic violence is persistent and under-reported, with few effective protection measures. Women’s political participation remains low and women are not equal in decision-making processes in public and private life</w:t>
      </w:r>
      <w:r w:rsidRPr="009575D9">
        <w:rPr>
          <w:rStyle w:val="FootnoteReference"/>
          <w:sz w:val="21"/>
          <w:szCs w:val="21"/>
        </w:rPr>
        <w:footnoteReference w:id="113"/>
      </w:r>
      <w:r w:rsidRPr="009575D9">
        <w:rPr>
          <w:rFonts w:cstheme="minorHAnsi"/>
          <w:sz w:val="21"/>
          <w:szCs w:val="21"/>
        </w:rPr>
        <w:t>.</w:t>
      </w:r>
    </w:p>
    <w:p w14:paraId="18055B3B" w14:textId="79CA3F6F" w:rsidR="00CE2FD6" w:rsidRPr="00197F4E" w:rsidRDefault="00CE2FD6" w:rsidP="00D9559C">
      <w:pPr>
        <w:pStyle w:val="ListParagraph"/>
        <w:numPr>
          <w:ilvl w:val="0"/>
          <w:numId w:val="3"/>
        </w:numPr>
        <w:spacing w:after="120"/>
        <w:ind w:right="-360"/>
        <w:contextualSpacing w:val="0"/>
        <w:jc w:val="both"/>
        <w:rPr>
          <w:rFonts w:cstheme="minorHAnsi"/>
          <w:sz w:val="21"/>
          <w:szCs w:val="21"/>
        </w:rPr>
      </w:pPr>
      <w:r w:rsidRPr="009575D9">
        <w:rPr>
          <w:rFonts w:cstheme="minorHAnsi"/>
          <w:sz w:val="21"/>
          <w:szCs w:val="21"/>
        </w:rPr>
        <w:t xml:space="preserve">The UN system will work with </w:t>
      </w:r>
      <w:r w:rsidR="002D3C87" w:rsidRPr="009575D9">
        <w:rPr>
          <w:rFonts w:cstheme="minorHAnsi"/>
          <w:sz w:val="21"/>
          <w:szCs w:val="21"/>
        </w:rPr>
        <w:t>the</w:t>
      </w:r>
      <w:r w:rsidRPr="009575D9">
        <w:rPr>
          <w:rFonts w:cstheme="minorHAnsi"/>
          <w:sz w:val="21"/>
          <w:szCs w:val="21"/>
        </w:rPr>
        <w:t xml:space="preserve"> authorities</w:t>
      </w:r>
      <w:r w:rsidR="002D3C87" w:rsidRPr="009575D9">
        <w:rPr>
          <w:rFonts w:cstheme="minorHAnsi"/>
          <w:sz w:val="21"/>
          <w:szCs w:val="21"/>
        </w:rPr>
        <w:t xml:space="preserve"> in BiH</w:t>
      </w:r>
      <w:r w:rsidRPr="009575D9">
        <w:rPr>
          <w:rFonts w:cstheme="minorHAnsi"/>
          <w:sz w:val="21"/>
          <w:szCs w:val="21"/>
        </w:rPr>
        <w:t xml:space="preserve"> to </w:t>
      </w:r>
      <w:r w:rsidR="00A06B6B" w:rsidRPr="009575D9">
        <w:rPr>
          <w:rFonts w:cstheme="minorHAnsi"/>
          <w:sz w:val="21"/>
          <w:szCs w:val="21"/>
        </w:rPr>
        <w:t>support effective</w:t>
      </w:r>
      <w:r w:rsidR="00A06B6B" w:rsidRPr="00197F4E">
        <w:rPr>
          <w:rFonts w:cstheme="minorHAnsi"/>
          <w:sz w:val="21"/>
          <w:szCs w:val="21"/>
        </w:rPr>
        <w:t xml:space="preserve"> implementation of existing </w:t>
      </w:r>
      <w:r w:rsidR="00D75A3F" w:rsidRPr="00197F4E">
        <w:rPr>
          <w:rFonts w:cstheme="minorHAnsi"/>
          <w:sz w:val="21"/>
          <w:szCs w:val="21"/>
        </w:rPr>
        <w:t>country-</w:t>
      </w:r>
      <w:r w:rsidR="00A06B6B" w:rsidRPr="00197F4E">
        <w:rPr>
          <w:rFonts w:cstheme="minorHAnsi"/>
          <w:sz w:val="21"/>
          <w:szCs w:val="21"/>
        </w:rPr>
        <w:t>strategies and plans</w:t>
      </w:r>
      <w:r w:rsidR="00D75A3F" w:rsidRPr="00197F4E">
        <w:rPr>
          <w:rFonts w:cstheme="minorHAnsi"/>
          <w:sz w:val="21"/>
          <w:szCs w:val="21"/>
        </w:rPr>
        <w:t>, in line with international commitments and standards</w:t>
      </w:r>
      <w:r w:rsidR="00A06B6B" w:rsidRPr="00197F4E">
        <w:rPr>
          <w:rFonts w:cstheme="minorHAnsi"/>
          <w:sz w:val="21"/>
          <w:szCs w:val="21"/>
        </w:rPr>
        <w:t>.</w:t>
      </w:r>
      <w:r w:rsidRPr="00197F4E">
        <w:rPr>
          <w:sz w:val="21"/>
          <w:szCs w:val="21"/>
        </w:rPr>
        <w:t xml:space="preserve"> M</w:t>
      </w:r>
      <w:r w:rsidRPr="00197F4E">
        <w:rPr>
          <w:rFonts w:cstheme="minorHAnsi"/>
          <w:sz w:val="21"/>
          <w:szCs w:val="21"/>
        </w:rPr>
        <w:t>echanisms and responses will be strengthened to prevent and respond to violence against women and girls and to increase their participation decision-making in public life.  The UN system will also help to identify and address major gaps in the availability of sex-disaggregated data, particularly for vulnerable groups and to enhance understanding and policy response to address legal, institutional and socio-economic barriers.</w:t>
      </w:r>
    </w:p>
    <w:p w14:paraId="71A5209D" w14:textId="7A9D2BEB" w:rsidR="00170C24" w:rsidRPr="00197F4E" w:rsidRDefault="00170C24" w:rsidP="00D9559C">
      <w:pPr>
        <w:pStyle w:val="ListParagraph"/>
        <w:numPr>
          <w:ilvl w:val="0"/>
          <w:numId w:val="3"/>
        </w:numPr>
        <w:spacing w:after="120"/>
        <w:ind w:right="-360"/>
        <w:contextualSpacing w:val="0"/>
        <w:jc w:val="both"/>
        <w:rPr>
          <w:rFonts w:cstheme="minorHAnsi"/>
          <w:sz w:val="21"/>
          <w:szCs w:val="21"/>
        </w:rPr>
      </w:pPr>
      <w:r w:rsidRPr="00197F4E">
        <w:rPr>
          <w:bCs/>
          <w:sz w:val="21"/>
          <w:szCs w:val="21"/>
        </w:rPr>
        <w:t xml:space="preserve">For all the above, local </w:t>
      </w:r>
      <w:r w:rsidRPr="00197F4E">
        <w:rPr>
          <w:sz w:val="21"/>
          <w:szCs w:val="21"/>
        </w:rPr>
        <w:t xml:space="preserve">partnerships at </w:t>
      </w:r>
      <w:r w:rsidR="0003028F">
        <w:rPr>
          <w:sz w:val="21"/>
          <w:szCs w:val="21"/>
        </w:rPr>
        <w:t>c</w:t>
      </w:r>
      <w:r w:rsidRPr="00197F4E">
        <w:rPr>
          <w:sz w:val="21"/>
          <w:szCs w:val="21"/>
        </w:rPr>
        <w:t>antonal and</w:t>
      </w:r>
      <w:r w:rsidR="005F3CDA">
        <w:rPr>
          <w:sz w:val="21"/>
          <w:szCs w:val="21"/>
        </w:rPr>
        <w:t xml:space="preserve"> local government</w:t>
      </w:r>
      <w:r w:rsidRPr="00197F4E">
        <w:rPr>
          <w:sz w:val="21"/>
          <w:szCs w:val="21"/>
        </w:rPr>
        <w:t xml:space="preserve"> level</w:t>
      </w:r>
      <w:r w:rsidR="005F3CDA">
        <w:rPr>
          <w:sz w:val="21"/>
          <w:szCs w:val="21"/>
        </w:rPr>
        <w:t>s</w:t>
      </w:r>
      <w:r w:rsidRPr="00197F4E">
        <w:rPr>
          <w:sz w:val="21"/>
          <w:szCs w:val="21"/>
        </w:rPr>
        <w:t xml:space="preserve"> will be explored to deliver integrated, quality work packages that can bring faster, more visible changes to people’s lives. Effective </w:t>
      </w:r>
      <w:r w:rsidR="00774EF5" w:rsidRPr="00197F4E">
        <w:rPr>
          <w:sz w:val="21"/>
          <w:szCs w:val="21"/>
        </w:rPr>
        <w:t xml:space="preserve">local action plans, implementation, and </w:t>
      </w:r>
      <w:r w:rsidRPr="00197F4E">
        <w:rPr>
          <w:sz w:val="21"/>
          <w:szCs w:val="21"/>
        </w:rPr>
        <w:t>monitoring will highlight components that can be taken quickly to scale country-wide</w:t>
      </w:r>
    </w:p>
    <w:p w14:paraId="5760F3CA" w14:textId="7AAADEAA" w:rsidR="00E25896" w:rsidRPr="005F596A" w:rsidRDefault="00170C24" w:rsidP="00D9559C">
      <w:pPr>
        <w:pStyle w:val="ListParagraph"/>
        <w:numPr>
          <w:ilvl w:val="0"/>
          <w:numId w:val="3"/>
        </w:numPr>
        <w:spacing w:after="120"/>
        <w:ind w:right="-360"/>
        <w:contextualSpacing w:val="0"/>
        <w:jc w:val="both"/>
        <w:rPr>
          <w:rFonts w:cstheme="minorHAnsi"/>
          <w:sz w:val="21"/>
          <w:szCs w:val="21"/>
        </w:rPr>
      </w:pPr>
      <w:r w:rsidRPr="009D6F29">
        <w:rPr>
          <w:rFonts w:cstheme="minorHAnsi"/>
          <w:sz w:val="21"/>
          <w:szCs w:val="21"/>
        </w:rPr>
        <w:t xml:space="preserve">Combined, the outcome and contributing results and strategies will make specific and valued added contributions </w:t>
      </w:r>
      <w:r w:rsidRPr="009D6F29">
        <w:rPr>
          <w:color w:val="000000" w:themeColor="text1"/>
          <w:sz w:val="21"/>
          <w:szCs w:val="21"/>
        </w:rPr>
        <w:t xml:space="preserve">for more coherent and transparent governance institutions that are free from corruption. Governance reforms are often opaque and difficult to communicate to the interested public. BiH-UN support for the governance initiatives under the </w:t>
      </w:r>
      <w:r w:rsidR="001056E4" w:rsidRPr="009D6F29">
        <w:rPr>
          <w:color w:val="000000" w:themeColor="text1"/>
          <w:sz w:val="21"/>
          <w:szCs w:val="21"/>
        </w:rPr>
        <w:t>Reform Agenda</w:t>
      </w:r>
      <w:r w:rsidRPr="009D6F29">
        <w:rPr>
          <w:color w:val="000000" w:themeColor="text1"/>
          <w:sz w:val="21"/>
          <w:szCs w:val="21"/>
        </w:rPr>
        <w:t xml:space="preserve"> will benefit from a closer alignment with specific requirements under the Acquis and related to specific Copenhagen criteria as well as specific, domesticated SDG targets. These offer the possibility of a new narrative about </w:t>
      </w:r>
      <w:r w:rsidRPr="00BE428A">
        <w:rPr>
          <w:color w:val="000000" w:themeColor="text1"/>
          <w:sz w:val="21"/>
          <w:szCs w:val="21"/>
        </w:rPr>
        <w:t xml:space="preserve">trust in </w:t>
      </w:r>
      <w:r w:rsidR="0080738E" w:rsidRPr="00BE428A">
        <w:rPr>
          <w:color w:val="000000" w:themeColor="text1"/>
          <w:sz w:val="21"/>
          <w:szCs w:val="21"/>
        </w:rPr>
        <w:t>the</w:t>
      </w:r>
      <w:r w:rsidR="008C1408" w:rsidRPr="00BE428A">
        <w:rPr>
          <w:color w:val="000000" w:themeColor="text1"/>
          <w:sz w:val="21"/>
          <w:szCs w:val="21"/>
        </w:rPr>
        <w:t xml:space="preserve"> authorities</w:t>
      </w:r>
      <w:r w:rsidR="0080738E" w:rsidRPr="00BE428A">
        <w:rPr>
          <w:color w:val="000000" w:themeColor="text1"/>
          <w:sz w:val="21"/>
          <w:szCs w:val="21"/>
        </w:rPr>
        <w:t xml:space="preserve"> in BiH</w:t>
      </w:r>
      <w:r w:rsidRPr="00BE428A">
        <w:rPr>
          <w:color w:val="000000" w:themeColor="text1"/>
          <w:sz w:val="21"/>
          <w:szCs w:val="21"/>
        </w:rPr>
        <w:t>, peace</w:t>
      </w:r>
      <w:r w:rsidRPr="009D6F29">
        <w:rPr>
          <w:color w:val="000000" w:themeColor="text1"/>
          <w:sz w:val="21"/>
          <w:szCs w:val="21"/>
        </w:rPr>
        <w:t xml:space="preserve"> and the rule of law</w:t>
      </w:r>
      <w:r w:rsidR="00475189" w:rsidRPr="00475189">
        <w:rPr>
          <w:color w:val="000000" w:themeColor="text1"/>
          <w:sz w:val="21"/>
          <w:szCs w:val="21"/>
        </w:rPr>
        <w:t xml:space="preserve"> </w:t>
      </w:r>
      <w:r w:rsidR="00475189">
        <w:rPr>
          <w:color w:val="000000" w:themeColor="text1"/>
          <w:sz w:val="21"/>
          <w:szCs w:val="21"/>
        </w:rPr>
        <w:t>while strengthening authorities’ resilience to shocks and cris</w:t>
      </w:r>
      <w:r w:rsidR="00B9033E">
        <w:rPr>
          <w:color w:val="000000" w:themeColor="text1"/>
          <w:sz w:val="21"/>
          <w:szCs w:val="21"/>
        </w:rPr>
        <w:t>e</w:t>
      </w:r>
      <w:r w:rsidR="00475189">
        <w:rPr>
          <w:color w:val="000000" w:themeColor="text1"/>
          <w:sz w:val="21"/>
          <w:szCs w:val="21"/>
        </w:rPr>
        <w:t>s</w:t>
      </w:r>
      <w:r w:rsidRPr="009D6F29">
        <w:rPr>
          <w:color w:val="000000" w:themeColor="text1"/>
          <w:sz w:val="21"/>
          <w:szCs w:val="21"/>
        </w:rPr>
        <w:t>.</w:t>
      </w:r>
    </w:p>
    <w:p w14:paraId="6D40859A" w14:textId="77777777" w:rsidR="00117678" w:rsidRDefault="00117678" w:rsidP="00D9559C">
      <w:pPr>
        <w:ind w:right="-360"/>
        <w:rPr>
          <w:b/>
          <w:color w:val="0F243E" w:themeColor="text2" w:themeShade="80"/>
          <w:sz w:val="24"/>
          <w:szCs w:val="24"/>
        </w:rPr>
      </w:pPr>
      <w:r>
        <w:rPr>
          <w:b/>
          <w:color w:val="0F243E" w:themeColor="text2" w:themeShade="80"/>
          <w:sz w:val="24"/>
          <w:szCs w:val="24"/>
        </w:rPr>
        <w:br w:type="page"/>
      </w:r>
    </w:p>
    <w:p w14:paraId="63FEFFAF" w14:textId="14D93E87" w:rsidR="007B3AB3" w:rsidRDefault="007B3AB3" w:rsidP="00D9559C">
      <w:pPr>
        <w:spacing w:after="120" w:line="240" w:lineRule="auto"/>
        <w:ind w:right="-360"/>
        <w:jc w:val="both"/>
        <w:rPr>
          <w:b/>
          <w:color w:val="0F243E" w:themeColor="text2" w:themeShade="80"/>
          <w:sz w:val="24"/>
          <w:szCs w:val="24"/>
        </w:rPr>
      </w:pPr>
      <w:r>
        <w:rPr>
          <w:b/>
          <w:color w:val="0F243E" w:themeColor="text2" w:themeShade="80"/>
          <w:sz w:val="24"/>
          <w:szCs w:val="24"/>
        </w:rPr>
        <w:t>IV</w:t>
      </w:r>
      <w:r w:rsidRPr="00F40611">
        <w:rPr>
          <w:b/>
          <w:color w:val="0F243E" w:themeColor="text2" w:themeShade="80"/>
          <w:sz w:val="24"/>
          <w:szCs w:val="24"/>
        </w:rPr>
        <w:t xml:space="preserve">. </w:t>
      </w:r>
      <w:r w:rsidRPr="007B3AB3">
        <w:rPr>
          <w:b/>
          <w:color w:val="0F243E" w:themeColor="text2" w:themeShade="80"/>
          <w:sz w:val="24"/>
          <w:szCs w:val="24"/>
        </w:rPr>
        <w:t>Citizen and community engagement for social cohesion</w:t>
      </w:r>
      <w:r w:rsidR="00707381">
        <w:rPr>
          <w:b/>
          <w:color w:val="0F243E" w:themeColor="text2" w:themeShade="80"/>
          <w:sz w:val="24"/>
          <w:szCs w:val="24"/>
        </w:rPr>
        <w:fldChar w:fldCharType="begin"/>
      </w:r>
      <w:r w:rsidR="00707381">
        <w:instrText xml:space="preserve"> TC "</w:instrText>
      </w:r>
      <w:bookmarkStart w:id="55" w:name="_Toc38899124"/>
      <w:r w:rsidR="00707381" w:rsidRPr="00A84280">
        <w:rPr>
          <w:b/>
          <w:color w:val="0F243E" w:themeColor="text2" w:themeShade="80"/>
          <w:sz w:val="24"/>
          <w:szCs w:val="24"/>
        </w:rPr>
        <w:instrText>IV. Citizen and community engagement for social cohesion</w:instrText>
      </w:r>
      <w:bookmarkEnd w:id="55"/>
      <w:r w:rsidR="00707381">
        <w:instrText xml:space="preserve">" \f C \l "2" </w:instrText>
      </w:r>
      <w:r w:rsidR="00707381">
        <w:rPr>
          <w:b/>
          <w:color w:val="0F243E" w:themeColor="text2" w:themeShade="80"/>
          <w:sz w:val="24"/>
          <w:szCs w:val="24"/>
        </w:rPr>
        <w:fldChar w:fldCharType="end"/>
      </w:r>
    </w:p>
    <w:tbl>
      <w:tblPr>
        <w:tblStyle w:val="TableGrid"/>
        <w:tblW w:w="9639" w:type="dxa"/>
        <w:tblInd w:w="108" w:type="dxa"/>
        <w:tblBorders>
          <w:left w:val="none" w:sz="0" w:space="0" w:color="auto"/>
          <w:right w:val="none" w:sz="0" w:space="0" w:color="auto"/>
        </w:tblBorders>
        <w:shd w:val="clear" w:color="auto" w:fill="C6D9F1" w:themeFill="text2" w:themeFillTint="33"/>
        <w:tblLook w:val="04A0" w:firstRow="1" w:lastRow="0" w:firstColumn="1" w:lastColumn="0" w:noHBand="0" w:noVBand="1"/>
      </w:tblPr>
      <w:tblGrid>
        <w:gridCol w:w="9639"/>
      </w:tblGrid>
      <w:tr w:rsidR="00181345" w:rsidRPr="0024464B" w14:paraId="346726BD" w14:textId="77777777" w:rsidTr="00197F4E">
        <w:trPr>
          <w:trHeight w:val="311"/>
        </w:trPr>
        <w:tc>
          <w:tcPr>
            <w:tcW w:w="9639"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14:paraId="5619BCA7" w14:textId="77777777" w:rsidR="00181345" w:rsidRPr="005F596A" w:rsidRDefault="00181345" w:rsidP="00D9559C">
            <w:pPr>
              <w:spacing w:before="120" w:after="120"/>
              <w:ind w:right="-360"/>
              <w:jc w:val="both"/>
              <w:rPr>
                <w:rFonts w:cstheme="minorHAnsi"/>
                <w:b/>
              </w:rPr>
            </w:pPr>
            <w:r w:rsidRPr="005F596A">
              <w:rPr>
                <w:rFonts w:cstheme="minorHAnsi"/>
                <w:b/>
              </w:rPr>
              <w:t xml:space="preserve">Outcome 5. </w:t>
            </w:r>
            <w:r w:rsidRPr="005F596A">
              <w:rPr>
                <w:rFonts w:cstheme="minorHAnsi"/>
                <w:bCs/>
              </w:rPr>
              <w:t>By 2025, there is stronger mutual understanding, respect and trust among individuals and communities</w:t>
            </w:r>
          </w:p>
        </w:tc>
      </w:tr>
    </w:tbl>
    <w:p w14:paraId="4E55BFA8" w14:textId="21B877D5" w:rsidR="00C81A6D" w:rsidRPr="00181345" w:rsidRDefault="0024464B" w:rsidP="00D9559C">
      <w:pPr>
        <w:spacing w:before="120" w:after="120" w:line="240" w:lineRule="auto"/>
        <w:ind w:right="-360"/>
        <w:jc w:val="both"/>
        <w:rPr>
          <w:rFonts w:cstheme="minorHAnsi"/>
          <w:color w:val="0F243E" w:themeColor="text2" w:themeShade="80"/>
        </w:rPr>
      </w:pPr>
      <w:r>
        <w:rPr>
          <w:rFonts w:cstheme="minorHAnsi"/>
          <w:b/>
          <w:color w:val="0F243E" w:themeColor="text2" w:themeShade="80"/>
        </w:rPr>
        <w:t>T</w:t>
      </w:r>
      <w:r w:rsidR="003A15D2" w:rsidRPr="00181345">
        <w:rPr>
          <w:rFonts w:cstheme="minorHAnsi"/>
          <w:b/>
          <w:color w:val="0F243E" w:themeColor="text2" w:themeShade="80"/>
        </w:rPr>
        <w:t xml:space="preserve">heory of change </w:t>
      </w:r>
    </w:p>
    <w:p w14:paraId="4AA67196" w14:textId="75F88ADF" w:rsidR="00D97EB0" w:rsidRPr="00F27B71" w:rsidRDefault="004A3440" w:rsidP="00D9559C">
      <w:pPr>
        <w:pStyle w:val="ListParagraph"/>
        <w:numPr>
          <w:ilvl w:val="0"/>
          <w:numId w:val="3"/>
        </w:numPr>
        <w:spacing w:after="120"/>
        <w:ind w:right="-360"/>
        <w:contextualSpacing w:val="0"/>
        <w:jc w:val="both"/>
        <w:rPr>
          <w:rFonts w:cstheme="minorHAnsi"/>
          <w:sz w:val="21"/>
          <w:szCs w:val="21"/>
        </w:rPr>
      </w:pPr>
      <w:r w:rsidRPr="004421CC">
        <w:rPr>
          <w:rFonts w:cstheme="minorHAnsi"/>
          <w:sz w:val="21"/>
          <w:szCs w:val="21"/>
          <w:lang w:eastAsia="en-CA"/>
        </w:rPr>
        <w:t xml:space="preserve">This </w:t>
      </w:r>
      <w:r w:rsidR="00FB2D89" w:rsidRPr="00F27B71">
        <w:rPr>
          <w:rFonts w:cstheme="minorHAnsi"/>
          <w:sz w:val="21"/>
          <w:szCs w:val="21"/>
          <w:lang w:eastAsia="en-CA"/>
        </w:rPr>
        <w:t xml:space="preserve">cooperation </w:t>
      </w:r>
      <w:r w:rsidRPr="00F27B71">
        <w:rPr>
          <w:rFonts w:cstheme="minorHAnsi"/>
          <w:sz w:val="21"/>
          <w:szCs w:val="21"/>
          <w:lang w:eastAsia="en-CA"/>
        </w:rPr>
        <w:t>outcome is a</w:t>
      </w:r>
      <w:r w:rsidR="008E1752" w:rsidRPr="00F27B71">
        <w:rPr>
          <w:rFonts w:cstheme="minorHAnsi"/>
          <w:sz w:val="21"/>
          <w:szCs w:val="21"/>
          <w:lang w:eastAsia="en-CA"/>
        </w:rPr>
        <w:t xml:space="preserve">n </w:t>
      </w:r>
      <w:r w:rsidRPr="00F27B71">
        <w:rPr>
          <w:rFonts w:cstheme="minorHAnsi"/>
          <w:i/>
          <w:sz w:val="21"/>
          <w:szCs w:val="21"/>
          <w:lang w:eastAsia="en-CA"/>
        </w:rPr>
        <w:t>enabler</w:t>
      </w:r>
      <w:r w:rsidR="00FB2D89" w:rsidRPr="00F27B71">
        <w:rPr>
          <w:rFonts w:cstheme="minorHAnsi"/>
          <w:sz w:val="21"/>
          <w:szCs w:val="21"/>
          <w:lang w:eastAsia="en-CA"/>
        </w:rPr>
        <w:t xml:space="preserve"> for all other outcomes and for the EU accession and SDG-related</w:t>
      </w:r>
      <w:r w:rsidRPr="00F27B71">
        <w:rPr>
          <w:rFonts w:cstheme="minorHAnsi"/>
          <w:sz w:val="21"/>
          <w:szCs w:val="21"/>
          <w:lang w:eastAsia="en-CA"/>
        </w:rPr>
        <w:t xml:space="preserve"> </w:t>
      </w:r>
      <w:r w:rsidR="00FB2D89" w:rsidRPr="00F27B71">
        <w:rPr>
          <w:rFonts w:cstheme="minorHAnsi"/>
          <w:sz w:val="21"/>
          <w:szCs w:val="21"/>
          <w:lang w:eastAsia="en-CA"/>
        </w:rPr>
        <w:t xml:space="preserve">priorities of </w:t>
      </w:r>
      <w:r w:rsidR="00E011D6" w:rsidRPr="00F27B71">
        <w:rPr>
          <w:rFonts w:cstheme="minorHAnsi"/>
          <w:sz w:val="21"/>
          <w:szCs w:val="21"/>
          <w:lang w:eastAsia="en-CA"/>
        </w:rPr>
        <w:t>the</w:t>
      </w:r>
      <w:r w:rsidR="008C1408" w:rsidRPr="00F27B71">
        <w:rPr>
          <w:rFonts w:cstheme="minorHAnsi"/>
          <w:sz w:val="21"/>
          <w:szCs w:val="21"/>
          <w:lang w:eastAsia="en-CA"/>
        </w:rPr>
        <w:t xml:space="preserve"> authorities</w:t>
      </w:r>
      <w:r w:rsidR="00E011D6" w:rsidRPr="00F27B71">
        <w:rPr>
          <w:rFonts w:cstheme="minorHAnsi"/>
          <w:sz w:val="21"/>
          <w:szCs w:val="21"/>
          <w:lang w:eastAsia="en-CA"/>
        </w:rPr>
        <w:t xml:space="preserve"> in BiH</w:t>
      </w:r>
      <w:r w:rsidR="00FB2D89" w:rsidRPr="00F27B71">
        <w:rPr>
          <w:rFonts w:cstheme="minorHAnsi"/>
          <w:sz w:val="21"/>
          <w:szCs w:val="21"/>
          <w:lang w:eastAsia="en-CA"/>
        </w:rPr>
        <w:t xml:space="preserve">. </w:t>
      </w:r>
      <w:r w:rsidR="004421CC" w:rsidRPr="00F27B71">
        <w:rPr>
          <w:sz w:val="21"/>
          <w:szCs w:val="21"/>
          <w:shd w:val="clear" w:color="auto" w:fill="FFFFFF"/>
        </w:rPr>
        <w:t xml:space="preserve">The </w:t>
      </w:r>
      <w:r w:rsidR="004421CC" w:rsidRPr="00F27B71">
        <w:rPr>
          <w:rFonts w:cstheme="minorHAnsi"/>
          <w:sz w:val="21"/>
          <w:szCs w:val="21"/>
          <w:lang w:eastAsia="en-CA"/>
        </w:rPr>
        <w:t xml:space="preserve">theory of change underlying this outcome is that </w:t>
      </w:r>
      <w:r w:rsidR="00D97EB0" w:rsidRPr="00F27B71">
        <w:rPr>
          <w:rFonts w:cstheme="minorHAnsi"/>
          <w:sz w:val="21"/>
          <w:szCs w:val="21"/>
        </w:rPr>
        <w:t>increased levels of mutual respect, trust and empathy between people and communities across all of BiH</w:t>
      </w:r>
      <w:r w:rsidR="004421CC" w:rsidRPr="00F27B71">
        <w:rPr>
          <w:rFonts w:cstheme="minorHAnsi"/>
          <w:sz w:val="21"/>
          <w:szCs w:val="21"/>
        </w:rPr>
        <w:t xml:space="preserve"> will help to address</w:t>
      </w:r>
      <w:r w:rsidR="00D97EB0" w:rsidRPr="00F27B71">
        <w:rPr>
          <w:rFonts w:cstheme="minorHAnsi"/>
          <w:sz w:val="21"/>
          <w:szCs w:val="21"/>
        </w:rPr>
        <w:t xml:space="preserve"> the reconciliation deficit and </w:t>
      </w:r>
      <w:r w:rsidR="004421CC" w:rsidRPr="00F27B71">
        <w:rPr>
          <w:rFonts w:cstheme="minorHAnsi"/>
          <w:sz w:val="21"/>
          <w:szCs w:val="21"/>
        </w:rPr>
        <w:t xml:space="preserve">contribute to greater social cohesion and stability. Without greater </w:t>
      </w:r>
      <w:r w:rsidR="00D97EB0" w:rsidRPr="00F27B71">
        <w:rPr>
          <w:rFonts w:cstheme="minorHAnsi"/>
          <w:sz w:val="21"/>
          <w:szCs w:val="21"/>
        </w:rPr>
        <w:t>trust and confidence</w:t>
      </w:r>
      <w:r w:rsidR="004421CC" w:rsidRPr="00F27B71">
        <w:rPr>
          <w:rFonts w:cstheme="minorHAnsi"/>
          <w:sz w:val="21"/>
          <w:szCs w:val="21"/>
        </w:rPr>
        <w:t xml:space="preserve"> in society, </w:t>
      </w:r>
      <w:r w:rsidR="00D97EB0" w:rsidRPr="00F27B71">
        <w:rPr>
          <w:rFonts w:cstheme="minorHAnsi"/>
          <w:sz w:val="21"/>
          <w:szCs w:val="21"/>
        </w:rPr>
        <w:t>efforts to diversify the economy,</w:t>
      </w:r>
      <w:r w:rsidR="008E1752" w:rsidRPr="00F27B71">
        <w:rPr>
          <w:rFonts w:cstheme="minorHAnsi"/>
          <w:sz w:val="21"/>
          <w:szCs w:val="21"/>
        </w:rPr>
        <w:t xml:space="preserve"> </w:t>
      </w:r>
      <w:r w:rsidR="00D97EB0" w:rsidRPr="00F27B71">
        <w:rPr>
          <w:rFonts w:cstheme="minorHAnsi"/>
          <w:sz w:val="21"/>
          <w:szCs w:val="21"/>
        </w:rPr>
        <w:t>strengthen the quality of and delivery of basic services</w:t>
      </w:r>
      <w:r w:rsidR="000F4FF0" w:rsidRPr="00F27B71">
        <w:rPr>
          <w:rFonts w:cstheme="minorHAnsi"/>
          <w:sz w:val="21"/>
          <w:szCs w:val="21"/>
        </w:rPr>
        <w:t>, and enhance governance and rule of law</w:t>
      </w:r>
      <w:r w:rsidR="00D97EB0" w:rsidRPr="00F27B71">
        <w:rPr>
          <w:rFonts w:cstheme="minorHAnsi"/>
          <w:sz w:val="21"/>
          <w:szCs w:val="21"/>
        </w:rPr>
        <w:t xml:space="preserve"> can</w:t>
      </w:r>
      <w:r w:rsidR="00244BE0" w:rsidRPr="00F27B71">
        <w:rPr>
          <w:rFonts w:cstheme="minorHAnsi"/>
          <w:sz w:val="21"/>
          <w:szCs w:val="21"/>
        </w:rPr>
        <w:t>not</w:t>
      </w:r>
      <w:r w:rsidR="00D97EB0" w:rsidRPr="00F27B71">
        <w:rPr>
          <w:rFonts w:cstheme="minorHAnsi"/>
          <w:sz w:val="21"/>
          <w:szCs w:val="21"/>
        </w:rPr>
        <w:t xml:space="preserve"> succeed.</w:t>
      </w:r>
      <w:r w:rsidR="00F757B7" w:rsidRPr="00F27B71">
        <w:rPr>
          <w:rFonts w:cstheme="minorHAnsi"/>
          <w:sz w:val="21"/>
          <w:szCs w:val="21"/>
        </w:rPr>
        <w:t xml:space="preserve"> </w:t>
      </w:r>
      <w:r w:rsidR="00F757B7" w:rsidRPr="00F27B71">
        <w:rPr>
          <w:rFonts w:cstheme="minorHAnsi"/>
          <w:sz w:val="21"/>
          <w:szCs w:val="21"/>
          <w:lang w:eastAsia="en-CA"/>
        </w:rPr>
        <w:t xml:space="preserve">Cooperation is expected to support </w:t>
      </w:r>
      <w:r w:rsidR="001F11C0" w:rsidRPr="00F27B71">
        <w:rPr>
          <w:rFonts w:cstheme="minorHAnsi"/>
          <w:sz w:val="21"/>
          <w:szCs w:val="21"/>
          <w:lang w:eastAsia="en-CA"/>
        </w:rPr>
        <w:t>the</w:t>
      </w:r>
      <w:r w:rsidR="00F757B7" w:rsidRPr="00F27B71">
        <w:rPr>
          <w:rFonts w:cstheme="minorHAnsi"/>
          <w:sz w:val="21"/>
          <w:szCs w:val="21"/>
          <w:lang w:eastAsia="en-CA"/>
        </w:rPr>
        <w:t xml:space="preserve"> authorities</w:t>
      </w:r>
      <w:r w:rsidR="001F11C0" w:rsidRPr="00F27B71">
        <w:rPr>
          <w:rFonts w:cstheme="minorHAnsi"/>
          <w:sz w:val="21"/>
          <w:szCs w:val="21"/>
          <w:lang w:eastAsia="en-CA"/>
        </w:rPr>
        <w:t xml:space="preserve"> in BiH</w:t>
      </w:r>
      <w:r w:rsidR="00F757B7" w:rsidRPr="00F27B71">
        <w:rPr>
          <w:rFonts w:cstheme="minorHAnsi"/>
          <w:sz w:val="21"/>
          <w:szCs w:val="21"/>
          <w:lang w:eastAsia="en-CA"/>
        </w:rPr>
        <w:t xml:space="preserve"> to </w:t>
      </w:r>
      <w:r w:rsidR="004039A8" w:rsidRPr="00F27B71">
        <w:rPr>
          <w:rFonts w:cstheme="minorHAnsi"/>
          <w:sz w:val="21"/>
          <w:szCs w:val="21"/>
          <w:lang w:eastAsia="en-CA"/>
        </w:rPr>
        <w:t>implement</w:t>
      </w:r>
      <w:r w:rsidR="00F757B7" w:rsidRPr="00F27B71">
        <w:rPr>
          <w:rFonts w:cstheme="minorHAnsi"/>
          <w:sz w:val="21"/>
          <w:szCs w:val="21"/>
          <w:lang w:eastAsia="en-CA"/>
        </w:rPr>
        <w:t xml:space="preserve"> recommendations from the recent UPR to eliminate social exclusion and all forms of discrimination and ensure the political participation of all citizens</w:t>
      </w:r>
      <w:r w:rsidR="005C1358" w:rsidRPr="00F27B71">
        <w:rPr>
          <w:rFonts w:cstheme="minorHAnsi"/>
          <w:sz w:val="21"/>
          <w:szCs w:val="21"/>
          <w:lang w:eastAsia="en-CA"/>
        </w:rPr>
        <w:t>,</w:t>
      </w:r>
      <w:r w:rsidR="00F757B7" w:rsidRPr="00F27B71">
        <w:rPr>
          <w:rFonts w:cstheme="minorHAnsi"/>
          <w:sz w:val="21"/>
          <w:szCs w:val="21"/>
          <w:lang w:eastAsia="en-CA"/>
        </w:rPr>
        <w:t xml:space="preserve"> at all levels of governance</w:t>
      </w:r>
      <w:r w:rsidR="00F757B7" w:rsidRPr="00F27B71">
        <w:rPr>
          <w:rStyle w:val="FootnoteReference"/>
          <w:rFonts w:cstheme="minorHAnsi"/>
          <w:sz w:val="21"/>
          <w:szCs w:val="21"/>
          <w:lang w:eastAsia="en-CA"/>
        </w:rPr>
        <w:footnoteReference w:id="114"/>
      </w:r>
      <w:r w:rsidR="00F757B7" w:rsidRPr="00F27B71">
        <w:rPr>
          <w:rFonts w:cstheme="minorHAnsi"/>
          <w:sz w:val="21"/>
          <w:szCs w:val="21"/>
          <w:lang w:eastAsia="en-CA"/>
        </w:rPr>
        <w:t>.</w:t>
      </w:r>
      <w:r w:rsidR="008F03EC" w:rsidRPr="00F27B71">
        <w:rPr>
          <w:rFonts w:cstheme="minorHAnsi"/>
          <w:sz w:val="21"/>
          <w:szCs w:val="21"/>
          <w:lang w:eastAsia="en-CA"/>
        </w:rPr>
        <w:t xml:space="preserve"> </w:t>
      </w:r>
    </w:p>
    <w:p w14:paraId="6E60745C" w14:textId="77777777" w:rsidR="00D97EB0" w:rsidRPr="00F27B71" w:rsidRDefault="00D97EB0" w:rsidP="00D9559C">
      <w:pPr>
        <w:pStyle w:val="ListParagraph"/>
        <w:numPr>
          <w:ilvl w:val="0"/>
          <w:numId w:val="3"/>
        </w:numPr>
        <w:spacing w:after="60"/>
        <w:ind w:right="-360"/>
        <w:contextualSpacing w:val="0"/>
        <w:jc w:val="both"/>
        <w:rPr>
          <w:rFonts w:cstheme="minorHAnsi"/>
          <w:sz w:val="21"/>
          <w:szCs w:val="21"/>
          <w:lang w:val="en-CA"/>
        </w:rPr>
      </w:pPr>
      <w:r w:rsidRPr="00F27B71">
        <w:rPr>
          <w:rFonts w:ascii="Calibri" w:hAnsi="Calibri"/>
          <w:sz w:val="21"/>
          <w:szCs w:val="21"/>
        </w:rPr>
        <w:t xml:space="preserve">By 2025, the success </w:t>
      </w:r>
      <w:r w:rsidR="00A1192C" w:rsidRPr="00F27B71">
        <w:rPr>
          <w:rFonts w:ascii="Calibri" w:hAnsi="Calibri"/>
          <w:sz w:val="21"/>
          <w:szCs w:val="21"/>
        </w:rPr>
        <w:t xml:space="preserve">of </w:t>
      </w:r>
      <w:r w:rsidRPr="00F27B71">
        <w:rPr>
          <w:rFonts w:ascii="Calibri" w:hAnsi="Calibri"/>
          <w:sz w:val="21"/>
          <w:szCs w:val="21"/>
        </w:rPr>
        <w:t xml:space="preserve">BiH and UN cooperation efforts will be seen in: </w:t>
      </w:r>
    </w:p>
    <w:p w14:paraId="055CEAB5" w14:textId="69520EBF" w:rsidR="0032748E" w:rsidRPr="00F27B71" w:rsidRDefault="00D97EB0" w:rsidP="00D9559C">
      <w:pPr>
        <w:pStyle w:val="ListParagraph"/>
        <w:numPr>
          <w:ilvl w:val="0"/>
          <w:numId w:val="5"/>
        </w:numPr>
        <w:spacing w:after="60"/>
        <w:ind w:right="-360" w:hanging="357"/>
        <w:contextualSpacing w:val="0"/>
        <w:jc w:val="both"/>
        <w:rPr>
          <w:sz w:val="21"/>
          <w:szCs w:val="21"/>
        </w:rPr>
      </w:pPr>
      <w:r w:rsidRPr="00F27B71">
        <w:rPr>
          <w:rFonts w:cstheme="minorHAnsi"/>
          <w:sz w:val="21"/>
          <w:szCs w:val="21"/>
        </w:rPr>
        <w:t xml:space="preserve">More </w:t>
      </w:r>
      <w:r w:rsidR="0032748E" w:rsidRPr="00F27B71">
        <w:rPr>
          <w:rFonts w:cstheme="minorHAnsi"/>
          <w:sz w:val="21"/>
          <w:szCs w:val="21"/>
        </w:rPr>
        <w:t xml:space="preserve">people </w:t>
      </w:r>
      <w:r w:rsidR="000F4FF0" w:rsidRPr="00F27B71">
        <w:rPr>
          <w:rFonts w:cstheme="minorHAnsi"/>
          <w:sz w:val="21"/>
          <w:szCs w:val="21"/>
        </w:rPr>
        <w:t xml:space="preserve">and especially young people </w:t>
      </w:r>
      <w:r w:rsidR="0032748E" w:rsidRPr="00F27B71">
        <w:rPr>
          <w:rFonts w:cstheme="minorHAnsi"/>
          <w:sz w:val="21"/>
          <w:szCs w:val="21"/>
        </w:rPr>
        <w:t>expressing higher levels of trust in society and a view that reconciliation is possible;</w:t>
      </w:r>
    </w:p>
    <w:p w14:paraId="58A4C9D7" w14:textId="41234ADE" w:rsidR="0032748E" w:rsidRPr="00F27B71" w:rsidRDefault="0032748E" w:rsidP="00D9559C">
      <w:pPr>
        <w:pStyle w:val="ListParagraph"/>
        <w:numPr>
          <w:ilvl w:val="0"/>
          <w:numId w:val="5"/>
        </w:numPr>
        <w:spacing w:after="60"/>
        <w:ind w:right="-360" w:hanging="357"/>
        <w:contextualSpacing w:val="0"/>
        <w:jc w:val="both"/>
        <w:rPr>
          <w:sz w:val="21"/>
          <w:szCs w:val="21"/>
        </w:rPr>
      </w:pPr>
      <w:r w:rsidRPr="00F27B71">
        <w:rPr>
          <w:rFonts w:cstheme="minorHAnsi"/>
          <w:sz w:val="21"/>
          <w:szCs w:val="21"/>
        </w:rPr>
        <w:t xml:space="preserve">More </w:t>
      </w:r>
      <w:r w:rsidR="000F4FF0" w:rsidRPr="00F27B71">
        <w:rPr>
          <w:rFonts w:cstheme="minorHAnsi"/>
          <w:sz w:val="21"/>
          <w:szCs w:val="21"/>
        </w:rPr>
        <w:t xml:space="preserve">people and especially </w:t>
      </w:r>
      <w:r w:rsidRPr="00F27B71">
        <w:rPr>
          <w:rFonts w:cstheme="minorHAnsi"/>
          <w:sz w:val="21"/>
          <w:szCs w:val="21"/>
        </w:rPr>
        <w:t>young people expressing trust in people from other religions and political convictions;</w:t>
      </w:r>
    </w:p>
    <w:p w14:paraId="44E01DC3" w14:textId="31022781" w:rsidR="0032748E" w:rsidRPr="00F27B71" w:rsidRDefault="0032748E" w:rsidP="00D9559C">
      <w:pPr>
        <w:pStyle w:val="ListParagraph"/>
        <w:numPr>
          <w:ilvl w:val="0"/>
          <w:numId w:val="5"/>
        </w:numPr>
        <w:spacing w:after="120"/>
        <w:ind w:right="-360"/>
        <w:contextualSpacing w:val="0"/>
        <w:jc w:val="both"/>
        <w:rPr>
          <w:sz w:val="21"/>
          <w:szCs w:val="21"/>
        </w:rPr>
      </w:pPr>
      <w:r w:rsidRPr="00F27B71">
        <w:rPr>
          <w:rFonts w:cstheme="minorHAnsi"/>
          <w:sz w:val="21"/>
          <w:szCs w:val="21"/>
        </w:rPr>
        <w:t xml:space="preserve">Larger numbers of </w:t>
      </w:r>
      <w:r w:rsidR="000F4FF0" w:rsidRPr="00F27B71">
        <w:rPr>
          <w:rFonts w:cstheme="minorHAnsi"/>
          <w:sz w:val="21"/>
          <w:szCs w:val="21"/>
        </w:rPr>
        <w:t xml:space="preserve">people and especially </w:t>
      </w:r>
      <w:r w:rsidRPr="00F27B71">
        <w:rPr>
          <w:rFonts w:cstheme="minorHAnsi"/>
          <w:sz w:val="21"/>
          <w:szCs w:val="21"/>
        </w:rPr>
        <w:t>young people taking part in community level initiatives that promote dialogue and peacebuilding</w:t>
      </w:r>
      <w:r w:rsidR="00244BE0" w:rsidRPr="00F27B71">
        <w:rPr>
          <w:rFonts w:cstheme="minorHAnsi"/>
          <w:sz w:val="21"/>
          <w:szCs w:val="21"/>
        </w:rPr>
        <w:t>,</w:t>
      </w:r>
      <w:r w:rsidRPr="00F27B71">
        <w:rPr>
          <w:rFonts w:cstheme="minorHAnsi"/>
          <w:sz w:val="21"/>
          <w:szCs w:val="21"/>
        </w:rPr>
        <w:t xml:space="preserve"> and fewer hate-related incidents.</w:t>
      </w:r>
    </w:p>
    <w:p w14:paraId="64E2A7D1" w14:textId="44CA6422" w:rsidR="00D97EB0" w:rsidRPr="00197F4E" w:rsidRDefault="00CD4F03" w:rsidP="00D9559C">
      <w:pPr>
        <w:pStyle w:val="ListParagraph"/>
        <w:numPr>
          <w:ilvl w:val="0"/>
          <w:numId w:val="3"/>
        </w:numPr>
        <w:spacing w:after="120"/>
        <w:ind w:right="-360"/>
        <w:contextualSpacing w:val="0"/>
        <w:jc w:val="both"/>
        <w:rPr>
          <w:rFonts w:cstheme="minorHAnsi"/>
          <w:sz w:val="21"/>
          <w:szCs w:val="21"/>
        </w:rPr>
      </w:pPr>
      <w:r w:rsidRPr="00F27B71">
        <w:rPr>
          <w:rFonts w:cstheme="minorHAnsi"/>
          <w:sz w:val="21"/>
          <w:szCs w:val="21"/>
        </w:rPr>
        <w:t>Four</w:t>
      </w:r>
      <w:r w:rsidR="00663842" w:rsidRPr="00F27B71">
        <w:rPr>
          <w:rFonts w:cstheme="minorHAnsi"/>
          <w:sz w:val="21"/>
          <w:szCs w:val="21"/>
        </w:rPr>
        <w:t xml:space="preserve"> conditions are necessary for the </w:t>
      </w:r>
      <w:r w:rsidR="00D97EB0" w:rsidRPr="00F27B71">
        <w:rPr>
          <w:rFonts w:cstheme="minorHAnsi"/>
          <w:sz w:val="21"/>
          <w:szCs w:val="21"/>
        </w:rPr>
        <w:t>achievement of the outcome</w:t>
      </w:r>
      <w:r w:rsidR="0032748E" w:rsidRPr="00F27B71">
        <w:rPr>
          <w:rFonts w:cstheme="minorHAnsi"/>
          <w:sz w:val="21"/>
          <w:szCs w:val="21"/>
        </w:rPr>
        <w:t xml:space="preserve">. These concern </w:t>
      </w:r>
      <w:r w:rsidR="00D97EB0" w:rsidRPr="00F27B71">
        <w:rPr>
          <w:rFonts w:cstheme="minorHAnsi"/>
          <w:sz w:val="21"/>
          <w:szCs w:val="21"/>
        </w:rPr>
        <w:t>tangible new skills and abilities, products and services</w:t>
      </w:r>
      <w:r w:rsidR="0032748E" w:rsidRPr="00F27B71">
        <w:rPr>
          <w:rFonts w:cstheme="minorHAnsi"/>
          <w:sz w:val="21"/>
          <w:szCs w:val="21"/>
        </w:rPr>
        <w:t xml:space="preserve"> that will be produced </w:t>
      </w:r>
      <w:r w:rsidR="00D97EB0" w:rsidRPr="00F27B71">
        <w:rPr>
          <w:rFonts w:cstheme="minorHAnsi"/>
          <w:sz w:val="21"/>
          <w:szCs w:val="21"/>
        </w:rPr>
        <w:t xml:space="preserve">in close cooperation by </w:t>
      </w:r>
      <w:r w:rsidR="001F11C0" w:rsidRPr="00F27B71">
        <w:rPr>
          <w:rFonts w:cstheme="minorHAnsi"/>
          <w:sz w:val="21"/>
          <w:szCs w:val="21"/>
        </w:rPr>
        <w:t>the</w:t>
      </w:r>
      <w:r w:rsidR="008C1408" w:rsidRPr="00F27B71">
        <w:rPr>
          <w:rFonts w:cstheme="minorHAnsi"/>
          <w:sz w:val="21"/>
          <w:szCs w:val="21"/>
        </w:rPr>
        <w:t xml:space="preserve"> authorities</w:t>
      </w:r>
      <w:r w:rsidR="001F11C0" w:rsidRPr="00F27B71">
        <w:rPr>
          <w:rFonts w:cstheme="minorHAnsi"/>
          <w:sz w:val="21"/>
          <w:szCs w:val="21"/>
        </w:rPr>
        <w:t xml:space="preserve"> in BiH</w:t>
      </w:r>
      <w:r w:rsidR="00D97EB0" w:rsidRPr="00197F4E">
        <w:rPr>
          <w:rFonts w:cstheme="minorHAnsi"/>
          <w:sz w:val="21"/>
          <w:szCs w:val="21"/>
        </w:rPr>
        <w:t>, the UN and other partners in civil society</w:t>
      </w:r>
      <w:r w:rsidR="0032748E" w:rsidRPr="00197F4E">
        <w:rPr>
          <w:rFonts w:cstheme="minorHAnsi"/>
          <w:sz w:val="21"/>
          <w:szCs w:val="21"/>
        </w:rPr>
        <w:t>:</w:t>
      </w:r>
      <w:r w:rsidR="00D97EB0" w:rsidRPr="00197F4E">
        <w:rPr>
          <w:rFonts w:cstheme="minorHAnsi"/>
          <w:sz w:val="21"/>
          <w:szCs w:val="21"/>
        </w:rPr>
        <w:t xml:space="preserve"> </w:t>
      </w:r>
    </w:p>
    <w:p w14:paraId="664CDEEE" w14:textId="3773B9CB" w:rsidR="0032748E" w:rsidRPr="007E4270" w:rsidRDefault="00CD4F03" w:rsidP="00D9559C">
      <w:pPr>
        <w:pStyle w:val="ListParagraph"/>
        <w:numPr>
          <w:ilvl w:val="0"/>
          <w:numId w:val="3"/>
        </w:numPr>
        <w:spacing w:after="120"/>
        <w:ind w:right="-360"/>
        <w:contextualSpacing w:val="0"/>
        <w:jc w:val="both"/>
        <w:rPr>
          <w:sz w:val="21"/>
          <w:szCs w:val="21"/>
        </w:rPr>
      </w:pPr>
      <w:r w:rsidRPr="00197F4E">
        <w:rPr>
          <w:sz w:val="21"/>
          <w:szCs w:val="21"/>
        </w:rPr>
        <w:t>First, l</w:t>
      </w:r>
      <w:r w:rsidR="00176580" w:rsidRPr="00197F4E">
        <w:rPr>
          <w:sz w:val="21"/>
          <w:szCs w:val="21"/>
        </w:rPr>
        <w:t xml:space="preserve">ocal environments of trust are needed for more sustained engagement and dialogue between citizens, especially </w:t>
      </w:r>
      <w:r w:rsidR="00EC3D9D" w:rsidRPr="00197F4E">
        <w:rPr>
          <w:sz w:val="21"/>
          <w:szCs w:val="21"/>
        </w:rPr>
        <w:t xml:space="preserve">amongst </w:t>
      </w:r>
      <w:r w:rsidR="00EC3D9D">
        <w:rPr>
          <w:sz w:val="21"/>
          <w:szCs w:val="21"/>
        </w:rPr>
        <w:t>those</w:t>
      </w:r>
      <w:r w:rsidR="00B04470">
        <w:rPr>
          <w:sz w:val="21"/>
          <w:szCs w:val="21"/>
        </w:rPr>
        <w:t xml:space="preserve"> from divided communities and</w:t>
      </w:r>
      <w:r w:rsidR="007C5C45" w:rsidRPr="00197F4E">
        <w:rPr>
          <w:sz w:val="21"/>
          <w:szCs w:val="21"/>
        </w:rPr>
        <w:t xml:space="preserve"> those who feel </w:t>
      </w:r>
      <w:r w:rsidR="000E28DC" w:rsidRPr="00197F4E">
        <w:rPr>
          <w:sz w:val="21"/>
          <w:szCs w:val="21"/>
        </w:rPr>
        <w:t>disenfranchised,</w:t>
      </w:r>
      <w:r w:rsidR="007C5C45" w:rsidRPr="00197F4E">
        <w:rPr>
          <w:sz w:val="21"/>
          <w:szCs w:val="21"/>
        </w:rPr>
        <w:t xml:space="preserve"> excluded</w:t>
      </w:r>
      <w:r w:rsidR="00A1192C" w:rsidRPr="00197F4E">
        <w:rPr>
          <w:sz w:val="21"/>
          <w:szCs w:val="21"/>
        </w:rPr>
        <w:t>,</w:t>
      </w:r>
      <w:r w:rsidR="007C5C45" w:rsidRPr="00197F4E">
        <w:rPr>
          <w:sz w:val="21"/>
          <w:szCs w:val="21"/>
        </w:rPr>
        <w:t xml:space="preserve"> and without hope. </w:t>
      </w:r>
      <w:r w:rsidR="000F4FF0" w:rsidRPr="00197F4E">
        <w:rPr>
          <w:sz w:val="21"/>
          <w:szCs w:val="21"/>
        </w:rPr>
        <w:t xml:space="preserve">The UN system </w:t>
      </w:r>
      <w:r w:rsidR="000F4FF0" w:rsidRPr="007E4270">
        <w:rPr>
          <w:sz w:val="21"/>
          <w:szCs w:val="21"/>
        </w:rPr>
        <w:t xml:space="preserve">will </w:t>
      </w:r>
      <w:r w:rsidR="002B0B80" w:rsidRPr="007E4270">
        <w:rPr>
          <w:sz w:val="21"/>
          <w:szCs w:val="21"/>
        </w:rPr>
        <w:t xml:space="preserve">partner with </w:t>
      </w:r>
      <w:r w:rsidR="000F4FF0" w:rsidRPr="007E4270">
        <w:rPr>
          <w:sz w:val="21"/>
          <w:szCs w:val="21"/>
        </w:rPr>
        <w:t xml:space="preserve">local organizations to design and deliver informal education, events, and services that promote increased citizen engagement </w:t>
      </w:r>
      <w:r w:rsidR="00F26C9E" w:rsidRPr="007E4270">
        <w:rPr>
          <w:sz w:val="21"/>
          <w:szCs w:val="21"/>
        </w:rPr>
        <w:t xml:space="preserve">and </w:t>
      </w:r>
      <w:r w:rsidR="008E1752" w:rsidRPr="007E4270">
        <w:rPr>
          <w:sz w:val="21"/>
          <w:szCs w:val="21"/>
        </w:rPr>
        <w:t xml:space="preserve">strengthen </w:t>
      </w:r>
      <w:r w:rsidR="00F26C9E" w:rsidRPr="007E4270">
        <w:rPr>
          <w:sz w:val="21"/>
          <w:szCs w:val="21"/>
        </w:rPr>
        <w:t>social cohesion</w:t>
      </w:r>
      <w:r w:rsidR="008E1752" w:rsidRPr="007E4270">
        <w:rPr>
          <w:sz w:val="21"/>
          <w:szCs w:val="21"/>
        </w:rPr>
        <w:t>, tolerance and mutual understanding</w:t>
      </w:r>
      <w:r w:rsidR="00F26C9E" w:rsidRPr="007E4270">
        <w:rPr>
          <w:sz w:val="21"/>
          <w:szCs w:val="21"/>
        </w:rPr>
        <w:t xml:space="preserve">. </w:t>
      </w:r>
      <w:r w:rsidR="000F4FF0" w:rsidRPr="007E4270">
        <w:rPr>
          <w:sz w:val="21"/>
          <w:szCs w:val="21"/>
        </w:rPr>
        <w:t>Young people are potential ‘game changers’, providing alternative voices for social cohesion in divided communities</w:t>
      </w:r>
      <w:r w:rsidR="00F26C9E" w:rsidRPr="007E4270">
        <w:rPr>
          <w:sz w:val="21"/>
          <w:szCs w:val="21"/>
        </w:rPr>
        <w:t>. To this end, a</w:t>
      </w:r>
      <w:r w:rsidR="000F4FF0" w:rsidRPr="007E4270">
        <w:rPr>
          <w:sz w:val="21"/>
          <w:szCs w:val="21"/>
        </w:rPr>
        <w:t xml:space="preserve"> special focus will be placed on youth serving organizations and leaders </w:t>
      </w:r>
      <w:r w:rsidR="00F26C9E" w:rsidRPr="007E4270">
        <w:rPr>
          <w:sz w:val="21"/>
          <w:szCs w:val="21"/>
        </w:rPr>
        <w:t xml:space="preserve">who </w:t>
      </w:r>
      <w:r w:rsidR="000F4FF0" w:rsidRPr="007E4270">
        <w:rPr>
          <w:sz w:val="21"/>
          <w:szCs w:val="21"/>
        </w:rPr>
        <w:t>will be provided opportunities to develop new capacities to design and deliver trauma transformation and peacebuilding programmes with their peers</w:t>
      </w:r>
      <w:r w:rsidR="00F26C9E" w:rsidRPr="007E4270">
        <w:rPr>
          <w:sz w:val="21"/>
          <w:szCs w:val="21"/>
        </w:rPr>
        <w:t>. The UN sy</w:t>
      </w:r>
      <w:r w:rsidR="008E1752" w:rsidRPr="007E4270">
        <w:rPr>
          <w:sz w:val="21"/>
          <w:szCs w:val="21"/>
        </w:rPr>
        <w:t>s</w:t>
      </w:r>
      <w:r w:rsidR="00F26C9E" w:rsidRPr="007E4270">
        <w:rPr>
          <w:sz w:val="21"/>
          <w:szCs w:val="21"/>
        </w:rPr>
        <w:t>tem will also support initiatives to strengthen social cohesion in migration-affected communities.</w:t>
      </w:r>
      <w:r w:rsidR="0032748E" w:rsidRPr="007E4270">
        <w:rPr>
          <w:sz w:val="21"/>
          <w:szCs w:val="21"/>
        </w:rPr>
        <w:t xml:space="preserve">  </w:t>
      </w:r>
    </w:p>
    <w:p w14:paraId="2E1140C8" w14:textId="4CF88C3A" w:rsidR="0032748E" w:rsidRPr="007E4270" w:rsidRDefault="00CD4F03" w:rsidP="00D9559C">
      <w:pPr>
        <w:pStyle w:val="ListParagraph"/>
        <w:numPr>
          <w:ilvl w:val="0"/>
          <w:numId w:val="3"/>
        </w:numPr>
        <w:spacing w:after="120"/>
        <w:ind w:right="-360"/>
        <w:contextualSpacing w:val="0"/>
        <w:jc w:val="both"/>
        <w:rPr>
          <w:sz w:val="21"/>
          <w:szCs w:val="21"/>
        </w:rPr>
      </w:pPr>
      <w:r w:rsidRPr="007E4270">
        <w:rPr>
          <w:sz w:val="21"/>
          <w:szCs w:val="21"/>
        </w:rPr>
        <w:t>Second, l</w:t>
      </w:r>
      <w:r w:rsidR="00176580" w:rsidRPr="007E4270">
        <w:rPr>
          <w:sz w:val="21"/>
          <w:szCs w:val="21"/>
        </w:rPr>
        <w:t xml:space="preserve">ocal authorities also require new skills to </w:t>
      </w:r>
      <w:r w:rsidR="0032748E" w:rsidRPr="007E4270">
        <w:rPr>
          <w:sz w:val="21"/>
          <w:szCs w:val="21"/>
        </w:rPr>
        <w:t>engage with and respond to their constituencies</w:t>
      </w:r>
      <w:r w:rsidR="00244BE0" w:rsidRPr="007E4270">
        <w:rPr>
          <w:sz w:val="21"/>
          <w:szCs w:val="21"/>
        </w:rPr>
        <w:t>, to embrace rather than avoid local complexities,</w:t>
      </w:r>
      <w:r w:rsidR="00176580" w:rsidRPr="007E4270">
        <w:rPr>
          <w:sz w:val="21"/>
          <w:szCs w:val="21"/>
        </w:rPr>
        <w:t xml:space="preserve"> and to ensure that dialogue is matched with improved, quality basic services (</w:t>
      </w:r>
      <w:r w:rsidR="00F26C9E" w:rsidRPr="007E4270">
        <w:rPr>
          <w:sz w:val="21"/>
          <w:szCs w:val="21"/>
        </w:rPr>
        <w:t xml:space="preserve">under </w:t>
      </w:r>
      <w:r w:rsidR="00176580" w:rsidRPr="007E4270">
        <w:rPr>
          <w:sz w:val="21"/>
          <w:szCs w:val="21"/>
        </w:rPr>
        <w:t xml:space="preserve">outcome </w:t>
      </w:r>
      <w:r w:rsidR="00F26C9E" w:rsidRPr="007E4270">
        <w:rPr>
          <w:sz w:val="21"/>
          <w:szCs w:val="21"/>
        </w:rPr>
        <w:t>2</w:t>
      </w:r>
      <w:r w:rsidR="00176580" w:rsidRPr="007E4270">
        <w:rPr>
          <w:sz w:val="21"/>
          <w:szCs w:val="21"/>
        </w:rPr>
        <w:t xml:space="preserve">) more effective </w:t>
      </w:r>
      <w:r w:rsidR="00F26C9E" w:rsidRPr="007E4270">
        <w:rPr>
          <w:sz w:val="21"/>
          <w:szCs w:val="21"/>
        </w:rPr>
        <w:t xml:space="preserve">local governance, including respect for human rights and </w:t>
      </w:r>
      <w:r w:rsidR="00176580" w:rsidRPr="007E4270">
        <w:rPr>
          <w:sz w:val="21"/>
          <w:szCs w:val="21"/>
        </w:rPr>
        <w:t>gender equality and respect for human rights (</w:t>
      </w:r>
      <w:r w:rsidR="00F26C9E" w:rsidRPr="007E4270">
        <w:rPr>
          <w:sz w:val="21"/>
          <w:szCs w:val="21"/>
        </w:rPr>
        <w:t xml:space="preserve">under </w:t>
      </w:r>
      <w:r w:rsidR="00176580" w:rsidRPr="007E4270">
        <w:rPr>
          <w:sz w:val="21"/>
          <w:szCs w:val="21"/>
        </w:rPr>
        <w:t xml:space="preserve">outcome </w:t>
      </w:r>
      <w:r w:rsidR="00F26C9E" w:rsidRPr="007E4270">
        <w:rPr>
          <w:sz w:val="21"/>
          <w:szCs w:val="21"/>
        </w:rPr>
        <w:t>3</w:t>
      </w:r>
      <w:r w:rsidR="00176580" w:rsidRPr="007E4270">
        <w:rPr>
          <w:sz w:val="21"/>
          <w:szCs w:val="21"/>
        </w:rPr>
        <w:t xml:space="preserve">). </w:t>
      </w:r>
      <w:r w:rsidR="0032748E" w:rsidRPr="007E4270">
        <w:rPr>
          <w:sz w:val="21"/>
          <w:szCs w:val="21"/>
        </w:rPr>
        <w:t xml:space="preserve"> </w:t>
      </w:r>
    </w:p>
    <w:p w14:paraId="3D536716" w14:textId="3058373E" w:rsidR="00731B74" w:rsidRPr="008E1752" w:rsidRDefault="00731B74" w:rsidP="00D9559C">
      <w:pPr>
        <w:pStyle w:val="ListParagraph"/>
        <w:numPr>
          <w:ilvl w:val="0"/>
          <w:numId w:val="3"/>
        </w:numPr>
        <w:spacing w:after="120"/>
        <w:ind w:right="-360"/>
        <w:contextualSpacing w:val="0"/>
        <w:jc w:val="both"/>
        <w:rPr>
          <w:color w:val="000000" w:themeColor="text1"/>
          <w:sz w:val="21"/>
          <w:szCs w:val="21"/>
        </w:rPr>
      </w:pPr>
      <w:r w:rsidRPr="007E4270">
        <w:rPr>
          <w:color w:val="000000" w:themeColor="text1"/>
          <w:sz w:val="21"/>
          <w:szCs w:val="21"/>
        </w:rPr>
        <w:t xml:space="preserve">Third, a stronger demand-side component is needed to identify champions for change amongst the authorities, </w:t>
      </w:r>
      <w:r w:rsidR="00985529" w:rsidRPr="007E4270">
        <w:rPr>
          <w:color w:val="000000" w:themeColor="text1"/>
          <w:sz w:val="21"/>
          <w:szCs w:val="21"/>
        </w:rPr>
        <w:t>local governments</w:t>
      </w:r>
      <w:r w:rsidR="00B9033E" w:rsidRPr="007E4270">
        <w:rPr>
          <w:color w:val="000000" w:themeColor="text1"/>
          <w:sz w:val="21"/>
          <w:szCs w:val="21"/>
        </w:rPr>
        <w:t>,</w:t>
      </w:r>
      <w:r w:rsidR="00985529" w:rsidRPr="007E4270">
        <w:rPr>
          <w:color w:val="000000" w:themeColor="text1"/>
          <w:sz w:val="21"/>
          <w:szCs w:val="21"/>
        </w:rPr>
        <w:t xml:space="preserve"> </w:t>
      </w:r>
      <w:r w:rsidRPr="007E4270">
        <w:rPr>
          <w:color w:val="000000" w:themeColor="text1"/>
          <w:sz w:val="21"/>
          <w:szCs w:val="21"/>
        </w:rPr>
        <w:t>and community leaders</w:t>
      </w:r>
      <w:r w:rsidR="00B9033E" w:rsidRPr="007E4270">
        <w:rPr>
          <w:color w:val="000000" w:themeColor="text1"/>
          <w:sz w:val="21"/>
          <w:szCs w:val="21"/>
        </w:rPr>
        <w:t xml:space="preserve"> </w:t>
      </w:r>
      <w:r w:rsidR="004039A8" w:rsidRPr="007E4270">
        <w:rPr>
          <w:color w:val="000000" w:themeColor="text1"/>
          <w:sz w:val="21"/>
          <w:szCs w:val="21"/>
        </w:rPr>
        <w:t>and groups</w:t>
      </w:r>
      <w:r w:rsidRPr="007E4270">
        <w:rPr>
          <w:color w:val="000000" w:themeColor="text1"/>
          <w:sz w:val="21"/>
          <w:szCs w:val="21"/>
        </w:rPr>
        <w:t>. They may be business leaders, social media influencers, religious leaders, journalists, or academics, and the</w:t>
      </w:r>
      <w:r w:rsidR="001C7C82" w:rsidRPr="007E4270">
        <w:rPr>
          <w:color w:val="000000" w:themeColor="text1"/>
          <w:sz w:val="21"/>
          <w:szCs w:val="21"/>
        </w:rPr>
        <w:t>y</w:t>
      </w:r>
      <w:r w:rsidRPr="007E4270">
        <w:rPr>
          <w:color w:val="000000" w:themeColor="text1"/>
          <w:sz w:val="21"/>
          <w:szCs w:val="21"/>
        </w:rPr>
        <w:t xml:space="preserve"> </w:t>
      </w:r>
      <w:r w:rsidR="001C7C82" w:rsidRPr="007E4270">
        <w:rPr>
          <w:color w:val="000000" w:themeColor="text1"/>
          <w:sz w:val="21"/>
          <w:szCs w:val="21"/>
        </w:rPr>
        <w:t xml:space="preserve">can </w:t>
      </w:r>
      <w:r w:rsidRPr="007E4270">
        <w:rPr>
          <w:color w:val="000000" w:themeColor="text1"/>
          <w:sz w:val="21"/>
          <w:szCs w:val="21"/>
        </w:rPr>
        <w:t xml:space="preserve">increase demands for concrete governance reform and hold officials to account for their commitments. Changing </w:t>
      </w:r>
      <w:r w:rsidRPr="007E4270">
        <w:rPr>
          <w:bCs/>
          <w:sz w:val="21"/>
          <w:szCs w:val="21"/>
        </w:rPr>
        <w:t>mindsets and encouraging new behaviours</w:t>
      </w:r>
      <w:r w:rsidRPr="007E4270">
        <w:rPr>
          <w:sz w:val="21"/>
          <w:szCs w:val="21"/>
        </w:rPr>
        <w:t xml:space="preserve"> among people to claim their rights to good government and quality services will encourage constructive, critical thinking and help to make society resilient to corruption and patronage systems. </w:t>
      </w:r>
      <w:r w:rsidRPr="007E4270">
        <w:rPr>
          <w:color w:val="000000" w:themeColor="text1"/>
          <w:sz w:val="21"/>
          <w:szCs w:val="21"/>
        </w:rPr>
        <w:t>New</w:t>
      </w:r>
      <w:r w:rsidRPr="008E1752">
        <w:rPr>
          <w:color w:val="000000" w:themeColor="text1"/>
          <w:sz w:val="21"/>
          <w:szCs w:val="21"/>
        </w:rPr>
        <w:t xml:space="preserve"> approaches to public consultations and citizen engagement are needed to demonstrate a willingness of those in power to be held accountable for substantive policy choices and programmes and for the cost-effective use of public resources.</w:t>
      </w:r>
    </w:p>
    <w:p w14:paraId="7880B387" w14:textId="11F57B2E" w:rsidR="007C5C45" w:rsidRPr="00B72072" w:rsidRDefault="00176580" w:rsidP="00D9559C">
      <w:pPr>
        <w:pStyle w:val="ListParagraph"/>
        <w:numPr>
          <w:ilvl w:val="0"/>
          <w:numId w:val="3"/>
        </w:numPr>
        <w:spacing w:after="120"/>
        <w:ind w:right="-360" w:hanging="502"/>
        <w:contextualSpacing w:val="0"/>
        <w:jc w:val="both"/>
        <w:rPr>
          <w:sz w:val="21"/>
          <w:szCs w:val="21"/>
        </w:rPr>
      </w:pPr>
      <w:r w:rsidRPr="008E1752">
        <w:rPr>
          <w:sz w:val="21"/>
          <w:szCs w:val="21"/>
        </w:rPr>
        <w:t xml:space="preserve">Finally, </w:t>
      </w:r>
      <w:r w:rsidR="0032748E" w:rsidRPr="008E1752">
        <w:rPr>
          <w:sz w:val="21"/>
          <w:szCs w:val="21"/>
        </w:rPr>
        <w:t xml:space="preserve">UN and international partners </w:t>
      </w:r>
      <w:r w:rsidRPr="008E1752">
        <w:rPr>
          <w:sz w:val="21"/>
          <w:szCs w:val="21"/>
        </w:rPr>
        <w:t xml:space="preserve">must work more effectively to </w:t>
      </w:r>
      <w:r w:rsidR="0032748E" w:rsidRPr="008E1752">
        <w:rPr>
          <w:sz w:val="21"/>
          <w:szCs w:val="21"/>
        </w:rPr>
        <w:t xml:space="preserve">converge and scale up </w:t>
      </w:r>
      <w:r w:rsidRPr="008E1752">
        <w:rPr>
          <w:sz w:val="21"/>
          <w:szCs w:val="21"/>
        </w:rPr>
        <w:t xml:space="preserve">fragmented </w:t>
      </w:r>
      <w:r w:rsidR="0032748E" w:rsidRPr="008E1752">
        <w:rPr>
          <w:sz w:val="21"/>
          <w:szCs w:val="21"/>
        </w:rPr>
        <w:t>peace-building initiatives in BiH and the Western Balkan region</w:t>
      </w:r>
      <w:r w:rsidRPr="008E1752">
        <w:rPr>
          <w:sz w:val="21"/>
          <w:szCs w:val="21"/>
        </w:rPr>
        <w:t xml:space="preserve"> to create a critical mass of support</w:t>
      </w:r>
      <w:r w:rsidR="00244BE0" w:rsidRPr="008E1752">
        <w:rPr>
          <w:sz w:val="21"/>
          <w:szCs w:val="21"/>
        </w:rPr>
        <w:t xml:space="preserve"> to </w:t>
      </w:r>
      <w:r w:rsidR="007C5C45" w:rsidRPr="008E1752">
        <w:rPr>
          <w:rFonts w:cstheme="minorHAnsi"/>
          <w:sz w:val="21"/>
          <w:szCs w:val="21"/>
        </w:rPr>
        <w:t>prevent conflict and sustain the peace</w:t>
      </w:r>
      <w:r w:rsidR="00244BE0" w:rsidRPr="008E1752">
        <w:rPr>
          <w:rFonts w:cstheme="minorHAnsi"/>
          <w:sz w:val="21"/>
          <w:szCs w:val="21"/>
        </w:rPr>
        <w:t xml:space="preserve">. </w:t>
      </w:r>
      <w:r w:rsidR="00F26C9E" w:rsidRPr="008E1752">
        <w:rPr>
          <w:rFonts w:cstheme="minorHAnsi"/>
          <w:sz w:val="21"/>
          <w:szCs w:val="21"/>
        </w:rPr>
        <w:t xml:space="preserve">For the UN system, </w:t>
      </w:r>
      <w:r w:rsidR="00F26C9E" w:rsidRPr="00B72072">
        <w:rPr>
          <w:rFonts w:cstheme="minorHAnsi"/>
          <w:sz w:val="21"/>
          <w:szCs w:val="21"/>
        </w:rPr>
        <w:t xml:space="preserve">this </w:t>
      </w:r>
      <w:r w:rsidR="007C5C45" w:rsidRPr="00E62096">
        <w:rPr>
          <w:sz w:val="21"/>
          <w:szCs w:val="21"/>
        </w:rPr>
        <w:t xml:space="preserve">will be guided by </w:t>
      </w:r>
      <w:r w:rsidR="00EB717E" w:rsidRPr="00E62096">
        <w:rPr>
          <w:sz w:val="21"/>
          <w:szCs w:val="21"/>
        </w:rPr>
        <w:t>t</w:t>
      </w:r>
      <w:r w:rsidR="00A1192C" w:rsidRPr="00E11434">
        <w:rPr>
          <w:sz w:val="21"/>
          <w:szCs w:val="21"/>
        </w:rPr>
        <w:t xml:space="preserve">he </w:t>
      </w:r>
      <w:r w:rsidR="00A1192C" w:rsidRPr="000B4B25">
        <w:rPr>
          <w:b/>
          <w:sz w:val="21"/>
          <w:szCs w:val="21"/>
        </w:rPr>
        <w:t>Wes</w:t>
      </w:r>
      <w:r w:rsidR="00A1192C" w:rsidRPr="002874BD">
        <w:rPr>
          <w:b/>
          <w:sz w:val="21"/>
          <w:szCs w:val="21"/>
        </w:rPr>
        <w:t xml:space="preserve">tern Balkans Action </w:t>
      </w:r>
      <w:r w:rsidR="007C5C45" w:rsidRPr="00505EC3">
        <w:rPr>
          <w:rFonts w:cstheme="minorHAnsi"/>
          <w:b/>
          <w:color w:val="0F243E" w:themeColor="text2" w:themeShade="80"/>
          <w:sz w:val="21"/>
          <w:szCs w:val="21"/>
        </w:rPr>
        <w:t>Plan</w:t>
      </w:r>
      <w:r w:rsidR="007C5C45" w:rsidRPr="00B72072">
        <w:rPr>
          <w:rStyle w:val="FootnoteReference"/>
          <w:rFonts w:cstheme="minorHAnsi"/>
          <w:sz w:val="21"/>
          <w:szCs w:val="21"/>
        </w:rPr>
        <w:footnoteReference w:id="115"/>
      </w:r>
      <w:r w:rsidR="007C5C45" w:rsidRPr="00B72072">
        <w:rPr>
          <w:rFonts w:cstheme="minorHAnsi"/>
          <w:color w:val="0F243E" w:themeColor="text2" w:themeShade="80"/>
          <w:sz w:val="21"/>
          <w:szCs w:val="21"/>
        </w:rPr>
        <w:t xml:space="preserve">. </w:t>
      </w:r>
      <w:r w:rsidR="007C5C45" w:rsidRPr="00B72072">
        <w:rPr>
          <w:rFonts w:cstheme="minorHAnsi"/>
          <w:sz w:val="21"/>
          <w:szCs w:val="21"/>
        </w:rPr>
        <w:t xml:space="preserve">The Plan </w:t>
      </w:r>
      <w:r w:rsidR="008E1752">
        <w:rPr>
          <w:rFonts w:cstheme="minorHAnsi"/>
          <w:sz w:val="21"/>
          <w:szCs w:val="21"/>
        </w:rPr>
        <w:t>calls for i</w:t>
      </w:r>
      <w:r w:rsidR="00762DD5" w:rsidRPr="00B72072">
        <w:rPr>
          <w:rFonts w:cstheme="minorHAnsi"/>
          <w:sz w:val="21"/>
          <w:szCs w:val="21"/>
        </w:rPr>
        <w:t>ncreased engagement, including by UN senior officials, of authorities at all levels of government,</w:t>
      </w:r>
      <w:r w:rsidR="00762DD5" w:rsidRPr="00505EC3">
        <w:rPr>
          <w:rFonts w:cstheme="minorHAnsi"/>
          <w:sz w:val="21"/>
          <w:szCs w:val="21"/>
        </w:rPr>
        <w:t xml:space="preserve"> to </w:t>
      </w:r>
      <w:r w:rsidR="007C5C45" w:rsidRPr="00505EC3">
        <w:rPr>
          <w:rFonts w:cstheme="minorHAnsi"/>
          <w:sz w:val="21"/>
          <w:szCs w:val="21"/>
        </w:rPr>
        <w:t xml:space="preserve">actively reduce tensions and divisions between communities and states. </w:t>
      </w:r>
      <w:r w:rsidR="00762DD5" w:rsidRPr="008E1752">
        <w:rPr>
          <w:rFonts w:cstheme="minorHAnsi"/>
          <w:sz w:val="21"/>
          <w:szCs w:val="21"/>
        </w:rPr>
        <w:t>Under the Plan, the UN is also seeking to support agents of change that could help contribute to dialogue, trust-building and reconciliation, and to support transitional justice initiatives.</w:t>
      </w:r>
      <w:r w:rsidR="00563A05" w:rsidRPr="008E1752">
        <w:rPr>
          <w:rFonts w:cstheme="minorHAnsi"/>
          <w:sz w:val="21"/>
          <w:szCs w:val="21"/>
        </w:rPr>
        <w:t xml:space="preserve"> The UN will also engage </w:t>
      </w:r>
      <w:r w:rsidR="00563A05" w:rsidRPr="008E1752">
        <w:rPr>
          <w:sz w:val="21"/>
          <w:szCs w:val="21"/>
        </w:rPr>
        <w:t>key international actors</w:t>
      </w:r>
      <w:r w:rsidR="008E1752">
        <w:rPr>
          <w:sz w:val="21"/>
          <w:szCs w:val="21"/>
        </w:rPr>
        <w:t xml:space="preserve">, including the </w:t>
      </w:r>
      <w:r w:rsidR="00563A05" w:rsidRPr="00B72072">
        <w:rPr>
          <w:i/>
          <w:sz w:val="21"/>
          <w:szCs w:val="21"/>
        </w:rPr>
        <w:t xml:space="preserve">EU, OSCE, </w:t>
      </w:r>
      <w:r w:rsidR="008E1752">
        <w:rPr>
          <w:i/>
          <w:sz w:val="21"/>
          <w:szCs w:val="21"/>
        </w:rPr>
        <w:t xml:space="preserve">and </w:t>
      </w:r>
      <w:r w:rsidR="00563A05" w:rsidRPr="00B72072">
        <w:rPr>
          <w:i/>
          <w:sz w:val="21"/>
          <w:szCs w:val="21"/>
        </w:rPr>
        <w:t>bilateral</w:t>
      </w:r>
      <w:r w:rsidR="00E231FC" w:rsidRPr="00B72072">
        <w:rPr>
          <w:i/>
          <w:sz w:val="21"/>
          <w:szCs w:val="21"/>
        </w:rPr>
        <w:t xml:space="preserve"> ODA partners</w:t>
      </w:r>
      <w:r w:rsidR="00762DD5" w:rsidRPr="00B72072">
        <w:rPr>
          <w:sz w:val="21"/>
          <w:szCs w:val="21"/>
        </w:rPr>
        <w:t>.</w:t>
      </w:r>
    </w:p>
    <w:p w14:paraId="7C7433EE" w14:textId="77777777" w:rsidR="00C81A6D" w:rsidRPr="008E1752" w:rsidRDefault="007C5C45" w:rsidP="00D9559C">
      <w:pPr>
        <w:pStyle w:val="ListParagraph"/>
        <w:numPr>
          <w:ilvl w:val="0"/>
          <w:numId w:val="3"/>
        </w:numPr>
        <w:spacing w:after="240"/>
        <w:ind w:right="-360" w:hanging="502"/>
        <w:contextualSpacing w:val="0"/>
        <w:jc w:val="both"/>
        <w:rPr>
          <w:rFonts w:cstheme="minorHAnsi"/>
          <w:sz w:val="21"/>
          <w:szCs w:val="21"/>
        </w:rPr>
      </w:pPr>
      <w:r w:rsidRPr="00B72072">
        <w:rPr>
          <w:rFonts w:cstheme="minorHAnsi"/>
          <w:sz w:val="21"/>
          <w:szCs w:val="21"/>
        </w:rPr>
        <w:t xml:space="preserve">Combined, the outcome and contributing results and strategies will </w:t>
      </w:r>
      <w:r w:rsidR="000E28DC" w:rsidRPr="00B72072">
        <w:rPr>
          <w:rFonts w:cstheme="minorHAnsi"/>
          <w:sz w:val="21"/>
          <w:szCs w:val="21"/>
        </w:rPr>
        <w:t xml:space="preserve">make </w:t>
      </w:r>
      <w:r w:rsidRPr="00B72072">
        <w:rPr>
          <w:rFonts w:cstheme="minorHAnsi"/>
          <w:sz w:val="21"/>
          <w:szCs w:val="21"/>
        </w:rPr>
        <w:t xml:space="preserve">specific and valued added contributions to help </w:t>
      </w:r>
      <w:r w:rsidR="00C81A6D" w:rsidRPr="002874BD">
        <w:rPr>
          <w:rFonts w:cstheme="minorHAnsi"/>
          <w:sz w:val="21"/>
          <w:szCs w:val="21"/>
        </w:rPr>
        <w:t>rebuild trust and to encourage constructive dialogue. Without these intangible, non-technical aspects of the transition process, the region will continu</w:t>
      </w:r>
      <w:r w:rsidR="00C81A6D" w:rsidRPr="00505EC3">
        <w:rPr>
          <w:rFonts w:cstheme="minorHAnsi"/>
          <w:sz w:val="21"/>
          <w:szCs w:val="21"/>
        </w:rPr>
        <w:t xml:space="preserve">e to </w:t>
      </w:r>
      <w:r w:rsidRPr="00505EC3">
        <w:rPr>
          <w:rFonts w:cstheme="minorHAnsi"/>
          <w:sz w:val="21"/>
          <w:szCs w:val="21"/>
        </w:rPr>
        <w:t xml:space="preserve">struggle to </w:t>
      </w:r>
      <w:r w:rsidRPr="008E1752">
        <w:rPr>
          <w:sz w:val="21"/>
          <w:szCs w:val="21"/>
        </w:rPr>
        <w:t>break-down barriers between groups and their leaders and to address rooted, structural challenges.</w:t>
      </w:r>
      <w:r w:rsidR="00C81A6D" w:rsidRPr="008E1752">
        <w:rPr>
          <w:rFonts w:cstheme="minorHAnsi"/>
          <w:sz w:val="21"/>
          <w:szCs w:val="21"/>
        </w:rPr>
        <w:t xml:space="preserve"> </w:t>
      </w:r>
    </w:p>
    <w:p w14:paraId="10F93543" w14:textId="77777777" w:rsidR="00A62677" w:rsidRPr="00BF5571" w:rsidRDefault="00A62677" w:rsidP="00D9559C">
      <w:pPr>
        <w:spacing w:after="120" w:line="240" w:lineRule="auto"/>
        <w:ind w:right="-360"/>
        <w:jc w:val="both"/>
        <w:rPr>
          <w:b/>
          <w:color w:val="0F243E" w:themeColor="text2" w:themeShade="80"/>
        </w:rPr>
      </w:pPr>
      <w:r w:rsidRPr="00BF5571">
        <w:rPr>
          <w:b/>
          <w:color w:val="0F243E" w:themeColor="text2" w:themeShade="80"/>
          <w:sz w:val="24"/>
          <w:szCs w:val="24"/>
        </w:rPr>
        <w:t>3.5 Synergies between outcomes</w:t>
      </w:r>
      <w:r w:rsidR="00707381">
        <w:rPr>
          <w:b/>
          <w:color w:val="0F243E" w:themeColor="text2" w:themeShade="80"/>
          <w:sz w:val="24"/>
          <w:szCs w:val="24"/>
        </w:rPr>
        <w:fldChar w:fldCharType="begin"/>
      </w:r>
      <w:r w:rsidR="00707381">
        <w:instrText xml:space="preserve"> TC "</w:instrText>
      </w:r>
      <w:bookmarkStart w:id="56" w:name="_Toc38899125"/>
      <w:r w:rsidR="00707381" w:rsidRPr="00A84280">
        <w:rPr>
          <w:b/>
          <w:color w:val="0F243E" w:themeColor="text2" w:themeShade="80"/>
          <w:sz w:val="24"/>
          <w:szCs w:val="24"/>
        </w:rPr>
        <w:instrText>3.5 Synergies between outcomes</w:instrText>
      </w:r>
      <w:bookmarkEnd w:id="56"/>
      <w:r w:rsidR="00707381">
        <w:instrText xml:space="preserve">" \f C \l "2" </w:instrText>
      </w:r>
      <w:r w:rsidR="00707381">
        <w:rPr>
          <w:b/>
          <w:color w:val="0F243E" w:themeColor="text2" w:themeShade="80"/>
          <w:sz w:val="24"/>
          <w:szCs w:val="24"/>
        </w:rPr>
        <w:fldChar w:fldCharType="end"/>
      </w:r>
    </w:p>
    <w:p w14:paraId="437D124C" w14:textId="4A1E0FBB" w:rsidR="00566A61" w:rsidRPr="00C86928" w:rsidRDefault="00A62677" w:rsidP="00D9559C">
      <w:pPr>
        <w:pStyle w:val="ListParagraph"/>
        <w:numPr>
          <w:ilvl w:val="0"/>
          <w:numId w:val="3"/>
        </w:numPr>
        <w:spacing w:after="60"/>
        <w:ind w:right="-360" w:hanging="502"/>
        <w:contextualSpacing w:val="0"/>
        <w:jc w:val="both"/>
        <w:rPr>
          <w:rFonts w:cstheme="minorHAnsi"/>
          <w:sz w:val="21"/>
          <w:szCs w:val="21"/>
        </w:rPr>
      </w:pPr>
      <w:r w:rsidRPr="00A02FD8">
        <w:rPr>
          <w:rFonts w:cstheme="minorHAnsi"/>
          <w:sz w:val="21"/>
          <w:szCs w:val="21"/>
        </w:rPr>
        <w:t xml:space="preserve">In line with the 2030 Agenda for Sustainable Development, each of the priorities and outcomes embody a </w:t>
      </w:r>
      <w:r w:rsidRPr="00A02FD8">
        <w:rPr>
          <w:rFonts w:cstheme="minorHAnsi"/>
          <w:b/>
          <w:sz w:val="21"/>
          <w:szCs w:val="21"/>
        </w:rPr>
        <w:t xml:space="preserve">nexus of </w:t>
      </w:r>
      <w:r w:rsidR="0054251C">
        <w:rPr>
          <w:rFonts w:cstheme="minorHAnsi"/>
          <w:b/>
          <w:sz w:val="21"/>
          <w:szCs w:val="21"/>
        </w:rPr>
        <w:t xml:space="preserve">important </w:t>
      </w:r>
      <w:r w:rsidR="00A02FD8" w:rsidRPr="00A02FD8">
        <w:rPr>
          <w:rFonts w:cstheme="minorHAnsi"/>
          <w:b/>
          <w:sz w:val="21"/>
          <w:szCs w:val="21"/>
        </w:rPr>
        <w:t xml:space="preserve">key </w:t>
      </w:r>
      <w:r w:rsidRPr="00A02FD8">
        <w:rPr>
          <w:rFonts w:cstheme="minorHAnsi"/>
          <w:b/>
          <w:sz w:val="21"/>
          <w:szCs w:val="21"/>
        </w:rPr>
        <w:t>change</w:t>
      </w:r>
      <w:r w:rsidR="00A02FD8" w:rsidRPr="00A02FD8">
        <w:rPr>
          <w:rFonts w:cstheme="minorHAnsi"/>
          <w:b/>
          <w:sz w:val="21"/>
          <w:szCs w:val="21"/>
        </w:rPr>
        <w:t>s</w:t>
      </w:r>
      <w:r w:rsidRPr="00A02FD8">
        <w:rPr>
          <w:rFonts w:cstheme="minorHAnsi"/>
          <w:sz w:val="21"/>
          <w:szCs w:val="21"/>
        </w:rPr>
        <w:t>.</w:t>
      </w:r>
      <w:r w:rsidR="00A02FD8" w:rsidRPr="00A02FD8">
        <w:rPr>
          <w:rFonts w:cstheme="minorHAnsi"/>
          <w:sz w:val="21"/>
          <w:szCs w:val="21"/>
        </w:rPr>
        <w:t xml:space="preserve"> </w:t>
      </w:r>
      <w:r w:rsidRPr="00A02FD8">
        <w:rPr>
          <w:rFonts w:cstheme="minorHAnsi"/>
          <w:sz w:val="21"/>
          <w:szCs w:val="21"/>
        </w:rPr>
        <w:t xml:space="preserve">There are important linkages between the outcomes: </w:t>
      </w:r>
    </w:p>
    <w:p w14:paraId="3033C7F9" w14:textId="4C2FE155" w:rsidR="00C86928" w:rsidRPr="00C86928" w:rsidRDefault="00C86928" w:rsidP="00D9559C">
      <w:pPr>
        <w:pStyle w:val="ListParagraph"/>
        <w:numPr>
          <w:ilvl w:val="0"/>
          <w:numId w:val="5"/>
        </w:numPr>
        <w:spacing w:after="60"/>
        <w:ind w:right="-360"/>
        <w:contextualSpacing w:val="0"/>
        <w:jc w:val="both"/>
        <w:rPr>
          <w:sz w:val="21"/>
          <w:szCs w:val="21"/>
        </w:rPr>
      </w:pPr>
      <w:r w:rsidRPr="00C86928">
        <w:rPr>
          <w:i/>
          <w:sz w:val="21"/>
          <w:szCs w:val="21"/>
        </w:rPr>
        <w:t>Within</w:t>
      </w:r>
      <w:r w:rsidRPr="00C86928">
        <w:rPr>
          <w:sz w:val="21"/>
          <w:szCs w:val="21"/>
        </w:rPr>
        <w:t xml:space="preserve"> outcome 1, accelerated economic diversification and shared prosperity in BiH will depend upon the sustainable management of its considerable natural wealth. Efforts are needed to reduce fragmentation in policy frameworks </w:t>
      </w:r>
      <w:r w:rsidR="00B72072">
        <w:rPr>
          <w:sz w:val="21"/>
          <w:szCs w:val="21"/>
        </w:rPr>
        <w:t>and to promote more integrated and sustainable</w:t>
      </w:r>
      <w:r>
        <w:rPr>
          <w:sz w:val="21"/>
          <w:szCs w:val="21"/>
        </w:rPr>
        <w:t xml:space="preserve"> economic policy making</w:t>
      </w:r>
      <w:r w:rsidR="00BB18FE">
        <w:rPr>
          <w:sz w:val="21"/>
          <w:szCs w:val="21"/>
        </w:rPr>
        <w:t xml:space="preserve"> in line with low carbon, green economy principles</w:t>
      </w:r>
      <w:r w:rsidRPr="00C86928">
        <w:rPr>
          <w:sz w:val="21"/>
          <w:szCs w:val="21"/>
        </w:rPr>
        <w:t>.</w:t>
      </w:r>
    </w:p>
    <w:p w14:paraId="4D8B778B" w14:textId="188D1512" w:rsidR="00C86928" w:rsidRPr="00F27B71" w:rsidRDefault="00C86928" w:rsidP="00D9559C">
      <w:pPr>
        <w:pStyle w:val="ListParagraph"/>
        <w:numPr>
          <w:ilvl w:val="0"/>
          <w:numId w:val="5"/>
        </w:numPr>
        <w:spacing w:after="60"/>
        <w:ind w:right="-360"/>
        <w:contextualSpacing w:val="0"/>
        <w:jc w:val="both"/>
        <w:rPr>
          <w:sz w:val="21"/>
          <w:szCs w:val="21"/>
        </w:rPr>
      </w:pPr>
      <w:r w:rsidRPr="00A02FD8">
        <w:rPr>
          <w:rFonts w:cstheme="minorHAnsi"/>
          <w:sz w:val="21"/>
          <w:szCs w:val="21"/>
        </w:rPr>
        <w:t>Economic diversification under outcome 1 will depend upon credible and relevant reform of employment policy</w:t>
      </w:r>
      <w:r w:rsidR="00B57BEA">
        <w:rPr>
          <w:rFonts w:cstheme="minorHAnsi"/>
          <w:sz w:val="21"/>
          <w:szCs w:val="21"/>
        </w:rPr>
        <w:t xml:space="preserve"> </w:t>
      </w:r>
      <w:r w:rsidRPr="00A02FD8">
        <w:rPr>
          <w:rFonts w:cstheme="minorHAnsi"/>
          <w:sz w:val="21"/>
          <w:szCs w:val="21"/>
        </w:rPr>
        <w:t xml:space="preserve">and </w:t>
      </w:r>
      <w:r w:rsidRPr="00197F4E">
        <w:rPr>
          <w:rFonts w:cstheme="minorHAnsi"/>
          <w:sz w:val="21"/>
          <w:szCs w:val="21"/>
        </w:rPr>
        <w:t xml:space="preserve">with efforts under outcome 2 to forge effective, ongoing institutional coordination </w:t>
      </w:r>
      <w:r w:rsidR="00B57BEA" w:rsidRPr="00197F4E">
        <w:rPr>
          <w:rFonts w:cstheme="minorHAnsi"/>
          <w:sz w:val="21"/>
          <w:szCs w:val="21"/>
        </w:rPr>
        <w:t xml:space="preserve">between </w:t>
      </w:r>
      <w:r w:rsidRPr="00197F4E">
        <w:rPr>
          <w:rFonts w:cstheme="minorHAnsi"/>
          <w:sz w:val="21"/>
          <w:szCs w:val="21"/>
        </w:rPr>
        <w:t xml:space="preserve">employers and decision-makers in </w:t>
      </w:r>
      <w:r w:rsidRPr="00F27B71">
        <w:rPr>
          <w:rFonts w:cstheme="minorHAnsi"/>
          <w:sz w:val="21"/>
          <w:szCs w:val="21"/>
        </w:rPr>
        <w:t>education and training institutes. This is essential to close the skills gaps or the discrepancy between the skills of workers</w:t>
      </w:r>
      <w:r w:rsidR="00946163" w:rsidRPr="00F27B71">
        <w:rPr>
          <w:rFonts w:cstheme="minorHAnsi"/>
          <w:sz w:val="21"/>
          <w:szCs w:val="21"/>
        </w:rPr>
        <w:t xml:space="preserve"> in BiH</w:t>
      </w:r>
      <w:r w:rsidRPr="00F27B71">
        <w:rPr>
          <w:rFonts w:cstheme="minorHAnsi"/>
          <w:sz w:val="21"/>
          <w:szCs w:val="21"/>
        </w:rPr>
        <w:t>, especially young people, and those demanded in the labour market for businesses to compete locally, regionally, and with EU competitors</w:t>
      </w:r>
      <w:r w:rsidR="00B57BEA" w:rsidRPr="00F27B71">
        <w:rPr>
          <w:rStyle w:val="FootnoteReference"/>
          <w:rFonts w:cstheme="minorHAnsi"/>
          <w:sz w:val="21"/>
          <w:szCs w:val="21"/>
        </w:rPr>
        <w:footnoteReference w:id="116"/>
      </w:r>
      <w:r w:rsidRPr="00F27B71">
        <w:rPr>
          <w:rFonts w:cstheme="minorHAnsi"/>
          <w:sz w:val="21"/>
          <w:szCs w:val="21"/>
        </w:rPr>
        <w:t xml:space="preserve">. </w:t>
      </w:r>
    </w:p>
    <w:p w14:paraId="7A75F266" w14:textId="08B8EAE2" w:rsidR="00C86928" w:rsidRPr="00F27B71" w:rsidRDefault="00C86928" w:rsidP="00D9559C">
      <w:pPr>
        <w:pStyle w:val="ListParagraph"/>
        <w:numPr>
          <w:ilvl w:val="0"/>
          <w:numId w:val="5"/>
        </w:numPr>
        <w:spacing w:after="60"/>
        <w:ind w:right="-360"/>
        <w:contextualSpacing w:val="0"/>
        <w:jc w:val="both"/>
        <w:rPr>
          <w:sz w:val="21"/>
          <w:szCs w:val="21"/>
        </w:rPr>
      </w:pPr>
      <w:r w:rsidRPr="00F27B71">
        <w:rPr>
          <w:sz w:val="21"/>
          <w:szCs w:val="21"/>
        </w:rPr>
        <w:t xml:space="preserve">Efforts to strengthen the governance of the health and social protection systems under outcome 3 will depend upon legislative and regulatory reforms for stronger public administration under outcome 4. </w:t>
      </w:r>
      <w:r w:rsidR="004179E0" w:rsidRPr="00F27B71">
        <w:rPr>
          <w:sz w:val="21"/>
          <w:szCs w:val="21"/>
        </w:rPr>
        <w:t xml:space="preserve">In particular efforts to strengthen institutional capacities </w:t>
      </w:r>
      <w:r w:rsidR="00EC3631" w:rsidRPr="00F27B71">
        <w:rPr>
          <w:sz w:val="21"/>
          <w:szCs w:val="21"/>
        </w:rPr>
        <w:t xml:space="preserve">to </w:t>
      </w:r>
      <w:r w:rsidR="004179E0" w:rsidRPr="00F27B71">
        <w:rPr>
          <w:sz w:val="21"/>
          <w:szCs w:val="21"/>
        </w:rPr>
        <w:t xml:space="preserve">implement existing country-wide frameworks and strategies related to gender-based violence and violence against children (outcome 4) </w:t>
      </w:r>
      <w:r w:rsidR="004179E0" w:rsidRPr="00F27B71">
        <w:rPr>
          <w:i/>
          <w:sz w:val="21"/>
          <w:szCs w:val="21"/>
        </w:rPr>
        <w:t>will be complemented by</w:t>
      </w:r>
      <w:r w:rsidR="004179E0" w:rsidRPr="00F27B71">
        <w:rPr>
          <w:sz w:val="21"/>
          <w:szCs w:val="21"/>
        </w:rPr>
        <w:t xml:space="preserve"> local level initiatives </w:t>
      </w:r>
      <w:r w:rsidR="00D75A3F" w:rsidRPr="00F27B71">
        <w:rPr>
          <w:sz w:val="21"/>
          <w:szCs w:val="21"/>
        </w:rPr>
        <w:t xml:space="preserve">through health and social services </w:t>
      </w:r>
      <w:r w:rsidR="004179E0" w:rsidRPr="00F27B71">
        <w:rPr>
          <w:sz w:val="21"/>
          <w:szCs w:val="21"/>
        </w:rPr>
        <w:t xml:space="preserve">to </w:t>
      </w:r>
      <w:r w:rsidR="00803BB2" w:rsidRPr="00F27B71">
        <w:rPr>
          <w:sz w:val="21"/>
          <w:szCs w:val="21"/>
        </w:rPr>
        <w:t xml:space="preserve">implement effective referral and protection mechanisms for </w:t>
      </w:r>
      <w:r w:rsidR="004179E0" w:rsidRPr="00F27B71">
        <w:rPr>
          <w:sz w:val="21"/>
          <w:szCs w:val="21"/>
        </w:rPr>
        <w:t xml:space="preserve">more rapid progress (outcome 3).    </w:t>
      </w:r>
    </w:p>
    <w:p w14:paraId="19E12A45" w14:textId="776E0357" w:rsidR="008F2FC0" w:rsidRPr="00F27B71" w:rsidRDefault="008F2FC0" w:rsidP="00D9559C">
      <w:pPr>
        <w:pStyle w:val="ListParagraph"/>
        <w:numPr>
          <w:ilvl w:val="0"/>
          <w:numId w:val="5"/>
        </w:numPr>
        <w:spacing w:after="60"/>
        <w:ind w:right="-360"/>
        <w:contextualSpacing w:val="0"/>
        <w:jc w:val="both"/>
        <w:rPr>
          <w:sz w:val="21"/>
          <w:szCs w:val="21"/>
        </w:rPr>
      </w:pPr>
      <w:r w:rsidRPr="00F27B71">
        <w:rPr>
          <w:rFonts w:cstheme="minorHAnsi"/>
          <w:sz w:val="21"/>
          <w:szCs w:val="21"/>
        </w:rPr>
        <w:t xml:space="preserve">Under outcome 4, support to </w:t>
      </w:r>
      <w:r w:rsidR="00C72836" w:rsidRPr="00F27B71">
        <w:rPr>
          <w:rFonts w:cstheme="minorHAnsi"/>
          <w:sz w:val="21"/>
          <w:szCs w:val="21"/>
        </w:rPr>
        <w:t>the</w:t>
      </w:r>
      <w:r w:rsidR="008C1408" w:rsidRPr="00F27B71">
        <w:rPr>
          <w:rFonts w:cstheme="minorHAnsi"/>
          <w:sz w:val="21"/>
          <w:szCs w:val="21"/>
        </w:rPr>
        <w:t xml:space="preserve"> authorities</w:t>
      </w:r>
      <w:r w:rsidR="00C72836" w:rsidRPr="00F27B71">
        <w:rPr>
          <w:rFonts w:cstheme="minorHAnsi"/>
          <w:sz w:val="21"/>
          <w:szCs w:val="21"/>
        </w:rPr>
        <w:t xml:space="preserve"> in BiH</w:t>
      </w:r>
      <w:r w:rsidRPr="00F27B71">
        <w:rPr>
          <w:rFonts w:cstheme="minorHAnsi"/>
          <w:sz w:val="21"/>
          <w:szCs w:val="21"/>
        </w:rPr>
        <w:t xml:space="preserve"> to implement </w:t>
      </w:r>
      <w:r w:rsidR="00204B27" w:rsidRPr="00F27B71">
        <w:rPr>
          <w:rFonts w:cstheme="minorHAnsi"/>
          <w:sz w:val="21"/>
          <w:szCs w:val="21"/>
        </w:rPr>
        <w:t xml:space="preserve">accepted recommendations from human rights treaty bodies and mechanisms will help to meet </w:t>
      </w:r>
      <w:r w:rsidRPr="00F27B71">
        <w:rPr>
          <w:rFonts w:cstheme="minorHAnsi"/>
          <w:sz w:val="21"/>
          <w:szCs w:val="21"/>
        </w:rPr>
        <w:t>international standards for rule of law, access to justice, and gender equality</w:t>
      </w:r>
      <w:r w:rsidR="00204B27" w:rsidRPr="00F27B71">
        <w:rPr>
          <w:rFonts w:cstheme="minorHAnsi"/>
          <w:sz w:val="21"/>
          <w:szCs w:val="21"/>
        </w:rPr>
        <w:t xml:space="preserve">. It will also contribute to </w:t>
      </w:r>
      <w:r w:rsidRPr="00F27B71">
        <w:rPr>
          <w:rFonts w:cstheme="minorHAnsi"/>
          <w:sz w:val="21"/>
          <w:szCs w:val="21"/>
          <w:lang w:eastAsia="en-CA"/>
        </w:rPr>
        <w:t>the implementation of all outcomes, and particularly the conditions for sustainable economic growth and opportunities for young people, women and other vulnerable groups</w:t>
      </w:r>
      <w:r w:rsidR="00207674" w:rsidRPr="00F27B71">
        <w:rPr>
          <w:rFonts w:cstheme="minorHAnsi"/>
          <w:sz w:val="21"/>
          <w:szCs w:val="21"/>
          <w:lang w:eastAsia="en-CA"/>
        </w:rPr>
        <w:t xml:space="preserve">. This will help to form stronger </w:t>
      </w:r>
      <w:r w:rsidR="00207674" w:rsidRPr="00F27B71">
        <w:rPr>
          <w:rFonts w:ascii="Calibri" w:eastAsia="Calibri" w:hAnsi="Calibri" w:cs="Calibri"/>
          <w:sz w:val="21"/>
          <w:szCs w:val="21"/>
        </w:rPr>
        <w:t>links between economic transformation and the exercise of human rights such as to rule of law and non-discrimination.</w:t>
      </w:r>
    </w:p>
    <w:p w14:paraId="6E1F4C3D" w14:textId="52831C76" w:rsidR="00C86928" w:rsidRPr="00197F4E" w:rsidRDefault="00C86928" w:rsidP="00D9559C">
      <w:pPr>
        <w:pStyle w:val="ListParagraph"/>
        <w:numPr>
          <w:ilvl w:val="0"/>
          <w:numId w:val="5"/>
        </w:numPr>
        <w:spacing w:after="60"/>
        <w:ind w:right="-360"/>
        <w:contextualSpacing w:val="0"/>
        <w:jc w:val="both"/>
        <w:rPr>
          <w:sz w:val="21"/>
          <w:szCs w:val="21"/>
          <w:lang w:val="en-GB"/>
        </w:rPr>
      </w:pPr>
      <w:r w:rsidRPr="00F27B71">
        <w:rPr>
          <w:rFonts w:cstheme="minorHAnsi"/>
          <w:sz w:val="21"/>
          <w:szCs w:val="21"/>
        </w:rPr>
        <w:t xml:space="preserve">Outcome 5 related to trust and social cohesion represents a major ‘demand-side’ approach to strengthen citizen dialogue and also to increase demands for greater transparency and accountability in public administration and services. It is instrumental to all outcome, but especially outcomes 1 (sustainable economy) and 4 (good governance) to build confidence in decision-making processes of </w:t>
      </w:r>
      <w:r w:rsidR="00C72836" w:rsidRPr="00F27B71">
        <w:rPr>
          <w:rFonts w:cstheme="minorHAnsi"/>
          <w:sz w:val="21"/>
          <w:szCs w:val="21"/>
        </w:rPr>
        <w:t>the</w:t>
      </w:r>
      <w:r w:rsidRPr="00F27B71">
        <w:rPr>
          <w:rFonts w:cstheme="minorHAnsi"/>
          <w:sz w:val="21"/>
          <w:szCs w:val="21"/>
        </w:rPr>
        <w:t xml:space="preserve"> authorities</w:t>
      </w:r>
      <w:r w:rsidRPr="00197F4E">
        <w:rPr>
          <w:rFonts w:cstheme="minorHAnsi"/>
          <w:sz w:val="21"/>
          <w:szCs w:val="21"/>
        </w:rPr>
        <w:t>, knowing their voices are being heard.</w:t>
      </w:r>
    </w:p>
    <w:p w14:paraId="41BCC2AF" w14:textId="77777777" w:rsidR="00C86928" w:rsidRPr="00197F4E" w:rsidRDefault="00C86928" w:rsidP="00D9559C">
      <w:pPr>
        <w:pStyle w:val="ListParagraph"/>
        <w:numPr>
          <w:ilvl w:val="0"/>
          <w:numId w:val="3"/>
        </w:numPr>
        <w:spacing w:after="60"/>
        <w:ind w:right="-360" w:hanging="502"/>
        <w:contextualSpacing w:val="0"/>
        <w:jc w:val="both"/>
        <w:rPr>
          <w:rFonts w:cstheme="minorHAnsi"/>
          <w:sz w:val="21"/>
          <w:szCs w:val="21"/>
          <w:lang w:val="en-CA"/>
        </w:rPr>
      </w:pPr>
      <w:r w:rsidRPr="00197F4E">
        <w:rPr>
          <w:sz w:val="21"/>
          <w:szCs w:val="21"/>
        </w:rPr>
        <w:t>For all outcomes:</w:t>
      </w:r>
    </w:p>
    <w:p w14:paraId="7E4E6833" w14:textId="7CDDE4A7" w:rsidR="0054251C" w:rsidRPr="007E4270" w:rsidRDefault="00E57638" w:rsidP="00D9559C">
      <w:pPr>
        <w:pStyle w:val="ListParagraph"/>
        <w:numPr>
          <w:ilvl w:val="0"/>
          <w:numId w:val="5"/>
        </w:numPr>
        <w:spacing w:after="60"/>
        <w:ind w:right="-360"/>
        <w:contextualSpacing w:val="0"/>
        <w:jc w:val="both"/>
        <w:rPr>
          <w:sz w:val="21"/>
          <w:szCs w:val="21"/>
        </w:rPr>
      </w:pPr>
      <w:r w:rsidRPr="007E4270">
        <w:rPr>
          <w:sz w:val="21"/>
          <w:szCs w:val="21"/>
        </w:rPr>
        <w:t>P</w:t>
      </w:r>
      <w:r w:rsidR="0054251C" w:rsidRPr="007E4270">
        <w:rPr>
          <w:sz w:val="21"/>
          <w:szCs w:val="21"/>
        </w:rPr>
        <w:t xml:space="preserve">lanned results </w:t>
      </w:r>
      <w:r w:rsidRPr="007E4270">
        <w:rPr>
          <w:sz w:val="21"/>
          <w:szCs w:val="21"/>
        </w:rPr>
        <w:t xml:space="preserve">are expected to help reduce key factors that drive </w:t>
      </w:r>
      <w:r w:rsidR="0054251C" w:rsidRPr="007E4270">
        <w:rPr>
          <w:b/>
          <w:sz w:val="21"/>
          <w:szCs w:val="21"/>
        </w:rPr>
        <w:t>out-migration</w:t>
      </w:r>
      <w:r w:rsidR="0054251C" w:rsidRPr="007E4270">
        <w:rPr>
          <w:sz w:val="21"/>
          <w:szCs w:val="21"/>
        </w:rPr>
        <w:t xml:space="preserve"> and ‘brain drain’. I</w:t>
      </w:r>
      <w:r w:rsidR="00382E8C" w:rsidRPr="007E4270">
        <w:rPr>
          <w:sz w:val="21"/>
          <w:szCs w:val="21"/>
        </w:rPr>
        <w:t>n</w:t>
      </w:r>
      <w:r w:rsidR="0054251C" w:rsidRPr="007E4270">
        <w:rPr>
          <w:sz w:val="21"/>
          <w:szCs w:val="21"/>
        </w:rPr>
        <w:t xml:space="preserve"> particular this will be seen in the synergies between efforts to improve access to higher quality health care, strengthen the education system, improve the policy and regulatory environment for business development and job creation, enhance governance performance at local levels, and increase social cohesion, especially amongst young people.   </w:t>
      </w:r>
    </w:p>
    <w:p w14:paraId="01859D9A" w14:textId="0AE7BE73" w:rsidR="00AE28D6" w:rsidRPr="00F27B71" w:rsidRDefault="00E57638" w:rsidP="00D9559C">
      <w:pPr>
        <w:pStyle w:val="ListParagraph"/>
        <w:numPr>
          <w:ilvl w:val="0"/>
          <w:numId w:val="5"/>
        </w:numPr>
        <w:spacing w:after="60"/>
        <w:ind w:right="-360"/>
        <w:contextualSpacing w:val="0"/>
        <w:jc w:val="both"/>
        <w:rPr>
          <w:sz w:val="21"/>
          <w:szCs w:val="21"/>
        </w:rPr>
      </w:pPr>
      <w:r>
        <w:rPr>
          <w:sz w:val="21"/>
          <w:szCs w:val="21"/>
        </w:rPr>
        <w:t xml:space="preserve">The UN system will </w:t>
      </w:r>
      <w:r w:rsidR="00AE28D6" w:rsidRPr="00197F4E">
        <w:rPr>
          <w:sz w:val="21"/>
          <w:szCs w:val="21"/>
        </w:rPr>
        <w:t xml:space="preserve">continue to address </w:t>
      </w:r>
      <w:r w:rsidR="00AE28D6" w:rsidRPr="00197F4E">
        <w:rPr>
          <w:b/>
          <w:sz w:val="21"/>
          <w:szCs w:val="21"/>
        </w:rPr>
        <w:t>g</w:t>
      </w:r>
      <w:r w:rsidR="00AE28D6" w:rsidRPr="00197F4E">
        <w:rPr>
          <w:rFonts w:cstheme="minorHAnsi"/>
          <w:b/>
          <w:sz w:val="21"/>
          <w:szCs w:val="21"/>
        </w:rPr>
        <w:t>ender-based exclusion</w:t>
      </w:r>
      <w:r w:rsidR="00AE28D6" w:rsidRPr="00197F4E">
        <w:rPr>
          <w:rFonts w:cstheme="minorHAnsi"/>
          <w:sz w:val="21"/>
          <w:szCs w:val="21"/>
        </w:rPr>
        <w:t>, which continues at many levels. Traditional gender roles are still widespread in and can be seen in a range of indicators ranging from</w:t>
      </w:r>
      <w:r w:rsidR="00FD734D" w:rsidRPr="00197F4E">
        <w:rPr>
          <w:rFonts w:cstheme="minorHAnsi"/>
          <w:sz w:val="21"/>
          <w:szCs w:val="21"/>
        </w:rPr>
        <w:t xml:space="preserve"> gender-based violence</w:t>
      </w:r>
      <w:r w:rsidR="00FB31D7" w:rsidRPr="00197F4E">
        <w:rPr>
          <w:rFonts w:cstheme="minorHAnsi"/>
          <w:sz w:val="21"/>
          <w:szCs w:val="21"/>
        </w:rPr>
        <w:t xml:space="preserve"> to</w:t>
      </w:r>
      <w:r w:rsidR="00AE28D6" w:rsidRPr="00197F4E">
        <w:rPr>
          <w:rFonts w:cstheme="minorHAnsi"/>
          <w:sz w:val="21"/>
          <w:szCs w:val="21"/>
        </w:rPr>
        <w:t xml:space="preserve"> labor-force </w:t>
      </w:r>
      <w:r w:rsidR="00AE28D6" w:rsidRPr="00F27B71">
        <w:rPr>
          <w:rFonts w:cstheme="minorHAnsi"/>
          <w:sz w:val="21"/>
          <w:szCs w:val="21"/>
        </w:rPr>
        <w:t xml:space="preserve">participation to representation of women on national and local councils. The UN system will continue to support </w:t>
      </w:r>
      <w:r w:rsidR="006278BE" w:rsidRPr="00F27B71">
        <w:rPr>
          <w:rFonts w:cstheme="minorHAnsi"/>
          <w:sz w:val="21"/>
          <w:szCs w:val="21"/>
        </w:rPr>
        <w:t>the</w:t>
      </w:r>
      <w:r w:rsidR="00AE28D6" w:rsidRPr="00F27B71">
        <w:rPr>
          <w:rFonts w:cstheme="minorHAnsi"/>
          <w:sz w:val="21"/>
          <w:szCs w:val="21"/>
        </w:rPr>
        <w:t xml:space="preserve"> authorities</w:t>
      </w:r>
      <w:r w:rsidR="006278BE" w:rsidRPr="00F27B71">
        <w:rPr>
          <w:rFonts w:cstheme="minorHAnsi"/>
          <w:sz w:val="21"/>
          <w:szCs w:val="21"/>
        </w:rPr>
        <w:t xml:space="preserve"> in BiH</w:t>
      </w:r>
      <w:r w:rsidR="00AE28D6" w:rsidRPr="00F27B71">
        <w:rPr>
          <w:rFonts w:cstheme="minorHAnsi"/>
          <w:sz w:val="21"/>
          <w:szCs w:val="21"/>
        </w:rPr>
        <w:t xml:space="preserve"> to meet their international commitments by addressing </w:t>
      </w:r>
      <w:r w:rsidR="00AE28D6" w:rsidRPr="00F27B71">
        <w:rPr>
          <w:sz w:val="21"/>
          <w:szCs w:val="21"/>
        </w:rPr>
        <w:t xml:space="preserve">gaps in legislative and institutional frameworks and building </w:t>
      </w:r>
      <w:r w:rsidR="00AE28D6" w:rsidRPr="00F27B71">
        <w:rPr>
          <w:sz w:val="21"/>
          <w:szCs w:val="21"/>
          <w:lang w:val="en-GB"/>
        </w:rPr>
        <w:t>capacities for gender analysis and gender-responsive programming</w:t>
      </w:r>
    </w:p>
    <w:p w14:paraId="7DFBD13E" w14:textId="5C34E625" w:rsidR="00C86928" w:rsidRPr="00197F4E" w:rsidRDefault="00B57BEA" w:rsidP="00D9559C">
      <w:pPr>
        <w:pStyle w:val="ListParagraph"/>
        <w:numPr>
          <w:ilvl w:val="0"/>
          <w:numId w:val="5"/>
        </w:numPr>
        <w:spacing w:after="60"/>
        <w:ind w:right="-360"/>
        <w:contextualSpacing w:val="0"/>
        <w:jc w:val="both"/>
        <w:rPr>
          <w:sz w:val="21"/>
          <w:szCs w:val="21"/>
        </w:rPr>
      </w:pPr>
      <w:r w:rsidRPr="00F27B71">
        <w:rPr>
          <w:sz w:val="21"/>
          <w:szCs w:val="21"/>
        </w:rPr>
        <w:t>Sound</w:t>
      </w:r>
      <w:r w:rsidR="00A62677" w:rsidRPr="00F27B71">
        <w:rPr>
          <w:sz w:val="21"/>
          <w:szCs w:val="21"/>
          <w:lang w:val="en-GB"/>
        </w:rPr>
        <w:t xml:space="preserve"> policies and effective strategic planning, budgeting, and performance management will depend upon </w:t>
      </w:r>
      <w:r w:rsidR="00A62677" w:rsidRPr="00F27B71">
        <w:rPr>
          <w:b/>
          <w:sz w:val="21"/>
          <w:szCs w:val="21"/>
          <w:lang w:val="en-GB"/>
        </w:rPr>
        <w:t xml:space="preserve">reliable, disaggregated statistics </w:t>
      </w:r>
      <w:r w:rsidR="00A62677" w:rsidRPr="00F27B71">
        <w:rPr>
          <w:sz w:val="21"/>
          <w:szCs w:val="21"/>
          <w:lang w:val="en-GB"/>
        </w:rPr>
        <w:t xml:space="preserve">and a greater focus on </w:t>
      </w:r>
      <w:r w:rsidR="00A62677" w:rsidRPr="00F27B71">
        <w:rPr>
          <w:b/>
          <w:sz w:val="21"/>
          <w:szCs w:val="21"/>
          <w:lang w:val="en-GB"/>
        </w:rPr>
        <w:t>actual implementation</w:t>
      </w:r>
      <w:r w:rsidR="00A62677" w:rsidRPr="00F27B71">
        <w:rPr>
          <w:sz w:val="21"/>
          <w:szCs w:val="21"/>
          <w:lang w:val="en-GB"/>
        </w:rPr>
        <w:t xml:space="preserve"> and performance monitoring. Attention is needed to produce data disaggregated by gender, </w:t>
      </w:r>
      <w:r w:rsidR="00D61C5A" w:rsidRPr="00F27B71">
        <w:rPr>
          <w:sz w:val="21"/>
          <w:szCs w:val="21"/>
          <w:lang w:val="en-GB"/>
        </w:rPr>
        <w:t xml:space="preserve">age groups, </w:t>
      </w:r>
      <w:r w:rsidR="00A62677" w:rsidRPr="00F27B71">
        <w:rPr>
          <w:sz w:val="21"/>
          <w:szCs w:val="21"/>
          <w:lang w:val="en-GB"/>
        </w:rPr>
        <w:t>income groups, employment, education,</w:t>
      </w:r>
      <w:r w:rsidR="00472B21" w:rsidRPr="00F27B71">
        <w:rPr>
          <w:sz w:val="21"/>
          <w:szCs w:val="21"/>
          <w:lang w:val="en-GB"/>
        </w:rPr>
        <w:t xml:space="preserve"> forced displacement</w:t>
      </w:r>
      <w:r w:rsidR="00A62677" w:rsidRPr="00F27B71">
        <w:rPr>
          <w:sz w:val="21"/>
          <w:szCs w:val="21"/>
          <w:lang w:val="en-GB"/>
        </w:rPr>
        <w:t xml:space="preserve"> and disability status, and for systematic sharing and communication</w:t>
      </w:r>
      <w:r w:rsidR="00A62677" w:rsidRPr="00F27B71">
        <w:rPr>
          <w:rStyle w:val="FootnoteReference"/>
          <w:sz w:val="21"/>
          <w:szCs w:val="21"/>
          <w:lang w:val="en-GB"/>
        </w:rPr>
        <w:footnoteReference w:id="117"/>
      </w:r>
      <w:r w:rsidR="00A62677" w:rsidRPr="00F27B71">
        <w:rPr>
          <w:sz w:val="21"/>
          <w:szCs w:val="21"/>
          <w:lang w:val="en-GB"/>
        </w:rPr>
        <w:t xml:space="preserve">. The UN system will work with </w:t>
      </w:r>
      <w:r w:rsidR="00C86928" w:rsidRPr="00F27B71">
        <w:rPr>
          <w:sz w:val="21"/>
          <w:szCs w:val="21"/>
          <w:lang w:val="en-GB"/>
        </w:rPr>
        <w:t xml:space="preserve">the statistical bodies of </w:t>
      </w:r>
      <w:r w:rsidR="00E633DB" w:rsidRPr="00F27B71">
        <w:rPr>
          <w:sz w:val="21"/>
          <w:szCs w:val="21"/>
          <w:lang w:val="en-GB"/>
        </w:rPr>
        <w:t>the</w:t>
      </w:r>
      <w:r w:rsidR="008C1408" w:rsidRPr="00F27B71">
        <w:rPr>
          <w:sz w:val="21"/>
          <w:szCs w:val="21"/>
          <w:lang w:val="en-GB"/>
        </w:rPr>
        <w:t xml:space="preserve"> authorities</w:t>
      </w:r>
      <w:r w:rsidR="00E633DB" w:rsidRPr="00F27B71">
        <w:rPr>
          <w:sz w:val="21"/>
          <w:szCs w:val="21"/>
          <w:lang w:val="en-GB"/>
        </w:rPr>
        <w:t xml:space="preserve"> in BiH</w:t>
      </w:r>
      <w:r w:rsidR="00C86928" w:rsidRPr="00197F4E">
        <w:rPr>
          <w:sz w:val="21"/>
          <w:szCs w:val="21"/>
          <w:lang w:val="en-GB"/>
        </w:rPr>
        <w:t xml:space="preserve"> to </w:t>
      </w:r>
      <w:r w:rsidR="00A62677" w:rsidRPr="00197F4E">
        <w:rPr>
          <w:sz w:val="21"/>
          <w:szCs w:val="21"/>
          <w:lang w:val="en-GB"/>
        </w:rPr>
        <w:t>strengthen the quality and availability of data for effective policymaking and programme implementation</w:t>
      </w:r>
      <w:r w:rsidR="00C86928" w:rsidRPr="00197F4E">
        <w:rPr>
          <w:sz w:val="21"/>
          <w:szCs w:val="21"/>
          <w:lang w:val="en-GB"/>
        </w:rPr>
        <w:t>.</w:t>
      </w:r>
    </w:p>
    <w:p w14:paraId="40972F7C" w14:textId="2BD0E592" w:rsidR="00A62677" w:rsidRPr="007E4270" w:rsidRDefault="00C86928" w:rsidP="00D9559C">
      <w:pPr>
        <w:pStyle w:val="ListParagraph"/>
        <w:numPr>
          <w:ilvl w:val="0"/>
          <w:numId w:val="5"/>
        </w:numPr>
        <w:spacing w:after="60"/>
        <w:ind w:left="714" w:right="-360" w:hanging="357"/>
        <w:contextualSpacing w:val="0"/>
        <w:jc w:val="both"/>
        <w:rPr>
          <w:sz w:val="21"/>
          <w:szCs w:val="21"/>
        </w:rPr>
      </w:pPr>
      <w:r w:rsidRPr="00197F4E">
        <w:rPr>
          <w:bCs/>
          <w:sz w:val="21"/>
          <w:szCs w:val="21"/>
        </w:rPr>
        <w:t xml:space="preserve">Partnerships and </w:t>
      </w:r>
      <w:r w:rsidR="00A62677" w:rsidRPr="00197F4E">
        <w:rPr>
          <w:bCs/>
          <w:sz w:val="21"/>
          <w:szCs w:val="21"/>
        </w:rPr>
        <w:t xml:space="preserve">implementation strategies will </w:t>
      </w:r>
      <w:r w:rsidRPr="00197F4E">
        <w:rPr>
          <w:bCs/>
          <w:sz w:val="21"/>
          <w:szCs w:val="21"/>
        </w:rPr>
        <w:t>examine</w:t>
      </w:r>
      <w:r w:rsidR="00A62677" w:rsidRPr="00197F4E">
        <w:rPr>
          <w:bCs/>
          <w:sz w:val="21"/>
          <w:szCs w:val="21"/>
        </w:rPr>
        <w:t xml:space="preserve"> </w:t>
      </w:r>
      <w:r w:rsidR="00A62677" w:rsidRPr="00197F4E">
        <w:rPr>
          <w:b/>
          <w:bCs/>
          <w:sz w:val="21"/>
          <w:szCs w:val="21"/>
        </w:rPr>
        <w:t>local, area-based convergence</w:t>
      </w:r>
      <w:r w:rsidR="00A62677" w:rsidRPr="00197F4E">
        <w:rPr>
          <w:bCs/>
          <w:sz w:val="21"/>
          <w:szCs w:val="21"/>
        </w:rPr>
        <w:t xml:space="preserve"> of cooperation efforts a</w:t>
      </w:r>
      <w:r w:rsidR="00DD604B">
        <w:rPr>
          <w:bCs/>
          <w:sz w:val="21"/>
          <w:szCs w:val="21"/>
        </w:rPr>
        <w:t>t</w:t>
      </w:r>
      <w:r w:rsidRPr="00197F4E">
        <w:rPr>
          <w:bCs/>
          <w:sz w:val="21"/>
          <w:szCs w:val="21"/>
        </w:rPr>
        <w:t xml:space="preserve"> </w:t>
      </w:r>
      <w:r w:rsidR="009807CC">
        <w:rPr>
          <w:bCs/>
          <w:sz w:val="21"/>
          <w:szCs w:val="21"/>
        </w:rPr>
        <w:t>c</w:t>
      </w:r>
      <w:r w:rsidRPr="00197F4E">
        <w:rPr>
          <w:bCs/>
          <w:sz w:val="21"/>
          <w:szCs w:val="21"/>
        </w:rPr>
        <w:t xml:space="preserve">antonal and </w:t>
      </w:r>
      <w:r w:rsidR="00DD604B">
        <w:rPr>
          <w:bCs/>
          <w:sz w:val="21"/>
          <w:szCs w:val="21"/>
        </w:rPr>
        <w:t>local government</w:t>
      </w:r>
      <w:r w:rsidRPr="00197F4E">
        <w:rPr>
          <w:bCs/>
          <w:sz w:val="21"/>
          <w:szCs w:val="21"/>
        </w:rPr>
        <w:t xml:space="preserve"> levels and </w:t>
      </w:r>
      <w:r w:rsidR="00A62677" w:rsidRPr="00197F4E">
        <w:rPr>
          <w:bCs/>
          <w:sz w:val="21"/>
          <w:szCs w:val="21"/>
        </w:rPr>
        <w:t xml:space="preserve">with </w:t>
      </w:r>
      <w:r w:rsidRPr="00197F4E">
        <w:rPr>
          <w:bCs/>
          <w:sz w:val="21"/>
          <w:szCs w:val="21"/>
        </w:rPr>
        <w:t>community actors.</w:t>
      </w:r>
      <w:r w:rsidR="00A62677" w:rsidRPr="00197F4E">
        <w:rPr>
          <w:bCs/>
          <w:sz w:val="21"/>
          <w:szCs w:val="21"/>
        </w:rPr>
        <w:t xml:space="preserve"> </w:t>
      </w:r>
      <w:r w:rsidRPr="00197F4E">
        <w:rPr>
          <w:bCs/>
          <w:sz w:val="21"/>
          <w:szCs w:val="21"/>
        </w:rPr>
        <w:t xml:space="preserve">Tailored joint initiatives will be designed with local authorities to </w:t>
      </w:r>
      <w:r w:rsidR="00A62677" w:rsidRPr="00197F4E">
        <w:rPr>
          <w:sz w:val="21"/>
          <w:szCs w:val="21"/>
        </w:rPr>
        <w:t xml:space="preserve">bring faster, more visible changes to people’s lives. Effective </w:t>
      </w:r>
      <w:r w:rsidR="00A62677" w:rsidRPr="007E4270">
        <w:rPr>
          <w:sz w:val="21"/>
          <w:szCs w:val="21"/>
        </w:rPr>
        <w:t>monitoring will highlight components that can be taken quickly to scale country</w:t>
      </w:r>
      <w:r w:rsidR="00470519" w:rsidRPr="007E4270">
        <w:rPr>
          <w:sz w:val="21"/>
          <w:szCs w:val="21"/>
        </w:rPr>
        <w:t xml:space="preserve"> </w:t>
      </w:r>
      <w:r w:rsidR="00A62677" w:rsidRPr="007E4270">
        <w:rPr>
          <w:sz w:val="21"/>
          <w:szCs w:val="21"/>
        </w:rPr>
        <w:t>wide.</w:t>
      </w:r>
    </w:p>
    <w:p w14:paraId="0DFA2344" w14:textId="18CD904D" w:rsidR="00F83F99" w:rsidRPr="007E4270" w:rsidRDefault="00F83F99" w:rsidP="00D9559C">
      <w:pPr>
        <w:pStyle w:val="ListParagraph"/>
        <w:numPr>
          <w:ilvl w:val="0"/>
          <w:numId w:val="5"/>
        </w:numPr>
        <w:spacing w:after="120"/>
        <w:ind w:left="714" w:right="-360" w:hanging="357"/>
        <w:contextualSpacing w:val="0"/>
        <w:jc w:val="both"/>
        <w:rPr>
          <w:sz w:val="21"/>
          <w:szCs w:val="21"/>
        </w:rPr>
      </w:pPr>
      <w:r w:rsidRPr="007E4270">
        <w:rPr>
          <w:sz w:val="21"/>
          <w:szCs w:val="21"/>
        </w:rPr>
        <w:t xml:space="preserve">A response to the high disaster risks in BiH is provided under outcome </w:t>
      </w:r>
      <w:r w:rsidRPr="007E4270">
        <w:rPr>
          <w:sz w:val="21"/>
          <w:szCs w:val="21"/>
          <w:lang w:val="en-CA"/>
        </w:rPr>
        <w:t>1 (para 57-58)</w:t>
      </w:r>
      <w:r w:rsidR="001A3D74" w:rsidRPr="007E4270">
        <w:rPr>
          <w:sz w:val="21"/>
          <w:szCs w:val="21"/>
          <w:lang w:val="en-CA"/>
        </w:rPr>
        <w:t xml:space="preserve"> with e</w:t>
      </w:r>
      <w:r w:rsidRPr="007E4270">
        <w:rPr>
          <w:sz w:val="21"/>
          <w:szCs w:val="21"/>
          <w:lang w:val="en-CA"/>
        </w:rPr>
        <w:t>nhanced disaster preparedness and response at local levels</w:t>
      </w:r>
      <w:r w:rsidR="001A3D74" w:rsidRPr="007E4270">
        <w:rPr>
          <w:sz w:val="21"/>
          <w:szCs w:val="21"/>
          <w:lang w:val="en-CA"/>
        </w:rPr>
        <w:t xml:space="preserve">. The UN system will continue to advocate and support </w:t>
      </w:r>
      <w:r w:rsidRPr="007E4270">
        <w:rPr>
          <w:rFonts w:cstheme="minorHAnsi"/>
          <w:sz w:val="21"/>
          <w:szCs w:val="21"/>
          <w:lang w:val="en-GB"/>
        </w:rPr>
        <w:t>robust, well-coordinated disaster risk monitoring and response systems</w:t>
      </w:r>
      <w:r w:rsidRPr="007E4270">
        <w:rPr>
          <w:sz w:val="21"/>
          <w:szCs w:val="21"/>
          <w:lang w:val="en-CA"/>
        </w:rPr>
        <w:t xml:space="preserve"> </w:t>
      </w:r>
      <w:r w:rsidR="00950025" w:rsidRPr="007E4270">
        <w:rPr>
          <w:sz w:val="21"/>
          <w:szCs w:val="21"/>
          <w:lang w:val="en-CA"/>
        </w:rPr>
        <w:t>in BiH</w:t>
      </w:r>
      <w:r w:rsidRPr="007E4270">
        <w:rPr>
          <w:sz w:val="21"/>
          <w:szCs w:val="21"/>
          <w:lang w:val="en-CA"/>
        </w:rPr>
        <w:t xml:space="preserve"> and across sectors.</w:t>
      </w:r>
    </w:p>
    <w:p w14:paraId="72C38FE0" w14:textId="71EB0092" w:rsidR="003620D8" w:rsidRPr="002848C1" w:rsidRDefault="00A62677" w:rsidP="00D9559C">
      <w:pPr>
        <w:pStyle w:val="ListParagraph"/>
        <w:numPr>
          <w:ilvl w:val="0"/>
          <w:numId w:val="3"/>
        </w:numPr>
        <w:spacing w:after="120"/>
        <w:ind w:left="363" w:right="-360" w:hanging="505"/>
        <w:contextualSpacing w:val="0"/>
        <w:jc w:val="both"/>
        <w:rPr>
          <w:rFonts w:cstheme="minorHAnsi"/>
          <w:sz w:val="21"/>
          <w:szCs w:val="21"/>
          <w:lang w:val="en-CA"/>
        </w:rPr>
      </w:pPr>
      <w:r w:rsidRPr="00197F4E">
        <w:rPr>
          <w:rFonts w:cstheme="minorHAnsi"/>
          <w:sz w:val="21"/>
          <w:szCs w:val="21"/>
        </w:rPr>
        <w:t xml:space="preserve">Lastly, </w:t>
      </w:r>
      <w:r w:rsidR="00B57BEA" w:rsidRPr="00197F4E">
        <w:rPr>
          <w:rFonts w:cstheme="minorHAnsi"/>
          <w:sz w:val="21"/>
          <w:szCs w:val="21"/>
        </w:rPr>
        <w:t xml:space="preserve">stronger </w:t>
      </w:r>
      <w:r w:rsidRPr="00197F4E">
        <w:rPr>
          <w:rFonts w:cstheme="minorHAnsi"/>
          <w:b/>
          <w:sz w:val="21"/>
          <w:szCs w:val="21"/>
        </w:rPr>
        <w:t xml:space="preserve">regional cooperation </w:t>
      </w:r>
      <w:r w:rsidRPr="00197F4E">
        <w:rPr>
          <w:rFonts w:cstheme="minorHAnsi"/>
          <w:sz w:val="21"/>
          <w:szCs w:val="21"/>
        </w:rPr>
        <w:t xml:space="preserve">is </w:t>
      </w:r>
      <w:r w:rsidR="00B57BEA" w:rsidRPr="00197F4E">
        <w:rPr>
          <w:rFonts w:cstheme="minorHAnsi"/>
          <w:sz w:val="21"/>
          <w:szCs w:val="21"/>
        </w:rPr>
        <w:t xml:space="preserve">needed </w:t>
      </w:r>
      <w:r w:rsidRPr="00197F4E">
        <w:rPr>
          <w:rFonts w:cstheme="minorHAnsi"/>
          <w:sz w:val="21"/>
          <w:szCs w:val="21"/>
        </w:rPr>
        <w:t xml:space="preserve">in areas </w:t>
      </w:r>
      <w:r w:rsidR="00B57BEA" w:rsidRPr="00197F4E">
        <w:rPr>
          <w:rFonts w:cstheme="minorHAnsi"/>
          <w:sz w:val="21"/>
          <w:szCs w:val="21"/>
        </w:rPr>
        <w:t>such as</w:t>
      </w:r>
      <w:r w:rsidR="006A5593" w:rsidRPr="00197F4E">
        <w:rPr>
          <w:rFonts w:cstheme="minorHAnsi"/>
          <w:sz w:val="21"/>
          <w:szCs w:val="21"/>
        </w:rPr>
        <w:t xml:space="preserve"> population development,</w:t>
      </w:r>
      <w:r w:rsidR="00B57BEA" w:rsidRPr="00197F4E">
        <w:rPr>
          <w:rFonts w:cstheme="minorHAnsi"/>
          <w:sz w:val="21"/>
          <w:szCs w:val="21"/>
        </w:rPr>
        <w:t xml:space="preserve"> </w:t>
      </w:r>
      <w:r w:rsidRPr="00197F4E">
        <w:rPr>
          <w:rFonts w:cstheme="minorHAnsi"/>
          <w:sz w:val="21"/>
          <w:szCs w:val="21"/>
        </w:rPr>
        <w:t>water, energy, environment, sustainable transport, transit and connectivity, trade, statistics, gender</w:t>
      </w:r>
      <w:r w:rsidR="00B57BEA" w:rsidRPr="00197F4E">
        <w:rPr>
          <w:rFonts w:cstheme="minorHAnsi"/>
          <w:sz w:val="21"/>
          <w:szCs w:val="21"/>
        </w:rPr>
        <w:t xml:space="preserve"> equality</w:t>
      </w:r>
      <w:r w:rsidR="006D68A4">
        <w:rPr>
          <w:rFonts w:cstheme="minorHAnsi"/>
          <w:sz w:val="21"/>
          <w:szCs w:val="21"/>
        </w:rPr>
        <w:t xml:space="preserve">, and </w:t>
      </w:r>
      <w:r w:rsidR="00563B13">
        <w:rPr>
          <w:rFonts w:cstheme="minorHAnsi"/>
          <w:sz w:val="21"/>
          <w:szCs w:val="21"/>
        </w:rPr>
        <w:t>socio-economic recovery after COVID-19</w:t>
      </w:r>
      <w:r w:rsidRPr="00197F4E">
        <w:rPr>
          <w:rFonts w:cstheme="minorHAnsi"/>
          <w:sz w:val="21"/>
          <w:szCs w:val="21"/>
        </w:rPr>
        <w:t>.</w:t>
      </w:r>
      <w:r w:rsidR="00AB41B8" w:rsidRPr="00197F4E">
        <w:rPr>
          <w:rFonts w:cstheme="minorHAnsi"/>
          <w:sz w:val="21"/>
          <w:szCs w:val="21"/>
        </w:rPr>
        <w:t xml:space="preserve">  In </w:t>
      </w:r>
      <w:r w:rsidR="0035466D" w:rsidRPr="00197F4E">
        <w:rPr>
          <w:rFonts w:cstheme="minorHAnsi"/>
          <w:sz w:val="21"/>
          <w:szCs w:val="21"/>
        </w:rPr>
        <w:t>particular</w:t>
      </w:r>
      <w:r w:rsidR="00AB41B8" w:rsidRPr="00197F4E">
        <w:rPr>
          <w:rFonts w:cstheme="minorHAnsi"/>
          <w:sz w:val="21"/>
          <w:szCs w:val="21"/>
        </w:rPr>
        <w:t>, the United Nations adopted a region-wide plan of action in June 201</w:t>
      </w:r>
      <w:r w:rsidR="00EB7D72">
        <w:rPr>
          <w:rFonts w:cstheme="minorHAnsi"/>
          <w:sz w:val="21"/>
          <w:szCs w:val="21"/>
        </w:rPr>
        <w:t>9</w:t>
      </w:r>
      <w:r w:rsidR="00AB41B8" w:rsidRPr="00197F4E">
        <w:rPr>
          <w:rFonts w:cstheme="minorHAnsi"/>
          <w:sz w:val="21"/>
          <w:szCs w:val="21"/>
        </w:rPr>
        <w:t xml:space="preserve"> that </w:t>
      </w:r>
      <w:r w:rsidR="003A49E4">
        <w:rPr>
          <w:rFonts w:cstheme="minorHAnsi"/>
          <w:sz w:val="21"/>
          <w:szCs w:val="21"/>
        </w:rPr>
        <w:t>calls for increased engagement, including by UN senior officials, of authorities at all levels of government, to actively reduce tension and divisions between communities and states. Under the Plan, the UN seek</w:t>
      </w:r>
      <w:r w:rsidR="00B9033E">
        <w:rPr>
          <w:rFonts w:cstheme="minorHAnsi"/>
          <w:sz w:val="21"/>
          <w:szCs w:val="21"/>
        </w:rPr>
        <w:t>s</w:t>
      </w:r>
      <w:r w:rsidR="003A49E4">
        <w:rPr>
          <w:rFonts w:cstheme="minorHAnsi"/>
          <w:sz w:val="21"/>
          <w:szCs w:val="21"/>
        </w:rPr>
        <w:t xml:space="preserve"> to support agents of change that </w:t>
      </w:r>
      <w:r w:rsidR="003620D8">
        <w:rPr>
          <w:rFonts w:cstheme="minorHAnsi"/>
          <w:sz w:val="21"/>
          <w:szCs w:val="21"/>
        </w:rPr>
        <w:t>can</w:t>
      </w:r>
      <w:r w:rsidR="003A49E4">
        <w:rPr>
          <w:rFonts w:cstheme="minorHAnsi"/>
          <w:sz w:val="21"/>
          <w:szCs w:val="21"/>
        </w:rPr>
        <w:t xml:space="preserve"> contribute to dialogue, trust-building and reconciliation, and to support transitional justice initiatives</w:t>
      </w:r>
      <w:r w:rsidR="003620D8">
        <w:rPr>
          <w:rFonts w:cstheme="minorHAnsi"/>
          <w:sz w:val="21"/>
          <w:szCs w:val="21"/>
        </w:rPr>
        <w:t xml:space="preserve">. </w:t>
      </w:r>
      <w:r w:rsidR="003A49E4">
        <w:rPr>
          <w:rFonts w:cstheme="minorHAnsi"/>
          <w:sz w:val="21"/>
          <w:szCs w:val="21"/>
        </w:rPr>
        <w:t>The UN will also engage key international actors, including the EU, OSCE and bilateral ODA partners.</w:t>
      </w:r>
      <w:r w:rsidR="00AB41B8" w:rsidRPr="00197F4E">
        <w:rPr>
          <w:rFonts w:cstheme="minorHAnsi"/>
          <w:sz w:val="21"/>
          <w:szCs w:val="21"/>
        </w:rPr>
        <w:t xml:space="preserve">  The </w:t>
      </w:r>
      <w:r w:rsidR="00513860" w:rsidRPr="00197F4E">
        <w:rPr>
          <w:rFonts w:cstheme="minorHAnsi"/>
          <w:sz w:val="21"/>
          <w:szCs w:val="21"/>
        </w:rPr>
        <w:t>CF</w:t>
      </w:r>
      <w:r w:rsidR="00AB41B8" w:rsidRPr="00197F4E">
        <w:rPr>
          <w:rFonts w:cstheme="minorHAnsi"/>
          <w:sz w:val="21"/>
          <w:szCs w:val="21"/>
        </w:rPr>
        <w:t xml:space="preserve"> and the plan of action are complementary as the United Nations helps create an environment that should be governed by common socio-economic priorities and aspirations; and </w:t>
      </w:r>
      <w:r w:rsidR="00AB41B8" w:rsidRPr="002848C1">
        <w:rPr>
          <w:rFonts w:cstheme="minorHAnsi"/>
          <w:sz w:val="21"/>
          <w:szCs w:val="21"/>
        </w:rPr>
        <w:t xml:space="preserve">greater opportunity, stability and security for all groups and all countries in the region.  </w:t>
      </w:r>
      <w:r w:rsidR="00AB41B8" w:rsidRPr="002848C1">
        <w:rPr>
          <w:rFonts w:cstheme="minorHAnsi"/>
          <w:color w:val="000000"/>
          <w:sz w:val="21"/>
          <w:szCs w:val="21"/>
        </w:rPr>
        <w:t xml:space="preserve">These efforts tie into the broader sustaining peace work of the </w:t>
      </w:r>
      <w:r w:rsidR="00572D3D" w:rsidRPr="002848C1">
        <w:rPr>
          <w:rFonts w:cstheme="minorHAnsi"/>
          <w:color w:val="000000"/>
          <w:sz w:val="21"/>
          <w:szCs w:val="21"/>
        </w:rPr>
        <w:t>United Nations</w:t>
      </w:r>
      <w:r w:rsidR="00AB41B8" w:rsidRPr="002848C1">
        <w:rPr>
          <w:rFonts w:cstheme="minorHAnsi"/>
          <w:color w:val="000000"/>
          <w:sz w:val="21"/>
          <w:szCs w:val="21"/>
        </w:rPr>
        <w:t xml:space="preserve"> as well as the Secretary-General’s own call for </w:t>
      </w:r>
      <w:r w:rsidR="00AB41B8" w:rsidRPr="002848C1">
        <w:rPr>
          <w:rFonts w:cstheme="minorHAnsi"/>
          <w:sz w:val="21"/>
          <w:szCs w:val="21"/>
        </w:rPr>
        <w:t>a concerted effort for solutions leading to long-term stability in the Western Balkans.</w:t>
      </w:r>
      <w:r w:rsidR="0090440F" w:rsidRPr="002848C1">
        <w:rPr>
          <w:rFonts w:cstheme="minorHAnsi"/>
          <w:sz w:val="21"/>
          <w:szCs w:val="21"/>
        </w:rPr>
        <w:t xml:space="preserve">  </w:t>
      </w:r>
    </w:p>
    <w:p w14:paraId="03058616" w14:textId="4CCA73EB" w:rsidR="00A62677" w:rsidRPr="002848C1" w:rsidRDefault="003620D8" w:rsidP="00D9559C">
      <w:pPr>
        <w:pStyle w:val="ListParagraph"/>
        <w:numPr>
          <w:ilvl w:val="0"/>
          <w:numId w:val="3"/>
        </w:numPr>
        <w:spacing w:after="240"/>
        <w:ind w:right="-360" w:hanging="502"/>
        <w:jc w:val="both"/>
        <w:rPr>
          <w:rFonts w:cstheme="minorHAnsi"/>
          <w:sz w:val="21"/>
          <w:szCs w:val="21"/>
          <w:lang w:val="en-CA"/>
        </w:rPr>
      </w:pPr>
      <w:r w:rsidRPr="002848C1">
        <w:rPr>
          <w:rFonts w:cstheme="minorHAnsi"/>
          <w:sz w:val="21"/>
          <w:szCs w:val="21"/>
          <w:lang w:val="en-GB"/>
        </w:rPr>
        <w:t>The COVID-19 pandemic is a transboundary concern, affecting all person</w:t>
      </w:r>
      <w:r w:rsidR="002F3811" w:rsidRPr="002848C1">
        <w:rPr>
          <w:rFonts w:cstheme="minorHAnsi"/>
          <w:sz w:val="21"/>
          <w:szCs w:val="21"/>
          <w:lang w:val="en-GB"/>
        </w:rPr>
        <w:t>s</w:t>
      </w:r>
      <w:r w:rsidRPr="002848C1">
        <w:rPr>
          <w:rFonts w:cstheme="minorHAnsi"/>
          <w:sz w:val="21"/>
          <w:szCs w:val="21"/>
          <w:lang w:val="en-GB"/>
        </w:rPr>
        <w:t xml:space="preserve"> and the functioning of every sector.</w:t>
      </w:r>
      <w:r w:rsidR="005307BF" w:rsidRPr="002848C1">
        <w:rPr>
          <w:rFonts w:cstheme="minorHAnsi"/>
          <w:sz w:val="21"/>
          <w:szCs w:val="21"/>
          <w:lang w:val="en-GB"/>
        </w:rPr>
        <w:t xml:space="preserve"> Regional cooperation is essential for the overall soci</w:t>
      </w:r>
      <w:r w:rsidR="001C68E1" w:rsidRPr="002848C1">
        <w:rPr>
          <w:rFonts w:cstheme="minorHAnsi"/>
          <w:sz w:val="21"/>
          <w:szCs w:val="21"/>
          <w:lang w:val="en-GB"/>
        </w:rPr>
        <w:t xml:space="preserve">o-economic recovery </w:t>
      </w:r>
      <w:r w:rsidR="009C4EB6" w:rsidRPr="002848C1">
        <w:rPr>
          <w:rFonts w:cstheme="minorHAnsi"/>
          <w:sz w:val="21"/>
          <w:szCs w:val="21"/>
          <w:lang w:val="en-GB"/>
        </w:rPr>
        <w:t>in terms of harmonization of the security, economic and health measures and policies</w:t>
      </w:r>
      <w:r w:rsidR="008C5F65" w:rsidRPr="002848C1">
        <w:rPr>
          <w:rFonts w:cstheme="minorHAnsi"/>
          <w:sz w:val="21"/>
          <w:szCs w:val="21"/>
          <w:lang w:val="en-GB"/>
        </w:rPr>
        <w:t xml:space="preserve">, but also </w:t>
      </w:r>
      <w:r w:rsidR="00752B61" w:rsidRPr="002848C1">
        <w:rPr>
          <w:rFonts w:cstheme="minorHAnsi"/>
          <w:sz w:val="21"/>
          <w:szCs w:val="21"/>
          <w:lang w:val="en-GB"/>
        </w:rPr>
        <w:t>strengthening preparedness going forward through exchange of lessons learnt</w:t>
      </w:r>
      <w:r w:rsidR="00752B61" w:rsidRPr="00F27B71">
        <w:rPr>
          <w:rFonts w:cstheme="minorHAnsi"/>
          <w:sz w:val="21"/>
          <w:szCs w:val="21"/>
          <w:lang w:val="en-GB"/>
        </w:rPr>
        <w:t xml:space="preserve"> and best practices</w:t>
      </w:r>
      <w:r w:rsidR="00620987" w:rsidRPr="00F27B71">
        <w:rPr>
          <w:rFonts w:cstheme="minorHAnsi"/>
          <w:sz w:val="21"/>
          <w:szCs w:val="21"/>
          <w:lang w:val="en-GB"/>
        </w:rPr>
        <w:t xml:space="preserve">.  </w:t>
      </w:r>
      <w:r w:rsidR="002F3811" w:rsidRPr="00F27B71">
        <w:rPr>
          <w:rFonts w:cstheme="minorHAnsi"/>
          <w:sz w:val="21"/>
          <w:szCs w:val="21"/>
          <w:lang w:val="en-GB"/>
        </w:rPr>
        <w:t xml:space="preserve">Effective response across BiH </w:t>
      </w:r>
      <w:r w:rsidRPr="00F27B71">
        <w:rPr>
          <w:rFonts w:cstheme="minorHAnsi"/>
          <w:sz w:val="21"/>
          <w:szCs w:val="21"/>
          <w:lang w:val="en-GB"/>
        </w:rPr>
        <w:t>will require much greater</w:t>
      </w:r>
      <w:r w:rsidR="006E5C72" w:rsidRPr="00F27B71">
        <w:rPr>
          <w:rFonts w:cstheme="minorHAnsi"/>
          <w:sz w:val="21"/>
          <w:szCs w:val="21"/>
          <w:lang w:val="en-GB"/>
        </w:rPr>
        <w:t xml:space="preserve"> internal coordination between relevant authorities in BiH</w:t>
      </w:r>
      <w:r w:rsidR="00C33812" w:rsidRPr="00F27B71">
        <w:rPr>
          <w:rFonts w:cstheme="minorHAnsi"/>
          <w:sz w:val="21"/>
          <w:szCs w:val="21"/>
          <w:lang w:val="en-GB"/>
        </w:rPr>
        <w:t xml:space="preserve"> as well as</w:t>
      </w:r>
      <w:r w:rsidRPr="00F27B71">
        <w:rPr>
          <w:rFonts w:cstheme="minorHAnsi"/>
          <w:sz w:val="21"/>
          <w:szCs w:val="21"/>
          <w:lang w:val="en-GB"/>
        </w:rPr>
        <w:t xml:space="preserve"> regional and international cooperation on matters including: Surveillance, rapid response and case investigation, monitoring and controlling border entry </w:t>
      </w:r>
      <w:r w:rsidRPr="002848C1">
        <w:rPr>
          <w:rFonts w:cstheme="minorHAnsi"/>
          <w:sz w:val="21"/>
          <w:szCs w:val="21"/>
          <w:lang w:val="en-GB"/>
        </w:rPr>
        <w:t>points while not stifling flows of essential workers and commodities, including personal protective equipment (PPE) for health workers, and effective communication and coordination with international laboratories</w:t>
      </w:r>
      <w:r w:rsidRPr="002848C1">
        <w:rPr>
          <w:rFonts w:cstheme="minorHAnsi"/>
          <w:sz w:val="21"/>
          <w:szCs w:val="21"/>
          <w:vertAlign w:val="superscript"/>
          <w:lang w:val="en-GB"/>
        </w:rPr>
        <w:footnoteReference w:id="118"/>
      </w:r>
      <w:r w:rsidRPr="002848C1">
        <w:rPr>
          <w:rFonts w:cstheme="minorHAnsi"/>
          <w:sz w:val="21"/>
          <w:szCs w:val="21"/>
          <w:lang w:val="en-GB"/>
        </w:rPr>
        <w:t>.</w:t>
      </w:r>
      <w:r w:rsidR="0027025F" w:rsidRPr="002848C1">
        <w:rPr>
          <w:rFonts w:cstheme="minorHAnsi"/>
          <w:sz w:val="21"/>
          <w:szCs w:val="21"/>
          <w:lang w:val="en-GB"/>
        </w:rPr>
        <w:t xml:space="preserve"> </w:t>
      </w:r>
    </w:p>
    <w:p w14:paraId="05F5ABE6" w14:textId="02B8725C" w:rsidR="00A62677" w:rsidRPr="00B57BEA" w:rsidRDefault="00A62677" w:rsidP="00D9559C">
      <w:pPr>
        <w:spacing w:after="120" w:line="240" w:lineRule="auto"/>
        <w:ind w:right="-360"/>
        <w:jc w:val="both"/>
        <w:rPr>
          <w:b/>
          <w:color w:val="0F243E" w:themeColor="text2" w:themeShade="80"/>
          <w:sz w:val="24"/>
          <w:szCs w:val="24"/>
        </w:rPr>
      </w:pPr>
      <w:r w:rsidRPr="00BB1EB5">
        <w:rPr>
          <w:b/>
          <w:color w:val="0F243E" w:themeColor="text2" w:themeShade="80"/>
          <w:sz w:val="24"/>
          <w:szCs w:val="24"/>
        </w:rPr>
        <w:t>3.6 Sustainability</w:t>
      </w:r>
      <w:r w:rsidRPr="00505EC3">
        <w:rPr>
          <w:b/>
          <w:color w:val="0F243E" w:themeColor="text2" w:themeShade="80"/>
          <w:sz w:val="24"/>
          <w:szCs w:val="24"/>
        </w:rPr>
        <w:fldChar w:fldCharType="begin"/>
      </w:r>
      <w:r w:rsidRPr="000B4B25">
        <w:rPr>
          <w:color w:val="0F243E" w:themeColor="text2" w:themeShade="80"/>
        </w:rPr>
        <w:instrText xml:space="preserve"> TC "</w:instrText>
      </w:r>
      <w:bookmarkStart w:id="57" w:name="_Toc26184402"/>
      <w:bookmarkStart w:id="58" w:name="_Toc38899126"/>
      <w:r w:rsidRPr="002874BD">
        <w:rPr>
          <w:b/>
          <w:color w:val="0F243E" w:themeColor="text2" w:themeShade="80"/>
          <w:sz w:val="24"/>
          <w:szCs w:val="24"/>
        </w:rPr>
        <w:instrText>3.6 Sustainability</w:instrText>
      </w:r>
      <w:bookmarkEnd w:id="57"/>
      <w:bookmarkEnd w:id="58"/>
      <w:r w:rsidRPr="00505EC3">
        <w:rPr>
          <w:color w:val="0F243E" w:themeColor="text2" w:themeShade="80"/>
        </w:rPr>
        <w:instrText xml:space="preserve">" \f C \l "2" </w:instrText>
      </w:r>
      <w:r w:rsidRPr="00505EC3">
        <w:rPr>
          <w:b/>
          <w:color w:val="0F243E" w:themeColor="text2" w:themeShade="80"/>
          <w:sz w:val="24"/>
          <w:szCs w:val="24"/>
        </w:rPr>
        <w:fldChar w:fldCharType="end"/>
      </w:r>
    </w:p>
    <w:p w14:paraId="3CD048FC" w14:textId="2340AF93" w:rsidR="00A62677" w:rsidRPr="002848C1" w:rsidRDefault="0021007A" w:rsidP="00D9559C">
      <w:pPr>
        <w:pStyle w:val="ListParagraph"/>
        <w:numPr>
          <w:ilvl w:val="0"/>
          <w:numId w:val="3"/>
        </w:numPr>
        <w:spacing w:after="120"/>
        <w:ind w:right="-360" w:hanging="502"/>
        <w:contextualSpacing w:val="0"/>
        <w:jc w:val="both"/>
        <w:rPr>
          <w:rFonts w:cstheme="minorHAnsi"/>
          <w:noProof/>
          <w:color w:val="000000" w:themeColor="text1"/>
          <w:sz w:val="21"/>
          <w:szCs w:val="21"/>
        </w:rPr>
      </w:pPr>
      <w:r>
        <w:rPr>
          <w:sz w:val="21"/>
          <w:szCs w:val="21"/>
          <w:lang w:val="en-CA"/>
        </w:rPr>
        <w:t xml:space="preserve">Notwithstanding the complex </w:t>
      </w:r>
      <w:r w:rsidR="00475BB4">
        <w:rPr>
          <w:sz w:val="21"/>
          <w:szCs w:val="21"/>
          <w:lang w:val="en-CA"/>
        </w:rPr>
        <w:t xml:space="preserve">governance </w:t>
      </w:r>
      <w:r>
        <w:rPr>
          <w:sz w:val="21"/>
          <w:szCs w:val="21"/>
          <w:lang w:val="en-CA"/>
        </w:rPr>
        <w:t>arrangements and programme environment in BiH, the CF priorities and outcomes are a clear, validated response to</w:t>
      </w:r>
      <w:r w:rsidR="00390A59">
        <w:rPr>
          <w:sz w:val="21"/>
          <w:szCs w:val="21"/>
          <w:lang w:val="en-CA"/>
        </w:rPr>
        <w:t xml:space="preserve"> priorities in </w:t>
      </w:r>
      <w:r>
        <w:rPr>
          <w:sz w:val="21"/>
          <w:szCs w:val="21"/>
          <w:lang w:val="en-CA"/>
        </w:rPr>
        <w:t xml:space="preserve">BiH. This is a first, essential element of </w:t>
      </w:r>
      <w:r w:rsidRPr="00B41E4A">
        <w:rPr>
          <w:sz w:val="21"/>
          <w:szCs w:val="21"/>
        </w:rPr>
        <w:t>sustainability</w:t>
      </w:r>
      <w:r>
        <w:rPr>
          <w:sz w:val="21"/>
          <w:szCs w:val="21"/>
        </w:rPr>
        <w:t xml:space="preserve">. Additionally, </w:t>
      </w:r>
      <w:r w:rsidR="00A62677">
        <w:rPr>
          <w:sz w:val="21"/>
          <w:szCs w:val="21"/>
        </w:rPr>
        <w:t>c</w:t>
      </w:r>
      <w:r w:rsidR="00A62677" w:rsidRPr="00B41E4A">
        <w:rPr>
          <w:sz w:val="21"/>
          <w:szCs w:val="21"/>
        </w:rPr>
        <w:t xml:space="preserve">ooperation results will be addressed through capacity development and enhanced cross-sector collaboration. </w:t>
      </w:r>
      <w:r w:rsidR="00A62677">
        <w:rPr>
          <w:sz w:val="21"/>
          <w:szCs w:val="21"/>
        </w:rPr>
        <w:t>T</w:t>
      </w:r>
      <w:r w:rsidR="00A62677" w:rsidRPr="00B41E4A">
        <w:rPr>
          <w:sz w:val="21"/>
          <w:szCs w:val="21"/>
        </w:rPr>
        <w:t>angible capacity development</w:t>
      </w:r>
      <w:r w:rsidRPr="00B41E4A">
        <w:rPr>
          <w:rStyle w:val="FootnoteReference"/>
          <w:sz w:val="21"/>
          <w:szCs w:val="21"/>
        </w:rPr>
        <w:footnoteReference w:id="119"/>
      </w:r>
      <w:r w:rsidR="00A62677" w:rsidRPr="00B41E4A">
        <w:rPr>
          <w:sz w:val="21"/>
          <w:szCs w:val="21"/>
        </w:rPr>
        <w:t xml:space="preserve"> </w:t>
      </w:r>
      <w:r w:rsidR="00A62677" w:rsidRPr="002848C1">
        <w:rPr>
          <w:sz w:val="21"/>
          <w:szCs w:val="21"/>
        </w:rPr>
        <w:t xml:space="preserve">that will extend beyond training and skills development, to generate sustainability, support the scaling-up of good practices, and address any </w:t>
      </w:r>
      <w:r w:rsidR="00A62677" w:rsidRPr="002848C1">
        <w:rPr>
          <w:rFonts w:cstheme="minorHAnsi"/>
          <w:noProof/>
          <w:color w:val="000000" w:themeColor="text1"/>
          <w:sz w:val="21"/>
          <w:szCs w:val="21"/>
        </w:rPr>
        <w:t>discriminatory attitudes and practices.</w:t>
      </w:r>
      <w:r w:rsidR="00A62677" w:rsidRPr="002848C1">
        <w:rPr>
          <w:sz w:val="21"/>
          <w:szCs w:val="21"/>
        </w:rPr>
        <w:t xml:space="preserve"> </w:t>
      </w:r>
      <w:r w:rsidRPr="002848C1">
        <w:rPr>
          <w:sz w:val="21"/>
          <w:szCs w:val="21"/>
        </w:rPr>
        <w:t>The UN sy</w:t>
      </w:r>
      <w:r w:rsidR="00FD08B6" w:rsidRPr="002848C1">
        <w:rPr>
          <w:sz w:val="21"/>
          <w:szCs w:val="21"/>
        </w:rPr>
        <w:t>s</w:t>
      </w:r>
      <w:r w:rsidRPr="002848C1">
        <w:rPr>
          <w:sz w:val="21"/>
          <w:szCs w:val="21"/>
        </w:rPr>
        <w:t xml:space="preserve">tem and </w:t>
      </w:r>
      <w:r w:rsidR="006D4228" w:rsidRPr="002848C1">
        <w:rPr>
          <w:sz w:val="21"/>
          <w:szCs w:val="21"/>
        </w:rPr>
        <w:t>the</w:t>
      </w:r>
      <w:r w:rsidR="008C1408" w:rsidRPr="002848C1">
        <w:rPr>
          <w:sz w:val="21"/>
          <w:szCs w:val="21"/>
        </w:rPr>
        <w:t xml:space="preserve"> authorities</w:t>
      </w:r>
      <w:r w:rsidR="006D4228" w:rsidRPr="002848C1">
        <w:rPr>
          <w:sz w:val="21"/>
          <w:szCs w:val="21"/>
        </w:rPr>
        <w:t xml:space="preserve"> in BiH</w:t>
      </w:r>
      <w:r w:rsidRPr="002848C1">
        <w:rPr>
          <w:sz w:val="21"/>
          <w:szCs w:val="21"/>
        </w:rPr>
        <w:t xml:space="preserve"> w</w:t>
      </w:r>
      <w:r w:rsidR="00A62677" w:rsidRPr="002848C1">
        <w:rPr>
          <w:rFonts w:cstheme="minorHAnsi"/>
          <w:color w:val="000000" w:themeColor="text1"/>
          <w:sz w:val="21"/>
          <w:szCs w:val="21"/>
        </w:rPr>
        <w:t>ill base capacity development initiatives on sound capacity assessments and innovative measures to address institutional bottlenecks</w:t>
      </w:r>
      <w:r w:rsidRPr="002848C1">
        <w:rPr>
          <w:rFonts w:cstheme="minorHAnsi"/>
          <w:color w:val="000000" w:themeColor="text1"/>
          <w:sz w:val="21"/>
          <w:szCs w:val="21"/>
        </w:rPr>
        <w:t xml:space="preserve"> that impede results at local levels. The partners will </w:t>
      </w:r>
      <w:r w:rsidR="00A62677" w:rsidRPr="002848C1">
        <w:rPr>
          <w:rFonts w:cstheme="minorHAnsi"/>
          <w:color w:val="000000" w:themeColor="text1"/>
          <w:sz w:val="21"/>
          <w:szCs w:val="21"/>
        </w:rPr>
        <w:t xml:space="preserve">continue to promote stronger, deeper engagement with the private sector, as drivers of economic diversification, and with civil society groups to create more space for their services at community level, and especially for </w:t>
      </w:r>
      <w:r w:rsidR="00A62677" w:rsidRPr="002848C1">
        <w:rPr>
          <w:rFonts w:cstheme="minorHAnsi"/>
          <w:noProof/>
          <w:color w:val="000000" w:themeColor="text1"/>
          <w:sz w:val="21"/>
          <w:szCs w:val="21"/>
        </w:rPr>
        <w:t xml:space="preserve">vulnerable groups. </w:t>
      </w:r>
    </w:p>
    <w:p w14:paraId="1D8CBF62" w14:textId="3B75ED84" w:rsidR="00A62677" w:rsidRPr="002848C1" w:rsidRDefault="006D4228" w:rsidP="00D9559C">
      <w:pPr>
        <w:pStyle w:val="ListParagraph"/>
        <w:numPr>
          <w:ilvl w:val="0"/>
          <w:numId w:val="3"/>
        </w:numPr>
        <w:spacing w:after="240"/>
        <w:ind w:left="363" w:right="-360" w:hanging="505"/>
        <w:contextualSpacing w:val="0"/>
        <w:jc w:val="both"/>
        <w:rPr>
          <w:rFonts w:cstheme="minorHAnsi"/>
          <w:noProof/>
          <w:color w:val="000000" w:themeColor="text1"/>
          <w:sz w:val="21"/>
          <w:szCs w:val="21"/>
        </w:rPr>
      </w:pPr>
      <w:r w:rsidRPr="002848C1">
        <w:rPr>
          <w:sz w:val="21"/>
          <w:szCs w:val="21"/>
        </w:rPr>
        <w:t>The</w:t>
      </w:r>
      <w:r w:rsidR="008C1408" w:rsidRPr="002848C1">
        <w:rPr>
          <w:sz w:val="21"/>
          <w:szCs w:val="21"/>
        </w:rPr>
        <w:t xml:space="preserve"> authorities</w:t>
      </w:r>
      <w:r w:rsidRPr="002848C1">
        <w:rPr>
          <w:sz w:val="21"/>
          <w:szCs w:val="21"/>
        </w:rPr>
        <w:t xml:space="preserve"> in BiH</w:t>
      </w:r>
      <w:r w:rsidR="0021007A" w:rsidRPr="002848C1">
        <w:rPr>
          <w:sz w:val="21"/>
          <w:szCs w:val="21"/>
        </w:rPr>
        <w:t xml:space="preserve"> and the UN system will pursue </w:t>
      </w:r>
      <w:r w:rsidR="0021007A" w:rsidRPr="002848C1">
        <w:rPr>
          <w:i/>
          <w:sz w:val="21"/>
          <w:szCs w:val="21"/>
        </w:rPr>
        <w:t xml:space="preserve">cross-sectoral </w:t>
      </w:r>
      <w:r w:rsidR="00A62677" w:rsidRPr="002848C1">
        <w:rPr>
          <w:i/>
          <w:sz w:val="21"/>
          <w:szCs w:val="21"/>
        </w:rPr>
        <w:t>approaches</w:t>
      </w:r>
      <w:r w:rsidR="00A62677" w:rsidRPr="002848C1">
        <w:rPr>
          <w:sz w:val="21"/>
          <w:szCs w:val="21"/>
        </w:rPr>
        <w:t xml:space="preserve">. </w:t>
      </w:r>
      <w:r w:rsidR="00FD08B6" w:rsidRPr="002848C1">
        <w:rPr>
          <w:sz w:val="21"/>
          <w:szCs w:val="21"/>
        </w:rPr>
        <w:t xml:space="preserve">Including mechanisms to </w:t>
      </w:r>
      <w:r w:rsidR="00A62677" w:rsidRPr="002848C1">
        <w:rPr>
          <w:sz w:val="21"/>
          <w:szCs w:val="21"/>
        </w:rPr>
        <w:t>encourage greater inter-ministerial and inter-agency coordination for enhanced planning</w:t>
      </w:r>
      <w:r w:rsidR="00FD08B6" w:rsidRPr="002848C1">
        <w:rPr>
          <w:sz w:val="21"/>
          <w:szCs w:val="21"/>
        </w:rPr>
        <w:t>, implementation, and monitoring</w:t>
      </w:r>
      <w:r w:rsidR="00A62677" w:rsidRPr="002848C1">
        <w:rPr>
          <w:sz w:val="21"/>
          <w:szCs w:val="21"/>
        </w:rPr>
        <w:t xml:space="preserve"> in line with international standards.</w:t>
      </w:r>
    </w:p>
    <w:p w14:paraId="3B96E6F9" w14:textId="77777777" w:rsidR="00A62677" w:rsidRPr="002848C1" w:rsidRDefault="00A62677" w:rsidP="00D9559C">
      <w:pPr>
        <w:spacing w:after="120" w:line="240" w:lineRule="auto"/>
        <w:ind w:right="-360"/>
        <w:jc w:val="both"/>
        <w:rPr>
          <w:b/>
          <w:color w:val="0F243E" w:themeColor="text2" w:themeShade="80"/>
          <w:sz w:val="24"/>
          <w:szCs w:val="24"/>
        </w:rPr>
      </w:pPr>
      <w:r w:rsidRPr="002848C1">
        <w:rPr>
          <w:b/>
          <w:color w:val="0F243E" w:themeColor="text2" w:themeShade="80"/>
          <w:sz w:val="24"/>
          <w:szCs w:val="24"/>
        </w:rPr>
        <w:t xml:space="preserve">3.7 UN comparative advantages and UNCT configuration </w:t>
      </w:r>
      <w:r w:rsidRPr="002848C1">
        <w:rPr>
          <w:b/>
          <w:color w:val="0F243E" w:themeColor="text2" w:themeShade="80"/>
          <w:sz w:val="24"/>
          <w:szCs w:val="24"/>
        </w:rPr>
        <w:fldChar w:fldCharType="begin"/>
      </w:r>
      <w:r w:rsidRPr="002848C1">
        <w:rPr>
          <w:color w:val="0F243E" w:themeColor="text2" w:themeShade="80"/>
        </w:rPr>
        <w:instrText xml:space="preserve"> TC "</w:instrText>
      </w:r>
      <w:bookmarkStart w:id="59" w:name="_Toc21777836"/>
      <w:bookmarkStart w:id="60" w:name="_Toc23876368"/>
      <w:bookmarkStart w:id="61" w:name="_Toc23933996"/>
      <w:bookmarkStart w:id="62" w:name="_Toc26184403"/>
      <w:bookmarkStart w:id="63" w:name="_Toc38899127"/>
      <w:r w:rsidRPr="002848C1">
        <w:rPr>
          <w:b/>
          <w:color w:val="0F243E" w:themeColor="text2" w:themeShade="80"/>
          <w:sz w:val="24"/>
          <w:szCs w:val="24"/>
        </w:rPr>
        <w:instrText>3.7 UN comparative advantages and UNCT configuration</w:instrText>
      </w:r>
      <w:bookmarkEnd w:id="59"/>
      <w:bookmarkEnd w:id="60"/>
      <w:bookmarkEnd w:id="61"/>
      <w:bookmarkEnd w:id="62"/>
      <w:bookmarkEnd w:id="63"/>
      <w:r w:rsidRPr="002848C1">
        <w:rPr>
          <w:color w:val="0F243E" w:themeColor="text2" w:themeShade="80"/>
        </w:rPr>
        <w:instrText xml:space="preserve">" \f C \l "2" </w:instrText>
      </w:r>
      <w:r w:rsidRPr="002848C1">
        <w:rPr>
          <w:b/>
          <w:color w:val="0F243E" w:themeColor="text2" w:themeShade="80"/>
          <w:sz w:val="24"/>
          <w:szCs w:val="24"/>
        </w:rPr>
        <w:fldChar w:fldCharType="end"/>
      </w:r>
    </w:p>
    <w:p w14:paraId="2727A62A" w14:textId="77777777" w:rsidR="00A62677" w:rsidRPr="002848C1" w:rsidRDefault="00A62677" w:rsidP="00D9559C">
      <w:pPr>
        <w:pStyle w:val="ListParagraph"/>
        <w:numPr>
          <w:ilvl w:val="0"/>
          <w:numId w:val="3"/>
        </w:numPr>
        <w:spacing w:after="60"/>
        <w:ind w:right="-360" w:hanging="502"/>
        <w:contextualSpacing w:val="0"/>
        <w:jc w:val="both"/>
        <w:rPr>
          <w:sz w:val="21"/>
          <w:szCs w:val="21"/>
        </w:rPr>
      </w:pPr>
      <w:r w:rsidRPr="002848C1">
        <w:rPr>
          <w:sz w:val="21"/>
          <w:szCs w:val="21"/>
        </w:rPr>
        <w:t xml:space="preserve">The UN is committed to harnessing its comparative advantages to work jointly and more effectively with country partners </w:t>
      </w:r>
      <w:r w:rsidRPr="002848C1">
        <w:rPr>
          <w:rFonts w:cstheme="minorHAnsi"/>
          <w:iCs/>
          <w:sz w:val="21"/>
          <w:szCs w:val="21"/>
        </w:rPr>
        <w:t xml:space="preserve">to </w:t>
      </w:r>
      <w:r w:rsidRPr="002848C1">
        <w:rPr>
          <w:rFonts w:cstheme="minorHAnsi"/>
          <w:sz w:val="21"/>
          <w:szCs w:val="21"/>
          <w:lang w:val="en-GB"/>
        </w:rPr>
        <w:t>embrace new ways of thinking and doing. T</w:t>
      </w:r>
      <w:r w:rsidRPr="002848C1">
        <w:rPr>
          <w:rFonts w:ascii="Calibri" w:hAnsi="Calibri"/>
          <w:sz w:val="21"/>
          <w:szCs w:val="21"/>
        </w:rPr>
        <w:t xml:space="preserve">he priorities and expected outcomes of this cooperation are catalytic, cross-sectoral, and based upon multi-stakeholder engagement and action. Full implementation will draw upon the comparative advantages of the UN system: </w:t>
      </w:r>
    </w:p>
    <w:p w14:paraId="371E6C94" w14:textId="3625C6C8" w:rsidR="00A62677" w:rsidRPr="002848C1" w:rsidRDefault="000E7AAA" w:rsidP="00D9559C">
      <w:pPr>
        <w:pStyle w:val="ListParagraph"/>
        <w:numPr>
          <w:ilvl w:val="0"/>
          <w:numId w:val="5"/>
        </w:numPr>
        <w:spacing w:after="60"/>
        <w:ind w:right="-360"/>
        <w:contextualSpacing w:val="0"/>
        <w:jc w:val="both"/>
        <w:rPr>
          <w:sz w:val="21"/>
          <w:szCs w:val="21"/>
        </w:rPr>
      </w:pPr>
      <w:r w:rsidRPr="002848C1">
        <w:rPr>
          <w:rFonts w:ascii="Calibri" w:hAnsi="Calibri"/>
          <w:sz w:val="21"/>
          <w:szCs w:val="21"/>
        </w:rPr>
        <w:t xml:space="preserve">A </w:t>
      </w:r>
      <w:r w:rsidRPr="002848C1">
        <w:rPr>
          <w:rFonts w:ascii="Calibri" w:hAnsi="Calibri"/>
          <w:b/>
          <w:sz w:val="21"/>
          <w:szCs w:val="21"/>
        </w:rPr>
        <w:t>longstanding presence</w:t>
      </w:r>
      <w:r w:rsidRPr="002848C1">
        <w:rPr>
          <w:rFonts w:ascii="Calibri" w:hAnsi="Calibri"/>
          <w:sz w:val="21"/>
          <w:szCs w:val="21"/>
        </w:rPr>
        <w:t xml:space="preserve"> in the country, providing institutional and contextual knowledge with </w:t>
      </w:r>
      <w:r w:rsidR="00D76494" w:rsidRPr="002848C1">
        <w:rPr>
          <w:rFonts w:ascii="Calibri" w:hAnsi="Calibri"/>
          <w:sz w:val="21"/>
          <w:szCs w:val="21"/>
        </w:rPr>
        <w:t>a</w:t>
      </w:r>
      <w:r w:rsidRPr="002848C1">
        <w:rPr>
          <w:rFonts w:ascii="Calibri" w:hAnsi="Calibri"/>
          <w:sz w:val="21"/>
          <w:szCs w:val="21"/>
        </w:rPr>
        <w:t xml:space="preserve"> unique direct access to decision takers at all levels of the complex and fragmented governing structure</w:t>
      </w:r>
      <w:r w:rsidR="00DD55EF" w:rsidRPr="002848C1">
        <w:rPr>
          <w:rFonts w:ascii="Calibri" w:hAnsi="Calibri"/>
          <w:sz w:val="21"/>
          <w:szCs w:val="21"/>
        </w:rPr>
        <w:t xml:space="preserve"> in BiH</w:t>
      </w:r>
      <w:r w:rsidR="00A62677" w:rsidRPr="002848C1">
        <w:rPr>
          <w:rFonts w:ascii="Calibri" w:hAnsi="Calibri"/>
          <w:sz w:val="21"/>
          <w:szCs w:val="21"/>
        </w:rPr>
        <w:t>,</w:t>
      </w:r>
    </w:p>
    <w:p w14:paraId="25384302" w14:textId="6247BAB9" w:rsidR="00A62677" w:rsidRPr="002848C1" w:rsidRDefault="000E7AAA" w:rsidP="00D9559C">
      <w:pPr>
        <w:pStyle w:val="ListParagraph"/>
        <w:numPr>
          <w:ilvl w:val="0"/>
          <w:numId w:val="5"/>
        </w:numPr>
        <w:spacing w:after="60"/>
        <w:ind w:right="-360"/>
        <w:contextualSpacing w:val="0"/>
        <w:jc w:val="both"/>
        <w:rPr>
          <w:sz w:val="21"/>
          <w:szCs w:val="21"/>
        </w:rPr>
      </w:pPr>
      <w:r w:rsidRPr="002848C1">
        <w:rPr>
          <w:rFonts w:ascii="Calibri" w:hAnsi="Calibri"/>
          <w:sz w:val="21"/>
          <w:szCs w:val="21"/>
        </w:rPr>
        <w:t xml:space="preserve">A trusted, </w:t>
      </w:r>
      <w:r w:rsidRPr="002848C1">
        <w:rPr>
          <w:rFonts w:ascii="Calibri" w:hAnsi="Calibri"/>
          <w:b/>
          <w:sz w:val="21"/>
          <w:szCs w:val="21"/>
        </w:rPr>
        <w:t>neutral partner</w:t>
      </w:r>
      <w:r w:rsidRPr="002848C1">
        <w:rPr>
          <w:rFonts w:ascii="Calibri" w:hAnsi="Calibri"/>
          <w:sz w:val="21"/>
          <w:szCs w:val="21"/>
        </w:rPr>
        <w:t xml:space="preserve">, in a politically sensitive and divisive context of BiH upholding </w:t>
      </w:r>
      <w:r w:rsidRPr="002848C1">
        <w:rPr>
          <w:rFonts w:ascii="Calibri" w:hAnsi="Calibri"/>
          <w:b/>
          <w:bCs/>
          <w:sz w:val="21"/>
          <w:szCs w:val="21"/>
        </w:rPr>
        <w:t>international commitments</w:t>
      </w:r>
      <w:r w:rsidRPr="002848C1">
        <w:rPr>
          <w:rFonts w:ascii="Calibri" w:hAnsi="Calibri"/>
          <w:sz w:val="21"/>
          <w:szCs w:val="21"/>
        </w:rPr>
        <w:t xml:space="preserve">, norms and standards, in line with the international commitments of </w:t>
      </w:r>
      <w:r w:rsidR="007D759C" w:rsidRPr="002848C1">
        <w:rPr>
          <w:rFonts w:ascii="Calibri" w:hAnsi="Calibri"/>
          <w:sz w:val="21"/>
          <w:szCs w:val="21"/>
        </w:rPr>
        <w:t>the</w:t>
      </w:r>
      <w:r w:rsidRPr="002848C1">
        <w:rPr>
          <w:rFonts w:ascii="Calibri" w:hAnsi="Calibri"/>
          <w:sz w:val="21"/>
          <w:szCs w:val="21"/>
        </w:rPr>
        <w:t xml:space="preserve"> authorities</w:t>
      </w:r>
      <w:r w:rsidR="007D759C" w:rsidRPr="002848C1">
        <w:rPr>
          <w:rFonts w:ascii="Calibri" w:hAnsi="Calibri"/>
          <w:sz w:val="21"/>
          <w:szCs w:val="21"/>
        </w:rPr>
        <w:t xml:space="preserve"> in BiH</w:t>
      </w:r>
      <w:r w:rsidR="00A62677" w:rsidRPr="002848C1">
        <w:rPr>
          <w:rFonts w:ascii="Calibri" w:hAnsi="Calibri"/>
          <w:sz w:val="21"/>
          <w:szCs w:val="21"/>
        </w:rPr>
        <w:t>,</w:t>
      </w:r>
    </w:p>
    <w:p w14:paraId="7A6F6403" w14:textId="67DB9A01" w:rsidR="00A62677" w:rsidRPr="002848C1" w:rsidRDefault="00A62677" w:rsidP="00D9559C">
      <w:pPr>
        <w:pStyle w:val="ListParagraph"/>
        <w:numPr>
          <w:ilvl w:val="0"/>
          <w:numId w:val="5"/>
        </w:numPr>
        <w:spacing w:after="60"/>
        <w:ind w:right="-360"/>
        <w:contextualSpacing w:val="0"/>
        <w:jc w:val="both"/>
        <w:rPr>
          <w:sz w:val="21"/>
          <w:szCs w:val="21"/>
        </w:rPr>
      </w:pPr>
      <w:r w:rsidRPr="002848C1">
        <w:rPr>
          <w:rFonts w:ascii="Calibri" w:hAnsi="Calibri"/>
          <w:sz w:val="21"/>
          <w:szCs w:val="21"/>
        </w:rPr>
        <w:t xml:space="preserve">A </w:t>
      </w:r>
      <w:r w:rsidRPr="002848C1">
        <w:rPr>
          <w:rFonts w:ascii="Calibri" w:hAnsi="Calibri"/>
          <w:b/>
          <w:bCs/>
          <w:sz w:val="21"/>
          <w:szCs w:val="21"/>
        </w:rPr>
        <w:t>convener</w:t>
      </w:r>
      <w:r w:rsidRPr="002848C1">
        <w:rPr>
          <w:rFonts w:ascii="Calibri" w:hAnsi="Calibri"/>
          <w:sz w:val="21"/>
          <w:szCs w:val="21"/>
        </w:rPr>
        <w:t xml:space="preserve"> of current and potential partners supporting SDG achievement in </w:t>
      </w:r>
      <w:r w:rsidR="00764DCD" w:rsidRPr="002848C1">
        <w:rPr>
          <w:rFonts w:ascii="Calibri" w:hAnsi="Calibri"/>
          <w:sz w:val="21"/>
          <w:szCs w:val="21"/>
        </w:rPr>
        <w:t>BiH</w:t>
      </w:r>
      <w:r w:rsidRPr="002848C1">
        <w:rPr>
          <w:rFonts w:ascii="Calibri" w:hAnsi="Calibri"/>
          <w:sz w:val="21"/>
          <w:szCs w:val="21"/>
        </w:rPr>
        <w:t>, including</w:t>
      </w:r>
      <w:r w:rsidR="00170802" w:rsidRPr="002848C1">
        <w:rPr>
          <w:rFonts w:ascii="Calibri" w:hAnsi="Calibri"/>
          <w:sz w:val="21"/>
          <w:szCs w:val="21"/>
        </w:rPr>
        <w:t xml:space="preserve"> </w:t>
      </w:r>
      <w:r w:rsidR="00DD55EF" w:rsidRPr="002848C1">
        <w:rPr>
          <w:rFonts w:ascii="Calibri" w:hAnsi="Calibri"/>
          <w:sz w:val="21"/>
          <w:szCs w:val="21"/>
        </w:rPr>
        <w:t xml:space="preserve">the relevant </w:t>
      </w:r>
      <w:r w:rsidR="008C1408" w:rsidRPr="002848C1">
        <w:rPr>
          <w:rFonts w:ascii="Calibri" w:hAnsi="Calibri"/>
          <w:sz w:val="21"/>
          <w:szCs w:val="21"/>
        </w:rPr>
        <w:t>authorities</w:t>
      </w:r>
      <w:r w:rsidR="0082771E" w:rsidRPr="002848C1">
        <w:rPr>
          <w:rFonts w:ascii="Calibri" w:hAnsi="Calibri"/>
          <w:sz w:val="21"/>
          <w:szCs w:val="21"/>
        </w:rPr>
        <w:t xml:space="preserve"> in BiH</w:t>
      </w:r>
      <w:r w:rsidR="00170802" w:rsidRPr="002848C1">
        <w:rPr>
          <w:rFonts w:ascii="Calibri" w:hAnsi="Calibri"/>
          <w:sz w:val="21"/>
          <w:szCs w:val="21"/>
        </w:rPr>
        <w:t>,</w:t>
      </w:r>
      <w:r w:rsidRPr="002848C1">
        <w:rPr>
          <w:rFonts w:ascii="Calibri" w:hAnsi="Calibri"/>
          <w:sz w:val="21"/>
          <w:szCs w:val="21"/>
        </w:rPr>
        <w:t xml:space="preserve"> civil society groups</w:t>
      </w:r>
      <w:r w:rsidR="00170802" w:rsidRPr="002848C1">
        <w:rPr>
          <w:rFonts w:ascii="Calibri" w:hAnsi="Calibri"/>
          <w:sz w:val="21"/>
          <w:szCs w:val="21"/>
        </w:rPr>
        <w:t xml:space="preserve"> and community partners, the private sector, </w:t>
      </w:r>
      <w:r w:rsidRPr="002848C1">
        <w:rPr>
          <w:rFonts w:ascii="Calibri" w:hAnsi="Calibri"/>
          <w:sz w:val="21"/>
          <w:szCs w:val="21"/>
        </w:rPr>
        <w:t xml:space="preserve">and regional and international partners, including IFIs; </w:t>
      </w:r>
    </w:p>
    <w:p w14:paraId="1E5CC173" w14:textId="77777777" w:rsidR="00A62677" w:rsidRPr="004948D8" w:rsidRDefault="00A62677" w:rsidP="00D9559C">
      <w:pPr>
        <w:pStyle w:val="ListParagraph"/>
        <w:numPr>
          <w:ilvl w:val="0"/>
          <w:numId w:val="5"/>
        </w:numPr>
        <w:spacing w:after="60"/>
        <w:ind w:right="-360"/>
        <w:contextualSpacing w:val="0"/>
        <w:jc w:val="both"/>
        <w:rPr>
          <w:sz w:val="21"/>
          <w:szCs w:val="21"/>
        </w:rPr>
      </w:pPr>
      <w:r w:rsidRPr="002848C1">
        <w:rPr>
          <w:rFonts w:ascii="Calibri" w:hAnsi="Calibri"/>
          <w:sz w:val="21"/>
          <w:szCs w:val="21"/>
        </w:rPr>
        <w:t xml:space="preserve">Application of </w:t>
      </w:r>
      <w:r w:rsidRPr="002848C1">
        <w:rPr>
          <w:rFonts w:ascii="Calibri" w:hAnsi="Calibri"/>
          <w:b/>
          <w:sz w:val="21"/>
          <w:szCs w:val="21"/>
        </w:rPr>
        <w:t>cross-sector approaches</w:t>
      </w:r>
      <w:r w:rsidRPr="002848C1">
        <w:rPr>
          <w:rFonts w:ascii="Calibri" w:hAnsi="Calibri"/>
          <w:sz w:val="21"/>
          <w:szCs w:val="21"/>
        </w:rPr>
        <w:t xml:space="preserve"> and coordination for complex cross cutting issues such as efforts to address exclusion and vulnerability (‘no one left behind’), gender equality and</w:t>
      </w:r>
      <w:r w:rsidRPr="004948D8">
        <w:rPr>
          <w:rFonts w:ascii="Calibri" w:hAnsi="Calibri"/>
          <w:sz w:val="21"/>
          <w:szCs w:val="21"/>
        </w:rPr>
        <w:t xml:space="preserve"> omen’s empowerment, climate change and rights-based approaches to development, </w:t>
      </w:r>
    </w:p>
    <w:p w14:paraId="67762414" w14:textId="77777777" w:rsidR="00A62677" w:rsidRPr="004948D8" w:rsidRDefault="00A62677" w:rsidP="00D9559C">
      <w:pPr>
        <w:pStyle w:val="ListParagraph"/>
        <w:numPr>
          <w:ilvl w:val="0"/>
          <w:numId w:val="5"/>
        </w:numPr>
        <w:spacing w:after="60"/>
        <w:ind w:right="-360"/>
        <w:contextualSpacing w:val="0"/>
        <w:jc w:val="both"/>
        <w:rPr>
          <w:sz w:val="21"/>
          <w:szCs w:val="21"/>
        </w:rPr>
      </w:pPr>
      <w:r w:rsidRPr="004948D8">
        <w:rPr>
          <w:rFonts w:ascii="Calibri" w:hAnsi="Calibri"/>
          <w:sz w:val="21"/>
          <w:szCs w:val="21"/>
        </w:rPr>
        <w:t>Wider</w:t>
      </w:r>
      <w:r w:rsidRPr="004948D8">
        <w:rPr>
          <w:rFonts w:ascii="Calibri" w:hAnsi="Calibri"/>
          <w:b/>
          <w:sz w:val="21"/>
          <w:szCs w:val="21"/>
        </w:rPr>
        <w:t xml:space="preserve"> cross-border, regional, and thematic perspectives</w:t>
      </w:r>
      <w:r w:rsidRPr="004948D8">
        <w:rPr>
          <w:rFonts w:ascii="Calibri" w:hAnsi="Calibri"/>
          <w:sz w:val="21"/>
          <w:szCs w:val="21"/>
        </w:rPr>
        <w:t xml:space="preserve"> to respond to the sustainable development agenda and SDGs, </w:t>
      </w:r>
    </w:p>
    <w:p w14:paraId="3A530229" w14:textId="77777777" w:rsidR="00A62677" w:rsidRPr="004948D8" w:rsidRDefault="00A62677" w:rsidP="00D9559C">
      <w:pPr>
        <w:pStyle w:val="ListParagraph"/>
        <w:numPr>
          <w:ilvl w:val="0"/>
          <w:numId w:val="5"/>
        </w:numPr>
        <w:spacing w:after="60"/>
        <w:ind w:right="-360"/>
        <w:contextualSpacing w:val="0"/>
        <w:jc w:val="both"/>
        <w:rPr>
          <w:sz w:val="21"/>
          <w:szCs w:val="21"/>
        </w:rPr>
      </w:pPr>
      <w:r w:rsidRPr="004948D8">
        <w:rPr>
          <w:rFonts w:ascii="Calibri" w:hAnsi="Calibri"/>
          <w:b/>
          <w:sz w:val="21"/>
          <w:szCs w:val="21"/>
          <w:lang w:val="en-GB"/>
        </w:rPr>
        <w:t>Evidence-based policy advice and technical expertise</w:t>
      </w:r>
      <w:r w:rsidRPr="004948D8">
        <w:rPr>
          <w:rFonts w:ascii="Calibri" w:hAnsi="Calibri"/>
          <w:sz w:val="21"/>
          <w:szCs w:val="21"/>
          <w:lang w:val="en-GB"/>
        </w:rPr>
        <w:t xml:space="preserve">, including </w:t>
      </w:r>
      <w:r w:rsidRPr="004948D8">
        <w:rPr>
          <w:rFonts w:ascii="Calibri" w:hAnsi="Calibri"/>
          <w:sz w:val="21"/>
          <w:szCs w:val="21"/>
        </w:rPr>
        <w:t>advocacy for vulnerable groups in laws, policies, and national and sector programmes, and</w:t>
      </w:r>
    </w:p>
    <w:p w14:paraId="1D86B224" w14:textId="77777777" w:rsidR="00A62677" w:rsidRPr="009F787B" w:rsidRDefault="00A62677" w:rsidP="00D9559C">
      <w:pPr>
        <w:pStyle w:val="ListParagraph"/>
        <w:numPr>
          <w:ilvl w:val="0"/>
          <w:numId w:val="5"/>
        </w:numPr>
        <w:spacing w:after="120"/>
        <w:ind w:left="714" w:right="-360" w:hanging="357"/>
        <w:contextualSpacing w:val="0"/>
        <w:jc w:val="both"/>
        <w:rPr>
          <w:sz w:val="21"/>
          <w:szCs w:val="21"/>
        </w:rPr>
      </w:pPr>
      <w:r w:rsidRPr="004948D8">
        <w:rPr>
          <w:rFonts w:ascii="Calibri" w:hAnsi="Calibri"/>
          <w:sz w:val="21"/>
          <w:szCs w:val="21"/>
        </w:rPr>
        <w:t xml:space="preserve">Support for the </w:t>
      </w:r>
      <w:r w:rsidRPr="004948D8">
        <w:rPr>
          <w:rFonts w:ascii="Calibri" w:hAnsi="Calibri"/>
          <w:sz w:val="21"/>
          <w:szCs w:val="21"/>
          <w:lang w:val="en-GB"/>
        </w:rPr>
        <w:t xml:space="preserve">collection, analysis, and use of </w:t>
      </w:r>
      <w:r w:rsidRPr="004948D8">
        <w:rPr>
          <w:rFonts w:ascii="Calibri" w:hAnsi="Calibri"/>
          <w:b/>
          <w:sz w:val="21"/>
          <w:szCs w:val="21"/>
          <w:lang w:val="en-GB"/>
        </w:rPr>
        <w:t>disaggregated data</w:t>
      </w:r>
      <w:r w:rsidRPr="004948D8">
        <w:rPr>
          <w:rFonts w:ascii="Calibri" w:hAnsi="Calibri"/>
          <w:sz w:val="21"/>
          <w:szCs w:val="21"/>
          <w:lang w:val="en-GB"/>
        </w:rPr>
        <w:t>, including through household surveys, in line with international standards.</w:t>
      </w:r>
    </w:p>
    <w:p w14:paraId="536CE159" w14:textId="77777777" w:rsidR="009F787B" w:rsidRPr="009F787B" w:rsidRDefault="009F787B" w:rsidP="00D9559C">
      <w:pPr>
        <w:pStyle w:val="ListParagraph"/>
        <w:numPr>
          <w:ilvl w:val="0"/>
          <w:numId w:val="3"/>
        </w:numPr>
        <w:spacing w:after="120"/>
        <w:ind w:right="-360" w:hanging="502"/>
        <w:contextualSpacing w:val="0"/>
        <w:jc w:val="both"/>
        <w:rPr>
          <w:sz w:val="21"/>
          <w:szCs w:val="21"/>
        </w:rPr>
      </w:pPr>
      <w:r w:rsidRPr="009F787B">
        <w:rPr>
          <w:sz w:val="21"/>
          <w:szCs w:val="21"/>
        </w:rPr>
        <w:t>In particular the UN system will place greater emphasis, compared to past frameworks, on it</w:t>
      </w:r>
      <w:r>
        <w:rPr>
          <w:sz w:val="21"/>
          <w:szCs w:val="21"/>
        </w:rPr>
        <w:t>s</w:t>
      </w:r>
      <w:r w:rsidRPr="009F787B">
        <w:rPr>
          <w:sz w:val="21"/>
          <w:szCs w:val="21"/>
        </w:rPr>
        <w:t xml:space="preserve"> normative, convening, and facilitating roles. Policy, legal, and technical advice, in line with the international commitments of BiH and international standards, will be at the fore of cooperation efforts.  Service delive</w:t>
      </w:r>
      <w:r>
        <w:rPr>
          <w:sz w:val="21"/>
          <w:szCs w:val="21"/>
        </w:rPr>
        <w:t>ry</w:t>
      </w:r>
      <w:r w:rsidRPr="009F787B">
        <w:rPr>
          <w:sz w:val="21"/>
          <w:szCs w:val="21"/>
        </w:rPr>
        <w:t xml:space="preserve"> and the use of parallel implementation arrangements will only be considered in the absence of alternative capacity in BiH and civil society institutions.</w:t>
      </w:r>
    </w:p>
    <w:p w14:paraId="5ECA8165" w14:textId="7771DCE1" w:rsidR="001A7396" w:rsidRPr="007E4270" w:rsidRDefault="00A62677" w:rsidP="00D9559C">
      <w:pPr>
        <w:pStyle w:val="ListParagraph"/>
        <w:numPr>
          <w:ilvl w:val="0"/>
          <w:numId w:val="3"/>
        </w:numPr>
        <w:spacing w:after="60"/>
        <w:ind w:right="-360" w:hanging="502"/>
        <w:contextualSpacing w:val="0"/>
        <w:jc w:val="both"/>
        <w:rPr>
          <w:sz w:val="21"/>
          <w:szCs w:val="21"/>
        </w:rPr>
      </w:pPr>
      <w:r w:rsidRPr="007E4270">
        <w:rPr>
          <w:rFonts w:cstheme="minorHAnsi"/>
          <w:b/>
          <w:noProof/>
          <w:sz w:val="21"/>
          <w:szCs w:val="21"/>
        </w:rPr>
        <w:t>UNCT Configuration</w:t>
      </w:r>
      <w:r w:rsidRPr="007E4270">
        <w:rPr>
          <w:rFonts w:cstheme="minorHAnsi"/>
          <w:noProof/>
          <w:sz w:val="21"/>
          <w:szCs w:val="21"/>
        </w:rPr>
        <w:t xml:space="preserve">: </w:t>
      </w:r>
      <w:r w:rsidR="001A7396" w:rsidRPr="007E4270">
        <w:rPr>
          <w:sz w:val="21"/>
          <w:szCs w:val="21"/>
        </w:rPr>
        <w:t>In order to deliver fully on their commitments under this CF, the UN system has identified new capacities and resources that are required to support the achievement of planned results. In keeping with the emphasis of cooperation on policy advice, technical assistance, and capacity development, most of the new support will be provided by advisory and technical assets from regional offices and headquarters of UN system agencies, with any gaps addressed with external technical expertise. The additional support will be front-loaded during the first years of the CF drawing mainly on core UN system resources and other resources mobilized from major donors. Many of the new areas of substantive expertise are important for achieving the expected synergies between outcomes (see 3.5). They include:</w:t>
      </w:r>
    </w:p>
    <w:p w14:paraId="072C1CD9" w14:textId="0B2725FE"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Strengthened efforts to promote </w:t>
      </w:r>
      <w:r w:rsidRPr="007E4270">
        <w:rPr>
          <w:b/>
          <w:bCs/>
          <w:sz w:val="21"/>
          <w:szCs w:val="21"/>
        </w:rPr>
        <w:t>peace-building and social cohesion</w:t>
      </w:r>
      <w:r w:rsidRPr="007E4270">
        <w:rPr>
          <w:sz w:val="21"/>
          <w:szCs w:val="21"/>
        </w:rPr>
        <w:t xml:space="preserve"> with a broader systems approach, building on the achievements and lessons from the Dialogue for the Future (DFF) initiative;</w:t>
      </w:r>
    </w:p>
    <w:p w14:paraId="5C597D09" w14:textId="597AA272"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Increased capacities to engage with finance authorities in BiH to support SDG costing exercises and advocacy for SDG-related spending priorities, and to establish new partnerships to mobilize </w:t>
      </w:r>
      <w:r w:rsidRPr="007E4270">
        <w:rPr>
          <w:b/>
          <w:bCs/>
          <w:sz w:val="21"/>
          <w:szCs w:val="21"/>
        </w:rPr>
        <w:t>financing for the SDGs</w:t>
      </w:r>
      <w:r w:rsidRPr="007E4270">
        <w:rPr>
          <w:sz w:val="21"/>
          <w:szCs w:val="21"/>
        </w:rPr>
        <w:t>;</w:t>
      </w:r>
    </w:p>
    <w:p w14:paraId="2EF16963" w14:textId="3FC58FE8"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Expanded partnerships and implementation strategies to </w:t>
      </w:r>
      <w:r w:rsidRPr="007E4270">
        <w:rPr>
          <w:b/>
          <w:bCs/>
          <w:sz w:val="21"/>
          <w:szCs w:val="21"/>
        </w:rPr>
        <w:t>localize the emerging SDG Framework in BiH</w:t>
      </w:r>
      <w:r w:rsidRPr="007E4270">
        <w:rPr>
          <w:sz w:val="21"/>
          <w:szCs w:val="21"/>
        </w:rPr>
        <w:t xml:space="preserve"> , focusing on  local, area-based convergence of governance reform and quality social services at Cantonal and Municipal levels, with community partners;</w:t>
      </w:r>
    </w:p>
    <w:p w14:paraId="07382BAB" w14:textId="2810A59C"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Improved mechanisms and processes to convene and engage more regularly with </w:t>
      </w:r>
      <w:r w:rsidRPr="007E4270">
        <w:rPr>
          <w:b/>
          <w:bCs/>
          <w:sz w:val="21"/>
          <w:szCs w:val="21"/>
        </w:rPr>
        <w:t xml:space="preserve">civil society </w:t>
      </w:r>
      <w:r w:rsidR="002848C1" w:rsidRPr="007E4270">
        <w:rPr>
          <w:b/>
          <w:bCs/>
          <w:sz w:val="21"/>
          <w:szCs w:val="21"/>
        </w:rPr>
        <w:t>organizations</w:t>
      </w:r>
      <w:r w:rsidR="00C12A2D" w:rsidRPr="007E4270">
        <w:rPr>
          <w:b/>
          <w:bCs/>
          <w:sz w:val="21"/>
          <w:szCs w:val="21"/>
        </w:rPr>
        <w:t>, private sector, financing institutions and other stakeholders</w:t>
      </w:r>
      <w:r w:rsidRPr="007E4270">
        <w:rPr>
          <w:sz w:val="21"/>
          <w:szCs w:val="21"/>
        </w:rPr>
        <w:t xml:space="preserve"> and to develop stronger partnerships for CF implementation and monitoring (support from regional bodies and HQ of UN agencies);  </w:t>
      </w:r>
    </w:p>
    <w:p w14:paraId="276CB33D" w14:textId="594D454A"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Strengthened support for </w:t>
      </w:r>
      <w:r w:rsidRPr="007E4270">
        <w:rPr>
          <w:b/>
          <w:bCs/>
          <w:sz w:val="21"/>
          <w:szCs w:val="21"/>
        </w:rPr>
        <w:t>environmental governance</w:t>
      </w:r>
      <w:r w:rsidRPr="007E4270">
        <w:rPr>
          <w:sz w:val="21"/>
          <w:szCs w:val="21"/>
        </w:rPr>
        <w:t xml:space="preserve"> including implementation of ratified international conventions and Multilateral Environmental Agreements (MEAs) and using advancements in science, technology and innovation; </w:t>
      </w:r>
    </w:p>
    <w:p w14:paraId="32356BEF" w14:textId="6E6FE48B"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Enhanced efforts to strengthen </w:t>
      </w:r>
      <w:r w:rsidRPr="007E4270">
        <w:rPr>
          <w:b/>
          <w:bCs/>
          <w:sz w:val="21"/>
          <w:szCs w:val="21"/>
        </w:rPr>
        <w:t>emergency preparedness and response</w:t>
      </w:r>
      <w:r w:rsidRPr="007E4270">
        <w:rPr>
          <w:sz w:val="21"/>
          <w:szCs w:val="21"/>
        </w:rPr>
        <w:t xml:space="preserve"> capacities of BiH authorities and internal UN system capacities to respond quickly and coherently to sudden onset emergencies;</w:t>
      </w:r>
    </w:p>
    <w:p w14:paraId="6C202B46" w14:textId="76552B1A"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Strengthened focus on </w:t>
      </w:r>
      <w:r w:rsidRPr="007E4270">
        <w:rPr>
          <w:b/>
          <w:bCs/>
          <w:sz w:val="21"/>
          <w:szCs w:val="21"/>
        </w:rPr>
        <w:t>advocacy and support for human rights</w:t>
      </w:r>
      <w:r w:rsidRPr="007E4270">
        <w:rPr>
          <w:sz w:val="21"/>
          <w:szCs w:val="21"/>
        </w:rPr>
        <w:t xml:space="preserve"> considerations in the policies and programmes of BiH authorities, linked to implementation of accepted UPR recommendations;</w:t>
      </w:r>
    </w:p>
    <w:p w14:paraId="3E08B446" w14:textId="031C0BDB" w:rsidR="001A7396" w:rsidRPr="007E4270" w:rsidRDefault="001A7396" w:rsidP="00D9559C">
      <w:pPr>
        <w:pStyle w:val="ListParagraph"/>
        <w:numPr>
          <w:ilvl w:val="0"/>
          <w:numId w:val="5"/>
        </w:numPr>
        <w:spacing w:after="60"/>
        <w:ind w:right="-360"/>
        <w:contextualSpacing w:val="0"/>
        <w:jc w:val="both"/>
        <w:rPr>
          <w:sz w:val="21"/>
          <w:szCs w:val="21"/>
        </w:rPr>
      </w:pPr>
      <w:r w:rsidRPr="007E4270">
        <w:rPr>
          <w:sz w:val="21"/>
          <w:szCs w:val="21"/>
        </w:rPr>
        <w:t xml:space="preserve">Enhanced UN system capacities to support the statistical institutions in BiH to respond to </w:t>
      </w:r>
      <w:r w:rsidRPr="007E4270">
        <w:rPr>
          <w:b/>
          <w:bCs/>
          <w:sz w:val="21"/>
          <w:szCs w:val="21"/>
        </w:rPr>
        <w:t>SDG-related data gaps</w:t>
      </w:r>
      <w:r w:rsidRPr="007E4270">
        <w:rPr>
          <w:sz w:val="21"/>
          <w:szCs w:val="21"/>
        </w:rPr>
        <w:t xml:space="preserve"> with cost-effective methodologies to</w:t>
      </w:r>
      <w:r w:rsidRPr="007E4270">
        <w:rPr>
          <w:sz w:val="21"/>
          <w:szCs w:val="21"/>
          <w:lang w:val="en-GB"/>
        </w:rPr>
        <w:t xml:space="preserve"> produce disaggregated statistics and digital data management in support of evidence-based policy making</w:t>
      </w:r>
      <w:r w:rsidRPr="007E4270">
        <w:rPr>
          <w:sz w:val="21"/>
          <w:szCs w:val="21"/>
        </w:rPr>
        <w:t>; and</w:t>
      </w:r>
    </w:p>
    <w:p w14:paraId="028FC270" w14:textId="5E94B433" w:rsidR="001A7396" w:rsidRPr="007E4270" w:rsidRDefault="001A7396" w:rsidP="00D9559C">
      <w:pPr>
        <w:pStyle w:val="ListParagraph"/>
        <w:numPr>
          <w:ilvl w:val="0"/>
          <w:numId w:val="5"/>
        </w:numPr>
        <w:spacing w:after="240"/>
        <w:ind w:left="714" w:right="-360" w:hanging="357"/>
        <w:contextualSpacing w:val="0"/>
        <w:jc w:val="both"/>
        <w:rPr>
          <w:sz w:val="21"/>
          <w:szCs w:val="21"/>
        </w:rPr>
      </w:pPr>
      <w:r w:rsidRPr="007E4270">
        <w:rPr>
          <w:sz w:val="21"/>
          <w:szCs w:val="21"/>
        </w:rPr>
        <w:t xml:space="preserve">Expanded capacities in support of UN system </w:t>
      </w:r>
      <w:r w:rsidRPr="007E4270">
        <w:rPr>
          <w:b/>
          <w:bCs/>
          <w:sz w:val="21"/>
          <w:szCs w:val="21"/>
        </w:rPr>
        <w:t>business operations harmonization</w:t>
      </w:r>
      <w:r w:rsidRPr="007E4270">
        <w:rPr>
          <w:sz w:val="21"/>
          <w:szCs w:val="21"/>
        </w:rPr>
        <w:t xml:space="preserve">. </w:t>
      </w:r>
    </w:p>
    <w:p w14:paraId="0B600B4A" w14:textId="22CA886A" w:rsidR="00A62677" w:rsidRPr="004A54E6" w:rsidRDefault="00A62677" w:rsidP="00D9559C">
      <w:pPr>
        <w:spacing w:before="240" w:after="120" w:line="240" w:lineRule="auto"/>
        <w:ind w:right="-360"/>
        <w:jc w:val="both"/>
        <w:rPr>
          <w:rFonts w:eastAsia="Times New Roman" w:cstheme="minorHAnsi"/>
          <w:color w:val="0F243E" w:themeColor="text2" w:themeShade="80"/>
          <w:sz w:val="21"/>
          <w:szCs w:val="21"/>
          <w:lang w:val="en-US"/>
        </w:rPr>
      </w:pPr>
      <w:r w:rsidRPr="004A54E6">
        <w:rPr>
          <w:b/>
          <w:color w:val="0F243E" w:themeColor="text2" w:themeShade="80"/>
          <w:sz w:val="32"/>
          <w:szCs w:val="32"/>
        </w:rPr>
        <w:t>4. Implementation plan</w:t>
      </w:r>
      <w:r w:rsidRPr="004A54E6">
        <w:rPr>
          <w:rFonts w:eastAsia="Times New Roman" w:cstheme="minorHAnsi"/>
          <w:color w:val="0F243E" w:themeColor="text2" w:themeShade="80"/>
          <w:sz w:val="21"/>
          <w:szCs w:val="21"/>
          <w:lang w:val="en-US"/>
        </w:rPr>
        <w:fldChar w:fldCharType="begin"/>
      </w:r>
      <w:r w:rsidRPr="004A54E6">
        <w:rPr>
          <w:rFonts w:eastAsia="Times New Roman" w:cstheme="minorHAnsi"/>
          <w:color w:val="0F243E" w:themeColor="text2" w:themeShade="80"/>
          <w:sz w:val="21"/>
          <w:szCs w:val="21"/>
          <w:lang w:val="en-US"/>
        </w:rPr>
        <w:instrText xml:space="preserve"> TC "</w:instrText>
      </w:r>
      <w:bookmarkStart w:id="64" w:name="_Toc26184404"/>
      <w:bookmarkStart w:id="65" w:name="_Toc38899128"/>
      <w:r w:rsidRPr="004A54E6">
        <w:rPr>
          <w:rFonts w:eastAsia="Times New Roman" w:cstheme="minorHAnsi"/>
          <w:color w:val="0F243E" w:themeColor="text2" w:themeShade="80"/>
          <w:sz w:val="21"/>
          <w:szCs w:val="21"/>
          <w:lang w:val="en-US"/>
        </w:rPr>
        <w:instrText>4. Implementation plan</w:instrText>
      </w:r>
      <w:bookmarkEnd w:id="64"/>
      <w:bookmarkEnd w:id="65"/>
      <w:r w:rsidRPr="004A54E6">
        <w:rPr>
          <w:rFonts w:eastAsia="Times New Roman" w:cstheme="minorHAnsi"/>
          <w:color w:val="0F243E" w:themeColor="text2" w:themeShade="80"/>
          <w:sz w:val="21"/>
          <w:szCs w:val="21"/>
          <w:lang w:val="en-US"/>
        </w:rPr>
        <w:instrText xml:space="preserve">" \f C \l "1" </w:instrText>
      </w:r>
      <w:r w:rsidRPr="004A54E6">
        <w:rPr>
          <w:rFonts w:eastAsia="Times New Roman" w:cstheme="minorHAnsi"/>
          <w:color w:val="0F243E" w:themeColor="text2" w:themeShade="80"/>
          <w:sz w:val="21"/>
          <w:szCs w:val="21"/>
          <w:lang w:val="en-US"/>
        </w:rPr>
        <w:fldChar w:fldCharType="end"/>
      </w:r>
    </w:p>
    <w:p w14:paraId="7E9DC502" w14:textId="024DD8FD" w:rsidR="00CC4ECE" w:rsidRPr="002848C1" w:rsidRDefault="00CC4ECE" w:rsidP="00D9559C">
      <w:pPr>
        <w:pStyle w:val="ListParagraph"/>
        <w:numPr>
          <w:ilvl w:val="0"/>
          <w:numId w:val="3"/>
        </w:numPr>
        <w:spacing w:after="120"/>
        <w:ind w:right="-360" w:hanging="502"/>
        <w:contextualSpacing w:val="0"/>
        <w:jc w:val="both"/>
        <w:rPr>
          <w:sz w:val="21"/>
          <w:szCs w:val="21"/>
        </w:rPr>
      </w:pPr>
      <w:r>
        <w:rPr>
          <w:rFonts w:cstheme="minorHAnsi"/>
          <w:sz w:val="21"/>
          <w:szCs w:val="21"/>
        </w:rPr>
        <w:t>Im</w:t>
      </w:r>
      <w:r w:rsidRPr="0042061E">
        <w:rPr>
          <w:rFonts w:cstheme="minorHAnsi"/>
          <w:sz w:val="21"/>
          <w:szCs w:val="21"/>
        </w:rPr>
        <w:t xml:space="preserve">plementation of the </w:t>
      </w:r>
      <w:r w:rsidR="00E03690">
        <w:rPr>
          <w:rFonts w:cstheme="minorHAnsi"/>
          <w:sz w:val="21"/>
          <w:szCs w:val="21"/>
        </w:rPr>
        <w:t>CF</w:t>
      </w:r>
      <w:r w:rsidRPr="0042061E">
        <w:rPr>
          <w:rFonts w:cstheme="minorHAnsi"/>
          <w:sz w:val="21"/>
          <w:szCs w:val="21"/>
        </w:rPr>
        <w:t xml:space="preserve"> </w:t>
      </w:r>
      <w:r>
        <w:rPr>
          <w:rFonts w:cstheme="minorHAnsi"/>
          <w:sz w:val="21"/>
          <w:szCs w:val="21"/>
        </w:rPr>
        <w:t xml:space="preserve">is based </w:t>
      </w:r>
      <w:r w:rsidRPr="0042061E">
        <w:rPr>
          <w:rFonts w:cstheme="minorHAnsi"/>
          <w:sz w:val="21"/>
          <w:szCs w:val="21"/>
        </w:rPr>
        <w:t xml:space="preserve">on the principle of partnership with </w:t>
      </w:r>
      <w:r w:rsidRPr="002848C1">
        <w:rPr>
          <w:rFonts w:cstheme="minorHAnsi"/>
          <w:sz w:val="21"/>
          <w:szCs w:val="21"/>
        </w:rPr>
        <w:t xml:space="preserve">relevant </w:t>
      </w:r>
      <w:r w:rsidR="0099758E" w:rsidRPr="002848C1">
        <w:rPr>
          <w:rFonts w:cstheme="minorHAnsi"/>
          <w:sz w:val="21"/>
          <w:szCs w:val="21"/>
        </w:rPr>
        <w:t>the</w:t>
      </w:r>
      <w:r w:rsidRPr="002848C1">
        <w:rPr>
          <w:rFonts w:cstheme="minorHAnsi"/>
          <w:sz w:val="21"/>
          <w:szCs w:val="21"/>
        </w:rPr>
        <w:t xml:space="preserve"> authorities</w:t>
      </w:r>
      <w:r w:rsidR="0099758E" w:rsidRPr="002848C1">
        <w:rPr>
          <w:rFonts w:cstheme="minorHAnsi"/>
          <w:sz w:val="21"/>
          <w:szCs w:val="21"/>
        </w:rPr>
        <w:t xml:space="preserve"> in BiH</w:t>
      </w:r>
      <w:r w:rsidRPr="002848C1">
        <w:rPr>
          <w:rFonts w:cstheme="minorHAnsi"/>
          <w:sz w:val="21"/>
          <w:szCs w:val="21"/>
        </w:rPr>
        <w:t xml:space="preserve">, on the basis of the BiH Constitution. In order to ensure coherence and effectiveness for the achievement of CF results, country-wide, implementation will take place with a coordinated approach involving </w:t>
      </w:r>
      <w:r w:rsidR="00BD79CD" w:rsidRPr="002848C1">
        <w:rPr>
          <w:rFonts w:cstheme="minorHAnsi"/>
          <w:sz w:val="21"/>
          <w:szCs w:val="21"/>
        </w:rPr>
        <w:t>relevant authorities</w:t>
      </w:r>
      <w:r w:rsidR="004E1D7A" w:rsidRPr="002848C1">
        <w:rPr>
          <w:rFonts w:cstheme="minorHAnsi"/>
          <w:sz w:val="21"/>
          <w:szCs w:val="21"/>
        </w:rPr>
        <w:t xml:space="preserve"> in BiH</w:t>
      </w:r>
      <w:r w:rsidRPr="002848C1">
        <w:rPr>
          <w:rFonts w:cstheme="minorHAnsi"/>
          <w:sz w:val="21"/>
          <w:szCs w:val="21"/>
        </w:rPr>
        <w:t>.</w:t>
      </w:r>
    </w:p>
    <w:p w14:paraId="059BE799" w14:textId="77777777" w:rsidR="00A62677" w:rsidRPr="004A54E6" w:rsidRDefault="00A62677" w:rsidP="00D9559C">
      <w:pPr>
        <w:pStyle w:val="ListParagraph"/>
        <w:numPr>
          <w:ilvl w:val="0"/>
          <w:numId w:val="0"/>
        </w:numPr>
        <w:spacing w:after="120"/>
        <w:ind w:left="360" w:right="-360"/>
        <w:contextualSpacing w:val="0"/>
        <w:jc w:val="both"/>
        <w:rPr>
          <w:color w:val="0F243E" w:themeColor="text2" w:themeShade="80"/>
          <w:sz w:val="21"/>
          <w:szCs w:val="21"/>
        </w:rPr>
      </w:pPr>
      <w:r w:rsidRPr="004A54E6">
        <w:rPr>
          <w:b/>
          <w:color w:val="0F243E" w:themeColor="text2" w:themeShade="80"/>
          <w:sz w:val="24"/>
        </w:rPr>
        <w:t>4.1 Implementation strategy and strategic partnerships</w:t>
      </w:r>
      <w:r w:rsidRPr="004A54E6">
        <w:rPr>
          <w:b/>
          <w:color w:val="0F243E" w:themeColor="text2" w:themeShade="80"/>
          <w:sz w:val="24"/>
        </w:rPr>
        <w:fldChar w:fldCharType="begin"/>
      </w:r>
      <w:r w:rsidRPr="004A54E6">
        <w:rPr>
          <w:color w:val="0F243E" w:themeColor="text2" w:themeShade="80"/>
        </w:rPr>
        <w:instrText xml:space="preserve"> TC "</w:instrText>
      </w:r>
      <w:bookmarkStart w:id="66" w:name="_Toc26184405"/>
      <w:bookmarkStart w:id="67" w:name="_Toc38899129"/>
      <w:r w:rsidRPr="004A54E6">
        <w:rPr>
          <w:b/>
          <w:color w:val="0F243E" w:themeColor="text2" w:themeShade="80"/>
          <w:sz w:val="24"/>
        </w:rPr>
        <w:instrText>4.1 Implementation strategy and strategic partnerships</w:instrText>
      </w:r>
      <w:bookmarkEnd w:id="66"/>
      <w:bookmarkEnd w:id="67"/>
      <w:r w:rsidRPr="004A54E6">
        <w:rPr>
          <w:color w:val="0F243E" w:themeColor="text2" w:themeShade="80"/>
        </w:rPr>
        <w:instrText xml:space="preserve"> " \f C \l "2" </w:instrText>
      </w:r>
      <w:r w:rsidRPr="004A54E6">
        <w:rPr>
          <w:b/>
          <w:color w:val="0F243E" w:themeColor="text2" w:themeShade="80"/>
          <w:sz w:val="24"/>
        </w:rPr>
        <w:fldChar w:fldCharType="end"/>
      </w:r>
    </w:p>
    <w:p w14:paraId="49109473" w14:textId="22F0AE09" w:rsidR="00CC4ECE" w:rsidRPr="002848C1" w:rsidRDefault="004E1D7A" w:rsidP="00D9559C">
      <w:pPr>
        <w:pStyle w:val="ListParagraph"/>
        <w:numPr>
          <w:ilvl w:val="0"/>
          <w:numId w:val="3"/>
        </w:numPr>
        <w:spacing w:after="120"/>
        <w:ind w:right="-360" w:hanging="502"/>
        <w:contextualSpacing w:val="0"/>
        <w:jc w:val="both"/>
        <w:rPr>
          <w:rFonts w:cstheme="minorHAnsi"/>
          <w:sz w:val="21"/>
          <w:szCs w:val="21"/>
        </w:rPr>
      </w:pPr>
      <w:r w:rsidRPr="002848C1">
        <w:rPr>
          <w:rFonts w:cstheme="minorHAnsi"/>
          <w:sz w:val="21"/>
          <w:szCs w:val="21"/>
        </w:rPr>
        <w:t>The</w:t>
      </w:r>
      <w:r w:rsidR="008C1408" w:rsidRPr="002848C1">
        <w:rPr>
          <w:rFonts w:cstheme="minorHAnsi"/>
          <w:sz w:val="21"/>
          <w:szCs w:val="21"/>
        </w:rPr>
        <w:t xml:space="preserve"> authorities</w:t>
      </w:r>
      <w:r w:rsidRPr="002848C1">
        <w:rPr>
          <w:rFonts w:cstheme="minorHAnsi"/>
          <w:sz w:val="21"/>
          <w:szCs w:val="21"/>
        </w:rPr>
        <w:t xml:space="preserve"> in BiH</w:t>
      </w:r>
      <w:r w:rsidR="00F75FF7" w:rsidRPr="002848C1">
        <w:rPr>
          <w:rFonts w:cstheme="minorHAnsi"/>
          <w:sz w:val="21"/>
          <w:szCs w:val="21"/>
        </w:rPr>
        <w:t xml:space="preserve"> and the UN system will employ cost-effective and coherent mechanisms to plan, finance, deliver, monitor and report on CF results and their expected contribution to </w:t>
      </w:r>
      <w:r w:rsidR="00390A59" w:rsidRPr="002848C1">
        <w:rPr>
          <w:rFonts w:cstheme="minorHAnsi"/>
          <w:sz w:val="21"/>
          <w:szCs w:val="21"/>
        </w:rPr>
        <w:t>priorities in BiH</w:t>
      </w:r>
      <w:r w:rsidR="00CC4ECE" w:rsidRPr="002848C1">
        <w:rPr>
          <w:rFonts w:cstheme="minorHAnsi"/>
          <w:sz w:val="21"/>
          <w:szCs w:val="21"/>
        </w:rPr>
        <w:t>.</w:t>
      </w:r>
      <w:r w:rsidR="00F75FF7" w:rsidRPr="002848C1">
        <w:rPr>
          <w:rFonts w:cstheme="minorHAnsi"/>
          <w:sz w:val="21"/>
          <w:szCs w:val="21"/>
        </w:rPr>
        <w:t xml:space="preserve"> </w:t>
      </w:r>
      <w:r w:rsidR="00CC4ECE" w:rsidRPr="002848C1">
        <w:rPr>
          <w:sz w:val="21"/>
          <w:szCs w:val="21"/>
        </w:rPr>
        <w:t xml:space="preserve">Based upon the detailed cooperation results and strategies described in section 3 and the results matrix (Annex A), emphasis is placed on the achievement of planned outcomes, and coordinated, coherent efforts to make tangible, </w:t>
      </w:r>
      <w:r w:rsidRPr="002848C1">
        <w:rPr>
          <w:sz w:val="21"/>
          <w:szCs w:val="21"/>
        </w:rPr>
        <w:t>measurable</w:t>
      </w:r>
      <w:r w:rsidR="00CC4ECE" w:rsidRPr="002848C1">
        <w:rPr>
          <w:sz w:val="21"/>
          <w:szCs w:val="21"/>
        </w:rPr>
        <w:t xml:space="preserve"> contributions to priorities</w:t>
      </w:r>
      <w:r w:rsidRPr="002848C1">
        <w:rPr>
          <w:sz w:val="21"/>
          <w:szCs w:val="21"/>
        </w:rPr>
        <w:t xml:space="preserve"> in BiH</w:t>
      </w:r>
      <w:r w:rsidR="00CC4ECE" w:rsidRPr="002848C1">
        <w:rPr>
          <w:sz w:val="21"/>
          <w:szCs w:val="21"/>
        </w:rPr>
        <w:t>.</w:t>
      </w:r>
    </w:p>
    <w:p w14:paraId="5C67C370" w14:textId="3785CD3F" w:rsidR="001374AB" w:rsidRPr="007E4270" w:rsidRDefault="00021D4E" w:rsidP="00D9559C">
      <w:pPr>
        <w:pStyle w:val="ListParagraph"/>
        <w:numPr>
          <w:ilvl w:val="0"/>
          <w:numId w:val="3"/>
        </w:numPr>
        <w:spacing w:after="120"/>
        <w:ind w:right="-360" w:hanging="502"/>
        <w:contextualSpacing w:val="0"/>
        <w:jc w:val="both"/>
        <w:rPr>
          <w:rFonts w:cstheme="minorHAnsi"/>
          <w:sz w:val="21"/>
          <w:szCs w:val="21"/>
        </w:rPr>
      </w:pPr>
      <w:r w:rsidRPr="002848C1">
        <w:rPr>
          <w:rFonts w:cstheme="minorHAnsi"/>
          <w:sz w:val="21"/>
          <w:szCs w:val="21"/>
        </w:rPr>
        <w:t xml:space="preserve">Mindful of the </w:t>
      </w:r>
      <w:r w:rsidR="00776E81" w:rsidRPr="002848C1">
        <w:rPr>
          <w:rFonts w:cstheme="minorHAnsi"/>
          <w:sz w:val="21"/>
          <w:szCs w:val="21"/>
        </w:rPr>
        <w:t xml:space="preserve">comprehensive ambition and inter-sectoral nature of the CF results and the </w:t>
      </w:r>
      <w:r w:rsidR="00905AF4" w:rsidRPr="002848C1">
        <w:rPr>
          <w:rFonts w:cstheme="minorHAnsi"/>
          <w:sz w:val="21"/>
          <w:szCs w:val="21"/>
        </w:rPr>
        <w:t>SDGs targets in BiH</w:t>
      </w:r>
      <w:r w:rsidR="00BF1D26" w:rsidRPr="002848C1">
        <w:rPr>
          <w:rFonts w:cstheme="minorHAnsi"/>
          <w:sz w:val="21"/>
          <w:szCs w:val="21"/>
        </w:rPr>
        <w:t xml:space="preserve">, </w:t>
      </w:r>
      <w:r w:rsidR="00753706" w:rsidRPr="002848C1">
        <w:rPr>
          <w:rFonts w:cstheme="minorHAnsi"/>
          <w:sz w:val="21"/>
          <w:szCs w:val="21"/>
        </w:rPr>
        <w:t xml:space="preserve">including the financial needs, </w:t>
      </w:r>
      <w:r w:rsidR="007E44CF" w:rsidRPr="002848C1">
        <w:rPr>
          <w:rFonts w:cstheme="minorHAnsi"/>
          <w:sz w:val="21"/>
          <w:szCs w:val="21"/>
        </w:rPr>
        <w:t xml:space="preserve">stronger and expended partnerships will </w:t>
      </w:r>
      <w:r w:rsidR="00222A78" w:rsidRPr="002848C1">
        <w:rPr>
          <w:rFonts w:cstheme="minorHAnsi"/>
          <w:sz w:val="21"/>
          <w:szCs w:val="21"/>
        </w:rPr>
        <w:t>be forged beyond the authorities</w:t>
      </w:r>
      <w:r w:rsidR="002664CF" w:rsidRPr="002848C1">
        <w:rPr>
          <w:rFonts w:cstheme="minorHAnsi"/>
          <w:sz w:val="21"/>
          <w:szCs w:val="21"/>
        </w:rPr>
        <w:t xml:space="preserve"> in BiH</w:t>
      </w:r>
      <w:r w:rsidR="00222A78" w:rsidRPr="002848C1">
        <w:rPr>
          <w:rFonts w:cstheme="minorHAnsi"/>
          <w:sz w:val="21"/>
          <w:szCs w:val="21"/>
        </w:rPr>
        <w:t xml:space="preserve">.  </w:t>
      </w:r>
      <w:r w:rsidR="00753706" w:rsidRPr="002848C1">
        <w:rPr>
          <w:rFonts w:cstheme="minorHAnsi"/>
          <w:sz w:val="21"/>
          <w:szCs w:val="21"/>
        </w:rPr>
        <w:t xml:space="preserve">This will include close collaboration with the civil society, </w:t>
      </w:r>
      <w:r w:rsidR="001F38A3" w:rsidRPr="002848C1">
        <w:rPr>
          <w:rFonts w:cstheme="minorHAnsi"/>
          <w:sz w:val="21"/>
          <w:szCs w:val="21"/>
        </w:rPr>
        <w:t>private sector, academi</w:t>
      </w:r>
      <w:r w:rsidR="00AF3D72" w:rsidRPr="002848C1">
        <w:rPr>
          <w:rFonts w:cstheme="minorHAnsi"/>
          <w:sz w:val="21"/>
          <w:szCs w:val="21"/>
        </w:rPr>
        <w:t xml:space="preserve">a, community groups, and international partners, </w:t>
      </w:r>
      <w:r w:rsidR="00082FAA" w:rsidRPr="002848C1">
        <w:rPr>
          <w:rFonts w:cstheme="minorHAnsi"/>
          <w:sz w:val="21"/>
          <w:szCs w:val="21"/>
        </w:rPr>
        <w:t xml:space="preserve">the IFIs and the EU in particular, in order to </w:t>
      </w:r>
      <w:r w:rsidR="00C142EB" w:rsidRPr="002848C1">
        <w:rPr>
          <w:rFonts w:cstheme="minorHAnsi"/>
          <w:sz w:val="21"/>
          <w:szCs w:val="21"/>
        </w:rPr>
        <w:t>leverage</w:t>
      </w:r>
      <w:r w:rsidR="00082FAA" w:rsidRPr="002848C1">
        <w:rPr>
          <w:rFonts w:cstheme="minorHAnsi"/>
          <w:sz w:val="21"/>
          <w:szCs w:val="21"/>
        </w:rPr>
        <w:t xml:space="preserve"> broader capacity and resource</w:t>
      </w:r>
      <w:r w:rsidR="00EA403B" w:rsidRPr="002848C1">
        <w:rPr>
          <w:rFonts w:cstheme="minorHAnsi"/>
          <w:sz w:val="21"/>
          <w:szCs w:val="21"/>
        </w:rPr>
        <w:t xml:space="preserve"> baseline </w:t>
      </w:r>
      <w:r w:rsidR="00B0527F" w:rsidRPr="002848C1">
        <w:rPr>
          <w:rFonts w:cstheme="minorHAnsi"/>
          <w:sz w:val="21"/>
          <w:szCs w:val="21"/>
        </w:rPr>
        <w:t xml:space="preserve">for the achievement of the </w:t>
      </w:r>
      <w:r w:rsidR="00C142EB" w:rsidRPr="002848C1">
        <w:rPr>
          <w:rFonts w:cstheme="minorHAnsi"/>
          <w:sz w:val="21"/>
          <w:szCs w:val="21"/>
        </w:rPr>
        <w:t>SDGs targets in BiH</w:t>
      </w:r>
      <w:r w:rsidR="000D2EB0" w:rsidRPr="002848C1">
        <w:rPr>
          <w:rFonts w:cstheme="minorHAnsi"/>
          <w:sz w:val="21"/>
          <w:szCs w:val="21"/>
        </w:rPr>
        <w:t xml:space="preserve">.  This will be achieved through a stronger convening </w:t>
      </w:r>
      <w:r w:rsidR="007C2152" w:rsidRPr="002848C1">
        <w:rPr>
          <w:rFonts w:cstheme="minorHAnsi"/>
          <w:sz w:val="21"/>
          <w:szCs w:val="21"/>
        </w:rPr>
        <w:t>role of the UN sys</w:t>
      </w:r>
      <w:r w:rsidR="00161636" w:rsidRPr="002848C1">
        <w:rPr>
          <w:rFonts w:cstheme="minorHAnsi"/>
          <w:sz w:val="21"/>
          <w:szCs w:val="21"/>
        </w:rPr>
        <w:t xml:space="preserve">tem bringing together all the relevant </w:t>
      </w:r>
      <w:r w:rsidR="00A84673" w:rsidRPr="002848C1">
        <w:rPr>
          <w:rFonts w:cstheme="minorHAnsi"/>
          <w:sz w:val="21"/>
          <w:szCs w:val="21"/>
        </w:rPr>
        <w:t xml:space="preserve">stakeholders in a coordinated and strategic manner on key SDGs-related policy </w:t>
      </w:r>
      <w:r w:rsidR="00A6077A" w:rsidRPr="002848C1">
        <w:rPr>
          <w:rFonts w:cstheme="minorHAnsi"/>
          <w:sz w:val="21"/>
          <w:szCs w:val="21"/>
        </w:rPr>
        <w:t>discussions.</w:t>
      </w:r>
      <w:r w:rsidR="008D55D3" w:rsidRPr="002848C1">
        <w:rPr>
          <w:rFonts w:cstheme="minorHAnsi"/>
          <w:sz w:val="21"/>
          <w:szCs w:val="21"/>
        </w:rPr>
        <w:t xml:space="preserve">  </w:t>
      </w:r>
      <w:r w:rsidR="00D77B1E" w:rsidRPr="002848C1">
        <w:rPr>
          <w:rFonts w:cstheme="minorHAnsi"/>
          <w:sz w:val="21"/>
          <w:szCs w:val="21"/>
        </w:rPr>
        <w:t xml:space="preserve">At the strategic level, this will be </w:t>
      </w:r>
      <w:r w:rsidR="00693E87" w:rsidRPr="002848C1">
        <w:rPr>
          <w:rFonts w:cstheme="minorHAnsi"/>
          <w:sz w:val="21"/>
          <w:szCs w:val="21"/>
        </w:rPr>
        <w:t xml:space="preserve">achieved </w:t>
      </w:r>
      <w:r w:rsidR="00011176" w:rsidRPr="002848C1">
        <w:rPr>
          <w:rFonts w:cstheme="minorHAnsi"/>
          <w:sz w:val="21"/>
          <w:szCs w:val="21"/>
        </w:rPr>
        <w:t xml:space="preserve">on an annual basis using the annual reporting and planning process </w:t>
      </w:r>
      <w:r w:rsidR="00E63058" w:rsidRPr="002848C1">
        <w:rPr>
          <w:rFonts w:cstheme="minorHAnsi"/>
          <w:sz w:val="21"/>
          <w:szCs w:val="21"/>
        </w:rPr>
        <w:t xml:space="preserve">for a broader consultative process with the </w:t>
      </w:r>
      <w:r w:rsidR="006442EC" w:rsidRPr="002848C1">
        <w:rPr>
          <w:rFonts w:cstheme="minorHAnsi"/>
          <w:sz w:val="21"/>
          <w:szCs w:val="21"/>
        </w:rPr>
        <w:t>authorities</w:t>
      </w:r>
      <w:r w:rsidR="00060040" w:rsidRPr="002848C1">
        <w:rPr>
          <w:rFonts w:cstheme="minorHAnsi"/>
          <w:sz w:val="21"/>
          <w:szCs w:val="21"/>
        </w:rPr>
        <w:t xml:space="preserve"> in BiH</w:t>
      </w:r>
      <w:r w:rsidR="006442EC" w:rsidRPr="007E4270">
        <w:rPr>
          <w:rFonts w:cstheme="minorHAnsi"/>
          <w:sz w:val="21"/>
          <w:szCs w:val="21"/>
        </w:rPr>
        <w:t xml:space="preserve"> and other stakeholders on the strategic direction of the CF implementation.</w:t>
      </w:r>
      <w:r w:rsidR="00C722AC" w:rsidRPr="007E4270">
        <w:rPr>
          <w:rFonts w:cstheme="minorHAnsi"/>
          <w:sz w:val="21"/>
          <w:szCs w:val="21"/>
        </w:rPr>
        <w:t xml:space="preserve">  This will be complemented </w:t>
      </w:r>
      <w:r w:rsidR="00323325" w:rsidRPr="007E4270">
        <w:rPr>
          <w:rFonts w:cstheme="minorHAnsi"/>
          <w:sz w:val="21"/>
          <w:szCs w:val="21"/>
        </w:rPr>
        <w:t xml:space="preserve">by strong advocacy efforts on the benefits of the SDGs implementation </w:t>
      </w:r>
      <w:r w:rsidR="00777171" w:rsidRPr="007E4270">
        <w:rPr>
          <w:rFonts w:cstheme="minorHAnsi"/>
          <w:sz w:val="21"/>
          <w:szCs w:val="21"/>
        </w:rPr>
        <w:t>for government and non-government stakeholders</w:t>
      </w:r>
      <w:r w:rsidR="003337EA" w:rsidRPr="007E4270">
        <w:rPr>
          <w:rFonts w:cstheme="minorHAnsi"/>
          <w:sz w:val="21"/>
          <w:szCs w:val="21"/>
        </w:rPr>
        <w:t xml:space="preserve">.  </w:t>
      </w:r>
      <w:r w:rsidR="006442EC" w:rsidRPr="007E4270">
        <w:rPr>
          <w:rFonts w:cstheme="minorHAnsi"/>
          <w:sz w:val="21"/>
          <w:szCs w:val="21"/>
        </w:rPr>
        <w:t>At the technical level</w:t>
      </w:r>
      <w:r w:rsidR="00543F7D" w:rsidRPr="007E4270">
        <w:rPr>
          <w:rFonts w:cstheme="minorHAnsi"/>
          <w:sz w:val="21"/>
          <w:szCs w:val="21"/>
        </w:rPr>
        <w:t xml:space="preserve">, the UN system will continue </w:t>
      </w:r>
      <w:r w:rsidR="00703184" w:rsidRPr="007E4270">
        <w:rPr>
          <w:rFonts w:cstheme="minorHAnsi"/>
          <w:sz w:val="21"/>
          <w:szCs w:val="21"/>
        </w:rPr>
        <w:t xml:space="preserve">strengthening </w:t>
      </w:r>
      <w:r w:rsidR="00E54862" w:rsidRPr="007E4270">
        <w:rPr>
          <w:rFonts w:cstheme="minorHAnsi"/>
          <w:sz w:val="21"/>
          <w:szCs w:val="21"/>
        </w:rPr>
        <w:t>and expending partnerships at the projects level</w:t>
      </w:r>
      <w:r w:rsidR="00F80D27" w:rsidRPr="007E4270">
        <w:rPr>
          <w:rFonts w:cstheme="minorHAnsi"/>
          <w:sz w:val="21"/>
          <w:szCs w:val="21"/>
        </w:rPr>
        <w:t xml:space="preserve"> </w:t>
      </w:r>
      <w:r w:rsidR="00B11C45" w:rsidRPr="007E4270">
        <w:rPr>
          <w:rFonts w:cstheme="minorHAnsi"/>
          <w:sz w:val="21"/>
          <w:szCs w:val="21"/>
        </w:rPr>
        <w:t xml:space="preserve">engaging additional non-traditional partners and leveraging </w:t>
      </w:r>
      <w:r w:rsidR="00E0623C" w:rsidRPr="007E4270">
        <w:rPr>
          <w:rFonts w:cstheme="minorHAnsi"/>
          <w:sz w:val="21"/>
          <w:szCs w:val="21"/>
        </w:rPr>
        <w:t>further potential for sustainable development efforts in BiH.</w:t>
      </w:r>
    </w:p>
    <w:p w14:paraId="1C1BDEA4" w14:textId="572AB042" w:rsidR="00F75FF7" w:rsidRPr="002848C1" w:rsidRDefault="006875CA" w:rsidP="00D9559C">
      <w:pPr>
        <w:pStyle w:val="ListParagraph"/>
        <w:numPr>
          <w:ilvl w:val="0"/>
          <w:numId w:val="3"/>
        </w:numPr>
        <w:spacing w:after="120"/>
        <w:ind w:right="-360" w:hanging="502"/>
        <w:contextualSpacing w:val="0"/>
        <w:jc w:val="both"/>
        <w:rPr>
          <w:rFonts w:cstheme="minorHAnsi"/>
          <w:sz w:val="21"/>
          <w:szCs w:val="21"/>
        </w:rPr>
      </w:pPr>
      <w:r w:rsidRPr="002848C1">
        <w:rPr>
          <w:rFonts w:cstheme="minorHAnsi"/>
          <w:color w:val="000000" w:themeColor="text1"/>
          <w:sz w:val="21"/>
          <w:szCs w:val="21"/>
          <w:lang w:val="en-GB"/>
        </w:rPr>
        <w:t>F</w:t>
      </w:r>
      <w:r w:rsidR="00F75FF7" w:rsidRPr="002848C1">
        <w:rPr>
          <w:rFonts w:cstheme="minorHAnsi"/>
          <w:color w:val="000000" w:themeColor="text1"/>
          <w:sz w:val="21"/>
          <w:szCs w:val="21"/>
          <w:lang w:val="en-GB"/>
        </w:rPr>
        <w:t>inancing strateg</w:t>
      </w:r>
      <w:r w:rsidRPr="002848C1">
        <w:rPr>
          <w:rFonts w:cstheme="minorHAnsi"/>
          <w:color w:val="000000" w:themeColor="text1"/>
          <w:sz w:val="21"/>
          <w:szCs w:val="21"/>
          <w:lang w:val="en-GB"/>
        </w:rPr>
        <w:t>ies and approaches</w:t>
      </w:r>
      <w:r w:rsidR="00F75FF7" w:rsidRPr="002848C1">
        <w:rPr>
          <w:rFonts w:cstheme="minorHAnsi"/>
          <w:color w:val="000000" w:themeColor="text1"/>
          <w:sz w:val="21"/>
          <w:szCs w:val="21"/>
          <w:lang w:val="en-GB"/>
        </w:rPr>
        <w:t xml:space="preserve"> </w:t>
      </w:r>
      <w:r w:rsidR="00CC4ECE" w:rsidRPr="002848C1">
        <w:rPr>
          <w:rFonts w:cstheme="minorHAnsi"/>
          <w:color w:val="000000" w:themeColor="text1"/>
          <w:sz w:val="21"/>
          <w:szCs w:val="21"/>
          <w:lang w:val="en-GB"/>
        </w:rPr>
        <w:t xml:space="preserve">will be developed </w:t>
      </w:r>
      <w:r w:rsidR="00F75FF7" w:rsidRPr="002848C1">
        <w:rPr>
          <w:rFonts w:cstheme="minorHAnsi"/>
          <w:color w:val="000000" w:themeColor="text1"/>
          <w:sz w:val="21"/>
          <w:szCs w:val="21"/>
          <w:lang w:val="en-GB"/>
        </w:rPr>
        <w:t xml:space="preserve">to address </w:t>
      </w:r>
      <w:r w:rsidR="00174B9E" w:rsidRPr="002848C1">
        <w:rPr>
          <w:rFonts w:cstheme="minorHAnsi"/>
          <w:color w:val="000000" w:themeColor="text1"/>
          <w:sz w:val="21"/>
          <w:szCs w:val="21"/>
          <w:lang w:val="en-GB"/>
        </w:rPr>
        <w:t>(1) F</w:t>
      </w:r>
      <w:r w:rsidR="00F75FF7" w:rsidRPr="002848C1">
        <w:rPr>
          <w:rFonts w:cstheme="minorHAnsi"/>
          <w:color w:val="000000" w:themeColor="text1"/>
          <w:sz w:val="21"/>
          <w:szCs w:val="21"/>
          <w:lang w:val="en-GB"/>
        </w:rPr>
        <w:t>unding gaps for CF outcomes and</w:t>
      </w:r>
      <w:r w:rsidR="00CC4ECE" w:rsidRPr="002848C1">
        <w:rPr>
          <w:rFonts w:cstheme="minorHAnsi"/>
          <w:color w:val="000000" w:themeColor="text1"/>
          <w:sz w:val="21"/>
          <w:szCs w:val="21"/>
          <w:lang w:val="en-GB"/>
        </w:rPr>
        <w:t xml:space="preserve">, pending its endorsement by </w:t>
      </w:r>
      <w:r w:rsidR="005768D5" w:rsidRPr="002848C1">
        <w:rPr>
          <w:rFonts w:cstheme="minorHAnsi"/>
          <w:color w:val="000000" w:themeColor="text1"/>
          <w:sz w:val="21"/>
          <w:szCs w:val="21"/>
          <w:lang w:val="en-GB"/>
        </w:rPr>
        <w:t>the</w:t>
      </w:r>
      <w:r w:rsidR="008C1408" w:rsidRPr="002848C1">
        <w:rPr>
          <w:rFonts w:cstheme="minorHAnsi"/>
          <w:color w:val="000000" w:themeColor="text1"/>
          <w:sz w:val="21"/>
          <w:szCs w:val="21"/>
          <w:lang w:val="en-GB"/>
        </w:rPr>
        <w:t xml:space="preserve"> authorities</w:t>
      </w:r>
      <w:r w:rsidR="005768D5" w:rsidRPr="002848C1">
        <w:rPr>
          <w:rFonts w:cstheme="minorHAnsi"/>
          <w:color w:val="000000" w:themeColor="text1"/>
          <w:sz w:val="21"/>
          <w:szCs w:val="21"/>
          <w:lang w:val="en-GB"/>
        </w:rPr>
        <w:t xml:space="preserve"> in BiH</w:t>
      </w:r>
      <w:r w:rsidR="00CC4ECE" w:rsidRPr="002848C1">
        <w:rPr>
          <w:rFonts w:cstheme="minorHAnsi"/>
          <w:color w:val="000000" w:themeColor="text1"/>
          <w:sz w:val="21"/>
          <w:szCs w:val="21"/>
          <w:lang w:val="en-GB"/>
        </w:rPr>
        <w:t xml:space="preserve">, </w:t>
      </w:r>
      <w:r w:rsidR="00174B9E" w:rsidRPr="002848C1">
        <w:rPr>
          <w:rFonts w:cstheme="minorHAnsi"/>
          <w:color w:val="000000" w:themeColor="text1"/>
          <w:sz w:val="21"/>
          <w:szCs w:val="21"/>
          <w:lang w:val="en-GB"/>
        </w:rPr>
        <w:t xml:space="preserve">(2) </w:t>
      </w:r>
      <w:r w:rsidR="00A7337C" w:rsidRPr="002848C1">
        <w:rPr>
          <w:rFonts w:cstheme="minorHAnsi"/>
          <w:color w:val="000000" w:themeColor="text1"/>
          <w:sz w:val="21"/>
          <w:szCs w:val="21"/>
          <w:lang w:val="en-GB"/>
        </w:rPr>
        <w:t xml:space="preserve">Achievement of the </w:t>
      </w:r>
      <w:r w:rsidR="00CC4ECE" w:rsidRPr="002848C1">
        <w:rPr>
          <w:rFonts w:cstheme="minorHAnsi"/>
          <w:color w:val="000000" w:themeColor="text1"/>
          <w:sz w:val="21"/>
          <w:szCs w:val="21"/>
          <w:lang w:val="en"/>
        </w:rPr>
        <w:t>SDG Framework in BiH and domesticated SDG targets</w:t>
      </w:r>
      <w:r w:rsidR="00CC4ECE" w:rsidRPr="002848C1">
        <w:rPr>
          <w:rFonts w:cstheme="minorHAnsi"/>
          <w:color w:val="000000" w:themeColor="text1"/>
          <w:sz w:val="21"/>
          <w:szCs w:val="21"/>
          <w:vertAlign w:val="superscript"/>
          <w:lang w:val="en"/>
        </w:rPr>
        <w:footnoteReference w:id="120"/>
      </w:r>
      <w:r w:rsidR="00CC4ECE" w:rsidRPr="002848C1">
        <w:rPr>
          <w:rFonts w:cstheme="minorHAnsi"/>
          <w:color w:val="000000" w:themeColor="text1"/>
          <w:sz w:val="21"/>
          <w:szCs w:val="21"/>
          <w:lang w:val="en"/>
        </w:rPr>
        <w:t xml:space="preserve">. </w:t>
      </w:r>
      <w:r w:rsidR="00174B9E" w:rsidRPr="002848C1">
        <w:rPr>
          <w:rFonts w:cstheme="minorHAnsi"/>
          <w:color w:val="000000" w:themeColor="text1"/>
          <w:sz w:val="21"/>
          <w:szCs w:val="21"/>
          <w:lang w:val="en"/>
        </w:rPr>
        <w:t>For the SDG framework</w:t>
      </w:r>
      <w:r w:rsidR="00A7337C" w:rsidRPr="002848C1">
        <w:rPr>
          <w:rFonts w:cstheme="minorHAnsi"/>
          <w:color w:val="000000" w:themeColor="text1"/>
          <w:sz w:val="21"/>
          <w:szCs w:val="21"/>
          <w:lang w:val="en"/>
        </w:rPr>
        <w:t xml:space="preserve"> this w</w:t>
      </w:r>
      <w:r w:rsidR="00174B9E" w:rsidRPr="002848C1">
        <w:rPr>
          <w:rFonts w:cstheme="minorHAnsi"/>
          <w:color w:val="000000" w:themeColor="text1"/>
          <w:sz w:val="21"/>
          <w:szCs w:val="21"/>
          <w:lang w:val="en-GB"/>
        </w:rPr>
        <w:t xml:space="preserve">ill involve costing of the </w:t>
      </w:r>
      <w:r w:rsidR="00A7337C" w:rsidRPr="002848C1">
        <w:rPr>
          <w:rFonts w:cstheme="minorHAnsi"/>
          <w:color w:val="000000" w:themeColor="text1"/>
          <w:sz w:val="21"/>
          <w:szCs w:val="21"/>
          <w:lang w:val="en-GB"/>
        </w:rPr>
        <w:t xml:space="preserve">framework and mapping and alignment of sector budgets against the SDG pathways and drivers. </w:t>
      </w:r>
      <w:r w:rsidR="00465CA0" w:rsidRPr="002848C1">
        <w:rPr>
          <w:rFonts w:cstheme="minorHAnsi"/>
          <w:color w:val="000000" w:themeColor="text1"/>
          <w:sz w:val="21"/>
          <w:szCs w:val="21"/>
          <w:lang w:val="en-GB"/>
        </w:rPr>
        <w:t xml:space="preserve">All funding and financing strategies will </w:t>
      </w:r>
      <w:r w:rsidR="00F75FF7" w:rsidRPr="002848C1">
        <w:rPr>
          <w:rFonts w:cstheme="minorHAnsi"/>
          <w:color w:val="000000" w:themeColor="text1"/>
          <w:sz w:val="21"/>
          <w:szCs w:val="21"/>
        </w:rPr>
        <w:t>promote cost-sharing and stronger partnerships with the private sector, including individual donors and corporate partners</w:t>
      </w:r>
      <w:r w:rsidR="00465CA0" w:rsidRPr="002848C1">
        <w:rPr>
          <w:rFonts w:cstheme="minorHAnsi"/>
          <w:color w:val="000000" w:themeColor="text1"/>
          <w:sz w:val="21"/>
          <w:szCs w:val="21"/>
        </w:rPr>
        <w:t>.</w:t>
      </w:r>
      <w:r w:rsidR="00F75FF7" w:rsidRPr="002848C1">
        <w:rPr>
          <w:rFonts w:cstheme="minorHAnsi"/>
          <w:color w:val="000000" w:themeColor="text1"/>
          <w:sz w:val="21"/>
          <w:szCs w:val="21"/>
        </w:rPr>
        <w:t xml:space="preserve"> New </w:t>
      </w:r>
      <w:r w:rsidR="00F75FF7" w:rsidRPr="002848C1">
        <w:rPr>
          <w:rFonts w:cstheme="minorHAnsi"/>
          <w:color w:val="000000" w:themeColor="text1"/>
          <w:sz w:val="21"/>
          <w:szCs w:val="21"/>
          <w:lang w:val="en-GB"/>
        </w:rPr>
        <w:t>sources of finance will be identified, including options for blended finance and influencing the policy environment to facilitate greater resource flows for SDG-related country priorities.</w:t>
      </w:r>
    </w:p>
    <w:p w14:paraId="7438EB67" w14:textId="77777777" w:rsidR="00A62677" w:rsidRPr="002848C1" w:rsidRDefault="00A62677" w:rsidP="00D9559C">
      <w:pPr>
        <w:pStyle w:val="ListParagraph"/>
        <w:numPr>
          <w:ilvl w:val="0"/>
          <w:numId w:val="0"/>
        </w:numPr>
        <w:spacing w:after="120"/>
        <w:ind w:left="360" w:right="-360"/>
        <w:contextualSpacing w:val="0"/>
        <w:jc w:val="both"/>
        <w:rPr>
          <w:b/>
          <w:color w:val="0F243E" w:themeColor="text2" w:themeShade="80"/>
          <w:sz w:val="24"/>
        </w:rPr>
      </w:pPr>
      <w:r w:rsidRPr="002848C1">
        <w:rPr>
          <w:b/>
          <w:color w:val="0F243E" w:themeColor="text2" w:themeShade="80"/>
          <w:sz w:val="24"/>
        </w:rPr>
        <w:t>4.2 Governance</w:t>
      </w:r>
      <w:r w:rsidRPr="002848C1">
        <w:rPr>
          <w:b/>
          <w:color w:val="0F243E" w:themeColor="text2" w:themeShade="80"/>
          <w:sz w:val="24"/>
        </w:rPr>
        <w:fldChar w:fldCharType="begin"/>
      </w:r>
      <w:r w:rsidRPr="002848C1">
        <w:rPr>
          <w:color w:val="0F243E" w:themeColor="text2" w:themeShade="80"/>
        </w:rPr>
        <w:instrText xml:space="preserve"> TC "</w:instrText>
      </w:r>
      <w:bookmarkStart w:id="68" w:name="_Toc26184406"/>
      <w:bookmarkStart w:id="69" w:name="_Toc38899130"/>
      <w:r w:rsidRPr="002848C1">
        <w:rPr>
          <w:b/>
          <w:color w:val="0F243E" w:themeColor="text2" w:themeShade="80"/>
          <w:sz w:val="24"/>
        </w:rPr>
        <w:instrText>4.2 Gover</w:instrText>
      </w:r>
      <w:r w:rsidR="00CD61E2" w:rsidRPr="002848C1">
        <w:rPr>
          <w:b/>
          <w:color w:val="0F243E" w:themeColor="text2" w:themeShade="80"/>
          <w:sz w:val="24"/>
        </w:rPr>
        <w:instrText>n</w:instrText>
      </w:r>
      <w:r w:rsidRPr="002848C1">
        <w:rPr>
          <w:b/>
          <w:color w:val="0F243E" w:themeColor="text2" w:themeShade="80"/>
          <w:sz w:val="24"/>
        </w:rPr>
        <w:instrText>ance</w:instrText>
      </w:r>
      <w:bookmarkEnd w:id="68"/>
      <w:bookmarkEnd w:id="69"/>
      <w:r w:rsidRPr="002848C1">
        <w:rPr>
          <w:color w:val="0F243E" w:themeColor="text2" w:themeShade="80"/>
        </w:rPr>
        <w:instrText xml:space="preserve">" \f C \l "2" </w:instrText>
      </w:r>
      <w:r w:rsidRPr="002848C1">
        <w:rPr>
          <w:b/>
          <w:color w:val="0F243E" w:themeColor="text2" w:themeShade="80"/>
          <w:sz w:val="24"/>
        </w:rPr>
        <w:fldChar w:fldCharType="end"/>
      </w:r>
    </w:p>
    <w:p w14:paraId="46ABC69A" w14:textId="231FB51E" w:rsidR="00CC4ECE" w:rsidRPr="002848C1" w:rsidRDefault="00CC4ECE" w:rsidP="00D9559C">
      <w:pPr>
        <w:pStyle w:val="ListParagraph"/>
        <w:numPr>
          <w:ilvl w:val="0"/>
          <w:numId w:val="3"/>
        </w:numPr>
        <w:spacing w:after="120"/>
        <w:ind w:right="-360" w:hanging="502"/>
        <w:contextualSpacing w:val="0"/>
        <w:jc w:val="both"/>
        <w:rPr>
          <w:sz w:val="21"/>
          <w:szCs w:val="21"/>
        </w:rPr>
      </w:pPr>
      <w:r w:rsidRPr="002848C1">
        <w:rPr>
          <w:rFonts w:ascii="Calibri" w:hAnsi="Calibri" w:cs="Calibri"/>
          <w:color w:val="000000"/>
          <w:sz w:val="21"/>
          <w:szCs w:val="21"/>
        </w:rPr>
        <w:t xml:space="preserve">The </w:t>
      </w:r>
      <w:r w:rsidR="00E87A93" w:rsidRPr="002848C1">
        <w:rPr>
          <w:rFonts w:ascii="Calibri" w:hAnsi="Calibri" w:cs="Calibri"/>
          <w:color w:val="000000"/>
          <w:sz w:val="21"/>
          <w:szCs w:val="21"/>
        </w:rPr>
        <w:t>CF</w:t>
      </w:r>
      <w:r w:rsidRPr="002848C1">
        <w:rPr>
          <w:rFonts w:ascii="Calibri" w:hAnsi="Calibri" w:cs="Calibri"/>
          <w:color w:val="000000"/>
          <w:sz w:val="21"/>
          <w:szCs w:val="21"/>
        </w:rPr>
        <w:t xml:space="preserve"> will be executed under the overall co-ordination of the</w:t>
      </w:r>
      <w:r w:rsidR="000168E3" w:rsidRPr="002848C1">
        <w:rPr>
          <w:rFonts w:ascii="Calibri" w:hAnsi="Calibri" w:cs="Calibri"/>
          <w:color w:val="000000"/>
          <w:sz w:val="21"/>
          <w:szCs w:val="21"/>
        </w:rPr>
        <w:t xml:space="preserve"> </w:t>
      </w:r>
      <w:r w:rsidR="00BB1EB5" w:rsidRPr="002848C1">
        <w:rPr>
          <w:rFonts w:ascii="Calibri" w:hAnsi="Calibri" w:cs="Calibri"/>
          <w:color w:val="000000"/>
          <w:sz w:val="21"/>
          <w:szCs w:val="21"/>
        </w:rPr>
        <w:t xml:space="preserve">CF </w:t>
      </w:r>
      <w:r w:rsidR="000168E3" w:rsidRPr="002848C1">
        <w:rPr>
          <w:rFonts w:ascii="Calibri" w:hAnsi="Calibri" w:cs="Calibri"/>
          <w:color w:val="000000"/>
          <w:sz w:val="21"/>
          <w:szCs w:val="21"/>
        </w:rPr>
        <w:t>Steering Committee</w:t>
      </w:r>
      <w:r w:rsidR="00E70094" w:rsidRPr="002848C1">
        <w:rPr>
          <w:rFonts w:ascii="Calibri" w:hAnsi="Calibri" w:cs="Calibri"/>
          <w:color w:val="000000"/>
          <w:sz w:val="21"/>
          <w:szCs w:val="21"/>
        </w:rPr>
        <w:t xml:space="preserve"> in BiH</w:t>
      </w:r>
      <w:r w:rsidRPr="002848C1">
        <w:rPr>
          <w:rFonts w:ascii="Calibri" w:hAnsi="Calibri" w:cs="Calibri"/>
          <w:color w:val="000000"/>
          <w:sz w:val="21"/>
          <w:szCs w:val="21"/>
        </w:rPr>
        <w:t xml:space="preserve">. Coordinating authorities for specific UN system agency programmes are noted in Annex B. </w:t>
      </w:r>
      <w:r w:rsidR="00032F05" w:rsidRPr="002848C1">
        <w:rPr>
          <w:rFonts w:ascii="Calibri" w:hAnsi="Calibri" w:cs="Calibri"/>
          <w:color w:val="000000"/>
          <w:sz w:val="21"/>
          <w:szCs w:val="21"/>
        </w:rPr>
        <w:t>The</w:t>
      </w:r>
      <w:r w:rsidR="008C1408" w:rsidRPr="002848C1">
        <w:rPr>
          <w:rFonts w:ascii="Calibri" w:hAnsi="Calibri" w:cs="Calibri"/>
          <w:color w:val="000000"/>
          <w:sz w:val="21"/>
          <w:szCs w:val="21"/>
        </w:rPr>
        <w:t xml:space="preserve"> authorities</w:t>
      </w:r>
      <w:r w:rsidR="00032F05" w:rsidRPr="002848C1">
        <w:rPr>
          <w:rFonts w:ascii="Calibri" w:hAnsi="Calibri" w:cs="Calibri"/>
          <w:color w:val="000000"/>
          <w:sz w:val="21"/>
          <w:szCs w:val="21"/>
        </w:rPr>
        <w:t xml:space="preserve"> in BiH</w:t>
      </w:r>
      <w:r w:rsidRPr="002848C1">
        <w:rPr>
          <w:rFonts w:ascii="Calibri" w:hAnsi="Calibri" w:cs="Calibri"/>
          <w:color w:val="000000"/>
          <w:sz w:val="21"/>
          <w:szCs w:val="21"/>
        </w:rPr>
        <w:t xml:space="preserve">, NGOs, INGOs and UN system agencies will implement programme activities. The CF will be made operational through the development of joint </w:t>
      </w:r>
      <w:r w:rsidR="005D7068" w:rsidRPr="002848C1">
        <w:rPr>
          <w:rFonts w:ascii="Calibri" w:hAnsi="Calibri" w:cs="Calibri"/>
          <w:color w:val="000000"/>
          <w:sz w:val="21"/>
          <w:szCs w:val="21"/>
        </w:rPr>
        <w:t xml:space="preserve">UN </w:t>
      </w:r>
      <w:r w:rsidRPr="002848C1">
        <w:rPr>
          <w:rFonts w:ascii="Calibri" w:hAnsi="Calibri" w:cs="Calibri"/>
          <w:color w:val="000000"/>
          <w:sz w:val="21"/>
          <w:szCs w:val="21"/>
        </w:rPr>
        <w:t xml:space="preserve">work plan(s) (JWPs) and project documents as necessary which describe the specific results to be achieved and will form an agreement between the UN system agencies and each implementing partner as necessary on the use of resources. To the extent possible the UN system agencies and partners will use the minimum documents necessary, namely the signed CF and </w:t>
      </w:r>
      <w:r w:rsidR="00EB7D4E" w:rsidRPr="002848C1">
        <w:rPr>
          <w:rFonts w:ascii="Calibri" w:hAnsi="Calibri" w:cs="Calibri"/>
          <w:color w:val="000000"/>
          <w:sz w:val="21"/>
          <w:szCs w:val="21"/>
        </w:rPr>
        <w:t>endorsed</w:t>
      </w:r>
      <w:r w:rsidRPr="002848C1">
        <w:rPr>
          <w:rFonts w:ascii="Calibri" w:hAnsi="Calibri" w:cs="Calibri"/>
          <w:color w:val="000000"/>
          <w:sz w:val="21"/>
          <w:szCs w:val="21"/>
        </w:rPr>
        <w:t xml:space="preserve"> </w:t>
      </w:r>
      <w:r w:rsidR="005D7068" w:rsidRPr="002848C1">
        <w:rPr>
          <w:rFonts w:ascii="Calibri" w:hAnsi="Calibri" w:cs="Calibri"/>
          <w:color w:val="000000"/>
          <w:sz w:val="21"/>
          <w:szCs w:val="21"/>
        </w:rPr>
        <w:t>JWPs</w:t>
      </w:r>
      <w:r w:rsidRPr="002848C1">
        <w:rPr>
          <w:rFonts w:ascii="Calibri" w:hAnsi="Calibri" w:cs="Calibri"/>
          <w:color w:val="000000"/>
          <w:sz w:val="21"/>
          <w:szCs w:val="21"/>
        </w:rPr>
        <w:t xml:space="preserve"> and project documents to implement programmatic initiatives. However, as necessary and appropriate, project documents can be prepare</w:t>
      </w:r>
      <w:r w:rsidR="004E6ED3" w:rsidRPr="002848C1">
        <w:rPr>
          <w:rFonts w:ascii="Calibri" w:hAnsi="Calibri" w:cs="Calibri"/>
          <w:color w:val="000000"/>
          <w:sz w:val="21"/>
          <w:szCs w:val="21"/>
        </w:rPr>
        <w:t>d</w:t>
      </w:r>
      <w:r w:rsidRPr="002848C1">
        <w:rPr>
          <w:rFonts w:ascii="Calibri" w:hAnsi="Calibri" w:cs="Calibri"/>
          <w:color w:val="000000"/>
          <w:sz w:val="21"/>
          <w:szCs w:val="21"/>
        </w:rPr>
        <w:t xml:space="preserve"> using, inter alia, the relevant text from the CF and </w:t>
      </w:r>
      <w:r w:rsidR="00791CCE" w:rsidRPr="002848C1">
        <w:rPr>
          <w:rFonts w:ascii="Calibri" w:hAnsi="Calibri" w:cs="Calibri"/>
          <w:color w:val="000000"/>
          <w:sz w:val="21"/>
          <w:szCs w:val="21"/>
        </w:rPr>
        <w:t>JWPs</w:t>
      </w:r>
      <w:r w:rsidRPr="002848C1">
        <w:rPr>
          <w:rStyle w:val="FootnoteReference"/>
          <w:rFonts w:ascii="Calibri" w:hAnsi="Calibri" w:cs="Calibri"/>
          <w:color w:val="000000"/>
          <w:sz w:val="21"/>
          <w:szCs w:val="21"/>
        </w:rPr>
        <w:footnoteReference w:id="121"/>
      </w:r>
      <w:r w:rsidRPr="002848C1">
        <w:rPr>
          <w:rFonts w:ascii="Calibri" w:hAnsi="Calibri" w:cs="Calibri"/>
          <w:color w:val="000000"/>
          <w:sz w:val="21"/>
          <w:szCs w:val="21"/>
        </w:rPr>
        <w:t xml:space="preserve">. </w:t>
      </w:r>
    </w:p>
    <w:p w14:paraId="5677E869" w14:textId="77777777" w:rsidR="00A62677" w:rsidRPr="002848C1" w:rsidRDefault="00EF6A53" w:rsidP="00D9559C">
      <w:pPr>
        <w:pStyle w:val="ListParagraph"/>
        <w:numPr>
          <w:ilvl w:val="0"/>
          <w:numId w:val="3"/>
        </w:numPr>
        <w:spacing w:after="120"/>
        <w:ind w:right="-360" w:hanging="502"/>
        <w:contextualSpacing w:val="0"/>
        <w:jc w:val="both"/>
        <w:rPr>
          <w:sz w:val="21"/>
          <w:szCs w:val="21"/>
        </w:rPr>
      </w:pPr>
      <w:r w:rsidRPr="002848C1">
        <w:rPr>
          <w:sz w:val="21"/>
          <w:szCs w:val="21"/>
        </w:rPr>
        <w:t>G</w:t>
      </w:r>
      <w:r w:rsidR="00A62677" w:rsidRPr="002848C1">
        <w:rPr>
          <w:sz w:val="21"/>
          <w:szCs w:val="21"/>
        </w:rPr>
        <w:t>overnance arrangements for the CF will enhance joint work and reduce duplication:</w:t>
      </w:r>
    </w:p>
    <w:p w14:paraId="6C1CBFCF" w14:textId="77777777" w:rsidR="00B24CCE" w:rsidRPr="002848C1" w:rsidRDefault="00B24CCE" w:rsidP="00D9559C">
      <w:pPr>
        <w:pStyle w:val="ListParagraph"/>
        <w:numPr>
          <w:ilvl w:val="0"/>
          <w:numId w:val="0"/>
        </w:numPr>
        <w:spacing w:after="120"/>
        <w:ind w:left="360" w:right="-360"/>
        <w:contextualSpacing w:val="0"/>
        <w:jc w:val="both"/>
        <w:rPr>
          <w:sz w:val="21"/>
          <w:szCs w:val="21"/>
        </w:rPr>
      </w:pPr>
      <w:r w:rsidRPr="002848C1">
        <w:rPr>
          <w:b/>
          <w:noProof/>
          <w:color w:val="000000" w:themeColor="text1"/>
        </w:rPr>
        <w:t>Steering committeee</w:t>
      </w:r>
    </w:p>
    <w:p w14:paraId="25F76568" w14:textId="21AE1928" w:rsidR="00B24CCE" w:rsidRPr="00A7040F" w:rsidRDefault="00B24CCE" w:rsidP="00D9559C">
      <w:pPr>
        <w:numPr>
          <w:ilvl w:val="0"/>
          <w:numId w:val="3"/>
        </w:numPr>
        <w:spacing w:after="120" w:line="240" w:lineRule="auto"/>
        <w:ind w:right="-360" w:hanging="502"/>
        <w:jc w:val="both"/>
        <w:rPr>
          <w:b/>
          <w:sz w:val="21"/>
          <w:szCs w:val="21"/>
        </w:rPr>
      </w:pPr>
      <w:r w:rsidRPr="002848C1">
        <w:rPr>
          <w:sz w:val="21"/>
          <w:szCs w:val="21"/>
          <w:lang w:val="en-GB"/>
        </w:rPr>
        <w:t xml:space="preserve">The CF Steering Committee (SC) </w:t>
      </w:r>
      <w:r w:rsidRPr="002848C1">
        <w:rPr>
          <w:iCs/>
          <w:sz w:val="21"/>
          <w:szCs w:val="21"/>
          <w:lang w:val="en-US"/>
        </w:rPr>
        <w:t>provides s</w:t>
      </w:r>
      <w:r w:rsidRPr="002848C1">
        <w:rPr>
          <w:rFonts w:cstheme="minorHAnsi"/>
          <w:iCs/>
          <w:color w:val="000000"/>
          <w:sz w:val="21"/>
          <w:szCs w:val="21"/>
        </w:rPr>
        <w:t xml:space="preserve">trategic guidance and direction and reviews overall performance of the CF. Membership and decision-making </w:t>
      </w:r>
      <w:r w:rsidRPr="002848C1">
        <w:rPr>
          <w:rStyle w:val="normaltextrun"/>
          <w:color w:val="000000"/>
          <w:sz w:val="21"/>
          <w:szCs w:val="21"/>
          <w:shd w:val="clear" w:color="auto" w:fill="FFFFFF"/>
        </w:rPr>
        <w:t>will be inclusive, adapted to the BiH context. It is co-chaired by the UN Resident Coordinator (RC) and a designated coordinating representative of the authorities</w:t>
      </w:r>
      <w:r w:rsidR="00B0791E" w:rsidRPr="002848C1">
        <w:rPr>
          <w:rStyle w:val="normaltextrun"/>
          <w:color w:val="000000"/>
          <w:sz w:val="21"/>
          <w:szCs w:val="21"/>
          <w:shd w:val="clear" w:color="auto" w:fill="FFFFFF"/>
        </w:rPr>
        <w:t xml:space="preserve"> in BiH</w:t>
      </w:r>
      <w:r w:rsidRPr="002848C1">
        <w:rPr>
          <w:rStyle w:val="normaltextrun"/>
          <w:color w:val="000000"/>
          <w:sz w:val="21"/>
          <w:szCs w:val="21"/>
          <w:shd w:val="clear" w:color="auto" w:fill="FFFFFF"/>
        </w:rPr>
        <w:t xml:space="preserve">. </w:t>
      </w:r>
      <w:r w:rsidRPr="002848C1">
        <w:rPr>
          <w:sz w:val="21"/>
          <w:szCs w:val="21"/>
          <w:lang w:val="en-GB"/>
        </w:rPr>
        <w:t xml:space="preserve"> Its members will comprise representatives of BiH authorities and the heads of UN system agencies.</w:t>
      </w:r>
      <w:r w:rsidRPr="002848C1">
        <w:rPr>
          <w:sz w:val="21"/>
          <w:szCs w:val="21"/>
          <w:lang w:val="en-US"/>
        </w:rPr>
        <w:t xml:space="preserve"> It meets at least once per year and may be convened by the co-chairs as required. </w:t>
      </w:r>
      <w:r w:rsidRPr="002848C1">
        <w:rPr>
          <w:sz w:val="21"/>
          <w:szCs w:val="21"/>
          <w:lang w:val="en-GB"/>
        </w:rPr>
        <w:t xml:space="preserve">The work of the SC will be supported by </w:t>
      </w:r>
      <w:r w:rsidRPr="002848C1">
        <w:rPr>
          <w:sz w:val="21"/>
          <w:szCs w:val="21"/>
          <w:lang w:val="en-US"/>
        </w:rPr>
        <w:t xml:space="preserve">the </w:t>
      </w:r>
      <w:r w:rsidR="00BB1EB5" w:rsidRPr="002848C1">
        <w:rPr>
          <w:sz w:val="21"/>
          <w:szCs w:val="21"/>
          <w:lang w:val="en-US"/>
        </w:rPr>
        <w:t xml:space="preserve">office of the </w:t>
      </w:r>
      <w:r w:rsidRPr="002848C1">
        <w:rPr>
          <w:sz w:val="21"/>
          <w:szCs w:val="21"/>
          <w:lang w:val="en-US"/>
        </w:rPr>
        <w:t>UN Resident Coordinator (RCO)</w:t>
      </w:r>
      <w:r w:rsidRPr="002848C1">
        <w:rPr>
          <w:sz w:val="21"/>
          <w:szCs w:val="21"/>
          <w:lang w:val="en-GB"/>
        </w:rPr>
        <w:t xml:space="preserve">, acting as secretariat.  </w:t>
      </w:r>
      <w:r w:rsidR="00F13C47" w:rsidRPr="002848C1">
        <w:rPr>
          <w:rFonts w:cstheme="minorHAnsi"/>
          <w:iCs/>
          <w:color w:val="000000"/>
          <w:sz w:val="21"/>
          <w:szCs w:val="21"/>
        </w:rPr>
        <w:t xml:space="preserve">Discussions and decisions of the SC will be reported to relevant levels of </w:t>
      </w:r>
      <w:r w:rsidR="00B0791E" w:rsidRPr="002848C1">
        <w:rPr>
          <w:rFonts w:cstheme="minorHAnsi"/>
          <w:iCs/>
          <w:color w:val="000000"/>
          <w:sz w:val="21"/>
          <w:szCs w:val="21"/>
        </w:rPr>
        <w:t>the</w:t>
      </w:r>
      <w:r w:rsidR="00F13C47" w:rsidRPr="002848C1">
        <w:rPr>
          <w:rFonts w:cstheme="minorHAnsi"/>
          <w:iCs/>
          <w:color w:val="000000"/>
          <w:sz w:val="21"/>
          <w:szCs w:val="21"/>
        </w:rPr>
        <w:t xml:space="preserve"> authorities</w:t>
      </w:r>
      <w:r w:rsidR="00B0791E" w:rsidRPr="002848C1">
        <w:rPr>
          <w:rFonts w:cstheme="minorHAnsi"/>
          <w:iCs/>
          <w:color w:val="000000"/>
          <w:sz w:val="21"/>
          <w:szCs w:val="21"/>
        </w:rPr>
        <w:t xml:space="preserve"> in BiH</w:t>
      </w:r>
      <w:r w:rsidR="00F13C47" w:rsidRPr="002848C1">
        <w:rPr>
          <w:rFonts w:cstheme="minorHAnsi"/>
          <w:iCs/>
          <w:color w:val="000000"/>
          <w:sz w:val="21"/>
          <w:szCs w:val="21"/>
        </w:rPr>
        <w:t xml:space="preserve"> for formal information sharing and accountability.</w:t>
      </w:r>
      <w:r w:rsidR="00F13C47" w:rsidRPr="002848C1">
        <w:rPr>
          <w:sz w:val="21"/>
          <w:szCs w:val="21"/>
        </w:rPr>
        <w:t xml:space="preserve"> </w:t>
      </w:r>
      <w:r w:rsidRPr="002848C1">
        <w:rPr>
          <w:sz w:val="21"/>
          <w:szCs w:val="21"/>
        </w:rPr>
        <w:t xml:space="preserve">Regular liaison and information-sharing </w:t>
      </w:r>
      <w:r w:rsidR="00F13C47" w:rsidRPr="002848C1">
        <w:rPr>
          <w:sz w:val="21"/>
          <w:szCs w:val="21"/>
        </w:rPr>
        <w:t xml:space="preserve">will be established </w:t>
      </w:r>
      <w:r w:rsidRPr="002848C1">
        <w:rPr>
          <w:sz w:val="21"/>
          <w:szCs w:val="21"/>
        </w:rPr>
        <w:t>between the SC and the future institutional</w:t>
      </w:r>
      <w:r w:rsidRPr="005F596A">
        <w:rPr>
          <w:sz w:val="21"/>
          <w:szCs w:val="21"/>
        </w:rPr>
        <w:t xml:space="preserve"> mechanism for the SDG framework in BiH</w:t>
      </w:r>
      <w:r w:rsidRPr="00BB1EB5">
        <w:rPr>
          <w:sz w:val="21"/>
          <w:szCs w:val="21"/>
        </w:rPr>
        <w:t xml:space="preserve"> </w:t>
      </w:r>
      <w:r>
        <w:rPr>
          <w:sz w:val="21"/>
          <w:szCs w:val="21"/>
        </w:rPr>
        <w:t>to ensure full alignment of the CF with SDG-related planning and implementation activities in BiH.</w:t>
      </w:r>
      <w:r w:rsidR="00AA00D0">
        <w:rPr>
          <w:sz w:val="21"/>
          <w:szCs w:val="21"/>
        </w:rPr>
        <w:t xml:space="preserve"> </w:t>
      </w:r>
    </w:p>
    <w:p w14:paraId="1EFA0E57" w14:textId="1D167367" w:rsidR="00B24CCE" w:rsidRPr="00001D7B" w:rsidRDefault="00B24CCE" w:rsidP="00D9559C">
      <w:pPr>
        <w:pStyle w:val="ListParagraph"/>
        <w:numPr>
          <w:ilvl w:val="0"/>
          <w:numId w:val="0"/>
        </w:numPr>
        <w:spacing w:after="120"/>
        <w:ind w:left="357" w:right="-360"/>
        <w:contextualSpacing w:val="0"/>
        <w:jc w:val="both"/>
        <w:rPr>
          <w:sz w:val="21"/>
          <w:szCs w:val="21"/>
        </w:rPr>
      </w:pPr>
      <w:r>
        <w:rPr>
          <w:b/>
          <w:noProof/>
          <w:color w:val="000000" w:themeColor="text1"/>
        </w:rPr>
        <w:t>Programme Management Team</w:t>
      </w:r>
      <w:r w:rsidR="00B4038A">
        <w:rPr>
          <w:b/>
          <w:noProof/>
          <w:color w:val="000000" w:themeColor="text1"/>
        </w:rPr>
        <w:t xml:space="preserve"> (PMT)</w:t>
      </w:r>
    </w:p>
    <w:p w14:paraId="7A04E4FC" w14:textId="79406B1D" w:rsidR="00B24CCE" w:rsidRPr="007E4270" w:rsidRDefault="00B24CCE" w:rsidP="00D9559C">
      <w:pPr>
        <w:numPr>
          <w:ilvl w:val="0"/>
          <w:numId w:val="3"/>
        </w:numPr>
        <w:spacing w:after="120" w:line="240" w:lineRule="auto"/>
        <w:ind w:right="-360" w:hanging="502"/>
        <w:jc w:val="both"/>
        <w:rPr>
          <w:sz w:val="21"/>
          <w:szCs w:val="21"/>
          <w:lang w:val="en-US"/>
        </w:rPr>
      </w:pPr>
      <w:r w:rsidRPr="00362981">
        <w:rPr>
          <w:sz w:val="21"/>
          <w:szCs w:val="21"/>
          <w:lang w:val="en-US"/>
        </w:rPr>
        <w:t>T</w:t>
      </w:r>
      <w:r>
        <w:rPr>
          <w:sz w:val="21"/>
          <w:szCs w:val="21"/>
          <w:lang w:val="en-US"/>
        </w:rPr>
        <w:t xml:space="preserve">o </w:t>
      </w:r>
      <w:r w:rsidRPr="00197F4E">
        <w:rPr>
          <w:sz w:val="21"/>
          <w:szCs w:val="21"/>
          <w:lang w:val="en-US"/>
        </w:rPr>
        <w:t xml:space="preserve">maximize strategic coherence across the expected outcomes, a single PMT will be established. It </w:t>
      </w:r>
      <w:r w:rsidR="00BB1EB5" w:rsidRPr="00197F4E">
        <w:rPr>
          <w:sz w:val="21"/>
          <w:szCs w:val="21"/>
          <w:lang w:val="en-US"/>
        </w:rPr>
        <w:t xml:space="preserve">monitors achievement of planned CF results and </w:t>
      </w:r>
      <w:r w:rsidRPr="00197F4E">
        <w:rPr>
          <w:sz w:val="21"/>
          <w:szCs w:val="21"/>
          <w:lang w:val="en-US"/>
        </w:rPr>
        <w:t xml:space="preserve">advises the SC and UNCT on opportunities and challenges in the evolving programme environment. </w:t>
      </w:r>
      <w:r w:rsidRPr="00197F4E">
        <w:rPr>
          <w:sz w:val="21"/>
          <w:szCs w:val="21"/>
        </w:rPr>
        <w:t xml:space="preserve">The Programme Management Team </w:t>
      </w:r>
      <w:r w:rsidRPr="00197F4E">
        <w:rPr>
          <w:sz w:val="21"/>
          <w:szCs w:val="21"/>
          <w:lang w:val="en-US"/>
        </w:rPr>
        <w:t xml:space="preserve">(PMT) is a technical coordination mechanism that supports CF implementation by performing </w:t>
      </w:r>
      <w:r w:rsidR="00F13C47" w:rsidRPr="00197F4E">
        <w:rPr>
          <w:sz w:val="21"/>
          <w:szCs w:val="21"/>
          <w:lang w:val="en-US"/>
        </w:rPr>
        <w:t>five</w:t>
      </w:r>
      <w:r w:rsidRPr="00197F4E">
        <w:rPr>
          <w:sz w:val="21"/>
          <w:szCs w:val="21"/>
          <w:lang w:val="en-US"/>
        </w:rPr>
        <w:t xml:space="preserve"> core functions:  </w:t>
      </w:r>
      <w:r w:rsidR="00F13C47" w:rsidRPr="00197F4E">
        <w:rPr>
          <w:sz w:val="21"/>
          <w:szCs w:val="21"/>
          <w:lang w:val="en-US"/>
        </w:rPr>
        <w:t>(</w:t>
      </w:r>
      <w:r w:rsidRPr="00197F4E">
        <w:rPr>
          <w:sz w:val="21"/>
          <w:szCs w:val="21"/>
          <w:lang w:val="en-US"/>
        </w:rPr>
        <w:t xml:space="preserve">1) </w:t>
      </w:r>
      <w:r w:rsidR="00F13C47" w:rsidRPr="00197F4E">
        <w:rPr>
          <w:sz w:val="21"/>
          <w:szCs w:val="21"/>
          <w:lang w:val="en-US"/>
        </w:rPr>
        <w:t>J</w:t>
      </w:r>
      <w:r w:rsidRPr="00197F4E">
        <w:rPr>
          <w:sz w:val="21"/>
          <w:szCs w:val="21"/>
          <w:lang w:val="en-US"/>
        </w:rPr>
        <w:t xml:space="preserve">oint analysis and data collection, </w:t>
      </w:r>
      <w:r w:rsidR="00F13C47" w:rsidRPr="00197F4E">
        <w:rPr>
          <w:sz w:val="21"/>
          <w:szCs w:val="21"/>
          <w:lang w:val="en-US"/>
        </w:rPr>
        <w:t>(</w:t>
      </w:r>
      <w:r w:rsidRPr="00197F4E">
        <w:rPr>
          <w:sz w:val="21"/>
          <w:szCs w:val="21"/>
          <w:lang w:val="en-US"/>
        </w:rPr>
        <w:t xml:space="preserve">2) </w:t>
      </w:r>
      <w:r w:rsidR="00F13C47" w:rsidRPr="00197F4E">
        <w:rPr>
          <w:sz w:val="21"/>
          <w:szCs w:val="21"/>
          <w:lang w:val="en-US"/>
        </w:rPr>
        <w:t>A</w:t>
      </w:r>
      <w:r w:rsidRPr="00197F4E">
        <w:rPr>
          <w:sz w:val="21"/>
          <w:szCs w:val="21"/>
          <w:lang w:val="en-US"/>
        </w:rPr>
        <w:t xml:space="preserve">nnual planning, monitoring and reporting, </w:t>
      </w:r>
      <w:r w:rsidR="00F13C47" w:rsidRPr="00197F4E">
        <w:rPr>
          <w:sz w:val="21"/>
          <w:szCs w:val="21"/>
          <w:lang w:val="en-US"/>
        </w:rPr>
        <w:t>(</w:t>
      </w:r>
      <w:r w:rsidRPr="00197F4E">
        <w:rPr>
          <w:sz w:val="21"/>
          <w:szCs w:val="21"/>
          <w:lang w:val="en-US"/>
        </w:rPr>
        <w:t xml:space="preserve">3) </w:t>
      </w:r>
      <w:r w:rsidR="00F13C47" w:rsidRPr="00197F4E">
        <w:rPr>
          <w:sz w:val="21"/>
          <w:szCs w:val="21"/>
          <w:lang w:val="en-US"/>
        </w:rPr>
        <w:t xml:space="preserve">Cross-agency coordination of development activities, and (4) Identification of joint initiatives, including potential joint programmes, and (5) Identification of new sources of funding for CF results and financing for wider SDG achievement in BiH. </w:t>
      </w:r>
      <w:r w:rsidRPr="00197F4E">
        <w:rPr>
          <w:sz w:val="21"/>
          <w:szCs w:val="21"/>
          <w:lang w:val="en-US"/>
        </w:rPr>
        <w:t xml:space="preserve">Using a single </w:t>
      </w:r>
      <w:r w:rsidRPr="00197F4E">
        <w:rPr>
          <w:b/>
          <w:sz w:val="21"/>
          <w:szCs w:val="21"/>
          <w:lang w:val="en-US"/>
        </w:rPr>
        <w:t>joint work plan (JWP)</w:t>
      </w:r>
      <w:r w:rsidRPr="00197F4E">
        <w:rPr>
          <w:sz w:val="21"/>
          <w:szCs w:val="21"/>
          <w:lang w:val="en-US"/>
        </w:rPr>
        <w:t xml:space="preserve"> for all CF </w:t>
      </w:r>
      <w:r w:rsidR="00F13C47" w:rsidRPr="00197F4E">
        <w:rPr>
          <w:sz w:val="21"/>
          <w:szCs w:val="21"/>
          <w:lang w:val="en-US"/>
        </w:rPr>
        <w:t>outcomes</w:t>
      </w:r>
      <w:r w:rsidRPr="00197F4E">
        <w:rPr>
          <w:sz w:val="21"/>
          <w:szCs w:val="21"/>
          <w:lang w:val="en-US"/>
        </w:rPr>
        <w:t>, the PMT coordinate</w:t>
      </w:r>
      <w:r w:rsidR="00A548DA" w:rsidRPr="00197F4E">
        <w:rPr>
          <w:sz w:val="21"/>
          <w:szCs w:val="21"/>
          <w:lang w:val="en-US"/>
        </w:rPr>
        <w:t>s</w:t>
      </w:r>
      <w:r w:rsidRPr="00197F4E">
        <w:rPr>
          <w:sz w:val="21"/>
          <w:szCs w:val="21"/>
          <w:lang w:val="en-US"/>
        </w:rPr>
        <w:t xml:space="preserve"> and monitor</w:t>
      </w:r>
      <w:r w:rsidR="00A548DA" w:rsidRPr="00197F4E">
        <w:rPr>
          <w:sz w:val="21"/>
          <w:szCs w:val="21"/>
          <w:lang w:val="en-US"/>
        </w:rPr>
        <w:t>s</w:t>
      </w:r>
      <w:r w:rsidRPr="00197F4E">
        <w:rPr>
          <w:sz w:val="21"/>
          <w:szCs w:val="21"/>
          <w:lang w:val="en-US"/>
        </w:rPr>
        <w:t xml:space="preserve"> the achievement of CF results and their </w:t>
      </w:r>
      <w:r w:rsidRPr="007E4270">
        <w:rPr>
          <w:sz w:val="21"/>
          <w:szCs w:val="21"/>
          <w:lang w:val="en-US"/>
        </w:rPr>
        <w:t xml:space="preserve">contribution to </w:t>
      </w:r>
      <w:r w:rsidR="00390A59" w:rsidRPr="007E4270">
        <w:rPr>
          <w:sz w:val="21"/>
          <w:szCs w:val="21"/>
          <w:lang w:val="en-US"/>
        </w:rPr>
        <w:t>priorities in BiH</w:t>
      </w:r>
      <w:r w:rsidRPr="007E4270">
        <w:rPr>
          <w:sz w:val="21"/>
          <w:szCs w:val="21"/>
          <w:lang w:val="en-US"/>
        </w:rPr>
        <w:t xml:space="preserve">. </w:t>
      </w:r>
      <w:r w:rsidR="0039500A" w:rsidRPr="007E4270">
        <w:rPr>
          <w:sz w:val="21"/>
          <w:szCs w:val="21"/>
          <w:lang w:val="en-US"/>
        </w:rPr>
        <w:t>T</w:t>
      </w:r>
      <w:r w:rsidRPr="007E4270">
        <w:rPr>
          <w:sz w:val="21"/>
          <w:szCs w:val="21"/>
          <w:lang w:val="en-US"/>
        </w:rPr>
        <w:t xml:space="preserve">he PMT will liaise closely with </w:t>
      </w:r>
      <w:r w:rsidRPr="007E4270">
        <w:rPr>
          <w:i/>
          <w:sz w:val="21"/>
          <w:szCs w:val="21"/>
          <w:lang w:val="en-US"/>
        </w:rPr>
        <w:t>existing</w:t>
      </w:r>
      <w:r w:rsidRPr="007E4270">
        <w:rPr>
          <w:sz w:val="21"/>
          <w:szCs w:val="21"/>
          <w:lang w:val="en-US"/>
        </w:rPr>
        <w:t xml:space="preserve"> country sector or thematic coordination bodies.</w:t>
      </w:r>
      <w:r w:rsidR="00AA00D0" w:rsidRPr="007E4270">
        <w:rPr>
          <w:sz w:val="21"/>
          <w:szCs w:val="21"/>
          <w:lang w:val="en-US"/>
        </w:rPr>
        <w:t xml:space="preserve"> It will also establish a mechanism, such as an advisory platform or group, to ensure regular consultation, networking, and coordination with partners in civil society, </w:t>
      </w:r>
      <w:r w:rsidR="00AA00D0" w:rsidRPr="007E4270">
        <w:rPr>
          <w:rFonts w:ascii="Calibri" w:eastAsia="Calibri" w:hAnsi="Calibri" w:cs="Calibri"/>
          <w:sz w:val="21"/>
          <w:szCs w:val="21"/>
        </w:rPr>
        <w:t>academia, and the private sector.</w:t>
      </w:r>
    </w:p>
    <w:p w14:paraId="28D19F65" w14:textId="099291F9" w:rsidR="00B24CCE" w:rsidRPr="00362981" w:rsidRDefault="00B24CCE" w:rsidP="00D9559C">
      <w:pPr>
        <w:numPr>
          <w:ilvl w:val="0"/>
          <w:numId w:val="3"/>
        </w:numPr>
        <w:spacing w:after="120" w:line="240" w:lineRule="auto"/>
        <w:ind w:right="-360" w:hanging="502"/>
        <w:jc w:val="both"/>
        <w:rPr>
          <w:sz w:val="21"/>
          <w:szCs w:val="21"/>
          <w:lang w:val="en-US"/>
        </w:rPr>
      </w:pPr>
      <w:r w:rsidRPr="00197F4E">
        <w:rPr>
          <w:sz w:val="21"/>
          <w:szCs w:val="21"/>
          <w:lang w:val="en-US"/>
        </w:rPr>
        <w:t xml:space="preserve">The PMT is co-chaired by </w:t>
      </w:r>
      <w:r w:rsidR="00A548DA" w:rsidRPr="00197F4E">
        <w:rPr>
          <w:sz w:val="21"/>
          <w:szCs w:val="21"/>
          <w:lang w:val="en-US"/>
        </w:rPr>
        <w:t xml:space="preserve">a Head of Agency, on </w:t>
      </w:r>
      <w:r w:rsidR="00182A80" w:rsidRPr="00197F4E">
        <w:rPr>
          <w:sz w:val="21"/>
          <w:szCs w:val="21"/>
          <w:lang w:val="en-US"/>
        </w:rPr>
        <w:t>a</w:t>
      </w:r>
      <w:r w:rsidR="00A548DA" w:rsidRPr="00197F4E">
        <w:rPr>
          <w:sz w:val="21"/>
          <w:szCs w:val="21"/>
          <w:lang w:val="en-US"/>
        </w:rPr>
        <w:t xml:space="preserve"> rotating basis,</w:t>
      </w:r>
      <w:r w:rsidRPr="00197F4E">
        <w:rPr>
          <w:sz w:val="21"/>
          <w:szCs w:val="21"/>
          <w:lang w:val="en-US"/>
        </w:rPr>
        <w:t xml:space="preserve"> and the </w:t>
      </w:r>
      <w:r w:rsidR="00A548DA" w:rsidRPr="00197F4E">
        <w:rPr>
          <w:sz w:val="21"/>
          <w:szCs w:val="21"/>
          <w:lang w:val="en-US"/>
        </w:rPr>
        <w:t xml:space="preserve">chief </w:t>
      </w:r>
      <w:r w:rsidRPr="00197F4E">
        <w:rPr>
          <w:sz w:val="21"/>
          <w:szCs w:val="21"/>
          <w:lang w:val="en-US"/>
        </w:rPr>
        <w:t>of the</w:t>
      </w:r>
      <w:r w:rsidR="00A548DA" w:rsidRPr="00197F4E">
        <w:rPr>
          <w:sz w:val="21"/>
          <w:szCs w:val="21"/>
          <w:lang w:val="en-US"/>
        </w:rPr>
        <w:t xml:space="preserve"> RCO</w:t>
      </w:r>
      <w:r w:rsidR="00182A80" w:rsidRPr="00197F4E">
        <w:rPr>
          <w:sz w:val="21"/>
          <w:szCs w:val="21"/>
          <w:lang w:val="en-US"/>
        </w:rPr>
        <w:t>, su</w:t>
      </w:r>
      <w:r w:rsidRPr="00197F4E">
        <w:rPr>
          <w:sz w:val="21"/>
          <w:szCs w:val="21"/>
          <w:lang w:val="en-US"/>
        </w:rPr>
        <w:t>bject to UNCT designation. The co-chairs act on behalf of the entire UNCT to ensure effective coordination of the PMT and implementation of its core functions in support of CF implementation and monitoring.   Members of the PMT comprise the senior programme staff from each UN system agency involved in the CF. They are accorded the authorities needed to represent their agencies in the PMT and provide consolidated contribution on behalf their agencies to the work of the PMT.   Secretariat support for the PMT is provided by the RCO.  The PMT will coordinate and engage additional UNCT staff and relevant</w:t>
      </w:r>
      <w:r>
        <w:rPr>
          <w:sz w:val="21"/>
          <w:szCs w:val="21"/>
          <w:lang w:val="en-US"/>
        </w:rPr>
        <w:t xml:space="preserve"> capacities to the extent required for more effective implementation of its core functions.    </w:t>
      </w:r>
    </w:p>
    <w:p w14:paraId="0CDCA54F" w14:textId="77777777" w:rsidR="00B24CCE" w:rsidRPr="00CF0CAC" w:rsidRDefault="00B24CCE" w:rsidP="00D9559C">
      <w:pPr>
        <w:spacing w:after="120" w:line="240" w:lineRule="auto"/>
        <w:ind w:left="357" w:right="-360"/>
        <w:jc w:val="both"/>
      </w:pPr>
      <w:r>
        <w:rPr>
          <w:b/>
          <w:noProof/>
          <w:color w:val="000000" w:themeColor="text1"/>
        </w:rPr>
        <w:t>Joint Work Plan</w:t>
      </w:r>
      <w:r w:rsidRPr="00EA4B06">
        <w:rPr>
          <w:b/>
          <w:color w:val="1F497D" w:themeColor="text2"/>
          <w:sz w:val="32"/>
          <w:szCs w:val="32"/>
        </w:rPr>
        <w:t xml:space="preserve"> </w:t>
      </w:r>
    </w:p>
    <w:p w14:paraId="07BE8359" w14:textId="1BA1E9E4" w:rsidR="00B24CCE" w:rsidRPr="00DF4C7A" w:rsidRDefault="00AD4A13" w:rsidP="00D9559C">
      <w:pPr>
        <w:numPr>
          <w:ilvl w:val="0"/>
          <w:numId w:val="3"/>
        </w:numPr>
        <w:autoSpaceDE w:val="0"/>
        <w:autoSpaceDN w:val="0"/>
        <w:adjustRightInd w:val="0"/>
        <w:spacing w:after="120" w:line="240" w:lineRule="auto"/>
        <w:ind w:right="-360" w:hanging="502"/>
        <w:jc w:val="both"/>
        <w:rPr>
          <w:sz w:val="21"/>
          <w:szCs w:val="21"/>
        </w:rPr>
      </w:pPr>
      <w:r w:rsidRPr="00DF4C7A">
        <w:rPr>
          <w:sz w:val="21"/>
          <w:szCs w:val="21"/>
          <w:lang w:val="en-US"/>
        </w:rPr>
        <w:t xml:space="preserve">The </w:t>
      </w:r>
      <w:r w:rsidR="00B24CCE" w:rsidRPr="00DF4C7A">
        <w:rPr>
          <w:sz w:val="21"/>
          <w:szCs w:val="21"/>
          <w:lang w:val="en-US"/>
        </w:rPr>
        <w:t xml:space="preserve">PMT prepares a single, biennial </w:t>
      </w:r>
      <w:r w:rsidR="00B24CCE" w:rsidRPr="00DF4C7A">
        <w:rPr>
          <w:b/>
          <w:sz w:val="21"/>
          <w:szCs w:val="21"/>
          <w:lang w:val="en-US"/>
        </w:rPr>
        <w:t>Joint Work Plan</w:t>
      </w:r>
      <w:r w:rsidR="00B24CCE" w:rsidRPr="00DF4C7A">
        <w:rPr>
          <w:sz w:val="21"/>
          <w:szCs w:val="21"/>
          <w:lang w:val="en-US"/>
        </w:rPr>
        <w:t xml:space="preserve"> (JWP), in </w:t>
      </w:r>
      <w:r w:rsidR="00B24CCE" w:rsidRPr="002848C1">
        <w:rPr>
          <w:sz w:val="21"/>
          <w:szCs w:val="21"/>
          <w:lang w:val="en-US"/>
        </w:rPr>
        <w:t xml:space="preserve">consultation with </w:t>
      </w:r>
      <w:r w:rsidR="00144F42" w:rsidRPr="002848C1">
        <w:rPr>
          <w:sz w:val="21"/>
          <w:szCs w:val="21"/>
          <w:lang w:val="en-US"/>
        </w:rPr>
        <w:t>the</w:t>
      </w:r>
      <w:r w:rsidR="00B24CCE" w:rsidRPr="002848C1">
        <w:rPr>
          <w:sz w:val="21"/>
          <w:szCs w:val="21"/>
          <w:lang w:val="en-US"/>
        </w:rPr>
        <w:t xml:space="preserve"> authorities</w:t>
      </w:r>
      <w:r w:rsidR="00144F42" w:rsidRPr="002848C1">
        <w:rPr>
          <w:sz w:val="21"/>
          <w:szCs w:val="21"/>
          <w:lang w:val="en-US"/>
        </w:rPr>
        <w:t xml:space="preserve"> in BiH</w:t>
      </w:r>
      <w:r w:rsidR="00B24CCE" w:rsidRPr="002848C1">
        <w:rPr>
          <w:sz w:val="21"/>
          <w:szCs w:val="21"/>
          <w:lang w:val="en-US"/>
        </w:rPr>
        <w:t xml:space="preserve">, </w:t>
      </w:r>
      <w:r w:rsidR="00B24CCE" w:rsidRPr="002848C1">
        <w:rPr>
          <w:iCs/>
          <w:sz w:val="21"/>
          <w:szCs w:val="21"/>
        </w:rPr>
        <w:t xml:space="preserve">for </w:t>
      </w:r>
      <w:r w:rsidR="00B24CCE" w:rsidRPr="002848C1">
        <w:rPr>
          <w:b/>
          <w:iCs/>
          <w:sz w:val="21"/>
          <w:szCs w:val="21"/>
        </w:rPr>
        <w:t xml:space="preserve">all the CF </w:t>
      </w:r>
      <w:r w:rsidRPr="002848C1">
        <w:rPr>
          <w:b/>
          <w:iCs/>
          <w:sz w:val="21"/>
          <w:szCs w:val="21"/>
        </w:rPr>
        <w:t>outcomes</w:t>
      </w:r>
      <w:r w:rsidR="00B24CCE" w:rsidRPr="002848C1">
        <w:rPr>
          <w:b/>
          <w:iCs/>
          <w:sz w:val="21"/>
          <w:szCs w:val="21"/>
        </w:rPr>
        <w:t xml:space="preserve">. </w:t>
      </w:r>
      <w:r w:rsidR="00B24CCE" w:rsidRPr="002848C1">
        <w:rPr>
          <w:iCs/>
          <w:sz w:val="21"/>
          <w:szCs w:val="21"/>
        </w:rPr>
        <w:t xml:space="preserve"> T</w:t>
      </w:r>
      <w:r w:rsidR="00B24CCE" w:rsidRPr="002848C1">
        <w:rPr>
          <w:rFonts w:ascii="Calibri" w:hAnsi="Calibri" w:cs="Calibri"/>
          <w:color w:val="000000"/>
          <w:sz w:val="21"/>
          <w:szCs w:val="21"/>
        </w:rPr>
        <w:t xml:space="preserve">he JWP reflects planned cooperation outputs, all key UN system-supported activities, delivered jointly or by individual agencies, resources that are required and available as well as funding gaps. </w:t>
      </w:r>
      <w:r w:rsidRPr="002848C1">
        <w:rPr>
          <w:rFonts w:ascii="Calibri" w:hAnsi="Calibri" w:cs="Calibri"/>
          <w:color w:val="000000"/>
          <w:sz w:val="21"/>
          <w:szCs w:val="21"/>
        </w:rPr>
        <w:t xml:space="preserve">The </w:t>
      </w:r>
      <w:r w:rsidR="00B24CCE" w:rsidRPr="002848C1">
        <w:rPr>
          <w:rFonts w:ascii="Calibri" w:hAnsi="Calibri" w:cs="Calibri"/>
          <w:color w:val="000000"/>
          <w:sz w:val="21"/>
          <w:szCs w:val="21"/>
        </w:rPr>
        <w:t>JWP is an important and effective tool to maximise synergies across the CF outcomes and avoid duplication</w:t>
      </w:r>
      <w:r w:rsidR="00B24CCE" w:rsidRPr="005F596A">
        <w:rPr>
          <w:rFonts w:ascii="Calibri" w:hAnsi="Calibri" w:cs="Calibri"/>
          <w:color w:val="000000"/>
          <w:sz w:val="21"/>
          <w:szCs w:val="21"/>
        </w:rPr>
        <w:t xml:space="preserve"> as well as reduce transaction costs for the UNCT as well as the BiH partners.   During the annual review and reporting exercises, the biennial JWP will be reviewed, re-assessed and potentially adjusted in line with new and emerging priorities in the country.</w:t>
      </w:r>
    </w:p>
    <w:p w14:paraId="32C190ED" w14:textId="77777777" w:rsidR="00B24CCE" w:rsidRPr="006767FF" w:rsidRDefault="00B24CCE" w:rsidP="00D9559C">
      <w:pPr>
        <w:pStyle w:val="ListParagraph"/>
        <w:numPr>
          <w:ilvl w:val="0"/>
          <w:numId w:val="0"/>
        </w:numPr>
        <w:spacing w:after="120"/>
        <w:ind w:left="357" w:right="-360"/>
        <w:contextualSpacing w:val="0"/>
        <w:jc w:val="both"/>
        <w:rPr>
          <w:color w:val="000000" w:themeColor="text1"/>
        </w:rPr>
      </w:pPr>
      <w:r w:rsidRPr="000C434E">
        <w:rPr>
          <w:b/>
          <w:noProof/>
          <w:color w:val="000000" w:themeColor="text1"/>
          <w:lang w:val="en-CA"/>
        </w:rPr>
        <w:t>Operations Management Team and Business Operations Strategy</w:t>
      </w:r>
    </w:p>
    <w:p w14:paraId="46E1924A" w14:textId="3489A723" w:rsidR="00B24CCE" w:rsidRPr="00A7040F" w:rsidRDefault="00B24CCE" w:rsidP="00D9559C">
      <w:pPr>
        <w:numPr>
          <w:ilvl w:val="0"/>
          <w:numId w:val="3"/>
        </w:numPr>
        <w:spacing w:after="120" w:line="240" w:lineRule="auto"/>
        <w:ind w:right="-360" w:hanging="502"/>
        <w:jc w:val="both"/>
        <w:rPr>
          <w:sz w:val="21"/>
          <w:szCs w:val="21"/>
          <w:lang w:val="en-GB"/>
        </w:rPr>
      </w:pPr>
      <w:r w:rsidRPr="00A7040F">
        <w:rPr>
          <w:sz w:val="21"/>
          <w:szCs w:val="21"/>
          <w:lang w:val="en-US"/>
        </w:rPr>
        <w:t xml:space="preserve">The Operations Management Team (OMT) provides support and advice to the UNCT and SC about efforts to harmonize business operations and contribute to the delivery of CF results. The OMT will explore opportunities for </w:t>
      </w:r>
      <w:r w:rsidRPr="00A7040F">
        <w:rPr>
          <w:b/>
          <w:iCs/>
          <w:sz w:val="21"/>
          <w:szCs w:val="21"/>
          <w:lang w:val="en-GB"/>
        </w:rPr>
        <w:t>common back office services</w:t>
      </w:r>
      <w:r w:rsidR="00182A80">
        <w:rPr>
          <w:b/>
          <w:iCs/>
          <w:sz w:val="21"/>
          <w:szCs w:val="21"/>
          <w:lang w:val="en-GB"/>
        </w:rPr>
        <w:t xml:space="preserve"> </w:t>
      </w:r>
      <w:r w:rsidR="00182A80">
        <w:rPr>
          <w:iCs/>
          <w:sz w:val="21"/>
          <w:szCs w:val="21"/>
          <w:lang w:val="en-GB"/>
        </w:rPr>
        <w:t xml:space="preserve">for </w:t>
      </w:r>
      <w:r w:rsidRPr="00A7040F">
        <w:rPr>
          <w:iCs/>
          <w:sz w:val="21"/>
          <w:szCs w:val="21"/>
          <w:lang w:val="en-GB"/>
        </w:rPr>
        <w:t xml:space="preserve">timely and cost-effective </w:t>
      </w:r>
      <w:r>
        <w:rPr>
          <w:iCs/>
          <w:sz w:val="21"/>
          <w:szCs w:val="21"/>
          <w:lang w:val="en-GB"/>
        </w:rPr>
        <w:t xml:space="preserve">support </w:t>
      </w:r>
      <w:r w:rsidRPr="00A7040F">
        <w:rPr>
          <w:iCs/>
          <w:sz w:val="21"/>
          <w:szCs w:val="21"/>
          <w:lang w:val="en-GB"/>
        </w:rPr>
        <w:t xml:space="preserve">for procurement, finance, human resources, logistics, ICT, and facility management. </w:t>
      </w:r>
      <w:r>
        <w:rPr>
          <w:iCs/>
          <w:sz w:val="21"/>
          <w:szCs w:val="21"/>
          <w:lang w:val="en-GB"/>
        </w:rPr>
        <w:t>The OMT will also be responsible for the design, implementation and monitoring of the subsequent UNCT Business Operations Strategy</w:t>
      </w:r>
      <w:r w:rsidR="00182A80">
        <w:rPr>
          <w:iCs/>
          <w:sz w:val="21"/>
          <w:szCs w:val="21"/>
          <w:lang w:val="en-GB"/>
        </w:rPr>
        <w:t>,</w:t>
      </w:r>
      <w:r>
        <w:rPr>
          <w:iCs/>
          <w:sz w:val="21"/>
          <w:szCs w:val="21"/>
          <w:lang w:val="en-GB"/>
        </w:rPr>
        <w:t xml:space="preserve"> outlining mid-term strategic goals for greater UNCT operational cohesion, effectiveness and efficiency in line with the </w:t>
      </w:r>
      <w:r w:rsidR="00182A80">
        <w:rPr>
          <w:iCs/>
          <w:sz w:val="21"/>
          <w:szCs w:val="21"/>
          <w:lang w:val="en-GB"/>
        </w:rPr>
        <w:t xml:space="preserve">ongoing </w:t>
      </w:r>
      <w:r>
        <w:rPr>
          <w:iCs/>
          <w:sz w:val="21"/>
          <w:szCs w:val="21"/>
          <w:lang w:val="en-GB"/>
        </w:rPr>
        <w:t xml:space="preserve">UN reform efforts.  </w:t>
      </w:r>
      <w:r w:rsidRPr="00A7040F">
        <w:rPr>
          <w:sz w:val="21"/>
          <w:szCs w:val="21"/>
          <w:lang w:val="en-GB"/>
        </w:rPr>
        <w:t xml:space="preserve">The OMT is chaired by a </w:t>
      </w:r>
      <w:r>
        <w:rPr>
          <w:sz w:val="21"/>
          <w:szCs w:val="21"/>
          <w:lang w:val="en-US"/>
        </w:rPr>
        <w:t>(resident) H</w:t>
      </w:r>
      <w:r w:rsidRPr="00A7040F">
        <w:rPr>
          <w:sz w:val="21"/>
          <w:szCs w:val="21"/>
          <w:lang w:val="en-US"/>
        </w:rPr>
        <w:t xml:space="preserve">ead of </w:t>
      </w:r>
      <w:r>
        <w:rPr>
          <w:sz w:val="21"/>
          <w:szCs w:val="21"/>
          <w:lang w:val="en-US"/>
        </w:rPr>
        <w:t>A</w:t>
      </w:r>
      <w:r w:rsidRPr="00A7040F">
        <w:rPr>
          <w:sz w:val="21"/>
          <w:szCs w:val="21"/>
          <w:lang w:val="en-US"/>
        </w:rPr>
        <w:t>gency</w:t>
      </w:r>
      <w:r>
        <w:rPr>
          <w:sz w:val="21"/>
          <w:szCs w:val="21"/>
          <w:lang w:val="en-US"/>
        </w:rPr>
        <w:t xml:space="preserve"> on a rotational basis</w:t>
      </w:r>
      <w:r w:rsidRPr="00A7040F">
        <w:rPr>
          <w:sz w:val="21"/>
          <w:szCs w:val="21"/>
          <w:lang w:val="en-US"/>
        </w:rPr>
        <w:t xml:space="preserve">. Members are drawn from </w:t>
      </w:r>
      <w:r w:rsidR="00182A80">
        <w:rPr>
          <w:sz w:val="21"/>
          <w:szCs w:val="21"/>
          <w:lang w:val="en-US"/>
        </w:rPr>
        <w:t xml:space="preserve">among the senior operations officers from </w:t>
      </w:r>
      <w:r>
        <w:rPr>
          <w:sz w:val="21"/>
          <w:szCs w:val="21"/>
          <w:lang w:val="en-US"/>
        </w:rPr>
        <w:t xml:space="preserve">UN system </w:t>
      </w:r>
      <w:r w:rsidRPr="00A7040F">
        <w:rPr>
          <w:sz w:val="21"/>
          <w:szCs w:val="21"/>
          <w:lang w:val="en-GB"/>
        </w:rPr>
        <w:t>agenc</w:t>
      </w:r>
      <w:r w:rsidR="00182A80">
        <w:rPr>
          <w:sz w:val="21"/>
          <w:szCs w:val="21"/>
          <w:lang w:val="en-GB"/>
        </w:rPr>
        <w:t>ies.</w:t>
      </w:r>
      <w:r w:rsidRPr="00A7040F">
        <w:rPr>
          <w:sz w:val="21"/>
          <w:szCs w:val="21"/>
          <w:lang w:val="en-US"/>
        </w:rPr>
        <w:t xml:space="preserve"> </w:t>
      </w:r>
    </w:p>
    <w:p w14:paraId="56B5F194" w14:textId="77777777" w:rsidR="00B24CCE" w:rsidRPr="006767FF" w:rsidRDefault="00B24CCE" w:rsidP="00D9559C">
      <w:pPr>
        <w:pStyle w:val="ListParagraph"/>
        <w:numPr>
          <w:ilvl w:val="0"/>
          <w:numId w:val="0"/>
        </w:numPr>
        <w:spacing w:after="120"/>
        <w:ind w:left="357" w:right="-360"/>
        <w:contextualSpacing w:val="0"/>
        <w:jc w:val="both"/>
        <w:rPr>
          <w:color w:val="000000" w:themeColor="text1"/>
        </w:rPr>
      </w:pPr>
      <w:r w:rsidRPr="00F274F0">
        <w:rPr>
          <w:b/>
          <w:noProof/>
          <w:color w:val="000000" w:themeColor="text1"/>
          <w:lang w:val="en-CA"/>
        </w:rPr>
        <w:t xml:space="preserve">United Nations Communication Group (UNCG) </w:t>
      </w:r>
    </w:p>
    <w:p w14:paraId="1D01ACA9" w14:textId="50DEA460" w:rsidR="00B24CCE" w:rsidRPr="00427508" w:rsidRDefault="00B24CCE" w:rsidP="00D9559C">
      <w:pPr>
        <w:pStyle w:val="ListParagraph"/>
        <w:numPr>
          <w:ilvl w:val="0"/>
          <w:numId w:val="3"/>
        </w:numPr>
        <w:spacing w:after="120"/>
        <w:ind w:right="-360" w:hanging="502"/>
        <w:contextualSpacing w:val="0"/>
        <w:jc w:val="both"/>
        <w:rPr>
          <w:rFonts w:cstheme="minorHAnsi"/>
          <w:color w:val="000000" w:themeColor="text1"/>
          <w:sz w:val="21"/>
          <w:szCs w:val="21"/>
          <w:lang w:val="en-CA"/>
        </w:rPr>
      </w:pPr>
      <w:r w:rsidRPr="0080579B">
        <w:rPr>
          <w:rFonts w:cstheme="minorHAnsi"/>
          <w:color w:val="000000" w:themeColor="text1"/>
          <w:sz w:val="21"/>
          <w:szCs w:val="21"/>
        </w:rPr>
        <w:t xml:space="preserve">A United Nations Communication Group (UNCG) will work to increase awareness and visibility of </w:t>
      </w:r>
      <w:r>
        <w:rPr>
          <w:rFonts w:cstheme="minorHAnsi"/>
          <w:color w:val="000000" w:themeColor="text1"/>
          <w:sz w:val="21"/>
          <w:szCs w:val="21"/>
        </w:rPr>
        <w:t>CF</w:t>
      </w:r>
      <w:r w:rsidRPr="0080579B">
        <w:rPr>
          <w:rFonts w:cstheme="minorHAnsi"/>
          <w:color w:val="000000" w:themeColor="text1"/>
          <w:sz w:val="21"/>
          <w:szCs w:val="21"/>
        </w:rPr>
        <w:t xml:space="preserve"> results. It pools communication expertise and resources and enhances joint communication. </w:t>
      </w:r>
      <w:r w:rsidRPr="0080579B">
        <w:rPr>
          <w:rFonts w:cstheme="minorHAnsi"/>
          <w:color w:val="000000" w:themeColor="text1"/>
          <w:sz w:val="21"/>
          <w:szCs w:val="21"/>
          <w:lang w:val="en-CA"/>
        </w:rPr>
        <w:t>It</w:t>
      </w:r>
      <w:r>
        <w:rPr>
          <w:rFonts w:cstheme="minorHAnsi"/>
          <w:color w:val="000000" w:themeColor="text1"/>
          <w:sz w:val="21"/>
          <w:szCs w:val="21"/>
          <w:lang w:val="en-CA"/>
        </w:rPr>
        <w:t xml:space="preserve"> is chaired by a Head of Agency on a rotational basis</w:t>
      </w:r>
      <w:r w:rsidRPr="0080579B">
        <w:rPr>
          <w:rFonts w:cstheme="minorHAnsi"/>
          <w:color w:val="000000" w:themeColor="text1"/>
          <w:sz w:val="21"/>
          <w:szCs w:val="21"/>
          <w:lang w:val="en-CA"/>
        </w:rPr>
        <w:t>, who reports directly to the UNCT on the group’s planned activities and results.</w:t>
      </w:r>
      <w:r w:rsidRPr="00427508">
        <w:rPr>
          <w:rFonts w:cstheme="minorHAnsi"/>
          <w:color w:val="000000" w:themeColor="text1"/>
          <w:sz w:val="21"/>
          <w:szCs w:val="21"/>
          <w:lang w:val="en-CA"/>
        </w:rPr>
        <w:t xml:space="preserve">  </w:t>
      </w:r>
    </w:p>
    <w:p w14:paraId="64498677" w14:textId="77777777" w:rsidR="00B24CCE" w:rsidRPr="00A7040F" w:rsidRDefault="00B24CCE" w:rsidP="00D9559C">
      <w:pPr>
        <w:numPr>
          <w:ilvl w:val="0"/>
          <w:numId w:val="3"/>
        </w:numPr>
        <w:spacing w:after="120" w:line="240" w:lineRule="auto"/>
        <w:ind w:right="-360" w:hanging="502"/>
        <w:jc w:val="both"/>
        <w:rPr>
          <w:sz w:val="21"/>
          <w:szCs w:val="21"/>
          <w:lang w:val="en-US"/>
        </w:rPr>
      </w:pPr>
      <w:r w:rsidRPr="00A7040F">
        <w:rPr>
          <w:sz w:val="21"/>
          <w:szCs w:val="21"/>
          <w:lang w:val="en-US"/>
        </w:rPr>
        <w:t>In addition</w:t>
      </w:r>
      <w:r>
        <w:rPr>
          <w:sz w:val="21"/>
          <w:szCs w:val="21"/>
          <w:lang w:val="en-US"/>
        </w:rPr>
        <w:t xml:space="preserve">, </w:t>
      </w:r>
      <w:r w:rsidRPr="00A7040F">
        <w:rPr>
          <w:sz w:val="21"/>
          <w:szCs w:val="21"/>
          <w:lang w:val="en-US"/>
        </w:rPr>
        <w:t>the</w:t>
      </w:r>
      <w:r>
        <w:rPr>
          <w:sz w:val="21"/>
          <w:szCs w:val="21"/>
          <w:lang w:val="en-US"/>
        </w:rPr>
        <w:t xml:space="preserve"> SC and </w:t>
      </w:r>
      <w:r w:rsidRPr="00A7040F">
        <w:rPr>
          <w:sz w:val="21"/>
          <w:szCs w:val="21"/>
          <w:lang w:val="en-US"/>
        </w:rPr>
        <w:t xml:space="preserve">UNCT </w:t>
      </w:r>
      <w:r w:rsidRPr="00CA598D">
        <w:rPr>
          <w:i/>
          <w:sz w:val="21"/>
          <w:szCs w:val="21"/>
          <w:lang w:val="en-US"/>
        </w:rPr>
        <w:t>may</w:t>
      </w:r>
      <w:r w:rsidRPr="00A7040F">
        <w:rPr>
          <w:sz w:val="21"/>
          <w:szCs w:val="21"/>
          <w:lang w:val="en-US"/>
        </w:rPr>
        <w:t xml:space="preserve"> establish working groups in thematic areas such as Gender Equality</w:t>
      </w:r>
      <w:r>
        <w:rPr>
          <w:sz w:val="21"/>
          <w:szCs w:val="21"/>
          <w:lang w:val="en-US"/>
        </w:rPr>
        <w:t xml:space="preserve"> and </w:t>
      </w:r>
      <w:r w:rsidRPr="00A7040F">
        <w:rPr>
          <w:sz w:val="21"/>
          <w:szCs w:val="21"/>
          <w:lang w:val="en-US"/>
        </w:rPr>
        <w:t>You</w:t>
      </w:r>
      <w:r>
        <w:rPr>
          <w:sz w:val="21"/>
          <w:szCs w:val="21"/>
          <w:lang w:val="en-US"/>
        </w:rPr>
        <w:t>ng people, and to address substantive concerns that have a regional dimension, such as migration management</w:t>
      </w:r>
      <w:r w:rsidRPr="00A7040F">
        <w:rPr>
          <w:sz w:val="21"/>
          <w:szCs w:val="21"/>
          <w:lang w:val="en-US"/>
        </w:rPr>
        <w:t xml:space="preserve">. These groups will share information and support the integration of thematic concerns during CF implementation, monitoring, and evaluation. </w:t>
      </w:r>
      <w:r>
        <w:rPr>
          <w:sz w:val="21"/>
          <w:szCs w:val="21"/>
          <w:lang w:val="en-US"/>
        </w:rPr>
        <w:t xml:space="preserve">  Upon decision of the UNCT and in line with identified needs, ad-hoc UNCT Task Teams may be established addressing a specific issue within a limited timeframe.</w:t>
      </w:r>
    </w:p>
    <w:p w14:paraId="73B87079" w14:textId="77777777" w:rsidR="00B24CCE" w:rsidRPr="00197F4E" w:rsidRDefault="00B24CCE" w:rsidP="00D9559C">
      <w:pPr>
        <w:numPr>
          <w:ilvl w:val="0"/>
          <w:numId w:val="3"/>
        </w:numPr>
        <w:spacing w:after="120" w:line="240" w:lineRule="auto"/>
        <w:ind w:right="-360" w:hanging="502"/>
        <w:jc w:val="both"/>
        <w:rPr>
          <w:b/>
          <w:color w:val="1F497D" w:themeColor="text2"/>
          <w:sz w:val="21"/>
          <w:szCs w:val="21"/>
        </w:rPr>
      </w:pPr>
      <w:r w:rsidRPr="00A7040F">
        <w:rPr>
          <w:sz w:val="21"/>
          <w:szCs w:val="21"/>
          <w:lang w:val="en-US"/>
        </w:rPr>
        <w:t>In case of emergencies, the Humanitarian Country Team (HCT</w:t>
      </w:r>
      <w:r w:rsidRPr="00197F4E">
        <w:rPr>
          <w:sz w:val="21"/>
          <w:szCs w:val="21"/>
          <w:lang w:val="en-US"/>
        </w:rPr>
        <w:t xml:space="preserve">) will be activated to support Government efforts in terms of humanitarian response and will ensure synergies between humanitarian and developmental processes in order to build resilience and mitigate future natural hazards or other emergencies.  </w:t>
      </w:r>
    </w:p>
    <w:p w14:paraId="05BFCBB8" w14:textId="0E5163A7" w:rsidR="00B24CCE" w:rsidRPr="00197F4E" w:rsidRDefault="00B24CCE" w:rsidP="00D9559C">
      <w:pPr>
        <w:numPr>
          <w:ilvl w:val="0"/>
          <w:numId w:val="3"/>
        </w:numPr>
        <w:spacing w:after="240" w:line="240" w:lineRule="auto"/>
        <w:ind w:left="363" w:right="-360" w:hanging="505"/>
        <w:jc w:val="both"/>
        <w:rPr>
          <w:b/>
          <w:color w:val="1F497D" w:themeColor="text2"/>
          <w:sz w:val="21"/>
          <w:szCs w:val="21"/>
        </w:rPr>
      </w:pPr>
      <w:r w:rsidRPr="00197F4E">
        <w:rPr>
          <w:sz w:val="21"/>
          <w:szCs w:val="21"/>
          <w:lang w:val="en-US"/>
        </w:rPr>
        <w:t xml:space="preserve">All internal UNCT coordination bodies are expected to closely coordinate their work </w:t>
      </w:r>
      <w:r w:rsidR="000B4B25" w:rsidRPr="00197F4E">
        <w:rPr>
          <w:sz w:val="21"/>
          <w:szCs w:val="21"/>
          <w:lang w:val="en-US"/>
        </w:rPr>
        <w:t xml:space="preserve">for </w:t>
      </w:r>
      <w:r w:rsidRPr="00197F4E">
        <w:rPr>
          <w:sz w:val="21"/>
          <w:szCs w:val="21"/>
          <w:lang w:val="en-US"/>
        </w:rPr>
        <w:t xml:space="preserve">effective implementation of the CF.  </w:t>
      </w:r>
      <w:r w:rsidR="00C72F30" w:rsidRPr="00197F4E">
        <w:rPr>
          <w:sz w:val="21"/>
          <w:szCs w:val="21"/>
          <w:lang w:val="en-US"/>
        </w:rPr>
        <w:t xml:space="preserve">The UNCT is the </w:t>
      </w:r>
      <w:r w:rsidRPr="00197F4E">
        <w:rPr>
          <w:sz w:val="21"/>
          <w:szCs w:val="21"/>
          <w:lang w:val="en-US"/>
        </w:rPr>
        <w:t xml:space="preserve">overarching </w:t>
      </w:r>
      <w:r w:rsidR="00C72F30">
        <w:rPr>
          <w:sz w:val="21"/>
          <w:szCs w:val="21"/>
          <w:lang w:val="en-US"/>
        </w:rPr>
        <w:t xml:space="preserve">decision-making and </w:t>
      </w:r>
      <w:r w:rsidRPr="00197F4E">
        <w:rPr>
          <w:sz w:val="21"/>
          <w:szCs w:val="21"/>
          <w:lang w:val="en-US"/>
        </w:rPr>
        <w:t>reporting mechanism for all internal UNCT coordina</w:t>
      </w:r>
      <w:r w:rsidR="00C72F30">
        <w:rPr>
          <w:sz w:val="21"/>
          <w:szCs w:val="21"/>
          <w:lang w:val="en-US"/>
        </w:rPr>
        <w:t>tion bodies.  C</w:t>
      </w:r>
      <w:r w:rsidRPr="00197F4E">
        <w:rPr>
          <w:sz w:val="21"/>
          <w:szCs w:val="21"/>
          <w:lang w:val="en-US"/>
        </w:rPr>
        <w:t>hairing authorities</w:t>
      </w:r>
      <w:r w:rsidR="00C72F30">
        <w:rPr>
          <w:sz w:val="21"/>
          <w:szCs w:val="21"/>
          <w:lang w:val="en-US"/>
        </w:rPr>
        <w:t>,</w:t>
      </w:r>
      <w:r w:rsidRPr="00197F4E">
        <w:rPr>
          <w:sz w:val="21"/>
          <w:szCs w:val="21"/>
          <w:lang w:val="en-US"/>
        </w:rPr>
        <w:t xml:space="preserve"> set at the </w:t>
      </w:r>
      <w:r w:rsidR="00C72F30">
        <w:rPr>
          <w:sz w:val="21"/>
          <w:szCs w:val="21"/>
          <w:lang w:val="en-US"/>
        </w:rPr>
        <w:t xml:space="preserve">level of </w:t>
      </w:r>
      <w:r w:rsidRPr="00197F4E">
        <w:rPr>
          <w:sz w:val="21"/>
          <w:szCs w:val="21"/>
          <w:lang w:val="en-US"/>
        </w:rPr>
        <w:t>Heads of Agencies</w:t>
      </w:r>
      <w:r w:rsidR="00C72F30">
        <w:rPr>
          <w:sz w:val="21"/>
          <w:szCs w:val="21"/>
          <w:lang w:val="en-US"/>
        </w:rPr>
        <w:t xml:space="preserve">, </w:t>
      </w:r>
      <w:r w:rsidRPr="00197F4E">
        <w:rPr>
          <w:sz w:val="21"/>
          <w:szCs w:val="21"/>
          <w:lang w:val="en-US"/>
        </w:rPr>
        <w:t>will update and inform the UNCT on the work of the UNCT coordination bodies during regular UNCT meetings ensuring full alignment and synergy across the</w:t>
      </w:r>
      <w:r w:rsidR="000B4B25" w:rsidRPr="00197F4E">
        <w:rPr>
          <w:sz w:val="21"/>
          <w:szCs w:val="21"/>
          <w:lang w:val="en-US"/>
        </w:rPr>
        <w:t>ir</w:t>
      </w:r>
      <w:r w:rsidRPr="00197F4E">
        <w:rPr>
          <w:sz w:val="21"/>
          <w:szCs w:val="21"/>
          <w:lang w:val="en-US"/>
        </w:rPr>
        <w:t xml:space="preserve"> work</w:t>
      </w:r>
      <w:r w:rsidR="000B4B25" w:rsidRPr="00197F4E">
        <w:rPr>
          <w:sz w:val="21"/>
          <w:szCs w:val="21"/>
          <w:lang w:val="en-US"/>
        </w:rPr>
        <w:t>.</w:t>
      </w:r>
      <w:r w:rsidRPr="00197F4E">
        <w:rPr>
          <w:sz w:val="21"/>
          <w:szCs w:val="21"/>
          <w:lang w:val="en-US"/>
        </w:rPr>
        <w:t xml:space="preserve">  </w:t>
      </w:r>
    </w:p>
    <w:p w14:paraId="0D232B16" w14:textId="77777777" w:rsidR="00A62677" w:rsidRDefault="00A62677" w:rsidP="00D9559C">
      <w:pPr>
        <w:spacing w:after="120" w:line="240" w:lineRule="auto"/>
        <w:ind w:left="-142" w:right="-360"/>
        <w:jc w:val="both"/>
        <w:rPr>
          <w:rFonts w:cstheme="minorHAnsi"/>
          <w:b/>
          <w:sz w:val="21"/>
          <w:szCs w:val="21"/>
          <w:lang w:val="en-US"/>
        </w:rPr>
      </w:pPr>
      <w:r w:rsidRPr="00C7455E">
        <w:rPr>
          <w:rFonts w:cstheme="minorHAnsi"/>
          <w:b/>
          <w:sz w:val="21"/>
          <w:szCs w:val="21"/>
          <w:lang w:val="en-US"/>
        </w:rPr>
        <w:t>Figure</w:t>
      </w:r>
      <w:r>
        <w:rPr>
          <w:rFonts w:cstheme="minorHAnsi"/>
          <w:b/>
          <w:sz w:val="21"/>
          <w:szCs w:val="21"/>
          <w:lang w:val="en-US"/>
        </w:rPr>
        <w:t>:</w:t>
      </w:r>
      <w:r w:rsidRPr="00C7455E">
        <w:rPr>
          <w:rFonts w:cstheme="minorHAnsi"/>
          <w:b/>
          <w:sz w:val="21"/>
          <w:szCs w:val="21"/>
          <w:lang w:val="en-US"/>
        </w:rPr>
        <w:t xml:space="preserve"> Governance arrangements for the CF</w:t>
      </w:r>
    </w:p>
    <w:p w14:paraId="43A7FC69" w14:textId="0DEFA433" w:rsidR="003F2FE1" w:rsidRPr="00F3423B" w:rsidRDefault="0027541B" w:rsidP="00D9559C">
      <w:pPr>
        <w:spacing w:after="120" w:line="240" w:lineRule="auto"/>
        <w:ind w:left="-142" w:right="-360" w:firstLine="1560"/>
        <w:jc w:val="both"/>
        <w:rPr>
          <w:rFonts w:cstheme="minorHAnsi"/>
          <w:b/>
          <w:sz w:val="10"/>
          <w:szCs w:val="10"/>
          <w:lang w:val="en-US"/>
        </w:rPr>
      </w:pPr>
      <w:r w:rsidRPr="0027541B">
        <w:rPr>
          <w:noProof/>
          <w:lang w:eastAsia="en-CA"/>
        </w:rPr>
        <w:drawing>
          <wp:inline distT="0" distB="0" distL="0" distR="0" wp14:anchorId="3D7AFCB6" wp14:editId="6373F2A3">
            <wp:extent cx="4449170" cy="363539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447226" cy="3633801"/>
                    </a:xfrm>
                    <a:prstGeom prst="rect">
                      <a:avLst/>
                    </a:prstGeom>
                  </pic:spPr>
                </pic:pic>
              </a:graphicData>
            </a:graphic>
          </wp:inline>
        </w:drawing>
      </w:r>
    </w:p>
    <w:p w14:paraId="2A4FA859" w14:textId="435BE55A" w:rsidR="001E7AE7" w:rsidRPr="001E7AE7" w:rsidRDefault="001E7AE7" w:rsidP="00D9559C">
      <w:pPr>
        <w:pStyle w:val="ListParagraph"/>
        <w:numPr>
          <w:ilvl w:val="0"/>
          <w:numId w:val="0"/>
        </w:numPr>
        <w:spacing w:after="120"/>
        <w:ind w:left="357" w:right="-360"/>
        <w:contextualSpacing w:val="0"/>
        <w:jc w:val="both"/>
        <w:rPr>
          <w:rFonts w:cstheme="minorHAnsi"/>
          <w:b/>
          <w:sz w:val="21"/>
          <w:szCs w:val="21"/>
        </w:rPr>
      </w:pPr>
      <w:r>
        <w:rPr>
          <w:rFonts w:cstheme="minorHAnsi"/>
          <w:b/>
          <w:sz w:val="21"/>
          <w:szCs w:val="21"/>
        </w:rPr>
        <w:t>Harmonized Approach to Cash Transfers</w:t>
      </w:r>
    </w:p>
    <w:p w14:paraId="12471048" w14:textId="4A78C2DC" w:rsidR="00182A80" w:rsidRPr="00DE143A" w:rsidRDefault="008451D2" w:rsidP="00D9559C">
      <w:pPr>
        <w:pStyle w:val="ListParagraph"/>
        <w:numPr>
          <w:ilvl w:val="0"/>
          <w:numId w:val="3"/>
        </w:numPr>
        <w:spacing w:after="120"/>
        <w:ind w:right="-360" w:hanging="502"/>
        <w:contextualSpacing w:val="0"/>
        <w:jc w:val="both"/>
        <w:rPr>
          <w:sz w:val="21"/>
          <w:szCs w:val="21"/>
        </w:rPr>
      </w:pPr>
      <w:r w:rsidRPr="00CB0F81">
        <w:rPr>
          <w:iCs/>
          <w:sz w:val="21"/>
          <w:szCs w:val="21"/>
        </w:rPr>
        <w:t xml:space="preserve">UNDP, UNFPA, and UNICEF use a harmonized approach to cash transfers (HACT). </w:t>
      </w:r>
      <w:r w:rsidR="00A62677" w:rsidRPr="00CB0F81">
        <w:rPr>
          <w:iCs/>
          <w:sz w:val="21"/>
          <w:szCs w:val="21"/>
        </w:rPr>
        <w:t xml:space="preserve">All cash transfers to an Implementing </w:t>
      </w:r>
      <w:r w:rsidR="00A62677" w:rsidRPr="00DE143A">
        <w:rPr>
          <w:iCs/>
          <w:sz w:val="21"/>
          <w:szCs w:val="21"/>
        </w:rPr>
        <w:t xml:space="preserve">Partner are based on the Work Plans agreed between the Implementing Partner and the UN system agencies. </w:t>
      </w:r>
      <w:r w:rsidR="00182A80" w:rsidRPr="00DE143A">
        <w:rPr>
          <w:rFonts w:ascii="Calibri" w:hAnsi="Calibri" w:cs="Calibri"/>
          <w:color w:val="000000"/>
          <w:sz w:val="21"/>
          <w:szCs w:val="21"/>
        </w:rPr>
        <w:t>Cash assistance for travel, stipends, honoraria and other costs shall be set at rates commensurate with those applied in the country, but not higher than those applicable to the United Nations system (as stated in the ICSC circulars)</w:t>
      </w:r>
      <w:r w:rsidR="00F856C4" w:rsidRPr="00DE143A">
        <w:rPr>
          <w:rFonts w:ascii="Calibri" w:hAnsi="Calibri" w:cs="Calibri"/>
          <w:color w:val="000000"/>
          <w:sz w:val="21"/>
          <w:szCs w:val="21"/>
        </w:rPr>
        <w:t>.</w:t>
      </w:r>
      <w:r w:rsidR="00182A80" w:rsidRPr="00DE143A">
        <w:rPr>
          <w:rFonts w:ascii="Calibri" w:hAnsi="Calibri" w:cs="Calibri"/>
          <w:color w:val="000000"/>
          <w:sz w:val="21"/>
          <w:szCs w:val="21"/>
        </w:rPr>
        <w:t xml:space="preserve"> </w:t>
      </w:r>
    </w:p>
    <w:p w14:paraId="4CFA24EA" w14:textId="77777777" w:rsidR="00A62677" w:rsidRPr="008451D2" w:rsidRDefault="00A62677" w:rsidP="00D9559C">
      <w:pPr>
        <w:pStyle w:val="ListParagraph"/>
        <w:numPr>
          <w:ilvl w:val="0"/>
          <w:numId w:val="3"/>
        </w:numPr>
        <w:spacing w:after="120"/>
        <w:ind w:right="-360" w:hanging="502"/>
        <w:contextualSpacing w:val="0"/>
        <w:jc w:val="both"/>
        <w:rPr>
          <w:sz w:val="21"/>
          <w:szCs w:val="21"/>
        </w:rPr>
      </w:pPr>
      <w:r w:rsidRPr="00DE143A">
        <w:rPr>
          <w:iCs/>
          <w:sz w:val="21"/>
          <w:szCs w:val="21"/>
        </w:rPr>
        <w:t xml:space="preserve">Cash transfers for activities detailed in </w:t>
      </w:r>
      <w:r w:rsidRPr="00DE143A">
        <w:rPr>
          <w:sz w:val="21"/>
          <w:szCs w:val="21"/>
        </w:rPr>
        <w:t xml:space="preserve">the joint work plans </w:t>
      </w:r>
      <w:r w:rsidRPr="00DE143A">
        <w:rPr>
          <w:iCs/>
          <w:sz w:val="21"/>
          <w:szCs w:val="21"/>
        </w:rPr>
        <w:t>can</w:t>
      </w:r>
      <w:r w:rsidRPr="008451D2">
        <w:rPr>
          <w:iCs/>
          <w:sz w:val="21"/>
          <w:szCs w:val="21"/>
        </w:rPr>
        <w:t xml:space="preserve"> be made by the UN system agencies using the following modalities:</w:t>
      </w:r>
    </w:p>
    <w:p w14:paraId="336702E5" w14:textId="2D969211" w:rsidR="00A62677" w:rsidRPr="008451D2" w:rsidRDefault="00A62677" w:rsidP="00D9559C">
      <w:pPr>
        <w:widowControl w:val="0"/>
        <w:overflowPunct w:val="0"/>
        <w:autoSpaceDE w:val="0"/>
        <w:autoSpaceDN w:val="0"/>
        <w:adjustRightInd w:val="0"/>
        <w:spacing w:after="0" w:line="240" w:lineRule="auto"/>
        <w:ind w:left="862" w:right="-360" w:hanging="502"/>
        <w:jc w:val="both"/>
        <w:rPr>
          <w:iCs/>
          <w:sz w:val="21"/>
          <w:szCs w:val="21"/>
        </w:rPr>
      </w:pPr>
      <w:r w:rsidRPr="008451D2">
        <w:rPr>
          <w:iCs/>
          <w:sz w:val="21"/>
          <w:szCs w:val="21"/>
        </w:rPr>
        <w:t xml:space="preserve">1. Cash transferred </w:t>
      </w:r>
      <w:r w:rsidRPr="002848C1">
        <w:rPr>
          <w:iCs/>
          <w:sz w:val="21"/>
          <w:szCs w:val="21"/>
        </w:rPr>
        <w:t xml:space="preserve">to a </w:t>
      </w:r>
      <w:r w:rsidR="00176897" w:rsidRPr="002848C1">
        <w:rPr>
          <w:iCs/>
          <w:sz w:val="21"/>
          <w:szCs w:val="21"/>
        </w:rPr>
        <w:t>relevant authority in BiH</w:t>
      </w:r>
      <w:r w:rsidRPr="002848C1">
        <w:rPr>
          <w:iCs/>
          <w:sz w:val="21"/>
          <w:szCs w:val="21"/>
        </w:rPr>
        <w:t xml:space="preserve"> for</w:t>
      </w:r>
      <w:r w:rsidRPr="008451D2">
        <w:rPr>
          <w:iCs/>
          <w:sz w:val="21"/>
          <w:szCs w:val="21"/>
        </w:rPr>
        <w:t xml:space="preserve"> forwarding to the Implementing Partner: </w:t>
      </w:r>
    </w:p>
    <w:p w14:paraId="11E6D586" w14:textId="77777777" w:rsidR="00A62677" w:rsidRPr="008451D2" w:rsidRDefault="00A62677" w:rsidP="00D9559C">
      <w:pPr>
        <w:widowControl w:val="0"/>
        <w:numPr>
          <w:ilvl w:val="1"/>
          <w:numId w:val="11"/>
        </w:numPr>
        <w:tabs>
          <w:tab w:val="clear" w:pos="1080"/>
        </w:tabs>
        <w:overflowPunct w:val="0"/>
        <w:autoSpaceDE w:val="0"/>
        <w:autoSpaceDN w:val="0"/>
        <w:adjustRightInd w:val="0"/>
        <w:spacing w:after="0" w:line="240" w:lineRule="auto"/>
        <w:ind w:left="851" w:right="-360" w:hanging="251"/>
        <w:jc w:val="both"/>
        <w:rPr>
          <w:iCs/>
          <w:sz w:val="21"/>
          <w:szCs w:val="21"/>
        </w:rPr>
      </w:pPr>
      <w:r w:rsidRPr="008451D2">
        <w:rPr>
          <w:iCs/>
          <w:sz w:val="21"/>
          <w:szCs w:val="21"/>
        </w:rPr>
        <w:t xml:space="preserve">Prior to the start of activities (direct cash transfer), or </w:t>
      </w:r>
    </w:p>
    <w:p w14:paraId="5F9A3059" w14:textId="77777777" w:rsidR="00A62677" w:rsidRPr="008451D2" w:rsidRDefault="00A62677" w:rsidP="00D9559C">
      <w:pPr>
        <w:widowControl w:val="0"/>
        <w:numPr>
          <w:ilvl w:val="1"/>
          <w:numId w:val="11"/>
        </w:numPr>
        <w:overflowPunct w:val="0"/>
        <w:autoSpaceDE w:val="0"/>
        <w:autoSpaceDN w:val="0"/>
        <w:adjustRightInd w:val="0"/>
        <w:spacing w:after="0" w:line="240" w:lineRule="auto"/>
        <w:ind w:left="851" w:right="-360" w:hanging="251"/>
        <w:jc w:val="both"/>
        <w:rPr>
          <w:iCs/>
          <w:sz w:val="21"/>
          <w:szCs w:val="21"/>
        </w:rPr>
      </w:pPr>
      <w:r w:rsidRPr="008451D2">
        <w:rPr>
          <w:iCs/>
          <w:sz w:val="21"/>
          <w:szCs w:val="21"/>
        </w:rPr>
        <w:t xml:space="preserve">After activities have been completed (reimbursement). </w:t>
      </w:r>
    </w:p>
    <w:p w14:paraId="393DA8CA" w14:textId="77777777" w:rsidR="00A62677" w:rsidRPr="008451D2" w:rsidRDefault="00A62677" w:rsidP="00D9559C">
      <w:pPr>
        <w:widowControl w:val="0"/>
        <w:overflowPunct w:val="0"/>
        <w:autoSpaceDE w:val="0"/>
        <w:autoSpaceDN w:val="0"/>
        <w:adjustRightInd w:val="0"/>
        <w:spacing w:after="0" w:line="240" w:lineRule="auto"/>
        <w:ind w:left="567" w:right="-360" w:hanging="210"/>
        <w:jc w:val="both"/>
        <w:rPr>
          <w:iCs/>
          <w:sz w:val="21"/>
          <w:szCs w:val="21"/>
        </w:rPr>
      </w:pPr>
      <w:r w:rsidRPr="008451D2">
        <w:rPr>
          <w:iCs/>
          <w:sz w:val="21"/>
          <w:szCs w:val="21"/>
        </w:rPr>
        <w:t>2. Direct payment to vendors or third parties for obligations incurred by the Implementing Partners on the basis of requests signed by the designated official of the Implementing Partner.</w:t>
      </w:r>
    </w:p>
    <w:p w14:paraId="0D811ACA" w14:textId="77777777" w:rsidR="00A62677" w:rsidRPr="008451D2" w:rsidRDefault="00A62677" w:rsidP="00D9559C">
      <w:pPr>
        <w:widowControl w:val="0"/>
        <w:overflowPunct w:val="0"/>
        <w:autoSpaceDE w:val="0"/>
        <w:autoSpaceDN w:val="0"/>
        <w:adjustRightInd w:val="0"/>
        <w:spacing w:after="120" w:line="240" w:lineRule="auto"/>
        <w:ind w:left="567" w:right="-360" w:hanging="210"/>
        <w:jc w:val="both"/>
        <w:rPr>
          <w:iCs/>
          <w:sz w:val="21"/>
          <w:szCs w:val="21"/>
        </w:rPr>
      </w:pPr>
      <w:r w:rsidRPr="008451D2">
        <w:rPr>
          <w:iCs/>
          <w:sz w:val="21"/>
          <w:szCs w:val="21"/>
        </w:rPr>
        <w:t xml:space="preserve">3. Direct payments to vendors or third parties for obligations incurred by UN system agencies in support of activities agreed with Implementing Partners. </w:t>
      </w:r>
    </w:p>
    <w:p w14:paraId="2CED5CD9" w14:textId="77777777" w:rsidR="00A62677" w:rsidRPr="006752A4" w:rsidRDefault="00A62677" w:rsidP="00D9559C">
      <w:pPr>
        <w:pStyle w:val="ListParagraph"/>
        <w:widowControl w:val="0"/>
        <w:numPr>
          <w:ilvl w:val="0"/>
          <w:numId w:val="3"/>
        </w:numPr>
        <w:overflowPunct w:val="0"/>
        <w:spacing w:after="120"/>
        <w:ind w:right="-360" w:hanging="502"/>
        <w:contextualSpacing w:val="0"/>
        <w:jc w:val="both"/>
        <w:rPr>
          <w:iCs/>
          <w:sz w:val="21"/>
          <w:szCs w:val="21"/>
        </w:rPr>
      </w:pPr>
      <w:r w:rsidRPr="006752A4">
        <w:rPr>
          <w:iCs/>
          <w:sz w:val="21"/>
          <w:szCs w:val="21"/>
        </w:rPr>
        <w:t>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 Following the completion of any activity, any balance of funds shall be refunded or programmed by mutual agreement between the Implementing Partner and the UN system agencies.</w:t>
      </w:r>
    </w:p>
    <w:p w14:paraId="290FC3C8" w14:textId="068922B9" w:rsidR="00A62677" w:rsidRDefault="00A62677" w:rsidP="00D9559C">
      <w:pPr>
        <w:pStyle w:val="ListParagraph"/>
        <w:numPr>
          <w:ilvl w:val="0"/>
          <w:numId w:val="3"/>
        </w:numPr>
        <w:ind w:right="-360" w:hanging="502"/>
        <w:jc w:val="both"/>
        <w:rPr>
          <w:iCs/>
          <w:sz w:val="21"/>
          <w:szCs w:val="21"/>
        </w:rPr>
      </w:pPr>
      <w:r w:rsidRPr="0029238D">
        <w:rPr>
          <w:iCs/>
          <w:sz w:val="21"/>
          <w:szCs w:val="21"/>
        </w:rPr>
        <w:t xml:space="preserve">Cash transfer modalities, the size of disbursements, and the scope and frequency of assurance activities </w:t>
      </w:r>
      <w:r w:rsidR="00DB412B" w:rsidRPr="0029238D">
        <w:rPr>
          <w:iCs/>
          <w:sz w:val="21"/>
          <w:szCs w:val="21"/>
        </w:rPr>
        <w:t xml:space="preserve">shall </w:t>
      </w:r>
      <w:r w:rsidRPr="0029238D">
        <w:rPr>
          <w:iCs/>
          <w:sz w:val="21"/>
          <w:szCs w:val="21"/>
        </w:rPr>
        <w:t>depend on the findings of a review of the public financial management capacity in the case of a Government Implementing Partner, and of an assessment of the financial management capacity of the non-UN</w:t>
      </w:r>
      <w:r w:rsidRPr="006752A4">
        <w:rPr>
          <w:rStyle w:val="FootnoteReference"/>
          <w:iCs/>
          <w:sz w:val="21"/>
          <w:szCs w:val="21"/>
        </w:rPr>
        <w:footnoteReference w:id="122"/>
      </w:r>
      <w:r w:rsidRPr="0029238D">
        <w:rPr>
          <w:iCs/>
          <w:sz w:val="21"/>
          <w:szCs w:val="21"/>
        </w:rPr>
        <w:t xml:space="preserve"> Implementing Partner. A qualified consultant, such as a public accounting firm, selected by the UN system agencies may conduct such an assessment, in which the Implementing Partner shall participate.</w:t>
      </w:r>
      <w:r w:rsidR="00ED06FB">
        <w:rPr>
          <w:iCs/>
          <w:sz w:val="21"/>
          <w:szCs w:val="21"/>
        </w:rPr>
        <w:t xml:space="preserve">  </w:t>
      </w:r>
      <w:r w:rsidRPr="00021606">
        <w:rPr>
          <w:iCs/>
          <w:sz w:val="21"/>
          <w:szCs w:val="21"/>
        </w:rPr>
        <w:t>The Implementing Partner may participate in the selection of the consultant.</w:t>
      </w:r>
    </w:p>
    <w:p w14:paraId="5605BF30" w14:textId="77777777" w:rsidR="00D06615" w:rsidRPr="00021606" w:rsidRDefault="00D06615" w:rsidP="00D06615">
      <w:pPr>
        <w:pStyle w:val="ListParagraph"/>
        <w:numPr>
          <w:ilvl w:val="0"/>
          <w:numId w:val="0"/>
        </w:numPr>
        <w:ind w:left="360" w:right="-360"/>
        <w:jc w:val="both"/>
        <w:rPr>
          <w:iCs/>
          <w:sz w:val="21"/>
          <w:szCs w:val="21"/>
        </w:rPr>
      </w:pPr>
    </w:p>
    <w:p w14:paraId="5CD6860E" w14:textId="77777777" w:rsidR="00A62677" w:rsidRPr="006752A4" w:rsidRDefault="00A62677" w:rsidP="00D9559C">
      <w:pPr>
        <w:pStyle w:val="ListParagraph"/>
        <w:widowControl w:val="0"/>
        <w:numPr>
          <w:ilvl w:val="0"/>
          <w:numId w:val="3"/>
        </w:numPr>
        <w:overflowPunct w:val="0"/>
        <w:spacing w:after="120"/>
        <w:ind w:right="-360" w:hanging="502"/>
        <w:contextualSpacing w:val="0"/>
        <w:jc w:val="both"/>
        <w:rPr>
          <w:iCs/>
          <w:sz w:val="21"/>
          <w:szCs w:val="21"/>
        </w:rPr>
      </w:pPr>
      <w:r w:rsidRPr="006752A4">
        <w:rPr>
          <w:iCs/>
          <w:sz w:val="21"/>
          <w:szCs w:val="21"/>
        </w:rPr>
        <w:t>Cash transfer modalities, the size of disbursements, and the scope and frequency of assurance activities may be revised in the course of programme implementation based on the findings of programme monitoring, expenditure monitoring and reporting, and audits.</w:t>
      </w:r>
    </w:p>
    <w:p w14:paraId="2CE19BFB" w14:textId="6921ACB0" w:rsidR="00A62677" w:rsidRPr="006752A4" w:rsidRDefault="00A62677" w:rsidP="00D9559C">
      <w:pPr>
        <w:pStyle w:val="ListParagraph"/>
        <w:widowControl w:val="0"/>
        <w:numPr>
          <w:ilvl w:val="0"/>
          <w:numId w:val="3"/>
        </w:numPr>
        <w:overflowPunct w:val="0"/>
        <w:spacing w:after="120"/>
        <w:ind w:right="-360" w:hanging="502"/>
        <w:contextualSpacing w:val="0"/>
        <w:jc w:val="both"/>
        <w:rPr>
          <w:iCs/>
          <w:sz w:val="21"/>
          <w:szCs w:val="21"/>
        </w:rPr>
      </w:pPr>
      <w:r w:rsidRPr="006752A4">
        <w:rPr>
          <w:rFonts w:ascii="Calibri" w:hAnsi="Calibri" w:cs="Calibri"/>
          <w:color w:val="000000"/>
          <w:sz w:val="21"/>
          <w:szCs w:val="21"/>
        </w:rPr>
        <w:t xml:space="preserve">In case of direct cash transfer or reimbursement, the UN system agencies shall notify the Implementing Partner of the amount approved by the UN system agencies and shall disburse funds to the Implementing Partner </w:t>
      </w:r>
      <w:r w:rsidR="00A12827">
        <w:rPr>
          <w:rFonts w:ascii="Calibri" w:hAnsi="Calibri" w:cs="Calibri"/>
          <w:color w:val="000000"/>
          <w:sz w:val="21"/>
          <w:szCs w:val="21"/>
        </w:rPr>
        <w:t>within 14 days</w:t>
      </w:r>
      <w:r w:rsidRPr="006752A4">
        <w:rPr>
          <w:rFonts w:ascii="Calibri" w:hAnsi="Calibri" w:cs="Calibri"/>
          <w:color w:val="000000"/>
          <w:sz w:val="21"/>
          <w:szCs w:val="21"/>
        </w:rPr>
        <w:t xml:space="preserve">. </w:t>
      </w:r>
    </w:p>
    <w:p w14:paraId="6629BE4E" w14:textId="5C1730F0" w:rsidR="00A62677" w:rsidRPr="006752A4" w:rsidRDefault="00A62677" w:rsidP="00D9559C">
      <w:pPr>
        <w:pStyle w:val="ListParagraph"/>
        <w:widowControl w:val="0"/>
        <w:numPr>
          <w:ilvl w:val="0"/>
          <w:numId w:val="3"/>
        </w:numPr>
        <w:overflowPunct w:val="0"/>
        <w:spacing w:after="120"/>
        <w:ind w:right="-360" w:hanging="502"/>
        <w:contextualSpacing w:val="0"/>
        <w:jc w:val="both"/>
        <w:rPr>
          <w:iCs/>
          <w:sz w:val="21"/>
          <w:szCs w:val="21"/>
        </w:rPr>
      </w:pPr>
      <w:r w:rsidRPr="006752A4">
        <w:rPr>
          <w:rFonts w:ascii="Calibri" w:hAnsi="Calibri" w:cs="Calibri"/>
          <w:color w:val="000000"/>
          <w:sz w:val="21"/>
          <w:szCs w:val="21"/>
        </w:rPr>
        <w:t xml:space="preserve">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w:t>
      </w:r>
      <w:r w:rsidR="00B1101C">
        <w:rPr>
          <w:rFonts w:ascii="Calibri" w:hAnsi="Calibri" w:cs="Calibri"/>
          <w:color w:val="000000"/>
          <w:sz w:val="21"/>
          <w:szCs w:val="21"/>
        </w:rPr>
        <w:t>14 days</w:t>
      </w:r>
      <w:r w:rsidRPr="006752A4">
        <w:rPr>
          <w:rFonts w:ascii="Calibri" w:hAnsi="Calibri" w:cs="Calibri"/>
          <w:color w:val="000000"/>
          <w:sz w:val="21"/>
          <w:szCs w:val="21"/>
        </w:rPr>
        <w:t xml:space="preserve">. </w:t>
      </w:r>
    </w:p>
    <w:p w14:paraId="6A76932B" w14:textId="3B555C2F" w:rsidR="00A62677" w:rsidRPr="006752A4" w:rsidRDefault="00A62677" w:rsidP="00D9559C">
      <w:pPr>
        <w:pStyle w:val="ListParagraph"/>
        <w:widowControl w:val="0"/>
        <w:numPr>
          <w:ilvl w:val="0"/>
          <w:numId w:val="3"/>
        </w:numPr>
        <w:overflowPunct w:val="0"/>
        <w:spacing w:after="120"/>
        <w:ind w:right="-360" w:hanging="502"/>
        <w:contextualSpacing w:val="0"/>
        <w:jc w:val="both"/>
        <w:rPr>
          <w:iCs/>
          <w:sz w:val="21"/>
          <w:szCs w:val="21"/>
        </w:rPr>
      </w:pPr>
      <w:r w:rsidRPr="006752A4">
        <w:rPr>
          <w:rFonts w:ascii="Calibri" w:hAnsi="Calibri" w:cs="Calibri"/>
          <w:color w:val="000000"/>
          <w:sz w:val="21"/>
          <w:szCs w:val="21"/>
        </w:rPr>
        <w:t>The UN system agencies shall not have any direct liability under the contractual arrangements concluded between the Implementing Partner and a third</w:t>
      </w:r>
      <w:r w:rsidR="006336D7">
        <w:rPr>
          <w:rFonts w:ascii="Calibri" w:hAnsi="Calibri" w:cs="Calibri"/>
          <w:color w:val="000000"/>
          <w:sz w:val="21"/>
          <w:szCs w:val="21"/>
        </w:rPr>
        <w:t>-</w:t>
      </w:r>
      <w:r w:rsidRPr="006752A4">
        <w:rPr>
          <w:rFonts w:ascii="Calibri" w:hAnsi="Calibri" w:cs="Calibri"/>
          <w:color w:val="000000"/>
          <w:sz w:val="21"/>
          <w:szCs w:val="21"/>
        </w:rPr>
        <w:t xml:space="preserve">party vendor. </w:t>
      </w:r>
    </w:p>
    <w:p w14:paraId="61F8DAD8" w14:textId="54BE42E7" w:rsidR="00A62677" w:rsidRPr="006752A4" w:rsidRDefault="00A62677" w:rsidP="00D9559C">
      <w:pPr>
        <w:pStyle w:val="ListParagraph"/>
        <w:widowControl w:val="0"/>
        <w:numPr>
          <w:ilvl w:val="0"/>
          <w:numId w:val="3"/>
        </w:numPr>
        <w:overflowPunct w:val="0"/>
        <w:spacing w:after="120"/>
        <w:ind w:right="-360" w:hanging="502"/>
        <w:contextualSpacing w:val="0"/>
        <w:jc w:val="both"/>
        <w:rPr>
          <w:iCs/>
          <w:sz w:val="21"/>
          <w:szCs w:val="21"/>
        </w:rPr>
      </w:pPr>
      <w:r w:rsidRPr="006752A4">
        <w:rPr>
          <w:rFonts w:ascii="Calibri" w:hAnsi="Calibri" w:cs="Calibri"/>
          <w:color w:val="000000"/>
          <w:sz w:val="21"/>
          <w:szCs w:val="21"/>
        </w:rPr>
        <w:t xml:space="preserve">Where the UN system </w:t>
      </w:r>
      <w:r w:rsidR="004D6BCD" w:rsidRPr="006752A4">
        <w:rPr>
          <w:rFonts w:ascii="Calibri" w:hAnsi="Calibri" w:cs="Calibri"/>
          <w:color w:val="000000"/>
          <w:sz w:val="21"/>
          <w:szCs w:val="21"/>
        </w:rPr>
        <w:t>agencies provide</w:t>
      </w:r>
      <w:r w:rsidRPr="006752A4">
        <w:rPr>
          <w:rFonts w:ascii="Calibri" w:hAnsi="Calibri" w:cs="Calibri"/>
          <w:color w:val="000000"/>
          <w:sz w:val="21"/>
          <w:szCs w:val="21"/>
        </w:rPr>
        <w:t xml:space="preserve"> cash to the same Implementing Partner, programme monitoring, financial monitoring and auditing will be undertaken jointly or coordinated with those UN system agencies. </w:t>
      </w:r>
    </w:p>
    <w:p w14:paraId="22F084D6" w14:textId="77777777" w:rsidR="00A62677" w:rsidRPr="006752A4" w:rsidRDefault="00A62677" w:rsidP="00D9559C">
      <w:pPr>
        <w:pStyle w:val="ListParagraph"/>
        <w:widowControl w:val="0"/>
        <w:numPr>
          <w:ilvl w:val="0"/>
          <w:numId w:val="3"/>
        </w:numPr>
        <w:overflowPunct w:val="0"/>
        <w:spacing w:after="120"/>
        <w:ind w:left="363" w:right="-360" w:hanging="505"/>
        <w:contextualSpacing w:val="0"/>
        <w:jc w:val="both"/>
        <w:rPr>
          <w:sz w:val="21"/>
          <w:szCs w:val="21"/>
        </w:rPr>
      </w:pPr>
      <w:r w:rsidRPr="006752A4">
        <w:rPr>
          <w:sz w:val="21"/>
          <w:szCs w:val="21"/>
        </w:rPr>
        <w:t>A standard Fund Authorization and Certificate of Expenditures (FACE) report, reflecting the activity lines of joint work plans will be used by Implementing Partners (IPs) to request the release of funds, or to secure the agreement that the UN organization will reimburse or directly pay for planned expenditure. IPs will use the FACE to report on the utilization of cash received. The Implementing Partner shall identify the designated official(s) authorized to provide the account details, request and certify the use of cash. The FACE will be certified by the designated official(s) of the IP.</w:t>
      </w:r>
    </w:p>
    <w:p w14:paraId="0024BC98" w14:textId="77777777" w:rsidR="00A62677" w:rsidRPr="006752A4" w:rsidRDefault="00A62677" w:rsidP="00D9559C">
      <w:pPr>
        <w:pStyle w:val="ListParagraph"/>
        <w:widowControl w:val="0"/>
        <w:numPr>
          <w:ilvl w:val="0"/>
          <w:numId w:val="3"/>
        </w:numPr>
        <w:overflowPunct w:val="0"/>
        <w:spacing w:after="120"/>
        <w:ind w:left="363" w:right="-360" w:hanging="505"/>
        <w:contextualSpacing w:val="0"/>
        <w:jc w:val="both"/>
        <w:rPr>
          <w:sz w:val="21"/>
          <w:szCs w:val="21"/>
        </w:rPr>
      </w:pPr>
      <w:r w:rsidRPr="006752A4">
        <w:rPr>
          <w:sz w:val="21"/>
          <w:szCs w:val="21"/>
        </w:rPr>
        <w:t>Cash transferred to Implementing Partners should be spent for the purpose of activities and within the timeframe as agreed in the WPs only.</w:t>
      </w:r>
    </w:p>
    <w:p w14:paraId="1C63C533" w14:textId="235309CF" w:rsidR="00A62677" w:rsidRPr="00DE143A" w:rsidRDefault="00A62677" w:rsidP="00D9559C">
      <w:pPr>
        <w:pStyle w:val="ListParagraph"/>
        <w:widowControl w:val="0"/>
        <w:numPr>
          <w:ilvl w:val="0"/>
          <w:numId w:val="3"/>
        </w:numPr>
        <w:overflowPunct w:val="0"/>
        <w:spacing w:after="120"/>
        <w:ind w:left="363" w:right="-360" w:hanging="505"/>
        <w:contextualSpacing w:val="0"/>
        <w:jc w:val="both"/>
        <w:rPr>
          <w:sz w:val="21"/>
          <w:szCs w:val="21"/>
        </w:rPr>
      </w:pPr>
      <w:r w:rsidRPr="006752A4">
        <w:rPr>
          <w:sz w:val="21"/>
          <w:szCs w:val="21"/>
        </w:rPr>
        <w:t>Cash received by the Government and national NGO IPs shall be used in accordance with established national regulations, policies and procedures consistent with international standards, in particular ensuring that cash is expended for activities as agreed in the WPs, and ensuring that reports on the utilization of all received cash are submitted to the relevant UN organization within six months after receipt of the funds</w:t>
      </w:r>
      <w:r w:rsidR="00A81AFD">
        <w:rPr>
          <w:sz w:val="21"/>
          <w:szCs w:val="21"/>
        </w:rPr>
        <w:t xml:space="preserve">, </w:t>
      </w:r>
      <w:r w:rsidR="00A81AFD" w:rsidRPr="00DE143A">
        <w:rPr>
          <w:sz w:val="21"/>
          <w:szCs w:val="21"/>
        </w:rPr>
        <w:t>unless prescribed differently by agency requirements</w:t>
      </w:r>
      <w:r w:rsidRPr="00DE143A">
        <w:rPr>
          <w:sz w:val="21"/>
          <w:szCs w:val="21"/>
        </w:rPr>
        <w:t>. Where any of the national regulations, policies and procedures is not consistent with international standards, the UN system agency financial and other related rules and system agency regulations, policies and procedures will apply.</w:t>
      </w:r>
    </w:p>
    <w:p w14:paraId="3A90EEED" w14:textId="2BB8BEBC" w:rsidR="00A62677" w:rsidRPr="00DE143A" w:rsidRDefault="00A62677" w:rsidP="00D9559C">
      <w:pPr>
        <w:pStyle w:val="ListParagraph"/>
        <w:widowControl w:val="0"/>
        <w:numPr>
          <w:ilvl w:val="0"/>
          <w:numId w:val="3"/>
        </w:numPr>
        <w:overflowPunct w:val="0"/>
        <w:spacing w:after="120"/>
        <w:ind w:left="363" w:right="-360" w:hanging="505"/>
        <w:contextualSpacing w:val="0"/>
        <w:jc w:val="both"/>
        <w:rPr>
          <w:sz w:val="21"/>
          <w:szCs w:val="21"/>
        </w:rPr>
      </w:pPr>
      <w:r w:rsidRPr="00DE143A">
        <w:rPr>
          <w:sz w:val="21"/>
          <w:szCs w:val="21"/>
        </w:rPr>
        <w:t>In the case of IPs that are international NGOs, CSOs, and IGOs, cash received shall be used in accordance with international standards in particular ensuring that cash is expended for activities as agreed in the WPs, and ensuring that reports on the full utilization of all received cash are submitted to the UN organization within six months after receipt of the funds</w:t>
      </w:r>
      <w:r w:rsidR="00A81AFD" w:rsidRPr="00DE143A">
        <w:rPr>
          <w:sz w:val="21"/>
          <w:szCs w:val="21"/>
        </w:rPr>
        <w:t>, unless prescribed differently by agency requirements</w:t>
      </w:r>
      <w:r w:rsidRPr="00DE143A">
        <w:rPr>
          <w:sz w:val="21"/>
          <w:szCs w:val="21"/>
        </w:rPr>
        <w:t>.</w:t>
      </w:r>
    </w:p>
    <w:p w14:paraId="652AC134" w14:textId="77777777" w:rsidR="00A62677" w:rsidRPr="00A342D4" w:rsidRDefault="00A62677" w:rsidP="00D9559C">
      <w:pPr>
        <w:pStyle w:val="ListParagraph"/>
        <w:widowControl w:val="0"/>
        <w:numPr>
          <w:ilvl w:val="0"/>
          <w:numId w:val="3"/>
        </w:numPr>
        <w:overflowPunct w:val="0"/>
        <w:spacing w:after="20"/>
        <w:ind w:right="-360" w:hanging="502"/>
        <w:contextualSpacing w:val="0"/>
        <w:jc w:val="both"/>
        <w:rPr>
          <w:sz w:val="21"/>
          <w:szCs w:val="21"/>
        </w:rPr>
      </w:pPr>
      <w:r w:rsidRPr="00DE143A">
        <w:rPr>
          <w:sz w:val="21"/>
          <w:szCs w:val="21"/>
        </w:rPr>
        <w:t>To facilitate scheduled and special audits each IP receiving cash from a UN system agency will provide</w:t>
      </w:r>
      <w:r w:rsidRPr="00A342D4">
        <w:rPr>
          <w:sz w:val="21"/>
          <w:szCs w:val="21"/>
        </w:rPr>
        <w:t xml:space="preserve"> the UN system agency or its representative with timely access to:</w:t>
      </w:r>
    </w:p>
    <w:p w14:paraId="3442D031" w14:textId="77777777" w:rsidR="00A342D4" w:rsidRPr="00A342D4" w:rsidRDefault="00A62677" w:rsidP="00D9559C">
      <w:pPr>
        <w:numPr>
          <w:ilvl w:val="0"/>
          <w:numId w:val="7"/>
        </w:numPr>
        <w:spacing w:after="40" w:line="240" w:lineRule="auto"/>
        <w:ind w:right="-360" w:hanging="357"/>
        <w:jc w:val="both"/>
        <w:rPr>
          <w:sz w:val="21"/>
          <w:szCs w:val="21"/>
          <w:lang w:val="en-US"/>
        </w:rPr>
      </w:pPr>
      <w:r w:rsidRPr="00A342D4">
        <w:rPr>
          <w:sz w:val="21"/>
          <w:szCs w:val="21"/>
        </w:rPr>
        <w:t>All financial records which establish the transactional record of the cash transfers provided by a UN system agency, together with relevant documentation</w:t>
      </w:r>
    </w:p>
    <w:p w14:paraId="0239BBA6" w14:textId="77777777" w:rsidR="00A62677" w:rsidRPr="00A342D4" w:rsidRDefault="00A62677" w:rsidP="00D9559C">
      <w:pPr>
        <w:numPr>
          <w:ilvl w:val="0"/>
          <w:numId w:val="7"/>
        </w:numPr>
        <w:spacing w:after="120" w:line="240" w:lineRule="auto"/>
        <w:ind w:right="-360" w:hanging="357"/>
        <w:jc w:val="both"/>
        <w:rPr>
          <w:sz w:val="21"/>
          <w:szCs w:val="21"/>
          <w:lang w:val="en-US"/>
        </w:rPr>
      </w:pPr>
      <w:r w:rsidRPr="00A342D4">
        <w:rPr>
          <w:sz w:val="21"/>
          <w:szCs w:val="21"/>
        </w:rPr>
        <w:t xml:space="preserve">All relevant documentation and personnel associated with the functioning of the Implementing Partners’ internal control structure through which the cash transfers have passed </w:t>
      </w:r>
    </w:p>
    <w:p w14:paraId="7BE08C98" w14:textId="77777777" w:rsidR="00A62677" w:rsidRPr="00A342D4" w:rsidRDefault="00A62677" w:rsidP="00D9559C">
      <w:pPr>
        <w:pStyle w:val="ListParagraph"/>
        <w:widowControl w:val="0"/>
        <w:numPr>
          <w:ilvl w:val="0"/>
          <w:numId w:val="3"/>
        </w:numPr>
        <w:overflowPunct w:val="0"/>
        <w:spacing w:after="20"/>
        <w:ind w:right="-360" w:hanging="502"/>
        <w:contextualSpacing w:val="0"/>
        <w:jc w:val="both"/>
        <w:rPr>
          <w:sz w:val="21"/>
          <w:szCs w:val="21"/>
        </w:rPr>
      </w:pPr>
      <w:r w:rsidRPr="00A342D4">
        <w:rPr>
          <w:sz w:val="21"/>
          <w:szCs w:val="21"/>
        </w:rPr>
        <w:t>The findings of each audit will be reported to the IP and UN system agency. Each IP will furthermore:</w:t>
      </w:r>
    </w:p>
    <w:p w14:paraId="707E9363" w14:textId="77777777" w:rsidR="00A342D4" w:rsidRPr="00A342D4" w:rsidRDefault="00A62677" w:rsidP="00D9559C">
      <w:pPr>
        <w:numPr>
          <w:ilvl w:val="0"/>
          <w:numId w:val="7"/>
        </w:numPr>
        <w:spacing w:after="40" w:line="240" w:lineRule="auto"/>
        <w:ind w:right="-360" w:hanging="357"/>
        <w:jc w:val="both"/>
        <w:rPr>
          <w:sz w:val="21"/>
          <w:szCs w:val="21"/>
          <w:lang w:val="en-US"/>
        </w:rPr>
      </w:pPr>
      <w:r w:rsidRPr="00A342D4">
        <w:rPr>
          <w:sz w:val="21"/>
          <w:szCs w:val="21"/>
        </w:rPr>
        <w:t xml:space="preserve">Receive and review the audit report issued by the auditors, </w:t>
      </w:r>
    </w:p>
    <w:p w14:paraId="42E92A96" w14:textId="77777777" w:rsidR="00A342D4" w:rsidRPr="00A342D4" w:rsidRDefault="00A62677" w:rsidP="00D9559C">
      <w:pPr>
        <w:numPr>
          <w:ilvl w:val="0"/>
          <w:numId w:val="7"/>
        </w:numPr>
        <w:spacing w:after="40" w:line="240" w:lineRule="auto"/>
        <w:ind w:right="-360" w:hanging="357"/>
        <w:jc w:val="both"/>
        <w:rPr>
          <w:sz w:val="21"/>
          <w:szCs w:val="21"/>
          <w:lang w:val="en-US"/>
        </w:rPr>
      </w:pPr>
      <w:r w:rsidRPr="00A342D4">
        <w:rPr>
          <w:sz w:val="21"/>
          <w:szCs w:val="21"/>
        </w:rPr>
        <w:t>Provide a timely statement of the acceptance or rejection of any audit recommendation to the UN organization that provided cash, and to the SAI, before submitting it to the UN system agency,</w:t>
      </w:r>
    </w:p>
    <w:p w14:paraId="06138C72" w14:textId="77777777" w:rsidR="00A342D4" w:rsidRPr="00A342D4" w:rsidRDefault="00A62677" w:rsidP="00D9559C">
      <w:pPr>
        <w:numPr>
          <w:ilvl w:val="0"/>
          <w:numId w:val="7"/>
        </w:numPr>
        <w:spacing w:after="40" w:line="240" w:lineRule="auto"/>
        <w:ind w:right="-360" w:hanging="357"/>
        <w:jc w:val="both"/>
        <w:rPr>
          <w:sz w:val="21"/>
          <w:szCs w:val="21"/>
          <w:lang w:val="en-US"/>
        </w:rPr>
      </w:pPr>
      <w:r w:rsidRPr="00A342D4">
        <w:rPr>
          <w:sz w:val="21"/>
          <w:szCs w:val="21"/>
        </w:rPr>
        <w:t>Undertake timely actions to address the accepted audit recommendations,</w:t>
      </w:r>
    </w:p>
    <w:p w14:paraId="36FF9D9F" w14:textId="77777777" w:rsidR="00A62677" w:rsidRPr="00A342D4" w:rsidRDefault="00A62677" w:rsidP="00D9559C">
      <w:pPr>
        <w:numPr>
          <w:ilvl w:val="0"/>
          <w:numId w:val="7"/>
        </w:numPr>
        <w:spacing w:after="40" w:line="240" w:lineRule="auto"/>
        <w:ind w:right="-360" w:hanging="357"/>
        <w:jc w:val="both"/>
        <w:rPr>
          <w:sz w:val="21"/>
          <w:szCs w:val="21"/>
          <w:lang w:val="en-US"/>
        </w:rPr>
      </w:pPr>
      <w:r w:rsidRPr="00A342D4">
        <w:rPr>
          <w:sz w:val="21"/>
          <w:szCs w:val="21"/>
        </w:rPr>
        <w:t>Report on the actions taken to implement accepted recommendations, to the UN system agencies and to the SAI, on a quarterly basis or as locally agreed.</w:t>
      </w:r>
    </w:p>
    <w:p w14:paraId="074EBD0C" w14:textId="22196ADE" w:rsidR="00A62677" w:rsidRPr="006752A4" w:rsidRDefault="00A62677" w:rsidP="00D9559C">
      <w:pPr>
        <w:pStyle w:val="ListParagraph"/>
        <w:numPr>
          <w:ilvl w:val="0"/>
          <w:numId w:val="3"/>
        </w:numPr>
        <w:spacing w:after="120"/>
        <w:ind w:right="-360" w:hanging="502"/>
        <w:contextualSpacing w:val="0"/>
        <w:jc w:val="both"/>
        <w:rPr>
          <w:sz w:val="21"/>
          <w:szCs w:val="21"/>
        </w:rPr>
      </w:pPr>
      <w:r w:rsidRPr="006752A4">
        <w:rPr>
          <w:iCs/>
          <w:sz w:val="21"/>
          <w:szCs w:val="21"/>
        </w:rPr>
        <w:t xml:space="preserve">The audits will be commissioned by the UN system agencies and undertaken by </w:t>
      </w:r>
      <w:r w:rsidR="00F86630">
        <w:rPr>
          <w:iCs/>
          <w:sz w:val="21"/>
          <w:szCs w:val="21"/>
        </w:rPr>
        <w:t>third party</w:t>
      </w:r>
      <w:r w:rsidR="00F86630" w:rsidRPr="006752A4">
        <w:rPr>
          <w:iCs/>
          <w:sz w:val="21"/>
          <w:szCs w:val="21"/>
        </w:rPr>
        <w:t xml:space="preserve"> </w:t>
      </w:r>
      <w:r w:rsidRPr="006752A4">
        <w:rPr>
          <w:iCs/>
          <w:sz w:val="21"/>
          <w:szCs w:val="21"/>
        </w:rPr>
        <w:t>audit services</w:t>
      </w:r>
      <w:r w:rsidRPr="006752A4">
        <w:rPr>
          <w:sz w:val="21"/>
          <w:szCs w:val="21"/>
        </w:rPr>
        <w:t>.</w:t>
      </w:r>
    </w:p>
    <w:p w14:paraId="72B7387E" w14:textId="77777777" w:rsidR="00A62677" w:rsidRPr="00707381" w:rsidRDefault="00A62677" w:rsidP="00D9559C">
      <w:pPr>
        <w:spacing w:after="120" w:line="240" w:lineRule="auto"/>
        <w:ind w:left="357" w:right="-360"/>
        <w:jc w:val="both"/>
        <w:rPr>
          <w:rFonts w:cs="Calibri"/>
          <w:b/>
          <w:bCs/>
          <w:sz w:val="21"/>
          <w:szCs w:val="21"/>
        </w:rPr>
      </w:pPr>
      <w:r w:rsidRPr="00707381">
        <w:rPr>
          <w:rFonts w:cs="Calibri"/>
          <w:b/>
          <w:bCs/>
          <w:sz w:val="21"/>
          <w:szCs w:val="21"/>
        </w:rPr>
        <w:t>Resource Mobilization Strategy</w:t>
      </w:r>
    </w:p>
    <w:p w14:paraId="79FF3062" w14:textId="77777777" w:rsidR="00A62677" w:rsidRPr="006752A4" w:rsidRDefault="00A62677" w:rsidP="00D9559C">
      <w:pPr>
        <w:pStyle w:val="ListParagraph"/>
        <w:numPr>
          <w:ilvl w:val="0"/>
          <w:numId w:val="3"/>
        </w:numPr>
        <w:spacing w:after="120"/>
        <w:ind w:right="-360" w:hanging="502"/>
        <w:contextualSpacing w:val="0"/>
        <w:jc w:val="both"/>
        <w:rPr>
          <w:sz w:val="21"/>
          <w:szCs w:val="21"/>
        </w:rPr>
      </w:pPr>
      <w:r w:rsidRPr="006752A4">
        <w:rPr>
          <w:iCs/>
          <w:sz w:val="21"/>
          <w:szCs w:val="21"/>
        </w:rPr>
        <w:t xml:space="preserve">The </w:t>
      </w:r>
      <w:r w:rsidRPr="006752A4">
        <w:rPr>
          <w:rFonts w:cs="Calibri"/>
          <w:sz w:val="21"/>
          <w:szCs w:val="21"/>
        </w:rPr>
        <w:t xml:space="preserve">UN system agencies will provide support to the development and implementation of activities within the </w:t>
      </w:r>
      <w:r>
        <w:rPr>
          <w:rFonts w:cs="Calibri"/>
          <w:sz w:val="21"/>
          <w:szCs w:val="21"/>
        </w:rPr>
        <w:t>CF</w:t>
      </w:r>
      <w:r w:rsidRPr="006752A4">
        <w:rPr>
          <w:rFonts w:cs="Calibri"/>
          <w:sz w:val="21"/>
          <w:szCs w:val="21"/>
        </w:rPr>
        <w:t>, which may include technical support, cash assistance, supplies, commodities and equipment, procurement services, transport, funds for advocacy, research and studies, consultancies, programme development, monitoring and evaluation, training activities and staff support. Part of the UN system agencies’ support may be provided to Non-Governmental [and Civil Society] organizations as agreed within the framework of the individual work plans (WPs) and project documents.</w:t>
      </w:r>
    </w:p>
    <w:p w14:paraId="4DF00E1F" w14:textId="77777777" w:rsidR="00A62677" w:rsidRPr="006752A4" w:rsidRDefault="00A62677" w:rsidP="00D9559C">
      <w:pPr>
        <w:pStyle w:val="ListParagraph"/>
        <w:numPr>
          <w:ilvl w:val="0"/>
          <w:numId w:val="3"/>
        </w:numPr>
        <w:spacing w:after="120"/>
        <w:ind w:right="-360" w:hanging="502"/>
        <w:contextualSpacing w:val="0"/>
        <w:jc w:val="both"/>
        <w:rPr>
          <w:sz w:val="21"/>
          <w:szCs w:val="21"/>
        </w:rPr>
      </w:pPr>
      <w:r w:rsidRPr="006752A4">
        <w:rPr>
          <w:rFonts w:cs="Calibri"/>
          <w:sz w:val="21"/>
          <w:szCs w:val="21"/>
        </w:rPr>
        <w:t>Additional support may include access to UN organization-managed global information systems, the network of the UN system agencies’ country offices and specialized information systems, including rosters of consultants and providers of development services, and access to the support provided by the network of UN Specialized Agencies, Funds and Programmes.</w:t>
      </w:r>
    </w:p>
    <w:p w14:paraId="0D5A921B" w14:textId="77777777" w:rsidR="00A62677" w:rsidRPr="006752A4" w:rsidRDefault="00A62677" w:rsidP="00D9559C">
      <w:pPr>
        <w:pStyle w:val="ListParagraph"/>
        <w:numPr>
          <w:ilvl w:val="0"/>
          <w:numId w:val="3"/>
        </w:numPr>
        <w:spacing w:after="120"/>
        <w:ind w:right="-360" w:hanging="502"/>
        <w:contextualSpacing w:val="0"/>
        <w:jc w:val="both"/>
        <w:rPr>
          <w:sz w:val="21"/>
          <w:szCs w:val="21"/>
        </w:rPr>
      </w:pPr>
      <w:r w:rsidRPr="006752A4">
        <w:rPr>
          <w:rFonts w:cs="Calibri"/>
          <w:sz w:val="21"/>
          <w:szCs w:val="21"/>
        </w:rPr>
        <w:t>The UN system agencies shall appoint staff and consultants for programme development, programme support, technical assistance, as well as monitoring and evaluation activities.</w:t>
      </w:r>
    </w:p>
    <w:p w14:paraId="66A3DD4A" w14:textId="659F59BD" w:rsidR="00A62677" w:rsidRPr="006752A4" w:rsidRDefault="00A62677" w:rsidP="00D9559C">
      <w:pPr>
        <w:pStyle w:val="ListParagraph"/>
        <w:numPr>
          <w:ilvl w:val="0"/>
          <w:numId w:val="3"/>
        </w:numPr>
        <w:spacing w:after="120"/>
        <w:ind w:right="-360" w:hanging="502"/>
        <w:contextualSpacing w:val="0"/>
        <w:jc w:val="both"/>
        <w:rPr>
          <w:sz w:val="21"/>
          <w:szCs w:val="21"/>
        </w:rPr>
      </w:pPr>
      <w:r w:rsidRPr="006752A4">
        <w:rPr>
          <w:rFonts w:cs="Calibri"/>
          <w:sz w:val="21"/>
          <w:szCs w:val="21"/>
        </w:rPr>
        <w:t>Subject to annual reviews and progress in the implementation of the programme, the UN system agencies’ funds are distributed by calendar year and in accordance with the CF. These budgets will be reviewed and further detailed in the work plans and project documents. By mutual consent between the Government and the UN system agencies, funds not earmarked by donors to the UN system agencies for specific activities may be re-allocated to other programmatically equally worthwhile activities.</w:t>
      </w:r>
    </w:p>
    <w:p w14:paraId="376D44AA" w14:textId="77777777" w:rsidR="00A62677" w:rsidRDefault="00A62677" w:rsidP="00D9559C">
      <w:pPr>
        <w:spacing w:before="240" w:after="120" w:line="240" w:lineRule="auto"/>
        <w:ind w:right="-360"/>
        <w:jc w:val="both"/>
      </w:pPr>
      <w:r w:rsidRPr="00F63038">
        <w:rPr>
          <w:b/>
          <w:color w:val="1F497D" w:themeColor="text2"/>
          <w:sz w:val="32"/>
          <w:szCs w:val="32"/>
        </w:rPr>
        <w:t xml:space="preserve">5. Monitoring and </w:t>
      </w:r>
      <w:r>
        <w:rPr>
          <w:b/>
          <w:color w:val="1F497D" w:themeColor="text2"/>
          <w:sz w:val="32"/>
          <w:szCs w:val="32"/>
        </w:rPr>
        <w:t>e</w:t>
      </w:r>
      <w:r w:rsidRPr="00F63038">
        <w:rPr>
          <w:b/>
          <w:color w:val="1F497D" w:themeColor="text2"/>
          <w:sz w:val="32"/>
          <w:szCs w:val="32"/>
        </w:rPr>
        <w:t>valuation</w:t>
      </w:r>
      <w:r>
        <w:rPr>
          <w:b/>
          <w:color w:val="1F497D" w:themeColor="text2"/>
          <w:sz w:val="32"/>
          <w:szCs w:val="32"/>
        </w:rPr>
        <w:fldChar w:fldCharType="begin"/>
      </w:r>
      <w:r>
        <w:instrText xml:space="preserve"> TC "</w:instrText>
      </w:r>
      <w:bookmarkStart w:id="70" w:name="_Toc21777839"/>
      <w:bookmarkStart w:id="71" w:name="_Toc23876373"/>
      <w:bookmarkStart w:id="72" w:name="_Toc23934001"/>
      <w:bookmarkStart w:id="73" w:name="_Toc26184407"/>
      <w:bookmarkStart w:id="74" w:name="_Toc38899131"/>
      <w:r w:rsidRPr="00E262FD">
        <w:rPr>
          <w:b/>
          <w:color w:val="1F497D" w:themeColor="text2"/>
          <w:sz w:val="32"/>
          <w:szCs w:val="32"/>
        </w:rPr>
        <w:instrText xml:space="preserve">5. Monitoring and </w:instrText>
      </w:r>
      <w:r>
        <w:rPr>
          <w:b/>
          <w:color w:val="1F497D" w:themeColor="text2"/>
          <w:sz w:val="32"/>
          <w:szCs w:val="32"/>
        </w:rPr>
        <w:instrText>e</w:instrText>
      </w:r>
      <w:r w:rsidRPr="00E262FD">
        <w:rPr>
          <w:b/>
          <w:color w:val="1F497D" w:themeColor="text2"/>
          <w:sz w:val="32"/>
          <w:szCs w:val="32"/>
        </w:rPr>
        <w:instrText>valuation</w:instrText>
      </w:r>
      <w:bookmarkEnd w:id="70"/>
      <w:bookmarkEnd w:id="71"/>
      <w:bookmarkEnd w:id="72"/>
      <w:bookmarkEnd w:id="73"/>
      <w:bookmarkEnd w:id="74"/>
      <w:r>
        <w:instrText xml:space="preserve">" \f C \l "1" </w:instrText>
      </w:r>
      <w:r>
        <w:rPr>
          <w:b/>
          <w:color w:val="1F497D" w:themeColor="text2"/>
          <w:sz w:val="32"/>
          <w:szCs w:val="32"/>
        </w:rPr>
        <w:fldChar w:fldCharType="end"/>
      </w:r>
    </w:p>
    <w:p w14:paraId="75EFECFF" w14:textId="77777777" w:rsidR="00A62677" w:rsidRPr="00707381" w:rsidRDefault="00A62677" w:rsidP="00D9559C">
      <w:pPr>
        <w:spacing w:after="120" w:line="240" w:lineRule="auto"/>
        <w:ind w:right="-360"/>
        <w:jc w:val="both"/>
        <w:rPr>
          <w:b/>
          <w:color w:val="0F243E" w:themeColor="text2" w:themeShade="80"/>
          <w:sz w:val="24"/>
          <w:szCs w:val="24"/>
          <w:lang w:bidi="en-US"/>
        </w:rPr>
      </w:pPr>
      <w:r w:rsidRPr="00707381">
        <w:rPr>
          <w:b/>
          <w:color w:val="0F243E" w:themeColor="text2" w:themeShade="80"/>
          <w:sz w:val="24"/>
          <w:szCs w:val="24"/>
          <w:lang w:bidi="en-US"/>
        </w:rPr>
        <w:t>5.1 Monitoring plan</w:t>
      </w:r>
      <w:r w:rsidRPr="00707381">
        <w:rPr>
          <w:b/>
          <w:color w:val="0F243E" w:themeColor="text2" w:themeShade="80"/>
          <w:sz w:val="24"/>
          <w:szCs w:val="24"/>
          <w:lang w:bidi="en-US"/>
        </w:rPr>
        <w:fldChar w:fldCharType="begin"/>
      </w:r>
      <w:r w:rsidRPr="00707381">
        <w:rPr>
          <w:color w:val="0F243E" w:themeColor="text2" w:themeShade="80"/>
        </w:rPr>
        <w:instrText xml:space="preserve"> TC "</w:instrText>
      </w:r>
      <w:bookmarkStart w:id="75" w:name="_Toc21777840"/>
      <w:bookmarkStart w:id="76" w:name="_Toc23876374"/>
      <w:bookmarkStart w:id="77" w:name="_Toc23934002"/>
      <w:bookmarkStart w:id="78" w:name="_Toc26184408"/>
      <w:bookmarkStart w:id="79" w:name="_Toc38899132"/>
      <w:r w:rsidRPr="00707381">
        <w:rPr>
          <w:b/>
          <w:color w:val="0F243E" w:themeColor="text2" w:themeShade="80"/>
          <w:sz w:val="24"/>
          <w:szCs w:val="24"/>
          <w:lang w:bidi="en-US"/>
        </w:rPr>
        <w:instrText>5.1 Monitoring plan</w:instrText>
      </w:r>
      <w:bookmarkEnd w:id="75"/>
      <w:bookmarkEnd w:id="76"/>
      <w:bookmarkEnd w:id="77"/>
      <w:bookmarkEnd w:id="78"/>
      <w:bookmarkEnd w:id="79"/>
      <w:r w:rsidRPr="00707381">
        <w:rPr>
          <w:color w:val="0F243E" w:themeColor="text2" w:themeShade="80"/>
        </w:rPr>
        <w:instrText xml:space="preserve">" \f C \l "2" </w:instrText>
      </w:r>
      <w:r w:rsidRPr="00707381">
        <w:rPr>
          <w:b/>
          <w:color w:val="0F243E" w:themeColor="text2" w:themeShade="80"/>
          <w:sz w:val="24"/>
          <w:szCs w:val="24"/>
          <w:lang w:bidi="en-US"/>
        </w:rPr>
        <w:fldChar w:fldCharType="end"/>
      </w:r>
    </w:p>
    <w:p w14:paraId="1063D82B" w14:textId="0D667ED7" w:rsidR="00A62677" w:rsidRPr="002848C1" w:rsidRDefault="004A34EC" w:rsidP="00D9559C">
      <w:pPr>
        <w:numPr>
          <w:ilvl w:val="0"/>
          <w:numId w:val="3"/>
        </w:numPr>
        <w:spacing w:after="120" w:line="240" w:lineRule="auto"/>
        <w:ind w:right="-360" w:hanging="502"/>
        <w:jc w:val="both"/>
        <w:rPr>
          <w:sz w:val="21"/>
          <w:szCs w:val="21"/>
          <w:lang w:val="en-US"/>
        </w:rPr>
      </w:pPr>
      <w:r>
        <w:rPr>
          <w:sz w:val="21"/>
          <w:szCs w:val="21"/>
        </w:rPr>
        <w:t>M</w:t>
      </w:r>
      <w:r w:rsidRPr="006F7208">
        <w:rPr>
          <w:sz w:val="21"/>
          <w:szCs w:val="21"/>
        </w:rPr>
        <w:t xml:space="preserve">onitoring, </w:t>
      </w:r>
      <w:r w:rsidR="006A6C54" w:rsidRPr="006F7208">
        <w:rPr>
          <w:sz w:val="21"/>
          <w:szCs w:val="21"/>
        </w:rPr>
        <w:t>reporting</w:t>
      </w:r>
      <w:r w:rsidR="006A6C54">
        <w:rPr>
          <w:sz w:val="21"/>
          <w:szCs w:val="21"/>
        </w:rPr>
        <w:t xml:space="preserve">, </w:t>
      </w:r>
      <w:r w:rsidR="006A6C54" w:rsidRPr="006F7208">
        <w:rPr>
          <w:sz w:val="21"/>
          <w:szCs w:val="21"/>
        </w:rPr>
        <w:t>evaluation</w:t>
      </w:r>
      <w:r w:rsidR="00CA2EE1">
        <w:rPr>
          <w:sz w:val="21"/>
          <w:szCs w:val="21"/>
        </w:rPr>
        <w:t>, and learning</w:t>
      </w:r>
      <w:r w:rsidR="0047272D">
        <w:rPr>
          <w:sz w:val="21"/>
          <w:szCs w:val="21"/>
        </w:rPr>
        <w:t xml:space="preserve"> (MEL) functions</w:t>
      </w:r>
      <w:r w:rsidRPr="006F7208">
        <w:rPr>
          <w:sz w:val="21"/>
          <w:szCs w:val="21"/>
        </w:rPr>
        <w:t xml:space="preserve"> </w:t>
      </w:r>
      <w:r w:rsidR="00B13C14">
        <w:rPr>
          <w:sz w:val="21"/>
          <w:szCs w:val="21"/>
        </w:rPr>
        <w:t xml:space="preserve">for </w:t>
      </w:r>
      <w:r w:rsidRPr="006F7208">
        <w:rPr>
          <w:sz w:val="21"/>
          <w:szCs w:val="21"/>
        </w:rPr>
        <w:t xml:space="preserve">the </w:t>
      </w:r>
      <w:r>
        <w:rPr>
          <w:sz w:val="21"/>
          <w:szCs w:val="21"/>
        </w:rPr>
        <w:t xml:space="preserve">CF </w:t>
      </w:r>
      <w:r w:rsidR="00B13C14">
        <w:rPr>
          <w:sz w:val="21"/>
          <w:szCs w:val="21"/>
        </w:rPr>
        <w:t>are</w:t>
      </w:r>
      <w:r>
        <w:rPr>
          <w:sz w:val="21"/>
          <w:szCs w:val="21"/>
        </w:rPr>
        <w:t xml:space="preserve"> </w:t>
      </w:r>
      <w:r w:rsidRPr="006F7208">
        <w:rPr>
          <w:sz w:val="21"/>
          <w:szCs w:val="21"/>
        </w:rPr>
        <w:t xml:space="preserve">based </w:t>
      </w:r>
      <w:r w:rsidR="00B13C14">
        <w:rPr>
          <w:sz w:val="21"/>
          <w:szCs w:val="21"/>
        </w:rPr>
        <w:t>upon</w:t>
      </w:r>
      <w:r w:rsidRPr="006F7208">
        <w:rPr>
          <w:sz w:val="21"/>
          <w:szCs w:val="21"/>
        </w:rPr>
        <w:t xml:space="preserve"> the </w:t>
      </w:r>
      <w:r>
        <w:rPr>
          <w:sz w:val="21"/>
          <w:szCs w:val="21"/>
        </w:rPr>
        <w:t xml:space="preserve">expected CF results and indicators in the </w:t>
      </w:r>
      <w:r w:rsidRPr="006F7208">
        <w:rPr>
          <w:sz w:val="21"/>
          <w:szCs w:val="21"/>
        </w:rPr>
        <w:t xml:space="preserve">results </w:t>
      </w:r>
      <w:r>
        <w:rPr>
          <w:sz w:val="21"/>
          <w:szCs w:val="21"/>
        </w:rPr>
        <w:t xml:space="preserve">matrix (Annex </w:t>
      </w:r>
      <w:r w:rsidR="00117E69">
        <w:rPr>
          <w:sz w:val="21"/>
          <w:szCs w:val="21"/>
        </w:rPr>
        <w:t>B</w:t>
      </w:r>
      <w:r>
        <w:rPr>
          <w:sz w:val="21"/>
          <w:szCs w:val="21"/>
        </w:rPr>
        <w:t xml:space="preserve">). </w:t>
      </w:r>
      <w:r w:rsidR="00A62677" w:rsidRPr="006F7208">
        <w:rPr>
          <w:sz w:val="21"/>
          <w:szCs w:val="21"/>
        </w:rPr>
        <w:t xml:space="preserve">The CF is a </w:t>
      </w:r>
      <w:r w:rsidR="00A62677" w:rsidRPr="006F7208">
        <w:rPr>
          <w:i/>
          <w:sz w:val="21"/>
          <w:szCs w:val="21"/>
        </w:rPr>
        <w:t>living</w:t>
      </w:r>
      <w:r w:rsidR="00A62677" w:rsidRPr="006F7208">
        <w:rPr>
          <w:sz w:val="21"/>
          <w:szCs w:val="21"/>
        </w:rPr>
        <w:t xml:space="preserve"> framework. Arrangements for </w:t>
      </w:r>
      <w:r w:rsidR="00B13C14">
        <w:rPr>
          <w:sz w:val="21"/>
          <w:szCs w:val="21"/>
        </w:rPr>
        <w:t>MEL</w:t>
      </w:r>
      <w:r w:rsidR="00A62677" w:rsidRPr="006F7208">
        <w:rPr>
          <w:sz w:val="21"/>
          <w:szCs w:val="21"/>
          <w:lang w:val="en-US"/>
        </w:rPr>
        <w:t xml:space="preserve"> will </w:t>
      </w:r>
      <w:r w:rsidR="00A62677" w:rsidRPr="002848C1">
        <w:rPr>
          <w:sz w:val="21"/>
          <w:szCs w:val="21"/>
          <w:lang w:val="en-US"/>
        </w:rPr>
        <w:t xml:space="preserve">enable </w:t>
      </w:r>
      <w:r w:rsidR="008C1408" w:rsidRPr="002848C1">
        <w:rPr>
          <w:sz w:val="21"/>
          <w:szCs w:val="21"/>
          <w:lang w:val="en-US"/>
        </w:rPr>
        <w:t>authorities</w:t>
      </w:r>
      <w:r w:rsidR="00B13C14" w:rsidRPr="002848C1">
        <w:rPr>
          <w:sz w:val="21"/>
          <w:szCs w:val="21"/>
          <w:lang w:val="en-US"/>
        </w:rPr>
        <w:t xml:space="preserve"> in BiH</w:t>
      </w:r>
      <w:r w:rsidRPr="002848C1">
        <w:rPr>
          <w:sz w:val="21"/>
          <w:szCs w:val="21"/>
          <w:lang w:val="en-US"/>
        </w:rPr>
        <w:t xml:space="preserve"> and</w:t>
      </w:r>
      <w:r>
        <w:rPr>
          <w:sz w:val="21"/>
          <w:szCs w:val="21"/>
          <w:lang w:val="en-US"/>
        </w:rPr>
        <w:t xml:space="preserve"> the UN system to </w:t>
      </w:r>
      <w:r w:rsidR="00A62677" w:rsidRPr="006F7208">
        <w:rPr>
          <w:sz w:val="21"/>
          <w:szCs w:val="21"/>
          <w:lang w:val="en-US"/>
        </w:rPr>
        <w:t xml:space="preserve">compare actual progress against expected results, </w:t>
      </w:r>
      <w:r w:rsidR="00A62677">
        <w:rPr>
          <w:sz w:val="21"/>
          <w:szCs w:val="21"/>
          <w:lang w:val="en-US"/>
        </w:rPr>
        <w:t xml:space="preserve">track and report on </w:t>
      </w:r>
      <w:r w:rsidR="00A62677" w:rsidRPr="00F776AA">
        <w:rPr>
          <w:sz w:val="21"/>
          <w:szCs w:val="21"/>
          <w:lang w:val="en-US"/>
        </w:rPr>
        <w:t>resources mobilized and delivered,</w:t>
      </w:r>
      <w:r w:rsidR="00A62677">
        <w:rPr>
          <w:sz w:val="21"/>
          <w:szCs w:val="21"/>
          <w:lang w:val="en-US"/>
        </w:rPr>
        <w:t xml:space="preserve"> </w:t>
      </w:r>
      <w:r w:rsidR="00A62677" w:rsidRPr="006F7208">
        <w:rPr>
          <w:sz w:val="21"/>
          <w:szCs w:val="21"/>
          <w:lang w:val="en-US"/>
        </w:rPr>
        <w:t>identify lessons, and adapt results and strategies to respond to changes in socio-economic conditions and emerging priorities</w:t>
      </w:r>
      <w:r w:rsidR="00A62677">
        <w:rPr>
          <w:sz w:val="21"/>
          <w:szCs w:val="21"/>
          <w:lang w:val="en-US"/>
        </w:rPr>
        <w:t>.</w:t>
      </w:r>
      <w:r w:rsidR="00A62677" w:rsidRPr="006F7208">
        <w:rPr>
          <w:sz w:val="21"/>
          <w:szCs w:val="21"/>
          <w:lang w:val="en-US"/>
        </w:rPr>
        <w:t xml:space="preserve">  </w:t>
      </w:r>
      <w:r w:rsidR="00A62677" w:rsidRPr="00F776AA">
        <w:rPr>
          <w:sz w:val="21"/>
          <w:szCs w:val="21"/>
          <w:lang w:val="en-US"/>
        </w:rPr>
        <w:t xml:space="preserve">The primary responsibility for </w:t>
      </w:r>
      <w:r w:rsidR="00B13C14">
        <w:rPr>
          <w:sz w:val="21"/>
          <w:szCs w:val="21"/>
          <w:lang w:val="en-US"/>
        </w:rPr>
        <w:t xml:space="preserve">MEL </w:t>
      </w:r>
      <w:r w:rsidR="001628FE">
        <w:rPr>
          <w:sz w:val="21"/>
          <w:szCs w:val="21"/>
          <w:lang w:val="en-US"/>
        </w:rPr>
        <w:t xml:space="preserve">rests </w:t>
      </w:r>
      <w:r w:rsidR="00A62677" w:rsidRPr="00F776AA">
        <w:rPr>
          <w:sz w:val="21"/>
          <w:szCs w:val="21"/>
          <w:lang w:val="en-US"/>
        </w:rPr>
        <w:t xml:space="preserve">with the SC and </w:t>
      </w:r>
      <w:r w:rsidR="00A62677" w:rsidRPr="002848C1">
        <w:rPr>
          <w:sz w:val="21"/>
          <w:szCs w:val="21"/>
          <w:lang w:val="en-US"/>
        </w:rPr>
        <w:t xml:space="preserve">UNCT on the basis of </w:t>
      </w:r>
      <w:r w:rsidR="001628FE" w:rsidRPr="002848C1">
        <w:rPr>
          <w:sz w:val="21"/>
          <w:szCs w:val="21"/>
          <w:lang w:val="en-US"/>
        </w:rPr>
        <w:t xml:space="preserve">regular </w:t>
      </w:r>
      <w:r w:rsidR="00A62677" w:rsidRPr="002848C1">
        <w:rPr>
          <w:sz w:val="21"/>
          <w:szCs w:val="21"/>
          <w:lang w:val="en-US"/>
        </w:rPr>
        <w:t xml:space="preserve">monitoring and reporting by </w:t>
      </w:r>
      <w:r w:rsidR="00517100" w:rsidRPr="002848C1">
        <w:rPr>
          <w:sz w:val="21"/>
          <w:szCs w:val="21"/>
          <w:lang w:val="en-US"/>
        </w:rPr>
        <w:t xml:space="preserve">the Programme Management Team </w:t>
      </w:r>
      <w:r w:rsidR="00A62677" w:rsidRPr="002848C1">
        <w:rPr>
          <w:sz w:val="21"/>
          <w:szCs w:val="21"/>
          <w:lang w:val="en-US"/>
        </w:rPr>
        <w:t>(</w:t>
      </w:r>
      <w:r w:rsidR="00517100" w:rsidRPr="002848C1">
        <w:rPr>
          <w:sz w:val="21"/>
          <w:szCs w:val="21"/>
          <w:lang w:val="en-US"/>
        </w:rPr>
        <w:t>PMT</w:t>
      </w:r>
      <w:r w:rsidR="00A62677" w:rsidRPr="002848C1">
        <w:rPr>
          <w:sz w:val="21"/>
          <w:szCs w:val="21"/>
          <w:lang w:val="en-US"/>
        </w:rPr>
        <w:t>)</w:t>
      </w:r>
      <w:r w:rsidR="00700A44" w:rsidRPr="002848C1">
        <w:rPr>
          <w:sz w:val="21"/>
          <w:szCs w:val="21"/>
          <w:lang w:val="en-US"/>
        </w:rPr>
        <w:t xml:space="preserve"> and </w:t>
      </w:r>
      <w:r w:rsidR="00556E2C" w:rsidRPr="002848C1">
        <w:rPr>
          <w:sz w:val="21"/>
          <w:szCs w:val="21"/>
          <w:lang w:val="en-US"/>
        </w:rPr>
        <w:t xml:space="preserve">the </w:t>
      </w:r>
      <w:r w:rsidR="00700A44" w:rsidRPr="002848C1">
        <w:rPr>
          <w:sz w:val="21"/>
          <w:szCs w:val="21"/>
          <w:lang w:val="en-US"/>
        </w:rPr>
        <w:t>relevant authorities in BiH</w:t>
      </w:r>
      <w:r w:rsidR="00A62677" w:rsidRPr="002848C1">
        <w:rPr>
          <w:sz w:val="21"/>
          <w:szCs w:val="21"/>
          <w:lang w:val="en-US"/>
        </w:rPr>
        <w:t xml:space="preserve">.  </w:t>
      </w:r>
      <w:r w:rsidR="003204BB" w:rsidRPr="002848C1">
        <w:rPr>
          <w:sz w:val="21"/>
          <w:szCs w:val="21"/>
          <w:lang w:val="en-US"/>
        </w:rPr>
        <w:t>T</w:t>
      </w:r>
      <w:r w:rsidR="00F116A1" w:rsidRPr="002848C1">
        <w:rPr>
          <w:sz w:val="21"/>
          <w:szCs w:val="21"/>
          <w:lang w:val="en-US"/>
        </w:rPr>
        <w:t>he CF reporting methodology and data collection will rely on the official data provided by the relevant authorities in BiH to the extent available</w:t>
      </w:r>
      <w:r w:rsidR="00553A83" w:rsidRPr="002848C1">
        <w:rPr>
          <w:sz w:val="21"/>
          <w:szCs w:val="21"/>
          <w:lang w:val="en-US"/>
        </w:rPr>
        <w:t xml:space="preserve">.  It will also consider the reporting and data </w:t>
      </w:r>
      <w:r w:rsidR="00B520F6" w:rsidRPr="002848C1">
        <w:rPr>
          <w:sz w:val="21"/>
          <w:szCs w:val="21"/>
          <w:lang w:val="en-US"/>
        </w:rPr>
        <w:t>collection methodology defined in the emerging SDGs Framework in BiH.</w:t>
      </w:r>
    </w:p>
    <w:p w14:paraId="6168A1E4" w14:textId="50AF9D4B" w:rsidR="00A62677" w:rsidRPr="002848C1" w:rsidRDefault="004A34EC" w:rsidP="00D9559C">
      <w:pPr>
        <w:numPr>
          <w:ilvl w:val="0"/>
          <w:numId w:val="3"/>
        </w:numPr>
        <w:spacing w:after="120" w:line="240" w:lineRule="auto"/>
        <w:ind w:right="-360" w:hanging="502"/>
        <w:jc w:val="both"/>
        <w:rPr>
          <w:sz w:val="21"/>
          <w:szCs w:val="21"/>
          <w:lang w:val="en-US"/>
        </w:rPr>
      </w:pPr>
      <w:r w:rsidRPr="002848C1">
        <w:rPr>
          <w:sz w:val="21"/>
          <w:szCs w:val="21"/>
          <w:lang w:val="en-US"/>
        </w:rPr>
        <w:t>In addition to m</w:t>
      </w:r>
      <w:r w:rsidR="00A62677" w:rsidRPr="002848C1">
        <w:rPr>
          <w:sz w:val="21"/>
          <w:szCs w:val="21"/>
          <w:lang w:val="en-US"/>
        </w:rPr>
        <w:t xml:space="preserve">onitoring </w:t>
      </w:r>
      <w:r w:rsidRPr="002848C1">
        <w:rPr>
          <w:sz w:val="21"/>
          <w:szCs w:val="21"/>
          <w:lang w:val="en-US"/>
        </w:rPr>
        <w:t xml:space="preserve">progress toward </w:t>
      </w:r>
      <w:r w:rsidR="00A62677" w:rsidRPr="002848C1">
        <w:rPr>
          <w:sz w:val="21"/>
          <w:szCs w:val="21"/>
          <w:lang w:val="en-US"/>
        </w:rPr>
        <w:t>the outcome indicators provided in the results matrix</w:t>
      </w:r>
      <w:r w:rsidRPr="002848C1">
        <w:rPr>
          <w:sz w:val="21"/>
          <w:szCs w:val="21"/>
          <w:lang w:val="en-US"/>
        </w:rPr>
        <w:t xml:space="preserve">, </w:t>
      </w:r>
      <w:r w:rsidR="00940CD9" w:rsidRPr="002848C1">
        <w:rPr>
          <w:sz w:val="21"/>
          <w:szCs w:val="21"/>
          <w:lang w:val="en-US"/>
        </w:rPr>
        <w:t xml:space="preserve">the authorities in </w:t>
      </w:r>
      <w:r w:rsidR="008C1408" w:rsidRPr="002848C1">
        <w:rPr>
          <w:sz w:val="21"/>
          <w:szCs w:val="21"/>
          <w:lang w:val="en-US"/>
        </w:rPr>
        <w:t xml:space="preserve">BiH </w:t>
      </w:r>
      <w:r w:rsidRPr="002848C1">
        <w:rPr>
          <w:sz w:val="21"/>
          <w:szCs w:val="21"/>
          <w:lang w:val="en-US"/>
        </w:rPr>
        <w:t xml:space="preserve">and the UN system will </w:t>
      </w:r>
      <w:r w:rsidR="00A62677" w:rsidRPr="002848C1">
        <w:rPr>
          <w:sz w:val="21"/>
          <w:szCs w:val="21"/>
          <w:lang w:val="en-US"/>
        </w:rPr>
        <w:t xml:space="preserve">track changes in </w:t>
      </w:r>
      <w:r w:rsidRPr="002848C1">
        <w:rPr>
          <w:sz w:val="21"/>
          <w:szCs w:val="21"/>
          <w:lang w:val="en-US"/>
        </w:rPr>
        <w:t>the sentinel impact indicators (para 4</w:t>
      </w:r>
      <w:r w:rsidR="001272B9" w:rsidRPr="002848C1">
        <w:rPr>
          <w:sz w:val="21"/>
          <w:szCs w:val="21"/>
          <w:lang w:val="en-US"/>
        </w:rPr>
        <w:t>5</w:t>
      </w:r>
      <w:r w:rsidRPr="002848C1">
        <w:rPr>
          <w:sz w:val="21"/>
          <w:szCs w:val="21"/>
          <w:lang w:val="en-US"/>
        </w:rPr>
        <w:t xml:space="preserve">) and other domesticated </w:t>
      </w:r>
      <w:r w:rsidR="00A62677" w:rsidRPr="002848C1">
        <w:rPr>
          <w:sz w:val="21"/>
          <w:szCs w:val="21"/>
          <w:lang w:val="en-US"/>
        </w:rPr>
        <w:t>SDG indicators</w:t>
      </w:r>
      <w:r w:rsidRPr="002848C1">
        <w:rPr>
          <w:sz w:val="21"/>
          <w:szCs w:val="21"/>
          <w:lang w:val="en-US"/>
        </w:rPr>
        <w:t xml:space="preserve"> provided by the </w:t>
      </w:r>
      <w:r w:rsidR="003757CB" w:rsidRPr="002848C1">
        <w:rPr>
          <w:sz w:val="21"/>
          <w:szCs w:val="21"/>
          <w:lang w:val="en-US"/>
        </w:rPr>
        <w:t xml:space="preserve">statistical agencies </w:t>
      </w:r>
      <w:r w:rsidR="00417BF7" w:rsidRPr="002848C1">
        <w:rPr>
          <w:sz w:val="21"/>
          <w:szCs w:val="21"/>
          <w:lang w:val="en-US"/>
        </w:rPr>
        <w:t xml:space="preserve">in </w:t>
      </w:r>
      <w:r w:rsidRPr="002848C1">
        <w:rPr>
          <w:sz w:val="21"/>
          <w:szCs w:val="21"/>
          <w:lang w:val="en-US"/>
        </w:rPr>
        <w:t xml:space="preserve">BiH </w:t>
      </w:r>
      <w:r w:rsidR="00A62677" w:rsidRPr="002848C1">
        <w:rPr>
          <w:sz w:val="21"/>
          <w:szCs w:val="21"/>
          <w:lang w:val="en-US"/>
        </w:rPr>
        <w:t xml:space="preserve">. Gaps in data will be addressed through ongoing support to </w:t>
      </w:r>
      <w:r w:rsidRPr="002848C1">
        <w:rPr>
          <w:sz w:val="21"/>
          <w:szCs w:val="21"/>
          <w:lang w:val="en-US"/>
        </w:rPr>
        <w:t xml:space="preserve">BiH </w:t>
      </w:r>
      <w:r w:rsidR="00A62677" w:rsidRPr="002848C1">
        <w:rPr>
          <w:sz w:val="21"/>
          <w:szCs w:val="21"/>
          <w:lang w:val="en-US"/>
        </w:rPr>
        <w:t xml:space="preserve">statistical </w:t>
      </w:r>
      <w:r w:rsidR="000341CD" w:rsidRPr="002848C1">
        <w:rPr>
          <w:sz w:val="21"/>
          <w:szCs w:val="21"/>
          <w:lang w:val="en-US"/>
        </w:rPr>
        <w:t>offices</w:t>
      </w:r>
      <w:r w:rsidRPr="002848C1">
        <w:rPr>
          <w:sz w:val="21"/>
          <w:szCs w:val="21"/>
          <w:lang w:val="en-US"/>
        </w:rPr>
        <w:t xml:space="preserve">, and </w:t>
      </w:r>
      <w:r w:rsidR="00A62677" w:rsidRPr="002848C1">
        <w:rPr>
          <w:sz w:val="21"/>
          <w:szCs w:val="21"/>
          <w:lang w:val="en-US"/>
        </w:rPr>
        <w:t xml:space="preserve">surveys or other studies identified as a part of cooperation. </w:t>
      </w:r>
      <w:r w:rsidR="00A62677" w:rsidRPr="002848C1">
        <w:rPr>
          <w:sz w:val="21"/>
          <w:szCs w:val="21"/>
          <w:lang w:val="en-GB"/>
        </w:rPr>
        <w:t xml:space="preserve">Targets for CF outcomes are </w:t>
      </w:r>
      <w:r w:rsidR="00A62677" w:rsidRPr="002848C1">
        <w:rPr>
          <w:rFonts w:cstheme="minorHAnsi"/>
          <w:i/>
          <w:sz w:val="21"/>
          <w:szCs w:val="21"/>
        </w:rPr>
        <w:t>preliminary</w:t>
      </w:r>
      <w:r w:rsidR="00A62677" w:rsidRPr="002848C1">
        <w:rPr>
          <w:rFonts w:cstheme="minorHAnsi"/>
          <w:sz w:val="21"/>
          <w:szCs w:val="21"/>
        </w:rPr>
        <w:t xml:space="preserve"> and </w:t>
      </w:r>
      <w:r w:rsidR="00A62677" w:rsidRPr="002848C1">
        <w:rPr>
          <w:rFonts w:cstheme="minorHAnsi"/>
          <w:i/>
          <w:sz w:val="21"/>
          <w:szCs w:val="21"/>
        </w:rPr>
        <w:t xml:space="preserve">provisional </w:t>
      </w:r>
      <w:r w:rsidR="00A62677" w:rsidRPr="002848C1">
        <w:rPr>
          <w:rFonts w:cstheme="minorHAnsi"/>
          <w:sz w:val="21"/>
          <w:szCs w:val="21"/>
        </w:rPr>
        <w:t xml:space="preserve">pending further alignment with </w:t>
      </w:r>
      <w:r w:rsidRPr="002848C1">
        <w:rPr>
          <w:rFonts w:cstheme="minorHAnsi"/>
          <w:sz w:val="21"/>
          <w:szCs w:val="21"/>
        </w:rPr>
        <w:t xml:space="preserve">the </w:t>
      </w:r>
      <w:r w:rsidR="00A62677" w:rsidRPr="002848C1">
        <w:rPr>
          <w:rFonts w:cstheme="minorHAnsi"/>
          <w:sz w:val="21"/>
          <w:szCs w:val="21"/>
        </w:rPr>
        <w:t>policies and plans</w:t>
      </w:r>
      <w:r w:rsidRPr="002848C1">
        <w:rPr>
          <w:rFonts w:cstheme="minorHAnsi"/>
          <w:sz w:val="21"/>
          <w:szCs w:val="21"/>
        </w:rPr>
        <w:t xml:space="preserve"> of </w:t>
      </w:r>
      <w:r w:rsidR="008C1408" w:rsidRPr="002848C1">
        <w:rPr>
          <w:rFonts w:cstheme="minorHAnsi"/>
          <w:sz w:val="21"/>
          <w:szCs w:val="21"/>
        </w:rPr>
        <w:t>BiH authorities</w:t>
      </w:r>
      <w:r w:rsidR="00A62677" w:rsidRPr="002848C1">
        <w:rPr>
          <w:rFonts w:cstheme="minorHAnsi"/>
          <w:sz w:val="21"/>
          <w:szCs w:val="21"/>
        </w:rPr>
        <w:t xml:space="preserve">. </w:t>
      </w:r>
      <w:r w:rsidR="00A62677" w:rsidRPr="002848C1">
        <w:rPr>
          <w:sz w:val="21"/>
          <w:szCs w:val="21"/>
          <w:lang w:val="en-GB"/>
        </w:rPr>
        <w:t xml:space="preserve">As far as possible data for baselines and targets will be disaggregated by sex, </w:t>
      </w:r>
      <w:r w:rsidR="001B0318" w:rsidRPr="002848C1">
        <w:rPr>
          <w:sz w:val="21"/>
          <w:szCs w:val="21"/>
          <w:lang w:val="en-GB"/>
        </w:rPr>
        <w:t xml:space="preserve">age groups, </w:t>
      </w:r>
      <w:r w:rsidR="00A62677" w:rsidRPr="002848C1">
        <w:rPr>
          <w:sz w:val="21"/>
          <w:szCs w:val="21"/>
          <w:lang w:val="en-GB"/>
        </w:rPr>
        <w:t>area, income, and sub-population groups, especially vulnerable groups</w:t>
      </w:r>
      <w:r w:rsidR="00E96322" w:rsidRPr="002848C1">
        <w:rPr>
          <w:sz w:val="21"/>
          <w:szCs w:val="21"/>
          <w:lang w:val="en-GB"/>
        </w:rPr>
        <w:t xml:space="preserve"> as defined in the CF</w:t>
      </w:r>
      <w:r w:rsidR="00A62677" w:rsidRPr="002848C1">
        <w:rPr>
          <w:sz w:val="21"/>
          <w:szCs w:val="21"/>
          <w:lang w:val="en-GB"/>
        </w:rPr>
        <w:t xml:space="preserve">. </w:t>
      </w:r>
    </w:p>
    <w:p w14:paraId="0617917B" w14:textId="54F95EAC" w:rsidR="00A62677" w:rsidRPr="002848C1" w:rsidRDefault="00A62677" w:rsidP="00D9559C">
      <w:pPr>
        <w:numPr>
          <w:ilvl w:val="0"/>
          <w:numId w:val="3"/>
        </w:numPr>
        <w:spacing w:after="120" w:line="240" w:lineRule="auto"/>
        <w:ind w:right="-360" w:hanging="502"/>
        <w:jc w:val="both"/>
        <w:rPr>
          <w:sz w:val="21"/>
          <w:szCs w:val="21"/>
          <w:lang w:val="en-US"/>
        </w:rPr>
      </w:pPr>
      <w:r w:rsidRPr="002848C1">
        <w:rPr>
          <w:sz w:val="21"/>
          <w:szCs w:val="21"/>
          <w:lang w:val="en-US"/>
        </w:rPr>
        <w:t>Throughout the ME</w:t>
      </w:r>
      <w:r w:rsidR="00E47289" w:rsidRPr="002848C1">
        <w:rPr>
          <w:sz w:val="21"/>
          <w:szCs w:val="21"/>
          <w:lang w:val="en-US"/>
        </w:rPr>
        <w:t>L</w:t>
      </w:r>
      <w:r w:rsidRPr="002848C1">
        <w:rPr>
          <w:sz w:val="21"/>
          <w:szCs w:val="21"/>
          <w:lang w:val="en-US"/>
        </w:rPr>
        <w:t xml:space="preserve"> process, ownership and leadership by </w:t>
      </w:r>
      <w:r w:rsidR="00A06A65" w:rsidRPr="002848C1">
        <w:rPr>
          <w:sz w:val="21"/>
          <w:szCs w:val="21"/>
          <w:lang w:val="en-US"/>
        </w:rPr>
        <w:t xml:space="preserve">the </w:t>
      </w:r>
      <w:r w:rsidR="00AF20C4" w:rsidRPr="002848C1">
        <w:rPr>
          <w:sz w:val="21"/>
          <w:szCs w:val="21"/>
          <w:lang w:val="en-US"/>
        </w:rPr>
        <w:t xml:space="preserve">authorities in </w:t>
      </w:r>
      <w:r w:rsidR="008C1408" w:rsidRPr="002848C1">
        <w:rPr>
          <w:sz w:val="21"/>
          <w:szCs w:val="21"/>
          <w:lang w:val="en-US"/>
        </w:rPr>
        <w:t xml:space="preserve">BiH </w:t>
      </w:r>
      <w:r w:rsidR="004A34EC" w:rsidRPr="002848C1">
        <w:rPr>
          <w:sz w:val="21"/>
          <w:szCs w:val="21"/>
          <w:lang w:val="en-US"/>
        </w:rPr>
        <w:t>i</w:t>
      </w:r>
      <w:r w:rsidRPr="002848C1">
        <w:rPr>
          <w:sz w:val="21"/>
          <w:szCs w:val="21"/>
          <w:lang w:val="en-US"/>
        </w:rPr>
        <w:t xml:space="preserve">s essential to sustain the demand for CF performance information and to use that information for learning, managing, and adjusting strategy and resources for greater impact. </w:t>
      </w:r>
      <w:r w:rsidR="00940CD9" w:rsidRPr="002848C1">
        <w:rPr>
          <w:sz w:val="21"/>
          <w:szCs w:val="21"/>
          <w:lang w:val="en-US"/>
        </w:rPr>
        <w:t xml:space="preserve">The authorities in </w:t>
      </w:r>
      <w:r w:rsidR="008C1408" w:rsidRPr="002848C1">
        <w:rPr>
          <w:sz w:val="21"/>
          <w:szCs w:val="21"/>
          <w:lang w:val="en-US"/>
        </w:rPr>
        <w:t xml:space="preserve">BiH </w:t>
      </w:r>
      <w:r w:rsidR="004A34EC" w:rsidRPr="002848C1">
        <w:rPr>
          <w:sz w:val="21"/>
          <w:szCs w:val="21"/>
          <w:lang w:val="en-US"/>
        </w:rPr>
        <w:t xml:space="preserve">and the </w:t>
      </w:r>
      <w:r w:rsidRPr="002848C1">
        <w:rPr>
          <w:sz w:val="21"/>
          <w:szCs w:val="21"/>
          <w:lang w:val="en-US"/>
        </w:rPr>
        <w:t>UN system will, together, identify priorities for ME capacity strengthening.</w:t>
      </w:r>
    </w:p>
    <w:p w14:paraId="5134D381" w14:textId="77777777" w:rsidR="00A62677" w:rsidRPr="00294042" w:rsidRDefault="00A62677" w:rsidP="00D9559C">
      <w:pPr>
        <w:numPr>
          <w:ilvl w:val="0"/>
          <w:numId w:val="3"/>
        </w:numPr>
        <w:spacing w:after="60" w:line="240" w:lineRule="auto"/>
        <w:ind w:right="-360" w:hanging="502"/>
        <w:jc w:val="both"/>
        <w:rPr>
          <w:sz w:val="21"/>
          <w:szCs w:val="21"/>
          <w:lang w:val="en-US"/>
        </w:rPr>
      </w:pPr>
      <w:r w:rsidRPr="00294042">
        <w:rPr>
          <w:rFonts w:cs="Calibri"/>
          <w:iCs/>
          <w:sz w:val="21"/>
          <w:szCs w:val="21"/>
        </w:rPr>
        <w:t xml:space="preserve">Implementing Partners agree to cooperate with the UN system agencies for monitoring all activities supported by </w:t>
      </w:r>
      <w:r w:rsidRPr="00294042">
        <w:rPr>
          <w:rFonts w:cs="Calibri"/>
          <w:b/>
          <w:iCs/>
          <w:color w:val="262626" w:themeColor="text1" w:themeTint="D9"/>
          <w:sz w:val="21"/>
          <w:szCs w:val="21"/>
        </w:rPr>
        <w:t>cash transfers</w:t>
      </w:r>
      <w:r w:rsidRPr="00294042">
        <w:rPr>
          <w:rFonts w:cs="Calibri"/>
          <w:iCs/>
          <w:color w:val="262626" w:themeColor="text1" w:themeTint="D9"/>
          <w:sz w:val="21"/>
          <w:szCs w:val="21"/>
        </w:rPr>
        <w:t xml:space="preserve"> </w:t>
      </w:r>
      <w:r w:rsidRPr="00294042">
        <w:rPr>
          <w:rFonts w:cs="Calibri"/>
          <w:iCs/>
          <w:sz w:val="21"/>
          <w:szCs w:val="21"/>
        </w:rPr>
        <w:t>and will facilitate access to relevant financial records and personnel responsible for the administration of cash provided by the UN system agencies. To that effect, Implementing Partners agree to the following:</w:t>
      </w:r>
    </w:p>
    <w:p w14:paraId="72A2E210" w14:textId="77777777" w:rsidR="00A62677" w:rsidRPr="00294042" w:rsidRDefault="00294042" w:rsidP="00D9559C">
      <w:pPr>
        <w:pStyle w:val="ListParagraph"/>
        <w:numPr>
          <w:ilvl w:val="0"/>
          <w:numId w:val="0"/>
        </w:numPr>
        <w:autoSpaceDE/>
        <w:autoSpaceDN/>
        <w:adjustRightInd/>
        <w:spacing w:after="60"/>
        <w:ind w:left="567" w:right="-360"/>
        <w:contextualSpacing w:val="0"/>
        <w:jc w:val="both"/>
        <w:rPr>
          <w:rFonts w:cs="Calibri"/>
          <w:iCs/>
          <w:sz w:val="21"/>
          <w:szCs w:val="21"/>
        </w:rPr>
      </w:pPr>
      <w:r>
        <w:rPr>
          <w:rFonts w:cs="Calibri"/>
          <w:iCs/>
          <w:sz w:val="21"/>
          <w:szCs w:val="21"/>
        </w:rPr>
        <w:t xml:space="preserve">a. </w:t>
      </w:r>
      <w:r w:rsidR="00A62677" w:rsidRPr="00294042">
        <w:rPr>
          <w:rFonts w:cs="Calibri"/>
          <w:iCs/>
          <w:sz w:val="21"/>
          <w:szCs w:val="21"/>
        </w:rPr>
        <w:t>Periodic on-site reviews and spot checks of their financial records</w:t>
      </w:r>
      <w:r>
        <w:rPr>
          <w:rFonts w:cs="Calibri"/>
          <w:iCs/>
          <w:sz w:val="21"/>
          <w:szCs w:val="21"/>
        </w:rPr>
        <w:t xml:space="preserve"> </w:t>
      </w:r>
      <w:r w:rsidR="00A62677" w:rsidRPr="00294042">
        <w:rPr>
          <w:rFonts w:cs="Calibri"/>
          <w:iCs/>
          <w:sz w:val="21"/>
          <w:szCs w:val="21"/>
        </w:rPr>
        <w:t>by the</w:t>
      </w:r>
      <w:r>
        <w:rPr>
          <w:rFonts w:cs="Calibri"/>
          <w:iCs/>
          <w:sz w:val="21"/>
          <w:szCs w:val="21"/>
        </w:rPr>
        <w:t xml:space="preserve"> </w:t>
      </w:r>
      <w:r w:rsidR="00A62677" w:rsidRPr="00294042">
        <w:rPr>
          <w:rFonts w:cs="Calibri"/>
          <w:iCs/>
          <w:sz w:val="21"/>
          <w:szCs w:val="21"/>
        </w:rPr>
        <w:t>UN system agencies or their representatives, as appropriate, and as described in specific clauses of their engagement documents/ contracts with the UN system agencies,</w:t>
      </w:r>
      <w:r w:rsidR="00A62677" w:rsidRPr="00294042">
        <w:rPr>
          <w:rFonts w:cs="Calibri"/>
          <w:iCs/>
          <w:sz w:val="21"/>
          <w:szCs w:val="21"/>
        </w:rPr>
        <w:tab/>
      </w:r>
      <w:r w:rsidR="00A62677" w:rsidRPr="00294042">
        <w:rPr>
          <w:rFonts w:cs="Calibri"/>
          <w:iCs/>
          <w:sz w:val="21"/>
          <w:szCs w:val="21"/>
        </w:rPr>
        <w:tab/>
      </w:r>
    </w:p>
    <w:p w14:paraId="6DC776B9" w14:textId="77777777" w:rsidR="00A62677" w:rsidRPr="00294042" w:rsidRDefault="00294042" w:rsidP="00D9559C">
      <w:pPr>
        <w:pStyle w:val="ListParagraph"/>
        <w:numPr>
          <w:ilvl w:val="0"/>
          <w:numId w:val="0"/>
        </w:numPr>
        <w:autoSpaceDE/>
        <w:autoSpaceDN/>
        <w:adjustRightInd/>
        <w:spacing w:after="60"/>
        <w:ind w:left="567" w:right="-360"/>
        <w:contextualSpacing w:val="0"/>
        <w:jc w:val="both"/>
        <w:rPr>
          <w:rFonts w:cs="Calibri"/>
          <w:iCs/>
          <w:sz w:val="21"/>
          <w:szCs w:val="21"/>
        </w:rPr>
      </w:pPr>
      <w:r>
        <w:rPr>
          <w:rFonts w:cs="Calibri"/>
          <w:iCs/>
          <w:sz w:val="21"/>
          <w:szCs w:val="21"/>
        </w:rPr>
        <w:t xml:space="preserve">b. </w:t>
      </w:r>
      <w:r w:rsidR="00A62677" w:rsidRPr="00294042">
        <w:rPr>
          <w:rFonts w:cs="Calibri"/>
          <w:iCs/>
          <w:sz w:val="21"/>
          <w:szCs w:val="21"/>
        </w:rPr>
        <w:t>Programmatic monitoring of activities following the UN system agencies’ standards and guidance for site visits and field monitoring,</w:t>
      </w:r>
      <w:r w:rsidR="00A62677" w:rsidRPr="00294042">
        <w:rPr>
          <w:rFonts w:cs="Calibri"/>
          <w:iCs/>
          <w:sz w:val="21"/>
          <w:szCs w:val="21"/>
        </w:rPr>
        <w:tab/>
      </w:r>
      <w:r w:rsidR="00A62677" w:rsidRPr="00294042">
        <w:rPr>
          <w:rFonts w:cs="Calibri"/>
          <w:iCs/>
          <w:sz w:val="21"/>
          <w:szCs w:val="21"/>
        </w:rPr>
        <w:tab/>
      </w:r>
    </w:p>
    <w:p w14:paraId="18227B3D" w14:textId="77777777" w:rsidR="00A62677" w:rsidRPr="00294042" w:rsidRDefault="00294042" w:rsidP="00D9559C">
      <w:pPr>
        <w:pStyle w:val="ListParagraph"/>
        <w:numPr>
          <w:ilvl w:val="0"/>
          <w:numId w:val="0"/>
        </w:numPr>
        <w:autoSpaceDE/>
        <w:autoSpaceDN/>
        <w:adjustRightInd/>
        <w:spacing w:after="120"/>
        <w:ind w:left="567" w:right="-360"/>
        <w:contextualSpacing w:val="0"/>
        <w:jc w:val="both"/>
        <w:rPr>
          <w:rFonts w:cs="Calibri"/>
          <w:iCs/>
          <w:sz w:val="21"/>
          <w:szCs w:val="21"/>
        </w:rPr>
      </w:pPr>
      <w:r>
        <w:rPr>
          <w:rFonts w:cs="Calibri"/>
          <w:iCs/>
          <w:sz w:val="21"/>
          <w:szCs w:val="21"/>
        </w:rPr>
        <w:t xml:space="preserve">c. </w:t>
      </w:r>
      <w:r w:rsidR="00A62677" w:rsidRPr="00294042">
        <w:rPr>
          <w:rFonts w:cs="Calibri"/>
          <w:iCs/>
          <w:sz w:val="21"/>
          <w:szCs w:val="21"/>
        </w:rPr>
        <w:t>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14:paraId="7DDE9984" w14:textId="0D0531BD" w:rsidR="00A62677" w:rsidRPr="00707381" w:rsidRDefault="00A62677" w:rsidP="00D9559C">
      <w:pPr>
        <w:spacing w:after="120"/>
        <w:ind w:right="-360"/>
        <w:jc w:val="both"/>
        <w:rPr>
          <w:b/>
          <w:lang w:bidi="en-US"/>
        </w:rPr>
      </w:pPr>
      <w:r w:rsidRPr="00707381">
        <w:rPr>
          <w:b/>
          <w:lang w:bidi="en-US"/>
        </w:rPr>
        <w:t xml:space="preserve">Risks </w:t>
      </w:r>
    </w:p>
    <w:p w14:paraId="5FB44C4C" w14:textId="77777777" w:rsidR="004A34EC" w:rsidRPr="004A34EC" w:rsidRDefault="00501636" w:rsidP="00D9559C">
      <w:pPr>
        <w:pStyle w:val="ListParagraph"/>
        <w:numPr>
          <w:ilvl w:val="0"/>
          <w:numId w:val="3"/>
        </w:numPr>
        <w:spacing w:after="60"/>
        <w:ind w:right="-360" w:hanging="502"/>
        <w:contextualSpacing w:val="0"/>
        <w:jc w:val="both"/>
        <w:rPr>
          <w:rFonts w:cstheme="minorHAnsi"/>
          <w:sz w:val="21"/>
          <w:szCs w:val="21"/>
        </w:rPr>
      </w:pPr>
      <w:r w:rsidRPr="004A34EC">
        <w:rPr>
          <w:sz w:val="21"/>
          <w:szCs w:val="21"/>
        </w:rPr>
        <w:t xml:space="preserve">On the basis of </w:t>
      </w:r>
      <w:r w:rsidR="004A34EC" w:rsidRPr="004A34EC">
        <w:rPr>
          <w:sz w:val="21"/>
          <w:szCs w:val="21"/>
        </w:rPr>
        <w:t>country analytic work,</w:t>
      </w:r>
      <w:r w:rsidRPr="004A34EC">
        <w:rPr>
          <w:sz w:val="21"/>
          <w:szCs w:val="21"/>
        </w:rPr>
        <w:t xml:space="preserve"> the major risks to cooperation and sustained progress toward achievement of the SDGs are:</w:t>
      </w:r>
      <w:r w:rsidR="004A34EC" w:rsidRPr="004A34EC">
        <w:rPr>
          <w:sz w:val="21"/>
          <w:szCs w:val="21"/>
        </w:rPr>
        <w:t xml:space="preserve"> </w:t>
      </w:r>
    </w:p>
    <w:p w14:paraId="22DFD674" w14:textId="2352EAAB" w:rsidR="004A34EC" w:rsidRPr="00DF4C7A" w:rsidRDefault="00466A89" w:rsidP="00D9559C">
      <w:pPr>
        <w:pStyle w:val="ListParagraph"/>
        <w:numPr>
          <w:ilvl w:val="0"/>
          <w:numId w:val="9"/>
        </w:numPr>
        <w:spacing w:after="60"/>
        <w:ind w:right="-360"/>
        <w:contextualSpacing w:val="0"/>
        <w:jc w:val="both"/>
        <w:rPr>
          <w:rFonts w:cs="Calibri"/>
          <w:sz w:val="21"/>
          <w:szCs w:val="21"/>
        </w:rPr>
      </w:pPr>
      <w:r w:rsidRPr="00DF4C7A">
        <w:rPr>
          <w:rFonts w:cs="Calibri"/>
          <w:sz w:val="21"/>
          <w:szCs w:val="21"/>
        </w:rPr>
        <w:t>Potential institutional deadlock</w:t>
      </w:r>
      <w:r w:rsidR="005B5DBE" w:rsidRPr="00DF4C7A">
        <w:rPr>
          <w:rFonts w:cs="Calibri"/>
          <w:sz w:val="21"/>
          <w:szCs w:val="21"/>
        </w:rPr>
        <w:t xml:space="preserve">, lack of </w:t>
      </w:r>
      <w:r w:rsidR="00CF1802" w:rsidRPr="00DF4C7A">
        <w:rPr>
          <w:rFonts w:cs="Calibri"/>
          <w:sz w:val="21"/>
          <w:szCs w:val="21"/>
        </w:rPr>
        <w:t>the coordinated and dedicated approach towards the sustainable development agenda</w:t>
      </w:r>
      <w:r w:rsidRPr="00DF4C7A">
        <w:rPr>
          <w:rFonts w:cs="Calibri"/>
          <w:sz w:val="21"/>
          <w:szCs w:val="21"/>
        </w:rPr>
        <w:t xml:space="preserve"> </w:t>
      </w:r>
      <w:r w:rsidR="00501636" w:rsidRPr="00DF4C7A">
        <w:rPr>
          <w:sz w:val="21"/>
          <w:szCs w:val="21"/>
        </w:rPr>
        <w:t>and constraints in decision-making</w:t>
      </w:r>
      <w:r w:rsidR="004A34EC" w:rsidRPr="00DF4C7A">
        <w:rPr>
          <w:sz w:val="21"/>
          <w:szCs w:val="21"/>
        </w:rPr>
        <w:t xml:space="preserve"> and financing for </w:t>
      </w:r>
      <w:r w:rsidR="00501636" w:rsidRPr="00DF4C7A">
        <w:rPr>
          <w:sz w:val="21"/>
          <w:szCs w:val="21"/>
        </w:rPr>
        <w:t>critical country-wide frameworks and policies</w:t>
      </w:r>
      <w:r w:rsidR="005F282C" w:rsidRPr="00DF4C7A">
        <w:rPr>
          <w:sz w:val="21"/>
          <w:szCs w:val="21"/>
        </w:rPr>
        <w:t>;</w:t>
      </w:r>
    </w:p>
    <w:p w14:paraId="0032E7A0" w14:textId="65F4DDEC" w:rsidR="004A34EC" w:rsidRPr="00DF4C7A" w:rsidRDefault="004A34EC" w:rsidP="00D9559C">
      <w:pPr>
        <w:pStyle w:val="ListParagraph"/>
        <w:numPr>
          <w:ilvl w:val="0"/>
          <w:numId w:val="9"/>
        </w:numPr>
        <w:spacing w:after="60"/>
        <w:ind w:right="-360"/>
        <w:contextualSpacing w:val="0"/>
        <w:jc w:val="both"/>
        <w:rPr>
          <w:rFonts w:cs="Calibri"/>
          <w:sz w:val="21"/>
          <w:szCs w:val="21"/>
        </w:rPr>
      </w:pPr>
      <w:r w:rsidRPr="00DF4C7A">
        <w:rPr>
          <w:sz w:val="21"/>
          <w:szCs w:val="21"/>
        </w:rPr>
        <w:t>Potential changes in the process, criteria, and requirements for EU accession, providing additional hurdles for BiH candidacy</w:t>
      </w:r>
      <w:r w:rsidR="005F282C" w:rsidRPr="00DF4C7A">
        <w:rPr>
          <w:sz w:val="21"/>
          <w:szCs w:val="21"/>
        </w:rPr>
        <w:t>;</w:t>
      </w:r>
      <w:r w:rsidRPr="00DF4C7A">
        <w:rPr>
          <w:sz w:val="21"/>
          <w:szCs w:val="21"/>
        </w:rPr>
        <w:t xml:space="preserve"> </w:t>
      </w:r>
    </w:p>
    <w:p w14:paraId="3BECA38A" w14:textId="6CAD1B56" w:rsidR="00A75091" w:rsidRPr="00DF4C7A" w:rsidRDefault="002A0390" w:rsidP="00D9559C">
      <w:pPr>
        <w:pStyle w:val="ListParagraph"/>
        <w:numPr>
          <w:ilvl w:val="0"/>
          <w:numId w:val="9"/>
        </w:numPr>
        <w:spacing w:after="60"/>
        <w:ind w:right="-360"/>
        <w:contextualSpacing w:val="0"/>
        <w:jc w:val="both"/>
        <w:rPr>
          <w:rFonts w:cs="Calibri"/>
          <w:sz w:val="21"/>
          <w:szCs w:val="21"/>
        </w:rPr>
      </w:pPr>
      <w:r w:rsidRPr="00DF4C7A">
        <w:rPr>
          <w:sz w:val="21"/>
          <w:szCs w:val="21"/>
        </w:rPr>
        <w:t>Unfavorable</w:t>
      </w:r>
      <w:r w:rsidR="00501636" w:rsidRPr="00DF4C7A">
        <w:rPr>
          <w:sz w:val="21"/>
          <w:szCs w:val="21"/>
        </w:rPr>
        <w:t xml:space="preserve"> economic </w:t>
      </w:r>
      <w:r w:rsidR="00A75091" w:rsidRPr="00DF4C7A">
        <w:rPr>
          <w:sz w:val="21"/>
          <w:szCs w:val="21"/>
        </w:rPr>
        <w:t xml:space="preserve">and trade </w:t>
      </w:r>
      <w:r w:rsidR="00501636" w:rsidRPr="00DF4C7A">
        <w:rPr>
          <w:sz w:val="21"/>
          <w:szCs w:val="21"/>
        </w:rPr>
        <w:t>trends</w:t>
      </w:r>
      <w:r w:rsidR="00A75091" w:rsidRPr="00DF4C7A">
        <w:rPr>
          <w:sz w:val="21"/>
          <w:szCs w:val="21"/>
        </w:rPr>
        <w:t>, including global recessionary fears, that could negatively affect the BiH current account and balance of trade</w:t>
      </w:r>
      <w:r w:rsidR="00085D49" w:rsidRPr="00DF4C7A">
        <w:rPr>
          <w:sz w:val="21"/>
          <w:szCs w:val="21"/>
        </w:rPr>
        <w:t xml:space="preserve">, and </w:t>
      </w:r>
      <w:r w:rsidR="004B30E3" w:rsidRPr="00DF4C7A">
        <w:rPr>
          <w:sz w:val="21"/>
          <w:szCs w:val="21"/>
        </w:rPr>
        <w:t xml:space="preserve">the </w:t>
      </w:r>
      <w:r w:rsidR="00085D49" w:rsidRPr="00DF4C7A">
        <w:rPr>
          <w:sz w:val="21"/>
          <w:szCs w:val="21"/>
        </w:rPr>
        <w:t>ability to implement development initiatives</w:t>
      </w:r>
      <w:r w:rsidR="005F282C" w:rsidRPr="00DF4C7A">
        <w:rPr>
          <w:sz w:val="21"/>
          <w:szCs w:val="21"/>
        </w:rPr>
        <w:t>;</w:t>
      </w:r>
    </w:p>
    <w:p w14:paraId="7E7F5CB8" w14:textId="082FD341" w:rsidR="005F282C" w:rsidRPr="00DE143A" w:rsidRDefault="005F282C" w:rsidP="00D9559C">
      <w:pPr>
        <w:pStyle w:val="ListParagraph"/>
        <w:numPr>
          <w:ilvl w:val="0"/>
          <w:numId w:val="9"/>
        </w:numPr>
        <w:spacing w:after="60"/>
        <w:ind w:right="-360"/>
        <w:contextualSpacing w:val="0"/>
        <w:jc w:val="both"/>
        <w:rPr>
          <w:rFonts w:cs="Calibri"/>
          <w:sz w:val="21"/>
          <w:szCs w:val="21"/>
        </w:rPr>
      </w:pPr>
      <w:r w:rsidRPr="00DF4C7A">
        <w:rPr>
          <w:sz w:val="21"/>
          <w:szCs w:val="21"/>
        </w:rPr>
        <w:t xml:space="preserve">Further deterioration of citizen’s trust in the institutions and systems in place, with a greater spread of apathy and </w:t>
      </w:r>
      <w:r w:rsidRPr="00DE143A">
        <w:rPr>
          <w:sz w:val="21"/>
          <w:szCs w:val="21"/>
        </w:rPr>
        <w:t xml:space="preserve">even greater numbers of people emigrating; </w:t>
      </w:r>
    </w:p>
    <w:p w14:paraId="74B7F528" w14:textId="77777777" w:rsidR="005F282C" w:rsidRPr="00DE143A" w:rsidRDefault="005F282C" w:rsidP="00D9559C">
      <w:pPr>
        <w:pStyle w:val="ListParagraph"/>
        <w:numPr>
          <w:ilvl w:val="0"/>
          <w:numId w:val="9"/>
        </w:numPr>
        <w:spacing w:after="60"/>
        <w:ind w:right="-360"/>
        <w:contextualSpacing w:val="0"/>
        <w:jc w:val="both"/>
        <w:rPr>
          <w:rFonts w:cs="Calibri"/>
          <w:sz w:val="21"/>
          <w:szCs w:val="21"/>
        </w:rPr>
      </w:pPr>
      <w:r w:rsidRPr="00DE143A">
        <w:rPr>
          <w:sz w:val="21"/>
          <w:szCs w:val="21"/>
        </w:rPr>
        <w:t>Deepening social polarization which may impede dialogue and social cohesion in the country, increasing the potential for conflict;</w:t>
      </w:r>
    </w:p>
    <w:p w14:paraId="50508236" w14:textId="2DC82B46" w:rsidR="00A75091" w:rsidRPr="00DE143A" w:rsidRDefault="00501636" w:rsidP="00D9559C">
      <w:pPr>
        <w:pStyle w:val="ListParagraph"/>
        <w:numPr>
          <w:ilvl w:val="0"/>
          <w:numId w:val="9"/>
        </w:numPr>
        <w:spacing w:after="60"/>
        <w:ind w:right="-360"/>
        <w:contextualSpacing w:val="0"/>
        <w:jc w:val="both"/>
        <w:rPr>
          <w:rFonts w:cs="Calibri"/>
          <w:sz w:val="21"/>
          <w:szCs w:val="21"/>
        </w:rPr>
      </w:pPr>
      <w:r w:rsidRPr="00DE143A">
        <w:rPr>
          <w:sz w:val="21"/>
          <w:szCs w:val="21"/>
        </w:rPr>
        <w:t xml:space="preserve">Major </w:t>
      </w:r>
      <w:r w:rsidR="00A75091" w:rsidRPr="00DE143A">
        <w:rPr>
          <w:sz w:val="21"/>
          <w:szCs w:val="21"/>
        </w:rPr>
        <w:t xml:space="preserve">talent and </w:t>
      </w:r>
      <w:r w:rsidRPr="00DE143A">
        <w:rPr>
          <w:sz w:val="21"/>
          <w:szCs w:val="21"/>
        </w:rPr>
        <w:t>labour gaps created by</w:t>
      </w:r>
      <w:r w:rsidR="004E23E4" w:rsidRPr="00DE143A">
        <w:rPr>
          <w:sz w:val="21"/>
          <w:szCs w:val="21"/>
        </w:rPr>
        <w:t xml:space="preserve"> population decline due to</w:t>
      </w:r>
      <w:r w:rsidRPr="00DE143A">
        <w:rPr>
          <w:sz w:val="21"/>
          <w:szCs w:val="21"/>
        </w:rPr>
        <w:t xml:space="preserve"> </w:t>
      </w:r>
      <w:r w:rsidR="00A75091" w:rsidRPr="00DE143A">
        <w:rPr>
          <w:sz w:val="21"/>
          <w:szCs w:val="21"/>
        </w:rPr>
        <w:t>out-migration</w:t>
      </w:r>
      <w:r w:rsidRPr="00DE143A">
        <w:rPr>
          <w:sz w:val="21"/>
          <w:szCs w:val="21"/>
        </w:rPr>
        <w:t>,</w:t>
      </w:r>
      <w:r w:rsidR="004E23E4" w:rsidRPr="00DE143A">
        <w:rPr>
          <w:sz w:val="21"/>
          <w:szCs w:val="21"/>
        </w:rPr>
        <w:t xml:space="preserve"> low fertility and population ageing</w:t>
      </w:r>
      <w:r w:rsidR="005F282C" w:rsidRPr="00DE143A">
        <w:rPr>
          <w:sz w:val="21"/>
          <w:szCs w:val="21"/>
        </w:rPr>
        <w:t>;</w:t>
      </w:r>
    </w:p>
    <w:p w14:paraId="0AAD27B2" w14:textId="38699C41" w:rsidR="00A75091" w:rsidRPr="00DE143A" w:rsidRDefault="00501636" w:rsidP="00D9559C">
      <w:pPr>
        <w:pStyle w:val="ListParagraph"/>
        <w:numPr>
          <w:ilvl w:val="0"/>
          <w:numId w:val="9"/>
        </w:numPr>
        <w:spacing w:after="60"/>
        <w:ind w:left="714" w:right="-360" w:hanging="357"/>
        <w:contextualSpacing w:val="0"/>
        <w:jc w:val="both"/>
        <w:rPr>
          <w:rFonts w:cstheme="minorHAnsi"/>
          <w:sz w:val="21"/>
          <w:szCs w:val="21"/>
        </w:rPr>
      </w:pPr>
      <w:r w:rsidRPr="00DE143A">
        <w:rPr>
          <w:sz w:val="21"/>
          <w:szCs w:val="21"/>
        </w:rPr>
        <w:t>High risk</w:t>
      </w:r>
      <w:r w:rsidR="00A75091" w:rsidRPr="00DE143A">
        <w:rPr>
          <w:sz w:val="21"/>
          <w:szCs w:val="21"/>
        </w:rPr>
        <w:t>s</w:t>
      </w:r>
      <w:r w:rsidRPr="00DE143A">
        <w:rPr>
          <w:sz w:val="21"/>
          <w:szCs w:val="21"/>
        </w:rPr>
        <w:t xml:space="preserve"> </w:t>
      </w:r>
      <w:r w:rsidR="005F282C" w:rsidRPr="00DE143A">
        <w:rPr>
          <w:sz w:val="21"/>
          <w:szCs w:val="21"/>
        </w:rPr>
        <w:t xml:space="preserve">from </w:t>
      </w:r>
      <w:r w:rsidRPr="00DE143A">
        <w:rPr>
          <w:sz w:val="21"/>
          <w:szCs w:val="21"/>
        </w:rPr>
        <w:t>natural hazards</w:t>
      </w:r>
      <w:r w:rsidR="005F282C" w:rsidRPr="00DE143A">
        <w:rPr>
          <w:sz w:val="21"/>
          <w:szCs w:val="21"/>
        </w:rPr>
        <w:t xml:space="preserve"> and potential emergencies</w:t>
      </w:r>
      <w:r w:rsidRPr="00DE143A">
        <w:rPr>
          <w:sz w:val="21"/>
          <w:szCs w:val="21"/>
        </w:rPr>
        <w:t xml:space="preserve"> and insufficient </w:t>
      </w:r>
      <w:r w:rsidR="005F282C" w:rsidRPr="00DE143A">
        <w:rPr>
          <w:sz w:val="21"/>
          <w:szCs w:val="21"/>
        </w:rPr>
        <w:t xml:space="preserve">institutional and local </w:t>
      </w:r>
      <w:r w:rsidRPr="00DE143A">
        <w:rPr>
          <w:sz w:val="21"/>
          <w:szCs w:val="21"/>
        </w:rPr>
        <w:t>prepar</w:t>
      </w:r>
      <w:r w:rsidR="00A75091" w:rsidRPr="00DE143A">
        <w:rPr>
          <w:sz w:val="21"/>
          <w:szCs w:val="21"/>
        </w:rPr>
        <w:t>edness</w:t>
      </w:r>
      <w:r w:rsidR="005F282C" w:rsidRPr="00DE143A">
        <w:rPr>
          <w:sz w:val="21"/>
          <w:szCs w:val="21"/>
        </w:rPr>
        <w:t xml:space="preserve"> to respond; </w:t>
      </w:r>
    </w:p>
    <w:p w14:paraId="469C3750" w14:textId="5A0E1684" w:rsidR="009B65A0" w:rsidRPr="009B65A0" w:rsidRDefault="005F282C" w:rsidP="00D9559C">
      <w:pPr>
        <w:numPr>
          <w:ilvl w:val="0"/>
          <w:numId w:val="9"/>
        </w:numPr>
        <w:spacing w:after="60" w:line="240" w:lineRule="auto"/>
        <w:ind w:right="-360"/>
        <w:jc w:val="both"/>
        <w:rPr>
          <w:rFonts w:cstheme="minorHAnsi"/>
          <w:sz w:val="21"/>
          <w:szCs w:val="21"/>
        </w:rPr>
      </w:pPr>
      <w:r w:rsidRPr="00DE143A">
        <w:rPr>
          <w:rFonts w:eastAsia="Times New Roman"/>
          <w:sz w:val="21"/>
          <w:szCs w:val="21"/>
          <w:lang w:val="en-US"/>
        </w:rPr>
        <w:t xml:space="preserve">Decreasing international commitments and financial support due to the status of BiH as an upper </w:t>
      </w:r>
      <w:r w:rsidR="002848C1" w:rsidRPr="00DE143A">
        <w:rPr>
          <w:rFonts w:eastAsia="Times New Roman"/>
          <w:sz w:val="21"/>
          <w:szCs w:val="21"/>
          <w:lang w:val="en-US"/>
        </w:rPr>
        <w:t>middle-income</w:t>
      </w:r>
      <w:r w:rsidRPr="00DE143A">
        <w:rPr>
          <w:rFonts w:eastAsia="Times New Roman"/>
          <w:sz w:val="21"/>
          <w:szCs w:val="21"/>
          <w:lang w:val="en-US"/>
        </w:rPr>
        <w:t xml:space="preserve"> country and prolonged institutional challenges</w:t>
      </w:r>
      <w:r w:rsidR="009B65A0">
        <w:rPr>
          <w:rFonts w:eastAsia="Times New Roman"/>
          <w:sz w:val="21"/>
          <w:szCs w:val="21"/>
          <w:lang w:val="en-US"/>
        </w:rPr>
        <w:t xml:space="preserve">; and </w:t>
      </w:r>
    </w:p>
    <w:p w14:paraId="1B779EB2" w14:textId="41FE9B1D" w:rsidR="005F282C" w:rsidRPr="007E4270" w:rsidRDefault="00EB42A5" w:rsidP="00D9559C">
      <w:pPr>
        <w:numPr>
          <w:ilvl w:val="0"/>
          <w:numId w:val="9"/>
        </w:numPr>
        <w:spacing w:after="120" w:line="240" w:lineRule="auto"/>
        <w:ind w:right="-360"/>
        <w:jc w:val="both"/>
        <w:rPr>
          <w:rFonts w:cstheme="minorHAnsi"/>
          <w:sz w:val="21"/>
          <w:szCs w:val="21"/>
        </w:rPr>
      </w:pPr>
      <w:r w:rsidRPr="007E4270">
        <w:rPr>
          <w:rFonts w:eastAsia="Times New Roman"/>
          <w:sz w:val="21"/>
          <w:szCs w:val="21"/>
          <w:lang w:val="en-US"/>
        </w:rPr>
        <w:t xml:space="preserve">Increase of refugee and migrants in Bosnia and Herzegovina due to geopolitical developments or changes in </w:t>
      </w:r>
      <w:r w:rsidR="000B2631" w:rsidRPr="007E4270">
        <w:rPr>
          <w:rFonts w:eastAsia="Times New Roman"/>
          <w:sz w:val="21"/>
          <w:szCs w:val="21"/>
          <w:lang w:val="en-US"/>
        </w:rPr>
        <w:t>neighboring</w:t>
      </w:r>
      <w:r w:rsidRPr="007E4270">
        <w:rPr>
          <w:rFonts w:eastAsia="Times New Roman"/>
          <w:sz w:val="21"/>
          <w:szCs w:val="21"/>
          <w:lang w:val="en-US"/>
        </w:rPr>
        <w:t xml:space="preserve"> countries’ approaches towards migrants and refugees</w:t>
      </w:r>
      <w:r w:rsidR="000B2631" w:rsidRPr="007E4270">
        <w:rPr>
          <w:rFonts w:eastAsia="Times New Roman"/>
          <w:sz w:val="21"/>
          <w:szCs w:val="21"/>
          <w:lang w:val="en-US"/>
        </w:rPr>
        <w:t>.</w:t>
      </w:r>
    </w:p>
    <w:p w14:paraId="23FA8232" w14:textId="1DDB0240" w:rsidR="00940267" w:rsidRPr="007E4270" w:rsidRDefault="00940267" w:rsidP="00D9559C">
      <w:pPr>
        <w:spacing w:after="120" w:line="240" w:lineRule="auto"/>
        <w:ind w:left="720" w:right="-360"/>
        <w:jc w:val="both"/>
        <w:rPr>
          <w:rFonts w:cstheme="minorHAnsi"/>
          <w:sz w:val="21"/>
          <w:szCs w:val="21"/>
        </w:rPr>
      </w:pPr>
      <w:r w:rsidRPr="007E4270">
        <w:rPr>
          <w:rFonts w:eastAsia="Times New Roman"/>
          <w:sz w:val="21"/>
          <w:szCs w:val="21"/>
        </w:rPr>
        <w:t>Each of these risks is worsened by the emergence of the COVID-19 pandemic which is creating a severe, immediate strain on health systems, governance and fiscal balance, trade and commerce in Europe, including the Western Balkans, from mid-February 2019</w:t>
      </w:r>
    </w:p>
    <w:p w14:paraId="2FD88A04" w14:textId="7B05E63A" w:rsidR="00A342D4" w:rsidRPr="00A75091" w:rsidRDefault="001029A5" w:rsidP="00D9559C">
      <w:pPr>
        <w:pStyle w:val="ListParagraph"/>
        <w:numPr>
          <w:ilvl w:val="0"/>
          <w:numId w:val="3"/>
        </w:numPr>
        <w:spacing w:after="120"/>
        <w:ind w:right="-360" w:hanging="502"/>
        <w:contextualSpacing w:val="0"/>
        <w:jc w:val="both"/>
        <w:rPr>
          <w:rFonts w:cstheme="minorHAnsi"/>
          <w:sz w:val="21"/>
          <w:szCs w:val="21"/>
        </w:rPr>
      </w:pPr>
      <w:r w:rsidRPr="007E4270">
        <w:rPr>
          <w:sz w:val="21"/>
          <w:szCs w:val="21"/>
        </w:rPr>
        <w:t xml:space="preserve">In the longer run, the </w:t>
      </w:r>
      <w:r w:rsidR="00501636" w:rsidRPr="007E4270">
        <w:rPr>
          <w:sz w:val="21"/>
          <w:szCs w:val="21"/>
        </w:rPr>
        <w:t xml:space="preserve">most critical </w:t>
      </w:r>
      <w:r w:rsidRPr="007E4270">
        <w:rPr>
          <w:sz w:val="21"/>
          <w:szCs w:val="21"/>
        </w:rPr>
        <w:t xml:space="preserve">risk for BiH </w:t>
      </w:r>
      <w:r w:rsidR="00501636" w:rsidRPr="007E4270">
        <w:rPr>
          <w:sz w:val="21"/>
          <w:szCs w:val="21"/>
        </w:rPr>
        <w:t>is</w:t>
      </w:r>
      <w:r w:rsidR="00501636" w:rsidRPr="00DE143A">
        <w:rPr>
          <w:sz w:val="21"/>
          <w:szCs w:val="21"/>
        </w:rPr>
        <w:t xml:space="preserve"> the ongoing out-migration</w:t>
      </w:r>
      <w:r w:rsidR="00A342D4" w:rsidRPr="00DE143A">
        <w:rPr>
          <w:sz w:val="21"/>
          <w:szCs w:val="21"/>
        </w:rPr>
        <w:t xml:space="preserve"> and loss of young</w:t>
      </w:r>
      <w:r w:rsidR="00A342D4" w:rsidRPr="00A75091">
        <w:rPr>
          <w:sz w:val="21"/>
          <w:szCs w:val="21"/>
        </w:rPr>
        <w:t xml:space="preserve"> people and </w:t>
      </w:r>
      <w:r w:rsidR="00A75091" w:rsidRPr="00A75091">
        <w:rPr>
          <w:sz w:val="21"/>
          <w:szCs w:val="21"/>
        </w:rPr>
        <w:t xml:space="preserve">the most skilled </w:t>
      </w:r>
      <w:r w:rsidR="00A342D4" w:rsidRPr="00A75091">
        <w:rPr>
          <w:sz w:val="21"/>
          <w:szCs w:val="21"/>
        </w:rPr>
        <w:t>professionals and workers</w:t>
      </w:r>
      <w:r w:rsidR="00501636" w:rsidRPr="00A75091">
        <w:rPr>
          <w:sz w:val="21"/>
          <w:szCs w:val="21"/>
        </w:rPr>
        <w:t xml:space="preserve">, combined with an </w:t>
      </w:r>
      <w:r w:rsidR="00A342D4" w:rsidRPr="00A75091">
        <w:rPr>
          <w:sz w:val="21"/>
          <w:szCs w:val="21"/>
        </w:rPr>
        <w:t>ageing population. Without concerted efforts to reverse th</w:t>
      </w:r>
      <w:r w:rsidR="00A75091">
        <w:rPr>
          <w:sz w:val="21"/>
          <w:szCs w:val="21"/>
        </w:rPr>
        <w:t xml:space="preserve">is </w:t>
      </w:r>
      <w:r w:rsidR="00A342D4" w:rsidRPr="00A75091">
        <w:rPr>
          <w:sz w:val="21"/>
          <w:szCs w:val="21"/>
        </w:rPr>
        <w:t xml:space="preserve">trend, it will </w:t>
      </w:r>
      <w:r w:rsidR="00501636" w:rsidRPr="00A75091">
        <w:rPr>
          <w:sz w:val="21"/>
          <w:szCs w:val="21"/>
        </w:rPr>
        <w:t>have</w:t>
      </w:r>
      <w:r w:rsidR="00A342D4" w:rsidRPr="00A75091">
        <w:rPr>
          <w:sz w:val="21"/>
          <w:szCs w:val="21"/>
        </w:rPr>
        <w:t xml:space="preserve"> major, negative </w:t>
      </w:r>
      <w:r w:rsidR="00501636" w:rsidRPr="00A75091">
        <w:rPr>
          <w:sz w:val="21"/>
          <w:szCs w:val="21"/>
        </w:rPr>
        <w:t>impact</w:t>
      </w:r>
      <w:r w:rsidR="00A342D4" w:rsidRPr="00A75091">
        <w:rPr>
          <w:sz w:val="21"/>
          <w:szCs w:val="21"/>
        </w:rPr>
        <w:t>s</w:t>
      </w:r>
      <w:r w:rsidR="00501636" w:rsidRPr="00A75091">
        <w:rPr>
          <w:sz w:val="21"/>
          <w:szCs w:val="21"/>
        </w:rPr>
        <w:t xml:space="preserve"> on economic development</w:t>
      </w:r>
      <w:r w:rsidR="00A342D4" w:rsidRPr="00A75091">
        <w:rPr>
          <w:sz w:val="21"/>
          <w:szCs w:val="21"/>
        </w:rPr>
        <w:t xml:space="preserve"> and the sustainability of health, social protection, and education systems.</w:t>
      </w:r>
    </w:p>
    <w:p w14:paraId="213397B1" w14:textId="77777777" w:rsidR="00A62677" w:rsidRPr="00507943" w:rsidRDefault="00A62677" w:rsidP="00D9559C">
      <w:pPr>
        <w:pStyle w:val="ListParagraph"/>
        <w:numPr>
          <w:ilvl w:val="0"/>
          <w:numId w:val="3"/>
        </w:numPr>
        <w:spacing w:after="40"/>
        <w:ind w:right="-360" w:hanging="502"/>
        <w:contextualSpacing w:val="0"/>
        <w:jc w:val="both"/>
        <w:rPr>
          <w:rFonts w:cstheme="minorHAnsi"/>
          <w:sz w:val="21"/>
          <w:szCs w:val="21"/>
        </w:rPr>
      </w:pPr>
      <w:r w:rsidRPr="00507943">
        <w:rPr>
          <w:sz w:val="21"/>
          <w:szCs w:val="21"/>
          <w:lang w:val="en-GB"/>
        </w:rPr>
        <w:t>The risk management strategy involves:</w:t>
      </w:r>
    </w:p>
    <w:p w14:paraId="534F2BC7" w14:textId="0C86EE62" w:rsidR="00A62677" w:rsidRPr="002848C1" w:rsidRDefault="00A62677" w:rsidP="00D9559C">
      <w:pPr>
        <w:pStyle w:val="ListParagraph"/>
        <w:numPr>
          <w:ilvl w:val="0"/>
          <w:numId w:val="9"/>
        </w:numPr>
        <w:spacing w:after="40"/>
        <w:ind w:right="-360"/>
        <w:contextualSpacing w:val="0"/>
        <w:jc w:val="both"/>
        <w:rPr>
          <w:rFonts w:cs="Calibri"/>
          <w:sz w:val="21"/>
          <w:szCs w:val="21"/>
        </w:rPr>
      </w:pPr>
      <w:r w:rsidRPr="006F7208">
        <w:rPr>
          <w:rFonts w:cs="Calibri"/>
          <w:sz w:val="21"/>
          <w:szCs w:val="21"/>
        </w:rPr>
        <w:t xml:space="preserve">Stronger, more sustained cross-sectoral policy and programme coordination, led by the </w:t>
      </w:r>
      <w:r>
        <w:rPr>
          <w:rFonts w:cs="Calibri"/>
          <w:sz w:val="21"/>
          <w:szCs w:val="21"/>
        </w:rPr>
        <w:t>SC</w:t>
      </w:r>
      <w:r w:rsidRPr="006F7208">
        <w:rPr>
          <w:rFonts w:cs="Calibri"/>
          <w:sz w:val="21"/>
          <w:szCs w:val="21"/>
        </w:rPr>
        <w:t xml:space="preserve">. This will help to sustain links between the planned </w:t>
      </w:r>
      <w:r>
        <w:rPr>
          <w:rFonts w:cs="Calibri"/>
          <w:sz w:val="21"/>
          <w:szCs w:val="21"/>
        </w:rPr>
        <w:t>CF</w:t>
      </w:r>
      <w:r w:rsidRPr="006F7208">
        <w:rPr>
          <w:rFonts w:cs="Calibri"/>
          <w:sz w:val="21"/>
          <w:szCs w:val="21"/>
        </w:rPr>
        <w:t xml:space="preserve"> results and </w:t>
      </w:r>
      <w:r w:rsidR="00EC1AAB">
        <w:rPr>
          <w:rFonts w:cs="Calibri"/>
          <w:sz w:val="21"/>
          <w:szCs w:val="21"/>
        </w:rPr>
        <w:t xml:space="preserve">the </w:t>
      </w:r>
      <w:r w:rsidRPr="006F7208">
        <w:rPr>
          <w:rFonts w:cs="Calibri"/>
          <w:sz w:val="21"/>
          <w:szCs w:val="21"/>
        </w:rPr>
        <w:t>polic</w:t>
      </w:r>
      <w:r w:rsidR="00EC1AAB">
        <w:rPr>
          <w:rFonts w:cs="Calibri"/>
          <w:sz w:val="21"/>
          <w:szCs w:val="21"/>
        </w:rPr>
        <w:t>ies</w:t>
      </w:r>
      <w:r w:rsidRPr="006F7208">
        <w:rPr>
          <w:rFonts w:cs="Calibri"/>
          <w:sz w:val="21"/>
          <w:szCs w:val="21"/>
        </w:rPr>
        <w:t xml:space="preserve"> and p</w:t>
      </w:r>
      <w:r w:rsidR="00EC1AAB">
        <w:rPr>
          <w:rFonts w:cs="Calibri"/>
          <w:sz w:val="21"/>
          <w:szCs w:val="21"/>
        </w:rPr>
        <w:t xml:space="preserve">lans </w:t>
      </w:r>
      <w:r w:rsidR="00EC1AAB" w:rsidRPr="002848C1">
        <w:rPr>
          <w:rFonts w:cs="Calibri"/>
          <w:sz w:val="21"/>
          <w:szCs w:val="21"/>
        </w:rPr>
        <w:t xml:space="preserve">of </w:t>
      </w:r>
      <w:r w:rsidR="00800948" w:rsidRPr="002848C1">
        <w:rPr>
          <w:rFonts w:cs="Calibri"/>
          <w:sz w:val="21"/>
          <w:szCs w:val="21"/>
        </w:rPr>
        <w:t>the</w:t>
      </w:r>
      <w:r w:rsidR="008C1408" w:rsidRPr="002848C1">
        <w:rPr>
          <w:rFonts w:cs="Calibri"/>
          <w:sz w:val="21"/>
          <w:szCs w:val="21"/>
        </w:rPr>
        <w:t xml:space="preserve"> authorities</w:t>
      </w:r>
      <w:r w:rsidR="00800948" w:rsidRPr="002848C1">
        <w:rPr>
          <w:rFonts w:cs="Calibri"/>
          <w:sz w:val="21"/>
          <w:szCs w:val="21"/>
        </w:rPr>
        <w:t xml:space="preserve"> in BiH</w:t>
      </w:r>
      <w:r w:rsidR="00EC1AAB" w:rsidRPr="002848C1">
        <w:rPr>
          <w:rFonts w:cs="Calibri"/>
          <w:sz w:val="21"/>
          <w:szCs w:val="21"/>
        </w:rPr>
        <w:t>, and</w:t>
      </w:r>
      <w:r w:rsidRPr="002848C1">
        <w:rPr>
          <w:rFonts w:cs="Calibri"/>
          <w:sz w:val="21"/>
          <w:szCs w:val="21"/>
        </w:rPr>
        <w:t xml:space="preserve"> </w:t>
      </w:r>
      <w:r w:rsidR="00EC1AAB" w:rsidRPr="002848C1">
        <w:rPr>
          <w:rFonts w:cs="Calibri"/>
          <w:sz w:val="21"/>
          <w:szCs w:val="21"/>
        </w:rPr>
        <w:t xml:space="preserve">to </w:t>
      </w:r>
      <w:r w:rsidRPr="002848C1">
        <w:rPr>
          <w:rFonts w:cs="Calibri"/>
          <w:sz w:val="21"/>
          <w:szCs w:val="21"/>
        </w:rPr>
        <w:t xml:space="preserve">ensure that data and evidence are being used to influence </w:t>
      </w:r>
      <w:r w:rsidR="00EC1AAB" w:rsidRPr="002848C1">
        <w:rPr>
          <w:rFonts w:cs="Calibri"/>
          <w:sz w:val="21"/>
          <w:szCs w:val="21"/>
        </w:rPr>
        <w:t>CF implementation</w:t>
      </w:r>
      <w:r w:rsidRPr="002848C1">
        <w:rPr>
          <w:rFonts w:cs="Calibri"/>
          <w:sz w:val="21"/>
          <w:szCs w:val="21"/>
        </w:rPr>
        <w:t xml:space="preserve">.  </w:t>
      </w:r>
    </w:p>
    <w:p w14:paraId="1F4F6044" w14:textId="2F73E4EB" w:rsidR="00A62677" w:rsidRPr="002848C1" w:rsidRDefault="00A62677" w:rsidP="00D9559C">
      <w:pPr>
        <w:pStyle w:val="ListParagraph"/>
        <w:numPr>
          <w:ilvl w:val="0"/>
          <w:numId w:val="9"/>
        </w:numPr>
        <w:spacing w:after="40"/>
        <w:ind w:right="-360"/>
        <w:contextualSpacing w:val="0"/>
        <w:jc w:val="both"/>
        <w:rPr>
          <w:rFonts w:cs="Calibri"/>
          <w:sz w:val="21"/>
          <w:szCs w:val="21"/>
          <w:lang w:val="en-CA"/>
        </w:rPr>
      </w:pPr>
      <w:r w:rsidRPr="002848C1">
        <w:rPr>
          <w:rFonts w:cs="Calibri"/>
          <w:sz w:val="21"/>
          <w:szCs w:val="21"/>
          <w:lang w:val="en-CA"/>
        </w:rPr>
        <w:t>Efforts to operationalise</w:t>
      </w:r>
      <w:r w:rsidRPr="002848C1">
        <w:rPr>
          <w:sz w:val="21"/>
          <w:szCs w:val="21"/>
        </w:rPr>
        <w:t xml:space="preserve"> </w:t>
      </w:r>
      <w:r w:rsidRPr="002848C1">
        <w:rPr>
          <w:i/>
          <w:sz w:val="21"/>
          <w:szCs w:val="21"/>
        </w:rPr>
        <w:t>existing</w:t>
      </w:r>
      <w:r w:rsidRPr="002848C1">
        <w:rPr>
          <w:sz w:val="21"/>
          <w:szCs w:val="21"/>
        </w:rPr>
        <w:t xml:space="preserve"> </w:t>
      </w:r>
      <w:r w:rsidR="00EC1AAB" w:rsidRPr="002848C1">
        <w:rPr>
          <w:sz w:val="21"/>
          <w:szCs w:val="21"/>
        </w:rPr>
        <w:t>p</w:t>
      </w:r>
      <w:r w:rsidRPr="002848C1">
        <w:rPr>
          <w:sz w:val="21"/>
          <w:szCs w:val="21"/>
        </w:rPr>
        <w:t xml:space="preserve">olicies, strategies and service delivery frameworks </w:t>
      </w:r>
      <w:r w:rsidR="00EC1AAB" w:rsidRPr="002848C1">
        <w:rPr>
          <w:sz w:val="21"/>
          <w:szCs w:val="21"/>
        </w:rPr>
        <w:t xml:space="preserve">of </w:t>
      </w:r>
      <w:r w:rsidR="00800948" w:rsidRPr="002848C1">
        <w:rPr>
          <w:sz w:val="21"/>
          <w:szCs w:val="21"/>
        </w:rPr>
        <w:t>the</w:t>
      </w:r>
      <w:r w:rsidR="008C1408" w:rsidRPr="002848C1">
        <w:rPr>
          <w:sz w:val="21"/>
          <w:szCs w:val="21"/>
        </w:rPr>
        <w:t xml:space="preserve"> authorities</w:t>
      </w:r>
      <w:r w:rsidR="00800948" w:rsidRPr="002848C1">
        <w:rPr>
          <w:sz w:val="21"/>
          <w:szCs w:val="21"/>
        </w:rPr>
        <w:t xml:space="preserve"> in BiH</w:t>
      </w:r>
      <w:r w:rsidR="00EC1AAB" w:rsidRPr="002848C1">
        <w:rPr>
          <w:sz w:val="21"/>
          <w:szCs w:val="21"/>
        </w:rPr>
        <w:t xml:space="preserve"> and to </w:t>
      </w:r>
      <w:r w:rsidRPr="002848C1">
        <w:rPr>
          <w:sz w:val="21"/>
          <w:szCs w:val="21"/>
        </w:rPr>
        <w:t xml:space="preserve">build new capacities for effective, cross-sectoral approaches at </w:t>
      </w:r>
      <w:r w:rsidR="00EC1AAB" w:rsidRPr="002848C1">
        <w:rPr>
          <w:sz w:val="21"/>
          <w:szCs w:val="21"/>
        </w:rPr>
        <w:t xml:space="preserve">Cantonal, Municipal and community </w:t>
      </w:r>
      <w:r w:rsidRPr="002848C1">
        <w:rPr>
          <w:sz w:val="21"/>
          <w:szCs w:val="21"/>
        </w:rPr>
        <w:t>levels, with a focus on vulnerable groups.</w:t>
      </w:r>
    </w:p>
    <w:p w14:paraId="432CC48E" w14:textId="77777777" w:rsidR="00A62677" w:rsidRPr="002848C1" w:rsidRDefault="00A62677" w:rsidP="00D9559C">
      <w:pPr>
        <w:pStyle w:val="ListParagraph"/>
        <w:numPr>
          <w:ilvl w:val="0"/>
          <w:numId w:val="9"/>
        </w:numPr>
        <w:ind w:right="-360"/>
        <w:jc w:val="both"/>
        <w:rPr>
          <w:sz w:val="21"/>
          <w:szCs w:val="21"/>
        </w:rPr>
      </w:pPr>
      <w:r w:rsidRPr="002848C1">
        <w:rPr>
          <w:sz w:val="21"/>
          <w:szCs w:val="21"/>
        </w:rPr>
        <w:t xml:space="preserve">Consistent, impartial advocacy and policy dialogue, based on the SDGs, to develop cost-effective models and options to enhance the quality and coverage of essential services, within </w:t>
      </w:r>
      <w:r w:rsidR="00EC1AAB" w:rsidRPr="002848C1">
        <w:rPr>
          <w:sz w:val="21"/>
          <w:szCs w:val="21"/>
        </w:rPr>
        <w:t xml:space="preserve">programmatic and </w:t>
      </w:r>
      <w:r w:rsidRPr="002848C1">
        <w:rPr>
          <w:sz w:val="21"/>
          <w:szCs w:val="21"/>
        </w:rPr>
        <w:t>budgetary constraints.</w:t>
      </w:r>
      <w:r w:rsidRPr="002848C1">
        <w:t xml:space="preserve"> </w:t>
      </w:r>
    </w:p>
    <w:p w14:paraId="277D49BD" w14:textId="1E048054" w:rsidR="00A62677" w:rsidRPr="002848C1" w:rsidRDefault="00A62677" w:rsidP="00D9559C">
      <w:pPr>
        <w:pStyle w:val="ListParagraph"/>
        <w:numPr>
          <w:ilvl w:val="0"/>
          <w:numId w:val="9"/>
        </w:numPr>
        <w:spacing w:after="40"/>
        <w:ind w:right="-360"/>
        <w:contextualSpacing w:val="0"/>
        <w:jc w:val="both"/>
        <w:rPr>
          <w:sz w:val="21"/>
          <w:szCs w:val="21"/>
        </w:rPr>
      </w:pPr>
      <w:r w:rsidRPr="002848C1">
        <w:rPr>
          <w:sz w:val="21"/>
          <w:szCs w:val="21"/>
        </w:rPr>
        <w:t xml:space="preserve">Ongoing review and updating of the contingency plans </w:t>
      </w:r>
      <w:r w:rsidR="00EC1AAB" w:rsidRPr="002848C1">
        <w:rPr>
          <w:sz w:val="21"/>
          <w:szCs w:val="21"/>
        </w:rPr>
        <w:t xml:space="preserve">of </w:t>
      </w:r>
      <w:r w:rsidR="00800948" w:rsidRPr="002848C1">
        <w:rPr>
          <w:sz w:val="21"/>
          <w:szCs w:val="21"/>
        </w:rPr>
        <w:t>the</w:t>
      </w:r>
      <w:r w:rsidR="008C1408" w:rsidRPr="002848C1">
        <w:rPr>
          <w:sz w:val="21"/>
          <w:szCs w:val="21"/>
        </w:rPr>
        <w:t xml:space="preserve"> authorities</w:t>
      </w:r>
      <w:r w:rsidR="00800948" w:rsidRPr="002848C1">
        <w:rPr>
          <w:sz w:val="21"/>
          <w:szCs w:val="21"/>
        </w:rPr>
        <w:t xml:space="preserve"> in BiH</w:t>
      </w:r>
      <w:r w:rsidR="00EC1AAB" w:rsidRPr="002848C1">
        <w:rPr>
          <w:sz w:val="21"/>
          <w:szCs w:val="21"/>
        </w:rPr>
        <w:t xml:space="preserve"> and the UN system </w:t>
      </w:r>
      <w:r w:rsidRPr="002848C1">
        <w:rPr>
          <w:sz w:val="21"/>
          <w:szCs w:val="21"/>
        </w:rPr>
        <w:t xml:space="preserve">to respond to </w:t>
      </w:r>
      <w:r w:rsidR="00EC1AAB" w:rsidRPr="002848C1">
        <w:rPr>
          <w:sz w:val="21"/>
          <w:szCs w:val="21"/>
        </w:rPr>
        <w:t>disasters and emergencies</w:t>
      </w:r>
      <w:r w:rsidRPr="002848C1">
        <w:rPr>
          <w:sz w:val="21"/>
          <w:szCs w:val="21"/>
        </w:rPr>
        <w:t>.</w:t>
      </w:r>
    </w:p>
    <w:p w14:paraId="0C829C73" w14:textId="77777777" w:rsidR="00A62677" w:rsidRPr="002848C1" w:rsidRDefault="00A62677" w:rsidP="00D9559C">
      <w:pPr>
        <w:pStyle w:val="ListParagraph"/>
        <w:numPr>
          <w:ilvl w:val="0"/>
          <w:numId w:val="9"/>
        </w:numPr>
        <w:spacing w:before="40" w:after="240"/>
        <w:ind w:left="714" w:right="-360" w:hanging="357"/>
        <w:contextualSpacing w:val="0"/>
        <w:jc w:val="both"/>
        <w:rPr>
          <w:rFonts w:ascii="Calibri" w:hAnsi="Calibri"/>
          <w:sz w:val="21"/>
          <w:szCs w:val="21"/>
        </w:rPr>
      </w:pPr>
      <w:r w:rsidRPr="002848C1">
        <w:rPr>
          <w:rFonts w:cs="Calibri"/>
          <w:sz w:val="21"/>
          <w:szCs w:val="21"/>
        </w:rPr>
        <w:t xml:space="preserve">A CF financing strategy, driven by the SC, that promotes </w:t>
      </w:r>
      <w:r w:rsidRPr="002848C1">
        <w:rPr>
          <w:sz w:val="21"/>
          <w:szCs w:val="21"/>
        </w:rPr>
        <w:t xml:space="preserve">stronger partnerships with civil society, the private sector, and IFIs. </w:t>
      </w:r>
    </w:p>
    <w:p w14:paraId="09B89184" w14:textId="77777777" w:rsidR="00A62677" w:rsidRPr="002848C1" w:rsidRDefault="00A62677" w:rsidP="00D9559C">
      <w:pPr>
        <w:spacing w:after="120"/>
        <w:ind w:right="-360"/>
        <w:jc w:val="both"/>
        <w:rPr>
          <w:b/>
          <w:color w:val="0F243E" w:themeColor="text2" w:themeShade="80"/>
          <w:sz w:val="24"/>
          <w:lang w:bidi="en-US"/>
        </w:rPr>
      </w:pPr>
      <w:r w:rsidRPr="002848C1">
        <w:rPr>
          <w:b/>
          <w:color w:val="0F243E" w:themeColor="text2" w:themeShade="80"/>
          <w:sz w:val="24"/>
          <w:lang w:bidi="en-US"/>
        </w:rPr>
        <w:t>5.2 Review and reporting</w:t>
      </w:r>
      <w:r w:rsidRPr="002848C1">
        <w:rPr>
          <w:b/>
          <w:color w:val="0F243E" w:themeColor="text2" w:themeShade="80"/>
          <w:sz w:val="24"/>
          <w:lang w:bidi="en-US"/>
        </w:rPr>
        <w:fldChar w:fldCharType="begin"/>
      </w:r>
      <w:r w:rsidRPr="002848C1">
        <w:rPr>
          <w:color w:val="0F243E" w:themeColor="text2" w:themeShade="80"/>
        </w:rPr>
        <w:instrText xml:space="preserve"> TC "</w:instrText>
      </w:r>
      <w:bookmarkStart w:id="80" w:name="_Toc21777841"/>
      <w:bookmarkStart w:id="81" w:name="_Toc23876375"/>
      <w:bookmarkStart w:id="82" w:name="_Toc23934003"/>
      <w:bookmarkStart w:id="83" w:name="_Toc26184409"/>
      <w:bookmarkStart w:id="84" w:name="_Toc38899133"/>
      <w:r w:rsidRPr="002848C1">
        <w:rPr>
          <w:b/>
          <w:color w:val="0F243E" w:themeColor="text2" w:themeShade="80"/>
          <w:sz w:val="24"/>
          <w:lang w:bidi="en-US"/>
        </w:rPr>
        <w:instrText>5.2 Review and reporting</w:instrText>
      </w:r>
      <w:bookmarkEnd w:id="80"/>
      <w:bookmarkEnd w:id="81"/>
      <w:bookmarkEnd w:id="82"/>
      <w:bookmarkEnd w:id="83"/>
      <w:bookmarkEnd w:id="84"/>
      <w:r w:rsidRPr="002848C1">
        <w:rPr>
          <w:color w:val="0F243E" w:themeColor="text2" w:themeShade="80"/>
        </w:rPr>
        <w:instrText xml:space="preserve">" \f C \l "2" </w:instrText>
      </w:r>
      <w:r w:rsidRPr="002848C1">
        <w:rPr>
          <w:b/>
          <w:color w:val="0F243E" w:themeColor="text2" w:themeShade="80"/>
          <w:sz w:val="24"/>
          <w:lang w:bidi="en-US"/>
        </w:rPr>
        <w:fldChar w:fldCharType="end"/>
      </w:r>
    </w:p>
    <w:p w14:paraId="08B32F1A" w14:textId="5CD900AB" w:rsidR="00A62677" w:rsidRPr="002848C1" w:rsidRDefault="00A62677" w:rsidP="00D9559C">
      <w:pPr>
        <w:numPr>
          <w:ilvl w:val="0"/>
          <w:numId w:val="3"/>
        </w:numPr>
        <w:spacing w:after="120" w:line="240" w:lineRule="auto"/>
        <w:ind w:right="-360" w:hanging="502"/>
        <w:jc w:val="both"/>
        <w:rPr>
          <w:sz w:val="21"/>
          <w:szCs w:val="21"/>
          <w:lang w:val="en-US"/>
        </w:rPr>
      </w:pPr>
      <w:r w:rsidRPr="002848C1">
        <w:rPr>
          <w:sz w:val="21"/>
          <w:szCs w:val="21"/>
        </w:rPr>
        <w:t>Effective review and reporting will</w:t>
      </w:r>
      <w:r w:rsidR="00854AC0" w:rsidRPr="002848C1">
        <w:rPr>
          <w:sz w:val="21"/>
          <w:szCs w:val="21"/>
        </w:rPr>
        <w:t>: C</w:t>
      </w:r>
      <w:r w:rsidRPr="002848C1">
        <w:rPr>
          <w:sz w:val="21"/>
          <w:szCs w:val="21"/>
        </w:rPr>
        <w:t>ompare actual progress against expected results</w:t>
      </w:r>
      <w:r w:rsidR="00854AC0" w:rsidRPr="002848C1">
        <w:rPr>
          <w:sz w:val="21"/>
          <w:szCs w:val="21"/>
        </w:rPr>
        <w:t xml:space="preserve">, </w:t>
      </w:r>
      <w:r w:rsidRPr="002848C1">
        <w:rPr>
          <w:sz w:val="21"/>
          <w:szCs w:val="21"/>
        </w:rPr>
        <w:t>co</w:t>
      </w:r>
      <w:r w:rsidR="00CC32D9" w:rsidRPr="002848C1">
        <w:rPr>
          <w:sz w:val="21"/>
          <w:szCs w:val="21"/>
        </w:rPr>
        <w:t xml:space="preserve">mmunicate </w:t>
      </w:r>
      <w:r w:rsidRPr="002848C1">
        <w:rPr>
          <w:sz w:val="21"/>
          <w:szCs w:val="21"/>
        </w:rPr>
        <w:t xml:space="preserve">the </w:t>
      </w:r>
      <w:r w:rsidRPr="002848C1">
        <w:rPr>
          <w:i/>
          <w:sz w:val="21"/>
          <w:szCs w:val="21"/>
        </w:rPr>
        <w:t>contribution</w:t>
      </w:r>
      <w:r w:rsidRPr="002848C1">
        <w:rPr>
          <w:sz w:val="21"/>
          <w:szCs w:val="21"/>
        </w:rPr>
        <w:t xml:space="preserve"> of cooperation </w:t>
      </w:r>
      <w:r w:rsidR="00CC32D9" w:rsidRPr="002848C1">
        <w:rPr>
          <w:sz w:val="21"/>
          <w:szCs w:val="21"/>
        </w:rPr>
        <w:t xml:space="preserve">results </w:t>
      </w:r>
      <w:r w:rsidRPr="002848C1">
        <w:rPr>
          <w:sz w:val="21"/>
          <w:szCs w:val="21"/>
        </w:rPr>
        <w:t xml:space="preserve">to </w:t>
      </w:r>
      <w:r w:rsidR="0098149E" w:rsidRPr="002848C1">
        <w:rPr>
          <w:sz w:val="21"/>
          <w:szCs w:val="21"/>
        </w:rPr>
        <w:t xml:space="preserve">priorities in </w:t>
      </w:r>
      <w:r w:rsidR="00CC32D9" w:rsidRPr="002848C1">
        <w:rPr>
          <w:sz w:val="21"/>
          <w:szCs w:val="21"/>
        </w:rPr>
        <w:t>BiH</w:t>
      </w:r>
      <w:r w:rsidR="00854AC0" w:rsidRPr="002848C1">
        <w:rPr>
          <w:sz w:val="21"/>
          <w:szCs w:val="21"/>
        </w:rPr>
        <w:t xml:space="preserve">, and identify any required adjustments to cooperation results, strategy, </w:t>
      </w:r>
      <w:r w:rsidR="00B34648" w:rsidRPr="002848C1">
        <w:rPr>
          <w:sz w:val="21"/>
          <w:szCs w:val="21"/>
        </w:rPr>
        <w:t xml:space="preserve">and </w:t>
      </w:r>
      <w:r w:rsidR="00854AC0" w:rsidRPr="002848C1">
        <w:rPr>
          <w:sz w:val="21"/>
          <w:szCs w:val="21"/>
        </w:rPr>
        <w:t>resources to respond to the evolving programme context</w:t>
      </w:r>
      <w:r w:rsidRPr="002848C1">
        <w:rPr>
          <w:sz w:val="21"/>
          <w:szCs w:val="21"/>
        </w:rPr>
        <w:t>. The primary responsibility for assessing the progress of CF implementation</w:t>
      </w:r>
      <w:r w:rsidR="00CC32D9" w:rsidRPr="002848C1">
        <w:rPr>
          <w:sz w:val="21"/>
          <w:szCs w:val="21"/>
        </w:rPr>
        <w:t xml:space="preserve"> rests with the </w:t>
      </w:r>
      <w:r w:rsidRPr="002848C1">
        <w:rPr>
          <w:sz w:val="21"/>
          <w:szCs w:val="21"/>
        </w:rPr>
        <w:t xml:space="preserve">CF Steering Committee (SC) and UNCT. This is done on the basis of routine monitoring and reporting by </w:t>
      </w:r>
      <w:r w:rsidR="00CC32D9" w:rsidRPr="002848C1">
        <w:rPr>
          <w:sz w:val="21"/>
          <w:szCs w:val="21"/>
        </w:rPr>
        <w:t xml:space="preserve">the </w:t>
      </w:r>
      <w:r w:rsidR="00CA3087" w:rsidRPr="002848C1">
        <w:rPr>
          <w:sz w:val="21"/>
          <w:szCs w:val="21"/>
        </w:rPr>
        <w:t>PMT</w:t>
      </w:r>
      <w:r w:rsidRPr="002848C1">
        <w:rPr>
          <w:sz w:val="21"/>
          <w:szCs w:val="21"/>
        </w:rPr>
        <w:t xml:space="preserve"> against detailed results and activities described in </w:t>
      </w:r>
      <w:r w:rsidR="00282543" w:rsidRPr="002848C1">
        <w:rPr>
          <w:sz w:val="21"/>
          <w:szCs w:val="21"/>
        </w:rPr>
        <w:t xml:space="preserve">the </w:t>
      </w:r>
      <w:r w:rsidRPr="002848C1">
        <w:rPr>
          <w:sz w:val="21"/>
          <w:szCs w:val="21"/>
        </w:rPr>
        <w:t>JWP</w:t>
      </w:r>
      <w:r w:rsidR="00CC32D9" w:rsidRPr="002848C1">
        <w:rPr>
          <w:sz w:val="21"/>
          <w:szCs w:val="21"/>
        </w:rPr>
        <w:t xml:space="preserve">. As noted above, UN system agencies will </w:t>
      </w:r>
      <w:r w:rsidR="00DA2D36" w:rsidRPr="002848C1">
        <w:rPr>
          <w:sz w:val="21"/>
          <w:szCs w:val="21"/>
        </w:rPr>
        <w:t>strengthen</w:t>
      </w:r>
      <w:r w:rsidR="00C8229C" w:rsidRPr="002848C1">
        <w:rPr>
          <w:sz w:val="21"/>
          <w:szCs w:val="21"/>
        </w:rPr>
        <w:t xml:space="preserve"> </w:t>
      </w:r>
      <w:r w:rsidR="00CC32D9" w:rsidRPr="002848C1">
        <w:rPr>
          <w:sz w:val="21"/>
          <w:szCs w:val="21"/>
        </w:rPr>
        <w:t xml:space="preserve">the </w:t>
      </w:r>
      <w:r w:rsidRPr="002848C1">
        <w:rPr>
          <w:sz w:val="21"/>
          <w:szCs w:val="21"/>
          <w:lang w:val="en-GB"/>
        </w:rPr>
        <w:t>capacit</w:t>
      </w:r>
      <w:r w:rsidR="00CC32D9" w:rsidRPr="002848C1">
        <w:rPr>
          <w:sz w:val="21"/>
          <w:szCs w:val="21"/>
          <w:lang w:val="en-GB"/>
        </w:rPr>
        <w:t xml:space="preserve">ies of </w:t>
      </w:r>
      <w:r w:rsidR="00DA2D36" w:rsidRPr="002848C1">
        <w:rPr>
          <w:sz w:val="21"/>
          <w:szCs w:val="21"/>
          <w:lang w:val="en-GB"/>
        </w:rPr>
        <w:t xml:space="preserve">the </w:t>
      </w:r>
      <w:r w:rsidR="00CC32D9" w:rsidRPr="002848C1">
        <w:rPr>
          <w:sz w:val="21"/>
          <w:szCs w:val="21"/>
          <w:lang w:val="en-GB"/>
        </w:rPr>
        <w:t xml:space="preserve">statistical </w:t>
      </w:r>
      <w:r w:rsidR="0079110E" w:rsidRPr="002848C1">
        <w:rPr>
          <w:sz w:val="21"/>
          <w:szCs w:val="21"/>
          <w:lang w:val="en-GB"/>
        </w:rPr>
        <w:t>agency and institutes</w:t>
      </w:r>
      <w:r w:rsidR="00162DDC" w:rsidRPr="002848C1">
        <w:rPr>
          <w:sz w:val="21"/>
          <w:szCs w:val="21"/>
          <w:lang w:val="en-GB"/>
        </w:rPr>
        <w:t xml:space="preserve"> in BiH</w:t>
      </w:r>
      <w:r w:rsidR="00CC32D9" w:rsidRPr="002848C1">
        <w:rPr>
          <w:sz w:val="21"/>
          <w:szCs w:val="21"/>
          <w:lang w:val="en-GB"/>
        </w:rPr>
        <w:t xml:space="preserve"> </w:t>
      </w:r>
      <w:r w:rsidRPr="002848C1">
        <w:rPr>
          <w:sz w:val="21"/>
          <w:szCs w:val="21"/>
          <w:lang w:val="en-GB"/>
        </w:rPr>
        <w:t>to produce disaggregated data, aligned with the SDGs</w:t>
      </w:r>
      <w:r w:rsidRPr="002848C1">
        <w:rPr>
          <w:rStyle w:val="FootnoteReference"/>
          <w:sz w:val="21"/>
          <w:szCs w:val="21"/>
          <w:lang w:val="en-GB"/>
        </w:rPr>
        <w:footnoteReference w:id="123"/>
      </w:r>
      <w:r w:rsidRPr="002848C1">
        <w:rPr>
          <w:sz w:val="21"/>
          <w:szCs w:val="21"/>
          <w:lang w:val="en-GB"/>
        </w:rPr>
        <w:t xml:space="preserve">, and to strengthen the dissemination and use of data and statistics for evidence-based policy formulation and planning. </w:t>
      </w:r>
    </w:p>
    <w:p w14:paraId="5D22AA1F" w14:textId="77777777" w:rsidR="00A62677" w:rsidRPr="00140DA9" w:rsidRDefault="00A62677" w:rsidP="00D9559C">
      <w:pPr>
        <w:numPr>
          <w:ilvl w:val="0"/>
          <w:numId w:val="3"/>
        </w:numPr>
        <w:spacing w:after="120" w:line="240" w:lineRule="auto"/>
        <w:ind w:right="-360" w:hanging="502"/>
        <w:jc w:val="both"/>
        <w:rPr>
          <w:sz w:val="21"/>
          <w:szCs w:val="21"/>
          <w:lang w:val="en-US"/>
        </w:rPr>
      </w:pPr>
      <w:r w:rsidRPr="006F7208">
        <w:rPr>
          <w:sz w:val="21"/>
          <w:szCs w:val="21"/>
          <w:lang w:val="en-US"/>
        </w:rPr>
        <w:t xml:space="preserve">The main steps involved in monitoring, review and reporting about </w:t>
      </w:r>
      <w:r w:rsidR="00BD1B4D">
        <w:rPr>
          <w:sz w:val="21"/>
          <w:szCs w:val="21"/>
          <w:lang w:val="en-US"/>
        </w:rPr>
        <w:t xml:space="preserve">planned </w:t>
      </w:r>
      <w:r w:rsidRPr="006F7208">
        <w:rPr>
          <w:sz w:val="21"/>
          <w:szCs w:val="21"/>
          <w:lang w:val="en-US"/>
        </w:rPr>
        <w:t>CF results are:</w:t>
      </w:r>
    </w:p>
    <w:p w14:paraId="08603592" w14:textId="5B17668E" w:rsidR="00854AC0" w:rsidRPr="007E4270" w:rsidRDefault="00D1334C" w:rsidP="00D9559C">
      <w:pPr>
        <w:numPr>
          <w:ilvl w:val="0"/>
          <w:numId w:val="8"/>
        </w:numPr>
        <w:pBdr>
          <w:top w:val="nil"/>
          <w:left w:val="nil"/>
          <w:bottom w:val="nil"/>
          <w:right w:val="nil"/>
          <w:between w:val="nil"/>
        </w:pBdr>
        <w:spacing w:after="0" w:line="240" w:lineRule="auto"/>
        <w:ind w:right="-360"/>
        <w:jc w:val="both"/>
        <w:rPr>
          <w:color w:val="000000"/>
        </w:rPr>
      </w:pPr>
      <w:r w:rsidRPr="007E4270">
        <w:rPr>
          <w:sz w:val="21"/>
          <w:szCs w:val="21"/>
          <w:lang w:val="en-US"/>
        </w:rPr>
        <w:t xml:space="preserve">Regular </w:t>
      </w:r>
      <w:r w:rsidR="00A62677" w:rsidRPr="007E4270">
        <w:rPr>
          <w:sz w:val="21"/>
          <w:szCs w:val="21"/>
          <w:lang w:val="en-US"/>
        </w:rPr>
        <w:t>progress monitoring</w:t>
      </w:r>
      <w:r w:rsidR="003A42A4" w:rsidRPr="007E4270">
        <w:rPr>
          <w:sz w:val="21"/>
          <w:szCs w:val="21"/>
          <w:lang w:val="en-US"/>
        </w:rPr>
        <w:t xml:space="preserve"> </w:t>
      </w:r>
      <w:r w:rsidR="00A62677" w:rsidRPr="007E4270">
        <w:rPr>
          <w:sz w:val="21"/>
          <w:szCs w:val="21"/>
          <w:lang w:val="en-US"/>
        </w:rPr>
        <w:t xml:space="preserve">and </w:t>
      </w:r>
      <w:r w:rsidR="003A42A4" w:rsidRPr="007E4270">
        <w:rPr>
          <w:sz w:val="21"/>
          <w:szCs w:val="21"/>
          <w:lang w:val="en-US"/>
        </w:rPr>
        <w:t>annual</w:t>
      </w:r>
      <w:r w:rsidR="00A62677" w:rsidRPr="007E4270">
        <w:rPr>
          <w:sz w:val="21"/>
          <w:szCs w:val="21"/>
          <w:lang w:val="en-US"/>
        </w:rPr>
        <w:t xml:space="preserve"> reviews </w:t>
      </w:r>
      <w:r w:rsidR="007912B1" w:rsidRPr="007E4270">
        <w:rPr>
          <w:sz w:val="21"/>
          <w:szCs w:val="21"/>
          <w:lang w:val="en-US"/>
        </w:rPr>
        <w:t xml:space="preserve">using the results and indicators provided in the CF Results Matrix (Annex </w:t>
      </w:r>
      <w:r w:rsidR="00CC56E8" w:rsidRPr="007E4270">
        <w:rPr>
          <w:sz w:val="21"/>
          <w:szCs w:val="21"/>
          <w:lang w:val="en-US"/>
        </w:rPr>
        <w:t>B</w:t>
      </w:r>
      <w:r w:rsidR="007912B1" w:rsidRPr="007E4270">
        <w:rPr>
          <w:sz w:val="21"/>
          <w:szCs w:val="21"/>
          <w:lang w:val="en-US"/>
        </w:rPr>
        <w:t>) and the JWP. These reviews will enable the partners to:</w:t>
      </w:r>
      <w:r w:rsidR="00A62677" w:rsidRPr="007E4270">
        <w:rPr>
          <w:sz w:val="21"/>
          <w:szCs w:val="21"/>
          <w:lang w:val="en-US"/>
        </w:rPr>
        <w:t xml:space="preserve"> </w:t>
      </w:r>
      <w:r w:rsidR="007912B1" w:rsidRPr="007E4270">
        <w:rPr>
          <w:sz w:val="21"/>
          <w:szCs w:val="21"/>
          <w:lang w:val="en-US"/>
        </w:rPr>
        <w:t>a</w:t>
      </w:r>
      <w:r w:rsidR="00854AC0" w:rsidRPr="007E4270">
        <w:rPr>
          <w:sz w:val="21"/>
          <w:szCs w:val="21"/>
          <w:lang w:val="en-US"/>
        </w:rPr>
        <w:t>. S</w:t>
      </w:r>
      <w:r w:rsidR="00A62677" w:rsidRPr="007E4270">
        <w:rPr>
          <w:sz w:val="21"/>
          <w:szCs w:val="21"/>
          <w:lang w:val="en-US"/>
        </w:rPr>
        <w:t xml:space="preserve">hare information, </w:t>
      </w:r>
      <w:r w:rsidR="007912B1" w:rsidRPr="007E4270">
        <w:rPr>
          <w:sz w:val="21"/>
          <w:szCs w:val="21"/>
          <w:lang w:val="en-US"/>
        </w:rPr>
        <w:t>b</w:t>
      </w:r>
      <w:r w:rsidR="00854AC0" w:rsidRPr="007E4270">
        <w:rPr>
          <w:sz w:val="21"/>
          <w:szCs w:val="21"/>
          <w:lang w:val="en-US"/>
        </w:rPr>
        <w:t>. T</w:t>
      </w:r>
      <w:r w:rsidR="00A62677" w:rsidRPr="007E4270">
        <w:rPr>
          <w:sz w:val="21"/>
          <w:szCs w:val="21"/>
          <w:lang w:val="en-US"/>
        </w:rPr>
        <w:t>rack the achievement of CF outputs and their contribution toward CF outcomes and to country priorities and related SDG targets</w:t>
      </w:r>
      <w:r w:rsidR="00854AC0" w:rsidRPr="007E4270">
        <w:rPr>
          <w:sz w:val="21"/>
          <w:szCs w:val="21"/>
          <w:lang w:val="en-US"/>
        </w:rPr>
        <w:t xml:space="preserve">, </w:t>
      </w:r>
      <w:r w:rsidR="007912B1" w:rsidRPr="007E4270">
        <w:rPr>
          <w:sz w:val="21"/>
          <w:szCs w:val="21"/>
          <w:lang w:val="en-US"/>
        </w:rPr>
        <w:t>c</w:t>
      </w:r>
      <w:r w:rsidR="00854AC0" w:rsidRPr="007E4270">
        <w:rPr>
          <w:sz w:val="21"/>
          <w:szCs w:val="21"/>
          <w:lang w:val="en-US"/>
        </w:rPr>
        <w:t xml:space="preserve">. </w:t>
      </w:r>
      <w:r w:rsidR="00B34648" w:rsidRPr="007E4270">
        <w:rPr>
          <w:sz w:val="21"/>
          <w:szCs w:val="21"/>
          <w:lang w:val="en-US"/>
        </w:rPr>
        <w:t xml:space="preserve">Review major assumptions and risks, and </w:t>
      </w:r>
      <w:r w:rsidR="007912B1" w:rsidRPr="007E4270">
        <w:rPr>
          <w:sz w:val="21"/>
          <w:szCs w:val="21"/>
          <w:lang w:val="en-US"/>
        </w:rPr>
        <w:t>d</w:t>
      </w:r>
      <w:r w:rsidR="00B34648" w:rsidRPr="007E4270">
        <w:rPr>
          <w:sz w:val="21"/>
          <w:szCs w:val="21"/>
          <w:lang w:val="en-US"/>
        </w:rPr>
        <w:t xml:space="preserve">. </w:t>
      </w:r>
      <w:r w:rsidR="00854AC0" w:rsidRPr="007E4270">
        <w:rPr>
          <w:sz w:val="21"/>
          <w:szCs w:val="21"/>
          <w:lang w:val="en-US"/>
        </w:rPr>
        <w:t xml:space="preserve">Identify </w:t>
      </w:r>
      <w:r w:rsidR="00854AC0" w:rsidRPr="007E4270">
        <w:rPr>
          <w:color w:val="000000"/>
        </w:rPr>
        <w:t xml:space="preserve">new opportunities or </w:t>
      </w:r>
      <w:r w:rsidR="00B34648" w:rsidRPr="007E4270">
        <w:rPr>
          <w:color w:val="000000"/>
        </w:rPr>
        <w:t xml:space="preserve">needed adjustments to planned </w:t>
      </w:r>
      <w:r w:rsidR="00B34648" w:rsidRPr="007E4270">
        <w:rPr>
          <w:sz w:val="21"/>
          <w:szCs w:val="21"/>
        </w:rPr>
        <w:t>results, strategy, and resources.</w:t>
      </w:r>
    </w:p>
    <w:p w14:paraId="1974D7CC" w14:textId="053D89B1" w:rsidR="00A62677" w:rsidRPr="002848C1" w:rsidRDefault="00A62677" w:rsidP="00D9559C">
      <w:pPr>
        <w:numPr>
          <w:ilvl w:val="0"/>
          <w:numId w:val="8"/>
        </w:numPr>
        <w:spacing w:after="120" w:line="240" w:lineRule="auto"/>
        <w:ind w:left="714" w:right="-360" w:hanging="357"/>
        <w:jc w:val="both"/>
        <w:rPr>
          <w:sz w:val="21"/>
          <w:szCs w:val="21"/>
          <w:lang w:val="en-US"/>
        </w:rPr>
      </w:pPr>
      <w:r w:rsidRPr="00140DA9">
        <w:rPr>
          <w:sz w:val="21"/>
          <w:szCs w:val="21"/>
          <w:lang w:val="en-US"/>
        </w:rPr>
        <w:t xml:space="preserve">Preparation of </w:t>
      </w:r>
      <w:r w:rsidRPr="00140DA9">
        <w:rPr>
          <w:b/>
          <w:sz w:val="21"/>
          <w:szCs w:val="21"/>
          <w:lang w:val="en-US"/>
        </w:rPr>
        <w:t>one</w:t>
      </w:r>
      <w:r w:rsidR="005A32B4">
        <w:rPr>
          <w:b/>
          <w:sz w:val="21"/>
          <w:szCs w:val="21"/>
          <w:lang w:val="en-US"/>
        </w:rPr>
        <w:t xml:space="preserve"> </w:t>
      </w:r>
      <w:r w:rsidRPr="00140DA9">
        <w:rPr>
          <w:b/>
          <w:sz w:val="21"/>
          <w:szCs w:val="21"/>
          <w:lang w:val="en-US"/>
        </w:rPr>
        <w:t>annual CF results report</w:t>
      </w:r>
      <w:r w:rsidRPr="006F7208">
        <w:rPr>
          <w:sz w:val="21"/>
          <w:szCs w:val="21"/>
          <w:vertAlign w:val="superscript"/>
          <w:lang w:val="en-US"/>
        </w:rPr>
        <w:footnoteReference w:id="124"/>
      </w:r>
      <w:r w:rsidRPr="00140DA9">
        <w:rPr>
          <w:sz w:val="21"/>
          <w:szCs w:val="21"/>
          <w:lang w:val="en-US"/>
        </w:rPr>
        <w:t xml:space="preserve"> that describes actual outputs delivered against those planned </w:t>
      </w:r>
      <w:r w:rsidRPr="002848C1">
        <w:rPr>
          <w:sz w:val="21"/>
          <w:szCs w:val="21"/>
          <w:lang w:val="en-US"/>
        </w:rPr>
        <w:t xml:space="preserve">in JWP and </w:t>
      </w:r>
      <w:r w:rsidRPr="002848C1">
        <w:rPr>
          <w:i/>
          <w:sz w:val="21"/>
          <w:szCs w:val="21"/>
          <w:lang w:val="en-US"/>
        </w:rPr>
        <w:t>progress towards</w:t>
      </w:r>
      <w:r w:rsidRPr="002848C1">
        <w:rPr>
          <w:sz w:val="21"/>
          <w:szCs w:val="21"/>
          <w:lang w:val="en-US"/>
        </w:rPr>
        <w:t xml:space="preserve"> the CF outcomes and to </w:t>
      </w:r>
      <w:r w:rsidR="00390A59" w:rsidRPr="002848C1">
        <w:rPr>
          <w:sz w:val="21"/>
          <w:szCs w:val="21"/>
          <w:lang w:val="en-US"/>
        </w:rPr>
        <w:t>priorities in BiH</w:t>
      </w:r>
      <w:r w:rsidR="00BD1B4D" w:rsidRPr="002848C1">
        <w:rPr>
          <w:sz w:val="21"/>
          <w:szCs w:val="21"/>
          <w:lang w:val="en-US"/>
        </w:rPr>
        <w:t xml:space="preserve">, the sentinel impact indicators (para 40) and other domesticated SDG indicators and </w:t>
      </w:r>
      <w:r w:rsidRPr="002848C1">
        <w:rPr>
          <w:sz w:val="21"/>
          <w:szCs w:val="21"/>
          <w:lang w:val="en-US"/>
        </w:rPr>
        <w:t xml:space="preserve"> targets</w:t>
      </w:r>
      <w:r w:rsidR="00BD1B4D" w:rsidRPr="002848C1">
        <w:rPr>
          <w:sz w:val="21"/>
          <w:szCs w:val="21"/>
          <w:lang w:val="en-US"/>
        </w:rPr>
        <w:t xml:space="preserve">, as shown in the results matrix (Annex </w:t>
      </w:r>
      <w:r w:rsidR="00CC56E8" w:rsidRPr="002848C1">
        <w:rPr>
          <w:sz w:val="21"/>
          <w:szCs w:val="21"/>
          <w:lang w:val="en-US"/>
        </w:rPr>
        <w:t>B</w:t>
      </w:r>
      <w:r w:rsidR="00BD1B4D" w:rsidRPr="002848C1">
        <w:rPr>
          <w:sz w:val="21"/>
          <w:szCs w:val="21"/>
          <w:lang w:val="en-US"/>
        </w:rPr>
        <w:t>)</w:t>
      </w:r>
      <w:r w:rsidRPr="002848C1">
        <w:rPr>
          <w:sz w:val="21"/>
          <w:szCs w:val="21"/>
          <w:lang w:val="en-US"/>
        </w:rPr>
        <w:t xml:space="preserve">. Reporting will </w:t>
      </w:r>
      <w:r w:rsidR="00BD33F1" w:rsidRPr="002848C1">
        <w:rPr>
          <w:sz w:val="21"/>
          <w:szCs w:val="21"/>
          <w:lang w:val="en-US"/>
        </w:rPr>
        <w:t xml:space="preserve">rely on the </w:t>
      </w:r>
      <w:r w:rsidR="002870F5" w:rsidRPr="002848C1">
        <w:rPr>
          <w:sz w:val="21"/>
          <w:szCs w:val="21"/>
          <w:lang w:val="en-US"/>
        </w:rPr>
        <w:t xml:space="preserve">official data provided by the relevant authorities in BiH, to </w:t>
      </w:r>
      <w:r w:rsidR="00C1698B" w:rsidRPr="002848C1">
        <w:rPr>
          <w:sz w:val="21"/>
          <w:szCs w:val="21"/>
          <w:lang w:val="en-US"/>
        </w:rPr>
        <w:t xml:space="preserve">the </w:t>
      </w:r>
      <w:r w:rsidR="002870F5" w:rsidRPr="002848C1">
        <w:rPr>
          <w:sz w:val="21"/>
          <w:szCs w:val="21"/>
          <w:lang w:val="en-US"/>
        </w:rPr>
        <w:t xml:space="preserve">extent available, and </w:t>
      </w:r>
      <w:r w:rsidRPr="002848C1">
        <w:rPr>
          <w:sz w:val="21"/>
          <w:szCs w:val="21"/>
          <w:lang w:val="en-US"/>
        </w:rPr>
        <w:t>be strengthened by the relationship between the SC, UNCT and the</w:t>
      </w:r>
      <w:r w:rsidR="008B535C" w:rsidRPr="002848C1">
        <w:rPr>
          <w:sz w:val="21"/>
          <w:szCs w:val="21"/>
          <w:lang w:val="en-US"/>
        </w:rPr>
        <w:t xml:space="preserve"> </w:t>
      </w:r>
      <w:r w:rsidRPr="002848C1">
        <w:rPr>
          <w:sz w:val="21"/>
          <w:szCs w:val="21"/>
          <w:lang w:val="en-US"/>
        </w:rPr>
        <w:t>SDG</w:t>
      </w:r>
      <w:r w:rsidR="00CC56E8" w:rsidRPr="002848C1">
        <w:rPr>
          <w:sz w:val="21"/>
          <w:szCs w:val="21"/>
          <w:lang w:val="en-US"/>
        </w:rPr>
        <w:t>s</w:t>
      </w:r>
      <w:r w:rsidR="009A05B1" w:rsidRPr="002848C1">
        <w:rPr>
          <w:sz w:val="21"/>
          <w:szCs w:val="21"/>
          <w:lang w:val="en-US"/>
        </w:rPr>
        <w:t xml:space="preserve"> Frame</w:t>
      </w:r>
      <w:r w:rsidR="00A7589F" w:rsidRPr="002848C1">
        <w:rPr>
          <w:sz w:val="21"/>
          <w:szCs w:val="21"/>
          <w:lang w:val="en-US"/>
        </w:rPr>
        <w:t>work’s</w:t>
      </w:r>
      <w:r w:rsidR="00CC56E8" w:rsidRPr="002848C1">
        <w:rPr>
          <w:sz w:val="21"/>
          <w:szCs w:val="21"/>
          <w:lang w:val="en-US"/>
        </w:rPr>
        <w:t xml:space="preserve"> institutional </w:t>
      </w:r>
      <w:r w:rsidR="00A36476" w:rsidRPr="002848C1">
        <w:rPr>
          <w:sz w:val="21"/>
          <w:szCs w:val="21"/>
          <w:lang w:val="en-US"/>
        </w:rPr>
        <w:t>implementation mechanism</w:t>
      </w:r>
      <w:r w:rsidR="00BD33F1" w:rsidRPr="002848C1">
        <w:rPr>
          <w:sz w:val="21"/>
          <w:szCs w:val="21"/>
          <w:lang w:val="en-US"/>
        </w:rPr>
        <w:t xml:space="preserve"> in BiH</w:t>
      </w:r>
      <w:r w:rsidRPr="002848C1">
        <w:rPr>
          <w:sz w:val="21"/>
          <w:szCs w:val="21"/>
          <w:lang w:val="en-US"/>
        </w:rPr>
        <w:t xml:space="preserve">. </w:t>
      </w:r>
    </w:p>
    <w:p w14:paraId="32877258" w14:textId="77777777" w:rsidR="00A62677" w:rsidRPr="00707381" w:rsidRDefault="00A62677" w:rsidP="00D9559C">
      <w:pPr>
        <w:spacing w:after="120"/>
        <w:ind w:right="-360"/>
        <w:jc w:val="both"/>
        <w:rPr>
          <w:b/>
          <w:color w:val="0F243E" w:themeColor="text2" w:themeShade="80"/>
          <w:sz w:val="24"/>
          <w:lang w:bidi="en-US"/>
        </w:rPr>
      </w:pPr>
      <w:r w:rsidRPr="00707381">
        <w:rPr>
          <w:b/>
          <w:color w:val="0F243E" w:themeColor="text2" w:themeShade="80"/>
          <w:sz w:val="24"/>
          <w:lang w:bidi="en-US"/>
        </w:rPr>
        <w:t>5.3 Evaluation plan</w:t>
      </w:r>
      <w:r w:rsidRPr="00707381">
        <w:rPr>
          <w:b/>
          <w:color w:val="0F243E" w:themeColor="text2" w:themeShade="80"/>
          <w:sz w:val="24"/>
          <w:lang w:bidi="en-US"/>
        </w:rPr>
        <w:fldChar w:fldCharType="begin"/>
      </w:r>
      <w:r w:rsidRPr="00707381">
        <w:rPr>
          <w:color w:val="0F243E" w:themeColor="text2" w:themeShade="80"/>
        </w:rPr>
        <w:instrText xml:space="preserve"> TC "</w:instrText>
      </w:r>
      <w:bookmarkStart w:id="85" w:name="_Toc21777842"/>
      <w:bookmarkStart w:id="86" w:name="_Toc23876376"/>
      <w:bookmarkStart w:id="87" w:name="_Toc23934004"/>
      <w:bookmarkStart w:id="88" w:name="_Toc26184410"/>
      <w:bookmarkStart w:id="89" w:name="_Toc38899134"/>
      <w:r w:rsidRPr="00707381">
        <w:rPr>
          <w:b/>
          <w:color w:val="0F243E" w:themeColor="text2" w:themeShade="80"/>
          <w:sz w:val="24"/>
          <w:lang w:bidi="en-US"/>
        </w:rPr>
        <w:instrText>5.3 Evaluation plan</w:instrText>
      </w:r>
      <w:bookmarkEnd w:id="85"/>
      <w:bookmarkEnd w:id="86"/>
      <w:bookmarkEnd w:id="87"/>
      <w:bookmarkEnd w:id="88"/>
      <w:bookmarkEnd w:id="89"/>
      <w:r w:rsidRPr="00707381">
        <w:rPr>
          <w:color w:val="0F243E" w:themeColor="text2" w:themeShade="80"/>
        </w:rPr>
        <w:instrText xml:space="preserve">" \f C \l "2" </w:instrText>
      </w:r>
      <w:r w:rsidRPr="00707381">
        <w:rPr>
          <w:b/>
          <w:color w:val="0F243E" w:themeColor="text2" w:themeShade="80"/>
          <w:sz w:val="24"/>
          <w:lang w:bidi="en-US"/>
        </w:rPr>
        <w:fldChar w:fldCharType="end"/>
      </w:r>
    </w:p>
    <w:p w14:paraId="113A6D84" w14:textId="1B1791B9" w:rsidR="00A62677" w:rsidRPr="007E4270" w:rsidRDefault="00A62677" w:rsidP="00D9559C">
      <w:pPr>
        <w:numPr>
          <w:ilvl w:val="0"/>
          <w:numId w:val="3"/>
        </w:numPr>
        <w:spacing w:after="120" w:line="240" w:lineRule="auto"/>
        <w:ind w:right="-360" w:hanging="502"/>
        <w:jc w:val="both"/>
        <w:rPr>
          <w:sz w:val="21"/>
          <w:szCs w:val="21"/>
        </w:rPr>
      </w:pPr>
      <w:r w:rsidRPr="006F7208">
        <w:rPr>
          <w:sz w:val="21"/>
          <w:szCs w:val="21"/>
          <w:lang w:val="en-US"/>
        </w:rPr>
        <w:t xml:space="preserve">Evaluation of the CF in </w:t>
      </w:r>
      <w:r w:rsidR="004B10F8">
        <w:rPr>
          <w:sz w:val="21"/>
          <w:szCs w:val="21"/>
          <w:lang w:val="en-US"/>
        </w:rPr>
        <w:t>early 2024</w:t>
      </w:r>
      <w:r w:rsidRPr="006F7208">
        <w:rPr>
          <w:sz w:val="21"/>
          <w:szCs w:val="21"/>
          <w:lang w:val="en-US"/>
        </w:rPr>
        <w:t xml:space="preserve"> will </w:t>
      </w:r>
      <w:r>
        <w:rPr>
          <w:sz w:val="21"/>
          <w:szCs w:val="21"/>
          <w:lang w:val="en-US"/>
        </w:rPr>
        <w:t xml:space="preserve">be used to </w:t>
      </w:r>
      <w:r w:rsidRPr="006F7208">
        <w:rPr>
          <w:sz w:val="21"/>
          <w:szCs w:val="21"/>
          <w:lang w:val="en-US"/>
        </w:rPr>
        <w:t xml:space="preserve">measure achievements and to support the formulation of the next </w:t>
      </w:r>
      <w:r>
        <w:rPr>
          <w:sz w:val="21"/>
          <w:szCs w:val="21"/>
          <w:lang w:val="en-US"/>
        </w:rPr>
        <w:t>CF</w:t>
      </w:r>
      <w:r w:rsidRPr="006F7208">
        <w:rPr>
          <w:sz w:val="21"/>
          <w:szCs w:val="21"/>
          <w:lang w:val="en-US"/>
        </w:rPr>
        <w:t xml:space="preserve">. The evaluation will assess the relevance of the </w:t>
      </w:r>
      <w:r>
        <w:rPr>
          <w:sz w:val="21"/>
          <w:szCs w:val="21"/>
          <w:lang w:val="en-US"/>
        </w:rPr>
        <w:t>CF</w:t>
      </w:r>
      <w:r w:rsidRPr="006F7208">
        <w:rPr>
          <w:sz w:val="21"/>
          <w:szCs w:val="21"/>
          <w:lang w:val="en-US"/>
        </w:rPr>
        <w:t xml:space="preserve"> outcomes, the effectiveness and efficiency of implementation by UN system agencies and partners, and the sustainability of results and their contribution to </w:t>
      </w:r>
      <w:r w:rsidR="00390A59">
        <w:rPr>
          <w:sz w:val="21"/>
          <w:szCs w:val="21"/>
          <w:lang w:val="en-US"/>
        </w:rPr>
        <w:t>priorities in BiH</w:t>
      </w:r>
      <w:r>
        <w:rPr>
          <w:sz w:val="21"/>
          <w:szCs w:val="21"/>
          <w:lang w:val="en-US"/>
        </w:rPr>
        <w:t xml:space="preserve"> and related SDG targets</w:t>
      </w:r>
      <w:r w:rsidRPr="006F7208">
        <w:rPr>
          <w:sz w:val="21"/>
          <w:szCs w:val="21"/>
          <w:lang w:val="en-US"/>
        </w:rPr>
        <w:t>.</w:t>
      </w:r>
      <w:r w:rsidR="008A4F9F">
        <w:rPr>
          <w:sz w:val="21"/>
          <w:szCs w:val="21"/>
          <w:lang w:val="en-US"/>
        </w:rPr>
        <w:t xml:space="preserve"> In addition to these standard criteria</w:t>
      </w:r>
      <w:r w:rsidR="008A4F9F" w:rsidRPr="007E4270">
        <w:rPr>
          <w:sz w:val="21"/>
          <w:szCs w:val="21"/>
          <w:lang w:val="en-US"/>
        </w:rPr>
        <w:t xml:space="preserve">, the evaluation will gauge </w:t>
      </w:r>
      <w:r w:rsidR="008A4F9F" w:rsidRPr="007E4270">
        <w:rPr>
          <w:i/>
          <w:sz w:val="21"/>
          <w:szCs w:val="21"/>
          <w:lang w:val="en-US"/>
        </w:rPr>
        <w:t xml:space="preserve">the </w:t>
      </w:r>
      <w:r w:rsidR="008A4F9F" w:rsidRPr="007E4270">
        <w:rPr>
          <w:i/>
        </w:rPr>
        <w:t>extent to which</w:t>
      </w:r>
      <w:r w:rsidR="008A4F9F" w:rsidRPr="007E4270">
        <w:t xml:space="preserve"> human rights and gender equality considerations were incorporated in the overall design and implementation of the CF an</w:t>
      </w:r>
      <w:r w:rsidR="00B14008" w:rsidRPr="007E4270">
        <w:t>d</w:t>
      </w:r>
      <w:r w:rsidR="008A4F9F" w:rsidRPr="007E4270">
        <w:t xml:space="preserve"> it will</w:t>
      </w:r>
      <w:r w:rsidR="00B14008" w:rsidRPr="007E4270">
        <w:t xml:space="preserve"> involve inclusive and diverse stakeholder engagement</w:t>
      </w:r>
      <w:r w:rsidR="008A4F9F" w:rsidRPr="007E4270">
        <w:rPr>
          <w:rStyle w:val="FootnoteReference"/>
        </w:rPr>
        <w:footnoteReference w:id="125"/>
      </w:r>
      <w:r w:rsidR="008A4F9F" w:rsidRPr="007E4270">
        <w:t>.</w:t>
      </w:r>
    </w:p>
    <w:p w14:paraId="098828BD" w14:textId="7C7FAA37" w:rsidR="00A62677" w:rsidRDefault="00A62677" w:rsidP="00D9559C">
      <w:pPr>
        <w:numPr>
          <w:ilvl w:val="0"/>
          <w:numId w:val="3"/>
        </w:numPr>
        <w:spacing w:after="240" w:line="240" w:lineRule="auto"/>
        <w:ind w:right="-360" w:hanging="502"/>
        <w:jc w:val="both"/>
      </w:pPr>
      <w:r w:rsidRPr="00214A8D">
        <w:rPr>
          <w:sz w:val="21"/>
          <w:szCs w:val="21"/>
          <w:lang w:val="en-US"/>
        </w:rPr>
        <w:t>A costed multi-year joint monitoring</w:t>
      </w:r>
      <w:r w:rsidR="00D1334C">
        <w:rPr>
          <w:sz w:val="21"/>
          <w:szCs w:val="21"/>
          <w:lang w:val="en-US"/>
        </w:rPr>
        <w:t>,</w:t>
      </w:r>
      <w:r w:rsidRPr="00214A8D">
        <w:rPr>
          <w:sz w:val="21"/>
          <w:szCs w:val="21"/>
          <w:lang w:val="en-US"/>
        </w:rPr>
        <w:t xml:space="preserve"> evaluation</w:t>
      </w:r>
      <w:r w:rsidR="00D1334C">
        <w:rPr>
          <w:sz w:val="21"/>
          <w:szCs w:val="21"/>
          <w:lang w:val="en-US"/>
        </w:rPr>
        <w:t xml:space="preserve">, and </w:t>
      </w:r>
      <w:r w:rsidR="0094101C">
        <w:rPr>
          <w:sz w:val="21"/>
          <w:szCs w:val="21"/>
          <w:lang w:val="en-US"/>
        </w:rPr>
        <w:t>learning (MEL)</w:t>
      </w:r>
      <w:r w:rsidRPr="00214A8D">
        <w:rPr>
          <w:sz w:val="21"/>
          <w:szCs w:val="21"/>
          <w:lang w:val="en-US"/>
        </w:rPr>
        <w:t xml:space="preserve"> plan for the CF </w:t>
      </w:r>
      <w:r w:rsidR="0094101C">
        <w:rPr>
          <w:sz w:val="21"/>
          <w:szCs w:val="21"/>
          <w:lang w:val="en-US"/>
        </w:rPr>
        <w:t xml:space="preserve">will be prepared </w:t>
      </w:r>
      <w:r w:rsidRPr="00214A8D">
        <w:rPr>
          <w:sz w:val="21"/>
          <w:szCs w:val="21"/>
          <w:lang w:val="en-US"/>
        </w:rPr>
        <w:t>separately.</w:t>
      </w:r>
    </w:p>
    <w:p w14:paraId="478F8E96" w14:textId="77777777" w:rsidR="00A62677" w:rsidRPr="004422B8" w:rsidRDefault="00A62677" w:rsidP="00D9559C">
      <w:pPr>
        <w:spacing w:after="120" w:line="240" w:lineRule="auto"/>
        <w:ind w:right="-360"/>
        <w:jc w:val="both"/>
        <w:rPr>
          <w:lang w:val="en-US"/>
        </w:rPr>
      </w:pPr>
    </w:p>
    <w:p w14:paraId="12F1AC7A" w14:textId="77777777" w:rsidR="005D536B" w:rsidRDefault="005D536B" w:rsidP="00D9559C">
      <w:pPr>
        <w:spacing w:after="120" w:line="240" w:lineRule="auto"/>
        <w:ind w:right="-360"/>
        <w:jc w:val="both"/>
        <w:sectPr w:rsidR="005D536B" w:rsidSect="00A55B6D">
          <w:headerReference w:type="even" r:id="rId33"/>
          <w:headerReference w:type="default" r:id="rId34"/>
          <w:headerReference w:type="first" r:id="rId35"/>
          <w:pgSz w:w="12240" w:h="15840"/>
          <w:pgMar w:top="1440" w:right="1440" w:bottom="1440" w:left="1440"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pgNumType w:start="1"/>
          <w:cols w:space="708"/>
          <w:docGrid w:linePitch="360"/>
        </w:sectPr>
      </w:pPr>
    </w:p>
    <w:p w14:paraId="6AFA8F3E" w14:textId="51F783F8" w:rsidR="00A62677" w:rsidRDefault="005D536B" w:rsidP="00D9559C">
      <w:pPr>
        <w:spacing w:after="120" w:line="240" w:lineRule="auto"/>
        <w:ind w:right="-360"/>
        <w:jc w:val="both"/>
        <w:rPr>
          <w:b/>
          <w:color w:val="1F497D" w:themeColor="text2"/>
          <w:sz w:val="32"/>
          <w:szCs w:val="32"/>
        </w:rPr>
      </w:pPr>
      <w:r>
        <w:rPr>
          <w:b/>
          <w:color w:val="1F497D" w:themeColor="text2"/>
          <w:sz w:val="32"/>
          <w:szCs w:val="32"/>
        </w:rPr>
        <w:t xml:space="preserve">Annex </w:t>
      </w:r>
      <w:r w:rsidR="00EE6703">
        <w:rPr>
          <w:b/>
          <w:color w:val="1F497D" w:themeColor="text2"/>
          <w:sz w:val="32"/>
          <w:szCs w:val="32"/>
        </w:rPr>
        <w:t>A</w:t>
      </w:r>
      <w:r>
        <w:rPr>
          <w:b/>
          <w:color w:val="1F497D" w:themeColor="text2"/>
          <w:sz w:val="32"/>
          <w:szCs w:val="32"/>
        </w:rPr>
        <w:t xml:space="preserve">. </w:t>
      </w:r>
      <w:r w:rsidR="003A55ED">
        <w:rPr>
          <w:b/>
          <w:color w:val="1F497D" w:themeColor="text2"/>
          <w:sz w:val="32"/>
          <w:szCs w:val="32"/>
        </w:rPr>
        <w:t>Theory of Change</w:t>
      </w:r>
      <w:r w:rsidR="00C367B3">
        <w:rPr>
          <w:b/>
          <w:color w:val="1F497D" w:themeColor="text2"/>
          <w:sz w:val="32"/>
          <w:szCs w:val="32"/>
        </w:rPr>
        <w:fldChar w:fldCharType="begin"/>
      </w:r>
      <w:r w:rsidR="00C367B3">
        <w:instrText xml:space="preserve"> TC "</w:instrText>
      </w:r>
      <w:bookmarkStart w:id="90" w:name="_Toc38899135"/>
      <w:r w:rsidR="00C367B3" w:rsidRPr="00DC6651">
        <w:rPr>
          <w:b/>
          <w:color w:val="1F497D" w:themeColor="text2"/>
          <w:sz w:val="32"/>
          <w:szCs w:val="32"/>
        </w:rPr>
        <w:instrText>Annex A. Theory of Change</w:instrText>
      </w:r>
      <w:bookmarkEnd w:id="90"/>
      <w:r w:rsidR="00C367B3">
        <w:instrText xml:space="preserve">" \f C \l "1" </w:instrText>
      </w:r>
      <w:r w:rsidR="00C367B3">
        <w:rPr>
          <w:b/>
          <w:color w:val="1F497D" w:themeColor="text2"/>
          <w:sz w:val="32"/>
          <w:szCs w:val="32"/>
        </w:rPr>
        <w:fldChar w:fldCharType="end"/>
      </w:r>
    </w:p>
    <w:p w14:paraId="293BC303" w14:textId="77777777" w:rsidR="00A96BE9" w:rsidRPr="00641B47" w:rsidRDefault="00A96BE9" w:rsidP="00D9559C">
      <w:pPr>
        <w:spacing w:after="120" w:line="240" w:lineRule="auto"/>
        <w:ind w:right="-360"/>
        <w:jc w:val="both"/>
        <w:rPr>
          <w:b/>
          <w:color w:val="1F497D" w:themeColor="text2"/>
          <w:sz w:val="20"/>
          <w:szCs w:val="20"/>
        </w:rPr>
      </w:pPr>
    </w:p>
    <w:p w14:paraId="3F48C347" w14:textId="33DE5F11" w:rsidR="008740CD" w:rsidRDefault="00367098" w:rsidP="00D9559C">
      <w:pPr>
        <w:spacing w:after="120" w:line="240" w:lineRule="auto"/>
        <w:ind w:right="-360" w:hanging="567"/>
        <w:jc w:val="both"/>
        <w:sectPr w:rsidR="008740CD" w:rsidSect="00010E0F">
          <w:pgSz w:w="12240" w:h="15840"/>
          <w:pgMar w:top="1440" w:right="1440" w:bottom="1440" w:left="1440"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cols w:space="708"/>
          <w:docGrid w:linePitch="360"/>
        </w:sectPr>
      </w:pPr>
      <w:r w:rsidRPr="00367098">
        <w:rPr>
          <w:noProof/>
          <w:lang w:eastAsia="en-CA"/>
        </w:rPr>
        <w:drawing>
          <wp:inline distT="0" distB="0" distL="0" distR="0" wp14:anchorId="74F1EA10" wp14:editId="1A49347D">
            <wp:extent cx="6644043" cy="746957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648814" cy="7474943"/>
                    </a:xfrm>
                    <a:prstGeom prst="rect">
                      <a:avLst/>
                    </a:prstGeom>
                  </pic:spPr>
                </pic:pic>
              </a:graphicData>
            </a:graphic>
          </wp:inline>
        </w:drawing>
      </w:r>
    </w:p>
    <w:p w14:paraId="13DC3C9A" w14:textId="42F399D5" w:rsidR="00FD44F5" w:rsidRDefault="00FD44F5" w:rsidP="00B9033E">
      <w:pPr>
        <w:spacing w:after="120" w:line="240" w:lineRule="auto"/>
        <w:jc w:val="both"/>
        <w:rPr>
          <w:b/>
          <w:color w:val="1F497D" w:themeColor="text2"/>
          <w:sz w:val="32"/>
          <w:szCs w:val="32"/>
        </w:rPr>
      </w:pPr>
      <w:r>
        <w:rPr>
          <w:b/>
          <w:color w:val="1F497D" w:themeColor="text2"/>
          <w:sz w:val="32"/>
          <w:szCs w:val="32"/>
        </w:rPr>
        <w:t>Annex B. Results Matrix</w:t>
      </w:r>
      <w:r w:rsidR="00177007">
        <w:rPr>
          <w:b/>
          <w:color w:val="1F497D" w:themeColor="text2"/>
          <w:sz w:val="32"/>
          <w:szCs w:val="32"/>
        </w:rPr>
        <w:fldChar w:fldCharType="begin"/>
      </w:r>
      <w:r w:rsidR="00177007">
        <w:instrText xml:space="preserve"> TC "</w:instrText>
      </w:r>
      <w:bookmarkStart w:id="91" w:name="_Toc38899136"/>
      <w:r w:rsidR="00177007" w:rsidRPr="00EE464D">
        <w:rPr>
          <w:b/>
          <w:color w:val="1F497D" w:themeColor="text2"/>
          <w:sz w:val="32"/>
          <w:szCs w:val="32"/>
        </w:rPr>
        <w:instrText>Annex B. Results Matrix</w:instrText>
      </w:r>
      <w:bookmarkEnd w:id="91"/>
      <w:r w:rsidR="00177007">
        <w:instrText xml:space="preserve">" \f C \l "1" </w:instrText>
      </w:r>
      <w:r w:rsidR="00177007">
        <w:rPr>
          <w:b/>
          <w:color w:val="1F497D" w:themeColor="text2"/>
          <w:sz w:val="32"/>
          <w:szCs w:val="32"/>
        </w:rPr>
        <w:fldChar w:fldCharType="end"/>
      </w:r>
    </w:p>
    <w:p w14:paraId="030D92C0" w14:textId="77777777" w:rsidR="00FD44F5" w:rsidRDefault="00FD44F5" w:rsidP="00FD44F5">
      <w:pPr>
        <w:spacing w:after="120" w:line="240" w:lineRule="auto"/>
        <w:jc w:val="both"/>
        <w:rPr>
          <w:b/>
          <w:color w:val="1F497D" w:themeColor="text2"/>
          <w:sz w:val="32"/>
          <w:szCs w:val="32"/>
        </w:rPr>
      </w:pPr>
    </w:p>
    <w:p w14:paraId="3AC38912" w14:textId="48B20BB9" w:rsidR="00FD44F5" w:rsidRPr="00807757" w:rsidRDefault="00FD44F5" w:rsidP="00150CDB">
      <w:pPr>
        <w:pStyle w:val="FootnoteText"/>
        <w:spacing w:after="120"/>
        <w:jc w:val="both"/>
      </w:pPr>
      <w:r w:rsidRPr="00807757">
        <w:t xml:space="preserve">The outcomes of BiH-UN Sustainable Development Cooperation Framework (CF) make a direct, tangible contribution for the achievement of the priorities of </w:t>
      </w:r>
      <w:r w:rsidR="00D73261" w:rsidRPr="00807757">
        <w:t xml:space="preserve">authorities in </w:t>
      </w:r>
      <w:r w:rsidRPr="00807757">
        <w:t xml:space="preserve">BiH, the priorities for EU accession, and related Sustainable Development Goals and targets (SDGs). </w:t>
      </w:r>
    </w:p>
    <w:p w14:paraId="7A6E4FA7" w14:textId="54252F8F" w:rsidR="00FD44F5" w:rsidRPr="00807757" w:rsidRDefault="00FD44F5" w:rsidP="00150CDB">
      <w:pPr>
        <w:pStyle w:val="FootnoteText"/>
        <w:numPr>
          <w:ilvl w:val="0"/>
          <w:numId w:val="15"/>
        </w:numPr>
        <w:spacing w:after="120"/>
        <w:jc w:val="both"/>
      </w:pPr>
      <w:r w:rsidRPr="00807757">
        <w:rPr>
          <w:b/>
        </w:rPr>
        <w:t xml:space="preserve">Outcomes are high level changes </w:t>
      </w:r>
      <w:r w:rsidRPr="00807757">
        <w:t xml:space="preserve">for which there </w:t>
      </w:r>
      <w:r w:rsidR="00171BF0" w:rsidRPr="00807757">
        <w:t>is</w:t>
      </w:r>
      <w:r w:rsidRPr="00807757">
        <w:t xml:space="preserve"> </w:t>
      </w:r>
      <w:r w:rsidRPr="00807757">
        <w:rPr>
          <w:u w:val="single"/>
        </w:rPr>
        <w:t>collective accountability</w:t>
      </w:r>
      <w:r w:rsidRPr="00807757">
        <w:t xml:space="preserve"> of </w:t>
      </w:r>
      <w:r w:rsidR="00D73261" w:rsidRPr="00807757">
        <w:t xml:space="preserve">authorities in </w:t>
      </w:r>
      <w:r w:rsidRPr="00807757">
        <w:t xml:space="preserve">BiH, UN system agencies and implementing partners, including civil society organisations, community groups, the private sector, and international financial institutions. Outcomes are changes in institutional performance or the behaviours of people and their communities.  They describe: (1) How people are acting differently to improve their lives and those of their families and communities or (2) How institutions are performing in new ways to support people in their efforts. </w:t>
      </w:r>
    </w:p>
    <w:p w14:paraId="74F2C1E2" w14:textId="3828F7CF" w:rsidR="00FD44F5" w:rsidRPr="00807757" w:rsidRDefault="00FD44F5" w:rsidP="00150CDB">
      <w:pPr>
        <w:pStyle w:val="FootnoteText"/>
        <w:numPr>
          <w:ilvl w:val="0"/>
          <w:numId w:val="15"/>
        </w:numPr>
        <w:spacing w:after="120"/>
        <w:jc w:val="both"/>
      </w:pPr>
      <w:r w:rsidRPr="00807757">
        <w:rPr>
          <w:b/>
        </w:rPr>
        <w:t>Outputs describe new skills and abilities, products or services</w:t>
      </w:r>
      <w:r w:rsidRPr="00807757">
        <w:t xml:space="preserve">. The outputs, together, make a contribution toward the expected outcome. The planned outputs from cooperation between </w:t>
      </w:r>
      <w:r w:rsidR="008C294E" w:rsidRPr="00807757">
        <w:t xml:space="preserve">the authorities in </w:t>
      </w:r>
      <w:r w:rsidRPr="00807757">
        <w:t xml:space="preserve">BiH and the UN system will be developed as part of detailed </w:t>
      </w:r>
      <w:r w:rsidRPr="00807757">
        <w:rPr>
          <w:b/>
        </w:rPr>
        <w:t>Joint Work Plans (JWP)</w:t>
      </w:r>
      <w:r w:rsidRPr="00807757">
        <w:t xml:space="preserve"> for each outcome.</w:t>
      </w:r>
    </w:p>
    <w:p w14:paraId="200503FF" w14:textId="77777777" w:rsidR="00FD44F5" w:rsidRPr="00807757" w:rsidRDefault="00FD44F5" w:rsidP="00150CDB">
      <w:pPr>
        <w:spacing w:after="120"/>
        <w:ind w:right="-79"/>
        <w:jc w:val="both"/>
        <w:rPr>
          <w:rFonts w:cstheme="minorHAnsi"/>
          <w:sz w:val="20"/>
          <w:szCs w:val="20"/>
        </w:rPr>
      </w:pPr>
      <w:r w:rsidRPr="00807757">
        <w:rPr>
          <w:rFonts w:cstheme="minorHAnsi"/>
          <w:b/>
          <w:sz w:val="20"/>
          <w:szCs w:val="20"/>
        </w:rPr>
        <w:t>Indicators, targets, and linkages:</w:t>
      </w:r>
      <w:r w:rsidRPr="00807757">
        <w:rPr>
          <w:rFonts w:cstheme="minorHAnsi"/>
          <w:sz w:val="20"/>
          <w:szCs w:val="20"/>
        </w:rPr>
        <w:t xml:space="preserve"> </w:t>
      </w:r>
    </w:p>
    <w:p w14:paraId="7B772214" w14:textId="1D273D19" w:rsidR="00FD44F5" w:rsidRPr="00807757" w:rsidRDefault="00FD44F5" w:rsidP="00150CDB">
      <w:pPr>
        <w:spacing w:after="120"/>
        <w:ind w:right="-79"/>
        <w:jc w:val="both"/>
        <w:rPr>
          <w:rFonts w:cstheme="minorHAnsi"/>
          <w:sz w:val="20"/>
          <w:szCs w:val="20"/>
        </w:rPr>
      </w:pPr>
      <w:r w:rsidRPr="00807757">
        <w:rPr>
          <w:rFonts w:cstheme="minorHAnsi"/>
          <w:sz w:val="20"/>
          <w:szCs w:val="20"/>
        </w:rPr>
        <w:t>Indicators for the CF are</w:t>
      </w:r>
      <w:r w:rsidRPr="00807757">
        <w:rPr>
          <w:i/>
          <w:sz w:val="20"/>
          <w:szCs w:val="20"/>
        </w:rPr>
        <w:t xml:space="preserve"> measurable</w:t>
      </w:r>
      <w:r w:rsidRPr="00807757">
        <w:rPr>
          <w:rFonts w:cstheme="minorHAnsi"/>
          <w:sz w:val="20"/>
          <w:szCs w:val="20"/>
        </w:rPr>
        <w:t>, aligned with the indicator framework for the SDGs</w:t>
      </w:r>
      <w:r w:rsidRPr="00807757">
        <w:rPr>
          <w:rStyle w:val="FootnoteReference"/>
          <w:rFonts w:cstheme="minorHAnsi"/>
          <w:b/>
          <w:color w:val="0F243E" w:themeColor="text2" w:themeShade="80"/>
          <w:sz w:val="20"/>
          <w:szCs w:val="20"/>
        </w:rPr>
        <w:footnoteReference w:id="126"/>
      </w:r>
      <w:r w:rsidRPr="00807757">
        <w:rPr>
          <w:rFonts w:cstheme="minorHAnsi"/>
          <w:sz w:val="20"/>
          <w:szCs w:val="20"/>
        </w:rPr>
        <w:t xml:space="preserve">, and with the main target indicators in emerging SDG Framework for BiH. This helps to demonstrate a theory of change between cooperation results and the SDG-related priorities of </w:t>
      </w:r>
      <w:r w:rsidR="00E50D12" w:rsidRPr="00807757">
        <w:rPr>
          <w:rFonts w:cstheme="minorHAnsi"/>
          <w:sz w:val="20"/>
          <w:szCs w:val="20"/>
        </w:rPr>
        <w:t xml:space="preserve">the authorities in </w:t>
      </w:r>
      <w:r w:rsidRPr="00807757">
        <w:rPr>
          <w:rFonts w:cstheme="minorHAnsi"/>
          <w:sz w:val="20"/>
          <w:szCs w:val="20"/>
        </w:rPr>
        <w:t xml:space="preserve">BiH.  Indicators, baselines, and targets will be reviewed and aligned, as needed, with existing and new sector strategies and plans of </w:t>
      </w:r>
      <w:r w:rsidR="00E50D12" w:rsidRPr="00807757">
        <w:rPr>
          <w:rFonts w:cstheme="minorHAnsi"/>
          <w:sz w:val="20"/>
          <w:szCs w:val="20"/>
        </w:rPr>
        <w:t xml:space="preserve">authorities in </w:t>
      </w:r>
      <w:r w:rsidRPr="00807757">
        <w:rPr>
          <w:rFonts w:cstheme="minorHAnsi"/>
          <w:sz w:val="20"/>
          <w:szCs w:val="20"/>
        </w:rPr>
        <w:t xml:space="preserve">BiH. </w:t>
      </w:r>
    </w:p>
    <w:p w14:paraId="24634E4E" w14:textId="54D64FF3" w:rsidR="00FD44F5" w:rsidRPr="00807757" w:rsidRDefault="00FD44F5" w:rsidP="00150CDB">
      <w:pPr>
        <w:spacing w:after="120"/>
        <w:ind w:right="-79"/>
        <w:jc w:val="both"/>
        <w:rPr>
          <w:rFonts w:cstheme="minorHAnsi"/>
          <w:sz w:val="20"/>
          <w:szCs w:val="20"/>
        </w:rPr>
      </w:pPr>
      <w:r w:rsidRPr="00807757">
        <w:rPr>
          <w:rFonts w:cstheme="minorHAnsi"/>
          <w:sz w:val="20"/>
          <w:szCs w:val="20"/>
        </w:rPr>
        <w:t xml:space="preserve">The </w:t>
      </w:r>
      <w:r w:rsidRPr="00807757">
        <w:rPr>
          <w:rFonts w:cstheme="minorHAnsi"/>
          <w:i/>
          <w:sz w:val="20"/>
          <w:szCs w:val="20"/>
        </w:rPr>
        <w:t>linkages</w:t>
      </w:r>
      <w:r w:rsidRPr="00807757">
        <w:rPr>
          <w:rFonts w:cstheme="minorHAnsi"/>
          <w:sz w:val="20"/>
          <w:szCs w:val="20"/>
        </w:rPr>
        <w:t xml:space="preserve"> between CF outcomes and the </w:t>
      </w:r>
      <w:r w:rsidR="00390A59" w:rsidRPr="00807757">
        <w:rPr>
          <w:rFonts w:cstheme="minorHAnsi"/>
          <w:sz w:val="20"/>
          <w:szCs w:val="20"/>
        </w:rPr>
        <w:t>priorities in BiH</w:t>
      </w:r>
      <w:r w:rsidRPr="00807757">
        <w:rPr>
          <w:rFonts w:cstheme="minorHAnsi"/>
          <w:sz w:val="20"/>
          <w:szCs w:val="20"/>
        </w:rPr>
        <w:t xml:space="preserve"> are shown at the top of the results matrix for each outcome.</w:t>
      </w:r>
    </w:p>
    <w:p w14:paraId="10BFD5B0" w14:textId="055FBB7B" w:rsidR="00FD44F5" w:rsidRPr="00807757" w:rsidRDefault="00FD44F5" w:rsidP="00150CDB">
      <w:pPr>
        <w:spacing w:after="120"/>
        <w:ind w:right="-81"/>
        <w:jc w:val="both"/>
        <w:rPr>
          <w:rFonts w:cstheme="minorHAnsi"/>
          <w:b/>
          <w:sz w:val="20"/>
          <w:szCs w:val="20"/>
        </w:rPr>
      </w:pPr>
      <w:r w:rsidRPr="00807757">
        <w:rPr>
          <w:sz w:val="20"/>
          <w:szCs w:val="20"/>
          <w:lang w:val="en-GB"/>
        </w:rPr>
        <w:t xml:space="preserve">Targets for CF outcomes are </w:t>
      </w:r>
      <w:r w:rsidRPr="00807757">
        <w:rPr>
          <w:rFonts w:cstheme="minorHAnsi"/>
          <w:i/>
          <w:sz w:val="20"/>
          <w:szCs w:val="20"/>
        </w:rPr>
        <w:t>preliminary</w:t>
      </w:r>
      <w:r w:rsidRPr="00807757">
        <w:rPr>
          <w:rFonts w:cstheme="minorHAnsi"/>
          <w:sz w:val="20"/>
          <w:szCs w:val="20"/>
        </w:rPr>
        <w:t xml:space="preserve"> and </w:t>
      </w:r>
      <w:r w:rsidRPr="00807757">
        <w:rPr>
          <w:rFonts w:cstheme="minorHAnsi"/>
          <w:i/>
          <w:sz w:val="20"/>
          <w:szCs w:val="20"/>
        </w:rPr>
        <w:t xml:space="preserve">provisional </w:t>
      </w:r>
      <w:r w:rsidRPr="00807757">
        <w:rPr>
          <w:rFonts w:cstheme="minorHAnsi"/>
          <w:sz w:val="20"/>
          <w:szCs w:val="20"/>
        </w:rPr>
        <w:t xml:space="preserve">pending further alignment with policies and plans of </w:t>
      </w:r>
      <w:r w:rsidR="00E50D12" w:rsidRPr="00807757">
        <w:rPr>
          <w:rFonts w:cstheme="minorHAnsi"/>
          <w:sz w:val="20"/>
          <w:szCs w:val="20"/>
        </w:rPr>
        <w:t xml:space="preserve">authorities in </w:t>
      </w:r>
      <w:r w:rsidRPr="00807757">
        <w:rPr>
          <w:rFonts w:cstheme="minorHAnsi"/>
          <w:sz w:val="20"/>
          <w:szCs w:val="20"/>
        </w:rPr>
        <w:t>BiH.</w:t>
      </w:r>
    </w:p>
    <w:p w14:paraId="11B752D6" w14:textId="5F2D4046" w:rsidR="00367098" w:rsidRPr="00807757" w:rsidRDefault="00FD44F5" w:rsidP="00367098">
      <w:pPr>
        <w:spacing w:after="120" w:line="240" w:lineRule="auto"/>
        <w:contextualSpacing/>
        <w:jc w:val="both"/>
        <w:rPr>
          <w:rFonts w:cstheme="minorHAnsi"/>
          <w:sz w:val="20"/>
          <w:szCs w:val="20"/>
        </w:rPr>
      </w:pPr>
      <w:r w:rsidRPr="00807757">
        <w:rPr>
          <w:rFonts w:cstheme="minorHAnsi"/>
          <w:b/>
          <w:sz w:val="20"/>
          <w:szCs w:val="20"/>
        </w:rPr>
        <w:t>Vulnerable groups</w:t>
      </w:r>
      <w:r w:rsidRPr="00807757">
        <w:rPr>
          <w:rFonts w:cstheme="minorHAnsi"/>
          <w:sz w:val="20"/>
          <w:szCs w:val="20"/>
        </w:rPr>
        <w:t xml:space="preserve">: Unless otherwise specified, vulnerable groups comprise: Households below the BiH poverty line (17% 2015), and those headed by women and younger people, victims of domestic violence and war-time victims of rape, disadvantaged children and young people, people with disabilities, unemployed persons, the Roma, LGBTI, migrants, internally displaced persons (IDPs), minority returnees, refugees and asylum </w:t>
      </w:r>
      <w:r w:rsidRPr="007D7A4C">
        <w:rPr>
          <w:rFonts w:cstheme="minorHAnsi"/>
          <w:sz w:val="20"/>
          <w:szCs w:val="20"/>
        </w:rPr>
        <w:t xml:space="preserve">seekers, </w:t>
      </w:r>
      <w:r w:rsidR="007D7A4C" w:rsidRPr="007D7A4C">
        <w:rPr>
          <w:rFonts w:cstheme="minorHAnsi"/>
          <w:sz w:val="20"/>
          <w:szCs w:val="20"/>
        </w:rPr>
        <w:t>persons under subsidiary protection</w:t>
      </w:r>
      <w:r w:rsidR="007D7A4C">
        <w:rPr>
          <w:rFonts w:cstheme="minorHAnsi"/>
          <w:sz w:val="20"/>
          <w:szCs w:val="20"/>
        </w:rPr>
        <w:t>,</w:t>
      </w:r>
      <w:r w:rsidR="007D7A4C" w:rsidRPr="00807757">
        <w:rPr>
          <w:rFonts w:cstheme="minorHAnsi"/>
          <w:sz w:val="20"/>
          <w:szCs w:val="20"/>
        </w:rPr>
        <w:t xml:space="preserve"> </w:t>
      </w:r>
      <w:r w:rsidRPr="00807757">
        <w:rPr>
          <w:rFonts w:cstheme="minorHAnsi"/>
          <w:sz w:val="20"/>
          <w:szCs w:val="20"/>
        </w:rPr>
        <w:t xml:space="preserve">persons at risk of statelessness, victims of human trafficking, and groups of people at risk from climate change and natural disasters. </w:t>
      </w:r>
      <w:r w:rsidR="00367098" w:rsidRPr="00807757">
        <w:rPr>
          <w:rFonts w:cstheme="minorHAnsi"/>
          <w:sz w:val="20"/>
          <w:szCs w:val="20"/>
        </w:rPr>
        <w:t>There are o</w:t>
      </w:r>
      <w:r w:rsidRPr="00807757">
        <w:rPr>
          <w:rFonts w:cstheme="minorHAnsi"/>
          <w:sz w:val="20"/>
          <w:szCs w:val="20"/>
        </w:rPr>
        <w:t>ther vulnerable groups in BiH that are not the primary focus of UN system cooperation: Elderly isolated persons, alcohol and drug addicts, prisoners and former prisoners, persons living with</w:t>
      </w:r>
    </w:p>
    <w:p w14:paraId="102E2189" w14:textId="5835D193" w:rsidR="00CF2446" w:rsidRDefault="00FD44F5" w:rsidP="00367098">
      <w:pPr>
        <w:spacing w:after="120" w:line="240" w:lineRule="auto"/>
        <w:sectPr w:rsidR="00CF2446" w:rsidSect="008740CD">
          <w:pgSz w:w="15840" w:h="12240" w:orient="landscape"/>
          <w:pgMar w:top="1440" w:right="1440" w:bottom="1440" w:left="1440"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cols w:space="708"/>
          <w:docGrid w:linePitch="360"/>
        </w:sectPr>
      </w:pPr>
      <w:r w:rsidRPr="00807757">
        <w:rPr>
          <w:rFonts w:cstheme="minorHAnsi"/>
          <w:sz w:val="20"/>
          <w:szCs w:val="20"/>
        </w:rPr>
        <w:t xml:space="preserve"> HIV and AIDS</w:t>
      </w:r>
      <w:r w:rsidR="00367098" w:rsidRPr="00807757">
        <w:rPr>
          <w:rFonts w:cstheme="minorHAnsi"/>
          <w:sz w:val="20"/>
          <w:szCs w:val="20"/>
        </w:rPr>
        <w:t>.</w:t>
      </w:r>
    </w:p>
    <w:tbl>
      <w:tblPr>
        <w:tblStyle w:val="TableGrid"/>
        <w:tblW w:w="14044" w:type="dxa"/>
        <w:tblInd w:w="-459" w:type="dxa"/>
        <w:tblBorders>
          <w:left w:val="none" w:sz="0" w:space="0" w:color="auto"/>
          <w:right w:val="none" w:sz="0" w:space="0" w:color="auto"/>
        </w:tblBorders>
        <w:tblLook w:val="04A0" w:firstRow="1" w:lastRow="0" w:firstColumn="1" w:lastColumn="0" w:noHBand="0" w:noVBand="1"/>
      </w:tblPr>
      <w:tblGrid>
        <w:gridCol w:w="3056"/>
        <w:gridCol w:w="600"/>
        <w:gridCol w:w="1692"/>
        <w:gridCol w:w="171"/>
        <w:gridCol w:w="2146"/>
        <w:gridCol w:w="2321"/>
        <w:gridCol w:w="733"/>
        <w:gridCol w:w="3325"/>
      </w:tblGrid>
      <w:tr w:rsidR="00AB628C" w:rsidRPr="00D73AAF" w14:paraId="3EF356D8" w14:textId="77777777" w:rsidTr="009674CE">
        <w:trPr>
          <w:trHeight w:val="450"/>
          <w:tblHeader/>
        </w:trPr>
        <w:tc>
          <w:tcPr>
            <w:tcW w:w="14044" w:type="dxa"/>
            <w:gridSpan w:val="8"/>
            <w:tcBorders>
              <w:top w:val="nil"/>
              <w:left w:val="single" w:sz="4" w:space="0" w:color="auto"/>
              <w:bottom w:val="single" w:sz="4" w:space="0" w:color="548DD4" w:themeColor="text2" w:themeTint="99"/>
              <w:right w:val="single" w:sz="4" w:space="0" w:color="auto"/>
            </w:tcBorders>
            <w:shd w:val="clear" w:color="auto" w:fill="244061" w:themeFill="accent1" w:themeFillShade="80"/>
            <w:vAlign w:val="center"/>
          </w:tcPr>
          <w:p w14:paraId="592D6E75" w14:textId="77777777" w:rsidR="00AB628C" w:rsidRPr="00D73AAF" w:rsidRDefault="00AB628C" w:rsidP="00010E0F">
            <w:pPr>
              <w:jc w:val="center"/>
              <w:rPr>
                <w:rFonts w:cstheme="minorHAnsi"/>
                <w:b/>
                <w:bCs/>
                <w:color w:val="FFFFFF" w:themeColor="background1"/>
                <w:sz w:val="24"/>
                <w:szCs w:val="24"/>
              </w:rPr>
            </w:pPr>
            <w:r w:rsidRPr="00D73AAF">
              <w:rPr>
                <w:rFonts w:cstheme="minorHAnsi"/>
                <w:b/>
                <w:bCs/>
                <w:color w:val="FFFFFF" w:themeColor="background1"/>
                <w:sz w:val="24"/>
                <w:szCs w:val="24"/>
              </w:rPr>
              <w:t>BiH &amp; UN Results Matrix [2021-2025]</w:t>
            </w:r>
          </w:p>
        </w:tc>
      </w:tr>
      <w:tr w:rsidR="00AB628C" w:rsidRPr="00AE0359" w14:paraId="6F459C27" w14:textId="77777777" w:rsidTr="009674CE">
        <w:trPr>
          <w:trHeight w:val="450"/>
          <w:tblHeader/>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244061" w:themeFill="accent1" w:themeFillShade="80"/>
            <w:vAlign w:val="center"/>
          </w:tcPr>
          <w:p w14:paraId="18577C3B" w14:textId="77777777" w:rsidR="00AB628C" w:rsidRPr="00D73AAF" w:rsidRDefault="00AB628C" w:rsidP="00010E0F">
            <w:pPr>
              <w:jc w:val="center"/>
              <w:rPr>
                <w:rFonts w:cstheme="minorHAnsi"/>
                <w:b/>
                <w:bCs/>
                <w:color w:val="FFFFFF" w:themeColor="background1"/>
                <w:sz w:val="24"/>
                <w:szCs w:val="24"/>
              </w:rPr>
            </w:pPr>
            <w:r w:rsidRPr="00D73AAF">
              <w:rPr>
                <w:rFonts w:cstheme="minorHAnsi"/>
                <w:b/>
                <w:bCs/>
                <w:color w:val="FFFFFF" w:themeColor="background1"/>
                <w:sz w:val="24"/>
                <w:szCs w:val="24"/>
              </w:rPr>
              <w:br w:type="page"/>
              <w:t xml:space="preserve">CF </w:t>
            </w:r>
            <w:r>
              <w:rPr>
                <w:rFonts w:cstheme="minorHAnsi"/>
                <w:b/>
                <w:bCs/>
                <w:color w:val="FFFFFF" w:themeColor="background1"/>
                <w:sz w:val="24"/>
                <w:szCs w:val="24"/>
              </w:rPr>
              <w:t>p</w:t>
            </w:r>
            <w:r w:rsidRPr="00D73AAF">
              <w:rPr>
                <w:rFonts w:cstheme="minorHAnsi"/>
                <w:b/>
                <w:bCs/>
                <w:color w:val="FFFFFF" w:themeColor="background1"/>
                <w:sz w:val="24"/>
                <w:szCs w:val="24"/>
              </w:rPr>
              <w:t xml:space="preserve">riority: </w:t>
            </w:r>
            <w:r w:rsidRPr="002E790F">
              <w:rPr>
                <w:rFonts w:cstheme="minorHAnsi"/>
                <w:b/>
                <w:bCs/>
                <w:color w:val="FFFFFF" w:themeColor="background1"/>
                <w:sz w:val="24"/>
                <w:szCs w:val="24"/>
              </w:rPr>
              <w:t>Sustainable, resilient and inclusive growth</w:t>
            </w:r>
          </w:p>
        </w:tc>
      </w:tr>
      <w:tr w:rsidR="00AB628C" w:rsidRPr="00BA6A02" w14:paraId="15582459"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95B3D7" w:themeFill="accent1" w:themeFillTint="99"/>
          </w:tcPr>
          <w:p w14:paraId="5C847143" w14:textId="77777777" w:rsidR="00AB628C" w:rsidRPr="00E05038" w:rsidRDefault="00AB628C" w:rsidP="00010E0F">
            <w:pPr>
              <w:spacing w:before="60" w:after="60"/>
              <w:rPr>
                <w:rFonts w:cstheme="minorHAnsi"/>
                <w:color w:val="0F243E" w:themeColor="text2" w:themeShade="80"/>
                <w:sz w:val="20"/>
                <w:szCs w:val="20"/>
              </w:rPr>
            </w:pPr>
            <w:r w:rsidRPr="00BA6A02">
              <w:rPr>
                <w:rFonts w:cstheme="minorHAnsi"/>
                <w:b/>
                <w:color w:val="0F243E" w:themeColor="text2" w:themeShade="80"/>
                <w:sz w:val="20"/>
                <w:szCs w:val="20"/>
              </w:rPr>
              <w:t>SDGs and targets</w:t>
            </w:r>
            <w:r w:rsidRPr="00BA6A02">
              <w:rPr>
                <w:rStyle w:val="FootnoteReference"/>
                <w:rFonts w:cstheme="minorHAnsi"/>
                <w:b/>
                <w:color w:val="0F243E" w:themeColor="text2" w:themeShade="80"/>
                <w:sz w:val="20"/>
                <w:szCs w:val="20"/>
              </w:rPr>
              <w:footnoteReference w:id="127"/>
            </w:r>
            <w:r w:rsidRPr="00BA6A02">
              <w:rPr>
                <w:rFonts w:cstheme="minorHAnsi"/>
                <w:b/>
                <w:color w:val="0F243E" w:themeColor="text2" w:themeShade="80"/>
                <w:sz w:val="20"/>
                <w:szCs w:val="20"/>
              </w:rPr>
              <w:t xml:space="preserve">: </w:t>
            </w:r>
            <w:r w:rsidRPr="00BA6A02">
              <w:rPr>
                <w:rFonts w:cstheme="minorHAnsi"/>
                <w:color w:val="0F243E" w:themeColor="text2" w:themeShade="80"/>
                <w:sz w:val="20"/>
                <w:szCs w:val="20"/>
              </w:rPr>
              <w:t>1. No poverty</w:t>
            </w:r>
            <w:r>
              <w:rPr>
                <w:rFonts w:cstheme="minorHAnsi"/>
                <w:color w:val="0F243E" w:themeColor="text2" w:themeShade="80"/>
                <w:sz w:val="20"/>
                <w:szCs w:val="20"/>
              </w:rPr>
              <w:t>: 1.</w:t>
            </w:r>
            <w:r w:rsidRPr="00AE07CC">
              <w:rPr>
                <w:rFonts w:cstheme="minorHAnsi"/>
                <w:color w:val="0F243E" w:themeColor="text2" w:themeShade="80"/>
                <w:sz w:val="20"/>
                <w:szCs w:val="20"/>
              </w:rPr>
              <w:t>2, 1.4; 2. Food security: 2.3; 5. Gender equality: 5.c; 6: Clean water &amp; sanitation: 6.1, 6.2, 6.3, 6.4; 7. Affordable clean energy: 7.2.1; 8. Decent work &amp; economic growth: 8.5.2; 9. Industry and innovation: 9.4.1; 10. Reduce inequality: Gini index of income inequality</w:t>
            </w:r>
            <w:r>
              <w:rPr>
                <w:rFonts w:cstheme="minorHAnsi"/>
                <w:color w:val="0F243E" w:themeColor="text2" w:themeShade="80"/>
                <w:sz w:val="20"/>
                <w:szCs w:val="20"/>
              </w:rPr>
              <w:t xml:space="preserve"> (</w:t>
            </w:r>
            <w:r w:rsidRPr="0076456A">
              <w:rPr>
                <w:rFonts w:cstheme="minorHAnsi"/>
                <w:i/>
                <w:color w:val="0F243E" w:themeColor="text2" w:themeShade="80"/>
                <w:sz w:val="20"/>
                <w:szCs w:val="20"/>
              </w:rPr>
              <w:t>proxy: 10.1.1, 10.2.1</w:t>
            </w:r>
            <w:r>
              <w:rPr>
                <w:rFonts w:cstheme="minorHAnsi"/>
                <w:color w:val="0F243E" w:themeColor="text2" w:themeShade="80"/>
                <w:sz w:val="20"/>
                <w:szCs w:val="20"/>
              </w:rPr>
              <w:t xml:space="preserve">); 11. </w:t>
            </w:r>
            <w:r w:rsidRPr="005A4666">
              <w:rPr>
                <w:rFonts w:cstheme="minorHAnsi"/>
                <w:color w:val="0F243E" w:themeColor="text2" w:themeShade="80"/>
                <w:sz w:val="20"/>
                <w:szCs w:val="20"/>
              </w:rPr>
              <w:t xml:space="preserve">Sustainable </w:t>
            </w:r>
            <w:r w:rsidRPr="00E05038">
              <w:rPr>
                <w:rFonts w:cstheme="minorHAnsi"/>
                <w:color w:val="0F243E" w:themeColor="text2" w:themeShade="80"/>
                <w:sz w:val="20"/>
                <w:szCs w:val="20"/>
              </w:rPr>
              <w:t>cities, communities: 11.3.2, 11.6.1, 11.6.2, 11.b.1; Responsible consumption and production: 12.5.1; climate change: 13; 15. Life on land: 15.1.2, 15.4.1, 15.b.1</w:t>
            </w:r>
          </w:p>
          <w:p w14:paraId="5FFA0329" w14:textId="77777777" w:rsidR="00AB628C" w:rsidRPr="00BA6A02" w:rsidRDefault="00AB628C" w:rsidP="00010E0F">
            <w:pPr>
              <w:spacing w:before="60" w:after="60"/>
              <w:rPr>
                <w:rFonts w:cstheme="minorHAnsi"/>
                <w:b/>
                <w:color w:val="0F243E" w:themeColor="text2" w:themeShade="80"/>
                <w:sz w:val="20"/>
                <w:szCs w:val="20"/>
                <w:highlight w:val="yellow"/>
              </w:rPr>
            </w:pPr>
            <w:r w:rsidRPr="00E05038">
              <w:rPr>
                <w:rFonts w:cstheme="minorHAnsi"/>
                <w:b/>
                <w:color w:val="0F243E" w:themeColor="text2" w:themeShade="80"/>
                <w:sz w:val="20"/>
                <w:szCs w:val="20"/>
              </w:rPr>
              <w:t>Sentinel impact indicators</w:t>
            </w:r>
            <w:r w:rsidRPr="00E05038">
              <w:rPr>
                <w:rFonts w:cstheme="minorHAnsi"/>
                <w:color w:val="0F243E" w:themeColor="text2" w:themeShade="80"/>
                <w:sz w:val="20"/>
                <w:szCs w:val="20"/>
              </w:rPr>
              <w:t>: 1. Net migration rate</w:t>
            </w:r>
            <w:r w:rsidRPr="00E05038">
              <w:rPr>
                <w:rFonts w:cstheme="minorHAnsi"/>
                <w:color w:val="0F243E" w:themeColor="text2" w:themeShade="80"/>
                <w:sz w:val="20"/>
                <w:szCs w:val="20"/>
                <w:vertAlign w:val="superscript"/>
              </w:rPr>
              <w:footnoteReference w:id="128"/>
            </w:r>
            <w:r w:rsidRPr="00E05038">
              <w:rPr>
                <w:rFonts w:cstheme="minorHAnsi"/>
                <w:color w:val="0F243E" w:themeColor="text2" w:themeShade="80"/>
                <w:sz w:val="20"/>
                <w:szCs w:val="20"/>
              </w:rPr>
              <w:t>; 2. Unemployment and employment rates by sex (SDG 8.5.2)</w:t>
            </w:r>
            <w:r w:rsidRPr="00E05038">
              <w:rPr>
                <w:rFonts w:cstheme="minorHAnsi"/>
                <w:color w:val="0F243E" w:themeColor="text2" w:themeShade="80"/>
                <w:sz w:val="20"/>
                <w:szCs w:val="20"/>
                <w:vertAlign w:val="superscript"/>
              </w:rPr>
              <w:footnoteReference w:id="129"/>
            </w:r>
            <w:r w:rsidRPr="00E05038">
              <w:rPr>
                <w:rFonts w:cstheme="minorHAnsi"/>
                <w:color w:val="0F243E" w:themeColor="text2" w:themeShade="80"/>
                <w:sz w:val="20"/>
                <w:szCs w:val="20"/>
              </w:rPr>
              <w:t>; 3. Shortfall in women’s estimated GNI (SDG 5.a, 10.2, proxy); 4. Energy intensity, in terms of primary energy and GDP (SDG 7.3.1)</w:t>
            </w:r>
          </w:p>
        </w:tc>
      </w:tr>
      <w:tr w:rsidR="00AB628C" w:rsidRPr="00BA6A02" w14:paraId="4EF59FD0"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717725BF" w14:textId="77777777" w:rsidR="00AB628C" w:rsidRPr="00BA6A02" w:rsidRDefault="00AB628C" w:rsidP="00010E0F">
            <w:pPr>
              <w:spacing w:before="60" w:after="60"/>
              <w:rPr>
                <w:rFonts w:cstheme="minorHAnsi"/>
                <w:color w:val="0F243E" w:themeColor="text2" w:themeShade="80"/>
                <w:sz w:val="20"/>
                <w:szCs w:val="20"/>
                <w:highlight w:val="yellow"/>
                <w:lang w:val="en"/>
              </w:rPr>
            </w:pPr>
            <w:r w:rsidRPr="00BA6A02">
              <w:rPr>
                <w:rFonts w:cstheme="minorHAnsi"/>
                <w:i/>
                <w:color w:val="0F243E" w:themeColor="text2" w:themeShade="80"/>
                <w:sz w:val="20"/>
                <w:szCs w:val="20"/>
                <w:lang w:val="en"/>
              </w:rPr>
              <w:t>SDG Framework in BiH</w:t>
            </w:r>
            <w:r>
              <w:rPr>
                <w:rFonts w:cstheme="minorHAnsi"/>
                <w:i/>
                <w:color w:val="0F243E" w:themeColor="text2" w:themeShade="80"/>
                <w:sz w:val="20"/>
                <w:szCs w:val="20"/>
                <w:lang w:val="en"/>
              </w:rPr>
              <w:t xml:space="preserve"> (draft)</w:t>
            </w:r>
            <w:r w:rsidRPr="00BA6A02">
              <w:rPr>
                <w:rFonts w:cstheme="minorHAnsi"/>
                <w:i/>
                <w:color w:val="0F243E" w:themeColor="text2" w:themeShade="80"/>
                <w:sz w:val="20"/>
                <w:szCs w:val="20"/>
                <w:lang w:val="en"/>
              </w:rPr>
              <w:t xml:space="preserve">: </w:t>
            </w:r>
            <w:r w:rsidRPr="00BA6A02">
              <w:rPr>
                <w:rFonts w:cstheme="minorHAnsi"/>
                <w:color w:val="0F243E" w:themeColor="text2" w:themeShade="80"/>
                <w:sz w:val="20"/>
                <w:szCs w:val="20"/>
                <w:lang w:val="en"/>
              </w:rPr>
              <w:t xml:space="preserve">1. Good governance: ii. Rule of </w:t>
            </w:r>
            <w:r>
              <w:rPr>
                <w:rFonts w:cstheme="minorHAnsi"/>
                <w:color w:val="0F243E" w:themeColor="text2" w:themeShade="80"/>
                <w:sz w:val="20"/>
                <w:szCs w:val="20"/>
                <w:lang w:val="en"/>
              </w:rPr>
              <w:t>l</w:t>
            </w:r>
            <w:r w:rsidRPr="00BA6A02">
              <w:rPr>
                <w:rFonts w:cstheme="minorHAnsi"/>
                <w:color w:val="0F243E" w:themeColor="text2" w:themeShade="80"/>
                <w:sz w:val="20"/>
                <w:szCs w:val="20"/>
                <w:lang w:val="en"/>
              </w:rPr>
              <w:t>aw</w:t>
            </w:r>
            <w:r>
              <w:rPr>
                <w:rFonts w:cstheme="minorHAnsi"/>
                <w:color w:val="0F243E" w:themeColor="text2" w:themeShade="80"/>
                <w:sz w:val="20"/>
                <w:szCs w:val="20"/>
                <w:lang w:val="en"/>
              </w:rPr>
              <w:t xml:space="preserve"> </w:t>
            </w:r>
            <w:r w:rsidRPr="001F2ED1">
              <w:rPr>
                <w:rFonts w:cstheme="minorHAnsi"/>
                <w:color w:val="0F243E" w:themeColor="text2" w:themeShade="80"/>
                <w:sz w:val="20"/>
                <w:szCs w:val="20"/>
                <w:lang w:val="en"/>
              </w:rPr>
              <w:t>and</w:t>
            </w:r>
            <w:r>
              <w:rPr>
                <w:rFonts w:cstheme="minorHAnsi"/>
                <w:color w:val="0F243E" w:themeColor="text2" w:themeShade="80"/>
                <w:sz w:val="20"/>
                <w:szCs w:val="20"/>
                <w:lang w:val="en"/>
              </w:rPr>
              <w:t xml:space="preserve"> fundamental rights</w:t>
            </w:r>
            <w:r w:rsidRPr="00BA6A02">
              <w:rPr>
                <w:rFonts w:cstheme="minorHAnsi"/>
                <w:color w:val="0F243E" w:themeColor="text2" w:themeShade="80"/>
                <w:sz w:val="20"/>
                <w:szCs w:val="20"/>
                <w:lang w:val="en"/>
              </w:rPr>
              <w:t xml:space="preserve">; 2. Smart growth: i. Entrepreneurship and innovation, ii. Green growth, iii. Smart natural resource management, iv. Environmental protection; </w:t>
            </w:r>
            <w:r>
              <w:rPr>
                <w:rFonts w:cstheme="minorHAnsi"/>
                <w:color w:val="0F243E" w:themeColor="text2" w:themeShade="80"/>
                <w:sz w:val="20"/>
                <w:szCs w:val="20"/>
                <w:lang w:val="en"/>
              </w:rPr>
              <w:t xml:space="preserve">Cross-cutting: </w:t>
            </w:r>
            <w:r w:rsidRPr="00BA6A02">
              <w:rPr>
                <w:rFonts w:cstheme="minorHAnsi"/>
                <w:color w:val="0F243E" w:themeColor="text2" w:themeShade="80"/>
                <w:sz w:val="20"/>
                <w:szCs w:val="20"/>
                <w:lang w:val="en"/>
              </w:rPr>
              <w:t>Human capital for 21</w:t>
            </w:r>
            <w:r w:rsidRPr="00BA6A02">
              <w:rPr>
                <w:rFonts w:cstheme="minorHAnsi"/>
                <w:color w:val="0F243E" w:themeColor="text2" w:themeShade="80"/>
                <w:sz w:val="20"/>
                <w:szCs w:val="20"/>
                <w:vertAlign w:val="superscript"/>
                <w:lang w:val="en"/>
              </w:rPr>
              <w:t>st</w:t>
            </w:r>
            <w:r w:rsidRPr="00BA6A02">
              <w:rPr>
                <w:rFonts w:cstheme="minorHAnsi"/>
                <w:color w:val="0F243E" w:themeColor="text2" w:themeShade="80"/>
                <w:sz w:val="20"/>
                <w:szCs w:val="20"/>
                <w:lang w:val="en"/>
              </w:rPr>
              <w:t xml:space="preserve"> </w:t>
            </w:r>
            <w:r>
              <w:rPr>
                <w:rFonts w:cstheme="minorHAnsi"/>
                <w:color w:val="0F243E" w:themeColor="text2" w:themeShade="80"/>
                <w:sz w:val="20"/>
                <w:szCs w:val="20"/>
                <w:lang w:val="en"/>
              </w:rPr>
              <w:t xml:space="preserve">and Leave no one behind </w:t>
            </w:r>
            <w:r w:rsidRPr="00BA6A02">
              <w:rPr>
                <w:rFonts w:cstheme="minorHAnsi"/>
                <w:color w:val="0F243E" w:themeColor="text2" w:themeShade="80"/>
                <w:sz w:val="20"/>
                <w:szCs w:val="20"/>
                <w:highlight w:val="yellow"/>
                <w:lang w:val="en"/>
              </w:rPr>
              <w:t> </w:t>
            </w:r>
          </w:p>
          <w:p w14:paraId="02F0122B" w14:textId="77777777" w:rsidR="00AB628C" w:rsidRPr="00BA6A02" w:rsidRDefault="00AB628C" w:rsidP="00010E0F">
            <w:pPr>
              <w:spacing w:before="60" w:after="60"/>
              <w:rPr>
                <w:rFonts w:cstheme="minorHAnsi"/>
                <w:sz w:val="20"/>
                <w:szCs w:val="20"/>
                <w:highlight w:val="yellow"/>
              </w:rPr>
            </w:pPr>
            <w:r w:rsidRPr="00BA6A02">
              <w:rPr>
                <w:rFonts w:cstheme="minorHAnsi"/>
                <w:i/>
                <w:color w:val="0F243E" w:themeColor="text2" w:themeShade="80"/>
                <w:sz w:val="20"/>
                <w:szCs w:val="20"/>
              </w:rPr>
              <w:t>EU accession</w:t>
            </w:r>
            <w:r w:rsidRPr="00BA6A02">
              <w:rPr>
                <w:rStyle w:val="FootnoteReference"/>
                <w:rFonts w:cstheme="minorHAnsi"/>
                <w:i/>
                <w:color w:val="0F243E" w:themeColor="text2" w:themeShade="80"/>
                <w:sz w:val="20"/>
                <w:szCs w:val="20"/>
              </w:rPr>
              <w:footnoteReference w:id="130"/>
            </w:r>
            <w:r w:rsidRPr="00BA6A02">
              <w:rPr>
                <w:rFonts w:cstheme="minorHAnsi"/>
                <w:color w:val="0F243E" w:themeColor="text2" w:themeShade="80"/>
                <w:sz w:val="20"/>
                <w:szCs w:val="20"/>
              </w:rPr>
              <w:t xml:space="preserve">: (1) IPA-3 Public Administration Reform, Cross-border, Regional cooperation (connectivity, energy and climate change); (2) </w:t>
            </w:r>
          </w:p>
        </w:tc>
      </w:tr>
      <w:tr w:rsidR="00AB628C" w:rsidRPr="00BA6A02" w14:paraId="026D285C"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4000BE24" w14:textId="77777777" w:rsidR="00AB628C" w:rsidRPr="00BA6A02" w:rsidRDefault="00AB628C" w:rsidP="00010E0F">
            <w:pPr>
              <w:spacing w:before="40" w:after="40"/>
              <w:rPr>
                <w:rFonts w:cstheme="minorHAnsi"/>
                <w:b/>
                <w:sz w:val="20"/>
                <w:szCs w:val="20"/>
              </w:rPr>
            </w:pPr>
            <w:r w:rsidRPr="00B322B2">
              <w:rPr>
                <w:rFonts w:cstheme="minorHAnsi"/>
                <w:i/>
                <w:sz w:val="20"/>
                <w:szCs w:val="20"/>
              </w:rPr>
              <w:t>Joint Socio-Economic Reforms, 2019-2022</w:t>
            </w:r>
            <w:r w:rsidRPr="00BA6A02">
              <w:rPr>
                <w:rFonts w:cstheme="minorHAnsi"/>
                <w:sz w:val="20"/>
                <w:szCs w:val="20"/>
                <w:vertAlign w:val="superscript"/>
              </w:rPr>
              <w:footnoteReference w:id="131"/>
            </w:r>
            <w:r w:rsidRPr="00BA6A02">
              <w:rPr>
                <w:rFonts w:cstheme="minorHAnsi"/>
                <w:sz w:val="20"/>
                <w:szCs w:val="20"/>
              </w:rPr>
              <w:t xml:space="preserve">: </w:t>
            </w:r>
          </w:p>
          <w:p w14:paraId="778B31CF" w14:textId="77777777" w:rsidR="00AB628C" w:rsidRDefault="00AB628C" w:rsidP="00010E0F">
            <w:pPr>
              <w:spacing w:before="40" w:after="40"/>
              <w:rPr>
                <w:rFonts w:cstheme="minorHAnsi"/>
                <w:sz w:val="20"/>
                <w:szCs w:val="20"/>
              </w:rPr>
            </w:pPr>
            <w:r w:rsidRPr="00BA6A02">
              <w:rPr>
                <w:rFonts w:cstheme="minorHAnsi"/>
                <w:sz w:val="20"/>
                <w:szCs w:val="20"/>
              </w:rPr>
              <w:t>I. Sustainable and Accelerated Economic Growth, Increased Competitiveness of the Economy and Improved Business Environment</w:t>
            </w:r>
          </w:p>
          <w:p w14:paraId="3202BE06" w14:textId="77777777" w:rsidR="00AB628C" w:rsidRPr="00BA6A02" w:rsidRDefault="00AB628C" w:rsidP="00010E0F">
            <w:pPr>
              <w:spacing w:before="40" w:after="40"/>
              <w:rPr>
                <w:rFonts w:cstheme="minorHAnsi"/>
                <w:sz w:val="20"/>
                <w:szCs w:val="20"/>
              </w:rPr>
            </w:pPr>
            <w:r w:rsidRPr="00BA6A02">
              <w:rPr>
                <w:rFonts w:cstheme="minorHAnsi"/>
                <w:sz w:val="20"/>
                <w:szCs w:val="20"/>
              </w:rPr>
              <w:t>IV. Policies that Provide Opportunities to Youth, Women and other Vulnerable Groups</w:t>
            </w:r>
          </w:p>
          <w:p w14:paraId="2E40AE58" w14:textId="77777777" w:rsidR="00AB628C" w:rsidRPr="00BA6A02" w:rsidRDefault="00AB628C" w:rsidP="00010E0F">
            <w:pPr>
              <w:spacing w:before="40" w:after="40"/>
              <w:rPr>
                <w:rFonts w:cstheme="minorHAnsi"/>
                <w:color w:val="FFFFFF" w:themeColor="background1"/>
                <w:sz w:val="20"/>
                <w:szCs w:val="20"/>
              </w:rPr>
            </w:pPr>
            <w:r>
              <w:rPr>
                <w:rFonts w:cstheme="minorHAnsi"/>
                <w:sz w:val="20"/>
                <w:szCs w:val="20"/>
              </w:rPr>
              <w:t>‘</w:t>
            </w:r>
            <w:r w:rsidRPr="002910D0">
              <w:rPr>
                <w:rFonts w:cstheme="minorHAnsi"/>
                <w:i/>
                <w:sz w:val="20"/>
                <w:szCs w:val="20"/>
              </w:rPr>
              <w:t>Implementation of these socio-economic measures is mutually reinforcing</w:t>
            </w:r>
            <w:r>
              <w:rPr>
                <w:rFonts w:cstheme="minorHAnsi"/>
                <w:sz w:val="20"/>
                <w:szCs w:val="20"/>
              </w:rPr>
              <w:t>’ and will ‘…</w:t>
            </w:r>
            <w:r w:rsidRPr="0074630F">
              <w:rPr>
                <w:rFonts w:cstheme="minorHAnsi"/>
                <w:i/>
                <w:sz w:val="20"/>
                <w:szCs w:val="20"/>
              </w:rPr>
              <w:t>facilitate BiH’s integration in regional and European value chains. Further connectivity with neighbouring countries in transport and energy will strengthen the country's access to, and integration in, the regional market</w:t>
            </w:r>
            <w:r w:rsidRPr="00BA6A02">
              <w:rPr>
                <w:rFonts w:cstheme="minorHAnsi"/>
                <w:sz w:val="20"/>
                <w:szCs w:val="20"/>
              </w:rPr>
              <w:t xml:space="preserve">.’ - </w:t>
            </w:r>
            <w:r w:rsidRPr="00BA6A02">
              <w:rPr>
                <w:rFonts w:cstheme="minorHAnsi"/>
                <w:sz w:val="20"/>
                <w:szCs w:val="20"/>
                <w:u w:val="single"/>
              </w:rPr>
              <w:t>Preamble</w:t>
            </w:r>
            <w:r w:rsidRPr="00BA6A02">
              <w:rPr>
                <w:rFonts w:cstheme="minorHAnsi"/>
                <w:sz w:val="20"/>
                <w:szCs w:val="20"/>
              </w:rPr>
              <w:t xml:space="preserve"> </w:t>
            </w:r>
          </w:p>
        </w:tc>
      </w:tr>
      <w:tr w:rsidR="00AB628C" w:rsidRPr="00BA6A02" w14:paraId="381101A0"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30B2025A" w14:textId="77777777" w:rsidR="00AB628C" w:rsidRPr="00BA6A02" w:rsidRDefault="00AB628C" w:rsidP="00010E0F">
            <w:pPr>
              <w:spacing w:before="60" w:after="60"/>
              <w:rPr>
                <w:rFonts w:cstheme="minorHAnsi"/>
                <w:b/>
                <w:color w:val="0F243E" w:themeColor="text2" w:themeShade="80"/>
                <w:sz w:val="20"/>
                <w:szCs w:val="20"/>
                <w:lang w:val="en-US"/>
              </w:rPr>
            </w:pPr>
            <w:r w:rsidRPr="00B322B2">
              <w:rPr>
                <w:rFonts w:cstheme="minorHAnsi"/>
                <w:i/>
                <w:color w:val="0F243E" w:themeColor="text2" w:themeShade="80"/>
                <w:sz w:val="20"/>
                <w:szCs w:val="20"/>
              </w:rPr>
              <w:t>Regional framework(s) and targets</w:t>
            </w:r>
            <w:r w:rsidRPr="00BA6A02">
              <w:rPr>
                <w:rFonts w:cstheme="minorHAnsi"/>
                <w:b/>
                <w:color w:val="0F243E" w:themeColor="text2" w:themeShade="80"/>
                <w:sz w:val="20"/>
                <w:szCs w:val="20"/>
              </w:rPr>
              <w:t xml:space="preserve">: </w:t>
            </w:r>
            <w:r w:rsidRPr="00924C5D">
              <w:rPr>
                <w:rFonts w:cstheme="minorHAnsi"/>
                <w:color w:val="0F243E" w:themeColor="text2" w:themeShade="80"/>
                <w:sz w:val="20"/>
                <w:szCs w:val="20"/>
              </w:rPr>
              <w:t>Western Balkans Action Plan</w:t>
            </w:r>
            <w:r w:rsidRPr="00924C5D">
              <w:rPr>
                <w:rStyle w:val="FootnoteReference"/>
                <w:rFonts w:cstheme="minorHAnsi"/>
                <w:sz w:val="20"/>
                <w:szCs w:val="20"/>
                <w:lang w:val="en-US"/>
              </w:rPr>
              <w:footnoteReference w:id="132"/>
            </w:r>
            <w:r w:rsidRPr="00924C5D">
              <w:rPr>
                <w:rFonts w:cstheme="minorHAnsi"/>
                <w:color w:val="0F243E" w:themeColor="text2" w:themeShade="80"/>
                <w:sz w:val="20"/>
                <w:szCs w:val="20"/>
              </w:rPr>
              <w:t xml:space="preserve">: (3) Address </w:t>
            </w:r>
            <w:r w:rsidRPr="00924C5D">
              <w:rPr>
                <w:color w:val="0F243E" w:themeColor="text2" w:themeShade="80"/>
                <w:sz w:val="20"/>
              </w:rPr>
              <w:t>challenges</w:t>
            </w:r>
            <w:r w:rsidRPr="00924C5D">
              <w:rPr>
                <w:rFonts w:cstheme="minorHAnsi"/>
                <w:color w:val="0F243E" w:themeColor="text2" w:themeShade="80"/>
                <w:sz w:val="20"/>
                <w:szCs w:val="20"/>
                <w:lang w:val="en-GB"/>
              </w:rPr>
              <w:t xml:space="preserve"> in the area of rule of law, including impunity</w:t>
            </w:r>
            <w:r w:rsidRPr="00924C5D">
              <w:rPr>
                <w:rFonts w:cstheme="minorHAnsi"/>
                <w:color w:val="0F243E" w:themeColor="text2" w:themeShade="80"/>
                <w:sz w:val="20"/>
                <w:szCs w:val="20"/>
              </w:rPr>
              <w:t>, (4) Strengthening strategic coherence and effectiveness-UN and key stakeholders</w:t>
            </w:r>
            <w:r>
              <w:rPr>
                <w:rFonts w:cstheme="minorHAnsi"/>
                <w:color w:val="0F243E" w:themeColor="text2" w:themeShade="80"/>
                <w:sz w:val="20"/>
                <w:szCs w:val="20"/>
              </w:rPr>
              <w:t xml:space="preserve"> </w:t>
            </w:r>
          </w:p>
        </w:tc>
      </w:tr>
      <w:tr w:rsidR="00AB628C" w:rsidRPr="009A7D0D" w14:paraId="3F09913C" w14:textId="77777777" w:rsidTr="009674CE">
        <w:trPr>
          <w:trHeight w:val="337"/>
          <w:tblHeader/>
        </w:trPr>
        <w:tc>
          <w:tcPr>
            <w:tcW w:w="3665" w:type="dxa"/>
            <w:gridSpan w:val="2"/>
            <w:tcBorders>
              <w:top w:val="single" w:sz="4" w:space="0" w:color="548DD4" w:themeColor="text2" w:themeTint="99"/>
              <w:left w:val="single" w:sz="4" w:space="0" w:color="auto"/>
              <w:bottom w:val="single" w:sz="4" w:space="0" w:color="548DD4" w:themeColor="text2" w:themeTint="99"/>
              <w:right w:val="nil"/>
            </w:tcBorders>
            <w:shd w:val="clear" w:color="auto" w:fill="244061" w:themeFill="accent1" w:themeFillShade="80"/>
            <w:vAlign w:val="center"/>
          </w:tcPr>
          <w:p w14:paraId="7F783A2D"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Outcome</w:t>
            </w:r>
          </w:p>
        </w:tc>
        <w:tc>
          <w:tcPr>
            <w:tcW w:w="6312" w:type="dxa"/>
            <w:gridSpan w:val="4"/>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425CD57F"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Indicators, Baselines, Targets, Data source</w:t>
            </w:r>
          </w:p>
        </w:tc>
        <w:tc>
          <w:tcPr>
            <w:tcW w:w="4067" w:type="dxa"/>
            <w:gridSpan w:val="2"/>
            <w:tcBorders>
              <w:top w:val="single" w:sz="4" w:space="0" w:color="548DD4" w:themeColor="text2" w:themeTint="99"/>
              <w:left w:val="nil"/>
              <w:bottom w:val="single" w:sz="4" w:space="0" w:color="548DD4" w:themeColor="text2" w:themeTint="99"/>
              <w:right w:val="single" w:sz="4" w:space="0" w:color="auto"/>
            </w:tcBorders>
            <w:shd w:val="clear" w:color="auto" w:fill="244061" w:themeFill="accent1" w:themeFillShade="80"/>
            <w:vAlign w:val="center"/>
          </w:tcPr>
          <w:p w14:paraId="7E773A6E"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Partners</w:t>
            </w:r>
            <w:r>
              <w:rPr>
                <w:rStyle w:val="FootnoteReference"/>
                <w:rFonts w:cstheme="minorHAnsi"/>
                <w:color w:val="FFFFFF" w:themeColor="background1"/>
                <w:sz w:val="20"/>
                <w:szCs w:val="20"/>
              </w:rPr>
              <w:footnoteReference w:id="133"/>
            </w:r>
          </w:p>
        </w:tc>
      </w:tr>
      <w:tr w:rsidR="00AB628C" w:rsidRPr="00AE0359" w14:paraId="44691E77" w14:textId="77777777" w:rsidTr="009674CE">
        <w:trPr>
          <w:trHeight w:val="285"/>
        </w:trPr>
        <w:tc>
          <w:tcPr>
            <w:tcW w:w="3065" w:type="dxa"/>
            <w:vMerge w:val="restart"/>
            <w:tcBorders>
              <w:top w:val="nil"/>
              <w:left w:val="single" w:sz="4" w:space="0" w:color="auto"/>
              <w:bottom w:val="single" w:sz="4" w:space="0" w:color="4F81BD" w:themeColor="accent1"/>
              <w:right w:val="single" w:sz="4" w:space="0" w:color="4F81BD" w:themeColor="accent1"/>
            </w:tcBorders>
          </w:tcPr>
          <w:p w14:paraId="6D158DA0" w14:textId="093E0251" w:rsidR="00AB628C" w:rsidRDefault="00AB628C" w:rsidP="00010E0F">
            <w:pPr>
              <w:rPr>
                <w:rFonts w:cstheme="minorHAnsi"/>
                <w:bCs/>
                <w:sz w:val="20"/>
                <w:szCs w:val="20"/>
              </w:rPr>
            </w:pPr>
            <w:r w:rsidRPr="00CB588B">
              <w:rPr>
                <w:rFonts w:cstheme="minorHAnsi"/>
                <w:b/>
                <w:sz w:val="20"/>
                <w:szCs w:val="20"/>
              </w:rPr>
              <w:t xml:space="preserve">Outcome 1. </w:t>
            </w:r>
            <w:r w:rsidRPr="00AE07CC">
              <w:rPr>
                <w:rFonts w:cstheme="minorHAnsi"/>
                <w:bCs/>
                <w:sz w:val="20"/>
                <w:szCs w:val="20"/>
              </w:rPr>
              <w:t>By 2025, people benefit from resilient, inclusive and sustainable growth ensured by the convergence of economic development, and management of environment and cultural resources</w:t>
            </w:r>
          </w:p>
          <w:p w14:paraId="2AEB84B1" w14:textId="284E34AC" w:rsidR="005E477B" w:rsidRDefault="005E477B" w:rsidP="00010E0F">
            <w:pPr>
              <w:rPr>
                <w:rFonts w:cstheme="minorHAnsi"/>
                <w:bCs/>
                <w:sz w:val="20"/>
                <w:szCs w:val="20"/>
              </w:rPr>
            </w:pPr>
          </w:p>
          <w:p w14:paraId="47102F52" w14:textId="77777777" w:rsidR="00AB628C" w:rsidRDefault="00AB628C" w:rsidP="00085E1F">
            <w:pPr>
              <w:rPr>
                <w:rFonts w:cstheme="minorHAnsi"/>
                <w:sz w:val="20"/>
                <w:szCs w:val="20"/>
                <w:highlight w:val="yellow"/>
              </w:rPr>
            </w:pPr>
          </w:p>
          <w:p w14:paraId="3696F0C2" w14:textId="77777777" w:rsidR="00CD69CE" w:rsidRDefault="00CD69CE" w:rsidP="00CD69CE">
            <w:pPr>
              <w:rPr>
                <w:rFonts w:cstheme="minorHAnsi"/>
                <w:sz w:val="20"/>
                <w:szCs w:val="20"/>
              </w:rPr>
            </w:pPr>
          </w:p>
          <w:p w14:paraId="3444AABC" w14:textId="6DFEC8A5" w:rsidR="002B734F" w:rsidRPr="008C31EC" w:rsidRDefault="002B734F" w:rsidP="00CD69CE">
            <w:pPr>
              <w:rPr>
                <w:rFonts w:cstheme="minorHAnsi"/>
                <w:sz w:val="20"/>
                <w:szCs w:val="20"/>
                <w:highlight w:val="yellow"/>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tcPr>
          <w:p w14:paraId="4956C331" w14:textId="1D0B8F4F" w:rsidR="00AB628C" w:rsidRPr="00D20843" w:rsidRDefault="00AB628C" w:rsidP="00010E0F">
            <w:pPr>
              <w:rPr>
                <w:rFonts w:cstheme="minorHAnsi"/>
                <w:sz w:val="20"/>
                <w:szCs w:val="20"/>
              </w:rPr>
            </w:pPr>
            <w:r w:rsidRPr="000B1FA6">
              <w:rPr>
                <w:rFonts w:cstheme="minorHAnsi"/>
                <w:b/>
                <w:bCs/>
                <w:sz w:val="20"/>
                <w:szCs w:val="20"/>
              </w:rPr>
              <w:t xml:space="preserve">1.a </w:t>
            </w:r>
            <w:r w:rsidRPr="000B1FA6">
              <w:rPr>
                <w:rFonts w:cstheme="minorHAnsi"/>
                <w:sz w:val="20"/>
                <w:szCs w:val="20"/>
              </w:rPr>
              <w:t>N</w:t>
            </w:r>
            <w:r w:rsidRPr="000B1FA6">
              <w:rPr>
                <w:rFonts w:cstheme="minorHAnsi"/>
                <w:sz w:val="20"/>
                <w:szCs w:val="20"/>
                <w:u w:val="single"/>
                <w:vertAlign w:val="superscript"/>
              </w:rPr>
              <w:t>o.</w:t>
            </w:r>
            <w:r w:rsidRPr="000B1FA6">
              <w:rPr>
                <w:rFonts w:cstheme="minorHAnsi"/>
                <w:sz w:val="20"/>
                <w:szCs w:val="20"/>
              </w:rPr>
              <w:t xml:space="preserve"> </w:t>
            </w:r>
            <w:r>
              <w:rPr>
                <w:rFonts w:cstheme="minorHAnsi"/>
                <w:sz w:val="20"/>
                <w:szCs w:val="20"/>
              </w:rPr>
              <w:t>P</w:t>
            </w:r>
            <w:r w:rsidRPr="000B1FA6">
              <w:rPr>
                <w:rFonts w:cstheme="minorHAnsi"/>
                <w:sz w:val="20"/>
                <w:szCs w:val="20"/>
              </w:rPr>
              <w:t xml:space="preserve">olicy, financial or other stimulus measures </w:t>
            </w:r>
            <w:r>
              <w:rPr>
                <w:rFonts w:cstheme="minorHAnsi"/>
                <w:sz w:val="20"/>
                <w:szCs w:val="20"/>
              </w:rPr>
              <w:t>endorsed</w:t>
            </w:r>
            <w:r w:rsidRPr="000B1FA6">
              <w:rPr>
                <w:rFonts w:cstheme="minorHAnsi"/>
                <w:sz w:val="20"/>
                <w:szCs w:val="20"/>
              </w:rPr>
              <w:t xml:space="preserve"> to promote sustainable, green economy and low-carbon growth and living</w:t>
            </w:r>
            <w:r w:rsidRPr="003F116F">
              <w:rPr>
                <w:rFonts w:cstheme="minorHAnsi"/>
                <w:sz w:val="20"/>
                <w:szCs w:val="20"/>
              </w:rPr>
              <w:t xml:space="preserve"> </w:t>
            </w:r>
          </w:p>
        </w:tc>
        <w:tc>
          <w:tcPr>
            <w:tcW w:w="3332" w:type="dxa"/>
            <w:vMerge w:val="restart"/>
            <w:tcBorders>
              <w:top w:val="nil"/>
              <w:left w:val="single" w:sz="4" w:space="0" w:color="4F81BD" w:themeColor="accent1"/>
              <w:bottom w:val="single" w:sz="4" w:space="0" w:color="4F81BD" w:themeColor="accent1"/>
              <w:right w:val="single" w:sz="4" w:space="0" w:color="auto"/>
            </w:tcBorders>
          </w:tcPr>
          <w:p w14:paraId="208B00ED" w14:textId="7F9B7892" w:rsidR="00AB628C" w:rsidRPr="002848C1" w:rsidRDefault="00AB628C" w:rsidP="00010E0F">
            <w:pPr>
              <w:rPr>
                <w:rFonts w:cstheme="minorHAnsi"/>
                <w:sz w:val="20"/>
                <w:szCs w:val="20"/>
              </w:rPr>
            </w:pPr>
            <w:r w:rsidRPr="002848C1">
              <w:rPr>
                <w:rFonts w:cstheme="minorHAnsi"/>
                <w:sz w:val="20"/>
                <w:szCs w:val="20"/>
                <w:u w:val="single"/>
              </w:rPr>
              <w:t>BiHs</w:t>
            </w:r>
            <w:r w:rsidRPr="002848C1">
              <w:rPr>
                <w:rFonts w:cstheme="minorHAnsi"/>
                <w:sz w:val="20"/>
                <w:szCs w:val="20"/>
              </w:rPr>
              <w:t>:</w:t>
            </w:r>
          </w:p>
          <w:p w14:paraId="0FAF3A93" w14:textId="0A6D73C6" w:rsidR="00AB628C" w:rsidRPr="002848C1" w:rsidRDefault="00AB628C" w:rsidP="00AB628C">
            <w:pPr>
              <w:pStyle w:val="ListParagraph"/>
              <w:numPr>
                <w:ilvl w:val="0"/>
                <w:numId w:val="13"/>
              </w:numPr>
              <w:ind w:left="203" w:hanging="203"/>
              <w:rPr>
                <w:rFonts w:cstheme="minorHAnsi"/>
                <w:sz w:val="20"/>
                <w:szCs w:val="20"/>
              </w:rPr>
            </w:pPr>
            <w:r w:rsidRPr="002848C1">
              <w:rPr>
                <w:rFonts w:cstheme="minorHAnsi"/>
                <w:sz w:val="20"/>
                <w:szCs w:val="20"/>
                <w:lang w:val="en-CA"/>
              </w:rPr>
              <w:t>Relevant</w:t>
            </w:r>
            <w:r w:rsidRPr="002848C1">
              <w:rPr>
                <w:rFonts w:cstheme="minorHAnsi"/>
                <w:sz w:val="20"/>
                <w:szCs w:val="20"/>
              </w:rPr>
              <w:t xml:space="preserve"> </w:t>
            </w:r>
            <w:r w:rsidR="003E1371" w:rsidRPr="002848C1">
              <w:rPr>
                <w:rFonts w:cstheme="minorHAnsi"/>
                <w:sz w:val="20"/>
                <w:szCs w:val="20"/>
              </w:rPr>
              <w:t xml:space="preserve">authorities in </w:t>
            </w:r>
            <w:r w:rsidRPr="002848C1">
              <w:rPr>
                <w:rFonts w:cstheme="minorHAnsi"/>
                <w:sz w:val="20"/>
                <w:szCs w:val="20"/>
              </w:rPr>
              <w:t xml:space="preserve">BiH </w:t>
            </w:r>
          </w:p>
          <w:p w14:paraId="5066CEE7" w14:textId="77777777" w:rsidR="00AB628C" w:rsidRPr="00AE0359" w:rsidRDefault="00AB628C" w:rsidP="00010E0F">
            <w:pPr>
              <w:rPr>
                <w:rFonts w:cstheme="minorHAnsi"/>
                <w:sz w:val="20"/>
                <w:szCs w:val="20"/>
              </w:rPr>
            </w:pPr>
          </w:p>
          <w:p w14:paraId="131C41EC" w14:textId="77777777" w:rsidR="00AB628C" w:rsidRPr="00AE0359" w:rsidRDefault="00AB628C" w:rsidP="00010E0F">
            <w:pPr>
              <w:rPr>
                <w:rFonts w:cstheme="minorHAnsi"/>
                <w:sz w:val="20"/>
                <w:szCs w:val="20"/>
                <w:lang w:val="en-US"/>
              </w:rPr>
            </w:pPr>
            <w:r w:rsidRPr="00AE0359">
              <w:rPr>
                <w:rFonts w:cstheme="minorHAnsi"/>
                <w:sz w:val="20"/>
                <w:szCs w:val="20"/>
                <w:u w:val="single"/>
              </w:rPr>
              <w:t>UN</w:t>
            </w:r>
            <w:r w:rsidRPr="00AE0359">
              <w:rPr>
                <w:rFonts w:cstheme="minorHAnsi"/>
                <w:sz w:val="20"/>
                <w:szCs w:val="20"/>
              </w:rPr>
              <w:t xml:space="preserve">: </w:t>
            </w:r>
          </w:p>
          <w:p w14:paraId="3E19B195" w14:textId="54F0BF83" w:rsidR="00AB628C" w:rsidRPr="00AE07CC" w:rsidRDefault="00AB628C" w:rsidP="00AB628C">
            <w:pPr>
              <w:pStyle w:val="ListParagraph"/>
              <w:numPr>
                <w:ilvl w:val="0"/>
                <w:numId w:val="13"/>
              </w:numPr>
              <w:spacing w:after="160" w:line="259" w:lineRule="auto"/>
              <w:ind w:left="203" w:hanging="203"/>
              <w:rPr>
                <w:rFonts w:cstheme="minorHAnsi"/>
                <w:color w:val="0F243E" w:themeColor="text2" w:themeShade="80"/>
                <w:sz w:val="20"/>
                <w:szCs w:val="20"/>
                <w:lang w:val="it-IT"/>
              </w:rPr>
            </w:pPr>
            <w:r w:rsidRPr="008068B7">
              <w:rPr>
                <w:rFonts w:cstheme="minorHAnsi"/>
                <w:bCs/>
                <w:sz w:val="20"/>
                <w:szCs w:val="20"/>
                <w:lang w:val="it-IT"/>
              </w:rPr>
              <w:t xml:space="preserve">ILO, </w:t>
            </w:r>
            <w:r w:rsidR="000117BA">
              <w:rPr>
                <w:rFonts w:cstheme="minorHAnsi"/>
                <w:bCs/>
                <w:sz w:val="20"/>
                <w:szCs w:val="20"/>
                <w:lang w:val="it-IT"/>
              </w:rPr>
              <w:t xml:space="preserve">IAEA, </w:t>
            </w:r>
            <w:r w:rsidRPr="008068B7">
              <w:rPr>
                <w:rFonts w:cstheme="minorHAnsi"/>
                <w:bCs/>
                <w:sz w:val="20"/>
                <w:szCs w:val="20"/>
                <w:lang w:val="it-IT"/>
              </w:rPr>
              <w:t xml:space="preserve">FAO, UNDP, UNESCO, </w:t>
            </w:r>
            <w:r>
              <w:rPr>
                <w:rFonts w:cstheme="minorHAnsi"/>
                <w:bCs/>
                <w:sz w:val="20"/>
                <w:szCs w:val="20"/>
                <w:lang w:val="it-IT"/>
              </w:rPr>
              <w:t xml:space="preserve">UNICEF, </w:t>
            </w:r>
            <w:r w:rsidRPr="008068B7">
              <w:rPr>
                <w:rFonts w:cstheme="minorHAnsi"/>
                <w:bCs/>
                <w:sz w:val="20"/>
                <w:szCs w:val="20"/>
                <w:lang w:val="it-IT"/>
              </w:rPr>
              <w:t xml:space="preserve">IOM, UN </w:t>
            </w:r>
            <w:r w:rsidRPr="00AE07CC">
              <w:rPr>
                <w:rFonts w:cstheme="minorHAnsi"/>
                <w:bCs/>
                <w:sz w:val="20"/>
                <w:szCs w:val="20"/>
                <w:lang w:val="it-IT"/>
              </w:rPr>
              <w:t>Women, UNODC, UNDRR, UNECE</w:t>
            </w:r>
            <w:r w:rsidR="00595647">
              <w:rPr>
                <w:rFonts w:cstheme="minorHAnsi"/>
                <w:bCs/>
                <w:sz w:val="20"/>
                <w:szCs w:val="20"/>
                <w:lang w:val="it-IT"/>
              </w:rPr>
              <w:t>, UNEP</w:t>
            </w:r>
          </w:p>
          <w:p w14:paraId="7ABE7977" w14:textId="77777777" w:rsidR="00AB628C" w:rsidRDefault="00AB628C" w:rsidP="00010E0F">
            <w:pPr>
              <w:rPr>
                <w:rFonts w:cstheme="minorHAnsi"/>
                <w:sz w:val="20"/>
                <w:szCs w:val="20"/>
              </w:rPr>
            </w:pPr>
            <w:r>
              <w:rPr>
                <w:rFonts w:cstheme="minorHAnsi"/>
                <w:sz w:val="20"/>
                <w:szCs w:val="20"/>
                <w:u w:val="single"/>
              </w:rPr>
              <w:t>Other Partners</w:t>
            </w:r>
            <w:r>
              <w:rPr>
                <w:rFonts w:cstheme="minorHAnsi"/>
                <w:sz w:val="20"/>
                <w:szCs w:val="20"/>
              </w:rPr>
              <w:t>:</w:t>
            </w:r>
          </w:p>
          <w:p w14:paraId="7846D059" w14:textId="77777777" w:rsidR="00AB628C" w:rsidRPr="00D20843" w:rsidRDefault="00AB628C" w:rsidP="00AB628C">
            <w:pPr>
              <w:pStyle w:val="ListParagraph"/>
              <w:numPr>
                <w:ilvl w:val="0"/>
                <w:numId w:val="13"/>
              </w:numPr>
              <w:ind w:left="203" w:hanging="203"/>
              <w:rPr>
                <w:rFonts w:cstheme="minorHAnsi"/>
                <w:sz w:val="20"/>
                <w:szCs w:val="20"/>
              </w:rPr>
            </w:pPr>
            <w:r>
              <w:rPr>
                <w:rFonts w:cstheme="minorHAnsi"/>
                <w:sz w:val="20"/>
                <w:szCs w:val="20"/>
                <w:lang w:val="en-CA"/>
              </w:rPr>
              <w:t xml:space="preserve">Relevant CSOs, international partners, and representatives of private sector and academia </w:t>
            </w:r>
          </w:p>
          <w:p w14:paraId="4FB3EBC7"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38FD6035"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0FC287A9"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34DB1C5C" w14:textId="77777777" w:rsidR="00AB628C" w:rsidRDefault="00AB628C" w:rsidP="00010E0F">
            <w:pPr>
              <w:rPr>
                <w:rFonts w:cstheme="minorHAnsi"/>
                <w:sz w:val="20"/>
                <w:szCs w:val="20"/>
              </w:rPr>
            </w:pPr>
            <w:r w:rsidRPr="00AE0359">
              <w:rPr>
                <w:rFonts w:cstheme="minorHAnsi"/>
                <w:sz w:val="20"/>
                <w:szCs w:val="20"/>
                <w:u w:val="single"/>
              </w:rPr>
              <w:t>Baseline</w:t>
            </w:r>
            <w:r>
              <w:rPr>
                <w:rFonts w:cstheme="minorHAnsi"/>
                <w:sz w:val="20"/>
                <w:szCs w:val="20"/>
                <w:u w:val="single"/>
              </w:rPr>
              <w:t xml:space="preserve"> (2019)</w:t>
            </w:r>
            <w:r w:rsidRPr="00AE0359">
              <w:rPr>
                <w:rFonts w:cstheme="minorHAnsi"/>
                <w:sz w:val="20"/>
                <w:szCs w:val="20"/>
              </w:rPr>
              <w:t xml:space="preserve">: </w:t>
            </w:r>
          </w:p>
          <w:p w14:paraId="54DBD794" w14:textId="77777777" w:rsidR="00AB628C" w:rsidRPr="00AE0359" w:rsidRDefault="00AB628C" w:rsidP="00010E0F">
            <w:pPr>
              <w:rPr>
                <w:rFonts w:cstheme="minorHAnsi"/>
                <w:sz w:val="20"/>
                <w:szCs w:val="20"/>
              </w:rPr>
            </w:pPr>
            <w:r>
              <w:rPr>
                <w:rFonts w:cstheme="minorHAnsi"/>
                <w:sz w:val="20"/>
                <w:szCs w:val="20"/>
              </w:rPr>
              <w:t xml:space="preserve">17 </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0EA20A9" w14:textId="77777777" w:rsidR="00AB628C" w:rsidRPr="00AE0359" w:rsidRDefault="00AB628C" w:rsidP="00010E0F">
            <w:pPr>
              <w:rPr>
                <w:rFonts w:cstheme="minorHAnsi"/>
                <w:sz w:val="20"/>
                <w:szCs w:val="20"/>
              </w:rPr>
            </w:pPr>
            <w:r w:rsidRPr="00AE0359">
              <w:rPr>
                <w:rFonts w:cstheme="minorHAnsi"/>
                <w:sz w:val="20"/>
                <w:szCs w:val="20"/>
                <w:u w:val="single"/>
              </w:rPr>
              <w:t>Target</w:t>
            </w:r>
            <w:r>
              <w:rPr>
                <w:rFonts w:cstheme="minorHAnsi"/>
                <w:sz w:val="20"/>
                <w:szCs w:val="20"/>
                <w:u w:val="single"/>
              </w:rPr>
              <w:t xml:space="preserve"> (2025)</w:t>
            </w:r>
            <w:r w:rsidRPr="00AE0359">
              <w:rPr>
                <w:rFonts w:cstheme="minorHAnsi"/>
                <w:sz w:val="20"/>
                <w:szCs w:val="20"/>
              </w:rPr>
              <w:t>:</w:t>
            </w:r>
          </w:p>
          <w:p w14:paraId="00F3A959" w14:textId="77777777" w:rsidR="00AB628C" w:rsidRPr="00676F77" w:rsidRDefault="00AB628C" w:rsidP="00010E0F">
            <w:pPr>
              <w:rPr>
                <w:rFonts w:cstheme="minorHAnsi"/>
                <w:sz w:val="20"/>
                <w:szCs w:val="20"/>
              </w:rPr>
            </w:pPr>
            <w:r>
              <w:rPr>
                <w:rFonts w:cstheme="minorHAnsi"/>
                <w:sz w:val="20"/>
                <w:szCs w:val="20"/>
              </w:rPr>
              <w:t>25</w:t>
            </w:r>
          </w:p>
          <w:p w14:paraId="1EB4666B" w14:textId="77777777" w:rsidR="00AB628C" w:rsidRPr="00AE0359" w:rsidRDefault="00AB628C" w:rsidP="00010E0F">
            <w:pPr>
              <w:rPr>
                <w:rFonts w:cstheme="minorHAnsi"/>
                <w:sz w:val="20"/>
                <w:szCs w:val="20"/>
              </w:rPr>
            </w:pP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09C9DB5C" w14:textId="77777777" w:rsidR="00AB628C" w:rsidRPr="00AE0359" w:rsidRDefault="00AB628C" w:rsidP="00010E0F">
            <w:pPr>
              <w:rPr>
                <w:rFonts w:cstheme="minorHAnsi"/>
                <w:sz w:val="20"/>
                <w:szCs w:val="20"/>
              </w:rPr>
            </w:pPr>
            <w:r w:rsidRPr="00AE0359">
              <w:rPr>
                <w:rFonts w:cstheme="minorHAnsi"/>
                <w:sz w:val="20"/>
                <w:szCs w:val="20"/>
                <w:u w:val="single"/>
              </w:rPr>
              <w:t>Source</w:t>
            </w:r>
            <w:r w:rsidRPr="00AE0359">
              <w:rPr>
                <w:rFonts w:cstheme="minorHAnsi"/>
                <w:sz w:val="20"/>
                <w:szCs w:val="20"/>
              </w:rPr>
              <w:t>:</w:t>
            </w:r>
          </w:p>
          <w:p w14:paraId="1FF11827" w14:textId="23FF3AA3" w:rsidR="00AB628C" w:rsidRDefault="00B50801" w:rsidP="00010E0F">
            <w:pPr>
              <w:rPr>
                <w:rFonts w:cstheme="minorHAnsi"/>
                <w:sz w:val="20"/>
                <w:szCs w:val="20"/>
              </w:rPr>
            </w:pPr>
            <w:r w:rsidRPr="002848C1">
              <w:rPr>
                <w:rFonts w:cstheme="minorHAnsi"/>
                <w:sz w:val="20"/>
                <w:szCs w:val="20"/>
              </w:rPr>
              <w:t xml:space="preserve">Reports by relevant </w:t>
            </w:r>
            <w:r w:rsidR="003E1371" w:rsidRPr="002848C1">
              <w:rPr>
                <w:rFonts w:cstheme="minorHAnsi"/>
                <w:sz w:val="20"/>
                <w:szCs w:val="20"/>
              </w:rPr>
              <w:t xml:space="preserve">authorities in </w:t>
            </w:r>
            <w:r w:rsidR="00AB628C" w:rsidRPr="002848C1">
              <w:rPr>
                <w:rFonts w:cstheme="minorHAnsi"/>
                <w:sz w:val="20"/>
                <w:szCs w:val="20"/>
              </w:rPr>
              <w:t>BiH</w:t>
            </w:r>
          </w:p>
          <w:p w14:paraId="7F384314" w14:textId="77777777" w:rsidR="00AB628C" w:rsidRPr="00AE0359" w:rsidRDefault="00AB628C" w:rsidP="00010E0F">
            <w:pPr>
              <w:rPr>
                <w:rFonts w:cstheme="minorHAnsi"/>
                <w:sz w:val="20"/>
                <w:szCs w:val="20"/>
              </w:rPr>
            </w:pPr>
            <w:r>
              <w:rPr>
                <w:rFonts w:cstheme="minorHAnsi"/>
                <w:sz w:val="20"/>
                <w:szCs w:val="20"/>
              </w:rPr>
              <w:t>UN programme reports</w:t>
            </w:r>
          </w:p>
        </w:tc>
        <w:tc>
          <w:tcPr>
            <w:tcW w:w="3332" w:type="dxa"/>
            <w:vMerge/>
            <w:tcBorders>
              <w:top w:val="nil"/>
              <w:left w:val="single" w:sz="4" w:space="0" w:color="4F81BD" w:themeColor="accent1"/>
              <w:bottom w:val="single" w:sz="4" w:space="0" w:color="4F81BD" w:themeColor="accent1"/>
              <w:right w:val="single" w:sz="4" w:space="0" w:color="auto"/>
            </w:tcBorders>
          </w:tcPr>
          <w:p w14:paraId="2C725396" w14:textId="77777777" w:rsidR="00AB628C" w:rsidRPr="00AE0359" w:rsidRDefault="00AB628C" w:rsidP="00010E0F">
            <w:pPr>
              <w:rPr>
                <w:rFonts w:cstheme="minorHAnsi"/>
                <w:color w:val="0F243E" w:themeColor="text2" w:themeShade="80"/>
                <w:sz w:val="20"/>
                <w:szCs w:val="20"/>
              </w:rPr>
            </w:pPr>
          </w:p>
        </w:tc>
      </w:tr>
      <w:tr w:rsidR="00AB628C" w:rsidRPr="00AE0359" w14:paraId="51978676"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6B60AC5D" w14:textId="77777777" w:rsidR="00AB628C" w:rsidRPr="00AE0359" w:rsidRDefault="00AB628C" w:rsidP="00010E0F">
            <w:pPr>
              <w:rPr>
                <w:rFonts w:cstheme="minorHAnsi"/>
                <w:b/>
                <w:sz w:val="20"/>
                <w:szCs w:val="20"/>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tcPr>
          <w:p w14:paraId="76C16730" w14:textId="4B598BC8" w:rsidR="00AB628C" w:rsidRPr="00B1083A" w:rsidRDefault="00AB628C" w:rsidP="001F355A">
            <w:pPr>
              <w:rPr>
                <w:rFonts w:cstheme="minorHAnsi"/>
                <w:sz w:val="20"/>
                <w:szCs w:val="20"/>
              </w:rPr>
            </w:pPr>
            <w:r w:rsidRPr="006E7582">
              <w:rPr>
                <w:rFonts w:cstheme="minorHAnsi"/>
                <w:b/>
                <w:bCs/>
                <w:sz w:val="20"/>
                <w:szCs w:val="20"/>
              </w:rPr>
              <w:t xml:space="preserve">1.b </w:t>
            </w:r>
            <w:r w:rsidRPr="001F2ED1">
              <w:rPr>
                <w:rFonts w:cstheme="minorHAnsi"/>
                <w:sz w:val="20"/>
                <w:szCs w:val="20"/>
              </w:rPr>
              <w:t>N</w:t>
            </w:r>
            <w:r w:rsidRPr="001F2ED1">
              <w:rPr>
                <w:rFonts w:cstheme="minorHAnsi"/>
                <w:sz w:val="20"/>
                <w:szCs w:val="20"/>
                <w:u w:val="single"/>
                <w:vertAlign w:val="superscript"/>
              </w:rPr>
              <w:t>o.</w:t>
            </w:r>
            <w:r w:rsidRPr="000B1FA6">
              <w:rPr>
                <w:rFonts w:cstheme="minorHAnsi"/>
                <w:sz w:val="20"/>
                <w:szCs w:val="20"/>
              </w:rPr>
              <w:t xml:space="preserve"> </w:t>
            </w:r>
            <w:r>
              <w:rPr>
                <w:rFonts w:cstheme="minorHAnsi"/>
                <w:sz w:val="20"/>
                <w:szCs w:val="20"/>
              </w:rPr>
              <w:t>C</w:t>
            </w:r>
            <w:r w:rsidRPr="006E7582">
              <w:rPr>
                <w:rFonts w:cstheme="minorHAnsi"/>
                <w:sz w:val="20"/>
                <w:szCs w:val="20"/>
              </w:rPr>
              <w:t>omprehensive employment policy frameworks, in line with international standards (</w:t>
            </w:r>
            <w:r>
              <w:rPr>
                <w:rFonts w:cstheme="minorHAnsi"/>
                <w:i/>
                <w:sz w:val="20"/>
                <w:szCs w:val="20"/>
              </w:rPr>
              <w:t xml:space="preserve">EPF </w:t>
            </w:r>
            <w:r w:rsidRPr="006E7582">
              <w:rPr>
                <w:rFonts w:cstheme="minorHAnsi"/>
                <w:i/>
                <w:sz w:val="20"/>
                <w:szCs w:val="20"/>
              </w:rPr>
              <w:t>have focus on young people, including gender equality provisions and sex disaggregated data</w:t>
            </w:r>
            <w:r w:rsidRPr="006E7582">
              <w:rPr>
                <w:rFonts w:cstheme="minorHAnsi"/>
                <w:sz w:val="20"/>
                <w:szCs w:val="20"/>
              </w:rPr>
              <w:t xml:space="preserve">) </w:t>
            </w:r>
            <w:r w:rsidRPr="00B1083A">
              <w:rPr>
                <w:rFonts w:cstheme="minorHAnsi"/>
                <w:sz w:val="20"/>
                <w:szCs w:val="20"/>
              </w:rPr>
              <w:t>(</w:t>
            </w:r>
            <w:r w:rsidRPr="00B1083A">
              <w:rPr>
                <w:rFonts w:cstheme="minorHAnsi"/>
                <w:sz w:val="20"/>
                <w:szCs w:val="20"/>
              </w:rPr>
              <w:sym w:font="Wingdings" w:char="F0E0"/>
            </w:r>
            <w:r w:rsidRPr="00B1083A">
              <w:rPr>
                <w:rFonts w:cstheme="minorHAnsi"/>
                <w:sz w:val="20"/>
                <w:szCs w:val="20"/>
              </w:rPr>
              <w:t xml:space="preserve"> SDG 8.5.2) (Y/N) </w:t>
            </w:r>
          </w:p>
        </w:tc>
        <w:tc>
          <w:tcPr>
            <w:tcW w:w="3332" w:type="dxa"/>
            <w:vMerge/>
            <w:tcBorders>
              <w:top w:val="nil"/>
              <w:left w:val="single" w:sz="4" w:space="0" w:color="4F81BD" w:themeColor="accent1"/>
              <w:bottom w:val="single" w:sz="4" w:space="0" w:color="4F81BD" w:themeColor="accent1"/>
              <w:right w:val="single" w:sz="4" w:space="0" w:color="auto"/>
            </w:tcBorders>
          </w:tcPr>
          <w:p w14:paraId="74A0A2EE"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3098A114"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3D0E3C67"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66300598" w14:textId="77777777" w:rsidR="00AB628C" w:rsidRPr="00233357" w:rsidRDefault="00AB628C" w:rsidP="00010E0F">
            <w:pPr>
              <w:rPr>
                <w:rFonts w:cstheme="minorHAnsi"/>
                <w:sz w:val="20"/>
                <w:szCs w:val="20"/>
              </w:rPr>
            </w:pPr>
            <w:r w:rsidRPr="00233357">
              <w:rPr>
                <w:rFonts w:cstheme="minorHAnsi"/>
                <w:sz w:val="20"/>
                <w:szCs w:val="20"/>
                <w:u w:val="single"/>
              </w:rPr>
              <w:t>Baseline (2019)</w:t>
            </w:r>
            <w:r w:rsidRPr="00233357">
              <w:rPr>
                <w:rFonts w:cstheme="minorHAnsi"/>
                <w:sz w:val="20"/>
                <w:szCs w:val="20"/>
              </w:rPr>
              <w:t xml:space="preserve">: </w:t>
            </w:r>
          </w:p>
          <w:p w14:paraId="5B5391AD" w14:textId="77777777" w:rsidR="00AB628C" w:rsidRPr="00233357" w:rsidRDefault="00AB628C" w:rsidP="00010E0F">
            <w:pPr>
              <w:rPr>
                <w:rFonts w:cstheme="minorHAnsi"/>
                <w:sz w:val="20"/>
                <w:szCs w:val="20"/>
              </w:rPr>
            </w:pPr>
            <w:r w:rsidRPr="00233357">
              <w:rPr>
                <w:rFonts w:cstheme="minorHAnsi"/>
                <w:sz w:val="20"/>
                <w:szCs w:val="20"/>
              </w:rPr>
              <w:t>1</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008848C" w14:textId="77777777" w:rsidR="00AB628C" w:rsidRPr="00233357" w:rsidRDefault="00AB628C" w:rsidP="00010E0F">
            <w:pPr>
              <w:rPr>
                <w:rFonts w:cstheme="minorHAnsi"/>
                <w:sz w:val="20"/>
                <w:szCs w:val="20"/>
              </w:rPr>
            </w:pPr>
            <w:r w:rsidRPr="00233357">
              <w:rPr>
                <w:rFonts w:cstheme="minorHAnsi"/>
                <w:sz w:val="20"/>
                <w:szCs w:val="20"/>
                <w:u w:val="single"/>
              </w:rPr>
              <w:t>Target (2025)</w:t>
            </w:r>
            <w:r w:rsidRPr="00233357">
              <w:rPr>
                <w:rFonts w:cstheme="minorHAnsi"/>
                <w:sz w:val="20"/>
                <w:szCs w:val="20"/>
              </w:rPr>
              <w:t>:</w:t>
            </w:r>
          </w:p>
          <w:p w14:paraId="51D1BB83" w14:textId="77777777" w:rsidR="00AB628C" w:rsidRPr="00233357" w:rsidRDefault="00AB628C" w:rsidP="00010E0F">
            <w:pPr>
              <w:rPr>
                <w:rFonts w:cstheme="minorHAnsi"/>
                <w:sz w:val="20"/>
                <w:szCs w:val="20"/>
              </w:rPr>
            </w:pPr>
            <w:r w:rsidRPr="00233357">
              <w:rPr>
                <w:rFonts w:cstheme="minorHAnsi"/>
                <w:sz w:val="20"/>
                <w:szCs w:val="20"/>
              </w:rPr>
              <w:t>2</w:t>
            </w: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76136375" w14:textId="77777777"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60DB7BA9" w14:textId="1179528A" w:rsidR="00AB628C" w:rsidRPr="002848C1" w:rsidRDefault="006F754D" w:rsidP="00010E0F">
            <w:pPr>
              <w:rPr>
                <w:rFonts w:cstheme="minorHAnsi"/>
                <w:sz w:val="20"/>
                <w:szCs w:val="20"/>
              </w:rPr>
            </w:pPr>
            <w:r w:rsidRPr="002848C1">
              <w:rPr>
                <w:rFonts w:cstheme="minorHAnsi"/>
                <w:sz w:val="20"/>
                <w:szCs w:val="20"/>
              </w:rPr>
              <w:t xml:space="preserve">Reports by relevant authorities in </w:t>
            </w:r>
            <w:r w:rsidR="00AB628C" w:rsidRPr="002848C1">
              <w:rPr>
                <w:rFonts w:cstheme="minorHAnsi"/>
                <w:sz w:val="20"/>
                <w:szCs w:val="20"/>
              </w:rPr>
              <w:t>BiH</w:t>
            </w:r>
          </w:p>
          <w:p w14:paraId="5F23DB7C" w14:textId="77777777" w:rsidR="00AB628C" w:rsidRPr="002848C1" w:rsidRDefault="00AB628C" w:rsidP="00010E0F">
            <w:pPr>
              <w:rPr>
                <w:rFonts w:cstheme="minorHAnsi"/>
                <w:sz w:val="20"/>
                <w:szCs w:val="20"/>
              </w:rPr>
            </w:pPr>
            <w:r w:rsidRPr="002848C1">
              <w:rPr>
                <w:rFonts w:cstheme="minorHAnsi"/>
                <w:sz w:val="20"/>
                <w:szCs w:val="20"/>
              </w:rPr>
              <w:t xml:space="preserve">UN programme reports </w:t>
            </w:r>
          </w:p>
        </w:tc>
        <w:tc>
          <w:tcPr>
            <w:tcW w:w="3332" w:type="dxa"/>
            <w:vMerge/>
            <w:tcBorders>
              <w:top w:val="nil"/>
              <w:left w:val="single" w:sz="4" w:space="0" w:color="4F81BD" w:themeColor="accent1"/>
              <w:bottom w:val="single" w:sz="4" w:space="0" w:color="4F81BD" w:themeColor="accent1"/>
              <w:right w:val="single" w:sz="4" w:space="0" w:color="auto"/>
            </w:tcBorders>
          </w:tcPr>
          <w:p w14:paraId="7DA7FCC2" w14:textId="77777777" w:rsidR="00AB628C" w:rsidRPr="00AE0359" w:rsidRDefault="00AB628C" w:rsidP="00010E0F">
            <w:pPr>
              <w:rPr>
                <w:rFonts w:cstheme="minorHAnsi"/>
                <w:color w:val="0F243E" w:themeColor="text2" w:themeShade="80"/>
                <w:sz w:val="20"/>
                <w:szCs w:val="20"/>
              </w:rPr>
            </w:pPr>
          </w:p>
        </w:tc>
      </w:tr>
      <w:tr w:rsidR="00AB628C" w:rsidRPr="00AE0359" w14:paraId="08ED18C4"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6A6846D1" w14:textId="77777777" w:rsidR="00AB628C" w:rsidRPr="00AE0359" w:rsidRDefault="00AB628C" w:rsidP="00010E0F">
            <w:pPr>
              <w:rPr>
                <w:rFonts w:cstheme="minorHAnsi"/>
                <w:b/>
                <w:sz w:val="20"/>
                <w:szCs w:val="20"/>
              </w:rPr>
            </w:pPr>
          </w:p>
        </w:tc>
        <w:tc>
          <w:tcPr>
            <w:tcW w:w="7647" w:type="dxa"/>
            <w:gridSpan w:val="6"/>
            <w:tcBorders>
              <w:top w:val="single" w:sz="4" w:space="0" w:color="548DD4" w:themeColor="text2" w:themeTint="99"/>
              <w:left w:val="single" w:sz="4" w:space="0" w:color="4F81BD" w:themeColor="accent1"/>
              <w:bottom w:val="single" w:sz="4" w:space="0" w:color="548DD4" w:themeColor="text2" w:themeTint="99"/>
              <w:right w:val="single" w:sz="4" w:space="0" w:color="4F81BD" w:themeColor="accent1"/>
            </w:tcBorders>
          </w:tcPr>
          <w:p w14:paraId="3D71B5DD" w14:textId="3570142F" w:rsidR="00AB628C" w:rsidRPr="003A7547" w:rsidRDefault="00AB628C" w:rsidP="00010E0F">
            <w:pPr>
              <w:rPr>
                <w:rFonts w:cstheme="minorHAnsi"/>
                <w:sz w:val="20"/>
                <w:szCs w:val="20"/>
                <w:highlight w:val="green"/>
              </w:rPr>
            </w:pPr>
            <w:r w:rsidRPr="00B1083A">
              <w:rPr>
                <w:rFonts w:cstheme="minorHAnsi"/>
                <w:b/>
                <w:sz w:val="20"/>
                <w:szCs w:val="20"/>
              </w:rPr>
              <w:t>1.c</w:t>
            </w:r>
            <w:r w:rsidRPr="00B1083A">
              <w:rPr>
                <w:rFonts w:cstheme="minorHAnsi"/>
                <w:sz w:val="20"/>
                <w:szCs w:val="20"/>
              </w:rPr>
              <w:t xml:space="preserve"> </w:t>
            </w:r>
            <w:r w:rsidRPr="001F2ED1">
              <w:rPr>
                <w:rFonts w:cstheme="minorHAnsi"/>
                <w:sz w:val="20"/>
                <w:szCs w:val="20"/>
              </w:rPr>
              <w:t>N</w:t>
            </w:r>
            <w:r w:rsidRPr="001F2ED1">
              <w:rPr>
                <w:rFonts w:cstheme="minorHAnsi"/>
                <w:sz w:val="20"/>
                <w:szCs w:val="20"/>
                <w:u w:val="single"/>
                <w:vertAlign w:val="superscript"/>
              </w:rPr>
              <w:t>o.</w:t>
            </w:r>
            <w:r>
              <w:rPr>
                <w:rFonts w:cstheme="minorHAnsi"/>
                <w:sz w:val="20"/>
                <w:szCs w:val="20"/>
              </w:rPr>
              <w:t xml:space="preserve"> A</w:t>
            </w:r>
            <w:r w:rsidRPr="00B1083A">
              <w:rPr>
                <w:rFonts w:cstheme="minorHAnsi"/>
                <w:sz w:val="20"/>
                <w:szCs w:val="20"/>
              </w:rPr>
              <w:t>ctive labour measures (ALM)</w:t>
            </w:r>
            <w:r w:rsidRPr="00B1083A">
              <w:rPr>
                <w:rStyle w:val="FootnoteReference"/>
                <w:i/>
                <w:sz w:val="20"/>
                <w:szCs w:val="20"/>
              </w:rPr>
              <w:t xml:space="preserve"> </w:t>
            </w:r>
            <w:r w:rsidRPr="00B1083A">
              <w:rPr>
                <w:rStyle w:val="FootnoteReference"/>
                <w:i/>
                <w:sz w:val="20"/>
                <w:szCs w:val="20"/>
              </w:rPr>
              <w:footnoteReference w:id="134"/>
            </w:r>
            <w:r w:rsidRPr="00B1083A">
              <w:rPr>
                <w:rFonts w:cstheme="minorHAnsi"/>
                <w:i/>
                <w:iCs/>
                <w:sz w:val="20"/>
                <w:szCs w:val="20"/>
              </w:rPr>
              <w:t xml:space="preserve"> </w:t>
            </w:r>
            <w:r w:rsidRPr="00B1083A">
              <w:rPr>
                <w:rFonts w:cstheme="minorHAnsi"/>
                <w:sz w:val="20"/>
                <w:szCs w:val="20"/>
              </w:rPr>
              <w:t xml:space="preserve"> </w:t>
            </w:r>
            <w:r>
              <w:rPr>
                <w:rFonts w:cstheme="minorHAnsi"/>
                <w:sz w:val="20"/>
                <w:szCs w:val="20"/>
              </w:rPr>
              <w:t xml:space="preserve">at local level </w:t>
            </w:r>
            <w:r w:rsidRPr="00B1083A">
              <w:rPr>
                <w:rFonts w:cstheme="minorHAnsi"/>
                <w:sz w:val="20"/>
                <w:szCs w:val="20"/>
              </w:rPr>
              <w:t>designed in line with international labour standards (With focus on young people and including gender equality provisions and sex disaggregated data</w:t>
            </w:r>
            <w:r w:rsidRPr="00B1083A">
              <w:rPr>
                <w:rStyle w:val="FootnoteReference"/>
                <w:sz w:val="20"/>
                <w:szCs w:val="20"/>
              </w:rPr>
              <w:footnoteReference w:id="135"/>
            </w:r>
            <w:r w:rsidRPr="00B1083A">
              <w:rPr>
                <w:rFonts w:cstheme="minorHAnsi"/>
                <w:sz w:val="20"/>
                <w:szCs w:val="20"/>
              </w:rPr>
              <w:t>) (</w:t>
            </w:r>
            <w:r w:rsidRPr="00B1083A">
              <w:rPr>
                <w:rFonts w:cstheme="minorHAnsi"/>
                <w:sz w:val="20"/>
                <w:szCs w:val="20"/>
              </w:rPr>
              <w:sym w:font="Wingdings" w:char="F0E0"/>
            </w:r>
            <w:r w:rsidR="001F355A">
              <w:rPr>
                <w:rFonts w:cstheme="minorHAnsi"/>
                <w:sz w:val="20"/>
                <w:szCs w:val="20"/>
              </w:rPr>
              <w:t xml:space="preserve"> SDG 8.5.2; 8.6.1 )</w:t>
            </w:r>
          </w:p>
        </w:tc>
        <w:tc>
          <w:tcPr>
            <w:tcW w:w="3332" w:type="dxa"/>
            <w:vMerge/>
            <w:tcBorders>
              <w:top w:val="nil"/>
              <w:left w:val="single" w:sz="4" w:space="0" w:color="4F81BD" w:themeColor="accent1"/>
              <w:bottom w:val="single" w:sz="4" w:space="0" w:color="4F81BD" w:themeColor="accent1"/>
              <w:right w:val="single" w:sz="4" w:space="0" w:color="auto"/>
            </w:tcBorders>
          </w:tcPr>
          <w:p w14:paraId="4E5AB561" w14:textId="77777777" w:rsidR="00AB628C" w:rsidRPr="00AE0359" w:rsidRDefault="00AB628C" w:rsidP="00010E0F">
            <w:pPr>
              <w:rPr>
                <w:rFonts w:cstheme="minorHAnsi"/>
                <w:color w:val="0F243E" w:themeColor="text2" w:themeShade="80"/>
                <w:sz w:val="20"/>
                <w:szCs w:val="20"/>
              </w:rPr>
            </w:pPr>
          </w:p>
        </w:tc>
      </w:tr>
      <w:tr w:rsidR="00AB628C" w:rsidRPr="00AE0359" w14:paraId="2DDD4A92"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0ADBD878"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2F0C2F17" w14:textId="77777777" w:rsidR="00AB628C" w:rsidRDefault="00AB628C" w:rsidP="00010E0F">
            <w:pPr>
              <w:rPr>
                <w:rFonts w:cstheme="minorHAnsi"/>
                <w:sz w:val="20"/>
                <w:szCs w:val="20"/>
              </w:rPr>
            </w:pPr>
            <w:r w:rsidRPr="00AE0359">
              <w:rPr>
                <w:rFonts w:cstheme="minorHAnsi"/>
                <w:sz w:val="20"/>
                <w:szCs w:val="20"/>
                <w:u w:val="single"/>
              </w:rPr>
              <w:t>Baseline</w:t>
            </w:r>
            <w:r>
              <w:rPr>
                <w:rFonts w:cstheme="minorHAnsi"/>
                <w:sz w:val="20"/>
                <w:szCs w:val="20"/>
                <w:u w:val="single"/>
              </w:rPr>
              <w:t xml:space="preserve"> (2019)</w:t>
            </w:r>
            <w:r w:rsidRPr="00AE0359">
              <w:rPr>
                <w:rFonts w:cstheme="minorHAnsi"/>
                <w:sz w:val="20"/>
                <w:szCs w:val="20"/>
              </w:rPr>
              <w:t xml:space="preserve">: </w:t>
            </w:r>
          </w:p>
          <w:p w14:paraId="01774161" w14:textId="77777777" w:rsidR="00AB628C" w:rsidRPr="00AE0359" w:rsidRDefault="00AB628C" w:rsidP="00010E0F">
            <w:pPr>
              <w:rPr>
                <w:rFonts w:cstheme="minorHAnsi"/>
                <w:sz w:val="20"/>
                <w:szCs w:val="20"/>
                <w:u w:val="single"/>
              </w:rPr>
            </w:pPr>
            <w:r>
              <w:rPr>
                <w:rFonts w:cstheme="minorHAnsi"/>
                <w:sz w:val="20"/>
                <w:szCs w:val="20"/>
              </w:rPr>
              <w:t>19</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713C64E" w14:textId="77777777" w:rsidR="00AB628C" w:rsidRDefault="00AB628C" w:rsidP="00010E0F">
            <w:pPr>
              <w:rPr>
                <w:rFonts w:cstheme="minorHAnsi"/>
                <w:sz w:val="20"/>
                <w:szCs w:val="20"/>
              </w:rPr>
            </w:pPr>
            <w:r w:rsidRPr="00242EB9">
              <w:rPr>
                <w:rFonts w:cstheme="minorHAnsi"/>
                <w:sz w:val="20"/>
                <w:szCs w:val="20"/>
                <w:u w:val="single"/>
              </w:rPr>
              <w:t>Target (2025)</w:t>
            </w:r>
            <w:r>
              <w:rPr>
                <w:rFonts w:cstheme="minorHAnsi"/>
                <w:sz w:val="20"/>
                <w:szCs w:val="20"/>
              </w:rPr>
              <w:t>:</w:t>
            </w:r>
          </w:p>
          <w:p w14:paraId="2CAB94A6" w14:textId="77777777" w:rsidR="00AB628C" w:rsidRDefault="00AB628C" w:rsidP="00010E0F">
            <w:pPr>
              <w:rPr>
                <w:rFonts w:cstheme="minorHAnsi"/>
                <w:sz w:val="20"/>
                <w:szCs w:val="20"/>
              </w:rPr>
            </w:pPr>
            <w:r>
              <w:rPr>
                <w:rFonts w:cstheme="minorHAnsi"/>
                <w:sz w:val="20"/>
                <w:szCs w:val="20"/>
              </w:rPr>
              <w:t>38</w:t>
            </w: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4D728257" w14:textId="77777777"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3CFF1BDF" w14:textId="625ED260" w:rsidR="00AB628C" w:rsidRPr="002848C1" w:rsidRDefault="006F754D" w:rsidP="00010E0F">
            <w:pPr>
              <w:rPr>
                <w:rFonts w:cstheme="minorHAnsi"/>
                <w:sz w:val="20"/>
                <w:szCs w:val="20"/>
              </w:rPr>
            </w:pPr>
            <w:r w:rsidRPr="002848C1">
              <w:rPr>
                <w:rFonts w:cstheme="minorHAnsi"/>
                <w:sz w:val="20"/>
                <w:szCs w:val="20"/>
              </w:rPr>
              <w:t xml:space="preserve">Reports by relevant </w:t>
            </w:r>
            <w:r w:rsidR="00140452" w:rsidRPr="002848C1">
              <w:rPr>
                <w:rFonts w:cstheme="minorHAnsi"/>
                <w:sz w:val="20"/>
                <w:szCs w:val="20"/>
              </w:rPr>
              <w:t xml:space="preserve">authorities in </w:t>
            </w:r>
            <w:r w:rsidR="00AB628C" w:rsidRPr="002848C1">
              <w:rPr>
                <w:rFonts w:cstheme="minorHAnsi"/>
                <w:sz w:val="20"/>
                <w:szCs w:val="20"/>
              </w:rPr>
              <w:t>BiH</w:t>
            </w:r>
          </w:p>
          <w:p w14:paraId="21DD12CE" w14:textId="77777777" w:rsidR="00AB628C" w:rsidRPr="002848C1" w:rsidRDefault="00AB628C" w:rsidP="00010E0F">
            <w:pPr>
              <w:rPr>
                <w:rFonts w:cstheme="minorHAnsi"/>
                <w:sz w:val="20"/>
                <w:szCs w:val="20"/>
                <w:u w:val="single"/>
              </w:rPr>
            </w:pPr>
            <w:r w:rsidRPr="002848C1">
              <w:rPr>
                <w:rFonts w:cstheme="minorHAnsi"/>
                <w:sz w:val="20"/>
                <w:szCs w:val="20"/>
              </w:rPr>
              <w:t xml:space="preserve">UN programme reports </w:t>
            </w:r>
          </w:p>
        </w:tc>
        <w:tc>
          <w:tcPr>
            <w:tcW w:w="3332" w:type="dxa"/>
            <w:vMerge/>
            <w:tcBorders>
              <w:top w:val="nil"/>
              <w:left w:val="single" w:sz="4" w:space="0" w:color="4F81BD" w:themeColor="accent1"/>
              <w:bottom w:val="single" w:sz="4" w:space="0" w:color="4F81BD" w:themeColor="accent1"/>
              <w:right w:val="single" w:sz="4" w:space="0" w:color="auto"/>
            </w:tcBorders>
          </w:tcPr>
          <w:p w14:paraId="392725AE" w14:textId="77777777" w:rsidR="00AB628C" w:rsidRPr="00AE0359" w:rsidRDefault="00AB628C" w:rsidP="00010E0F">
            <w:pPr>
              <w:rPr>
                <w:rFonts w:cstheme="minorHAnsi"/>
                <w:color w:val="0F243E" w:themeColor="text2" w:themeShade="80"/>
                <w:sz w:val="20"/>
                <w:szCs w:val="20"/>
              </w:rPr>
            </w:pPr>
          </w:p>
        </w:tc>
      </w:tr>
      <w:tr w:rsidR="00AB628C" w:rsidRPr="00AE0359" w14:paraId="67AA965F"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1D828C06" w14:textId="77777777" w:rsidR="00AB628C" w:rsidRPr="00AE0359" w:rsidRDefault="00AB628C" w:rsidP="00010E0F">
            <w:pPr>
              <w:rPr>
                <w:rFonts w:cstheme="minorHAnsi"/>
                <w:b/>
                <w:sz w:val="20"/>
                <w:szCs w:val="20"/>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tcPr>
          <w:p w14:paraId="34427282" w14:textId="5EAE8683" w:rsidR="00AB628C" w:rsidRPr="000F43FD" w:rsidRDefault="00AB628C" w:rsidP="00010E0F">
            <w:pPr>
              <w:rPr>
                <w:rFonts w:cstheme="minorHAnsi"/>
                <w:sz w:val="20"/>
                <w:szCs w:val="20"/>
              </w:rPr>
            </w:pPr>
            <w:r w:rsidRPr="00EC746E">
              <w:rPr>
                <w:rFonts w:cstheme="minorHAnsi"/>
                <w:b/>
                <w:sz w:val="20"/>
                <w:szCs w:val="20"/>
              </w:rPr>
              <w:t>1.d</w:t>
            </w:r>
            <w:r w:rsidRPr="00EC746E">
              <w:rPr>
                <w:rFonts w:cstheme="minorHAnsi"/>
                <w:sz w:val="20"/>
                <w:szCs w:val="20"/>
              </w:rPr>
              <w:t xml:space="preserve"> N</w:t>
            </w:r>
            <w:r w:rsidRPr="00EC746E">
              <w:rPr>
                <w:rFonts w:cstheme="minorHAnsi"/>
                <w:sz w:val="20"/>
                <w:szCs w:val="20"/>
                <w:u w:val="single"/>
                <w:vertAlign w:val="superscript"/>
              </w:rPr>
              <w:t>o.</w:t>
            </w:r>
            <w:r w:rsidRPr="00EC746E">
              <w:rPr>
                <w:rFonts w:cstheme="minorHAnsi"/>
                <w:sz w:val="20"/>
                <w:szCs w:val="20"/>
              </w:rPr>
              <w:t xml:space="preserve"> Natural and cultural heritage sites with approved  tourism management plan (</w:t>
            </w:r>
            <w:r w:rsidRPr="00EC746E">
              <w:rPr>
                <w:rFonts w:cstheme="minorHAnsi"/>
                <w:sz w:val="20"/>
                <w:szCs w:val="20"/>
              </w:rPr>
              <w:sym w:font="Wingdings" w:char="F0E0"/>
            </w:r>
            <w:r w:rsidRPr="00EC746E">
              <w:rPr>
                <w:rFonts w:cstheme="minorHAnsi"/>
                <w:sz w:val="20"/>
                <w:szCs w:val="20"/>
              </w:rPr>
              <w:t xml:space="preserve"> SDG 8.9.1)</w:t>
            </w:r>
          </w:p>
        </w:tc>
        <w:tc>
          <w:tcPr>
            <w:tcW w:w="3332" w:type="dxa"/>
            <w:vMerge/>
            <w:tcBorders>
              <w:top w:val="nil"/>
              <w:left w:val="single" w:sz="4" w:space="0" w:color="4F81BD" w:themeColor="accent1"/>
              <w:bottom w:val="single" w:sz="4" w:space="0" w:color="4F81BD" w:themeColor="accent1"/>
              <w:right w:val="single" w:sz="4" w:space="0" w:color="auto"/>
            </w:tcBorders>
          </w:tcPr>
          <w:p w14:paraId="742FC522"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7F676AFA"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16579F71"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3A8C7F3A" w14:textId="77777777" w:rsidR="00AB628C" w:rsidRPr="00EC746E" w:rsidRDefault="00AB628C" w:rsidP="00010E0F">
            <w:pPr>
              <w:rPr>
                <w:rFonts w:cstheme="minorHAnsi"/>
                <w:sz w:val="20"/>
                <w:szCs w:val="20"/>
              </w:rPr>
            </w:pPr>
            <w:r w:rsidRPr="00EC746E">
              <w:rPr>
                <w:rFonts w:cstheme="minorHAnsi"/>
                <w:sz w:val="20"/>
                <w:szCs w:val="20"/>
                <w:u w:val="single"/>
              </w:rPr>
              <w:t>Baseline (2019)</w:t>
            </w:r>
            <w:r w:rsidRPr="00EC746E">
              <w:rPr>
                <w:rFonts w:cstheme="minorHAnsi"/>
                <w:sz w:val="20"/>
                <w:szCs w:val="20"/>
              </w:rPr>
              <w:t xml:space="preserve">: </w:t>
            </w:r>
          </w:p>
          <w:p w14:paraId="3AF9B15B" w14:textId="77777777" w:rsidR="00AB628C" w:rsidRPr="00EC746E" w:rsidRDefault="00AB628C" w:rsidP="00010E0F">
            <w:pPr>
              <w:rPr>
                <w:rFonts w:cstheme="minorHAnsi"/>
                <w:sz w:val="20"/>
                <w:szCs w:val="20"/>
              </w:rPr>
            </w:pPr>
            <w:r w:rsidRPr="00EC746E">
              <w:rPr>
                <w:rFonts w:cstheme="minorHAnsi"/>
                <w:sz w:val="20"/>
                <w:szCs w:val="20"/>
              </w:rPr>
              <w:t>0</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15CF5F" w14:textId="77777777" w:rsidR="00AB628C" w:rsidRPr="00EC746E" w:rsidRDefault="00AB628C" w:rsidP="00010E0F">
            <w:pPr>
              <w:rPr>
                <w:rFonts w:cstheme="minorHAnsi"/>
                <w:sz w:val="20"/>
                <w:szCs w:val="20"/>
              </w:rPr>
            </w:pPr>
            <w:r w:rsidRPr="00EC746E">
              <w:rPr>
                <w:rFonts w:cstheme="minorHAnsi"/>
                <w:sz w:val="20"/>
                <w:szCs w:val="20"/>
                <w:u w:val="single"/>
              </w:rPr>
              <w:t>Target (2025)</w:t>
            </w:r>
            <w:r w:rsidRPr="00EC746E">
              <w:rPr>
                <w:rFonts w:cstheme="minorHAnsi"/>
                <w:sz w:val="20"/>
                <w:szCs w:val="20"/>
              </w:rPr>
              <w:t>:</w:t>
            </w:r>
          </w:p>
          <w:p w14:paraId="17C124CA" w14:textId="77777777" w:rsidR="00AB628C" w:rsidRPr="00EC746E" w:rsidRDefault="00AB628C" w:rsidP="00010E0F">
            <w:pPr>
              <w:rPr>
                <w:rFonts w:cstheme="minorHAnsi"/>
                <w:sz w:val="20"/>
                <w:szCs w:val="20"/>
              </w:rPr>
            </w:pPr>
            <w:r w:rsidRPr="00EC746E">
              <w:rPr>
                <w:rFonts w:cstheme="minorHAnsi"/>
                <w:sz w:val="20"/>
                <w:szCs w:val="20"/>
              </w:rPr>
              <w:t>3</w:t>
            </w: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67AD127A" w14:textId="77777777"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75AABBE4" w14:textId="6F517406" w:rsidR="00AB628C" w:rsidRPr="002848C1" w:rsidRDefault="00140452" w:rsidP="00010E0F">
            <w:pPr>
              <w:rPr>
                <w:rFonts w:cstheme="minorHAnsi"/>
                <w:sz w:val="20"/>
                <w:szCs w:val="20"/>
              </w:rPr>
            </w:pPr>
            <w:r w:rsidRPr="002848C1">
              <w:rPr>
                <w:rFonts w:cstheme="minorHAnsi"/>
                <w:sz w:val="20"/>
                <w:szCs w:val="20"/>
              </w:rPr>
              <w:t xml:space="preserve">Reports by relevant authorities in </w:t>
            </w:r>
            <w:r w:rsidR="00AB628C" w:rsidRPr="002848C1">
              <w:rPr>
                <w:rFonts w:cstheme="minorHAnsi"/>
                <w:sz w:val="20"/>
                <w:szCs w:val="20"/>
              </w:rPr>
              <w:t>BiH</w:t>
            </w:r>
          </w:p>
          <w:p w14:paraId="31F71769" w14:textId="77777777" w:rsidR="00AB628C" w:rsidRPr="002848C1" w:rsidRDefault="00AB628C" w:rsidP="00010E0F">
            <w:pPr>
              <w:rPr>
                <w:rFonts w:cstheme="minorHAnsi"/>
                <w:sz w:val="20"/>
                <w:szCs w:val="20"/>
              </w:rPr>
            </w:pPr>
            <w:r w:rsidRPr="002848C1">
              <w:rPr>
                <w:rFonts w:cstheme="minorHAnsi"/>
                <w:sz w:val="20"/>
                <w:szCs w:val="20"/>
              </w:rPr>
              <w:t xml:space="preserve">UN programme reports </w:t>
            </w:r>
          </w:p>
        </w:tc>
        <w:tc>
          <w:tcPr>
            <w:tcW w:w="3332" w:type="dxa"/>
            <w:vMerge/>
            <w:tcBorders>
              <w:top w:val="nil"/>
              <w:left w:val="single" w:sz="4" w:space="0" w:color="4F81BD" w:themeColor="accent1"/>
              <w:bottom w:val="single" w:sz="4" w:space="0" w:color="4F81BD" w:themeColor="accent1"/>
              <w:right w:val="single" w:sz="4" w:space="0" w:color="auto"/>
            </w:tcBorders>
          </w:tcPr>
          <w:p w14:paraId="6F49DB1A" w14:textId="77777777" w:rsidR="00AB628C" w:rsidRPr="00AE0359" w:rsidRDefault="00AB628C" w:rsidP="00010E0F">
            <w:pPr>
              <w:rPr>
                <w:rFonts w:cstheme="minorHAnsi"/>
                <w:color w:val="0F243E" w:themeColor="text2" w:themeShade="80"/>
                <w:sz w:val="20"/>
                <w:szCs w:val="20"/>
              </w:rPr>
            </w:pPr>
          </w:p>
        </w:tc>
      </w:tr>
      <w:tr w:rsidR="00AB628C" w:rsidRPr="00AE0359" w14:paraId="52B33783"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3D8006A9" w14:textId="77777777" w:rsidR="00AB628C" w:rsidRPr="00AE0359" w:rsidRDefault="00AB628C" w:rsidP="00010E0F">
            <w:pPr>
              <w:rPr>
                <w:rFonts w:cstheme="minorHAnsi"/>
                <w:b/>
                <w:sz w:val="20"/>
                <w:szCs w:val="20"/>
              </w:rPr>
            </w:pPr>
          </w:p>
        </w:tc>
        <w:tc>
          <w:tcPr>
            <w:tcW w:w="7647" w:type="dxa"/>
            <w:gridSpan w:val="6"/>
            <w:tcBorders>
              <w:top w:val="single" w:sz="4" w:space="0" w:color="548DD4" w:themeColor="text2" w:themeTint="99"/>
              <w:left w:val="single" w:sz="4" w:space="0" w:color="4F81BD" w:themeColor="accent1"/>
              <w:bottom w:val="single" w:sz="4" w:space="0" w:color="548DD4" w:themeColor="text2" w:themeTint="99"/>
              <w:right w:val="single" w:sz="4" w:space="0" w:color="4F81BD" w:themeColor="accent1"/>
            </w:tcBorders>
            <w:shd w:val="clear" w:color="auto" w:fill="auto"/>
          </w:tcPr>
          <w:p w14:paraId="738C5563" w14:textId="2E5D9FBD" w:rsidR="00AB628C" w:rsidRPr="00286DEF" w:rsidRDefault="00AB628C" w:rsidP="00010E0F">
            <w:pPr>
              <w:rPr>
                <w:rFonts w:cstheme="minorHAnsi"/>
                <w:sz w:val="20"/>
                <w:szCs w:val="20"/>
              </w:rPr>
            </w:pPr>
            <w:r w:rsidRPr="00286DEF">
              <w:rPr>
                <w:rFonts w:cstheme="minorHAnsi"/>
                <w:sz w:val="20"/>
                <w:szCs w:val="20"/>
              </w:rPr>
              <w:t xml:space="preserve"> </w:t>
            </w:r>
            <w:r w:rsidRPr="00EC746E">
              <w:rPr>
                <w:rFonts w:cstheme="minorHAnsi"/>
                <w:b/>
                <w:bCs/>
                <w:sz w:val="20"/>
                <w:szCs w:val="20"/>
              </w:rPr>
              <w:t>1.e</w:t>
            </w:r>
            <w:r w:rsidRPr="00EC746E">
              <w:rPr>
                <w:rFonts w:cstheme="minorHAnsi"/>
                <w:sz w:val="20"/>
                <w:szCs w:val="20"/>
              </w:rPr>
              <w:t xml:space="preserve"> N</w:t>
            </w:r>
            <w:r w:rsidRPr="00EC746E">
              <w:rPr>
                <w:rFonts w:cstheme="minorHAnsi"/>
                <w:sz w:val="20"/>
                <w:szCs w:val="20"/>
                <w:u w:val="single"/>
                <w:vertAlign w:val="superscript"/>
              </w:rPr>
              <w:t>o.</w:t>
            </w:r>
            <w:r w:rsidRPr="00EC746E">
              <w:rPr>
                <w:bCs/>
                <w:sz w:val="20"/>
                <w:szCs w:val="20"/>
              </w:rPr>
              <w:t xml:space="preserve"> People who benefit from</w:t>
            </w:r>
            <w:r w:rsidR="004B45D1">
              <w:rPr>
                <w:bCs/>
                <w:sz w:val="20"/>
                <w:szCs w:val="20"/>
              </w:rPr>
              <w:t xml:space="preserve"> safeguarded or</w:t>
            </w:r>
            <w:r w:rsidRPr="00EC746E">
              <w:rPr>
                <w:bCs/>
                <w:sz w:val="20"/>
                <w:szCs w:val="20"/>
              </w:rPr>
              <w:t xml:space="preserve"> new jobs and improved livelihoods as a result of UN support</w:t>
            </w:r>
            <w:r w:rsidRPr="00286DEF" w:rsidDel="00AA190D">
              <w:rPr>
                <w:rFonts w:cstheme="minorHAnsi"/>
                <w:sz w:val="20"/>
                <w:szCs w:val="20"/>
              </w:rPr>
              <w:t xml:space="preserve"> </w:t>
            </w:r>
          </w:p>
        </w:tc>
        <w:tc>
          <w:tcPr>
            <w:tcW w:w="3332" w:type="dxa"/>
            <w:vMerge/>
            <w:tcBorders>
              <w:top w:val="nil"/>
              <w:left w:val="single" w:sz="4" w:space="0" w:color="4F81BD" w:themeColor="accent1"/>
              <w:bottom w:val="single" w:sz="4" w:space="0" w:color="4F81BD" w:themeColor="accent1"/>
              <w:right w:val="single" w:sz="4" w:space="0" w:color="auto"/>
            </w:tcBorders>
          </w:tcPr>
          <w:p w14:paraId="69B4A88E" w14:textId="77777777" w:rsidR="00AB628C" w:rsidRPr="00AE0359" w:rsidRDefault="00AB628C" w:rsidP="00010E0F">
            <w:pPr>
              <w:rPr>
                <w:rFonts w:cstheme="minorHAnsi"/>
                <w:color w:val="0F243E" w:themeColor="text2" w:themeShade="80"/>
                <w:sz w:val="20"/>
                <w:szCs w:val="20"/>
              </w:rPr>
            </w:pPr>
          </w:p>
        </w:tc>
      </w:tr>
      <w:tr w:rsidR="00AB628C" w:rsidRPr="00AE0359" w14:paraId="7ADAC2AF" w14:textId="77777777" w:rsidTr="00075C38">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406573F5"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auto"/>
          </w:tcPr>
          <w:p w14:paraId="0F1E4FE7" w14:textId="77777777" w:rsidR="00AB628C" w:rsidRPr="00924C5D" w:rsidRDefault="00AB628C" w:rsidP="00010E0F">
            <w:pPr>
              <w:rPr>
                <w:sz w:val="20"/>
                <w:szCs w:val="20"/>
              </w:rPr>
            </w:pPr>
            <w:r w:rsidRPr="00924C5D">
              <w:rPr>
                <w:sz w:val="20"/>
                <w:szCs w:val="20"/>
              </w:rPr>
              <w:t xml:space="preserve">Baseline (2019): </w:t>
            </w:r>
          </w:p>
          <w:p w14:paraId="18EC18DA" w14:textId="77777777" w:rsidR="00AB628C" w:rsidRPr="00924C5D" w:rsidRDefault="00AB628C" w:rsidP="00010E0F">
            <w:pPr>
              <w:rPr>
                <w:sz w:val="20"/>
                <w:szCs w:val="20"/>
              </w:rPr>
            </w:pPr>
            <w:r w:rsidRPr="00924C5D">
              <w:rPr>
                <w:sz w:val="20"/>
                <w:szCs w:val="20"/>
              </w:rPr>
              <w:t xml:space="preserve">T: 28,057 </w:t>
            </w:r>
          </w:p>
          <w:p w14:paraId="578FB287" w14:textId="77777777" w:rsidR="00AB628C" w:rsidRDefault="00AB628C" w:rsidP="00010E0F">
            <w:pPr>
              <w:rPr>
                <w:sz w:val="20"/>
                <w:szCs w:val="20"/>
              </w:rPr>
            </w:pPr>
            <w:r w:rsidRPr="00924C5D">
              <w:rPr>
                <w:sz w:val="20"/>
                <w:szCs w:val="20"/>
              </w:rPr>
              <w:t>W: 8,690</w:t>
            </w:r>
          </w:p>
          <w:p w14:paraId="3482250F" w14:textId="425C382A" w:rsidR="0034221F" w:rsidRPr="00924C5D" w:rsidRDefault="00FD1F9F" w:rsidP="00010E0F">
            <w:pPr>
              <w:rPr>
                <w:sz w:val="20"/>
                <w:szCs w:val="20"/>
              </w:rPr>
            </w:pPr>
            <w:r w:rsidRPr="00EC746E">
              <w:rPr>
                <w:rFonts w:cstheme="minorHAnsi"/>
                <w:sz w:val="20"/>
                <w:szCs w:val="20"/>
              </w:rPr>
              <w:t>N</w:t>
            </w:r>
            <w:r w:rsidRPr="00EC746E">
              <w:rPr>
                <w:rFonts w:cstheme="minorHAnsi"/>
                <w:sz w:val="20"/>
                <w:szCs w:val="20"/>
                <w:u w:val="single"/>
                <w:vertAlign w:val="superscript"/>
              </w:rPr>
              <w:t>o.</w:t>
            </w:r>
            <w:r w:rsidRPr="00EC746E">
              <w:rPr>
                <w:bCs/>
                <w:sz w:val="20"/>
                <w:szCs w:val="20"/>
              </w:rPr>
              <w:t xml:space="preserve"> People</w:t>
            </w:r>
            <w:r w:rsidR="006A1B81">
              <w:rPr>
                <w:bCs/>
                <w:sz w:val="20"/>
                <w:szCs w:val="20"/>
              </w:rPr>
              <w:t xml:space="preserve"> whose jobs are safeguarded from COVID-19 crisis: N/A</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7FD47D52" w14:textId="77777777" w:rsidR="00AB628C" w:rsidRPr="00924C5D" w:rsidRDefault="00AB628C" w:rsidP="00010E0F">
            <w:pPr>
              <w:rPr>
                <w:sz w:val="20"/>
                <w:szCs w:val="20"/>
              </w:rPr>
            </w:pPr>
            <w:r w:rsidRPr="00924C5D">
              <w:rPr>
                <w:sz w:val="20"/>
                <w:szCs w:val="20"/>
              </w:rPr>
              <w:t xml:space="preserve">Target (2025): </w:t>
            </w:r>
          </w:p>
          <w:p w14:paraId="15D8C0EE" w14:textId="77777777" w:rsidR="00AB628C" w:rsidRPr="00924C5D" w:rsidRDefault="00AB628C" w:rsidP="00010E0F">
            <w:pPr>
              <w:rPr>
                <w:sz w:val="20"/>
                <w:szCs w:val="20"/>
              </w:rPr>
            </w:pPr>
            <w:r w:rsidRPr="00924C5D">
              <w:rPr>
                <w:sz w:val="20"/>
                <w:szCs w:val="20"/>
              </w:rPr>
              <w:t xml:space="preserve">T: 31,000 </w:t>
            </w:r>
          </w:p>
          <w:p w14:paraId="58DFFDEF" w14:textId="77777777" w:rsidR="00AB628C" w:rsidRDefault="00AB628C" w:rsidP="00010E0F">
            <w:pPr>
              <w:rPr>
                <w:sz w:val="20"/>
                <w:szCs w:val="20"/>
              </w:rPr>
            </w:pPr>
            <w:r w:rsidRPr="00924C5D">
              <w:rPr>
                <w:sz w:val="20"/>
                <w:szCs w:val="20"/>
              </w:rPr>
              <w:t>W: at least 9,200</w:t>
            </w:r>
          </w:p>
          <w:p w14:paraId="376E33F7" w14:textId="2485B543" w:rsidR="006A1B81" w:rsidRPr="00D35605" w:rsidRDefault="006A1B81" w:rsidP="00010E0F">
            <w:pPr>
              <w:rPr>
                <w:sz w:val="20"/>
                <w:szCs w:val="20"/>
              </w:rPr>
            </w:pPr>
            <w:r w:rsidRPr="00EC746E">
              <w:rPr>
                <w:rFonts w:cstheme="minorHAnsi"/>
                <w:sz w:val="20"/>
                <w:szCs w:val="20"/>
              </w:rPr>
              <w:t>N</w:t>
            </w:r>
            <w:r w:rsidRPr="00EC746E">
              <w:rPr>
                <w:rFonts w:cstheme="minorHAnsi"/>
                <w:sz w:val="20"/>
                <w:szCs w:val="20"/>
                <w:u w:val="single"/>
                <w:vertAlign w:val="superscript"/>
              </w:rPr>
              <w:t>o.</w:t>
            </w:r>
            <w:r w:rsidRPr="00EC746E">
              <w:rPr>
                <w:bCs/>
                <w:sz w:val="20"/>
                <w:szCs w:val="20"/>
              </w:rPr>
              <w:t xml:space="preserve"> People</w:t>
            </w:r>
            <w:r>
              <w:rPr>
                <w:bCs/>
                <w:sz w:val="20"/>
                <w:szCs w:val="20"/>
              </w:rPr>
              <w:t xml:space="preserve"> whose jobs are safeguarded from COVID-19 crisis: </w:t>
            </w:r>
            <w:r w:rsidR="00F00750">
              <w:rPr>
                <w:bCs/>
                <w:sz w:val="20"/>
                <w:szCs w:val="20"/>
              </w:rPr>
              <w:t>400 (</w:t>
            </w:r>
            <w:r w:rsidR="00C4736D">
              <w:rPr>
                <w:bCs/>
                <w:sz w:val="20"/>
                <w:szCs w:val="20"/>
              </w:rPr>
              <w:t>150 women)</w:t>
            </w: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auto"/>
          </w:tcPr>
          <w:p w14:paraId="19CC6BD7" w14:textId="77777777" w:rsidR="00AB628C" w:rsidRPr="00EC746E" w:rsidRDefault="00AB628C" w:rsidP="00010E0F">
            <w:pPr>
              <w:rPr>
                <w:rFonts w:cstheme="minorHAnsi"/>
                <w:sz w:val="20"/>
                <w:szCs w:val="20"/>
              </w:rPr>
            </w:pPr>
            <w:r w:rsidRPr="00EC746E">
              <w:rPr>
                <w:rFonts w:cstheme="minorHAnsi"/>
                <w:sz w:val="20"/>
                <w:szCs w:val="20"/>
              </w:rPr>
              <w:t>Source:</w:t>
            </w:r>
          </w:p>
          <w:p w14:paraId="5251DA2A" w14:textId="1140CD41" w:rsidR="00AB628C" w:rsidRPr="00D2582C" w:rsidRDefault="00A73F8A" w:rsidP="00010E0F">
            <w:pPr>
              <w:rPr>
                <w:sz w:val="20"/>
                <w:szCs w:val="20"/>
              </w:rPr>
            </w:pPr>
            <w:r w:rsidRPr="00D2582C">
              <w:rPr>
                <w:sz w:val="20"/>
                <w:szCs w:val="20"/>
              </w:rPr>
              <w:t xml:space="preserve">Reports by </w:t>
            </w:r>
            <w:r w:rsidR="00371949" w:rsidRPr="00D2582C">
              <w:rPr>
                <w:sz w:val="20"/>
                <w:szCs w:val="20"/>
              </w:rPr>
              <w:t xml:space="preserve">Agency </w:t>
            </w:r>
            <w:r w:rsidR="00C57A30" w:rsidRPr="00D2582C">
              <w:rPr>
                <w:sz w:val="20"/>
                <w:szCs w:val="20"/>
              </w:rPr>
              <w:t>for Statistics of BiH</w:t>
            </w:r>
            <w:r w:rsidR="00AB628C" w:rsidRPr="00D2582C">
              <w:rPr>
                <w:sz w:val="20"/>
                <w:szCs w:val="20"/>
              </w:rPr>
              <w:t>(quarterly)</w:t>
            </w:r>
          </w:p>
          <w:p w14:paraId="292B6CE7" w14:textId="7F4F0CD0" w:rsidR="00AB628C" w:rsidRPr="00EC746E" w:rsidRDefault="00AB628C" w:rsidP="00010E0F">
            <w:pPr>
              <w:rPr>
                <w:rFonts w:cstheme="minorHAnsi"/>
                <w:sz w:val="20"/>
                <w:szCs w:val="20"/>
              </w:rPr>
            </w:pPr>
            <w:r w:rsidRPr="00D2582C">
              <w:rPr>
                <w:sz w:val="20"/>
                <w:szCs w:val="20"/>
              </w:rPr>
              <w:t>UN programme reports</w:t>
            </w:r>
          </w:p>
        </w:tc>
        <w:tc>
          <w:tcPr>
            <w:tcW w:w="3332" w:type="dxa"/>
            <w:vMerge/>
            <w:tcBorders>
              <w:top w:val="nil"/>
              <w:left w:val="single" w:sz="4" w:space="0" w:color="4F81BD" w:themeColor="accent1"/>
              <w:bottom w:val="single" w:sz="4" w:space="0" w:color="4F81BD" w:themeColor="accent1"/>
              <w:right w:val="single" w:sz="4" w:space="0" w:color="auto"/>
            </w:tcBorders>
          </w:tcPr>
          <w:p w14:paraId="01FDA620" w14:textId="77777777" w:rsidR="00AB628C" w:rsidRPr="00AE0359" w:rsidRDefault="00AB628C" w:rsidP="00010E0F">
            <w:pPr>
              <w:rPr>
                <w:rFonts w:cstheme="minorHAnsi"/>
                <w:color w:val="0F243E" w:themeColor="text2" w:themeShade="80"/>
                <w:sz w:val="20"/>
                <w:szCs w:val="20"/>
              </w:rPr>
            </w:pPr>
          </w:p>
        </w:tc>
      </w:tr>
      <w:tr w:rsidR="00AB628C" w:rsidRPr="00AE0359" w14:paraId="3B4D5E95"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356BA219" w14:textId="77777777" w:rsidR="00AB628C" w:rsidRPr="00AE0359" w:rsidRDefault="00AB628C" w:rsidP="00010E0F">
            <w:pPr>
              <w:rPr>
                <w:rFonts w:cstheme="minorHAnsi"/>
                <w:b/>
                <w:sz w:val="20"/>
                <w:szCs w:val="20"/>
              </w:rPr>
            </w:pPr>
          </w:p>
        </w:tc>
        <w:tc>
          <w:tcPr>
            <w:tcW w:w="7647" w:type="dxa"/>
            <w:gridSpan w:val="6"/>
            <w:tcBorders>
              <w:top w:val="single" w:sz="4" w:space="0" w:color="548DD4" w:themeColor="text2" w:themeTint="99"/>
              <w:left w:val="single" w:sz="4" w:space="0" w:color="4F81BD" w:themeColor="accent1"/>
              <w:bottom w:val="single" w:sz="4" w:space="0" w:color="548DD4" w:themeColor="text2" w:themeTint="99"/>
              <w:right w:val="single" w:sz="4" w:space="0" w:color="4F81BD" w:themeColor="accent1"/>
            </w:tcBorders>
          </w:tcPr>
          <w:p w14:paraId="7D36607C" w14:textId="6CF0B9F4" w:rsidR="00AB628C" w:rsidRPr="00BA7E42" w:rsidRDefault="00AB628C" w:rsidP="00010E0F">
            <w:pPr>
              <w:rPr>
                <w:rFonts w:cstheme="minorHAnsi"/>
                <w:b/>
                <w:sz w:val="20"/>
                <w:szCs w:val="20"/>
                <w:lang w:val="bs-Latn-BA"/>
              </w:rPr>
            </w:pPr>
            <w:r w:rsidRPr="00924C5D">
              <w:rPr>
                <w:rFonts w:cstheme="minorHAnsi"/>
                <w:b/>
                <w:sz w:val="20"/>
                <w:szCs w:val="20"/>
              </w:rPr>
              <w:t xml:space="preserve">1.f </w:t>
            </w:r>
            <w:r w:rsidRPr="00924C5D">
              <w:rPr>
                <w:rFonts w:cstheme="minorHAnsi"/>
                <w:sz w:val="20"/>
                <w:szCs w:val="20"/>
              </w:rPr>
              <w:t xml:space="preserve">Change in agriculture and rural development sector </w:t>
            </w:r>
            <w:r w:rsidRPr="00BA7E42">
              <w:rPr>
                <w:rFonts w:cstheme="minorHAnsi"/>
                <w:sz w:val="20"/>
                <w:szCs w:val="20"/>
              </w:rPr>
              <w:t>performance:</w:t>
            </w:r>
            <w:r w:rsidRPr="00BA7E42">
              <w:rPr>
                <w:rFonts w:cstheme="minorHAnsi"/>
                <w:b/>
                <w:sz w:val="20"/>
                <w:szCs w:val="20"/>
              </w:rPr>
              <w:t xml:space="preserve"> </w:t>
            </w:r>
          </w:p>
          <w:p w14:paraId="2A207939" w14:textId="77777777" w:rsidR="00AB628C" w:rsidRPr="00BA7E42" w:rsidRDefault="00AB628C" w:rsidP="00010E0F">
            <w:pPr>
              <w:ind w:left="513" w:hanging="284"/>
              <w:rPr>
                <w:rFonts w:cstheme="minorHAnsi"/>
                <w:sz w:val="20"/>
                <w:szCs w:val="20"/>
              </w:rPr>
            </w:pPr>
            <w:r w:rsidRPr="00BA7E42">
              <w:rPr>
                <w:rFonts w:cstheme="minorHAnsi"/>
                <w:sz w:val="20"/>
                <w:szCs w:val="20"/>
              </w:rPr>
              <w:t>a.</w:t>
            </w:r>
            <w:r w:rsidRPr="00BA7E42">
              <w:rPr>
                <w:rFonts w:cstheme="minorHAnsi"/>
                <w:b/>
                <w:sz w:val="20"/>
                <w:szCs w:val="20"/>
              </w:rPr>
              <w:t xml:space="preserve"> </w:t>
            </w:r>
            <w:r w:rsidRPr="00BA7E42">
              <w:rPr>
                <w:rFonts w:cstheme="minorHAnsi"/>
                <w:sz w:val="20"/>
                <w:szCs w:val="20"/>
              </w:rPr>
              <w:t>N</w:t>
            </w:r>
            <w:r w:rsidRPr="00BA7E42">
              <w:rPr>
                <w:rFonts w:cstheme="minorHAnsi"/>
                <w:sz w:val="20"/>
                <w:szCs w:val="20"/>
                <w:u w:val="single"/>
                <w:vertAlign w:val="superscript"/>
              </w:rPr>
              <w:t>o.</w:t>
            </w:r>
            <w:r w:rsidRPr="00BA7E42">
              <w:rPr>
                <w:bCs/>
                <w:sz w:val="20"/>
                <w:szCs w:val="20"/>
              </w:rPr>
              <w:t xml:space="preserve"> </w:t>
            </w:r>
            <w:r w:rsidRPr="00BA7E42">
              <w:rPr>
                <w:rFonts w:cstheme="minorHAnsi"/>
                <w:sz w:val="20"/>
                <w:szCs w:val="20"/>
              </w:rPr>
              <w:t>Agriculture and rural development frameworks/strategies adopted that include gender equality provisions and sex disaggregated data</w:t>
            </w:r>
          </w:p>
          <w:p w14:paraId="3AD74311" w14:textId="77777777" w:rsidR="00AB628C" w:rsidRPr="00924C5D" w:rsidRDefault="00AB628C" w:rsidP="00010E0F">
            <w:pPr>
              <w:ind w:firstLine="229"/>
              <w:rPr>
                <w:rFonts w:cstheme="minorHAnsi"/>
                <w:sz w:val="20"/>
                <w:szCs w:val="20"/>
              </w:rPr>
            </w:pPr>
            <w:r w:rsidRPr="00BA7E42">
              <w:rPr>
                <w:rFonts w:cstheme="minorHAnsi"/>
                <w:sz w:val="20"/>
                <w:szCs w:val="20"/>
              </w:rPr>
              <w:t>b. N</w:t>
            </w:r>
            <w:r w:rsidRPr="00BA7E42">
              <w:rPr>
                <w:rFonts w:cstheme="minorHAnsi"/>
                <w:sz w:val="20"/>
                <w:szCs w:val="20"/>
                <w:u w:val="single"/>
                <w:vertAlign w:val="superscript"/>
              </w:rPr>
              <w:t>o.</w:t>
            </w:r>
            <w:r w:rsidRPr="00BA7E42">
              <w:rPr>
                <w:bCs/>
                <w:sz w:val="20"/>
                <w:szCs w:val="20"/>
              </w:rPr>
              <w:t xml:space="preserve"> </w:t>
            </w:r>
            <w:r w:rsidRPr="00BA7E42">
              <w:rPr>
                <w:rFonts w:cstheme="minorHAnsi"/>
                <w:sz w:val="20"/>
                <w:szCs w:val="20"/>
              </w:rPr>
              <w:t xml:space="preserve"> Value chains strengthened</w:t>
            </w:r>
          </w:p>
          <w:p w14:paraId="6F34C854" w14:textId="77777777" w:rsidR="00AB628C" w:rsidRPr="00924C5D" w:rsidRDefault="00AB628C" w:rsidP="00010E0F">
            <w:pPr>
              <w:ind w:firstLine="229"/>
              <w:rPr>
                <w:rFonts w:cstheme="minorHAnsi"/>
                <w:b/>
                <w:sz w:val="20"/>
                <w:szCs w:val="20"/>
              </w:rPr>
            </w:pPr>
            <w:r w:rsidRPr="00924C5D">
              <w:rPr>
                <w:rFonts w:cstheme="minorHAnsi"/>
                <w:sz w:val="20"/>
                <w:szCs w:val="20"/>
              </w:rPr>
              <w:t xml:space="preserve">c. % Increase in revenue of targeted agri-food operators (SMAEs)  </w:t>
            </w:r>
          </w:p>
        </w:tc>
        <w:tc>
          <w:tcPr>
            <w:tcW w:w="3332" w:type="dxa"/>
            <w:vMerge/>
            <w:tcBorders>
              <w:top w:val="nil"/>
              <w:left w:val="single" w:sz="4" w:space="0" w:color="4F81BD" w:themeColor="accent1"/>
              <w:bottom w:val="single" w:sz="4" w:space="0" w:color="4F81BD" w:themeColor="accent1"/>
              <w:right w:val="single" w:sz="4" w:space="0" w:color="auto"/>
            </w:tcBorders>
          </w:tcPr>
          <w:p w14:paraId="56F62098" w14:textId="77777777" w:rsidR="00AB628C" w:rsidRPr="00AE0359" w:rsidRDefault="00AB628C" w:rsidP="00010E0F">
            <w:pPr>
              <w:rPr>
                <w:rFonts w:cstheme="minorHAnsi"/>
                <w:color w:val="0F243E" w:themeColor="text2" w:themeShade="80"/>
                <w:sz w:val="20"/>
                <w:szCs w:val="20"/>
              </w:rPr>
            </w:pPr>
          </w:p>
        </w:tc>
      </w:tr>
      <w:tr w:rsidR="00AB628C" w:rsidRPr="00AE0359" w14:paraId="1EA5A541" w14:textId="77777777" w:rsidTr="00075C38">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22323B2B" w14:textId="77777777" w:rsidR="00AB628C" w:rsidRPr="00AE0359" w:rsidRDefault="00AB628C" w:rsidP="00010E0F">
            <w:pPr>
              <w:rPr>
                <w:rFonts w:cstheme="minorHAnsi"/>
                <w:b/>
                <w:sz w:val="20"/>
                <w:szCs w:val="20"/>
              </w:rPr>
            </w:pPr>
          </w:p>
        </w:tc>
        <w:tc>
          <w:tcPr>
            <w:tcW w:w="2464" w:type="dxa"/>
            <w:gridSpan w:val="3"/>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7C14AD92" w14:textId="77777777" w:rsidR="00AB628C" w:rsidRPr="00924C5D" w:rsidRDefault="00AB628C" w:rsidP="00010E0F">
            <w:pPr>
              <w:rPr>
                <w:rFonts w:cstheme="minorHAnsi"/>
                <w:sz w:val="20"/>
                <w:szCs w:val="20"/>
              </w:rPr>
            </w:pPr>
            <w:r w:rsidRPr="00924C5D">
              <w:rPr>
                <w:rFonts w:cstheme="minorHAnsi"/>
                <w:sz w:val="20"/>
                <w:szCs w:val="20"/>
                <w:u w:val="single"/>
              </w:rPr>
              <w:t>Baseline (2019)</w:t>
            </w:r>
            <w:r w:rsidRPr="00924C5D">
              <w:rPr>
                <w:rFonts w:cstheme="minorHAnsi"/>
                <w:sz w:val="20"/>
                <w:szCs w:val="20"/>
              </w:rPr>
              <w:t xml:space="preserve">: </w:t>
            </w:r>
          </w:p>
          <w:p w14:paraId="4053A8C9" w14:textId="77777777" w:rsidR="00AB628C" w:rsidRPr="00924C5D" w:rsidRDefault="00AB628C" w:rsidP="00010E0F">
            <w:pPr>
              <w:rPr>
                <w:rFonts w:cstheme="minorHAnsi"/>
                <w:sz w:val="20"/>
                <w:szCs w:val="20"/>
              </w:rPr>
            </w:pPr>
            <w:r w:rsidRPr="00924C5D">
              <w:rPr>
                <w:rFonts w:cstheme="minorHAnsi"/>
                <w:sz w:val="20"/>
                <w:szCs w:val="20"/>
              </w:rPr>
              <w:t>a. Frameworks/strategies:4</w:t>
            </w:r>
          </w:p>
          <w:p w14:paraId="647EEC54" w14:textId="77777777" w:rsidR="00AB628C" w:rsidRPr="00924C5D" w:rsidRDefault="00AB628C" w:rsidP="00010E0F">
            <w:pPr>
              <w:rPr>
                <w:rFonts w:cstheme="minorHAnsi"/>
                <w:sz w:val="20"/>
                <w:szCs w:val="20"/>
              </w:rPr>
            </w:pPr>
            <w:r w:rsidRPr="00924C5D">
              <w:rPr>
                <w:rFonts w:cstheme="minorHAnsi"/>
                <w:sz w:val="20"/>
                <w:szCs w:val="20"/>
              </w:rPr>
              <w:t>b. Value chains: 8</w:t>
            </w:r>
          </w:p>
          <w:p w14:paraId="743D2D07" w14:textId="77777777" w:rsidR="00AB628C" w:rsidRPr="00924C5D" w:rsidRDefault="00AB628C" w:rsidP="00010E0F">
            <w:pPr>
              <w:rPr>
                <w:sz w:val="20"/>
                <w:szCs w:val="20"/>
              </w:rPr>
            </w:pPr>
            <w:r w:rsidRPr="00924C5D">
              <w:rPr>
                <w:sz w:val="20"/>
                <w:szCs w:val="20"/>
              </w:rPr>
              <w:t>c. % Increase in revenue: 0</w:t>
            </w:r>
          </w:p>
          <w:p w14:paraId="69F54F90" w14:textId="77777777" w:rsidR="00AB628C" w:rsidRPr="00924C5D" w:rsidRDefault="00AB628C" w:rsidP="00010E0F">
            <w:pPr>
              <w:rPr>
                <w:rFonts w:cstheme="minorHAnsi"/>
                <w:sz w:val="20"/>
                <w:szCs w:val="20"/>
              </w:rPr>
            </w:pPr>
          </w:p>
        </w:tc>
        <w:tc>
          <w:tcPr>
            <w:tcW w:w="21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2FA486B" w14:textId="77777777" w:rsidR="00AB628C" w:rsidRPr="00924C5D" w:rsidRDefault="00AB628C" w:rsidP="00010E0F">
            <w:pPr>
              <w:rPr>
                <w:rFonts w:cstheme="minorHAnsi"/>
                <w:sz w:val="20"/>
                <w:szCs w:val="20"/>
              </w:rPr>
            </w:pPr>
            <w:r w:rsidRPr="00924C5D">
              <w:rPr>
                <w:rFonts w:cstheme="minorHAnsi"/>
                <w:sz w:val="20"/>
                <w:szCs w:val="20"/>
                <w:u w:val="single"/>
              </w:rPr>
              <w:t>Target (2025)</w:t>
            </w:r>
            <w:r w:rsidRPr="00924C5D">
              <w:rPr>
                <w:rFonts w:cstheme="minorHAnsi"/>
                <w:sz w:val="20"/>
                <w:szCs w:val="20"/>
              </w:rPr>
              <w:t>:</w:t>
            </w:r>
          </w:p>
          <w:p w14:paraId="56B8E312" w14:textId="77777777" w:rsidR="00AB628C" w:rsidRPr="00924C5D" w:rsidRDefault="00AB628C" w:rsidP="00010E0F">
            <w:pPr>
              <w:rPr>
                <w:rFonts w:cstheme="minorHAnsi"/>
                <w:sz w:val="20"/>
                <w:szCs w:val="20"/>
              </w:rPr>
            </w:pPr>
            <w:r w:rsidRPr="00924C5D">
              <w:rPr>
                <w:rFonts w:cstheme="minorHAnsi"/>
                <w:sz w:val="20"/>
                <w:szCs w:val="20"/>
              </w:rPr>
              <w:t xml:space="preserve">a. Frameworks/strategies: 9 </w:t>
            </w:r>
          </w:p>
          <w:p w14:paraId="0DEC1E35" w14:textId="77777777" w:rsidR="00AB628C" w:rsidRPr="00924C5D" w:rsidRDefault="00AB628C" w:rsidP="00010E0F">
            <w:pPr>
              <w:rPr>
                <w:rFonts w:cstheme="minorHAnsi"/>
                <w:sz w:val="20"/>
                <w:szCs w:val="20"/>
              </w:rPr>
            </w:pPr>
            <w:r w:rsidRPr="00924C5D">
              <w:rPr>
                <w:rFonts w:cstheme="minorHAnsi"/>
                <w:sz w:val="20"/>
                <w:szCs w:val="20"/>
              </w:rPr>
              <w:t>b. Value chains: 12</w:t>
            </w:r>
          </w:p>
          <w:p w14:paraId="364F9A9E" w14:textId="77777777" w:rsidR="00AB628C" w:rsidRPr="00924C5D" w:rsidRDefault="00AB628C" w:rsidP="00010E0F">
            <w:pPr>
              <w:rPr>
                <w:rFonts w:cstheme="minorHAnsi"/>
                <w:sz w:val="20"/>
                <w:szCs w:val="20"/>
              </w:rPr>
            </w:pPr>
            <w:r w:rsidRPr="00924C5D">
              <w:rPr>
                <w:sz w:val="20"/>
                <w:szCs w:val="20"/>
              </w:rPr>
              <w:t>c. % Increase in revenue: 20</w:t>
            </w:r>
          </w:p>
          <w:p w14:paraId="26EB5E31" w14:textId="77777777" w:rsidR="00AB628C" w:rsidRPr="00924C5D" w:rsidRDefault="00AB628C" w:rsidP="00010E0F">
            <w:pPr>
              <w:rPr>
                <w:rFonts w:cstheme="minorHAnsi"/>
                <w:sz w:val="20"/>
                <w:szCs w:val="20"/>
              </w:rPr>
            </w:pP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2E893985" w14:textId="77777777"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6170743D" w14:textId="1D11E7B6" w:rsidR="00AB628C" w:rsidRPr="002848C1" w:rsidRDefault="00E93C27" w:rsidP="00010E0F">
            <w:pPr>
              <w:rPr>
                <w:rFonts w:cstheme="minorHAnsi"/>
                <w:sz w:val="20"/>
                <w:szCs w:val="20"/>
              </w:rPr>
            </w:pPr>
            <w:r w:rsidRPr="002848C1">
              <w:rPr>
                <w:rFonts w:cstheme="minorHAnsi"/>
                <w:sz w:val="20"/>
                <w:szCs w:val="20"/>
              </w:rPr>
              <w:t xml:space="preserve">Reports by relevant authorities in </w:t>
            </w:r>
            <w:r w:rsidR="00AB628C" w:rsidRPr="002848C1">
              <w:rPr>
                <w:rFonts w:cstheme="minorHAnsi"/>
                <w:sz w:val="20"/>
                <w:szCs w:val="20"/>
              </w:rPr>
              <w:t>BiH</w:t>
            </w:r>
          </w:p>
          <w:p w14:paraId="32282898" w14:textId="77777777" w:rsidR="00AB628C" w:rsidRPr="002848C1" w:rsidRDefault="00AB628C" w:rsidP="00010E0F">
            <w:pPr>
              <w:rPr>
                <w:rFonts w:cstheme="minorHAnsi"/>
                <w:sz w:val="20"/>
                <w:szCs w:val="20"/>
              </w:rPr>
            </w:pPr>
            <w:r w:rsidRPr="002848C1">
              <w:rPr>
                <w:rFonts w:cstheme="minorHAnsi"/>
                <w:sz w:val="20"/>
                <w:szCs w:val="20"/>
              </w:rPr>
              <w:t>UN programme reports</w:t>
            </w:r>
          </w:p>
        </w:tc>
        <w:tc>
          <w:tcPr>
            <w:tcW w:w="3332" w:type="dxa"/>
            <w:vMerge/>
            <w:tcBorders>
              <w:top w:val="nil"/>
              <w:left w:val="single" w:sz="4" w:space="0" w:color="4F81BD" w:themeColor="accent1"/>
              <w:bottom w:val="single" w:sz="4" w:space="0" w:color="4F81BD" w:themeColor="accent1"/>
              <w:right w:val="single" w:sz="4" w:space="0" w:color="auto"/>
            </w:tcBorders>
          </w:tcPr>
          <w:p w14:paraId="49AA204A" w14:textId="77777777" w:rsidR="00AB628C" w:rsidRPr="00AE0359" w:rsidRDefault="00AB628C" w:rsidP="00010E0F">
            <w:pPr>
              <w:rPr>
                <w:rFonts w:cstheme="minorHAnsi"/>
                <w:color w:val="0F243E" w:themeColor="text2" w:themeShade="80"/>
                <w:sz w:val="20"/>
                <w:szCs w:val="20"/>
              </w:rPr>
            </w:pPr>
          </w:p>
        </w:tc>
      </w:tr>
      <w:tr w:rsidR="00AB628C" w:rsidRPr="00AE0359" w14:paraId="271C68A4"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53C17771" w14:textId="77777777" w:rsidR="00AB628C" w:rsidRPr="00AE0359" w:rsidRDefault="00AB628C" w:rsidP="00010E0F">
            <w:pPr>
              <w:rPr>
                <w:rFonts w:cstheme="minorHAnsi"/>
                <w:b/>
                <w:sz w:val="20"/>
                <w:szCs w:val="20"/>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tcPr>
          <w:p w14:paraId="4010192B" w14:textId="77777777" w:rsidR="00AB628C" w:rsidRPr="000B7160" w:rsidRDefault="00AB628C" w:rsidP="00010E0F">
            <w:pPr>
              <w:rPr>
                <w:rFonts w:cstheme="minorHAnsi"/>
                <w:b/>
                <w:bCs/>
                <w:sz w:val="20"/>
                <w:szCs w:val="20"/>
              </w:rPr>
            </w:pPr>
            <w:r w:rsidRPr="000B7160">
              <w:rPr>
                <w:rFonts w:cstheme="minorHAnsi"/>
                <w:b/>
                <w:bCs/>
                <w:sz w:val="20"/>
                <w:szCs w:val="20"/>
              </w:rPr>
              <w:t>1.</w:t>
            </w:r>
            <w:r>
              <w:rPr>
                <w:rFonts w:cstheme="minorHAnsi"/>
                <w:b/>
                <w:bCs/>
                <w:sz w:val="20"/>
                <w:szCs w:val="20"/>
              </w:rPr>
              <w:t>g</w:t>
            </w:r>
            <w:r w:rsidRPr="000B7160">
              <w:rPr>
                <w:rFonts w:cstheme="minorHAnsi"/>
                <w:b/>
                <w:bCs/>
                <w:sz w:val="20"/>
                <w:szCs w:val="20"/>
              </w:rPr>
              <w:t xml:space="preserve"> SDG Indicator 15.1.2</w:t>
            </w:r>
          </w:p>
          <w:p w14:paraId="44A26EC5" w14:textId="2434A811" w:rsidR="00AB628C" w:rsidRPr="000B7160" w:rsidRDefault="00AB628C" w:rsidP="00010E0F">
            <w:pPr>
              <w:rPr>
                <w:rFonts w:cstheme="minorHAnsi"/>
                <w:sz w:val="20"/>
                <w:szCs w:val="20"/>
              </w:rPr>
            </w:pPr>
            <w:r w:rsidRPr="001F2ED1">
              <w:rPr>
                <w:rFonts w:cstheme="minorHAnsi"/>
                <w:sz w:val="20"/>
                <w:szCs w:val="20"/>
              </w:rPr>
              <w:t>%</w:t>
            </w:r>
            <w:r>
              <w:rPr>
                <w:rFonts w:cstheme="minorHAnsi"/>
                <w:sz w:val="20"/>
                <w:szCs w:val="20"/>
              </w:rPr>
              <w:t xml:space="preserve"> I</w:t>
            </w:r>
            <w:r w:rsidRPr="000B7160">
              <w:rPr>
                <w:rFonts w:cstheme="minorHAnsi"/>
                <w:sz w:val="20"/>
                <w:szCs w:val="20"/>
              </w:rPr>
              <w:t>mportant sites for terrestrial and freshwater biodiversity that are covered by protected areas, by ecosystem type (a. Freshwater; b. Land)</w:t>
            </w:r>
          </w:p>
        </w:tc>
        <w:tc>
          <w:tcPr>
            <w:tcW w:w="3332" w:type="dxa"/>
            <w:vMerge/>
            <w:tcBorders>
              <w:top w:val="nil"/>
              <w:left w:val="single" w:sz="4" w:space="0" w:color="4F81BD" w:themeColor="accent1"/>
              <w:bottom w:val="single" w:sz="4" w:space="0" w:color="4F81BD" w:themeColor="accent1"/>
              <w:right w:val="single" w:sz="4" w:space="0" w:color="auto"/>
            </w:tcBorders>
          </w:tcPr>
          <w:p w14:paraId="268067D7"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263F771E"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07E724A3"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49753883" w14:textId="77777777" w:rsidR="00AB628C" w:rsidRPr="00F30A28" w:rsidRDefault="00AB628C" w:rsidP="00010E0F">
            <w:pPr>
              <w:rPr>
                <w:rFonts w:cstheme="minorHAnsi"/>
                <w:sz w:val="20"/>
                <w:szCs w:val="20"/>
              </w:rPr>
            </w:pPr>
            <w:r w:rsidRPr="00F30A28">
              <w:rPr>
                <w:rFonts w:cstheme="minorHAnsi"/>
                <w:sz w:val="20"/>
                <w:szCs w:val="20"/>
                <w:u w:val="single"/>
              </w:rPr>
              <w:t>Baseline (2015)</w:t>
            </w:r>
            <w:r w:rsidRPr="00F30A28">
              <w:rPr>
                <w:rFonts w:cstheme="minorHAnsi"/>
                <w:sz w:val="20"/>
                <w:szCs w:val="20"/>
              </w:rPr>
              <w:t xml:space="preserve">: </w:t>
            </w:r>
          </w:p>
          <w:p w14:paraId="3105D561" w14:textId="77777777" w:rsidR="00AB628C" w:rsidRPr="00F30A28" w:rsidRDefault="00AB628C" w:rsidP="00010E0F">
            <w:pPr>
              <w:rPr>
                <w:sz w:val="20"/>
                <w:szCs w:val="20"/>
              </w:rPr>
            </w:pPr>
            <w:r w:rsidRPr="00F30A28">
              <w:rPr>
                <w:sz w:val="20"/>
                <w:szCs w:val="20"/>
              </w:rPr>
              <w:t>a: 6%</w:t>
            </w:r>
          </w:p>
          <w:p w14:paraId="47D7B145" w14:textId="77777777" w:rsidR="00AB628C" w:rsidRPr="00F30A28" w:rsidRDefault="00AB628C" w:rsidP="00010E0F">
            <w:pPr>
              <w:rPr>
                <w:rFonts w:cstheme="minorHAnsi"/>
                <w:sz w:val="20"/>
                <w:szCs w:val="20"/>
              </w:rPr>
            </w:pPr>
            <w:r w:rsidRPr="00F30A28">
              <w:rPr>
                <w:sz w:val="20"/>
                <w:szCs w:val="20"/>
              </w:rPr>
              <w:t>b: 0</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8B88566" w14:textId="77777777" w:rsidR="00AB628C" w:rsidRPr="00F30A28" w:rsidRDefault="00AB628C" w:rsidP="00010E0F">
            <w:pPr>
              <w:rPr>
                <w:sz w:val="20"/>
                <w:szCs w:val="20"/>
              </w:rPr>
            </w:pPr>
            <w:r w:rsidRPr="00F30A28">
              <w:rPr>
                <w:sz w:val="20"/>
                <w:szCs w:val="20"/>
                <w:u w:val="single"/>
              </w:rPr>
              <w:t>Target (2025)</w:t>
            </w:r>
            <w:r w:rsidRPr="00F30A28">
              <w:rPr>
                <w:sz w:val="20"/>
                <w:szCs w:val="20"/>
              </w:rPr>
              <w:t>:</w:t>
            </w:r>
          </w:p>
          <w:p w14:paraId="19E27206" w14:textId="77777777" w:rsidR="00AB628C" w:rsidRPr="00F30A28" w:rsidRDefault="00AB628C" w:rsidP="00010E0F">
            <w:pPr>
              <w:rPr>
                <w:sz w:val="20"/>
                <w:szCs w:val="20"/>
              </w:rPr>
            </w:pPr>
            <w:r w:rsidRPr="00F30A28">
              <w:rPr>
                <w:sz w:val="20"/>
                <w:szCs w:val="20"/>
              </w:rPr>
              <w:t>a: 10%</w:t>
            </w:r>
          </w:p>
          <w:p w14:paraId="1F3D0D19" w14:textId="77777777" w:rsidR="00AB628C" w:rsidRPr="00F30A28" w:rsidRDefault="00AB628C" w:rsidP="00010E0F">
            <w:pPr>
              <w:rPr>
                <w:sz w:val="20"/>
                <w:szCs w:val="20"/>
              </w:rPr>
            </w:pPr>
            <w:r w:rsidRPr="00F30A28">
              <w:rPr>
                <w:sz w:val="20"/>
                <w:szCs w:val="20"/>
              </w:rPr>
              <w:t>b: 42%</w:t>
            </w:r>
          </w:p>
          <w:p w14:paraId="042C4569" w14:textId="77777777" w:rsidR="00AB628C" w:rsidRPr="00F30A28" w:rsidRDefault="00AB628C" w:rsidP="00010E0F">
            <w:pPr>
              <w:rPr>
                <w:sz w:val="20"/>
                <w:szCs w:val="20"/>
              </w:rPr>
            </w:pPr>
          </w:p>
          <w:p w14:paraId="316F9201" w14:textId="77777777" w:rsidR="00AB628C" w:rsidRPr="00F30A28" w:rsidRDefault="00AB628C" w:rsidP="00010E0F">
            <w:pPr>
              <w:rPr>
                <w:rFonts w:cstheme="minorHAnsi"/>
                <w:sz w:val="20"/>
                <w:szCs w:val="20"/>
              </w:rPr>
            </w:pP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2041076F" w14:textId="77777777" w:rsidR="00AB628C" w:rsidRPr="000B7160" w:rsidRDefault="00AB628C" w:rsidP="00010E0F">
            <w:pPr>
              <w:rPr>
                <w:rFonts w:cstheme="minorHAnsi"/>
                <w:sz w:val="20"/>
                <w:szCs w:val="20"/>
              </w:rPr>
            </w:pPr>
            <w:r w:rsidRPr="000B7160">
              <w:rPr>
                <w:rFonts w:cstheme="minorHAnsi"/>
                <w:sz w:val="20"/>
                <w:szCs w:val="20"/>
                <w:u w:val="single"/>
              </w:rPr>
              <w:t>Source</w:t>
            </w:r>
            <w:r w:rsidRPr="000B7160">
              <w:rPr>
                <w:rFonts w:cstheme="minorHAnsi"/>
                <w:sz w:val="20"/>
                <w:szCs w:val="20"/>
              </w:rPr>
              <w:t>:</w:t>
            </w:r>
          </w:p>
          <w:p w14:paraId="79C6E358" w14:textId="77777777" w:rsidR="00AB628C" w:rsidRPr="000B7160" w:rsidRDefault="00AB628C" w:rsidP="00010E0F">
            <w:pPr>
              <w:rPr>
                <w:rFonts w:cstheme="minorHAnsi"/>
                <w:sz w:val="20"/>
                <w:szCs w:val="20"/>
              </w:rPr>
            </w:pPr>
            <w:r w:rsidRPr="00401558">
              <w:rPr>
                <w:color w:val="000000"/>
                <w:sz w:val="20"/>
                <w:szCs w:val="20"/>
                <w:shd w:val="clear" w:color="auto" w:fill="FFFFFF"/>
              </w:rPr>
              <w:t xml:space="preserve">Integrated Biodiversity Assessment Tool, </w:t>
            </w:r>
            <w:r w:rsidRPr="00401558">
              <w:rPr>
                <w:sz w:val="20"/>
                <w:szCs w:val="20"/>
                <w:lang w:val="en-GB"/>
              </w:rPr>
              <w:t>UNEP;</w:t>
            </w:r>
            <w:r>
              <w:rPr>
                <w:sz w:val="20"/>
                <w:szCs w:val="20"/>
                <w:lang w:val="en-GB"/>
              </w:rPr>
              <w:t xml:space="preserve"> </w:t>
            </w:r>
            <w:r>
              <w:rPr>
                <w:rFonts w:cstheme="minorHAnsi"/>
                <w:sz w:val="20"/>
                <w:szCs w:val="20"/>
              </w:rPr>
              <w:t xml:space="preserve">Draft SDG Framework in BiH; </w:t>
            </w:r>
            <w:r w:rsidRPr="00401558">
              <w:rPr>
                <w:rFonts w:cstheme="minorHAnsi"/>
                <w:sz w:val="20"/>
                <w:szCs w:val="20"/>
              </w:rPr>
              <w:t>World Bank</w:t>
            </w:r>
            <w:r>
              <w:rPr>
                <w:rFonts w:cstheme="minorHAnsi"/>
                <w:sz w:val="20"/>
                <w:szCs w:val="20"/>
              </w:rPr>
              <w:t>; State legal acts</w:t>
            </w:r>
          </w:p>
        </w:tc>
        <w:tc>
          <w:tcPr>
            <w:tcW w:w="3332" w:type="dxa"/>
            <w:vMerge/>
            <w:tcBorders>
              <w:top w:val="nil"/>
              <w:left w:val="single" w:sz="4" w:space="0" w:color="4F81BD" w:themeColor="accent1"/>
              <w:bottom w:val="single" w:sz="4" w:space="0" w:color="4F81BD" w:themeColor="accent1"/>
              <w:right w:val="single" w:sz="4" w:space="0" w:color="auto"/>
            </w:tcBorders>
          </w:tcPr>
          <w:p w14:paraId="5E0CA5BF" w14:textId="77777777" w:rsidR="00AB628C" w:rsidRPr="00AE0359" w:rsidRDefault="00AB628C" w:rsidP="00010E0F">
            <w:pPr>
              <w:rPr>
                <w:rFonts w:cstheme="minorHAnsi"/>
                <w:color w:val="0F243E" w:themeColor="text2" w:themeShade="80"/>
                <w:sz w:val="20"/>
                <w:szCs w:val="20"/>
              </w:rPr>
            </w:pPr>
          </w:p>
        </w:tc>
      </w:tr>
      <w:tr w:rsidR="00AB628C" w:rsidRPr="00AE0359" w14:paraId="587B427F"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6BC96E7F" w14:textId="77777777" w:rsidR="00AB628C" w:rsidRPr="00AE0359" w:rsidRDefault="00AB628C" w:rsidP="00010E0F">
            <w:pPr>
              <w:rPr>
                <w:rFonts w:cstheme="minorHAnsi"/>
                <w:b/>
                <w:sz w:val="20"/>
                <w:szCs w:val="20"/>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shd w:val="clear" w:color="auto" w:fill="auto"/>
          </w:tcPr>
          <w:p w14:paraId="29A0EB9C" w14:textId="42BD8C89" w:rsidR="00AB628C" w:rsidRPr="00330E4F" w:rsidRDefault="00AB628C" w:rsidP="00010E0F">
            <w:pPr>
              <w:rPr>
                <w:rFonts w:cstheme="minorHAnsi"/>
                <w:b/>
                <w:bCs/>
                <w:sz w:val="20"/>
                <w:szCs w:val="20"/>
              </w:rPr>
            </w:pPr>
            <w:r w:rsidRPr="00330E4F">
              <w:rPr>
                <w:b/>
                <w:bCs/>
                <w:sz w:val="20"/>
                <w:szCs w:val="20"/>
              </w:rPr>
              <w:t xml:space="preserve">1.h </w:t>
            </w:r>
            <w:r w:rsidRPr="00330E4F">
              <w:rPr>
                <w:rFonts w:cstheme="minorHAnsi"/>
                <w:b/>
                <w:bCs/>
                <w:sz w:val="20"/>
                <w:szCs w:val="20"/>
              </w:rPr>
              <w:t>SDG Indicator 13.2.1</w:t>
            </w:r>
          </w:p>
          <w:p w14:paraId="1D7B81B0" w14:textId="77777777" w:rsidR="00AB628C" w:rsidRPr="00D20843" w:rsidRDefault="00AB628C" w:rsidP="00010E0F">
            <w:pPr>
              <w:rPr>
                <w:rFonts w:cstheme="minorHAnsi"/>
                <w:sz w:val="20"/>
                <w:szCs w:val="20"/>
              </w:rPr>
            </w:pPr>
            <w:r w:rsidRPr="009358FC">
              <w:rPr>
                <w:bCs/>
                <w:sz w:val="20"/>
                <w:szCs w:val="20"/>
              </w:rPr>
              <w:t>Total annual emissions of carbon dioxide</w:t>
            </w:r>
            <w:r w:rsidRPr="00330E4F">
              <w:rPr>
                <w:bCs/>
                <w:sz w:val="20"/>
                <w:szCs w:val="20"/>
              </w:rPr>
              <w:t xml:space="preserve"> (in millions of metric tons)</w:t>
            </w:r>
          </w:p>
        </w:tc>
        <w:tc>
          <w:tcPr>
            <w:tcW w:w="3332" w:type="dxa"/>
            <w:vMerge/>
            <w:tcBorders>
              <w:top w:val="nil"/>
              <w:left w:val="single" w:sz="4" w:space="0" w:color="4F81BD" w:themeColor="accent1"/>
              <w:bottom w:val="single" w:sz="4" w:space="0" w:color="4F81BD" w:themeColor="accent1"/>
              <w:right w:val="single" w:sz="4" w:space="0" w:color="auto"/>
            </w:tcBorders>
          </w:tcPr>
          <w:p w14:paraId="262AF164"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217531CC" w14:textId="77777777" w:rsidTr="009674CE">
        <w:trPr>
          <w:trHeight w:val="275"/>
        </w:trPr>
        <w:tc>
          <w:tcPr>
            <w:tcW w:w="3065" w:type="dxa"/>
            <w:vMerge/>
            <w:tcBorders>
              <w:top w:val="nil"/>
              <w:left w:val="single" w:sz="4" w:space="0" w:color="auto"/>
              <w:bottom w:val="single" w:sz="4" w:space="0" w:color="4F81BD" w:themeColor="accent1"/>
              <w:right w:val="single" w:sz="4" w:space="0" w:color="4F81BD" w:themeColor="accent1"/>
            </w:tcBorders>
          </w:tcPr>
          <w:p w14:paraId="0BB2F2AF"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shd w:val="clear" w:color="auto" w:fill="auto"/>
          </w:tcPr>
          <w:p w14:paraId="6B14D04E" w14:textId="77777777" w:rsidR="00AB628C" w:rsidRDefault="00AB628C" w:rsidP="00010E0F">
            <w:pPr>
              <w:rPr>
                <w:rFonts w:cstheme="minorHAnsi"/>
                <w:sz w:val="20"/>
                <w:szCs w:val="20"/>
              </w:rPr>
            </w:pPr>
            <w:r w:rsidRPr="00AE0359">
              <w:rPr>
                <w:rFonts w:cstheme="minorHAnsi"/>
                <w:sz w:val="20"/>
                <w:szCs w:val="20"/>
                <w:u w:val="single"/>
              </w:rPr>
              <w:t>Baseline</w:t>
            </w:r>
            <w:r>
              <w:rPr>
                <w:rFonts w:cstheme="minorHAnsi"/>
                <w:sz w:val="20"/>
                <w:szCs w:val="20"/>
                <w:u w:val="single"/>
              </w:rPr>
              <w:t xml:space="preserve"> (2014)</w:t>
            </w:r>
            <w:r w:rsidRPr="00AE0359">
              <w:rPr>
                <w:rFonts w:cstheme="minorHAnsi"/>
                <w:sz w:val="20"/>
                <w:szCs w:val="20"/>
              </w:rPr>
              <w:t xml:space="preserve">: </w:t>
            </w:r>
          </w:p>
          <w:p w14:paraId="18882B09" w14:textId="77777777" w:rsidR="00AB628C" w:rsidRPr="00260807" w:rsidRDefault="00AB628C" w:rsidP="00010E0F">
            <w:pPr>
              <w:rPr>
                <w:rFonts w:cstheme="minorHAnsi"/>
                <w:sz w:val="20"/>
                <w:szCs w:val="20"/>
              </w:rPr>
            </w:pPr>
            <w:r w:rsidRPr="00260807">
              <w:rPr>
                <w:rFonts w:cstheme="minorHAnsi"/>
                <w:sz w:val="20"/>
                <w:szCs w:val="20"/>
              </w:rPr>
              <w:t>25.539 Mt CO2</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3AE7C4EC" w14:textId="77777777" w:rsidR="00AB628C" w:rsidRDefault="00AB628C" w:rsidP="00010E0F">
            <w:pPr>
              <w:rPr>
                <w:rFonts w:cstheme="minorHAnsi"/>
                <w:sz w:val="20"/>
                <w:szCs w:val="20"/>
              </w:rPr>
            </w:pPr>
            <w:r w:rsidRPr="00AE0359">
              <w:rPr>
                <w:rFonts w:cstheme="minorHAnsi"/>
                <w:sz w:val="20"/>
                <w:szCs w:val="20"/>
                <w:u w:val="single"/>
              </w:rPr>
              <w:t>Target</w:t>
            </w:r>
            <w:r>
              <w:rPr>
                <w:rFonts w:cstheme="minorHAnsi"/>
                <w:sz w:val="20"/>
                <w:szCs w:val="20"/>
                <w:u w:val="single"/>
              </w:rPr>
              <w:t xml:space="preserve"> (2025)</w:t>
            </w:r>
            <w:r w:rsidRPr="00AE0359">
              <w:rPr>
                <w:rFonts w:cstheme="minorHAnsi"/>
                <w:sz w:val="20"/>
                <w:szCs w:val="20"/>
              </w:rPr>
              <w:t>:</w:t>
            </w:r>
            <w:r>
              <w:rPr>
                <w:rFonts w:cstheme="minorHAnsi"/>
                <w:sz w:val="20"/>
                <w:szCs w:val="20"/>
              </w:rPr>
              <w:t xml:space="preserve"> </w:t>
            </w:r>
          </w:p>
          <w:p w14:paraId="687A649A" w14:textId="77777777" w:rsidR="00AB628C" w:rsidRDefault="00AB628C" w:rsidP="00010E0F">
            <w:pPr>
              <w:rPr>
                <w:rFonts w:cstheme="minorHAnsi"/>
                <w:sz w:val="20"/>
                <w:szCs w:val="20"/>
              </w:rPr>
            </w:pPr>
            <w:r w:rsidRPr="00260807">
              <w:rPr>
                <w:rFonts w:cstheme="minorHAnsi"/>
                <w:sz w:val="20"/>
                <w:szCs w:val="20"/>
              </w:rPr>
              <w:t>23,000 Mt CO2</w:t>
            </w:r>
          </w:p>
          <w:p w14:paraId="3A72641A" w14:textId="77777777" w:rsidR="00AB628C" w:rsidRPr="00AE0359" w:rsidRDefault="00AB628C" w:rsidP="00010E0F">
            <w:pPr>
              <w:rPr>
                <w:rFonts w:cstheme="minorHAnsi"/>
                <w:sz w:val="20"/>
                <w:szCs w:val="20"/>
              </w:rPr>
            </w:pP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shd w:val="clear" w:color="auto" w:fill="auto"/>
          </w:tcPr>
          <w:p w14:paraId="51771276" w14:textId="77777777"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600C0A9D" w14:textId="4D719349" w:rsidR="00AB628C" w:rsidRPr="002848C1" w:rsidRDefault="00AB628C" w:rsidP="00010E0F">
            <w:pPr>
              <w:rPr>
                <w:rFonts w:cstheme="minorHAnsi"/>
                <w:sz w:val="20"/>
                <w:szCs w:val="20"/>
              </w:rPr>
            </w:pPr>
            <w:r w:rsidRPr="002848C1">
              <w:rPr>
                <w:rFonts w:cstheme="minorHAnsi"/>
                <w:sz w:val="20"/>
                <w:szCs w:val="20"/>
              </w:rPr>
              <w:t xml:space="preserve">Revised </w:t>
            </w:r>
            <w:r w:rsidR="002C7A81" w:rsidRPr="002848C1">
              <w:rPr>
                <w:rFonts w:cstheme="minorHAnsi"/>
                <w:sz w:val="20"/>
                <w:szCs w:val="20"/>
              </w:rPr>
              <w:t xml:space="preserve">BiH </w:t>
            </w:r>
            <w:r w:rsidRPr="002848C1">
              <w:rPr>
                <w:rFonts w:cstheme="minorHAnsi"/>
                <w:sz w:val="20"/>
                <w:szCs w:val="20"/>
              </w:rPr>
              <w:t>Determined Contributions and the Energy and Climate Plan</w:t>
            </w:r>
            <w:r w:rsidR="003C1202" w:rsidRPr="002848C1">
              <w:rPr>
                <w:rFonts w:cstheme="minorHAnsi"/>
                <w:sz w:val="20"/>
                <w:szCs w:val="20"/>
              </w:rPr>
              <w:t xml:space="preserve"> in BiH</w:t>
            </w:r>
            <w:r w:rsidRPr="002848C1">
              <w:rPr>
                <w:rFonts w:cstheme="minorHAnsi"/>
                <w:sz w:val="20"/>
                <w:szCs w:val="20"/>
              </w:rPr>
              <w:t>.</w:t>
            </w:r>
          </w:p>
        </w:tc>
        <w:tc>
          <w:tcPr>
            <w:tcW w:w="3332" w:type="dxa"/>
            <w:vMerge/>
            <w:tcBorders>
              <w:top w:val="nil"/>
              <w:left w:val="single" w:sz="4" w:space="0" w:color="4F81BD" w:themeColor="accent1"/>
              <w:bottom w:val="single" w:sz="4" w:space="0" w:color="4F81BD" w:themeColor="accent1"/>
              <w:right w:val="single" w:sz="4" w:space="0" w:color="auto"/>
            </w:tcBorders>
          </w:tcPr>
          <w:p w14:paraId="49000965" w14:textId="77777777" w:rsidR="00AB628C" w:rsidRPr="00AE0359" w:rsidRDefault="00AB628C" w:rsidP="00010E0F">
            <w:pPr>
              <w:rPr>
                <w:rFonts w:cstheme="minorHAnsi"/>
                <w:color w:val="0F243E" w:themeColor="text2" w:themeShade="80"/>
                <w:sz w:val="20"/>
                <w:szCs w:val="20"/>
              </w:rPr>
            </w:pPr>
          </w:p>
        </w:tc>
      </w:tr>
      <w:tr w:rsidR="00AB628C" w:rsidRPr="00AE0359" w14:paraId="21969D8F"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28042B3D" w14:textId="77777777" w:rsidR="00AB628C" w:rsidRPr="00AE0359" w:rsidRDefault="00AB628C" w:rsidP="00010E0F">
            <w:pPr>
              <w:rPr>
                <w:rFonts w:cstheme="minorHAnsi"/>
                <w:b/>
                <w:sz w:val="20"/>
                <w:szCs w:val="20"/>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shd w:val="clear" w:color="auto" w:fill="auto"/>
          </w:tcPr>
          <w:p w14:paraId="42FB8B9E" w14:textId="6E3C0848" w:rsidR="00AB628C" w:rsidRPr="0032678A" w:rsidRDefault="00AB628C" w:rsidP="00010E0F">
            <w:pPr>
              <w:rPr>
                <w:rFonts w:cstheme="minorHAnsi"/>
                <w:b/>
                <w:bCs/>
                <w:sz w:val="20"/>
                <w:szCs w:val="20"/>
              </w:rPr>
            </w:pPr>
            <w:r w:rsidRPr="0032678A">
              <w:rPr>
                <w:rFonts w:cstheme="minorHAnsi"/>
                <w:b/>
                <w:bCs/>
                <w:sz w:val="20"/>
                <w:szCs w:val="20"/>
              </w:rPr>
              <w:t>1.</w:t>
            </w:r>
            <w:r>
              <w:rPr>
                <w:rFonts w:cstheme="minorHAnsi"/>
                <w:b/>
                <w:bCs/>
                <w:sz w:val="20"/>
                <w:szCs w:val="20"/>
              </w:rPr>
              <w:t>i</w:t>
            </w:r>
            <w:r w:rsidRPr="0032678A">
              <w:rPr>
                <w:rFonts w:cstheme="minorHAnsi"/>
                <w:b/>
                <w:bCs/>
                <w:sz w:val="20"/>
                <w:szCs w:val="20"/>
              </w:rPr>
              <w:t xml:space="preserve"> SDG Indicator 11.6.2</w:t>
            </w:r>
            <w:r>
              <w:rPr>
                <w:rFonts w:cstheme="minorHAnsi"/>
                <w:b/>
                <w:bCs/>
                <w:sz w:val="20"/>
                <w:szCs w:val="20"/>
              </w:rPr>
              <w:t xml:space="preserve"> </w:t>
            </w:r>
          </w:p>
          <w:p w14:paraId="4727F8AD" w14:textId="77777777" w:rsidR="00AB628C" w:rsidRPr="00D20843" w:rsidRDefault="00AB628C" w:rsidP="00010E0F">
            <w:pPr>
              <w:rPr>
                <w:rFonts w:cstheme="minorHAnsi"/>
                <w:sz w:val="20"/>
                <w:szCs w:val="20"/>
              </w:rPr>
            </w:pPr>
            <w:r w:rsidRPr="009358FC">
              <w:rPr>
                <w:rFonts w:cstheme="minorHAnsi"/>
                <w:sz w:val="20"/>
                <w:szCs w:val="20"/>
              </w:rPr>
              <w:t>Air Pollution /</w:t>
            </w:r>
            <w:r>
              <w:rPr>
                <w:rFonts w:cstheme="minorHAnsi"/>
                <w:sz w:val="20"/>
                <w:szCs w:val="20"/>
              </w:rPr>
              <w:t xml:space="preserve"> Annual mean levels of fine particulate matter (</w:t>
            </w:r>
            <w:r w:rsidRPr="0032678A">
              <w:rPr>
                <w:rFonts w:cstheme="minorHAnsi"/>
                <w:sz w:val="20"/>
                <w:szCs w:val="20"/>
              </w:rPr>
              <w:t xml:space="preserve">PM2.5 mean annual exposure </w:t>
            </w:r>
            <w:r>
              <w:rPr>
                <w:rFonts w:cstheme="minorHAnsi"/>
                <w:sz w:val="20"/>
                <w:szCs w:val="20"/>
              </w:rPr>
              <w:t xml:space="preserve">- </w:t>
            </w:r>
            <w:r w:rsidRPr="0032678A">
              <w:rPr>
                <w:rFonts w:cstheme="minorHAnsi"/>
                <w:sz w:val="20"/>
                <w:szCs w:val="20"/>
              </w:rPr>
              <w:t>micrograms per cubic meter)</w:t>
            </w:r>
          </w:p>
        </w:tc>
        <w:tc>
          <w:tcPr>
            <w:tcW w:w="3332" w:type="dxa"/>
            <w:vMerge/>
            <w:tcBorders>
              <w:top w:val="nil"/>
              <w:left w:val="single" w:sz="4" w:space="0" w:color="4F81BD" w:themeColor="accent1"/>
              <w:bottom w:val="single" w:sz="4" w:space="0" w:color="4F81BD" w:themeColor="accent1"/>
              <w:right w:val="single" w:sz="4" w:space="0" w:color="auto"/>
            </w:tcBorders>
          </w:tcPr>
          <w:p w14:paraId="637BDB3D"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212ECD91"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2A274E18"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40EBABB6" w14:textId="77777777" w:rsidR="00AB628C" w:rsidRDefault="00AB628C" w:rsidP="00010E0F">
            <w:pPr>
              <w:rPr>
                <w:rFonts w:cstheme="minorHAnsi"/>
                <w:sz w:val="20"/>
                <w:szCs w:val="20"/>
              </w:rPr>
            </w:pPr>
            <w:r w:rsidRPr="00AE0359">
              <w:rPr>
                <w:rFonts w:cstheme="minorHAnsi"/>
                <w:sz w:val="20"/>
                <w:szCs w:val="20"/>
                <w:u w:val="single"/>
              </w:rPr>
              <w:t>Baseline</w:t>
            </w:r>
            <w:r>
              <w:rPr>
                <w:rFonts w:cstheme="minorHAnsi"/>
                <w:sz w:val="20"/>
                <w:szCs w:val="20"/>
                <w:u w:val="single"/>
              </w:rPr>
              <w:t xml:space="preserve"> (2015)</w:t>
            </w:r>
            <w:r w:rsidRPr="00AE0359">
              <w:rPr>
                <w:rFonts w:cstheme="minorHAnsi"/>
                <w:sz w:val="20"/>
                <w:szCs w:val="20"/>
              </w:rPr>
              <w:t xml:space="preserve">: </w:t>
            </w:r>
          </w:p>
          <w:p w14:paraId="2C27396A" w14:textId="77777777" w:rsidR="00AB628C" w:rsidRPr="00AE0359" w:rsidRDefault="00AB628C" w:rsidP="00010E0F">
            <w:pPr>
              <w:rPr>
                <w:rFonts w:cstheme="minorHAnsi"/>
                <w:sz w:val="20"/>
                <w:szCs w:val="20"/>
              </w:rPr>
            </w:pPr>
            <w:r>
              <w:rPr>
                <w:rFonts w:cstheme="minorHAnsi"/>
                <w:sz w:val="20"/>
                <w:szCs w:val="20"/>
              </w:rPr>
              <w:t>29.6</w:t>
            </w: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7D2583E" w14:textId="77777777" w:rsidR="00AB628C" w:rsidRDefault="00AB628C" w:rsidP="00010E0F">
            <w:pPr>
              <w:rPr>
                <w:rFonts w:cstheme="minorHAnsi"/>
                <w:sz w:val="20"/>
                <w:szCs w:val="20"/>
              </w:rPr>
            </w:pPr>
            <w:r w:rsidRPr="00456AE5">
              <w:rPr>
                <w:rFonts w:cstheme="minorHAnsi"/>
                <w:sz w:val="20"/>
                <w:szCs w:val="20"/>
                <w:u w:val="single"/>
              </w:rPr>
              <w:t>Target (2025)</w:t>
            </w:r>
            <w:r w:rsidRPr="00456AE5">
              <w:rPr>
                <w:rFonts w:cstheme="minorHAnsi"/>
                <w:sz w:val="20"/>
                <w:szCs w:val="20"/>
              </w:rPr>
              <w:t>:</w:t>
            </w:r>
            <w:r>
              <w:rPr>
                <w:rFonts w:cstheme="minorHAnsi"/>
                <w:sz w:val="20"/>
                <w:szCs w:val="20"/>
              </w:rPr>
              <w:t xml:space="preserve"> </w:t>
            </w:r>
          </w:p>
          <w:p w14:paraId="5B904054" w14:textId="77777777" w:rsidR="00AB628C" w:rsidRDefault="00AB628C" w:rsidP="00010E0F">
            <w:pPr>
              <w:rPr>
                <w:rFonts w:cstheme="minorHAnsi"/>
                <w:sz w:val="20"/>
                <w:szCs w:val="20"/>
              </w:rPr>
            </w:pPr>
            <w:r>
              <w:rPr>
                <w:rFonts w:cstheme="minorHAnsi"/>
                <w:sz w:val="20"/>
                <w:szCs w:val="20"/>
              </w:rPr>
              <w:t>21</w:t>
            </w:r>
          </w:p>
          <w:p w14:paraId="4800AF75" w14:textId="77777777" w:rsidR="00AB628C" w:rsidRPr="00AE0359" w:rsidRDefault="00AB628C" w:rsidP="00010E0F">
            <w:pPr>
              <w:rPr>
                <w:rFonts w:cstheme="minorHAnsi"/>
                <w:sz w:val="20"/>
                <w:szCs w:val="20"/>
              </w:rPr>
            </w:pP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5D57E648" w14:textId="77777777" w:rsidR="00AB628C" w:rsidRDefault="00AB628C" w:rsidP="00010E0F">
            <w:pPr>
              <w:rPr>
                <w:rFonts w:cstheme="minorHAnsi"/>
                <w:sz w:val="20"/>
                <w:szCs w:val="20"/>
              </w:rPr>
            </w:pPr>
            <w:r w:rsidRPr="00AE0359">
              <w:rPr>
                <w:rFonts w:cstheme="minorHAnsi"/>
                <w:sz w:val="20"/>
                <w:szCs w:val="20"/>
                <w:u w:val="single"/>
              </w:rPr>
              <w:t>Source</w:t>
            </w:r>
            <w:r w:rsidRPr="00AE0359">
              <w:rPr>
                <w:rFonts w:cstheme="minorHAnsi"/>
                <w:sz w:val="20"/>
                <w:szCs w:val="20"/>
              </w:rPr>
              <w:t>:</w:t>
            </w:r>
          </w:p>
          <w:p w14:paraId="102A3CA3" w14:textId="77777777" w:rsidR="00AB628C" w:rsidRPr="00AE0359" w:rsidRDefault="00AB628C" w:rsidP="00010E0F">
            <w:pPr>
              <w:rPr>
                <w:rFonts w:cstheme="minorHAnsi"/>
                <w:sz w:val="20"/>
                <w:szCs w:val="20"/>
              </w:rPr>
            </w:pPr>
            <w:r>
              <w:rPr>
                <w:rFonts w:eastAsia="Calibri" w:cstheme="minorHAnsi"/>
                <w:sz w:val="20"/>
                <w:szCs w:val="20"/>
              </w:rPr>
              <w:t>W</w:t>
            </w:r>
            <w:r w:rsidRPr="009F7621">
              <w:rPr>
                <w:rFonts w:eastAsia="Calibri" w:cstheme="minorHAnsi"/>
                <w:sz w:val="20"/>
                <w:szCs w:val="20"/>
              </w:rPr>
              <w:t>HO Global Health Observatory data–</w:t>
            </w:r>
            <w:hyperlink r:id="rId37" w:history="1">
              <w:r w:rsidRPr="009F7621">
                <w:rPr>
                  <w:rFonts w:eastAsia="Calibri" w:cstheme="minorHAnsi"/>
                  <w:color w:val="0563C1"/>
                  <w:sz w:val="20"/>
                  <w:szCs w:val="20"/>
                  <w:u w:val="single"/>
                </w:rPr>
                <w:t>Exposure to ambient air pollution</w:t>
              </w:r>
            </w:hyperlink>
            <w:r>
              <w:rPr>
                <w:rFonts w:cstheme="minorHAnsi"/>
                <w:sz w:val="20"/>
                <w:szCs w:val="20"/>
              </w:rPr>
              <w:t xml:space="preserve">; Draft SDG Framework in BiH document </w:t>
            </w:r>
          </w:p>
        </w:tc>
        <w:tc>
          <w:tcPr>
            <w:tcW w:w="3332" w:type="dxa"/>
            <w:vMerge/>
            <w:tcBorders>
              <w:top w:val="nil"/>
              <w:left w:val="single" w:sz="4" w:space="0" w:color="4F81BD" w:themeColor="accent1"/>
              <w:bottom w:val="single" w:sz="4" w:space="0" w:color="4F81BD" w:themeColor="accent1"/>
              <w:right w:val="single" w:sz="4" w:space="0" w:color="auto"/>
            </w:tcBorders>
          </w:tcPr>
          <w:p w14:paraId="3F6502F2" w14:textId="77777777" w:rsidR="00AB628C" w:rsidRPr="00AE0359" w:rsidRDefault="00AB628C" w:rsidP="00010E0F">
            <w:pPr>
              <w:rPr>
                <w:rFonts w:cstheme="minorHAnsi"/>
                <w:color w:val="0F243E" w:themeColor="text2" w:themeShade="80"/>
                <w:sz w:val="20"/>
                <w:szCs w:val="20"/>
              </w:rPr>
            </w:pPr>
          </w:p>
        </w:tc>
      </w:tr>
      <w:tr w:rsidR="00AB628C" w:rsidRPr="00AE0359" w14:paraId="2C05E368"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1B90EA60" w14:textId="77777777" w:rsidR="00AB628C" w:rsidRPr="00AE0359" w:rsidRDefault="00AB628C" w:rsidP="00010E0F">
            <w:pPr>
              <w:rPr>
                <w:rFonts w:cstheme="minorHAnsi"/>
                <w:b/>
                <w:sz w:val="20"/>
                <w:szCs w:val="20"/>
              </w:rPr>
            </w:pPr>
          </w:p>
        </w:tc>
        <w:tc>
          <w:tcPr>
            <w:tcW w:w="7647" w:type="dxa"/>
            <w:gridSpan w:val="6"/>
            <w:tcBorders>
              <w:top w:val="nil"/>
              <w:left w:val="single" w:sz="4" w:space="0" w:color="4F81BD" w:themeColor="accent1"/>
              <w:bottom w:val="single" w:sz="4" w:space="0" w:color="548DD4" w:themeColor="text2" w:themeTint="99"/>
              <w:right w:val="single" w:sz="4" w:space="0" w:color="4F81BD" w:themeColor="accent1"/>
            </w:tcBorders>
          </w:tcPr>
          <w:p w14:paraId="217C2F48" w14:textId="2C46BEDF" w:rsidR="00AB628C" w:rsidRPr="00401558" w:rsidRDefault="00AB628C" w:rsidP="00010E0F">
            <w:pPr>
              <w:rPr>
                <w:rFonts w:cstheme="minorHAnsi"/>
                <w:b/>
                <w:bCs/>
                <w:sz w:val="20"/>
                <w:szCs w:val="20"/>
              </w:rPr>
            </w:pPr>
            <w:r w:rsidRPr="00401558">
              <w:rPr>
                <w:rFonts w:cstheme="minorHAnsi"/>
                <w:b/>
                <w:bCs/>
                <w:sz w:val="20"/>
                <w:szCs w:val="20"/>
              </w:rPr>
              <w:t>1.</w:t>
            </w:r>
            <w:r>
              <w:rPr>
                <w:rFonts w:cstheme="minorHAnsi"/>
                <w:b/>
                <w:bCs/>
                <w:sz w:val="20"/>
                <w:szCs w:val="20"/>
              </w:rPr>
              <w:t>j</w:t>
            </w:r>
            <w:r w:rsidRPr="00401558">
              <w:rPr>
                <w:rFonts w:cstheme="minorHAnsi"/>
                <w:b/>
                <w:bCs/>
                <w:sz w:val="20"/>
                <w:szCs w:val="20"/>
              </w:rPr>
              <w:t xml:space="preserve"> SDG Indicator 11.b.1/12.8.1 </w:t>
            </w:r>
          </w:p>
          <w:p w14:paraId="342E9ECB" w14:textId="77777777" w:rsidR="00AB628C" w:rsidRPr="00401558" w:rsidRDefault="00AB628C" w:rsidP="00010E0F">
            <w:pPr>
              <w:rPr>
                <w:rFonts w:cstheme="minorHAnsi"/>
                <w:sz w:val="20"/>
                <w:szCs w:val="20"/>
                <w:u w:val="single"/>
              </w:rPr>
            </w:pPr>
            <w:r w:rsidRPr="00F30A28">
              <w:rPr>
                <w:rFonts w:cstheme="minorHAnsi"/>
                <w:sz w:val="20"/>
                <w:szCs w:val="20"/>
              </w:rPr>
              <w:t>%</w:t>
            </w:r>
            <w:r w:rsidRPr="00A57AD0">
              <w:rPr>
                <w:bCs/>
                <w:sz w:val="20"/>
                <w:szCs w:val="20"/>
              </w:rPr>
              <w:t xml:space="preserve"> </w:t>
            </w:r>
            <w:r w:rsidRPr="00D907AE">
              <w:rPr>
                <w:rFonts w:cstheme="minorHAnsi"/>
                <w:sz w:val="20"/>
                <w:szCs w:val="20"/>
              </w:rPr>
              <w:t xml:space="preserve">Local </w:t>
            </w:r>
            <w:r>
              <w:rPr>
                <w:rFonts w:cstheme="minorHAnsi"/>
                <w:sz w:val="20"/>
                <w:szCs w:val="20"/>
              </w:rPr>
              <w:t xml:space="preserve">authorities with </w:t>
            </w:r>
            <w:r w:rsidRPr="00401558">
              <w:rPr>
                <w:rFonts w:cstheme="minorHAnsi"/>
                <w:sz w:val="20"/>
                <w:szCs w:val="20"/>
              </w:rPr>
              <w:t>local disaster risk reduction strategies in line with the Sendai Framework for DRR 2015-2030 (a. N</w:t>
            </w:r>
            <w:r w:rsidRPr="00401558">
              <w:rPr>
                <w:rFonts w:cstheme="minorHAnsi"/>
                <w:sz w:val="20"/>
                <w:szCs w:val="20"/>
                <w:u w:val="single"/>
                <w:vertAlign w:val="superscript"/>
              </w:rPr>
              <w:t>o.</w:t>
            </w:r>
            <w:r w:rsidRPr="00401558">
              <w:rPr>
                <w:rFonts w:cstheme="minorHAnsi"/>
                <w:sz w:val="20"/>
                <w:szCs w:val="20"/>
              </w:rPr>
              <w:t xml:space="preserve"> ; b. Extent to which action plans include gender equity considerations and sex disaggregated data</w:t>
            </w:r>
            <w:r>
              <w:rPr>
                <w:rFonts w:cstheme="minorHAnsi"/>
                <w:sz w:val="20"/>
                <w:szCs w:val="20"/>
              </w:rPr>
              <w:t xml:space="preserve">. </w:t>
            </w:r>
            <w:r w:rsidRPr="00401558">
              <w:rPr>
                <w:rFonts w:cstheme="minorHAnsi"/>
                <w:sz w:val="20"/>
                <w:szCs w:val="20"/>
              </w:rPr>
              <w:t>Rating: 4. Full inclusion; 3. Partial; 2. Inadequate; 1. No inclusion)</w:t>
            </w:r>
          </w:p>
        </w:tc>
        <w:tc>
          <w:tcPr>
            <w:tcW w:w="3332" w:type="dxa"/>
            <w:vMerge/>
            <w:tcBorders>
              <w:top w:val="nil"/>
              <w:left w:val="single" w:sz="4" w:space="0" w:color="4F81BD" w:themeColor="accent1"/>
              <w:bottom w:val="single" w:sz="4" w:space="0" w:color="4F81BD" w:themeColor="accent1"/>
              <w:right w:val="single" w:sz="4" w:space="0" w:color="auto"/>
            </w:tcBorders>
          </w:tcPr>
          <w:p w14:paraId="7B8EB014" w14:textId="77777777" w:rsidR="00AB628C" w:rsidRPr="00AE0359" w:rsidRDefault="00AB628C" w:rsidP="00010E0F">
            <w:pPr>
              <w:rPr>
                <w:rFonts w:cstheme="minorHAnsi"/>
                <w:color w:val="0F243E" w:themeColor="text2" w:themeShade="80"/>
                <w:sz w:val="20"/>
                <w:szCs w:val="20"/>
              </w:rPr>
            </w:pPr>
          </w:p>
        </w:tc>
      </w:tr>
      <w:tr w:rsidR="00AB628C" w:rsidRPr="00AE0359" w14:paraId="0718754F" w14:textId="77777777" w:rsidTr="009674CE">
        <w:trPr>
          <w:trHeight w:val="285"/>
        </w:trPr>
        <w:tc>
          <w:tcPr>
            <w:tcW w:w="3065" w:type="dxa"/>
            <w:vMerge/>
            <w:tcBorders>
              <w:top w:val="nil"/>
              <w:left w:val="single" w:sz="4" w:space="0" w:color="auto"/>
              <w:bottom w:val="single" w:sz="4" w:space="0" w:color="4F81BD" w:themeColor="accent1"/>
              <w:right w:val="single" w:sz="4" w:space="0" w:color="4F81BD" w:themeColor="accent1"/>
            </w:tcBorders>
          </w:tcPr>
          <w:p w14:paraId="78F1D515" w14:textId="77777777" w:rsidR="00AB628C" w:rsidRPr="00AE0359" w:rsidRDefault="00AB628C" w:rsidP="00010E0F">
            <w:pPr>
              <w:rPr>
                <w:rFonts w:cstheme="minorHAnsi"/>
                <w:b/>
                <w:sz w:val="20"/>
                <w:szCs w:val="20"/>
              </w:rPr>
            </w:pPr>
          </w:p>
        </w:tc>
        <w:tc>
          <w:tcPr>
            <w:tcW w:w="2293" w:type="dxa"/>
            <w:gridSpan w:val="2"/>
            <w:tcBorders>
              <w:top w:val="single" w:sz="4" w:space="0" w:color="548DD4" w:themeColor="text2" w:themeTint="99"/>
              <w:left w:val="single" w:sz="4" w:space="0" w:color="4F81BD" w:themeColor="accent1"/>
              <w:bottom w:val="single" w:sz="4" w:space="0" w:color="548DD4" w:themeColor="text2" w:themeTint="99"/>
              <w:right w:val="single" w:sz="4" w:space="0" w:color="548DD4" w:themeColor="text2" w:themeTint="99"/>
            </w:tcBorders>
          </w:tcPr>
          <w:p w14:paraId="708891B1" w14:textId="77777777" w:rsidR="00AB628C" w:rsidRPr="00401558" w:rsidRDefault="00AB628C" w:rsidP="00010E0F">
            <w:pPr>
              <w:rPr>
                <w:rFonts w:cstheme="minorHAnsi"/>
                <w:sz w:val="20"/>
                <w:szCs w:val="20"/>
              </w:rPr>
            </w:pPr>
            <w:r w:rsidRPr="00401558">
              <w:rPr>
                <w:rFonts w:cstheme="minorHAnsi"/>
                <w:sz w:val="20"/>
                <w:szCs w:val="20"/>
                <w:u w:val="single"/>
              </w:rPr>
              <w:t>Baseline (2020)</w:t>
            </w:r>
            <w:r w:rsidRPr="00401558">
              <w:rPr>
                <w:rFonts w:cstheme="minorHAnsi"/>
                <w:sz w:val="20"/>
                <w:szCs w:val="20"/>
              </w:rPr>
              <w:t xml:space="preserve">: </w:t>
            </w:r>
          </w:p>
          <w:p w14:paraId="424A384C" w14:textId="77777777" w:rsidR="00AB628C" w:rsidRPr="00401558" w:rsidRDefault="00AB628C" w:rsidP="00010E0F">
            <w:pPr>
              <w:rPr>
                <w:sz w:val="20"/>
                <w:szCs w:val="20"/>
              </w:rPr>
            </w:pPr>
            <w:r w:rsidRPr="00401558">
              <w:rPr>
                <w:rFonts w:cstheme="minorHAnsi"/>
                <w:sz w:val="20"/>
                <w:szCs w:val="20"/>
              </w:rPr>
              <w:t xml:space="preserve">a. </w:t>
            </w:r>
            <w:r w:rsidRPr="00401558">
              <w:rPr>
                <w:sz w:val="20"/>
                <w:szCs w:val="20"/>
              </w:rPr>
              <w:t xml:space="preserve">40% </w:t>
            </w:r>
          </w:p>
          <w:p w14:paraId="345EA556" w14:textId="77777777" w:rsidR="00AB628C" w:rsidRPr="00401558" w:rsidRDefault="00AB628C" w:rsidP="00010E0F">
            <w:pPr>
              <w:rPr>
                <w:sz w:val="20"/>
                <w:szCs w:val="20"/>
              </w:rPr>
            </w:pPr>
            <w:r w:rsidRPr="00401558">
              <w:rPr>
                <w:sz w:val="20"/>
                <w:szCs w:val="20"/>
              </w:rPr>
              <w:t>b. Inadequate</w:t>
            </w:r>
          </w:p>
          <w:p w14:paraId="2DF99309" w14:textId="77777777" w:rsidR="00AB628C" w:rsidRPr="00401558" w:rsidRDefault="00AB628C" w:rsidP="00010E0F">
            <w:pPr>
              <w:rPr>
                <w:rFonts w:cstheme="minorHAnsi"/>
                <w:sz w:val="20"/>
                <w:szCs w:val="20"/>
                <w:u w:val="single"/>
              </w:rPr>
            </w:pPr>
          </w:p>
        </w:tc>
        <w:tc>
          <w:tcPr>
            <w:tcW w:w="22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A8A7BFC" w14:textId="77777777" w:rsidR="00AB628C" w:rsidRPr="00401558" w:rsidRDefault="00AB628C" w:rsidP="00010E0F">
            <w:pPr>
              <w:rPr>
                <w:sz w:val="20"/>
                <w:szCs w:val="20"/>
                <w:lang w:val="en-US"/>
              </w:rPr>
            </w:pPr>
            <w:r w:rsidRPr="00401558">
              <w:rPr>
                <w:sz w:val="20"/>
                <w:szCs w:val="20"/>
                <w:u w:val="single"/>
              </w:rPr>
              <w:t>Target (2025)</w:t>
            </w:r>
            <w:r w:rsidRPr="00401558">
              <w:rPr>
                <w:sz w:val="20"/>
                <w:szCs w:val="20"/>
              </w:rPr>
              <w:t>:</w:t>
            </w:r>
          </w:p>
          <w:p w14:paraId="0DC369D6" w14:textId="77777777" w:rsidR="00AB628C" w:rsidRPr="00401558" w:rsidRDefault="00AB628C" w:rsidP="00010E0F">
            <w:pPr>
              <w:rPr>
                <w:sz w:val="20"/>
                <w:szCs w:val="20"/>
              </w:rPr>
            </w:pPr>
            <w:r w:rsidRPr="00401558">
              <w:rPr>
                <w:rFonts w:cstheme="minorHAnsi"/>
                <w:sz w:val="20"/>
                <w:szCs w:val="20"/>
              </w:rPr>
              <w:t xml:space="preserve">a. </w:t>
            </w:r>
            <w:r w:rsidRPr="00401558">
              <w:rPr>
                <w:sz w:val="20"/>
                <w:szCs w:val="20"/>
              </w:rPr>
              <w:t xml:space="preserve">50% </w:t>
            </w:r>
          </w:p>
          <w:p w14:paraId="1CBFF0D0" w14:textId="77777777" w:rsidR="00AB628C" w:rsidRPr="00401558" w:rsidRDefault="00AB628C" w:rsidP="00010E0F">
            <w:pPr>
              <w:rPr>
                <w:sz w:val="20"/>
                <w:szCs w:val="20"/>
              </w:rPr>
            </w:pPr>
            <w:r w:rsidRPr="00401558">
              <w:rPr>
                <w:sz w:val="20"/>
                <w:szCs w:val="20"/>
              </w:rPr>
              <w:t>b. Partial</w:t>
            </w:r>
            <w:r w:rsidRPr="00401558">
              <w:rPr>
                <w:sz w:val="20"/>
                <w:szCs w:val="20"/>
                <w:u w:val="single"/>
              </w:rPr>
              <w:t xml:space="preserve"> </w:t>
            </w:r>
          </w:p>
          <w:p w14:paraId="0A862CA3" w14:textId="77777777" w:rsidR="00AB628C" w:rsidRPr="00401558" w:rsidRDefault="00AB628C" w:rsidP="00010E0F">
            <w:pPr>
              <w:rPr>
                <w:sz w:val="20"/>
                <w:szCs w:val="20"/>
              </w:rPr>
            </w:pPr>
          </w:p>
        </w:tc>
        <w:tc>
          <w:tcPr>
            <w:tcW w:w="306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4F81BD" w:themeColor="accent1"/>
            </w:tcBorders>
          </w:tcPr>
          <w:p w14:paraId="586B3138" w14:textId="77777777" w:rsidR="00AB628C" w:rsidRPr="00401558" w:rsidRDefault="00AB628C" w:rsidP="00010E0F">
            <w:pPr>
              <w:rPr>
                <w:sz w:val="20"/>
                <w:szCs w:val="20"/>
                <w:lang w:val="en-US"/>
              </w:rPr>
            </w:pPr>
            <w:r w:rsidRPr="00401558">
              <w:rPr>
                <w:sz w:val="20"/>
                <w:szCs w:val="20"/>
                <w:u w:val="single"/>
              </w:rPr>
              <w:t>Source</w:t>
            </w:r>
            <w:r w:rsidRPr="00401558">
              <w:rPr>
                <w:sz w:val="20"/>
                <w:szCs w:val="20"/>
              </w:rPr>
              <w:t>:</w:t>
            </w:r>
          </w:p>
          <w:p w14:paraId="234C208A" w14:textId="77777777" w:rsidR="00AB628C" w:rsidRPr="00401558" w:rsidRDefault="00AB628C" w:rsidP="00010E0F">
            <w:pPr>
              <w:rPr>
                <w:sz w:val="20"/>
                <w:szCs w:val="20"/>
              </w:rPr>
            </w:pPr>
            <w:r w:rsidRPr="00401558">
              <w:rPr>
                <w:sz w:val="20"/>
                <w:szCs w:val="20"/>
              </w:rPr>
              <w:t xml:space="preserve">Local </w:t>
            </w:r>
            <w:r>
              <w:rPr>
                <w:sz w:val="20"/>
                <w:szCs w:val="20"/>
              </w:rPr>
              <w:t xml:space="preserve">authorities’ strategies and </w:t>
            </w:r>
            <w:r w:rsidRPr="00401558">
              <w:rPr>
                <w:sz w:val="20"/>
                <w:szCs w:val="20"/>
              </w:rPr>
              <w:t>reports.</w:t>
            </w:r>
          </w:p>
          <w:p w14:paraId="3A8916E4" w14:textId="77777777" w:rsidR="00AB628C" w:rsidRPr="00401558" w:rsidRDefault="00AB628C" w:rsidP="00010E0F">
            <w:pPr>
              <w:rPr>
                <w:sz w:val="20"/>
                <w:szCs w:val="20"/>
              </w:rPr>
            </w:pPr>
            <w:r w:rsidRPr="00401558">
              <w:rPr>
                <w:sz w:val="20"/>
                <w:szCs w:val="20"/>
              </w:rPr>
              <w:t>Note: propose indicator for SDG Framework group consideration</w:t>
            </w:r>
          </w:p>
        </w:tc>
        <w:tc>
          <w:tcPr>
            <w:tcW w:w="3332" w:type="dxa"/>
            <w:vMerge/>
            <w:tcBorders>
              <w:top w:val="nil"/>
              <w:left w:val="single" w:sz="4" w:space="0" w:color="4F81BD" w:themeColor="accent1"/>
              <w:bottom w:val="single" w:sz="4" w:space="0" w:color="4F81BD" w:themeColor="accent1"/>
              <w:right w:val="single" w:sz="4" w:space="0" w:color="auto"/>
            </w:tcBorders>
          </w:tcPr>
          <w:p w14:paraId="383FEA9E" w14:textId="77777777" w:rsidR="00AB628C" w:rsidRPr="00AE0359" w:rsidRDefault="00AB628C" w:rsidP="00010E0F">
            <w:pPr>
              <w:rPr>
                <w:rFonts w:cstheme="minorHAnsi"/>
                <w:color w:val="0F243E" w:themeColor="text2" w:themeShade="80"/>
                <w:sz w:val="20"/>
                <w:szCs w:val="20"/>
              </w:rPr>
            </w:pPr>
          </w:p>
        </w:tc>
      </w:tr>
    </w:tbl>
    <w:p w14:paraId="05C34FDB" w14:textId="77777777" w:rsidR="00AB628C" w:rsidRDefault="00AB628C" w:rsidP="00AB628C">
      <w:pPr>
        <w:spacing w:after="160" w:line="259" w:lineRule="auto"/>
        <w:rPr>
          <w:rFonts w:cstheme="minorHAnsi"/>
          <w:sz w:val="10"/>
          <w:szCs w:val="10"/>
        </w:rPr>
      </w:pPr>
      <w:r>
        <w:rPr>
          <w:rFonts w:cstheme="minorHAnsi"/>
          <w:sz w:val="10"/>
          <w:szCs w:val="10"/>
        </w:rPr>
        <w:br w:type="page"/>
      </w:r>
    </w:p>
    <w:tbl>
      <w:tblPr>
        <w:tblStyle w:val="TableGrid"/>
        <w:tblW w:w="14044" w:type="dxa"/>
        <w:tblInd w:w="-459" w:type="dxa"/>
        <w:tblBorders>
          <w:left w:val="none" w:sz="0" w:space="0" w:color="auto"/>
          <w:right w:val="none" w:sz="0" w:space="0" w:color="auto"/>
        </w:tblBorders>
        <w:tblLook w:val="04A0" w:firstRow="1" w:lastRow="0" w:firstColumn="1" w:lastColumn="0" w:noHBand="0" w:noVBand="1"/>
      </w:tblPr>
      <w:tblGrid>
        <w:gridCol w:w="3560"/>
        <w:gridCol w:w="185"/>
        <w:gridCol w:w="1668"/>
        <w:gridCol w:w="1829"/>
        <w:gridCol w:w="2456"/>
        <w:gridCol w:w="248"/>
        <w:gridCol w:w="4098"/>
      </w:tblGrid>
      <w:tr w:rsidR="00AB628C" w:rsidRPr="009A7D0D" w14:paraId="7E10495C" w14:textId="77777777" w:rsidTr="009674CE">
        <w:trPr>
          <w:trHeight w:val="450"/>
          <w:tblHeader/>
        </w:trPr>
        <w:tc>
          <w:tcPr>
            <w:tcW w:w="14044"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1F4E79"/>
            <w:vAlign w:val="center"/>
          </w:tcPr>
          <w:p w14:paraId="65941C58" w14:textId="77777777" w:rsidR="00AB628C" w:rsidRPr="009A7D0D" w:rsidRDefault="00AB628C" w:rsidP="00010E0F">
            <w:pPr>
              <w:jc w:val="center"/>
              <w:rPr>
                <w:rFonts w:cstheme="minorHAnsi"/>
                <w:b/>
                <w:color w:val="FFFFFF" w:themeColor="background1"/>
                <w:sz w:val="24"/>
                <w:szCs w:val="24"/>
              </w:rPr>
            </w:pPr>
            <w:r w:rsidRPr="009A7D0D">
              <w:rPr>
                <w:rFonts w:cstheme="minorHAnsi"/>
              </w:rPr>
              <w:br w:type="page"/>
            </w:r>
            <w:r>
              <w:rPr>
                <w:b/>
                <w:color w:val="FFFFFF" w:themeColor="background1"/>
                <w:sz w:val="24"/>
                <w:szCs w:val="24"/>
              </w:rPr>
              <w:t xml:space="preserve">BiH &amp; UN </w:t>
            </w:r>
            <w:r w:rsidRPr="009A7D0D">
              <w:rPr>
                <w:b/>
                <w:color w:val="FFFFFF" w:themeColor="background1"/>
                <w:sz w:val="24"/>
                <w:szCs w:val="24"/>
              </w:rPr>
              <w:t xml:space="preserve">Results </w:t>
            </w:r>
            <w:r>
              <w:rPr>
                <w:b/>
                <w:color w:val="FFFFFF" w:themeColor="background1"/>
                <w:sz w:val="24"/>
                <w:szCs w:val="24"/>
              </w:rPr>
              <w:t>Matrix [2021</w:t>
            </w:r>
            <w:r w:rsidRPr="009A7D0D">
              <w:rPr>
                <w:b/>
                <w:color w:val="FFFFFF" w:themeColor="background1"/>
                <w:sz w:val="24"/>
                <w:szCs w:val="24"/>
              </w:rPr>
              <w:t>-202</w:t>
            </w:r>
            <w:r>
              <w:rPr>
                <w:b/>
                <w:color w:val="FFFFFF" w:themeColor="background1"/>
                <w:sz w:val="24"/>
                <w:szCs w:val="24"/>
              </w:rPr>
              <w:t>5</w:t>
            </w:r>
            <w:r w:rsidRPr="009A7D0D">
              <w:rPr>
                <w:b/>
                <w:color w:val="FFFFFF" w:themeColor="background1"/>
                <w:sz w:val="24"/>
                <w:szCs w:val="24"/>
              </w:rPr>
              <w:t>]</w:t>
            </w:r>
          </w:p>
        </w:tc>
      </w:tr>
      <w:tr w:rsidR="00AB628C" w:rsidRPr="009A7D0D" w14:paraId="668394F0" w14:textId="77777777" w:rsidTr="009674CE">
        <w:trPr>
          <w:trHeight w:val="450"/>
          <w:tblHeader/>
        </w:trPr>
        <w:tc>
          <w:tcPr>
            <w:tcW w:w="14044"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1F4E79"/>
            <w:vAlign w:val="center"/>
          </w:tcPr>
          <w:p w14:paraId="51DB561E" w14:textId="77777777" w:rsidR="00AB628C" w:rsidRPr="00D73AAF" w:rsidRDefault="00AB628C" w:rsidP="00010E0F">
            <w:pPr>
              <w:jc w:val="center"/>
              <w:rPr>
                <w:b/>
                <w:color w:val="FFFFFF" w:themeColor="background1"/>
                <w:sz w:val="24"/>
                <w:szCs w:val="24"/>
              </w:rPr>
            </w:pPr>
            <w:r>
              <w:rPr>
                <w:b/>
                <w:color w:val="FFFFFF" w:themeColor="background1"/>
                <w:sz w:val="24"/>
                <w:szCs w:val="24"/>
              </w:rPr>
              <w:t xml:space="preserve">CF </w:t>
            </w:r>
            <w:r w:rsidRPr="00D73AAF">
              <w:rPr>
                <w:b/>
                <w:color w:val="FFFFFF" w:themeColor="background1"/>
                <w:sz w:val="24"/>
                <w:szCs w:val="24"/>
              </w:rPr>
              <w:t xml:space="preserve">priority: </w:t>
            </w:r>
            <w:r w:rsidRPr="008C4A65">
              <w:rPr>
                <w:b/>
                <w:color w:val="FFFFFF" w:themeColor="background1"/>
                <w:sz w:val="24"/>
                <w:szCs w:val="24"/>
              </w:rPr>
              <w:t>Quality, accessible and inclusive education, health and social protection</w:t>
            </w:r>
          </w:p>
        </w:tc>
      </w:tr>
      <w:tr w:rsidR="00AB628C" w:rsidRPr="009C7C0A" w14:paraId="6F22506C" w14:textId="77777777" w:rsidTr="009674CE">
        <w:trPr>
          <w:trHeight w:val="311"/>
        </w:trPr>
        <w:tc>
          <w:tcPr>
            <w:tcW w:w="14044"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95B3D7" w:themeFill="accent1" w:themeFillTint="99"/>
          </w:tcPr>
          <w:p w14:paraId="60F5A56F" w14:textId="77777777" w:rsidR="00AB628C" w:rsidRDefault="00AB628C" w:rsidP="00010E0F">
            <w:pPr>
              <w:spacing w:before="60" w:after="60"/>
              <w:rPr>
                <w:rFonts w:cstheme="minorHAnsi"/>
                <w:color w:val="0F243E" w:themeColor="text2" w:themeShade="80"/>
                <w:sz w:val="20"/>
                <w:szCs w:val="20"/>
              </w:rPr>
            </w:pPr>
            <w:r w:rsidRPr="009C7C0A">
              <w:rPr>
                <w:rFonts w:cstheme="minorHAnsi"/>
                <w:b/>
                <w:color w:val="0F243E" w:themeColor="text2" w:themeShade="80"/>
                <w:sz w:val="20"/>
                <w:szCs w:val="20"/>
              </w:rPr>
              <w:t>SDGs and targets</w:t>
            </w:r>
            <w:r w:rsidRPr="00AE07CC">
              <w:rPr>
                <w:rStyle w:val="FootnoteReference"/>
                <w:rFonts w:cstheme="minorHAnsi"/>
                <w:b/>
                <w:color w:val="0F243E" w:themeColor="text2" w:themeShade="80"/>
                <w:sz w:val="20"/>
                <w:szCs w:val="20"/>
              </w:rPr>
              <w:footnoteReference w:id="136"/>
            </w:r>
            <w:r w:rsidRPr="00AE07CC">
              <w:rPr>
                <w:rFonts w:cstheme="minorHAnsi"/>
                <w:b/>
                <w:color w:val="0F243E" w:themeColor="text2" w:themeShade="80"/>
                <w:sz w:val="20"/>
                <w:szCs w:val="20"/>
              </w:rPr>
              <w:t xml:space="preserve">: </w:t>
            </w:r>
            <w:r w:rsidRPr="00AE07CC">
              <w:rPr>
                <w:rFonts w:cstheme="minorHAnsi"/>
                <w:bCs/>
                <w:color w:val="0F243E" w:themeColor="text2" w:themeShade="80"/>
                <w:sz w:val="20"/>
                <w:szCs w:val="20"/>
              </w:rPr>
              <w:t xml:space="preserve">3. Healthy lives and well-being: 3.4, 3.7; </w:t>
            </w:r>
            <w:r w:rsidRPr="00AE07CC">
              <w:rPr>
                <w:rFonts w:cstheme="minorHAnsi"/>
                <w:color w:val="0F243E" w:themeColor="text2" w:themeShade="80"/>
                <w:sz w:val="20"/>
                <w:szCs w:val="20"/>
              </w:rPr>
              <w:t>4.</w:t>
            </w:r>
            <w:r w:rsidRPr="009C7C0A">
              <w:rPr>
                <w:rFonts w:cstheme="minorHAnsi"/>
                <w:color w:val="0F243E" w:themeColor="text2" w:themeShade="80"/>
                <w:sz w:val="20"/>
                <w:szCs w:val="20"/>
              </w:rPr>
              <w:t xml:space="preserve"> Quality education: 4.1.1, 4.2.2, 4.7.1, 4.c.1; 5</w:t>
            </w:r>
            <w:r w:rsidRPr="00CB588B">
              <w:rPr>
                <w:rFonts w:cstheme="minorHAnsi"/>
                <w:color w:val="0F243E" w:themeColor="text2" w:themeShade="80"/>
                <w:sz w:val="20"/>
                <w:szCs w:val="20"/>
              </w:rPr>
              <w:t>. Gender equality: 5.5, 5.a; 8. Decent work and economic growth: 8.3.1 (</w:t>
            </w:r>
            <w:r w:rsidRPr="00CB588B">
              <w:rPr>
                <w:rFonts w:cstheme="minorHAnsi"/>
                <w:i/>
                <w:color w:val="0F243E" w:themeColor="text2" w:themeShade="80"/>
                <w:sz w:val="20"/>
                <w:szCs w:val="20"/>
              </w:rPr>
              <w:t>Proxy: Share of shadow economy in GDP</w:t>
            </w:r>
            <w:r w:rsidRPr="00CB588B">
              <w:rPr>
                <w:rFonts w:cstheme="minorHAnsi"/>
                <w:color w:val="0F243E" w:themeColor="text2" w:themeShade="80"/>
                <w:sz w:val="20"/>
                <w:szCs w:val="20"/>
              </w:rPr>
              <w:t>), 8.5.2; 10. Reduced inequalities: 10.1, 10.2, 10.3, 10.4</w:t>
            </w:r>
          </w:p>
          <w:p w14:paraId="4AD882E4" w14:textId="77777777" w:rsidR="00AB628C" w:rsidRPr="009C7C0A" w:rsidRDefault="00AB628C" w:rsidP="00010E0F">
            <w:pPr>
              <w:spacing w:before="60" w:after="60"/>
              <w:rPr>
                <w:rFonts w:cstheme="minorHAnsi"/>
                <w:b/>
                <w:color w:val="0F243E" w:themeColor="text2" w:themeShade="80"/>
                <w:sz w:val="20"/>
                <w:szCs w:val="20"/>
              </w:rPr>
            </w:pPr>
            <w:r w:rsidRPr="00E05038">
              <w:rPr>
                <w:rFonts w:cstheme="minorHAnsi"/>
                <w:b/>
                <w:color w:val="0F243E" w:themeColor="text2" w:themeShade="80"/>
                <w:sz w:val="20"/>
                <w:szCs w:val="20"/>
              </w:rPr>
              <w:t>Sentinel impact indicators</w:t>
            </w:r>
            <w:r w:rsidRPr="00E05038">
              <w:rPr>
                <w:rFonts w:cstheme="minorHAnsi"/>
                <w:color w:val="0F243E" w:themeColor="text2" w:themeShade="80"/>
                <w:sz w:val="20"/>
                <w:szCs w:val="20"/>
              </w:rPr>
              <w:t>: 1. Net migration rate; 2. Unemployment and employment rates by sex (SDG 8.5.2); 3. Shortfall in women’s estimated GNI (SDG 5.a, 10.2, proxy)</w:t>
            </w:r>
          </w:p>
        </w:tc>
      </w:tr>
      <w:tr w:rsidR="00AB628C" w:rsidRPr="009C7C0A" w14:paraId="7B682CDD" w14:textId="77777777" w:rsidTr="009674CE">
        <w:trPr>
          <w:trHeight w:val="311"/>
        </w:trPr>
        <w:tc>
          <w:tcPr>
            <w:tcW w:w="14044"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12743925" w14:textId="77777777" w:rsidR="00AB628C" w:rsidRPr="009C7C0A" w:rsidRDefault="00AB628C" w:rsidP="00010E0F">
            <w:pPr>
              <w:spacing w:before="60" w:after="60"/>
              <w:rPr>
                <w:rFonts w:cstheme="minorHAnsi"/>
                <w:color w:val="0F243E" w:themeColor="text2" w:themeShade="80"/>
                <w:sz w:val="20"/>
                <w:szCs w:val="20"/>
                <w:lang w:val="en"/>
              </w:rPr>
            </w:pPr>
            <w:r w:rsidRPr="009C7C0A">
              <w:rPr>
                <w:rFonts w:cstheme="minorHAnsi"/>
                <w:i/>
                <w:color w:val="0F243E" w:themeColor="text2" w:themeShade="80"/>
                <w:sz w:val="20"/>
                <w:szCs w:val="20"/>
                <w:lang w:val="en"/>
              </w:rPr>
              <w:t>SDG Framework in BiH</w:t>
            </w:r>
            <w:r>
              <w:rPr>
                <w:rFonts w:cstheme="minorHAnsi"/>
                <w:i/>
                <w:color w:val="0F243E" w:themeColor="text2" w:themeShade="80"/>
                <w:sz w:val="20"/>
                <w:szCs w:val="20"/>
                <w:lang w:val="en"/>
              </w:rPr>
              <w:t xml:space="preserve"> (draft)</w:t>
            </w:r>
            <w:r w:rsidRPr="009C7C0A">
              <w:rPr>
                <w:rFonts w:cstheme="minorHAnsi"/>
                <w:i/>
                <w:color w:val="0F243E" w:themeColor="text2" w:themeShade="80"/>
                <w:sz w:val="20"/>
                <w:szCs w:val="20"/>
                <w:lang w:val="en"/>
              </w:rPr>
              <w:t xml:space="preserve">: </w:t>
            </w:r>
            <w:r w:rsidRPr="009C7C0A">
              <w:rPr>
                <w:rFonts w:cstheme="minorHAnsi"/>
                <w:color w:val="0F243E" w:themeColor="text2" w:themeShade="80"/>
                <w:sz w:val="20"/>
                <w:szCs w:val="20"/>
                <w:lang w:val="en"/>
              </w:rPr>
              <w:t xml:space="preserve">1. Good governance: i. </w:t>
            </w:r>
            <w:r>
              <w:rPr>
                <w:rFonts w:cstheme="minorHAnsi"/>
                <w:color w:val="0F243E" w:themeColor="text2" w:themeShade="80"/>
                <w:sz w:val="20"/>
                <w:szCs w:val="20"/>
                <w:lang w:val="en"/>
              </w:rPr>
              <w:t xml:space="preserve">Efficient, transparent, inclusive and </w:t>
            </w:r>
            <w:r w:rsidRPr="006D0A01">
              <w:rPr>
                <w:rFonts w:cstheme="minorHAnsi"/>
                <w:color w:val="0F243E" w:themeColor="text2" w:themeShade="80"/>
                <w:sz w:val="20"/>
                <w:szCs w:val="20"/>
                <w:lang w:val="en"/>
              </w:rPr>
              <w:t>accountable public sector</w:t>
            </w:r>
            <w:r w:rsidRPr="009C7C0A">
              <w:rPr>
                <w:rFonts w:cstheme="minorHAnsi"/>
                <w:color w:val="0F243E" w:themeColor="text2" w:themeShade="80"/>
                <w:sz w:val="20"/>
                <w:szCs w:val="20"/>
                <w:lang w:val="en"/>
              </w:rPr>
              <w:t>, ii. Rule of Law</w:t>
            </w:r>
            <w:r>
              <w:rPr>
                <w:rFonts w:cstheme="minorHAnsi"/>
                <w:color w:val="0F243E" w:themeColor="text2" w:themeShade="80"/>
                <w:sz w:val="20"/>
                <w:szCs w:val="20"/>
                <w:lang w:val="en"/>
              </w:rPr>
              <w:t>/Fundamental rights</w:t>
            </w:r>
            <w:r w:rsidRPr="009C7C0A">
              <w:rPr>
                <w:rFonts w:cstheme="minorHAnsi"/>
                <w:color w:val="0F243E" w:themeColor="text2" w:themeShade="80"/>
                <w:sz w:val="20"/>
                <w:szCs w:val="20"/>
                <w:lang w:val="en"/>
              </w:rPr>
              <w:t xml:space="preserve">; 3. </w:t>
            </w:r>
            <w:r>
              <w:rPr>
                <w:rFonts w:cstheme="minorHAnsi"/>
                <w:color w:val="0F243E" w:themeColor="text2" w:themeShade="80"/>
                <w:sz w:val="20"/>
                <w:szCs w:val="20"/>
                <w:lang w:val="en"/>
              </w:rPr>
              <w:t>Equal opportunities</w:t>
            </w:r>
            <w:r w:rsidRPr="009C7C0A">
              <w:rPr>
                <w:rFonts w:cstheme="minorHAnsi"/>
                <w:color w:val="0F243E" w:themeColor="text2" w:themeShade="80"/>
                <w:sz w:val="20"/>
                <w:szCs w:val="20"/>
                <w:lang w:val="en"/>
              </w:rPr>
              <w:t xml:space="preserve">: i. Adequate social security, ii. </w:t>
            </w:r>
            <w:r>
              <w:rPr>
                <w:rFonts w:cstheme="minorHAnsi"/>
                <w:color w:val="0F243E" w:themeColor="text2" w:themeShade="80"/>
                <w:sz w:val="20"/>
                <w:szCs w:val="20"/>
                <w:lang w:val="en"/>
              </w:rPr>
              <w:t>Inclusive</w:t>
            </w:r>
            <w:r w:rsidRPr="009C7C0A">
              <w:rPr>
                <w:rFonts w:cstheme="minorHAnsi"/>
                <w:color w:val="0F243E" w:themeColor="text2" w:themeShade="80"/>
                <w:sz w:val="20"/>
                <w:szCs w:val="20"/>
                <w:lang w:val="en"/>
              </w:rPr>
              <w:t xml:space="preserve"> employment policy; iv. Quality, inclusive education; </w:t>
            </w:r>
            <w:r>
              <w:rPr>
                <w:rFonts w:cstheme="minorHAnsi"/>
                <w:color w:val="0F243E" w:themeColor="text2" w:themeShade="80"/>
                <w:sz w:val="20"/>
                <w:szCs w:val="20"/>
                <w:lang w:val="en"/>
              </w:rPr>
              <w:t xml:space="preserve">Cross-cutting: </w:t>
            </w:r>
            <w:r w:rsidRPr="009C7C0A">
              <w:rPr>
                <w:rFonts w:cstheme="minorHAnsi"/>
                <w:color w:val="0F243E" w:themeColor="text2" w:themeShade="80"/>
                <w:sz w:val="20"/>
                <w:szCs w:val="20"/>
                <w:lang w:val="en"/>
              </w:rPr>
              <w:t>Human capital for 21</w:t>
            </w:r>
            <w:r w:rsidRPr="009C7C0A">
              <w:rPr>
                <w:rFonts w:cstheme="minorHAnsi"/>
                <w:color w:val="0F243E" w:themeColor="text2" w:themeShade="80"/>
                <w:sz w:val="20"/>
                <w:szCs w:val="20"/>
                <w:vertAlign w:val="superscript"/>
                <w:lang w:val="en"/>
              </w:rPr>
              <w:t>st</w:t>
            </w:r>
            <w:r w:rsidRPr="009C7C0A">
              <w:rPr>
                <w:rFonts w:cstheme="minorHAnsi"/>
                <w:color w:val="0F243E" w:themeColor="text2" w:themeShade="80"/>
                <w:sz w:val="20"/>
                <w:szCs w:val="20"/>
                <w:lang w:val="en"/>
              </w:rPr>
              <w:t xml:space="preserve"> </w:t>
            </w:r>
            <w:r>
              <w:rPr>
                <w:rFonts w:cstheme="minorHAnsi"/>
                <w:color w:val="0F243E" w:themeColor="text2" w:themeShade="80"/>
                <w:sz w:val="20"/>
                <w:szCs w:val="20"/>
                <w:lang w:val="en"/>
              </w:rPr>
              <w:t xml:space="preserve">and Leave no one behind </w:t>
            </w:r>
            <w:r w:rsidRPr="009C7C0A">
              <w:rPr>
                <w:rFonts w:cstheme="minorHAnsi"/>
                <w:color w:val="0F243E" w:themeColor="text2" w:themeShade="80"/>
                <w:sz w:val="20"/>
                <w:szCs w:val="20"/>
                <w:lang w:val="en"/>
              </w:rPr>
              <w:t> </w:t>
            </w:r>
          </w:p>
          <w:p w14:paraId="0FC1084D" w14:textId="77777777" w:rsidR="00AB628C" w:rsidRPr="009C7C0A" w:rsidRDefault="00AB628C" w:rsidP="00010E0F">
            <w:pPr>
              <w:spacing w:before="60" w:after="60"/>
              <w:rPr>
                <w:sz w:val="20"/>
                <w:szCs w:val="20"/>
              </w:rPr>
            </w:pPr>
            <w:r w:rsidRPr="009C7C0A">
              <w:rPr>
                <w:rFonts w:cstheme="minorHAnsi"/>
                <w:i/>
                <w:color w:val="0F243E" w:themeColor="text2" w:themeShade="80"/>
                <w:sz w:val="20"/>
                <w:szCs w:val="20"/>
              </w:rPr>
              <w:t>EU accession</w:t>
            </w:r>
            <w:r w:rsidRPr="00BA6A02">
              <w:rPr>
                <w:rStyle w:val="FootnoteReference"/>
                <w:rFonts w:cstheme="minorHAnsi"/>
                <w:i/>
                <w:color w:val="0F243E" w:themeColor="text2" w:themeShade="80"/>
                <w:sz w:val="20"/>
                <w:szCs w:val="20"/>
              </w:rPr>
              <w:footnoteReference w:id="137"/>
            </w:r>
            <w:r w:rsidRPr="009C7C0A">
              <w:rPr>
                <w:rFonts w:cstheme="minorHAnsi"/>
                <w:color w:val="0F243E" w:themeColor="text2" w:themeShade="80"/>
                <w:sz w:val="20"/>
                <w:szCs w:val="20"/>
              </w:rPr>
              <w:t>:</w:t>
            </w:r>
            <w:r w:rsidRPr="009C7C0A">
              <w:rPr>
                <w:rFonts w:cstheme="minorHAnsi"/>
                <w:b/>
                <w:color w:val="0F243E" w:themeColor="text2" w:themeShade="80"/>
                <w:sz w:val="20"/>
                <w:szCs w:val="20"/>
              </w:rPr>
              <w:t xml:space="preserve"> </w:t>
            </w:r>
            <w:r w:rsidRPr="009C7C0A">
              <w:rPr>
                <w:rFonts w:cstheme="minorHAnsi"/>
                <w:color w:val="0F243E" w:themeColor="text2" w:themeShade="80"/>
                <w:sz w:val="20"/>
                <w:szCs w:val="20"/>
              </w:rPr>
              <w:t>(1) IPA-3 Rule of Law; Democracy &amp; Human Rights; Public Administration; (2) Op9. Strengthen protection of the rights of all citizens, ensure implementation of non-discrimination, gender equality laws, Op9. Protection of human rights, non-discrimination; Op13. Improve the protection and inclusion of vulnerable groups</w:t>
            </w:r>
            <w:r w:rsidRPr="009C7C0A">
              <w:rPr>
                <w:sz w:val="20"/>
                <w:szCs w:val="20"/>
              </w:rPr>
              <w:t xml:space="preserve"> </w:t>
            </w:r>
          </w:p>
        </w:tc>
      </w:tr>
      <w:tr w:rsidR="00AB628C" w:rsidRPr="009C7C0A" w14:paraId="42494469" w14:textId="77777777" w:rsidTr="009674CE">
        <w:trPr>
          <w:trHeight w:val="311"/>
        </w:trPr>
        <w:tc>
          <w:tcPr>
            <w:tcW w:w="14044"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668E11A5" w14:textId="77777777" w:rsidR="00AB628C" w:rsidRPr="009C7C0A" w:rsidRDefault="00AB628C" w:rsidP="00010E0F">
            <w:pPr>
              <w:spacing w:before="40" w:after="40"/>
              <w:rPr>
                <w:rFonts w:cstheme="minorHAnsi"/>
                <w:b/>
                <w:sz w:val="20"/>
                <w:szCs w:val="20"/>
              </w:rPr>
            </w:pPr>
            <w:r w:rsidRPr="00B322B2">
              <w:rPr>
                <w:rFonts w:cstheme="minorHAnsi"/>
                <w:i/>
                <w:sz w:val="20"/>
                <w:szCs w:val="20"/>
              </w:rPr>
              <w:t>Joint Socio-Economic Reforms, 2019-2022</w:t>
            </w:r>
            <w:r w:rsidRPr="009C7C0A">
              <w:rPr>
                <w:rFonts w:cstheme="minorHAnsi"/>
                <w:sz w:val="20"/>
                <w:szCs w:val="20"/>
                <w:vertAlign w:val="superscript"/>
              </w:rPr>
              <w:footnoteReference w:id="138"/>
            </w:r>
            <w:r w:rsidRPr="009C7C0A">
              <w:rPr>
                <w:rFonts w:cstheme="minorHAnsi"/>
                <w:sz w:val="20"/>
                <w:szCs w:val="20"/>
              </w:rPr>
              <w:t xml:space="preserve">: </w:t>
            </w:r>
          </w:p>
          <w:p w14:paraId="7347CE6A" w14:textId="77777777" w:rsidR="00AB628C" w:rsidRPr="009C7C0A" w:rsidRDefault="00AB628C" w:rsidP="00010E0F">
            <w:pPr>
              <w:spacing w:before="40" w:after="40"/>
              <w:rPr>
                <w:rFonts w:cstheme="minorHAnsi"/>
                <w:sz w:val="20"/>
                <w:szCs w:val="20"/>
              </w:rPr>
            </w:pPr>
            <w:r w:rsidRPr="009C7C0A">
              <w:rPr>
                <w:rFonts w:cstheme="minorHAnsi"/>
                <w:sz w:val="20"/>
                <w:szCs w:val="20"/>
              </w:rPr>
              <w:t>I. Sustainable and Accelerated Economic Growth, Increased Competitiveness of the Economy and Improved Business Environment</w:t>
            </w:r>
          </w:p>
          <w:p w14:paraId="24C6B2CB" w14:textId="77777777" w:rsidR="00AB628C" w:rsidRPr="009C7C0A" w:rsidRDefault="00AB628C" w:rsidP="00010E0F">
            <w:pPr>
              <w:spacing w:before="40" w:after="40"/>
              <w:rPr>
                <w:rFonts w:cstheme="minorHAnsi"/>
                <w:sz w:val="20"/>
                <w:szCs w:val="20"/>
              </w:rPr>
            </w:pPr>
            <w:r w:rsidRPr="009C7C0A">
              <w:rPr>
                <w:rFonts w:cstheme="minorHAnsi"/>
                <w:sz w:val="20"/>
                <w:szCs w:val="20"/>
              </w:rPr>
              <w:t>IV. Policies that Provide Opportunities to Youth, Women and other Vulnerable Groups</w:t>
            </w:r>
          </w:p>
          <w:p w14:paraId="75C5DA01" w14:textId="77777777" w:rsidR="00AB628C" w:rsidRPr="009C7C0A" w:rsidRDefault="00AB628C" w:rsidP="00010E0F">
            <w:pPr>
              <w:spacing w:before="40" w:after="40"/>
              <w:rPr>
                <w:rFonts w:cstheme="minorHAnsi"/>
                <w:color w:val="FFFFFF" w:themeColor="background1"/>
                <w:sz w:val="20"/>
                <w:szCs w:val="20"/>
              </w:rPr>
            </w:pPr>
            <w:r w:rsidRPr="009C7C0A">
              <w:rPr>
                <w:rFonts w:cstheme="minorHAnsi"/>
                <w:sz w:val="20"/>
                <w:szCs w:val="20"/>
              </w:rPr>
              <w:t>‘</w:t>
            </w:r>
            <w:r w:rsidRPr="009C7C0A">
              <w:rPr>
                <w:rFonts w:cstheme="minorHAnsi"/>
                <w:i/>
                <w:sz w:val="20"/>
                <w:szCs w:val="20"/>
              </w:rPr>
              <w:t>The skills that are needed to support a growing economy in the future are not being created and insufficient attention is paid to entrepreneurship and innovation in the education system</w:t>
            </w:r>
            <w:r w:rsidRPr="009C7C0A">
              <w:rPr>
                <w:rFonts w:cstheme="minorHAnsi"/>
                <w:sz w:val="20"/>
                <w:szCs w:val="20"/>
              </w:rPr>
              <w:t xml:space="preserve">.’ </w:t>
            </w:r>
          </w:p>
        </w:tc>
      </w:tr>
      <w:tr w:rsidR="00AB628C" w:rsidRPr="009C7C0A" w14:paraId="10FFDF23" w14:textId="77777777" w:rsidTr="009674CE">
        <w:trPr>
          <w:trHeight w:val="311"/>
        </w:trPr>
        <w:tc>
          <w:tcPr>
            <w:tcW w:w="14044"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0FD24724" w14:textId="77777777" w:rsidR="00AB628C" w:rsidRPr="003C2B4E" w:rsidRDefault="00AB628C" w:rsidP="00010E0F">
            <w:pPr>
              <w:spacing w:before="60" w:after="60"/>
              <w:rPr>
                <w:rFonts w:cstheme="minorHAnsi"/>
                <w:b/>
                <w:color w:val="0F243E" w:themeColor="text2" w:themeShade="80"/>
                <w:sz w:val="20"/>
                <w:szCs w:val="20"/>
              </w:rPr>
            </w:pPr>
            <w:r w:rsidRPr="00924C5D">
              <w:rPr>
                <w:rFonts w:cstheme="minorHAnsi"/>
                <w:i/>
                <w:color w:val="0F243E" w:themeColor="text2" w:themeShade="80"/>
                <w:sz w:val="20"/>
                <w:szCs w:val="20"/>
              </w:rPr>
              <w:t>Regional framework(s) and targets</w:t>
            </w:r>
            <w:r w:rsidRPr="00924C5D">
              <w:rPr>
                <w:rFonts w:cstheme="minorHAnsi"/>
                <w:b/>
                <w:color w:val="0F243E" w:themeColor="text2" w:themeShade="80"/>
                <w:sz w:val="20"/>
                <w:szCs w:val="20"/>
              </w:rPr>
              <w:t xml:space="preserve">: </w:t>
            </w:r>
            <w:r w:rsidRPr="00924C5D">
              <w:rPr>
                <w:rFonts w:cstheme="minorHAnsi"/>
                <w:color w:val="0F243E" w:themeColor="text2" w:themeShade="80"/>
                <w:sz w:val="20"/>
                <w:szCs w:val="20"/>
              </w:rPr>
              <w:t>Western Balkans Action Plan</w:t>
            </w:r>
            <w:r w:rsidRPr="00924C5D">
              <w:rPr>
                <w:rStyle w:val="FootnoteReference"/>
                <w:rFonts w:cstheme="minorHAnsi"/>
                <w:sz w:val="20"/>
                <w:szCs w:val="20"/>
                <w:lang w:val="en-US"/>
              </w:rPr>
              <w:footnoteReference w:id="139"/>
            </w:r>
            <w:r w:rsidRPr="00924C5D">
              <w:rPr>
                <w:rFonts w:cstheme="minorHAnsi"/>
                <w:color w:val="0F243E" w:themeColor="text2" w:themeShade="80"/>
                <w:sz w:val="20"/>
                <w:szCs w:val="20"/>
              </w:rPr>
              <w:t xml:space="preserve">: (3) Address </w:t>
            </w:r>
            <w:r w:rsidRPr="00924C5D">
              <w:rPr>
                <w:color w:val="0F243E" w:themeColor="text2" w:themeShade="80"/>
                <w:sz w:val="20"/>
              </w:rPr>
              <w:t>challenges</w:t>
            </w:r>
            <w:r w:rsidRPr="00924C5D">
              <w:rPr>
                <w:rFonts w:cstheme="minorHAnsi"/>
                <w:color w:val="0F243E" w:themeColor="text2" w:themeShade="80"/>
                <w:sz w:val="20"/>
                <w:szCs w:val="20"/>
                <w:lang w:val="en-GB"/>
              </w:rPr>
              <w:t xml:space="preserve"> in the area of rule of law, including impunity</w:t>
            </w:r>
          </w:p>
        </w:tc>
      </w:tr>
      <w:tr w:rsidR="00AB628C" w:rsidRPr="009A7D0D" w14:paraId="777994DB" w14:textId="77777777" w:rsidTr="009674CE">
        <w:trPr>
          <w:trHeight w:val="337"/>
          <w:tblHeader/>
        </w:trPr>
        <w:tc>
          <w:tcPr>
            <w:tcW w:w="3745" w:type="dxa"/>
            <w:gridSpan w:val="2"/>
            <w:tcBorders>
              <w:top w:val="single" w:sz="4" w:space="0" w:color="548DD4" w:themeColor="text2" w:themeTint="99"/>
              <w:left w:val="single" w:sz="4" w:space="0" w:color="auto"/>
              <w:bottom w:val="single" w:sz="4" w:space="0" w:color="4F81BD" w:themeColor="accent1"/>
              <w:right w:val="nil"/>
            </w:tcBorders>
            <w:shd w:val="clear" w:color="auto" w:fill="1F4E79"/>
            <w:vAlign w:val="center"/>
          </w:tcPr>
          <w:p w14:paraId="431FF7E3"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Outcome</w:t>
            </w:r>
          </w:p>
        </w:tc>
        <w:tc>
          <w:tcPr>
            <w:tcW w:w="5953" w:type="dxa"/>
            <w:gridSpan w:val="3"/>
            <w:tcBorders>
              <w:top w:val="single" w:sz="4" w:space="0" w:color="548DD4" w:themeColor="text2" w:themeTint="99"/>
              <w:left w:val="nil"/>
              <w:bottom w:val="single" w:sz="4" w:space="0" w:color="4F81BD" w:themeColor="accent1"/>
              <w:right w:val="nil"/>
            </w:tcBorders>
            <w:shd w:val="clear" w:color="auto" w:fill="1F4E79"/>
            <w:vAlign w:val="center"/>
          </w:tcPr>
          <w:p w14:paraId="3C75A5D1"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Indicators, Baselines, Targets, Data source</w:t>
            </w:r>
          </w:p>
        </w:tc>
        <w:tc>
          <w:tcPr>
            <w:tcW w:w="4346" w:type="dxa"/>
            <w:gridSpan w:val="2"/>
            <w:tcBorders>
              <w:top w:val="single" w:sz="4" w:space="0" w:color="548DD4" w:themeColor="text2" w:themeTint="99"/>
              <w:left w:val="nil"/>
              <w:bottom w:val="single" w:sz="4" w:space="0" w:color="4F81BD" w:themeColor="accent1"/>
              <w:right w:val="single" w:sz="4" w:space="0" w:color="auto"/>
            </w:tcBorders>
            <w:shd w:val="clear" w:color="auto" w:fill="1F4E79"/>
            <w:vAlign w:val="center"/>
          </w:tcPr>
          <w:p w14:paraId="0867216A"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Partners</w:t>
            </w:r>
          </w:p>
        </w:tc>
      </w:tr>
      <w:tr w:rsidR="00AB628C" w:rsidRPr="00AE0359" w14:paraId="740FAE47" w14:textId="77777777" w:rsidTr="009674CE">
        <w:trPr>
          <w:trHeight w:val="285"/>
        </w:trPr>
        <w:tc>
          <w:tcPr>
            <w:tcW w:w="3560" w:type="dxa"/>
            <w:vMerge w:val="restart"/>
            <w:tcBorders>
              <w:top w:val="single" w:sz="4" w:space="0" w:color="548DD4" w:themeColor="text2" w:themeTint="99"/>
              <w:left w:val="single" w:sz="4" w:space="0" w:color="auto"/>
              <w:bottom w:val="single" w:sz="4" w:space="0" w:color="4F81BD" w:themeColor="accent1"/>
              <w:right w:val="single" w:sz="4" w:space="0" w:color="4F81BD" w:themeColor="accent1"/>
            </w:tcBorders>
          </w:tcPr>
          <w:p w14:paraId="0E507BFD" w14:textId="77777777" w:rsidR="00AB628C" w:rsidRDefault="00AB628C" w:rsidP="00010E0F">
            <w:pPr>
              <w:rPr>
                <w:rFonts w:cstheme="minorHAnsi"/>
                <w:sz w:val="20"/>
                <w:szCs w:val="20"/>
              </w:rPr>
            </w:pPr>
            <w:r w:rsidRPr="00CB588B">
              <w:rPr>
                <w:rFonts w:cstheme="minorHAnsi"/>
                <w:b/>
                <w:sz w:val="20"/>
                <w:szCs w:val="20"/>
              </w:rPr>
              <w:t xml:space="preserve">Outcome 2. </w:t>
            </w:r>
            <w:r w:rsidRPr="00CB588B">
              <w:rPr>
                <w:rFonts w:cstheme="minorHAnsi"/>
                <w:sz w:val="20"/>
                <w:szCs w:val="20"/>
              </w:rPr>
              <w:t>By 2025, people benefit from more inclusive and higher quality educational programmes focused on 21</w:t>
            </w:r>
            <w:r w:rsidRPr="00CB588B">
              <w:rPr>
                <w:rFonts w:cstheme="minorHAnsi"/>
                <w:sz w:val="20"/>
                <w:szCs w:val="20"/>
                <w:vertAlign w:val="superscript"/>
              </w:rPr>
              <w:t>st</w:t>
            </w:r>
            <w:r w:rsidRPr="00CB588B">
              <w:rPr>
                <w:rFonts w:cstheme="minorHAnsi"/>
                <w:sz w:val="20"/>
                <w:szCs w:val="20"/>
              </w:rPr>
              <w:t xml:space="preserve"> century skills for enhanced employability</w:t>
            </w:r>
            <w:r>
              <w:rPr>
                <w:rFonts w:cstheme="minorHAnsi"/>
                <w:sz w:val="20"/>
                <w:szCs w:val="20"/>
              </w:rPr>
              <w:t xml:space="preserve"> and </w:t>
            </w:r>
            <w:r w:rsidRPr="00CB588B">
              <w:rPr>
                <w:rFonts w:cstheme="minorHAnsi"/>
                <w:sz w:val="20"/>
                <w:szCs w:val="20"/>
              </w:rPr>
              <w:t xml:space="preserve">well-being </w:t>
            </w:r>
          </w:p>
          <w:p w14:paraId="40B15813" w14:textId="77777777" w:rsidR="00AB628C" w:rsidRDefault="00AB628C" w:rsidP="00010E0F">
            <w:pPr>
              <w:rPr>
                <w:rFonts w:cstheme="minorHAnsi"/>
                <w:sz w:val="20"/>
                <w:szCs w:val="20"/>
              </w:rPr>
            </w:pPr>
          </w:p>
          <w:p w14:paraId="11ABACAE" w14:textId="626456E7" w:rsidR="00586A79" w:rsidRDefault="00586A79" w:rsidP="00586A79">
            <w:pPr>
              <w:rPr>
                <w:rFonts w:cstheme="minorHAnsi"/>
                <w:sz w:val="20"/>
                <w:szCs w:val="20"/>
              </w:rPr>
            </w:pPr>
          </w:p>
          <w:p w14:paraId="6E8CAF76" w14:textId="77777777" w:rsidR="00AB628C" w:rsidRPr="00AE0359" w:rsidRDefault="00AB628C" w:rsidP="00010E0F">
            <w:pPr>
              <w:rPr>
                <w:rFonts w:cstheme="minorHAnsi"/>
                <w:b/>
                <w:sz w:val="20"/>
                <w:szCs w:val="20"/>
              </w:rPr>
            </w:pPr>
          </w:p>
          <w:p w14:paraId="2634248D" w14:textId="77777777" w:rsidR="00AB628C" w:rsidRPr="00AE0359" w:rsidRDefault="00AB628C" w:rsidP="00010E0F">
            <w:pPr>
              <w:rPr>
                <w:rFonts w:cstheme="minorHAnsi"/>
                <w:b/>
                <w:sz w:val="20"/>
                <w:szCs w:val="20"/>
              </w:rPr>
            </w:pPr>
            <w:r w:rsidRPr="00AE0359">
              <w:rPr>
                <w:rFonts w:cstheme="minorHAnsi"/>
                <w:i/>
                <w:color w:val="808080" w:themeColor="background1" w:themeShade="80"/>
                <w:sz w:val="20"/>
                <w:szCs w:val="20"/>
              </w:rPr>
              <w:t xml:space="preserve"> </w:t>
            </w:r>
          </w:p>
          <w:p w14:paraId="396AF13E" w14:textId="77777777" w:rsidR="00AB628C" w:rsidRPr="00AE0359" w:rsidRDefault="00AB628C" w:rsidP="00010E0F">
            <w:pPr>
              <w:rPr>
                <w:rFonts w:cstheme="minorHAnsi"/>
                <w:b/>
                <w:sz w:val="20"/>
                <w:szCs w:val="20"/>
              </w:rPr>
            </w:pPr>
            <w:r w:rsidRPr="00AE0359">
              <w:rPr>
                <w:rFonts w:cstheme="minorHAnsi"/>
                <w:i/>
                <w:color w:val="808080" w:themeColor="background1" w:themeShade="80"/>
                <w:sz w:val="20"/>
                <w:szCs w:val="20"/>
              </w:rPr>
              <w:t xml:space="preserve"> </w:t>
            </w:r>
          </w:p>
        </w:tc>
        <w:tc>
          <w:tcPr>
            <w:tcW w:w="638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59DF4" w14:textId="77777777" w:rsidR="00AB628C" w:rsidRPr="000B3ED1" w:rsidRDefault="00AB628C" w:rsidP="00010E0F">
            <w:pPr>
              <w:rPr>
                <w:rFonts w:cstheme="minorHAnsi"/>
                <w:b/>
                <w:bCs/>
                <w:sz w:val="20"/>
                <w:szCs w:val="20"/>
              </w:rPr>
            </w:pPr>
            <w:r w:rsidRPr="000B3ED1">
              <w:rPr>
                <w:rFonts w:cstheme="minorHAnsi"/>
                <w:b/>
                <w:bCs/>
                <w:sz w:val="20"/>
                <w:szCs w:val="20"/>
              </w:rPr>
              <w:t>2.a SDG Indicator 4.2.2</w:t>
            </w:r>
          </w:p>
          <w:p w14:paraId="10798FF5" w14:textId="6A19448A" w:rsidR="00AB628C" w:rsidRPr="00D20843" w:rsidRDefault="00AB628C" w:rsidP="00010E0F">
            <w:pPr>
              <w:rPr>
                <w:rFonts w:cstheme="minorHAnsi"/>
                <w:sz w:val="20"/>
                <w:szCs w:val="20"/>
              </w:rPr>
            </w:pPr>
            <w:r w:rsidRPr="00784188">
              <w:rPr>
                <w:rFonts w:cstheme="minorHAnsi"/>
                <w:sz w:val="20"/>
                <w:szCs w:val="20"/>
              </w:rPr>
              <w:t xml:space="preserve">Gross early childhood education enrollment ratio in pre-primary education (children 3-6 years), disaggregated by sex </w:t>
            </w:r>
          </w:p>
        </w:tc>
        <w:tc>
          <w:tcPr>
            <w:tcW w:w="4098" w:type="dxa"/>
            <w:vMerge w:val="restart"/>
            <w:tcBorders>
              <w:top w:val="single" w:sz="4" w:space="0" w:color="548DD4" w:themeColor="text2" w:themeTint="99"/>
              <w:left w:val="single" w:sz="4" w:space="0" w:color="4F81BD" w:themeColor="accent1"/>
              <w:bottom w:val="single" w:sz="4" w:space="0" w:color="4F81BD" w:themeColor="accent1"/>
              <w:right w:val="single" w:sz="4" w:space="0" w:color="auto"/>
            </w:tcBorders>
          </w:tcPr>
          <w:p w14:paraId="22945637" w14:textId="192C2692" w:rsidR="00AB628C" w:rsidRDefault="00AB628C" w:rsidP="00010E0F">
            <w:pPr>
              <w:rPr>
                <w:rFonts w:cstheme="minorHAnsi"/>
                <w:sz w:val="20"/>
                <w:szCs w:val="20"/>
              </w:rPr>
            </w:pPr>
            <w:r w:rsidRPr="00873A9D">
              <w:rPr>
                <w:rFonts w:cstheme="minorHAnsi"/>
                <w:sz w:val="20"/>
                <w:szCs w:val="20"/>
                <w:u w:val="single"/>
              </w:rPr>
              <w:t>BiH</w:t>
            </w:r>
            <w:r w:rsidRPr="00873A9D">
              <w:rPr>
                <w:rFonts w:cstheme="minorHAnsi"/>
                <w:sz w:val="20"/>
                <w:szCs w:val="20"/>
              </w:rPr>
              <w:t>:</w:t>
            </w:r>
          </w:p>
          <w:p w14:paraId="2FBC35E7" w14:textId="4DD07AB7" w:rsidR="00AB628C" w:rsidRPr="002848C1" w:rsidRDefault="00AB628C" w:rsidP="00AB628C">
            <w:pPr>
              <w:pStyle w:val="ListParagraph"/>
              <w:numPr>
                <w:ilvl w:val="0"/>
                <w:numId w:val="13"/>
              </w:numPr>
              <w:ind w:left="203" w:hanging="203"/>
              <w:rPr>
                <w:rFonts w:cstheme="minorHAnsi"/>
                <w:sz w:val="20"/>
                <w:szCs w:val="20"/>
              </w:rPr>
            </w:pPr>
            <w:r w:rsidRPr="002848C1">
              <w:rPr>
                <w:rFonts w:cstheme="minorHAnsi"/>
                <w:sz w:val="20"/>
                <w:szCs w:val="20"/>
                <w:lang w:val="en-CA"/>
              </w:rPr>
              <w:t>Relevant</w:t>
            </w:r>
            <w:r w:rsidR="00F642A4" w:rsidRPr="002848C1">
              <w:rPr>
                <w:rFonts w:cstheme="minorHAnsi"/>
                <w:sz w:val="20"/>
                <w:szCs w:val="20"/>
                <w:lang w:val="en-CA"/>
              </w:rPr>
              <w:t xml:space="preserve"> authorities in</w:t>
            </w:r>
            <w:r w:rsidRPr="002848C1">
              <w:rPr>
                <w:rFonts w:cstheme="minorHAnsi"/>
                <w:sz w:val="20"/>
                <w:szCs w:val="20"/>
              </w:rPr>
              <w:t xml:space="preserve"> BiH</w:t>
            </w:r>
          </w:p>
          <w:p w14:paraId="626CA20D" w14:textId="77777777" w:rsidR="00AB628C" w:rsidRPr="00873A9D" w:rsidRDefault="00AB628C" w:rsidP="00010E0F">
            <w:pPr>
              <w:rPr>
                <w:rFonts w:cstheme="minorHAnsi"/>
                <w:sz w:val="20"/>
                <w:szCs w:val="20"/>
              </w:rPr>
            </w:pPr>
          </w:p>
          <w:p w14:paraId="7C91C355" w14:textId="77777777" w:rsidR="00AB628C" w:rsidRPr="0096446A" w:rsidRDefault="00AB628C" w:rsidP="00010E0F">
            <w:pPr>
              <w:rPr>
                <w:rFonts w:cstheme="minorHAnsi"/>
                <w:sz w:val="20"/>
                <w:szCs w:val="20"/>
                <w:lang w:val="en-US"/>
              </w:rPr>
            </w:pPr>
            <w:r w:rsidRPr="0096446A">
              <w:rPr>
                <w:rFonts w:cstheme="minorHAnsi"/>
                <w:sz w:val="20"/>
                <w:szCs w:val="20"/>
                <w:u w:val="single"/>
              </w:rPr>
              <w:t>UN</w:t>
            </w:r>
            <w:r w:rsidRPr="0096446A">
              <w:rPr>
                <w:rFonts w:cstheme="minorHAnsi"/>
                <w:sz w:val="20"/>
                <w:szCs w:val="20"/>
              </w:rPr>
              <w:t xml:space="preserve">: </w:t>
            </w:r>
          </w:p>
          <w:p w14:paraId="7EFF8252" w14:textId="77777777" w:rsidR="00AB628C" w:rsidRPr="00AE07CC" w:rsidRDefault="00AB628C" w:rsidP="00AB628C">
            <w:pPr>
              <w:pStyle w:val="ListParagraph"/>
              <w:numPr>
                <w:ilvl w:val="0"/>
                <w:numId w:val="13"/>
              </w:numPr>
              <w:spacing w:after="160" w:line="259" w:lineRule="auto"/>
              <w:ind w:left="203" w:hanging="203"/>
              <w:rPr>
                <w:rFonts w:cstheme="minorHAnsi"/>
                <w:color w:val="0F243E" w:themeColor="text2" w:themeShade="80"/>
                <w:sz w:val="20"/>
                <w:szCs w:val="20"/>
                <w:lang w:val="es-CR"/>
              </w:rPr>
            </w:pPr>
            <w:r w:rsidRPr="005C3DE3">
              <w:rPr>
                <w:bCs/>
                <w:sz w:val="20"/>
                <w:szCs w:val="20"/>
                <w:lang w:val="es-CR"/>
              </w:rPr>
              <w:t xml:space="preserve">ILO, UNESCO, UNFPA, </w:t>
            </w:r>
            <w:r>
              <w:rPr>
                <w:bCs/>
                <w:sz w:val="20"/>
                <w:szCs w:val="20"/>
                <w:lang w:val="es-CR"/>
              </w:rPr>
              <w:t xml:space="preserve">UNHCR, </w:t>
            </w:r>
            <w:r w:rsidRPr="005C3DE3">
              <w:rPr>
                <w:bCs/>
                <w:sz w:val="20"/>
                <w:szCs w:val="20"/>
                <w:lang w:val="es-CR"/>
              </w:rPr>
              <w:t xml:space="preserve">UNICEF, UN </w:t>
            </w:r>
            <w:r w:rsidRPr="00AE07CC">
              <w:rPr>
                <w:bCs/>
                <w:sz w:val="20"/>
                <w:szCs w:val="20"/>
                <w:lang w:val="es-CR"/>
              </w:rPr>
              <w:t>Women, IOM</w:t>
            </w:r>
          </w:p>
          <w:p w14:paraId="2B3779F4" w14:textId="77777777" w:rsidR="00AB628C" w:rsidRDefault="00AB628C" w:rsidP="00010E0F">
            <w:pPr>
              <w:rPr>
                <w:rFonts w:cstheme="minorHAnsi"/>
                <w:sz w:val="20"/>
                <w:szCs w:val="20"/>
              </w:rPr>
            </w:pPr>
            <w:r>
              <w:rPr>
                <w:rFonts w:cstheme="minorHAnsi"/>
                <w:sz w:val="20"/>
                <w:szCs w:val="20"/>
                <w:u w:val="single"/>
              </w:rPr>
              <w:t>Other Partners</w:t>
            </w:r>
            <w:r>
              <w:rPr>
                <w:rFonts w:cstheme="minorHAnsi"/>
                <w:sz w:val="20"/>
                <w:szCs w:val="20"/>
              </w:rPr>
              <w:t xml:space="preserve">: </w:t>
            </w:r>
          </w:p>
          <w:p w14:paraId="0A4E4A5A" w14:textId="77777777" w:rsidR="00AB628C" w:rsidRDefault="00AB628C" w:rsidP="00AB628C">
            <w:pPr>
              <w:pStyle w:val="ListParagraph"/>
              <w:numPr>
                <w:ilvl w:val="0"/>
                <w:numId w:val="13"/>
              </w:numPr>
              <w:ind w:left="203" w:hanging="203"/>
              <w:rPr>
                <w:rFonts w:cstheme="minorHAnsi"/>
                <w:sz w:val="20"/>
                <w:szCs w:val="20"/>
              </w:rPr>
            </w:pPr>
            <w:r>
              <w:rPr>
                <w:rFonts w:cstheme="minorHAnsi"/>
                <w:sz w:val="20"/>
                <w:szCs w:val="20"/>
                <w:lang w:val="en-CA"/>
              </w:rPr>
              <w:t xml:space="preserve">Relevant CSOs, international partners, and representatives of private sector and academia </w:t>
            </w:r>
          </w:p>
          <w:p w14:paraId="788727D2" w14:textId="77777777" w:rsidR="00AB628C" w:rsidRPr="000B3ED1" w:rsidRDefault="00AB628C" w:rsidP="00010E0F">
            <w:pPr>
              <w:rPr>
                <w:rFonts w:cstheme="minorHAnsi"/>
                <w:color w:val="0F243E" w:themeColor="text2" w:themeShade="80"/>
                <w:sz w:val="20"/>
                <w:szCs w:val="20"/>
              </w:rPr>
            </w:pPr>
          </w:p>
        </w:tc>
      </w:tr>
      <w:tr w:rsidR="00AB628C" w:rsidRPr="00AE0359" w14:paraId="2CC3C01E" w14:textId="77777777" w:rsidTr="009674CE">
        <w:trPr>
          <w:trHeight w:val="285"/>
        </w:trPr>
        <w:tc>
          <w:tcPr>
            <w:tcW w:w="3560" w:type="dxa"/>
            <w:vMerge/>
            <w:tcBorders>
              <w:top w:val="single" w:sz="4" w:space="0" w:color="4F81BD" w:themeColor="accent1"/>
              <w:left w:val="single" w:sz="4" w:space="0" w:color="auto"/>
              <w:bottom w:val="single" w:sz="4" w:space="0" w:color="4F81BD" w:themeColor="accent1"/>
              <w:right w:val="single" w:sz="4" w:space="0" w:color="4F81BD" w:themeColor="accent1"/>
            </w:tcBorders>
          </w:tcPr>
          <w:p w14:paraId="189DD7E6" w14:textId="77777777" w:rsidR="00AB628C" w:rsidRPr="00AE0359" w:rsidRDefault="00AB628C" w:rsidP="00010E0F">
            <w:pPr>
              <w:rPr>
                <w:rFonts w:cstheme="minorHAnsi"/>
                <w:b/>
                <w:sz w:val="20"/>
                <w:szCs w:val="20"/>
              </w:rPr>
            </w:pPr>
          </w:p>
        </w:tc>
        <w:tc>
          <w:tcPr>
            <w:tcW w:w="18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706100" w14:textId="77777777" w:rsidR="00AB628C" w:rsidRDefault="00AB628C" w:rsidP="00010E0F">
            <w:pPr>
              <w:rPr>
                <w:sz w:val="20"/>
                <w:szCs w:val="20"/>
                <w:u w:val="single"/>
              </w:rPr>
            </w:pPr>
            <w:r w:rsidRPr="00AE07CC">
              <w:rPr>
                <w:sz w:val="20"/>
                <w:szCs w:val="20"/>
                <w:u w:val="single"/>
              </w:rPr>
              <w:t>Baseline</w:t>
            </w:r>
            <w:r>
              <w:rPr>
                <w:sz w:val="20"/>
                <w:szCs w:val="20"/>
                <w:u w:val="single"/>
              </w:rPr>
              <w:t>: (2019)</w:t>
            </w:r>
          </w:p>
          <w:p w14:paraId="44464405" w14:textId="77777777" w:rsidR="00AB628C" w:rsidRPr="007D5617" w:rsidRDefault="00AB628C" w:rsidP="00010E0F">
            <w:pPr>
              <w:rPr>
                <w:sz w:val="20"/>
                <w:szCs w:val="20"/>
              </w:rPr>
            </w:pPr>
            <w:r w:rsidRPr="007D5617">
              <w:rPr>
                <w:sz w:val="20"/>
                <w:szCs w:val="20"/>
              </w:rPr>
              <w:t xml:space="preserve">T: </w:t>
            </w:r>
            <w:r>
              <w:rPr>
                <w:sz w:val="20"/>
                <w:szCs w:val="20"/>
              </w:rPr>
              <w:t xml:space="preserve">  </w:t>
            </w:r>
            <w:r w:rsidRPr="007D5617">
              <w:rPr>
                <w:sz w:val="20"/>
                <w:szCs w:val="20"/>
              </w:rPr>
              <w:t>25%</w:t>
            </w:r>
          </w:p>
          <w:p w14:paraId="56AC59CB" w14:textId="77777777" w:rsidR="00AB628C" w:rsidRPr="007D5617" w:rsidRDefault="00AB628C" w:rsidP="00010E0F">
            <w:pPr>
              <w:rPr>
                <w:sz w:val="20"/>
                <w:szCs w:val="20"/>
              </w:rPr>
            </w:pPr>
            <w:r w:rsidRPr="007D5617">
              <w:rPr>
                <w:sz w:val="20"/>
                <w:szCs w:val="20"/>
              </w:rPr>
              <w:t xml:space="preserve">M: 26% </w:t>
            </w:r>
          </w:p>
          <w:p w14:paraId="2CFDA2C1" w14:textId="77777777" w:rsidR="00AB628C" w:rsidRPr="00EB123D" w:rsidRDefault="00AB628C" w:rsidP="00010E0F">
            <w:pPr>
              <w:rPr>
                <w:rFonts w:cstheme="minorHAnsi"/>
                <w:sz w:val="20"/>
                <w:szCs w:val="20"/>
                <w:lang w:val="es-CR"/>
              </w:rPr>
            </w:pPr>
            <w:r w:rsidRPr="007D5617">
              <w:rPr>
                <w:sz w:val="20"/>
                <w:szCs w:val="20"/>
              </w:rPr>
              <w:t xml:space="preserve">F: </w:t>
            </w:r>
            <w:r>
              <w:rPr>
                <w:sz w:val="20"/>
                <w:szCs w:val="20"/>
              </w:rPr>
              <w:t xml:space="preserve">  </w:t>
            </w:r>
            <w:r w:rsidRPr="007D5617">
              <w:rPr>
                <w:sz w:val="20"/>
                <w:szCs w:val="20"/>
              </w:rPr>
              <w:t>24%</w:t>
            </w:r>
          </w:p>
        </w:tc>
        <w:tc>
          <w:tcPr>
            <w:tcW w:w="18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599012" w14:textId="77777777" w:rsidR="00AB628C" w:rsidRPr="00AE07CC" w:rsidRDefault="00AB628C" w:rsidP="00010E0F">
            <w:pPr>
              <w:rPr>
                <w:rFonts w:cstheme="minorHAnsi"/>
                <w:sz w:val="20"/>
                <w:szCs w:val="20"/>
              </w:rPr>
            </w:pPr>
            <w:r w:rsidRPr="00AE07CC">
              <w:rPr>
                <w:rFonts w:cstheme="minorHAnsi"/>
                <w:sz w:val="20"/>
                <w:szCs w:val="20"/>
                <w:u w:val="single"/>
              </w:rPr>
              <w:t>Target (20</w:t>
            </w:r>
            <w:r>
              <w:rPr>
                <w:rFonts w:cstheme="minorHAnsi"/>
                <w:sz w:val="20"/>
                <w:szCs w:val="20"/>
                <w:u w:val="single"/>
              </w:rPr>
              <w:t>25</w:t>
            </w:r>
            <w:r w:rsidRPr="00AE07CC">
              <w:rPr>
                <w:rFonts w:cstheme="minorHAnsi"/>
                <w:sz w:val="20"/>
                <w:szCs w:val="20"/>
                <w:u w:val="single"/>
              </w:rPr>
              <w:t>)</w:t>
            </w:r>
            <w:r w:rsidRPr="00AE07CC">
              <w:rPr>
                <w:rFonts w:cstheme="minorHAnsi"/>
                <w:sz w:val="20"/>
                <w:szCs w:val="20"/>
              </w:rPr>
              <w:t>:</w:t>
            </w:r>
          </w:p>
          <w:p w14:paraId="1BF8C0BB" w14:textId="77777777" w:rsidR="00AB628C" w:rsidRPr="002D32C1" w:rsidRDefault="00AB628C" w:rsidP="00010E0F">
            <w:pPr>
              <w:rPr>
                <w:sz w:val="20"/>
                <w:szCs w:val="20"/>
              </w:rPr>
            </w:pPr>
            <w:r w:rsidRPr="002D32C1">
              <w:rPr>
                <w:sz w:val="20"/>
                <w:szCs w:val="20"/>
              </w:rPr>
              <w:t>T:  50%</w:t>
            </w:r>
          </w:p>
          <w:p w14:paraId="310696A2" w14:textId="77777777" w:rsidR="00AB628C" w:rsidRPr="002D32C1" w:rsidRDefault="00AB628C" w:rsidP="00010E0F">
            <w:pPr>
              <w:rPr>
                <w:sz w:val="20"/>
                <w:szCs w:val="20"/>
              </w:rPr>
            </w:pPr>
            <w:r w:rsidRPr="002D32C1">
              <w:rPr>
                <w:sz w:val="20"/>
                <w:szCs w:val="20"/>
              </w:rPr>
              <w:t xml:space="preserve">M: 50% </w:t>
            </w:r>
          </w:p>
          <w:p w14:paraId="64CD9061" w14:textId="77777777" w:rsidR="00AB628C" w:rsidRPr="00AE07CC" w:rsidRDefault="00AB628C" w:rsidP="00010E0F">
            <w:pPr>
              <w:rPr>
                <w:rFonts w:cstheme="minorHAnsi"/>
                <w:sz w:val="20"/>
                <w:szCs w:val="20"/>
              </w:rPr>
            </w:pPr>
            <w:r w:rsidRPr="002D32C1">
              <w:rPr>
                <w:sz w:val="20"/>
                <w:szCs w:val="20"/>
              </w:rPr>
              <w:t>F:   50%</w:t>
            </w:r>
          </w:p>
          <w:p w14:paraId="3D28B6AD" w14:textId="77777777" w:rsidR="00AB628C" w:rsidRPr="00AE07CC" w:rsidRDefault="00AB628C" w:rsidP="00010E0F">
            <w:pPr>
              <w:rPr>
                <w:rFonts w:cstheme="minorHAnsi"/>
                <w:sz w:val="20"/>
                <w:szCs w:val="20"/>
              </w:rPr>
            </w:pPr>
          </w:p>
        </w:tc>
        <w:tc>
          <w:tcPr>
            <w:tcW w:w="270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F4D1BA" w14:textId="77777777"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141EC655" w14:textId="77777777" w:rsidR="00AB628C" w:rsidRPr="002848C1" w:rsidRDefault="00AB628C" w:rsidP="00010E0F">
            <w:pPr>
              <w:rPr>
                <w:rFonts w:cstheme="minorHAnsi"/>
                <w:sz w:val="20"/>
                <w:szCs w:val="20"/>
              </w:rPr>
            </w:pPr>
            <w:r w:rsidRPr="002848C1">
              <w:rPr>
                <w:rFonts w:cstheme="minorHAnsi"/>
                <w:sz w:val="20"/>
                <w:szCs w:val="20"/>
              </w:rPr>
              <w:t>Preschool Education Platform in BiH;</w:t>
            </w:r>
          </w:p>
          <w:p w14:paraId="7BAB64B8" w14:textId="5200A9DA" w:rsidR="00AB628C" w:rsidRPr="002848C1" w:rsidRDefault="002C7A81" w:rsidP="00010E0F">
            <w:pPr>
              <w:rPr>
                <w:rFonts w:cstheme="minorHAnsi"/>
                <w:sz w:val="20"/>
                <w:szCs w:val="20"/>
              </w:rPr>
            </w:pPr>
            <w:r w:rsidRPr="002848C1">
              <w:rPr>
                <w:rFonts w:cstheme="minorHAnsi"/>
                <w:sz w:val="20"/>
                <w:szCs w:val="20"/>
              </w:rPr>
              <w:t xml:space="preserve">Reports by relevant authorities in </w:t>
            </w:r>
            <w:r w:rsidR="00AB628C" w:rsidRPr="002848C1">
              <w:rPr>
                <w:rFonts w:cstheme="minorHAnsi"/>
                <w:sz w:val="20"/>
                <w:szCs w:val="20"/>
              </w:rPr>
              <w:t>BiH;</w:t>
            </w:r>
          </w:p>
          <w:p w14:paraId="7943EFBC" w14:textId="77777777" w:rsidR="00AB628C" w:rsidRPr="002848C1" w:rsidRDefault="00AB628C" w:rsidP="00010E0F">
            <w:pPr>
              <w:rPr>
                <w:rFonts w:cstheme="minorHAnsi"/>
                <w:sz w:val="20"/>
                <w:szCs w:val="20"/>
              </w:rPr>
            </w:pPr>
            <w:r w:rsidRPr="002848C1">
              <w:rPr>
                <w:rFonts w:cstheme="minorHAnsi"/>
                <w:sz w:val="20"/>
                <w:szCs w:val="20"/>
              </w:rPr>
              <w:t>Draft SDG Framework in BiH document</w:t>
            </w:r>
          </w:p>
          <w:p w14:paraId="3E50FA1B" w14:textId="77777777" w:rsidR="00AB628C" w:rsidRPr="002848C1" w:rsidRDefault="00AB628C" w:rsidP="00010E0F">
            <w:pPr>
              <w:rPr>
                <w:rFonts w:cstheme="minorHAnsi"/>
                <w:sz w:val="20"/>
                <w:szCs w:val="20"/>
                <w:lang w:val="en-US"/>
              </w:rPr>
            </w:pPr>
          </w:p>
        </w:tc>
        <w:tc>
          <w:tcPr>
            <w:tcW w:w="4098" w:type="dxa"/>
            <w:vMerge/>
            <w:tcBorders>
              <w:left w:val="single" w:sz="4" w:space="0" w:color="4F81BD" w:themeColor="accent1"/>
              <w:bottom w:val="single" w:sz="4" w:space="0" w:color="4F81BD" w:themeColor="accent1"/>
              <w:right w:val="single" w:sz="4" w:space="0" w:color="auto"/>
            </w:tcBorders>
          </w:tcPr>
          <w:p w14:paraId="4397AC8F" w14:textId="77777777" w:rsidR="00AB628C" w:rsidRPr="00AE0359" w:rsidRDefault="00AB628C" w:rsidP="00010E0F">
            <w:pPr>
              <w:rPr>
                <w:rFonts w:cstheme="minorHAnsi"/>
                <w:color w:val="0F243E" w:themeColor="text2" w:themeShade="80"/>
                <w:sz w:val="20"/>
                <w:szCs w:val="20"/>
              </w:rPr>
            </w:pPr>
          </w:p>
        </w:tc>
      </w:tr>
      <w:tr w:rsidR="00AB628C" w:rsidRPr="00AE0359" w14:paraId="7964339A" w14:textId="77777777" w:rsidTr="009674CE">
        <w:trPr>
          <w:trHeight w:val="285"/>
        </w:trPr>
        <w:tc>
          <w:tcPr>
            <w:tcW w:w="3560" w:type="dxa"/>
            <w:vMerge/>
            <w:tcBorders>
              <w:top w:val="single" w:sz="4" w:space="0" w:color="4F81BD" w:themeColor="accent1"/>
              <w:left w:val="single" w:sz="4" w:space="0" w:color="auto"/>
              <w:bottom w:val="single" w:sz="4" w:space="0" w:color="4F81BD" w:themeColor="accent1"/>
              <w:right w:val="single" w:sz="4" w:space="0" w:color="4F81BD" w:themeColor="accent1"/>
            </w:tcBorders>
          </w:tcPr>
          <w:p w14:paraId="6CAE1464" w14:textId="77777777" w:rsidR="00AB628C" w:rsidRPr="00AE0359" w:rsidRDefault="00AB628C" w:rsidP="00010E0F">
            <w:pPr>
              <w:rPr>
                <w:rFonts w:cstheme="minorHAnsi"/>
                <w:b/>
                <w:sz w:val="20"/>
                <w:szCs w:val="20"/>
              </w:rPr>
            </w:pPr>
          </w:p>
        </w:tc>
        <w:tc>
          <w:tcPr>
            <w:tcW w:w="638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5123D5" w14:textId="3043518A" w:rsidR="00AB628C" w:rsidRPr="00AE07CC" w:rsidRDefault="00AB628C" w:rsidP="00010E0F">
            <w:pPr>
              <w:rPr>
                <w:rFonts w:cstheme="minorHAnsi"/>
                <w:sz w:val="20"/>
                <w:szCs w:val="20"/>
              </w:rPr>
            </w:pPr>
            <w:r w:rsidRPr="00AE07CC">
              <w:rPr>
                <w:rFonts w:cstheme="minorHAnsi"/>
                <w:b/>
                <w:bCs/>
                <w:sz w:val="20"/>
                <w:szCs w:val="20"/>
              </w:rPr>
              <w:t>2.b</w:t>
            </w:r>
            <w:r w:rsidRPr="00AE07CC">
              <w:rPr>
                <w:rFonts w:cstheme="minorHAnsi"/>
                <w:sz w:val="20"/>
                <w:szCs w:val="20"/>
              </w:rPr>
              <w:t xml:space="preserve"> Share of 15-year old girls and boys</w:t>
            </w:r>
            <w:r>
              <w:rPr>
                <w:rFonts w:cstheme="minorHAnsi"/>
                <w:sz w:val="20"/>
                <w:szCs w:val="20"/>
              </w:rPr>
              <w:t>*</w:t>
            </w:r>
            <w:r w:rsidRPr="00AE07CC">
              <w:rPr>
                <w:rFonts w:cstheme="minorHAnsi"/>
                <w:sz w:val="20"/>
                <w:szCs w:val="20"/>
              </w:rPr>
              <w:t xml:space="preserve"> who perform at PISA Level 2 or above in reading, mathematics, and science</w:t>
            </w:r>
            <w:r>
              <w:rPr>
                <w:rFonts w:cstheme="minorHAnsi"/>
                <w:sz w:val="20"/>
                <w:szCs w:val="20"/>
              </w:rPr>
              <w:t xml:space="preserve">, </w:t>
            </w:r>
            <w:r w:rsidRPr="00D23D0F">
              <w:rPr>
                <w:rFonts w:cstheme="minorHAnsi"/>
                <w:sz w:val="20"/>
                <w:szCs w:val="20"/>
              </w:rPr>
              <w:t>by sex</w:t>
            </w:r>
            <w:r w:rsidRPr="00D23D0F">
              <w:rPr>
                <w:rStyle w:val="FootnoteReference"/>
                <w:rFonts w:cstheme="minorHAnsi"/>
                <w:sz w:val="20"/>
                <w:szCs w:val="20"/>
              </w:rPr>
              <w:footnoteReference w:id="140"/>
            </w:r>
            <w:r w:rsidRPr="00AE07CC">
              <w:rPr>
                <w:rFonts w:cstheme="minorHAnsi"/>
                <w:sz w:val="20"/>
                <w:szCs w:val="20"/>
              </w:rPr>
              <w:t xml:space="preserve"> (</w:t>
            </w:r>
            <w:r w:rsidRPr="00AE07CC">
              <w:rPr>
                <w:rFonts w:ascii="Wingdings" w:eastAsia="Wingdings" w:hAnsi="Wingdings" w:cstheme="minorHAnsi"/>
                <w:b/>
                <w:bCs/>
                <w:sz w:val="20"/>
                <w:szCs w:val="20"/>
              </w:rPr>
              <w:t></w:t>
            </w:r>
            <w:r w:rsidRPr="00AE07CC">
              <w:rPr>
                <w:rFonts w:cstheme="minorHAnsi"/>
                <w:sz w:val="20"/>
                <w:szCs w:val="20"/>
              </w:rPr>
              <w:t xml:space="preserve"> SDG 4.1.1)</w:t>
            </w:r>
          </w:p>
        </w:tc>
        <w:tc>
          <w:tcPr>
            <w:tcW w:w="4098" w:type="dxa"/>
            <w:vMerge/>
            <w:tcBorders>
              <w:left w:val="single" w:sz="4" w:space="0" w:color="4F81BD" w:themeColor="accent1"/>
              <w:bottom w:val="single" w:sz="4" w:space="0" w:color="4F81BD" w:themeColor="accent1"/>
              <w:right w:val="single" w:sz="4" w:space="0" w:color="auto"/>
            </w:tcBorders>
          </w:tcPr>
          <w:p w14:paraId="5CD8849C" w14:textId="77777777" w:rsidR="00AB628C" w:rsidRPr="00AE0359" w:rsidRDefault="00AB628C" w:rsidP="00010E0F">
            <w:pPr>
              <w:rPr>
                <w:rFonts w:cstheme="minorHAnsi"/>
                <w:color w:val="0F243E" w:themeColor="text2" w:themeShade="80"/>
                <w:sz w:val="20"/>
                <w:szCs w:val="20"/>
              </w:rPr>
            </w:pPr>
          </w:p>
        </w:tc>
      </w:tr>
      <w:tr w:rsidR="00AB628C" w:rsidRPr="00AE0359" w14:paraId="6330EE68" w14:textId="77777777" w:rsidTr="009674CE">
        <w:trPr>
          <w:trHeight w:val="285"/>
        </w:trPr>
        <w:tc>
          <w:tcPr>
            <w:tcW w:w="3560" w:type="dxa"/>
            <w:vMerge/>
            <w:tcBorders>
              <w:top w:val="single" w:sz="4" w:space="0" w:color="4F81BD" w:themeColor="accent1"/>
              <w:left w:val="single" w:sz="4" w:space="0" w:color="auto"/>
              <w:bottom w:val="single" w:sz="4" w:space="0" w:color="4F81BD" w:themeColor="accent1"/>
              <w:right w:val="single" w:sz="4" w:space="0" w:color="4F81BD" w:themeColor="accent1"/>
            </w:tcBorders>
          </w:tcPr>
          <w:p w14:paraId="141CA078" w14:textId="77777777" w:rsidR="00AB628C" w:rsidRPr="00AE0359" w:rsidRDefault="00AB628C" w:rsidP="00010E0F">
            <w:pPr>
              <w:rPr>
                <w:rFonts w:cstheme="minorHAnsi"/>
                <w:b/>
                <w:sz w:val="20"/>
                <w:szCs w:val="20"/>
              </w:rPr>
            </w:pPr>
          </w:p>
        </w:tc>
        <w:tc>
          <w:tcPr>
            <w:tcW w:w="1853" w:type="dxa"/>
            <w:gridSpan w:val="2"/>
            <w:tcBorders>
              <w:top w:val="single" w:sz="4" w:space="0" w:color="4F81BD" w:themeColor="accent1"/>
              <w:left w:val="single" w:sz="4" w:space="0" w:color="4F81BD" w:themeColor="accent1"/>
              <w:bottom w:val="nil"/>
              <w:right w:val="single" w:sz="4" w:space="0" w:color="4F81BD" w:themeColor="accent1"/>
            </w:tcBorders>
          </w:tcPr>
          <w:p w14:paraId="2944E94C" w14:textId="77777777" w:rsidR="00AB628C" w:rsidRPr="003C2B4E" w:rsidRDefault="00AB628C" w:rsidP="00010E0F">
            <w:pPr>
              <w:rPr>
                <w:sz w:val="20"/>
                <w:szCs w:val="20"/>
                <w:lang w:val="en-GB"/>
              </w:rPr>
            </w:pPr>
            <w:r w:rsidRPr="003C2B4E">
              <w:rPr>
                <w:sz w:val="20"/>
                <w:szCs w:val="20"/>
                <w:u w:val="single"/>
                <w:lang w:val="en-GB"/>
              </w:rPr>
              <w:t>Baseline (2019)</w:t>
            </w:r>
            <w:r w:rsidRPr="003C2B4E">
              <w:rPr>
                <w:sz w:val="20"/>
                <w:szCs w:val="20"/>
                <w:lang w:val="en-GB"/>
              </w:rPr>
              <w:t>:</w:t>
            </w:r>
          </w:p>
          <w:p w14:paraId="53B6C9F2" w14:textId="77777777" w:rsidR="00AB628C" w:rsidRPr="003C2B4E" w:rsidRDefault="00AB628C" w:rsidP="00010E0F">
            <w:pPr>
              <w:rPr>
                <w:sz w:val="20"/>
                <w:szCs w:val="20"/>
                <w:lang w:val="en-GB"/>
              </w:rPr>
            </w:pPr>
            <w:r w:rsidRPr="003C2B4E">
              <w:rPr>
                <w:sz w:val="20"/>
                <w:szCs w:val="20"/>
                <w:lang w:val="en-GB"/>
              </w:rPr>
              <w:t xml:space="preserve">Reading: 46% </w:t>
            </w:r>
          </w:p>
          <w:p w14:paraId="266E31BE" w14:textId="77777777" w:rsidR="00AB628C" w:rsidRPr="003C2B4E" w:rsidRDefault="00AB628C" w:rsidP="00010E0F">
            <w:pPr>
              <w:spacing w:after="60"/>
              <w:rPr>
                <w:sz w:val="20"/>
                <w:szCs w:val="20"/>
                <w:lang w:val="en-GB"/>
              </w:rPr>
            </w:pPr>
            <w:r w:rsidRPr="003C2B4E">
              <w:rPr>
                <w:sz w:val="20"/>
                <w:szCs w:val="20"/>
                <w:lang w:val="en-GB"/>
              </w:rPr>
              <w:t>(F: 55%; M: 38%)</w:t>
            </w:r>
          </w:p>
          <w:p w14:paraId="6C76FDEB" w14:textId="77777777" w:rsidR="00AB628C" w:rsidRPr="003C2B4E" w:rsidRDefault="00AB628C" w:rsidP="00010E0F">
            <w:pPr>
              <w:rPr>
                <w:sz w:val="20"/>
                <w:szCs w:val="20"/>
                <w:lang w:val="en-GB"/>
              </w:rPr>
            </w:pPr>
            <w:r w:rsidRPr="003C2B4E">
              <w:rPr>
                <w:sz w:val="20"/>
                <w:szCs w:val="20"/>
                <w:lang w:val="en-GB"/>
              </w:rPr>
              <w:t>Mathematics: 42% </w:t>
            </w:r>
          </w:p>
          <w:p w14:paraId="2BF80D8B" w14:textId="77777777" w:rsidR="00AB628C" w:rsidRPr="003C2B4E" w:rsidRDefault="00AB628C" w:rsidP="00010E0F">
            <w:pPr>
              <w:spacing w:after="60"/>
              <w:rPr>
                <w:sz w:val="20"/>
                <w:szCs w:val="20"/>
                <w:lang w:val="en-GB"/>
              </w:rPr>
            </w:pPr>
            <w:r w:rsidRPr="003C2B4E">
              <w:rPr>
                <w:sz w:val="20"/>
                <w:szCs w:val="20"/>
                <w:lang w:val="en-GB"/>
              </w:rPr>
              <w:t>(F: 43%; M: 42%)</w:t>
            </w:r>
          </w:p>
          <w:p w14:paraId="662C59FF" w14:textId="77777777" w:rsidR="00AB628C" w:rsidRPr="003C2B4E" w:rsidRDefault="00AB628C" w:rsidP="00010E0F">
            <w:pPr>
              <w:rPr>
                <w:sz w:val="20"/>
                <w:szCs w:val="20"/>
                <w:lang w:val="en-GB"/>
              </w:rPr>
            </w:pPr>
            <w:r w:rsidRPr="003C2B4E">
              <w:rPr>
                <w:sz w:val="20"/>
                <w:szCs w:val="20"/>
                <w:lang w:val="en-GB"/>
              </w:rPr>
              <w:t xml:space="preserve">Science: 43% </w:t>
            </w:r>
          </w:p>
          <w:p w14:paraId="4E8576EF" w14:textId="77777777" w:rsidR="00AB628C" w:rsidRPr="003C2B4E" w:rsidRDefault="00AB628C" w:rsidP="00010E0F">
            <w:pPr>
              <w:rPr>
                <w:i/>
                <w:iCs/>
                <w:sz w:val="20"/>
                <w:szCs w:val="20"/>
                <w:lang w:val="en-GB"/>
              </w:rPr>
            </w:pPr>
            <w:r w:rsidRPr="003C2B4E">
              <w:rPr>
                <w:sz w:val="20"/>
                <w:szCs w:val="20"/>
                <w:lang w:val="en-GB"/>
              </w:rPr>
              <w:t>(F: 44%; M: 43%)</w:t>
            </w:r>
          </w:p>
          <w:p w14:paraId="71308CDB" w14:textId="77777777" w:rsidR="00AB628C" w:rsidRPr="003C2B4E" w:rsidRDefault="00AB628C" w:rsidP="00010E0F">
            <w:pPr>
              <w:rPr>
                <w:rFonts w:cstheme="minorHAnsi"/>
                <w:sz w:val="20"/>
                <w:szCs w:val="20"/>
              </w:rPr>
            </w:pPr>
          </w:p>
        </w:tc>
        <w:tc>
          <w:tcPr>
            <w:tcW w:w="1829" w:type="dxa"/>
            <w:tcBorders>
              <w:top w:val="single" w:sz="4" w:space="0" w:color="4F81BD" w:themeColor="accent1"/>
              <w:left w:val="single" w:sz="4" w:space="0" w:color="4F81BD" w:themeColor="accent1"/>
              <w:bottom w:val="nil"/>
              <w:right w:val="single" w:sz="4" w:space="0" w:color="4F81BD" w:themeColor="accent1"/>
            </w:tcBorders>
          </w:tcPr>
          <w:p w14:paraId="6E98AC2F" w14:textId="77777777" w:rsidR="00AB628C" w:rsidRPr="003C2B4E" w:rsidRDefault="00AB628C" w:rsidP="00010E0F">
            <w:pPr>
              <w:rPr>
                <w:sz w:val="20"/>
                <w:szCs w:val="20"/>
                <w:lang w:val="en-GB"/>
              </w:rPr>
            </w:pPr>
            <w:r w:rsidRPr="003C2B4E">
              <w:rPr>
                <w:sz w:val="20"/>
                <w:szCs w:val="20"/>
                <w:u w:val="single"/>
                <w:lang w:val="en-GB"/>
              </w:rPr>
              <w:t>Target (2025)</w:t>
            </w:r>
            <w:r w:rsidRPr="003C2B4E">
              <w:rPr>
                <w:sz w:val="20"/>
                <w:szCs w:val="20"/>
                <w:lang w:val="en-GB"/>
              </w:rPr>
              <w:t>:</w:t>
            </w:r>
          </w:p>
          <w:p w14:paraId="7212863A" w14:textId="77777777" w:rsidR="00AB628C" w:rsidRPr="003C2B4E" w:rsidRDefault="00AB628C" w:rsidP="00010E0F">
            <w:pPr>
              <w:rPr>
                <w:sz w:val="20"/>
                <w:szCs w:val="20"/>
                <w:lang w:val="en-GB"/>
              </w:rPr>
            </w:pPr>
            <w:r w:rsidRPr="003C2B4E">
              <w:rPr>
                <w:sz w:val="20"/>
                <w:szCs w:val="20"/>
                <w:lang w:val="en-GB"/>
              </w:rPr>
              <w:t xml:space="preserve">Reading: 55% </w:t>
            </w:r>
          </w:p>
          <w:p w14:paraId="4BB4425A" w14:textId="77777777" w:rsidR="00AB628C" w:rsidRPr="003C2B4E" w:rsidRDefault="00AB628C" w:rsidP="00010E0F">
            <w:pPr>
              <w:spacing w:after="60"/>
              <w:rPr>
                <w:sz w:val="20"/>
                <w:szCs w:val="20"/>
                <w:lang w:val="en-GB"/>
              </w:rPr>
            </w:pPr>
            <w:r w:rsidRPr="003C2B4E">
              <w:rPr>
                <w:sz w:val="20"/>
                <w:szCs w:val="20"/>
                <w:lang w:val="en-GB"/>
              </w:rPr>
              <w:t>(F: 55%; M: 55%)</w:t>
            </w:r>
          </w:p>
          <w:p w14:paraId="5D624418" w14:textId="77777777" w:rsidR="00AB628C" w:rsidRPr="003C2B4E" w:rsidRDefault="00AB628C" w:rsidP="00010E0F">
            <w:pPr>
              <w:spacing w:after="60"/>
              <w:rPr>
                <w:sz w:val="20"/>
                <w:szCs w:val="20"/>
                <w:lang w:val="en-GB"/>
              </w:rPr>
            </w:pPr>
            <w:r w:rsidRPr="003C2B4E">
              <w:rPr>
                <w:sz w:val="20"/>
                <w:szCs w:val="20"/>
                <w:lang w:val="en-GB"/>
              </w:rPr>
              <w:t>Mathematics: 55% (F: 55%; M: 55%)</w:t>
            </w:r>
          </w:p>
          <w:p w14:paraId="1DDB3EE9" w14:textId="77777777" w:rsidR="00AB628C" w:rsidRPr="003C2B4E" w:rsidRDefault="00AB628C" w:rsidP="00010E0F">
            <w:pPr>
              <w:rPr>
                <w:sz w:val="20"/>
                <w:szCs w:val="20"/>
                <w:lang w:val="en-GB"/>
              </w:rPr>
            </w:pPr>
            <w:r w:rsidRPr="003C2B4E">
              <w:rPr>
                <w:sz w:val="20"/>
                <w:szCs w:val="20"/>
                <w:lang w:val="en-GB"/>
              </w:rPr>
              <w:t xml:space="preserve">Science: 55% </w:t>
            </w:r>
          </w:p>
          <w:p w14:paraId="7F094396" w14:textId="77777777" w:rsidR="00AB628C" w:rsidRPr="003C2B4E" w:rsidRDefault="00AB628C" w:rsidP="00010E0F">
            <w:pPr>
              <w:rPr>
                <w:rFonts w:cstheme="minorHAnsi"/>
                <w:sz w:val="20"/>
                <w:szCs w:val="20"/>
              </w:rPr>
            </w:pPr>
            <w:r w:rsidRPr="003C2B4E">
              <w:rPr>
                <w:sz w:val="20"/>
                <w:szCs w:val="20"/>
                <w:lang w:val="en-GB"/>
              </w:rPr>
              <w:t>(F: 55%; M: 55%)</w:t>
            </w:r>
          </w:p>
        </w:tc>
        <w:tc>
          <w:tcPr>
            <w:tcW w:w="2704" w:type="dxa"/>
            <w:gridSpan w:val="2"/>
            <w:tcBorders>
              <w:top w:val="single" w:sz="4" w:space="0" w:color="4F81BD" w:themeColor="accent1"/>
              <w:left w:val="single" w:sz="4" w:space="0" w:color="4F81BD" w:themeColor="accent1"/>
              <w:bottom w:val="nil"/>
              <w:right w:val="single" w:sz="4" w:space="0" w:color="4F81BD" w:themeColor="accent1"/>
            </w:tcBorders>
          </w:tcPr>
          <w:p w14:paraId="2172D49E" w14:textId="77777777" w:rsidR="00AB628C" w:rsidRPr="003C2B4E" w:rsidRDefault="00AB628C" w:rsidP="00010E0F">
            <w:pPr>
              <w:rPr>
                <w:sz w:val="20"/>
                <w:szCs w:val="20"/>
                <w:lang w:val="en-GB"/>
              </w:rPr>
            </w:pPr>
            <w:r w:rsidRPr="003C2B4E">
              <w:rPr>
                <w:sz w:val="20"/>
                <w:szCs w:val="20"/>
                <w:u w:val="single"/>
                <w:lang w:val="en-GB"/>
              </w:rPr>
              <w:t>Source</w:t>
            </w:r>
            <w:r w:rsidRPr="003C2B4E">
              <w:rPr>
                <w:sz w:val="20"/>
                <w:szCs w:val="20"/>
                <w:lang w:val="en-GB"/>
              </w:rPr>
              <w:t>:</w:t>
            </w:r>
          </w:p>
          <w:p w14:paraId="4D53864B" w14:textId="77777777" w:rsidR="00AB628C" w:rsidRPr="003C2B4E" w:rsidRDefault="00AB628C" w:rsidP="00010E0F">
            <w:pPr>
              <w:pStyle w:val="CommentText"/>
              <w:rPr>
                <w:lang w:val="en-GB"/>
              </w:rPr>
            </w:pPr>
            <w:r w:rsidRPr="003C2B4E">
              <w:rPr>
                <w:lang w:val="en-GB"/>
              </w:rPr>
              <w:t>PISA, OECD (2018, 2021, 2024)</w:t>
            </w:r>
          </w:p>
          <w:p w14:paraId="1853BD5F" w14:textId="77777777" w:rsidR="00AB628C" w:rsidRPr="003C2B4E" w:rsidRDefault="00AB628C" w:rsidP="00010E0F">
            <w:pPr>
              <w:rPr>
                <w:rFonts w:cstheme="minorHAnsi"/>
                <w:sz w:val="20"/>
                <w:szCs w:val="20"/>
              </w:rPr>
            </w:pPr>
          </w:p>
        </w:tc>
        <w:tc>
          <w:tcPr>
            <w:tcW w:w="4098" w:type="dxa"/>
            <w:vMerge/>
            <w:tcBorders>
              <w:left w:val="single" w:sz="4" w:space="0" w:color="4F81BD" w:themeColor="accent1"/>
              <w:bottom w:val="single" w:sz="4" w:space="0" w:color="4F81BD" w:themeColor="accent1"/>
              <w:right w:val="single" w:sz="4" w:space="0" w:color="auto"/>
            </w:tcBorders>
          </w:tcPr>
          <w:p w14:paraId="5F949BFC" w14:textId="77777777" w:rsidR="00AB628C" w:rsidRPr="00AE0359" w:rsidRDefault="00AB628C" w:rsidP="00010E0F">
            <w:pPr>
              <w:rPr>
                <w:rFonts w:cstheme="minorHAnsi"/>
                <w:color w:val="0F243E" w:themeColor="text2" w:themeShade="80"/>
                <w:sz w:val="20"/>
                <w:szCs w:val="20"/>
              </w:rPr>
            </w:pPr>
          </w:p>
        </w:tc>
      </w:tr>
      <w:tr w:rsidR="00AB628C" w:rsidRPr="00AE0359" w14:paraId="10528F22" w14:textId="77777777" w:rsidTr="009674CE">
        <w:trPr>
          <w:trHeight w:val="285"/>
        </w:trPr>
        <w:tc>
          <w:tcPr>
            <w:tcW w:w="3560" w:type="dxa"/>
            <w:vMerge/>
            <w:tcBorders>
              <w:top w:val="single" w:sz="4" w:space="0" w:color="4F81BD" w:themeColor="accent1"/>
              <w:left w:val="single" w:sz="4" w:space="0" w:color="auto"/>
              <w:bottom w:val="single" w:sz="4" w:space="0" w:color="4F81BD" w:themeColor="accent1"/>
              <w:right w:val="single" w:sz="4" w:space="0" w:color="4F81BD" w:themeColor="accent1"/>
            </w:tcBorders>
          </w:tcPr>
          <w:p w14:paraId="67370025" w14:textId="77777777" w:rsidR="00AB628C" w:rsidRPr="00AE0359" w:rsidRDefault="00AB628C" w:rsidP="00010E0F">
            <w:pPr>
              <w:rPr>
                <w:rFonts w:cstheme="minorHAnsi"/>
                <w:b/>
                <w:sz w:val="20"/>
                <w:szCs w:val="20"/>
              </w:rPr>
            </w:pPr>
          </w:p>
        </w:tc>
        <w:tc>
          <w:tcPr>
            <w:tcW w:w="638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0D68A7" w14:textId="77777777" w:rsidR="00AB628C" w:rsidRPr="005B1A8C" w:rsidRDefault="00AB628C" w:rsidP="00010E0F">
            <w:pPr>
              <w:rPr>
                <w:rFonts w:cstheme="minorHAnsi"/>
                <w:b/>
                <w:bCs/>
                <w:sz w:val="20"/>
                <w:szCs w:val="20"/>
              </w:rPr>
            </w:pPr>
            <w:r w:rsidRPr="005B1A8C">
              <w:rPr>
                <w:rFonts w:cstheme="minorHAnsi"/>
                <w:b/>
                <w:bCs/>
                <w:sz w:val="20"/>
                <w:szCs w:val="20"/>
              </w:rPr>
              <w:t>2.c SDG Indicator 8.6.1</w:t>
            </w:r>
          </w:p>
          <w:p w14:paraId="5174A702" w14:textId="553C13A5" w:rsidR="00AB628C" w:rsidRPr="005B1A8C" w:rsidRDefault="00AB628C" w:rsidP="00010E0F">
            <w:pPr>
              <w:rPr>
                <w:rFonts w:cstheme="minorHAnsi"/>
                <w:sz w:val="20"/>
                <w:szCs w:val="20"/>
              </w:rPr>
            </w:pPr>
            <w:r w:rsidRPr="005B1A8C">
              <w:rPr>
                <w:rFonts w:cstheme="minorHAnsi"/>
                <w:sz w:val="20"/>
                <w:szCs w:val="20"/>
              </w:rPr>
              <w:t>% Young people (aged 15-24 years) not in education, employment or training, by sex</w:t>
            </w:r>
            <w:r>
              <w:rPr>
                <w:rFonts w:cstheme="minorHAnsi"/>
                <w:sz w:val="20"/>
                <w:szCs w:val="20"/>
              </w:rPr>
              <w:t xml:space="preserve"> </w:t>
            </w:r>
          </w:p>
        </w:tc>
        <w:tc>
          <w:tcPr>
            <w:tcW w:w="4098" w:type="dxa"/>
            <w:vMerge/>
            <w:tcBorders>
              <w:left w:val="single" w:sz="4" w:space="0" w:color="4F81BD" w:themeColor="accent1"/>
              <w:bottom w:val="single" w:sz="4" w:space="0" w:color="4F81BD" w:themeColor="accent1"/>
              <w:right w:val="single" w:sz="4" w:space="0" w:color="auto"/>
            </w:tcBorders>
          </w:tcPr>
          <w:p w14:paraId="0337D77D" w14:textId="77777777" w:rsidR="00AB628C" w:rsidRPr="00AE0359" w:rsidRDefault="00AB628C" w:rsidP="00010E0F">
            <w:pPr>
              <w:rPr>
                <w:rFonts w:cstheme="minorHAnsi"/>
                <w:color w:val="0F243E" w:themeColor="text2" w:themeShade="80"/>
                <w:sz w:val="20"/>
                <w:szCs w:val="20"/>
              </w:rPr>
            </w:pPr>
          </w:p>
        </w:tc>
      </w:tr>
      <w:tr w:rsidR="00AB628C" w:rsidRPr="00AE0359" w14:paraId="1E8A5BC9" w14:textId="77777777" w:rsidTr="002848C1">
        <w:trPr>
          <w:trHeight w:val="285"/>
        </w:trPr>
        <w:tc>
          <w:tcPr>
            <w:tcW w:w="3560" w:type="dxa"/>
            <w:vMerge/>
            <w:tcBorders>
              <w:top w:val="single" w:sz="4" w:space="0" w:color="4F81BD" w:themeColor="accent1"/>
              <w:left w:val="single" w:sz="4" w:space="0" w:color="auto"/>
              <w:bottom w:val="nil"/>
              <w:right w:val="single" w:sz="4" w:space="0" w:color="4F81BD" w:themeColor="accent1"/>
            </w:tcBorders>
          </w:tcPr>
          <w:p w14:paraId="4A49D216" w14:textId="77777777" w:rsidR="00AB628C" w:rsidRPr="00AE0359" w:rsidRDefault="00AB628C" w:rsidP="00010E0F">
            <w:pPr>
              <w:rPr>
                <w:rFonts w:cstheme="minorHAnsi"/>
                <w:b/>
                <w:sz w:val="20"/>
                <w:szCs w:val="20"/>
              </w:rPr>
            </w:pPr>
          </w:p>
        </w:tc>
        <w:tc>
          <w:tcPr>
            <w:tcW w:w="18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0D7275" w14:textId="77777777" w:rsidR="00AB628C" w:rsidRPr="00AE0359" w:rsidRDefault="00AB628C" w:rsidP="00010E0F">
            <w:pPr>
              <w:rPr>
                <w:rFonts w:cstheme="minorHAnsi"/>
                <w:sz w:val="20"/>
                <w:szCs w:val="20"/>
              </w:rPr>
            </w:pPr>
            <w:r w:rsidRPr="00AE0359">
              <w:rPr>
                <w:rFonts w:cstheme="minorHAnsi"/>
                <w:sz w:val="20"/>
                <w:szCs w:val="20"/>
                <w:u w:val="single"/>
              </w:rPr>
              <w:t>Baseline</w:t>
            </w:r>
            <w:r>
              <w:rPr>
                <w:rFonts w:cstheme="minorHAnsi"/>
                <w:sz w:val="20"/>
                <w:szCs w:val="20"/>
                <w:u w:val="single"/>
              </w:rPr>
              <w:t xml:space="preserve"> </w:t>
            </w:r>
            <w:r w:rsidRPr="00AE0359">
              <w:rPr>
                <w:rFonts w:cstheme="minorHAnsi"/>
                <w:sz w:val="20"/>
                <w:szCs w:val="20"/>
              </w:rPr>
              <w:t>(201</w:t>
            </w:r>
            <w:r>
              <w:rPr>
                <w:rFonts w:cstheme="minorHAnsi"/>
                <w:sz w:val="20"/>
                <w:szCs w:val="20"/>
              </w:rPr>
              <w:t>7</w:t>
            </w:r>
            <w:r w:rsidRPr="00AE0359">
              <w:rPr>
                <w:rFonts w:cstheme="minorHAnsi"/>
                <w:sz w:val="20"/>
                <w:szCs w:val="20"/>
              </w:rPr>
              <w:t>)</w:t>
            </w:r>
            <w:r>
              <w:rPr>
                <w:rFonts w:cstheme="minorHAnsi"/>
                <w:sz w:val="20"/>
                <w:szCs w:val="20"/>
              </w:rPr>
              <w:t>:</w:t>
            </w:r>
          </w:p>
          <w:p w14:paraId="57ECAB86" w14:textId="77777777" w:rsidR="00AB628C" w:rsidRPr="00AE0359" w:rsidRDefault="00AB628C" w:rsidP="00010E0F">
            <w:pPr>
              <w:rPr>
                <w:rFonts w:cstheme="minorHAnsi"/>
                <w:sz w:val="20"/>
                <w:szCs w:val="20"/>
              </w:rPr>
            </w:pPr>
            <w:r w:rsidRPr="00AE0359">
              <w:rPr>
                <w:rFonts w:cstheme="minorHAnsi"/>
                <w:sz w:val="20"/>
                <w:szCs w:val="20"/>
              </w:rPr>
              <w:t xml:space="preserve">T: </w:t>
            </w:r>
            <w:r>
              <w:rPr>
                <w:rFonts w:cstheme="minorHAnsi"/>
                <w:sz w:val="20"/>
                <w:szCs w:val="20"/>
              </w:rPr>
              <w:t xml:space="preserve">  24%</w:t>
            </w:r>
          </w:p>
          <w:p w14:paraId="2D7D1649" w14:textId="77777777" w:rsidR="00AB628C" w:rsidRPr="00AE0359" w:rsidRDefault="00AB628C" w:rsidP="00010E0F">
            <w:pPr>
              <w:rPr>
                <w:rFonts w:cstheme="minorHAnsi"/>
                <w:sz w:val="20"/>
                <w:szCs w:val="20"/>
              </w:rPr>
            </w:pPr>
            <w:r w:rsidRPr="00AE0359">
              <w:rPr>
                <w:rFonts w:cstheme="minorHAnsi"/>
                <w:sz w:val="20"/>
                <w:szCs w:val="20"/>
              </w:rPr>
              <w:t xml:space="preserve">M: </w:t>
            </w:r>
            <w:r>
              <w:rPr>
                <w:rFonts w:cstheme="minorHAnsi"/>
                <w:sz w:val="20"/>
                <w:szCs w:val="20"/>
              </w:rPr>
              <w:t>24%</w:t>
            </w:r>
          </w:p>
          <w:p w14:paraId="32CCC9DC" w14:textId="77777777" w:rsidR="00AB628C" w:rsidRPr="00AE0359" w:rsidRDefault="00AB628C" w:rsidP="00010E0F">
            <w:pPr>
              <w:rPr>
                <w:rFonts w:cstheme="minorHAnsi"/>
                <w:sz w:val="20"/>
                <w:szCs w:val="20"/>
              </w:rPr>
            </w:pPr>
            <w:r w:rsidRPr="00AE0359">
              <w:rPr>
                <w:rFonts w:cstheme="minorHAnsi"/>
                <w:sz w:val="20"/>
                <w:szCs w:val="20"/>
              </w:rPr>
              <w:t xml:space="preserve">F: </w:t>
            </w:r>
            <w:r>
              <w:rPr>
                <w:rFonts w:cstheme="minorHAnsi"/>
                <w:sz w:val="20"/>
                <w:szCs w:val="20"/>
              </w:rPr>
              <w:t xml:space="preserve">  24%</w:t>
            </w:r>
          </w:p>
          <w:p w14:paraId="7568C081" w14:textId="77777777" w:rsidR="00AB628C" w:rsidRPr="00AE0359" w:rsidRDefault="00AB628C" w:rsidP="00010E0F">
            <w:pPr>
              <w:rPr>
                <w:rFonts w:cstheme="minorHAnsi"/>
                <w:sz w:val="20"/>
                <w:szCs w:val="20"/>
              </w:rPr>
            </w:pPr>
          </w:p>
        </w:tc>
        <w:tc>
          <w:tcPr>
            <w:tcW w:w="18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AE0EEC" w14:textId="77777777" w:rsidR="00AB628C" w:rsidRPr="005B1A8C" w:rsidRDefault="00AB628C" w:rsidP="00010E0F">
            <w:pPr>
              <w:rPr>
                <w:rFonts w:cstheme="minorHAnsi"/>
                <w:sz w:val="20"/>
                <w:szCs w:val="20"/>
              </w:rPr>
            </w:pPr>
            <w:r w:rsidRPr="005B1A8C">
              <w:rPr>
                <w:rFonts w:cstheme="minorHAnsi"/>
                <w:sz w:val="20"/>
                <w:szCs w:val="20"/>
                <w:u w:val="single"/>
              </w:rPr>
              <w:t>Target (202</w:t>
            </w:r>
            <w:r>
              <w:rPr>
                <w:rFonts w:cstheme="minorHAnsi"/>
                <w:sz w:val="20"/>
                <w:szCs w:val="20"/>
                <w:u w:val="single"/>
              </w:rPr>
              <w:t>5</w:t>
            </w:r>
            <w:r w:rsidRPr="005B1A8C">
              <w:rPr>
                <w:rFonts w:cstheme="minorHAnsi"/>
                <w:sz w:val="20"/>
                <w:szCs w:val="20"/>
                <w:u w:val="single"/>
              </w:rPr>
              <w:t>)</w:t>
            </w:r>
            <w:r w:rsidRPr="005B1A8C">
              <w:rPr>
                <w:rFonts w:cstheme="minorHAnsi"/>
                <w:sz w:val="20"/>
                <w:szCs w:val="20"/>
              </w:rPr>
              <w:t>:</w:t>
            </w:r>
          </w:p>
          <w:p w14:paraId="067F4988" w14:textId="77777777" w:rsidR="00AB628C" w:rsidRPr="002D32C1" w:rsidRDefault="00AB628C" w:rsidP="00010E0F">
            <w:pPr>
              <w:rPr>
                <w:rFonts w:cstheme="minorHAnsi"/>
                <w:sz w:val="20"/>
                <w:szCs w:val="20"/>
              </w:rPr>
            </w:pPr>
            <w:r w:rsidRPr="002D32C1">
              <w:rPr>
                <w:rFonts w:cstheme="minorHAnsi"/>
                <w:sz w:val="20"/>
                <w:szCs w:val="20"/>
              </w:rPr>
              <w:t>Total: 20%</w:t>
            </w:r>
          </w:p>
          <w:p w14:paraId="5C34990E" w14:textId="77777777" w:rsidR="00AB628C" w:rsidRPr="002D32C1" w:rsidRDefault="00AB628C" w:rsidP="00010E0F">
            <w:pPr>
              <w:rPr>
                <w:rFonts w:cstheme="minorHAnsi"/>
                <w:sz w:val="20"/>
                <w:szCs w:val="20"/>
              </w:rPr>
            </w:pPr>
            <w:r w:rsidRPr="002D32C1">
              <w:rPr>
                <w:rFonts w:cstheme="minorHAnsi"/>
                <w:sz w:val="20"/>
                <w:szCs w:val="20"/>
              </w:rPr>
              <w:t>M: 20%</w:t>
            </w:r>
          </w:p>
          <w:p w14:paraId="68E0A632" w14:textId="77777777" w:rsidR="00AB628C" w:rsidRPr="005B1A8C" w:rsidRDefault="00AB628C" w:rsidP="00010E0F">
            <w:pPr>
              <w:rPr>
                <w:rFonts w:cstheme="minorHAnsi"/>
                <w:sz w:val="20"/>
                <w:szCs w:val="20"/>
              </w:rPr>
            </w:pPr>
            <w:r w:rsidRPr="002D32C1">
              <w:rPr>
                <w:rFonts w:cstheme="minorHAnsi"/>
                <w:sz w:val="20"/>
                <w:szCs w:val="20"/>
              </w:rPr>
              <w:t>F: 20%</w:t>
            </w:r>
          </w:p>
          <w:p w14:paraId="0D54AC86" w14:textId="77777777" w:rsidR="00AB628C" w:rsidRPr="005B1A8C" w:rsidRDefault="00AB628C" w:rsidP="00010E0F">
            <w:pPr>
              <w:rPr>
                <w:rFonts w:cstheme="minorHAnsi"/>
                <w:sz w:val="20"/>
                <w:szCs w:val="20"/>
              </w:rPr>
            </w:pPr>
          </w:p>
        </w:tc>
        <w:tc>
          <w:tcPr>
            <w:tcW w:w="270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6B5ACA" w14:textId="77777777" w:rsidR="00AB628C" w:rsidRPr="005B1A8C" w:rsidRDefault="00AB628C" w:rsidP="00010E0F">
            <w:pPr>
              <w:rPr>
                <w:rFonts w:cstheme="minorHAnsi"/>
                <w:sz w:val="20"/>
                <w:szCs w:val="20"/>
              </w:rPr>
            </w:pPr>
            <w:r w:rsidRPr="005B1A8C">
              <w:rPr>
                <w:rFonts w:cstheme="minorHAnsi"/>
                <w:sz w:val="20"/>
                <w:szCs w:val="20"/>
                <w:u w:val="single"/>
              </w:rPr>
              <w:t>Source</w:t>
            </w:r>
            <w:r w:rsidRPr="005B1A8C">
              <w:rPr>
                <w:rFonts w:cstheme="minorHAnsi"/>
                <w:sz w:val="20"/>
                <w:szCs w:val="20"/>
              </w:rPr>
              <w:t>:</w:t>
            </w:r>
          </w:p>
          <w:p w14:paraId="25869D26" w14:textId="77777777" w:rsidR="00AB628C" w:rsidRPr="005B1A8C" w:rsidRDefault="00AB628C" w:rsidP="00010E0F">
            <w:pPr>
              <w:rPr>
                <w:rFonts w:cstheme="minorHAnsi"/>
                <w:sz w:val="20"/>
                <w:szCs w:val="20"/>
              </w:rPr>
            </w:pPr>
            <w:r w:rsidRPr="005B1A8C">
              <w:rPr>
                <w:rFonts w:cstheme="minorHAnsi"/>
                <w:sz w:val="20"/>
                <w:szCs w:val="20"/>
              </w:rPr>
              <w:t>Draft SDG Framework in BiH document</w:t>
            </w:r>
            <w:r>
              <w:rPr>
                <w:rStyle w:val="FootnoteReference"/>
                <w:rFonts w:cstheme="minorHAnsi"/>
                <w:sz w:val="20"/>
                <w:szCs w:val="20"/>
              </w:rPr>
              <w:footnoteReference w:id="141"/>
            </w:r>
            <w:r>
              <w:rPr>
                <w:rFonts w:cstheme="minorHAnsi"/>
                <w:sz w:val="20"/>
                <w:szCs w:val="20"/>
              </w:rPr>
              <w:t>;</w:t>
            </w:r>
            <w:r w:rsidRPr="005B1A8C">
              <w:rPr>
                <w:rFonts w:cstheme="minorHAnsi"/>
                <w:sz w:val="20"/>
                <w:szCs w:val="20"/>
              </w:rPr>
              <w:t xml:space="preserve"> BHAS</w:t>
            </w:r>
            <w:r>
              <w:rPr>
                <w:rFonts w:cstheme="minorHAnsi"/>
                <w:sz w:val="20"/>
                <w:szCs w:val="20"/>
              </w:rPr>
              <w:t xml:space="preserve"> data</w:t>
            </w:r>
          </w:p>
          <w:p w14:paraId="38478343" w14:textId="77777777" w:rsidR="00AB628C" w:rsidRPr="005B1A8C" w:rsidRDefault="00AB628C" w:rsidP="00010E0F">
            <w:pPr>
              <w:rPr>
                <w:rFonts w:cstheme="minorHAnsi"/>
                <w:sz w:val="20"/>
                <w:szCs w:val="20"/>
              </w:rPr>
            </w:pPr>
            <w:r>
              <w:rPr>
                <w:rFonts w:cstheme="minorHAnsi"/>
                <w:sz w:val="20"/>
                <w:szCs w:val="20"/>
              </w:rPr>
              <w:t>Note: EU average 2017: 10.8%</w:t>
            </w:r>
          </w:p>
          <w:p w14:paraId="2A836D9E" w14:textId="77777777" w:rsidR="00AB628C" w:rsidRPr="005B1A8C" w:rsidRDefault="00AB628C" w:rsidP="00010E0F">
            <w:pPr>
              <w:rPr>
                <w:rFonts w:cstheme="minorHAnsi"/>
                <w:sz w:val="20"/>
                <w:szCs w:val="20"/>
              </w:rPr>
            </w:pPr>
          </w:p>
        </w:tc>
        <w:tc>
          <w:tcPr>
            <w:tcW w:w="4098" w:type="dxa"/>
            <w:vMerge/>
            <w:tcBorders>
              <w:left w:val="single" w:sz="4" w:space="0" w:color="4F81BD" w:themeColor="accent1"/>
              <w:bottom w:val="single" w:sz="4" w:space="0" w:color="4F81BD" w:themeColor="accent1"/>
              <w:right w:val="single" w:sz="4" w:space="0" w:color="auto"/>
            </w:tcBorders>
          </w:tcPr>
          <w:p w14:paraId="0F111CCB" w14:textId="77777777" w:rsidR="00AB628C" w:rsidRPr="00AE0359" w:rsidRDefault="00AB628C" w:rsidP="00010E0F">
            <w:pPr>
              <w:rPr>
                <w:rFonts w:cstheme="minorHAnsi"/>
                <w:color w:val="0F243E" w:themeColor="text2" w:themeShade="80"/>
                <w:sz w:val="20"/>
                <w:szCs w:val="20"/>
              </w:rPr>
            </w:pPr>
          </w:p>
        </w:tc>
      </w:tr>
      <w:tr w:rsidR="00AB628C" w:rsidRPr="00AE0359" w14:paraId="47F993C8" w14:textId="77777777" w:rsidTr="002848C1">
        <w:trPr>
          <w:trHeight w:val="285"/>
        </w:trPr>
        <w:tc>
          <w:tcPr>
            <w:tcW w:w="3560" w:type="dxa"/>
            <w:vMerge w:val="restart"/>
            <w:tcBorders>
              <w:top w:val="nil"/>
              <w:left w:val="single" w:sz="4" w:space="0" w:color="auto"/>
              <w:bottom w:val="single" w:sz="4" w:space="0" w:color="4F81BD" w:themeColor="accent1"/>
              <w:right w:val="single" w:sz="4" w:space="0" w:color="4F81BD" w:themeColor="accent1"/>
            </w:tcBorders>
          </w:tcPr>
          <w:p w14:paraId="3CEFDECC" w14:textId="77777777" w:rsidR="00AB628C" w:rsidRPr="00AE0359" w:rsidRDefault="00AB628C" w:rsidP="00010E0F">
            <w:pPr>
              <w:rPr>
                <w:rFonts w:cstheme="minorHAnsi"/>
                <w:b/>
                <w:sz w:val="20"/>
                <w:szCs w:val="20"/>
              </w:rPr>
            </w:pPr>
          </w:p>
        </w:tc>
        <w:tc>
          <w:tcPr>
            <w:tcW w:w="6386" w:type="dxa"/>
            <w:gridSpan w:val="5"/>
            <w:tcBorders>
              <w:top w:val="single" w:sz="4" w:space="0" w:color="4F81BD" w:themeColor="accent1"/>
              <w:left w:val="single" w:sz="4" w:space="0" w:color="4F81BD" w:themeColor="accent1"/>
              <w:bottom w:val="single" w:sz="4" w:space="0" w:color="auto"/>
              <w:right w:val="single" w:sz="4" w:space="0" w:color="4F81BD" w:themeColor="accent1"/>
            </w:tcBorders>
          </w:tcPr>
          <w:p w14:paraId="59431B77" w14:textId="2261C372" w:rsidR="00AB628C" w:rsidRPr="003713A7" w:rsidRDefault="00AB628C" w:rsidP="00010E0F">
            <w:pPr>
              <w:spacing w:before="40" w:after="40"/>
              <w:rPr>
                <w:rFonts w:cstheme="minorHAnsi"/>
                <w:sz w:val="20"/>
                <w:szCs w:val="20"/>
                <w:u w:val="single"/>
              </w:rPr>
            </w:pPr>
            <w:r w:rsidRPr="003713A7">
              <w:rPr>
                <w:b/>
                <w:sz w:val="20"/>
                <w:szCs w:val="20"/>
              </w:rPr>
              <w:t>2.</w:t>
            </w:r>
            <w:r>
              <w:rPr>
                <w:b/>
                <w:sz w:val="20"/>
                <w:szCs w:val="20"/>
              </w:rPr>
              <w:t>d</w:t>
            </w:r>
            <w:r w:rsidRPr="008E2BBF">
              <w:rPr>
                <w:sz w:val="20"/>
                <w:szCs w:val="20"/>
              </w:rPr>
              <w:t xml:space="preserve"> </w:t>
            </w:r>
            <w:r w:rsidRPr="00871DE6">
              <w:rPr>
                <w:sz w:val="20"/>
                <w:szCs w:val="20"/>
                <w:u w:val="single"/>
              </w:rPr>
              <w:t xml:space="preserve">Presence of </w:t>
            </w:r>
            <w:r w:rsidRPr="00871DE6">
              <w:rPr>
                <w:sz w:val="20"/>
                <w:szCs w:val="20"/>
              </w:rPr>
              <w:t>working cooperation between employers and decision makers in education and training institutes</w:t>
            </w:r>
            <w:r w:rsidRPr="00871DE6">
              <w:rPr>
                <w:rStyle w:val="FootnoteReference"/>
                <w:sz w:val="20"/>
                <w:szCs w:val="20"/>
              </w:rPr>
              <w:footnoteReference w:id="142"/>
            </w:r>
            <w:r w:rsidRPr="003713A7">
              <w:rPr>
                <w:rFonts w:cstheme="minorHAnsi"/>
                <w:sz w:val="20"/>
                <w:szCs w:val="20"/>
              </w:rPr>
              <w:t xml:space="preserve">  (</w:t>
            </w:r>
            <w:r w:rsidRPr="003713A7">
              <w:rPr>
                <w:rFonts w:cstheme="minorHAnsi"/>
                <w:sz w:val="20"/>
                <w:szCs w:val="20"/>
              </w:rPr>
              <w:sym w:font="Wingdings" w:char="F0E0"/>
            </w:r>
            <w:r w:rsidRPr="003713A7">
              <w:rPr>
                <w:rFonts w:cstheme="minorHAnsi"/>
                <w:sz w:val="20"/>
                <w:szCs w:val="20"/>
              </w:rPr>
              <w:t xml:space="preserve"> SDG 8.5.2; 8.6.1 )</w:t>
            </w:r>
            <w:r>
              <w:rPr>
                <w:rFonts w:cstheme="minorHAnsi"/>
                <w:sz w:val="20"/>
                <w:szCs w:val="20"/>
              </w:rPr>
              <w:t xml:space="preserve"> </w:t>
            </w:r>
          </w:p>
        </w:tc>
        <w:tc>
          <w:tcPr>
            <w:tcW w:w="4098" w:type="dxa"/>
            <w:vMerge/>
            <w:tcBorders>
              <w:left w:val="single" w:sz="4" w:space="0" w:color="4F81BD" w:themeColor="accent1"/>
              <w:bottom w:val="single" w:sz="4" w:space="0" w:color="4F81BD" w:themeColor="accent1"/>
              <w:right w:val="single" w:sz="4" w:space="0" w:color="auto"/>
            </w:tcBorders>
          </w:tcPr>
          <w:p w14:paraId="7E817885" w14:textId="77777777" w:rsidR="00AB628C" w:rsidRPr="00AE0359" w:rsidRDefault="00AB628C" w:rsidP="00010E0F">
            <w:pPr>
              <w:rPr>
                <w:rFonts w:cstheme="minorHAnsi"/>
                <w:color w:val="0F243E" w:themeColor="text2" w:themeShade="80"/>
                <w:sz w:val="20"/>
                <w:szCs w:val="20"/>
              </w:rPr>
            </w:pPr>
          </w:p>
        </w:tc>
      </w:tr>
      <w:tr w:rsidR="00AB628C" w:rsidRPr="00AE0359" w14:paraId="08095389" w14:textId="77777777" w:rsidTr="002848C1">
        <w:trPr>
          <w:trHeight w:val="285"/>
        </w:trPr>
        <w:tc>
          <w:tcPr>
            <w:tcW w:w="3560" w:type="dxa"/>
            <w:vMerge/>
            <w:tcBorders>
              <w:top w:val="nil"/>
              <w:left w:val="single" w:sz="4" w:space="0" w:color="auto"/>
              <w:bottom w:val="single" w:sz="4" w:space="0" w:color="4F81BD" w:themeColor="accent1"/>
              <w:right w:val="single" w:sz="4" w:space="0" w:color="4F81BD" w:themeColor="accent1"/>
            </w:tcBorders>
          </w:tcPr>
          <w:p w14:paraId="4CA73719" w14:textId="77777777" w:rsidR="00AB628C" w:rsidRPr="00AE0359" w:rsidRDefault="00AB628C" w:rsidP="00010E0F">
            <w:pPr>
              <w:rPr>
                <w:rFonts w:cstheme="minorHAnsi"/>
                <w:b/>
                <w:sz w:val="20"/>
                <w:szCs w:val="20"/>
              </w:rPr>
            </w:pPr>
          </w:p>
        </w:tc>
        <w:tc>
          <w:tcPr>
            <w:tcW w:w="1853" w:type="dxa"/>
            <w:gridSpan w:val="2"/>
            <w:tcBorders>
              <w:top w:val="single" w:sz="4" w:space="0" w:color="auto"/>
              <w:left w:val="single" w:sz="4" w:space="0" w:color="4F81BD" w:themeColor="accent1"/>
              <w:bottom w:val="single" w:sz="4" w:space="0" w:color="4F81BD" w:themeColor="accent1"/>
              <w:right w:val="single" w:sz="4" w:space="0" w:color="4F81BD" w:themeColor="accent1"/>
            </w:tcBorders>
          </w:tcPr>
          <w:p w14:paraId="45F992F2" w14:textId="77777777" w:rsidR="00AB628C" w:rsidRPr="003713A7" w:rsidRDefault="00AB628C" w:rsidP="00010E0F">
            <w:pPr>
              <w:rPr>
                <w:rFonts w:cstheme="minorHAnsi"/>
                <w:sz w:val="20"/>
                <w:szCs w:val="20"/>
              </w:rPr>
            </w:pPr>
            <w:r w:rsidRPr="003713A7">
              <w:rPr>
                <w:rFonts w:cstheme="minorHAnsi"/>
                <w:sz w:val="20"/>
                <w:szCs w:val="20"/>
                <w:u w:val="single"/>
              </w:rPr>
              <w:t>Baseline</w:t>
            </w:r>
            <w:r w:rsidRPr="003713A7">
              <w:rPr>
                <w:rFonts w:cstheme="minorHAnsi"/>
                <w:sz w:val="20"/>
                <w:szCs w:val="20"/>
              </w:rPr>
              <w:t xml:space="preserve">: </w:t>
            </w:r>
          </w:p>
          <w:p w14:paraId="12873817" w14:textId="77777777" w:rsidR="00AB628C" w:rsidRPr="003713A7" w:rsidRDefault="00AB628C" w:rsidP="00010E0F">
            <w:pPr>
              <w:rPr>
                <w:rFonts w:cstheme="minorHAnsi"/>
                <w:sz w:val="20"/>
                <w:szCs w:val="20"/>
              </w:rPr>
            </w:pPr>
            <w:r w:rsidRPr="003713A7">
              <w:rPr>
                <w:rFonts w:cstheme="minorHAnsi"/>
                <w:sz w:val="20"/>
                <w:szCs w:val="20"/>
              </w:rPr>
              <w:t>No (2019)</w:t>
            </w:r>
          </w:p>
          <w:p w14:paraId="687F8C97" w14:textId="77777777" w:rsidR="00AB628C" w:rsidRPr="003713A7" w:rsidRDefault="00AB628C" w:rsidP="00010E0F">
            <w:pPr>
              <w:spacing w:before="40" w:after="40"/>
              <w:rPr>
                <w:rFonts w:cstheme="minorHAnsi"/>
                <w:sz w:val="20"/>
                <w:szCs w:val="20"/>
                <w:u w:val="single"/>
              </w:rPr>
            </w:pPr>
          </w:p>
        </w:tc>
        <w:tc>
          <w:tcPr>
            <w:tcW w:w="1829" w:type="dxa"/>
            <w:tcBorders>
              <w:top w:val="single" w:sz="4" w:space="0" w:color="auto"/>
              <w:left w:val="single" w:sz="4" w:space="0" w:color="4F81BD" w:themeColor="accent1"/>
              <w:bottom w:val="single" w:sz="4" w:space="0" w:color="4F81BD" w:themeColor="accent1"/>
              <w:right w:val="single" w:sz="4" w:space="0" w:color="4F81BD" w:themeColor="accent1"/>
            </w:tcBorders>
          </w:tcPr>
          <w:p w14:paraId="00416C94" w14:textId="77777777" w:rsidR="00AB628C" w:rsidRPr="003713A7" w:rsidRDefault="00AB628C" w:rsidP="00010E0F">
            <w:pPr>
              <w:rPr>
                <w:rFonts w:cstheme="minorHAnsi"/>
                <w:sz w:val="20"/>
                <w:szCs w:val="20"/>
              </w:rPr>
            </w:pPr>
            <w:r w:rsidRPr="003713A7">
              <w:rPr>
                <w:rFonts w:cstheme="minorHAnsi"/>
                <w:sz w:val="20"/>
                <w:szCs w:val="20"/>
                <w:u w:val="single"/>
              </w:rPr>
              <w:t>Target</w:t>
            </w:r>
            <w:r w:rsidRPr="003713A7">
              <w:rPr>
                <w:rFonts w:cstheme="minorHAnsi"/>
                <w:sz w:val="20"/>
                <w:szCs w:val="20"/>
              </w:rPr>
              <w:t>:</w:t>
            </w:r>
          </w:p>
          <w:p w14:paraId="68EF1692" w14:textId="77777777" w:rsidR="00AB628C" w:rsidRPr="003713A7" w:rsidRDefault="00AB628C" w:rsidP="00010E0F">
            <w:pPr>
              <w:spacing w:before="40" w:after="40"/>
              <w:rPr>
                <w:rFonts w:cstheme="minorHAnsi"/>
                <w:sz w:val="20"/>
                <w:szCs w:val="20"/>
                <w:u w:val="single"/>
              </w:rPr>
            </w:pPr>
            <w:r w:rsidRPr="003713A7">
              <w:rPr>
                <w:rFonts w:cstheme="minorHAnsi"/>
                <w:sz w:val="20"/>
                <w:szCs w:val="20"/>
              </w:rPr>
              <w:t>Yes (2025)</w:t>
            </w:r>
          </w:p>
        </w:tc>
        <w:tc>
          <w:tcPr>
            <w:tcW w:w="2704" w:type="dxa"/>
            <w:gridSpan w:val="2"/>
            <w:tcBorders>
              <w:top w:val="single" w:sz="4" w:space="0" w:color="auto"/>
              <w:left w:val="single" w:sz="4" w:space="0" w:color="4F81BD" w:themeColor="accent1"/>
              <w:bottom w:val="single" w:sz="4" w:space="0" w:color="4F81BD" w:themeColor="accent1"/>
              <w:right w:val="single" w:sz="4" w:space="0" w:color="4F81BD" w:themeColor="accent1"/>
            </w:tcBorders>
          </w:tcPr>
          <w:p w14:paraId="3741D0B5" w14:textId="77777777" w:rsidR="00AB628C" w:rsidRPr="003713A7" w:rsidRDefault="00AB628C" w:rsidP="00010E0F">
            <w:pPr>
              <w:rPr>
                <w:rFonts w:cstheme="minorHAnsi"/>
                <w:sz w:val="20"/>
                <w:szCs w:val="20"/>
              </w:rPr>
            </w:pPr>
            <w:r w:rsidRPr="003713A7">
              <w:rPr>
                <w:rFonts w:cstheme="minorHAnsi"/>
                <w:sz w:val="20"/>
                <w:szCs w:val="20"/>
                <w:u w:val="single"/>
              </w:rPr>
              <w:t>Source</w:t>
            </w:r>
            <w:r w:rsidRPr="003713A7">
              <w:rPr>
                <w:rFonts w:cstheme="minorHAnsi"/>
                <w:sz w:val="20"/>
                <w:szCs w:val="20"/>
              </w:rPr>
              <w:t>:</w:t>
            </w:r>
          </w:p>
          <w:p w14:paraId="72F086AB" w14:textId="344B79AC" w:rsidR="00AB628C" w:rsidRDefault="007A4AE8" w:rsidP="00010E0F">
            <w:pPr>
              <w:rPr>
                <w:rFonts w:cstheme="minorHAnsi"/>
                <w:sz w:val="20"/>
                <w:szCs w:val="20"/>
              </w:rPr>
            </w:pPr>
            <w:r w:rsidRPr="002848C1">
              <w:rPr>
                <w:rFonts w:cstheme="minorHAnsi"/>
                <w:sz w:val="20"/>
                <w:szCs w:val="20"/>
              </w:rPr>
              <w:t xml:space="preserve">Reports by relevant authorities in </w:t>
            </w:r>
            <w:r w:rsidR="00AB628C" w:rsidRPr="002848C1">
              <w:rPr>
                <w:rFonts w:cstheme="minorHAnsi"/>
                <w:sz w:val="20"/>
                <w:szCs w:val="20"/>
              </w:rPr>
              <w:t>BiH; Programme</w:t>
            </w:r>
            <w:r w:rsidR="00AB628C" w:rsidRPr="003713A7">
              <w:rPr>
                <w:rFonts w:cstheme="minorHAnsi"/>
                <w:sz w:val="20"/>
                <w:szCs w:val="20"/>
              </w:rPr>
              <w:t xml:space="preserve"> reports</w:t>
            </w:r>
          </w:p>
          <w:p w14:paraId="106B42F0" w14:textId="77777777" w:rsidR="00AB628C" w:rsidRPr="003713A7" w:rsidRDefault="00AB628C" w:rsidP="00010E0F">
            <w:pPr>
              <w:spacing w:before="40" w:after="40"/>
              <w:rPr>
                <w:rFonts w:cstheme="minorHAnsi"/>
                <w:sz w:val="20"/>
                <w:szCs w:val="20"/>
                <w:u w:val="single"/>
              </w:rPr>
            </w:pPr>
          </w:p>
        </w:tc>
        <w:tc>
          <w:tcPr>
            <w:tcW w:w="4098" w:type="dxa"/>
            <w:vMerge/>
            <w:tcBorders>
              <w:left w:val="single" w:sz="4" w:space="0" w:color="4F81BD" w:themeColor="accent1"/>
              <w:bottom w:val="single" w:sz="4" w:space="0" w:color="4F81BD" w:themeColor="accent1"/>
              <w:right w:val="single" w:sz="4" w:space="0" w:color="auto"/>
            </w:tcBorders>
          </w:tcPr>
          <w:p w14:paraId="7DF3AB8E" w14:textId="77777777" w:rsidR="00AB628C" w:rsidRPr="00AE0359" w:rsidRDefault="00AB628C" w:rsidP="00010E0F">
            <w:pPr>
              <w:rPr>
                <w:rFonts w:cstheme="minorHAnsi"/>
                <w:color w:val="0F243E" w:themeColor="text2" w:themeShade="80"/>
                <w:sz w:val="20"/>
                <w:szCs w:val="20"/>
              </w:rPr>
            </w:pPr>
          </w:p>
        </w:tc>
      </w:tr>
    </w:tbl>
    <w:p w14:paraId="68D6664A" w14:textId="7FBF430A" w:rsidR="007927E8" w:rsidRDefault="007927E8" w:rsidP="00AB628C">
      <w:pPr>
        <w:spacing w:after="160" w:line="259" w:lineRule="auto"/>
        <w:rPr>
          <w:rFonts w:cstheme="minorHAnsi"/>
          <w:sz w:val="10"/>
          <w:szCs w:val="10"/>
        </w:rPr>
      </w:pPr>
    </w:p>
    <w:p w14:paraId="677BCC91" w14:textId="77777777" w:rsidR="007927E8" w:rsidRDefault="007927E8">
      <w:pPr>
        <w:rPr>
          <w:rFonts w:cstheme="minorHAnsi"/>
          <w:sz w:val="10"/>
          <w:szCs w:val="10"/>
        </w:rPr>
      </w:pPr>
      <w:r>
        <w:rPr>
          <w:rFonts w:cstheme="minorHAnsi"/>
          <w:sz w:val="10"/>
          <w:szCs w:val="10"/>
        </w:rPr>
        <w:br w:type="page"/>
      </w:r>
    </w:p>
    <w:p w14:paraId="5DAE38A0" w14:textId="77777777" w:rsidR="00AB628C" w:rsidRDefault="00AB628C" w:rsidP="00AB628C">
      <w:pPr>
        <w:spacing w:after="160" w:line="259" w:lineRule="auto"/>
        <w:rPr>
          <w:rFonts w:cstheme="minorHAnsi"/>
          <w:sz w:val="10"/>
          <w:szCs w:val="10"/>
        </w:rPr>
      </w:pPr>
    </w:p>
    <w:tbl>
      <w:tblPr>
        <w:tblStyle w:val="TableGrid"/>
        <w:tblW w:w="14044" w:type="dxa"/>
        <w:tblInd w:w="-459" w:type="dxa"/>
        <w:tblBorders>
          <w:left w:val="none" w:sz="0" w:space="0" w:color="auto"/>
          <w:right w:val="none" w:sz="0" w:space="0" w:color="auto"/>
        </w:tblBorders>
        <w:tblLook w:val="04A0" w:firstRow="1" w:lastRow="0" w:firstColumn="1" w:lastColumn="0" w:noHBand="0" w:noVBand="1"/>
      </w:tblPr>
      <w:tblGrid>
        <w:gridCol w:w="3560"/>
        <w:gridCol w:w="185"/>
        <w:gridCol w:w="1668"/>
        <w:gridCol w:w="257"/>
        <w:gridCol w:w="1572"/>
        <w:gridCol w:w="2456"/>
        <w:gridCol w:w="508"/>
        <w:gridCol w:w="3838"/>
      </w:tblGrid>
      <w:tr w:rsidR="00AB628C" w:rsidRPr="009A7D0D" w14:paraId="2E2F4B0F" w14:textId="77777777" w:rsidTr="009674CE">
        <w:trPr>
          <w:trHeight w:val="450"/>
          <w:tblHeader/>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1F4E79"/>
            <w:vAlign w:val="center"/>
          </w:tcPr>
          <w:p w14:paraId="7F2449C7" w14:textId="747CE011" w:rsidR="00AB628C" w:rsidRPr="009A7D0D" w:rsidRDefault="00AB628C" w:rsidP="00010E0F">
            <w:pPr>
              <w:jc w:val="center"/>
              <w:rPr>
                <w:rFonts w:cstheme="minorHAnsi"/>
                <w:b/>
                <w:color w:val="FFFFFF" w:themeColor="background1"/>
                <w:sz w:val="24"/>
                <w:szCs w:val="24"/>
              </w:rPr>
            </w:pPr>
            <w:r>
              <w:rPr>
                <w:rFonts w:cstheme="minorHAnsi"/>
                <w:sz w:val="10"/>
                <w:szCs w:val="10"/>
              </w:rPr>
              <w:br w:type="page"/>
            </w:r>
            <w:r w:rsidRPr="009A7D0D">
              <w:rPr>
                <w:rFonts w:cstheme="minorHAnsi"/>
              </w:rPr>
              <w:br w:type="page"/>
            </w:r>
            <w:r>
              <w:rPr>
                <w:b/>
                <w:color w:val="FFFFFF" w:themeColor="background1"/>
                <w:sz w:val="24"/>
                <w:szCs w:val="24"/>
              </w:rPr>
              <w:t xml:space="preserve">BiH &amp; UN </w:t>
            </w:r>
            <w:r w:rsidRPr="009A7D0D">
              <w:rPr>
                <w:b/>
                <w:color w:val="FFFFFF" w:themeColor="background1"/>
                <w:sz w:val="24"/>
                <w:szCs w:val="24"/>
              </w:rPr>
              <w:t xml:space="preserve">Results </w:t>
            </w:r>
            <w:r>
              <w:rPr>
                <w:b/>
                <w:color w:val="FFFFFF" w:themeColor="background1"/>
                <w:sz w:val="24"/>
                <w:szCs w:val="24"/>
              </w:rPr>
              <w:t>Matrix [2021</w:t>
            </w:r>
            <w:r w:rsidRPr="009A7D0D">
              <w:rPr>
                <w:b/>
                <w:color w:val="FFFFFF" w:themeColor="background1"/>
                <w:sz w:val="24"/>
                <w:szCs w:val="24"/>
              </w:rPr>
              <w:t>-202</w:t>
            </w:r>
            <w:r>
              <w:rPr>
                <w:b/>
                <w:color w:val="FFFFFF" w:themeColor="background1"/>
                <w:sz w:val="24"/>
                <w:szCs w:val="24"/>
              </w:rPr>
              <w:t>5</w:t>
            </w:r>
            <w:r w:rsidRPr="009A7D0D">
              <w:rPr>
                <w:b/>
                <w:color w:val="FFFFFF" w:themeColor="background1"/>
                <w:sz w:val="24"/>
                <w:szCs w:val="24"/>
              </w:rPr>
              <w:t>]</w:t>
            </w:r>
          </w:p>
        </w:tc>
      </w:tr>
      <w:tr w:rsidR="00AB628C" w:rsidRPr="009A7D0D" w14:paraId="4DB4389C" w14:textId="77777777" w:rsidTr="009674CE">
        <w:trPr>
          <w:trHeight w:val="450"/>
          <w:tblHeader/>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1F4E79"/>
            <w:vAlign w:val="center"/>
          </w:tcPr>
          <w:p w14:paraId="675F4A59" w14:textId="77777777" w:rsidR="00AB628C" w:rsidRPr="009A7D0D" w:rsidRDefault="00AB628C" w:rsidP="00010E0F">
            <w:pPr>
              <w:jc w:val="center"/>
              <w:rPr>
                <w:rFonts w:cstheme="minorHAnsi"/>
              </w:rPr>
            </w:pPr>
            <w:r>
              <w:rPr>
                <w:b/>
                <w:color w:val="FFFFFF" w:themeColor="background1"/>
                <w:sz w:val="24"/>
                <w:szCs w:val="24"/>
              </w:rPr>
              <w:t xml:space="preserve">CF </w:t>
            </w:r>
            <w:r w:rsidRPr="00D73AAF">
              <w:rPr>
                <w:b/>
                <w:color w:val="FFFFFF" w:themeColor="background1"/>
                <w:sz w:val="24"/>
                <w:szCs w:val="24"/>
              </w:rPr>
              <w:t xml:space="preserve">priority: </w:t>
            </w:r>
            <w:r w:rsidRPr="008C4A65">
              <w:rPr>
                <w:b/>
                <w:color w:val="FFFFFF" w:themeColor="background1"/>
                <w:sz w:val="24"/>
                <w:szCs w:val="24"/>
              </w:rPr>
              <w:t>Quality, accessible and inclusive education, health and social protection</w:t>
            </w:r>
          </w:p>
        </w:tc>
      </w:tr>
      <w:tr w:rsidR="00AB628C" w:rsidRPr="00E76C7A" w14:paraId="2F14AE7B"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95B3D7" w:themeFill="accent1" w:themeFillTint="99"/>
          </w:tcPr>
          <w:p w14:paraId="15EC9151" w14:textId="77777777" w:rsidR="00AB628C" w:rsidRPr="00E05038" w:rsidRDefault="00AB628C" w:rsidP="00010E0F">
            <w:pPr>
              <w:spacing w:before="60" w:after="60"/>
              <w:rPr>
                <w:color w:val="0F243E" w:themeColor="text2" w:themeShade="80"/>
                <w:sz w:val="20"/>
                <w:szCs w:val="20"/>
              </w:rPr>
            </w:pPr>
            <w:r w:rsidRPr="00E05038">
              <w:rPr>
                <w:b/>
                <w:bCs/>
                <w:color w:val="0F243E" w:themeColor="text2" w:themeShade="80"/>
                <w:sz w:val="20"/>
                <w:szCs w:val="20"/>
              </w:rPr>
              <w:t>SDGs and targets</w:t>
            </w:r>
            <w:r w:rsidRPr="00E05038">
              <w:rPr>
                <w:rStyle w:val="FootnoteReference"/>
                <w:color w:val="0F243E" w:themeColor="text2" w:themeShade="80"/>
                <w:sz w:val="20"/>
                <w:szCs w:val="20"/>
              </w:rPr>
              <w:footnoteReference w:id="143"/>
            </w:r>
            <w:r w:rsidRPr="00E05038">
              <w:rPr>
                <w:color w:val="0F243E" w:themeColor="text2" w:themeShade="80"/>
                <w:sz w:val="20"/>
                <w:szCs w:val="20"/>
              </w:rPr>
              <w:t xml:space="preserve">:  1. End poverty: 1.1, 1.2, 1.3, 1.4; 3. Good health and well-being: 3.1, 3.2, 3.4, 3.7, 3.8; 5. Gender equality 5.1, 5.2, 5.6; 10. Reduced inequalities: 10.2, 10.7, 4, 5 and 16. End abuse, exploitation, trafficking and all forms of violence and torture of children: 4.a, 5.2, 5.3, 16.1, 16.2. </w:t>
            </w:r>
          </w:p>
          <w:p w14:paraId="2F8F7F55" w14:textId="77777777" w:rsidR="00AB628C" w:rsidRPr="00E05038" w:rsidRDefault="00AB628C" w:rsidP="00010E0F">
            <w:pPr>
              <w:spacing w:before="60" w:after="60"/>
              <w:rPr>
                <w:rFonts w:cstheme="minorHAnsi"/>
                <w:color w:val="0F243E" w:themeColor="text2" w:themeShade="80"/>
                <w:sz w:val="20"/>
                <w:szCs w:val="20"/>
              </w:rPr>
            </w:pPr>
            <w:r w:rsidRPr="00E05038">
              <w:rPr>
                <w:rFonts w:cstheme="minorHAnsi"/>
                <w:b/>
                <w:color w:val="0F243E" w:themeColor="text2" w:themeShade="80"/>
                <w:sz w:val="20"/>
                <w:szCs w:val="20"/>
              </w:rPr>
              <w:t>Sentinel impact indicators</w:t>
            </w:r>
            <w:r w:rsidRPr="00E05038">
              <w:rPr>
                <w:rFonts w:cstheme="minorHAnsi"/>
                <w:color w:val="0F243E" w:themeColor="text2" w:themeShade="80"/>
                <w:sz w:val="20"/>
                <w:szCs w:val="20"/>
              </w:rPr>
              <w:t>: 7. Child mortality rate, by sex (under-five years) (SDG3.2.1); 8. Mortality rate attributed to cardiovascular disease, cancer, diabetes, or chronic respiratory disease, by sex (SDG 3.4.1); 9. Proportion of population living below the national (relative</w:t>
            </w:r>
            <w:r w:rsidRPr="00E05038">
              <w:rPr>
                <w:rFonts w:cstheme="minorHAnsi"/>
                <w:color w:val="0F243E" w:themeColor="text2" w:themeShade="80"/>
                <w:sz w:val="20"/>
                <w:szCs w:val="20"/>
                <w:vertAlign w:val="superscript"/>
              </w:rPr>
              <w:footnoteReference w:id="144"/>
            </w:r>
            <w:r w:rsidRPr="00E05038">
              <w:rPr>
                <w:rFonts w:cstheme="minorHAnsi"/>
                <w:color w:val="0F243E" w:themeColor="text2" w:themeShade="80"/>
                <w:sz w:val="20"/>
                <w:szCs w:val="20"/>
              </w:rPr>
              <w:t xml:space="preserve">) poverty line, by location, sex and age (SDG 1.2.1); 10. Share of poorest 20% of households receiving social assistance, by area (SDG 1.3.1); 11. Gini index of income inequality (SDG 10.1.1, proxy) </w:t>
            </w:r>
            <w:r w:rsidRPr="00E05038">
              <w:rPr>
                <w:color w:val="0F243E" w:themeColor="text2" w:themeShade="80"/>
                <w:sz w:val="20"/>
                <w:szCs w:val="20"/>
              </w:rPr>
              <w:t xml:space="preserve"> </w:t>
            </w:r>
          </w:p>
        </w:tc>
      </w:tr>
      <w:tr w:rsidR="00AB628C" w:rsidRPr="00E76C7A" w14:paraId="369D9DC8"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47766CEA" w14:textId="77777777" w:rsidR="00AB628C" w:rsidRPr="000379C4" w:rsidRDefault="00AB628C" w:rsidP="00010E0F">
            <w:pPr>
              <w:spacing w:before="60" w:after="60"/>
              <w:rPr>
                <w:rFonts w:cstheme="minorHAnsi"/>
                <w:color w:val="0F243E" w:themeColor="text2" w:themeShade="80"/>
                <w:sz w:val="20"/>
                <w:szCs w:val="20"/>
                <w:lang w:val="en"/>
              </w:rPr>
            </w:pPr>
            <w:r w:rsidRPr="000379C4">
              <w:rPr>
                <w:rFonts w:cstheme="minorHAnsi"/>
                <w:i/>
                <w:color w:val="0F243E" w:themeColor="text2" w:themeShade="80"/>
                <w:sz w:val="20"/>
                <w:szCs w:val="20"/>
                <w:lang w:val="en"/>
              </w:rPr>
              <w:t xml:space="preserve">SDG Framework in BiH (draft): </w:t>
            </w:r>
            <w:r w:rsidRPr="000379C4">
              <w:rPr>
                <w:rFonts w:cstheme="minorHAnsi"/>
                <w:color w:val="0F243E" w:themeColor="text2" w:themeShade="80"/>
                <w:sz w:val="20"/>
                <w:szCs w:val="20"/>
                <w:lang w:val="en"/>
              </w:rPr>
              <w:t>1. Good governance: i. Efficient, transparent, inclusive and accountable public sector, ii. Rule of Law and Fundamental rights; 3. Equal opportunities: i. Adequate social security, iii. Efficient health care access; Cross-cutting: Human capital for 21</w:t>
            </w:r>
            <w:r w:rsidRPr="000379C4">
              <w:rPr>
                <w:rFonts w:cstheme="minorHAnsi"/>
                <w:color w:val="0F243E" w:themeColor="text2" w:themeShade="80"/>
                <w:sz w:val="20"/>
                <w:szCs w:val="20"/>
                <w:vertAlign w:val="superscript"/>
                <w:lang w:val="en"/>
              </w:rPr>
              <w:t>st</w:t>
            </w:r>
            <w:r w:rsidRPr="000379C4">
              <w:rPr>
                <w:rFonts w:cstheme="minorHAnsi"/>
                <w:color w:val="0F243E" w:themeColor="text2" w:themeShade="80"/>
                <w:sz w:val="20"/>
                <w:szCs w:val="20"/>
                <w:lang w:val="en"/>
              </w:rPr>
              <w:t xml:space="preserve"> C and Leave no one behind</w:t>
            </w:r>
            <w:r w:rsidRPr="000379C4">
              <w:rPr>
                <w:rFonts w:cstheme="minorHAnsi"/>
                <w:color w:val="0F243E" w:themeColor="text2" w:themeShade="80"/>
                <w:sz w:val="20"/>
                <w:szCs w:val="20"/>
                <w:lang w:val="en"/>
              </w:rPr>
              <w:t> </w:t>
            </w:r>
          </w:p>
          <w:p w14:paraId="253D2ABF" w14:textId="77777777" w:rsidR="00AB628C" w:rsidRPr="000379C4" w:rsidRDefault="00AB628C" w:rsidP="00010E0F">
            <w:pPr>
              <w:rPr>
                <w:sz w:val="20"/>
                <w:szCs w:val="20"/>
              </w:rPr>
            </w:pPr>
            <w:r w:rsidRPr="000379C4">
              <w:rPr>
                <w:rFonts w:cstheme="minorHAnsi"/>
                <w:i/>
                <w:color w:val="0F243E" w:themeColor="text2" w:themeShade="80"/>
                <w:sz w:val="20"/>
                <w:szCs w:val="20"/>
              </w:rPr>
              <w:t>EU accession</w:t>
            </w:r>
            <w:r w:rsidRPr="000379C4">
              <w:rPr>
                <w:rStyle w:val="FootnoteReference"/>
                <w:rFonts w:cstheme="minorHAnsi"/>
                <w:i/>
                <w:color w:val="0F243E" w:themeColor="text2" w:themeShade="80"/>
                <w:sz w:val="20"/>
                <w:szCs w:val="20"/>
              </w:rPr>
              <w:footnoteReference w:id="145"/>
            </w:r>
            <w:r w:rsidRPr="000379C4">
              <w:rPr>
                <w:rFonts w:cstheme="minorHAnsi"/>
                <w:color w:val="0F243E" w:themeColor="text2" w:themeShade="80"/>
                <w:sz w:val="20"/>
                <w:szCs w:val="20"/>
              </w:rPr>
              <w:t>:</w:t>
            </w:r>
            <w:r w:rsidRPr="000379C4">
              <w:rPr>
                <w:rFonts w:cstheme="minorHAnsi"/>
                <w:b/>
                <w:color w:val="0F243E" w:themeColor="text2" w:themeShade="80"/>
                <w:sz w:val="20"/>
                <w:szCs w:val="20"/>
              </w:rPr>
              <w:t xml:space="preserve"> </w:t>
            </w:r>
            <w:r w:rsidRPr="000379C4">
              <w:rPr>
                <w:rFonts w:cstheme="minorHAnsi"/>
                <w:color w:val="0F243E" w:themeColor="text2" w:themeShade="80"/>
                <w:sz w:val="20"/>
                <w:szCs w:val="20"/>
              </w:rPr>
              <w:t xml:space="preserve">(1) IPA-3 Rule of Law; Democracy &amp; Human Rights; Public Administration; (2) Op8. </w:t>
            </w:r>
            <w:r w:rsidRPr="000379C4">
              <w:rPr>
                <w:sz w:val="20"/>
                <w:szCs w:val="20"/>
              </w:rPr>
              <w:t xml:space="preserve">8. Effective migration management, asylum system, </w:t>
            </w:r>
            <w:r w:rsidRPr="000379C4">
              <w:rPr>
                <w:rFonts w:cstheme="minorHAnsi"/>
                <w:color w:val="0F243E" w:themeColor="text2" w:themeShade="80"/>
                <w:sz w:val="20"/>
                <w:szCs w:val="20"/>
              </w:rPr>
              <w:t>Op9. Strengthen protection of the rights of all citizens, Op9. Protection of human rights, non-discrimination; Op13. Improve the protection and inclusion of vulnerable groups</w:t>
            </w:r>
            <w:r w:rsidRPr="000379C4">
              <w:rPr>
                <w:sz w:val="20"/>
                <w:szCs w:val="20"/>
              </w:rPr>
              <w:t xml:space="preserve"> </w:t>
            </w:r>
          </w:p>
        </w:tc>
      </w:tr>
      <w:tr w:rsidR="00AB628C" w:rsidRPr="009C7C0A" w14:paraId="1A2E140C"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57BAC491" w14:textId="77777777" w:rsidR="00AB628C" w:rsidRPr="000379C4" w:rsidRDefault="00AB628C" w:rsidP="00010E0F">
            <w:pPr>
              <w:spacing w:before="40" w:after="40"/>
              <w:rPr>
                <w:b/>
                <w:bCs/>
                <w:sz w:val="20"/>
                <w:szCs w:val="20"/>
              </w:rPr>
            </w:pPr>
            <w:r w:rsidRPr="000379C4">
              <w:rPr>
                <w:i/>
                <w:iCs/>
                <w:sz w:val="20"/>
                <w:szCs w:val="20"/>
              </w:rPr>
              <w:t>Joint Socio-Economic Reforms, 2019-2022</w:t>
            </w:r>
            <w:r w:rsidRPr="000379C4">
              <w:rPr>
                <w:sz w:val="20"/>
                <w:szCs w:val="20"/>
                <w:vertAlign w:val="superscript"/>
              </w:rPr>
              <w:footnoteReference w:id="146"/>
            </w:r>
            <w:r w:rsidRPr="000379C4">
              <w:rPr>
                <w:sz w:val="20"/>
                <w:szCs w:val="20"/>
              </w:rPr>
              <w:t xml:space="preserve">: </w:t>
            </w:r>
            <w:r w:rsidRPr="000379C4">
              <w:rPr>
                <w:rFonts w:cstheme="minorHAnsi"/>
                <w:sz w:val="20"/>
                <w:szCs w:val="20"/>
              </w:rPr>
              <w:t>‘The reform of our respective health care systems will become one of our top priorities.’ - Preamble</w:t>
            </w:r>
          </w:p>
          <w:p w14:paraId="3313D062" w14:textId="6D0EC35A" w:rsidR="00AB628C" w:rsidRPr="000379C4" w:rsidRDefault="00AB628C" w:rsidP="00010E0F">
            <w:pPr>
              <w:spacing w:before="40" w:after="40"/>
              <w:rPr>
                <w:sz w:val="20"/>
                <w:szCs w:val="20"/>
              </w:rPr>
            </w:pPr>
            <w:r w:rsidRPr="000379C4">
              <w:rPr>
                <w:sz w:val="20"/>
                <w:szCs w:val="20"/>
              </w:rPr>
              <w:t xml:space="preserve">III. Comprehensive Reform and Improved Quality of the </w:t>
            </w:r>
            <w:r w:rsidRPr="002848C1">
              <w:rPr>
                <w:sz w:val="20"/>
                <w:szCs w:val="20"/>
              </w:rPr>
              <w:t>Health Care System</w:t>
            </w:r>
            <w:r w:rsidR="00810E0E" w:rsidRPr="002848C1">
              <w:rPr>
                <w:sz w:val="20"/>
                <w:szCs w:val="20"/>
              </w:rPr>
              <w:t>s</w:t>
            </w:r>
            <w:r w:rsidRPr="000379C4">
              <w:rPr>
                <w:sz w:val="20"/>
                <w:szCs w:val="20"/>
              </w:rPr>
              <w:t xml:space="preserve"> </w:t>
            </w:r>
          </w:p>
        </w:tc>
      </w:tr>
      <w:tr w:rsidR="00AB628C" w:rsidRPr="00E76C7A" w14:paraId="19502B79"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74C3DF08" w14:textId="77777777" w:rsidR="00AB628C" w:rsidRPr="00E76C7A" w:rsidRDefault="00AB628C" w:rsidP="00010E0F">
            <w:pPr>
              <w:spacing w:before="60" w:after="60"/>
              <w:rPr>
                <w:rFonts w:cstheme="minorHAnsi"/>
                <w:b/>
                <w:color w:val="0F243E" w:themeColor="text2" w:themeShade="80"/>
                <w:sz w:val="20"/>
                <w:szCs w:val="20"/>
                <w:lang w:val="en-US"/>
              </w:rPr>
            </w:pPr>
            <w:r w:rsidRPr="00B322B2">
              <w:rPr>
                <w:rFonts w:cstheme="minorHAnsi"/>
                <w:i/>
                <w:color w:val="0F243E" w:themeColor="text2" w:themeShade="80"/>
                <w:sz w:val="20"/>
                <w:szCs w:val="20"/>
              </w:rPr>
              <w:t>Regional framework(s) and targets</w:t>
            </w:r>
            <w:r w:rsidRPr="00E76C7A">
              <w:rPr>
                <w:rFonts w:cstheme="minorHAnsi"/>
                <w:b/>
                <w:color w:val="0F243E" w:themeColor="text2" w:themeShade="80"/>
                <w:sz w:val="20"/>
                <w:szCs w:val="20"/>
              </w:rPr>
              <w:t xml:space="preserve">: </w:t>
            </w:r>
            <w:r w:rsidRPr="00E76C7A">
              <w:rPr>
                <w:rFonts w:cstheme="minorHAnsi"/>
                <w:color w:val="0F243E" w:themeColor="text2" w:themeShade="80"/>
                <w:sz w:val="20"/>
                <w:szCs w:val="20"/>
              </w:rPr>
              <w:t>Western Balkans Action Plan</w:t>
            </w:r>
            <w:r w:rsidRPr="00924C5D">
              <w:rPr>
                <w:rStyle w:val="FootnoteReference"/>
                <w:rFonts w:cstheme="minorHAnsi"/>
                <w:sz w:val="20"/>
                <w:szCs w:val="20"/>
                <w:lang w:val="en-US"/>
              </w:rPr>
              <w:footnoteReference w:id="147"/>
            </w:r>
            <w:r w:rsidRPr="00924C5D">
              <w:rPr>
                <w:rFonts w:cstheme="minorHAnsi"/>
                <w:color w:val="0F243E" w:themeColor="text2" w:themeShade="80"/>
                <w:sz w:val="20"/>
                <w:szCs w:val="20"/>
              </w:rPr>
              <w:t xml:space="preserve">: (3) Address </w:t>
            </w:r>
            <w:r w:rsidRPr="00924C5D">
              <w:rPr>
                <w:color w:val="0F243E" w:themeColor="text2" w:themeShade="80"/>
                <w:sz w:val="20"/>
              </w:rPr>
              <w:t>challenges</w:t>
            </w:r>
            <w:r w:rsidRPr="00924C5D">
              <w:rPr>
                <w:rFonts w:cstheme="minorHAnsi"/>
                <w:color w:val="0F243E" w:themeColor="text2" w:themeShade="80"/>
                <w:sz w:val="20"/>
                <w:szCs w:val="20"/>
                <w:lang w:val="en-GB"/>
              </w:rPr>
              <w:t xml:space="preserve"> in the area of rule of law, including impunity</w:t>
            </w:r>
          </w:p>
        </w:tc>
      </w:tr>
      <w:tr w:rsidR="00AB628C" w:rsidRPr="009A7D0D" w14:paraId="582A995D" w14:textId="77777777" w:rsidTr="009674CE">
        <w:trPr>
          <w:trHeight w:val="337"/>
          <w:tblHeader/>
        </w:trPr>
        <w:tc>
          <w:tcPr>
            <w:tcW w:w="3745" w:type="dxa"/>
            <w:gridSpan w:val="2"/>
            <w:tcBorders>
              <w:top w:val="single" w:sz="4" w:space="0" w:color="548DD4" w:themeColor="text2" w:themeTint="99"/>
              <w:left w:val="single" w:sz="4" w:space="0" w:color="auto"/>
              <w:bottom w:val="single" w:sz="4" w:space="0" w:color="548DD4" w:themeColor="text2" w:themeTint="99"/>
              <w:right w:val="nil"/>
            </w:tcBorders>
            <w:shd w:val="clear" w:color="auto" w:fill="1F4E79"/>
            <w:vAlign w:val="center"/>
          </w:tcPr>
          <w:p w14:paraId="33A07449"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Outcome</w:t>
            </w:r>
          </w:p>
        </w:tc>
        <w:tc>
          <w:tcPr>
            <w:tcW w:w="5953" w:type="dxa"/>
            <w:gridSpan w:val="4"/>
            <w:tcBorders>
              <w:top w:val="single" w:sz="4" w:space="0" w:color="548DD4" w:themeColor="text2" w:themeTint="99"/>
              <w:left w:val="nil"/>
              <w:bottom w:val="single" w:sz="4" w:space="0" w:color="548DD4" w:themeColor="text2" w:themeTint="99"/>
              <w:right w:val="nil"/>
            </w:tcBorders>
            <w:shd w:val="clear" w:color="auto" w:fill="1F4E79"/>
            <w:vAlign w:val="center"/>
          </w:tcPr>
          <w:p w14:paraId="2D99D842"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Indicators, Baselines, Targets, Data source</w:t>
            </w:r>
          </w:p>
        </w:tc>
        <w:tc>
          <w:tcPr>
            <w:tcW w:w="4346" w:type="dxa"/>
            <w:gridSpan w:val="2"/>
            <w:tcBorders>
              <w:top w:val="single" w:sz="4" w:space="0" w:color="548DD4" w:themeColor="text2" w:themeTint="99"/>
              <w:left w:val="nil"/>
              <w:bottom w:val="single" w:sz="4" w:space="0" w:color="548DD4" w:themeColor="text2" w:themeTint="99"/>
              <w:right w:val="single" w:sz="4" w:space="0" w:color="auto"/>
            </w:tcBorders>
            <w:shd w:val="clear" w:color="auto" w:fill="1F4E79"/>
            <w:vAlign w:val="center"/>
          </w:tcPr>
          <w:p w14:paraId="020A1740"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Partners</w:t>
            </w:r>
          </w:p>
        </w:tc>
      </w:tr>
      <w:tr w:rsidR="00AB628C" w:rsidRPr="00AE0359" w14:paraId="5BF2CA79" w14:textId="77777777" w:rsidTr="009674CE">
        <w:trPr>
          <w:trHeight w:val="285"/>
        </w:trPr>
        <w:tc>
          <w:tcPr>
            <w:tcW w:w="3560" w:type="dxa"/>
            <w:vMerge w:val="restart"/>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754A5795" w14:textId="77777777" w:rsidR="00AB628C" w:rsidRDefault="00AB628C" w:rsidP="00010E0F">
            <w:pPr>
              <w:rPr>
                <w:rFonts w:cstheme="minorHAnsi"/>
                <w:sz w:val="20"/>
                <w:szCs w:val="20"/>
              </w:rPr>
            </w:pPr>
            <w:r w:rsidRPr="00E76C7A">
              <w:rPr>
                <w:rFonts w:cstheme="minorHAnsi"/>
                <w:b/>
                <w:sz w:val="20"/>
                <w:szCs w:val="20"/>
              </w:rPr>
              <w:t xml:space="preserve">Outcome </w:t>
            </w:r>
            <w:r>
              <w:rPr>
                <w:rFonts w:cstheme="minorHAnsi"/>
                <w:b/>
                <w:sz w:val="20"/>
                <w:szCs w:val="20"/>
              </w:rPr>
              <w:t>3</w:t>
            </w:r>
            <w:r w:rsidRPr="00E76C7A">
              <w:rPr>
                <w:rFonts w:cstheme="minorHAnsi"/>
                <w:b/>
                <w:sz w:val="20"/>
                <w:szCs w:val="20"/>
              </w:rPr>
              <w:t xml:space="preserve">. </w:t>
            </w:r>
            <w:r w:rsidRPr="007C3576">
              <w:rPr>
                <w:rFonts w:cstheme="minorHAnsi"/>
                <w:sz w:val="20"/>
                <w:szCs w:val="20"/>
              </w:rPr>
              <w:t>By 2025, people have access to better quality and inclusive health and social protection systems</w:t>
            </w:r>
          </w:p>
          <w:p w14:paraId="400ED4F5" w14:textId="77777777" w:rsidR="00AB628C" w:rsidRDefault="00AB628C" w:rsidP="00010E0F">
            <w:pPr>
              <w:rPr>
                <w:rFonts w:cstheme="minorHAnsi"/>
                <w:sz w:val="20"/>
                <w:szCs w:val="20"/>
              </w:rPr>
            </w:pPr>
          </w:p>
          <w:p w14:paraId="140C8F27" w14:textId="77777777" w:rsidR="00AB628C" w:rsidRPr="00AE0359" w:rsidRDefault="00AB628C" w:rsidP="00010E0F">
            <w:pPr>
              <w:rPr>
                <w:rFonts w:cstheme="minorHAnsi"/>
                <w:sz w:val="20"/>
                <w:szCs w:val="20"/>
              </w:rPr>
            </w:pPr>
          </w:p>
          <w:p w14:paraId="40DC7DF8" w14:textId="77777777" w:rsidR="00AB628C" w:rsidRPr="00AE0359" w:rsidRDefault="00AB628C" w:rsidP="00010E0F">
            <w:pPr>
              <w:rPr>
                <w:rFonts w:cstheme="minorHAnsi"/>
                <w:b/>
                <w:sz w:val="20"/>
                <w:szCs w:val="20"/>
              </w:rPr>
            </w:pPr>
          </w:p>
          <w:p w14:paraId="65D972C6" w14:textId="77777777" w:rsidR="00AB628C" w:rsidRPr="00AE0359" w:rsidRDefault="00AB628C" w:rsidP="00010E0F">
            <w:pPr>
              <w:rPr>
                <w:rFonts w:cstheme="minorHAnsi"/>
                <w:b/>
                <w:sz w:val="20"/>
                <w:szCs w:val="20"/>
              </w:rPr>
            </w:pPr>
            <w:r w:rsidRPr="00AE0359">
              <w:rPr>
                <w:rFonts w:cstheme="minorHAnsi"/>
                <w:i/>
                <w:color w:val="808080" w:themeColor="background1" w:themeShade="80"/>
                <w:sz w:val="20"/>
                <w:szCs w:val="20"/>
              </w:rPr>
              <w:t xml:space="preserve"> </w:t>
            </w:r>
          </w:p>
          <w:p w14:paraId="62151468" w14:textId="77777777" w:rsidR="00AB628C" w:rsidRPr="00AE0359" w:rsidRDefault="00AB628C" w:rsidP="00010E0F">
            <w:pPr>
              <w:rPr>
                <w:rFonts w:cstheme="minorHAnsi"/>
                <w:b/>
                <w:sz w:val="20"/>
                <w:szCs w:val="20"/>
              </w:rPr>
            </w:pPr>
            <w:r w:rsidRPr="00AE0359">
              <w:rPr>
                <w:rFonts w:cstheme="minorHAnsi"/>
                <w:i/>
                <w:color w:val="808080" w:themeColor="background1" w:themeShade="80"/>
                <w:sz w:val="20"/>
                <w:szCs w:val="20"/>
              </w:rPr>
              <w:t xml:space="preserve"> </w:t>
            </w:r>
          </w:p>
        </w:tc>
        <w:tc>
          <w:tcPr>
            <w:tcW w:w="664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5DBCCAFF" w14:textId="77777777" w:rsidR="00AB628C" w:rsidRPr="002848C1" w:rsidRDefault="00AB628C" w:rsidP="00010E0F">
            <w:pPr>
              <w:rPr>
                <w:rFonts w:cstheme="minorHAnsi"/>
                <w:b/>
                <w:bCs/>
                <w:sz w:val="20"/>
                <w:szCs w:val="20"/>
              </w:rPr>
            </w:pPr>
            <w:r w:rsidRPr="002848C1">
              <w:rPr>
                <w:rFonts w:cstheme="minorHAnsi"/>
                <w:b/>
                <w:bCs/>
                <w:sz w:val="20"/>
                <w:szCs w:val="20"/>
              </w:rPr>
              <w:t>3.a SDG Indicator 3.8.1</w:t>
            </w:r>
          </w:p>
          <w:p w14:paraId="2EC48416" w14:textId="7E1C924D" w:rsidR="00AB628C" w:rsidRPr="002848C1" w:rsidRDefault="00AB628C" w:rsidP="00010E0F">
            <w:pPr>
              <w:rPr>
                <w:rFonts w:cstheme="minorHAnsi"/>
                <w:sz w:val="20"/>
                <w:szCs w:val="20"/>
              </w:rPr>
            </w:pPr>
            <w:r w:rsidRPr="002848C1">
              <w:rPr>
                <w:rFonts w:cstheme="minorHAnsi"/>
                <w:sz w:val="20"/>
                <w:szCs w:val="20"/>
              </w:rPr>
              <w:t>Coverage of essential health services</w:t>
            </w:r>
            <w:r w:rsidRPr="002848C1">
              <w:rPr>
                <w:rStyle w:val="FootnoteReference"/>
                <w:rFonts w:cstheme="minorHAnsi"/>
                <w:sz w:val="20"/>
                <w:szCs w:val="20"/>
              </w:rPr>
              <w:footnoteReference w:id="148"/>
            </w:r>
            <w:r w:rsidR="001F355A" w:rsidRPr="002848C1">
              <w:rPr>
                <w:rFonts w:cstheme="minorHAnsi"/>
                <w:sz w:val="20"/>
                <w:szCs w:val="20"/>
              </w:rPr>
              <w:t xml:space="preserve"> (UHC)</w:t>
            </w:r>
          </w:p>
        </w:tc>
        <w:tc>
          <w:tcPr>
            <w:tcW w:w="3838"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440C059A" w14:textId="4E8794B9" w:rsidR="00AB628C" w:rsidRPr="002848C1" w:rsidRDefault="00AB628C" w:rsidP="00010E0F">
            <w:pPr>
              <w:rPr>
                <w:rFonts w:cstheme="minorHAnsi"/>
                <w:sz w:val="20"/>
                <w:szCs w:val="20"/>
              </w:rPr>
            </w:pPr>
            <w:r w:rsidRPr="002848C1">
              <w:rPr>
                <w:rFonts w:cstheme="minorHAnsi"/>
                <w:sz w:val="20"/>
                <w:szCs w:val="20"/>
                <w:u w:val="single"/>
              </w:rPr>
              <w:t>BiH</w:t>
            </w:r>
            <w:r w:rsidRPr="002848C1">
              <w:rPr>
                <w:rFonts w:cstheme="minorHAnsi"/>
                <w:sz w:val="20"/>
                <w:szCs w:val="20"/>
              </w:rPr>
              <w:t>:</w:t>
            </w:r>
          </w:p>
          <w:p w14:paraId="1C3FB4F9" w14:textId="426163DC" w:rsidR="00AB628C" w:rsidRPr="002848C1" w:rsidRDefault="00AB628C" w:rsidP="00AB628C">
            <w:pPr>
              <w:pStyle w:val="ListParagraph"/>
              <w:numPr>
                <w:ilvl w:val="0"/>
                <w:numId w:val="13"/>
              </w:numPr>
              <w:ind w:left="203" w:hanging="203"/>
              <w:rPr>
                <w:rFonts w:cstheme="minorHAnsi"/>
                <w:sz w:val="20"/>
                <w:szCs w:val="20"/>
              </w:rPr>
            </w:pPr>
            <w:r w:rsidRPr="002848C1">
              <w:rPr>
                <w:rFonts w:cstheme="minorHAnsi"/>
                <w:sz w:val="20"/>
                <w:szCs w:val="20"/>
                <w:lang w:val="en-CA"/>
              </w:rPr>
              <w:t>Relevant</w:t>
            </w:r>
            <w:r w:rsidRPr="002848C1">
              <w:rPr>
                <w:rFonts w:cstheme="minorHAnsi"/>
                <w:sz w:val="20"/>
                <w:szCs w:val="20"/>
              </w:rPr>
              <w:t xml:space="preserve"> </w:t>
            </w:r>
            <w:r w:rsidR="007A4AE8" w:rsidRPr="002848C1">
              <w:rPr>
                <w:rFonts w:cstheme="minorHAnsi"/>
                <w:sz w:val="20"/>
                <w:szCs w:val="20"/>
              </w:rPr>
              <w:t xml:space="preserve">authorities in </w:t>
            </w:r>
            <w:r w:rsidRPr="002848C1">
              <w:rPr>
                <w:rFonts w:cstheme="minorHAnsi"/>
                <w:sz w:val="20"/>
                <w:szCs w:val="20"/>
              </w:rPr>
              <w:t>BiH</w:t>
            </w:r>
          </w:p>
          <w:p w14:paraId="530E67A2" w14:textId="77777777" w:rsidR="00AB628C" w:rsidRPr="00E76C7A" w:rsidRDefault="00AB628C" w:rsidP="00010E0F">
            <w:pPr>
              <w:rPr>
                <w:rFonts w:cstheme="minorHAnsi"/>
                <w:sz w:val="20"/>
                <w:szCs w:val="20"/>
              </w:rPr>
            </w:pPr>
          </w:p>
          <w:p w14:paraId="6AAA8E03" w14:textId="77777777" w:rsidR="00AB628C" w:rsidRPr="00E76C7A" w:rsidRDefault="00AB628C" w:rsidP="00010E0F">
            <w:pPr>
              <w:rPr>
                <w:rFonts w:cstheme="minorHAnsi"/>
                <w:sz w:val="20"/>
                <w:szCs w:val="20"/>
                <w:lang w:val="en-US"/>
              </w:rPr>
            </w:pPr>
            <w:r w:rsidRPr="00E76C7A">
              <w:rPr>
                <w:rFonts w:cstheme="minorHAnsi"/>
                <w:sz w:val="20"/>
                <w:szCs w:val="20"/>
                <w:u w:val="single"/>
              </w:rPr>
              <w:t>UN</w:t>
            </w:r>
            <w:r w:rsidRPr="00E76C7A">
              <w:rPr>
                <w:rFonts w:cstheme="minorHAnsi"/>
                <w:sz w:val="20"/>
                <w:szCs w:val="20"/>
              </w:rPr>
              <w:t xml:space="preserve">: </w:t>
            </w:r>
          </w:p>
          <w:p w14:paraId="2C16F2F7" w14:textId="36DAAD01" w:rsidR="00AB628C" w:rsidRPr="00820038" w:rsidRDefault="00AB628C" w:rsidP="00AB628C">
            <w:pPr>
              <w:pStyle w:val="ListParagraph"/>
              <w:numPr>
                <w:ilvl w:val="0"/>
                <w:numId w:val="13"/>
              </w:numPr>
              <w:spacing w:after="160" w:line="259" w:lineRule="auto"/>
              <w:ind w:left="203" w:hanging="203"/>
              <w:rPr>
                <w:rFonts w:cstheme="minorHAnsi"/>
                <w:color w:val="0F243E" w:themeColor="text2" w:themeShade="80"/>
                <w:sz w:val="20"/>
                <w:szCs w:val="20"/>
                <w:lang w:val="en-CA"/>
              </w:rPr>
            </w:pPr>
            <w:r w:rsidRPr="00E76C7A">
              <w:rPr>
                <w:bCs/>
                <w:sz w:val="20"/>
                <w:szCs w:val="20"/>
                <w:lang w:val="en-CA"/>
              </w:rPr>
              <w:t xml:space="preserve">IOM, </w:t>
            </w:r>
            <w:r w:rsidR="000117BA">
              <w:rPr>
                <w:bCs/>
                <w:sz w:val="20"/>
                <w:szCs w:val="20"/>
                <w:lang w:val="en-CA"/>
              </w:rPr>
              <w:t xml:space="preserve">IAEA, </w:t>
            </w:r>
            <w:r w:rsidRPr="00E76C7A">
              <w:rPr>
                <w:bCs/>
                <w:sz w:val="20"/>
                <w:szCs w:val="20"/>
                <w:lang w:val="en-CA"/>
              </w:rPr>
              <w:t>UNFPA, UNHCR, UNICEF, UN Women, WHO</w:t>
            </w:r>
            <w:r w:rsidRPr="00AE07CC">
              <w:rPr>
                <w:bCs/>
                <w:sz w:val="20"/>
                <w:szCs w:val="20"/>
                <w:lang w:val="en-CA"/>
              </w:rPr>
              <w:t>, UNODC</w:t>
            </w:r>
          </w:p>
          <w:p w14:paraId="0773BA76" w14:textId="77777777" w:rsidR="00AB628C" w:rsidRDefault="00AB628C" w:rsidP="00010E0F">
            <w:pPr>
              <w:rPr>
                <w:rFonts w:cstheme="minorHAnsi"/>
                <w:sz w:val="20"/>
                <w:szCs w:val="20"/>
              </w:rPr>
            </w:pPr>
            <w:r>
              <w:rPr>
                <w:rFonts w:cstheme="minorHAnsi"/>
                <w:sz w:val="20"/>
                <w:szCs w:val="20"/>
                <w:u w:val="single"/>
              </w:rPr>
              <w:t>Other Partners</w:t>
            </w:r>
            <w:r>
              <w:rPr>
                <w:rFonts w:cstheme="minorHAnsi"/>
                <w:sz w:val="20"/>
                <w:szCs w:val="20"/>
              </w:rPr>
              <w:t xml:space="preserve">: </w:t>
            </w:r>
          </w:p>
          <w:p w14:paraId="7DC4F457" w14:textId="77777777" w:rsidR="00AB628C" w:rsidRPr="00667E36" w:rsidRDefault="00AB628C" w:rsidP="00AB628C">
            <w:pPr>
              <w:pStyle w:val="ListParagraph"/>
              <w:numPr>
                <w:ilvl w:val="0"/>
                <w:numId w:val="13"/>
              </w:numPr>
              <w:ind w:left="203" w:hanging="203"/>
              <w:rPr>
                <w:rFonts w:cstheme="minorHAnsi"/>
                <w:sz w:val="20"/>
                <w:szCs w:val="20"/>
              </w:rPr>
            </w:pPr>
            <w:r>
              <w:rPr>
                <w:rFonts w:cstheme="minorHAnsi"/>
                <w:sz w:val="20"/>
                <w:szCs w:val="20"/>
                <w:lang w:val="en-CA"/>
              </w:rPr>
              <w:t xml:space="preserve">Relevant CSOs, international partners, and representatives of private sector and academia </w:t>
            </w:r>
          </w:p>
          <w:p w14:paraId="07DEA5A5" w14:textId="77777777" w:rsidR="00AB628C" w:rsidRDefault="00AB628C" w:rsidP="00010E0F">
            <w:pPr>
              <w:rPr>
                <w:rFonts w:cstheme="minorHAnsi"/>
                <w:sz w:val="20"/>
                <w:szCs w:val="20"/>
              </w:rPr>
            </w:pPr>
          </w:p>
          <w:p w14:paraId="03855DF9" w14:textId="77777777" w:rsidR="00AB628C" w:rsidRDefault="00AB628C" w:rsidP="00010E0F">
            <w:pPr>
              <w:rPr>
                <w:rFonts w:cstheme="minorHAnsi"/>
                <w:sz w:val="20"/>
                <w:szCs w:val="20"/>
              </w:rPr>
            </w:pPr>
          </w:p>
          <w:p w14:paraId="2E72C152" w14:textId="77777777" w:rsidR="00AB628C" w:rsidRPr="00667E36" w:rsidRDefault="00AB628C" w:rsidP="00010E0F">
            <w:pPr>
              <w:rPr>
                <w:rFonts w:cstheme="minorHAnsi"/>
                <w:sz w:val="20"/>
                <w:szCs w:val="20"/>
              </w:rPr>
            </w:pPr>
          </w:p>
          <w:p w14:paraId="036F328C" w14:textId="77777777" w:rsidR="00AB628C" w:rsidRPr="00AE0359"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AE0359" w14:paraId="0C832297"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0C4E64D8" w14:textId="77777777" w:rsidR="00AB628C" w:rsidRPr="00AE0359"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67F60A0" w14:textId="77777777" w:rsidR="00AB628C" w:rsidRPr="002848C1" w:rsidRDefault="00AB628C" w:rsidP="00010E0F">
            <w:pPr>
              <w:rPr>
                <w:rFonts w:cstheme="minorHAnsi"/>
                <w:sz w:val="20"/>
                <w:szCs w:val="20"/>
              </w:rPr>
            </w:pPr>
            <w:r w:rsidRPr="002848C1">
              <w:rPr>
                <w:rFonts w:cstheme="minorHAnsi"/>
                <w:sz w:val="20"/>
                <w:szCs w:val="20"/>
                <w:u w:val="single"/>
              </w:rPr>
              <w:t xml:space="preserve">Baseline </w:t>
            </w:r>
            <w:r w:rsidRPr="002848C1">
              <w:rPr>
                <w:rFonts w:cstheme="minorHAnsi"/>
                <w:sz w:val="20"/>
                <w:szCs w:val="20"/>
              </w:rPr>
              <w:t xml:space="preserve">(2015): </w:t>
            </w:r>
          </w:p>
          <w:p w14:paraId="4FAAAFC4" w14:textId="77777777" w:rsidR="00AB628C" w:rsidRPr="002848C1" w:rsidRDefault="00AB628C" w:rsidP="00010E0F">
            <w:pPr>
              <w:rPr>
                <w:rFonts w:cstheme="minorHAnsi"/>
                <w:sz w:val="20"/>
                <w:szCs w:val="20"/>
              </w:rPr>
            </w:pPr>
            <w:r w:rsidRPr="002848C1">
              <w:rPr>
                <w:rFonts w:cstheme="minorHAnsi"/>
                <w:sz w:val="20"/>
                <w:szCs w:val="20"/>
              </w:rPr>
              <w:t>57</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225E3A5" w14:textId="77777777" w:rsidR="00AB628C" w:rsidRPr="002848C1" w:rsidRDefault="00AB628C" w:rsidP="00010E0F">
            <w:pPr>
              <w:rPr>
                <w:rFonts w:cstheme="minorHAnsi"/>
                <w:sz w:val="20"/>
                <w:szCs w:val="20"/>
              </w:rPr>
            </w:pPr>
            <w:r w:rsidRPr="002848C1">
              <w:rPr>
                <w:rFonts w:cstheme="minorHAnsi"/>
                <w:sz w:val="20"/>
                <w:szCs w:val="20"/>
                <w:u w:val="single"/>
              </w:rPr>
              <w:t>Target (2025)</w:t>
            </w:r>
            <w:r w:rsidRPr="002848C1">
              <w:rPr>
                <w:rFonts w:cstheme="minorHAnsi"/>
                <w:sz w:val="20"/>
                <w:szCs w:val="20"/>
              </w:rPr>
              <w:t>:</w:t>
            </w:r>
          </w:p>
          <w:p w14:paraId="629B0AEE" w14:textId="77777777" w:rsidR="00AB628C" w:rsidRPr="002848C1" w:rsidRDefault="00AB628C" w:rsidP="00010E0F">
            <w:pPr>
              <w:rPr>
                <w:rFonts w:cstheme="minorHAnsi"/>
                <w:sz w:val="20"/>
                <w:szCs w:val="20"/>
              </w:rPr>
            </w:pPr>
            <w:r w:rsidRPr="002848C1">
              <w:rPr>
                <w:rFonts w:cstheme="minorHAnsi"/>
                <w:sz w:val="20"/>
                <w:szCs w:val="20"/>
              </w:rPr>
              <w:t>65</w:t>
            </w:r>
          </w:p>
          <w:p w14:paraId="70FF2C11" w14:textId="77777777" w:rsidR="00AB628C" w:rsidRPr="002848C1" w:rsidRDefault="00AB628C" w:rsidP="00010E0F">
            <w:pPr>
              <w:rPr>
                <w:rFonts w:cstheme="minorHAnsi"/>
                <w:sz w:val="20"/>
                <w:szCs w:val="20"/>
              </w:rPr>
            </w:pP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84A7FB1" w14:textId="2D40C2EB" w:rsidR="00AB628C" w:rsidRPr="002848C1" w:rsidRDefault="00AB628C"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r w:rsidRPr="002848C1">
              <w:rPr>
                <w:rFonts w:cstheme="minorHAnsi"/>
                <w:sz w:val="20"/>
                <w:szCs w:val="20"/>
              </w:rPr>
              <w:br/>
            </w:r>
            <w:r w:rsidR="007A4AE8" w:rsidRPr="002848C1">
              <w:rPr>
                <w:rFonts w:cstheme="minorHAnsi"/>
                <w:sz w:val="20"/>
                <w:szCs w:val="20"/>
              </w:rPr>
              <w:t xml:space="preserve">Reports by the health authorities in </w:t>
            </w:r>
            <w:r w:rsidRPr="002848C1">
              <w:rPr>
                <w:rFonts w:cstheme="minorHAnsi"/>
                <w:sz w:val="20"/>
                <w:szCs w:val="20"/>
              </w:rPr>
              <w:t>BiH; WHO-GHO</w:t>
            </w:r>
            <w:r w:rsidRPr="002848C1">
              <w:rPr>
                <w:rStyle w:val="FootnoteReference"/>
                <w:rFonts w:cstheme="minorHAnsi"/>
                <w:sz w:val="20"/>
                <w:szCs w:val="20"/>
              </w:rPr>
              <w:footnoteReference w:id="149"/>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2D1151FD" w14:textId="77777777" w:rsidR="00AB628C" w:rsidRPr="00AE0359" w:rsidRDefault="00AB628C" w:rsidP="00010E0F">
            <w:pPr>
              <w:rPr>
                <w:rFonts w:cstheme="minorHAnsi"/>
                <w:color w:val="0F243E" w:themeColor="text2" w:themeShade="80"/>
                <w:sz w:val="20"/>
                <w:szCs w:val="20"/>
              </w:rPr>
            </w:pPr>
          </w:p>
        </w:tc>
      </w:tr>
      <w:tr w:rsidR="00CB0D80" w:rsidRPr="00AE0359" w14:paraId="334D5AB5"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1DD2BFDE" w14:textId="77777777" w:rsidR="00CB0D80" w:rsidRPr="00AE0359" w:rsidRDefault="00CB0D80" w:rsidP="00010E0F">
            <w:pPr>
              <w:rPr>
                <w:rFonts w:cstheme="minorHAnsi"/>
                <w:b/>
                <w:sz w:val="20"/>
                <w:szCs w:val="20"/>
              </w:rPr>
            </w:pPr>
          </w:p>
        </w:tc>
        <w:tc>
          <w:tcPr>
            <w:tcW w:w="664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3917664A" w14:textId="6A7F5F10" w:rsidR="00CB0D80" w:rsidRPr="002848C1" w:rsidRDefault="00CB0D80" w:rsidP="00620883">
            <w:pPr>
              <w:rPr>
                <w:rFonts w:cstheme="minorHAnsi"/>
                <w:sz w:val="20"/>
                <w:szCs w:val="20"/>
              </w:rPr>
            </w:pPr>
            <w:r w:rsidRPr="002848C1">
              <w:rPr>
                <w:rFonts w:cstheme="minorHAnsi"/>
                <w:b/>
                <w:bCs/>
                <w:sz w:val="20"/>
                <w:szCs w:val="20"/>
              </w:rPr>
              <w:t>3.</w:t>
            </w:r>
            <w:r w:rsidR="004B52D3" w:rsidRPr="002848C1">
              <w:rPr>
                <w:rFonts w:cstheme="minorHAnsi"/>
                <w:b/>
                <w:bCs/>
                <w:sz w:val="20"/>
                <w:szCs w:val="20"/>
              </w:rPr>
              <w:t>b</w:t>
            </w:r>
            <w:r w:rsidRPr="002848C1">
              <w:rPr>
                <w:rFonts w:cstheme="minorHAnsi"/>
                <w:sz w:val="20"/>
                <w:szCs w:val="20"/>
              </w:rPr>
              <w:t xml:space="preserve"> % Population with large household expenditure on health as a share of household total consumption or income (</w:t>
            </w:r>
            <w:r w:rsidRPr="002848C1">
              <w:rPr>
                <w:rFonts w:cstheme="minorHAnsi"/>
                <w:sz w:val="20"/>
                <w:szCs w:val="20"/>
              </w:rPr>
              <w:sym w:font="Wingdings" w:char="F0E0"/>
            </w:r>
            <w:r w:rsidRPr="002848C1">
              <w:rPr>
                <w:rFonts w:cstheme="minorHAnsi"/>
                <w:sz w:val="20"/>
                <w:szCs w:val="20"/>
              </w:rPr>
              <w:t xml:space="preserve"> SDG 3.8.2)</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51BBF907" w14:textId="77777777" w:rsidR="00CB0D80" w:rsidRPr="00AE0359" w:rsidRDefault="00CB0D80"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CB0D80" w:rsidRPr="00AE0359" w14:paraId="752BD239" w14:textId="77777777" w:rsidTr="00075C38">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399DB170" w14:textId="77777777" w:rsidR="00CB0D80" w:rsidRPr="00AE0359" w:rsidRDefault="00CB0D80" w:rsidP="00010E0F">
            <w:pPr>
              <w:rPr>
                <w:rFonts w:cstheme="minorHAnsi"/>
                <w:b/>
                <w:sz w:val="20"/>
                <w:szCs w:val="20"/>
              </w:rPr>
            </w:pPr>
          </w:p>
        </w:tc>
        <w:tc>
          <w:tcPr>
            <w:tcW w:w="211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1ACEDCD" w14:textId="77777777" w:rsidR="00CB0D80" w:rsidRPr="002848C1" w:rsidRDefault="00CB0D80" w:rsidP="00010E0F">
            <w:pPr>
              <w:rPr>
                <w:rFonts w:cstheme="minorHAnsi"/>
                <w:sz w:val="20"/>
                <w:szCs w:val="20"/>
              </w:rPr>
            </w:pPr>
            <w:r w:rsidRPr="002848C1">
              <w:rPr>
                <w:rFonts w:cstheme="minorHAnsi"/>
                <w:sz w:val="20"/>
                <w:szCs w:val="20"/>
                <w:u w:val="single"/>
              </w:rPr>
              <w:t>Baseline (2011)</w:t>
            </w:r>
            <w:r w:rsidRPr="002848C1">
              <w:rPr>
                <w:rFonts w:cstheme="minorHAnsi"/>
                <w:sz w:val="20"/>
                <w:szCs w:val="20"/>
              </w:rPr>
              <w:t>:</w:t>
            </w:r>
          </w:p>
          <w:p w14:paraId="122BC2B1" w14:textId="1BC0A040" w:rsidR="00CB0D80" w:rsidRPr="002848C1" w:rsidRDefault="00CB0D80" w:rsidP="00010E0F">
            <w:pPr>
              <w:spacing w:after="60"/>
              <w:rPr>
                <w:rFonts w:cstheme="minorHAnsi"/>
                <w:sz w:val="20"/>
                <w:szCs w:val="20"/>
              </w:rPr>
            </w:pPr>
            <w:r w:rsidRPr="002848C1">
              <w:rPr>
                <w:rFonts w:cstheme="minorHAnsi"/>
                <w:iCs/>
                <w:sz w:val="20"/>
                <w:szCs w:val="20"/>
              </w:rPr>
              <w:t xml:space="preserve">a. 10% of household expenditure on health </w:t>
            </w:r>
            <w:r w:rsidRPr="002848C1">
              <w:rPr>
                <w:rFonts w:cstheme="minorHAnsi"/>
                <w:sz w:val="20"/>
                <w:szCs w:val="20"/>
              </w:rPr>
              <w:t>8.6</w:t>
            </w:r>
          </w:p>
          <w:p w14:paraId="33D8C576" w14:textId="47D087B9" w:rsidR="00CB0D80" w:rsidRPr="002848C1" w:rsidRDefault="00CB0D80" w:rsidP="00010E0F">
            <w:pPr>
              <w:rPr>
                <w:rFonts w:cstheme="minorHAnsi"/>
                <w:sz w:val="20"/>
                <w:szCs w:val="20"/>
              </w:rPr>
            </w:pPr>
            <w:r w:rsidRPr="002848C1">
              <w:rPr>
                <w:rFonts w:cstheme="minorHAnsi"/>
                <w:iCs/>
                <w:sz w:val="20"/>
                <w:szCs w:val="20"/>
              </w:rPr>
              <w:t xml:space="preserve">b. 25% of household expenditure on health: </w:t>
            </w:r>
            <w:r w:rsidRPr="002848C1">
              <w:rPr>
                <w:rFonts w:cstheme="minorHAnsi"/>
                <w:sz w:val="20"/>
                <w:szCs w:val="20"/>
              </w:rPr>
              <w:t>1.3</w:t>
            </w:r>
          </w:p>
          <w:p w14:paraId="1E1C0C72" w14:textId="77777777" w:rsidR="00CB0D80" w:rsidRPr="002848C1" w:rsidRDefault="00CB0D80" w:rsidP="00010E0F">
            <w:pPr>
              <w:rPr>
                <w:rFonts w:cstheme="minorHAnsi"/>
                <w:sz w:val="20"/>
                <w:szCs w:val="20"/>
              </w:rPr>
            </w:pPr>
          </w:p>
        </w:tc>
        <w:tc>
          <w:tcPr>
            <w:tcW w:w="15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5163D51" w14:textId="77777777" w:rsidR="00CB0D80" w:rsidRPr="002848C1" w:rsidRDefault="00CB0D80" w:rsidP="00010E0F">
            <w:pPr>
              <w:rPr>
                <w:rFonts w:cstheme="minorHAnsi"/>
                <w:sz w:val="20"/>
                <w:szCs w:val="20"/>
              </w:rPr>
            </w:pPr>
            <w:r w:rsidRPr="002848C1">
              <w:rPr>
                <w:rFonts w:cstheme="minorHAnsi"/>
                <w:sz w:val="20"/>
                <w:szCs w:val="20"/>
                <w:u w:val="single"/>
              </w:rPr>
              <w:t>Target (2025)</w:t>
            </w:r>
            <w:r w:rsidRPr="002848C1">
              <w:rPr>
                <w:rFonts w:cstheme="minorHAnsi"/>
                <w:sz w:val="20"/>
                <w:szCs w:val="20"/>
              </w:rPr>
              <w:t>:</w:t>
            </w:r>
          </w:p>
          <w:p w14:paraId="313B2657" w14:textId="5FDD0C1D" w:rsidR="00CB0D80" w:rsidRPr="002848C1" w:rsidRDefault="00CB0D80" w:rsidP="00010E0F">
            <w:pPr>
              <w:spacing w:after="60"/>
              <w:rPr>
                <w:rFonts w:cstheme="minorHAnsi"/>
                <w:sz w:val="20"/>
                <w:szCs w:val="20"/>
              </w:rPr>
            </w:pPr>
            <w:r w:rsidRPr="002848C1">
              <w:rPr>
                <w:rFonts w:cstheme="minorHAnsi"/>
                <w:iCs/>
                <w:sz w:val="20"/>
                <w:szCs w:val="20"/>
              </w:rPr>
              <w:t xml:space="preserve">a. 10% of household expenditure on health: </w:t>
            </w:r>
            <w:r w:rsidRPr="002848C1">
              <w:rPr>
                <w:rFonts w:cstheme="minorHAnsi"/>
                <w:sz w:val="20"/>
                <w:szCs w:val="20"/>
              </w:rPr>
              <w:t>6.5</w:t>
            </w:r>
          </w:p>
          <w:p w14:paraId="453AB03F" w14:textId="3E26A2E8" w:rsidR="00CB0D80" w:rsidRPr="002848C1" w:rsidRDefault="00CB0D80" w:rsidP="00010E0F">
            <w:pPr>
              <w:rPr>
                <w:rFonts w:cstheme="minorHAnsi"/>
                <w:sz w:val="20"/>
                <w:szCs w:val="20"/>
              </w:rPr>
            </w:pPr>
            <w:r w:rsidRPr="002848C1">
              <w:rPr>
                <w:rFonts w:cstheme="minorHAnsi"/>
                <w:iCs/>
                <w:sz w:val="20"/>
                <w:szCs w:val="20"/>
              </w:rPr>
              <w:t xml:space="preserve">b. 25% of household expenditure on health: </w:t>
            </w:r>
            <w:r w:rsidRPr="002848C1">
              <w:rPr>
                <w:rFonts w:cstheme="minorHAnsi"/>
                <w:sz w:val="20"/>
                <w:szCs w:val="20"/>
              </w:rPr>
              <w:t>0.5</w:t>
            </w:r>
          </w:p>
          <w:p w14:paraId="77883627" w14:textId="77777777" w:rsidR="00CB0D80" w:rsidRPr="002848C1" w:rsidRDefault="00CB0D80" w:rsidP="00010E0F">
            <w:pPr>
              <w:rPr>
                <w:rFonts w:cstheme="minorHAnsi"/>
                <w:sz w:val="20"/>
                <w:szCs w:val="20"/>
              </w:rPr>
            </w:pP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F926B22" w14:textId="77777777" w:rsidR="00CB0D80" w:rsidRPr="002848C1" w:rsidRDefault="00CB0D80"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6F24BFA8" w14:textId="77777777" w:rsidR="00CB0D80" w:rsidRPr="002848C1" w:rsidRDefault="00CB0D80" w:rsidP="00010E0F">
            <w:pPr>
              <w:rPr>
                <w:rFonts w:cstheme="minorHAnsi"/>
                <w:sz w:val="20"/>
                <w:szCs w:val="20"/>
              </w:rPr>
            </w:pPr>
            <w:r w:rsidRPr="002848C1">
              <w:rPr>
                <w:rFonts w:cstheme="minorHAnsi"/>
                <w:sz w:val="20"/>
                <w:szCs w:val="20"/>
              </w:rPr>
              <w:t>Draft SDG Framework in BiH document; WHO GHO data and reports</w:t>
            </w:r>
          </w:p>
          <w:p w14:paraId="6FD974BB" w14:textId="77777777" w:rsidR="00CB0D80" w:rsidRPr="002848C1" w:rsidRDefault="00CB0D80" w:rsidP="00010E0F">
            <w:pPr>
              <w:rPr>
                <w:rFonts w:cstheme="minorHAnsi"/>
                <w:sz w:val="20"/>
                <w:szCs w:val="20"/>
              </w:rPr>
            </w:pPr>
          </w:p>
          <w:p w14:paraId="04602EEF" w14:textId="77777777" w:rsidR="00CB0D80" w:rsidRPr="002848C1" w:rsidRDefault="00CB0D80" w:rsidP="00010E0F">
            <w:pPr>
              <w:rPr>
                <w:rFonts w:cstheme="minorHAnsi"/>
                <w:sz w:val="20"/>
                <w:szCs w:val="20"/>
              </w:rPr>
            </w:pP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78F54A2E" w14:textId="77777777" w:rsidR="00CB0D80" w:rsidRPr="005B1A8C" w:rsidRDefault="00CB0D80" w:rsidP="00010E0F">
            <w:pPr>
              <w:rPr>
                <w:rFonts w:cstheme="minorHAnsi"/>
                <w:sz w:val="20"/>
                <w:szCs w:val="20"/>
              </w:rPr>
            </w:pPr>
          </w:p>
        </w:tc>
      </w:tr>
      <w:tr w:rsidR="00CB0D80" w:rsidRPr="00AE0359" w14:paraId="7F7F4C58"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2D2CDD27" w14:textId="77777777" w:rsidR="00CB0D80" w:rsidRPr="00AE0359" w:rsidRDefault="00CB0D80" w:rsidP="00010E0F">
            <w:pPr>
              <w:rPr>
                <w:rFonts w:cstheme="minorHAnsi"/>
                <w:b/>
                <w:sz w:val="20"/>
                <w:szCs w:val="20"/>
              </w:rPr>
            </w:pPr>
          </w:p>
        </w:tc>
        <w:tc>
          <w:tcPr>
            <w:tcW w:w="664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2D2CF22B" w14:textId="3F16A556" w:rsidR="00CB0D80" w:rsidRPr="00541504" w:rsidRDefault="00CB0D80" w:rsidP="00620883">
            <w:pPr>
              <w:pStyle w:val="CommentText"/>
              <w:rPr>
                <w:rFonts w:cstheme="minorHAnsi"/>
                <w:lang w:val="en-US"/>
              </w:rPr>
            </w:pPr>
            <w:r w:rsidRPr="00C16255">
              <w:rPr>
                <w:rFonts w:cstheme="minorHAnsi"/>
                <w:b/>
              </w:rPr>
              <w:t>3.</w:t>
            </w:r>
            <w:r w:rsidR="004B52D3">
              <w:rPr>
                <w:rFonts w:cstheme="minorHAnsi"/>
                <w:b/>
              </w:rPr>
              <w:t>c</w:t>
            </w:r>
            <w:r w:rsidRPr="00C16255">
              <w:rPr>
                <w:rFonts w:cstheme="minorHAnsi"/>
              </w:rPr>
              <w:t xml:space="preserve"> </w:t>
            </w:r>
            <w:r w:rsidRPr="00541504">
              <w:t xml:space="preserve">District or equivalent administrative unit with at least 80% coverage of </w:t>
            </w:r>
            <w:r w:rsidRPr="000379C4">
              <w:t>DPT</w:t>
            </w:r>
            <w:r w:rsidRPr="00541504">
              <w:t xml:space="preserve"> containing vaccine for children &lt;1 year</w:t>
            </w:r>
            <w:r>
              <w:rPr>
                <w:color w:val="FF0000"/>
              </w:rPr>
              <w:t xml:space="preserve"> </w:t>
            </w:r>
            <w:r w:rsidRPr="00C16255">
              <w:rPr>
                <w:rFonts w:cstheme="minorHAnsi"/>
              </w:rPr>
              <w:t>(</w:t>
            </w:r>
            <w:r w:rsidRPr="00C16255">
              <w:rPr>
                <w:rFonts w:cstheme="minorHAnsi"/>
                <w:lang w:val="en-GB"/>
              </w:rPr>
              <w:sym w:font="Wingdings" w:char="F0E0"/>
            </w:r>
            <w:r w:rsidRPr="00C16255">
              <w:rPr>
                <w:rFonts w:cstheme="minorHAnsi"/>
                <w:lang w:val="en-GB"/>
              </w:rPr>
              <w:t xml:space="preserve"> SDG 3.2.1, 3.2.2)</w:t>
            </w:r>
            <w:r>
              <w:rPr>
                <w:rFonts w:cstheme="minorHAnsi"/>
                <w:lang w:val="en-GB"/>
              </w:rPr>
              <w:t xml:space="preserve">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30531CA9" w14:textId="77777777" w:rsidR="00CB0D80" w:rsidRPr="00AE0359" w:rsidRDefault="00CB0D80"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CB0D80" w:rsidRPr="00AE0359" w14:paraId="74E06A7A"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51A0BAB6"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E27C3CB" w14:textId="77777777" w:rsidR="00CB0D80" w:rsidRPr="001C7F0B" w:rsidRDefault="00CB0D80" w:rsidP="00010E0F">
            <w:pPr>
              <w:rPr>
                <w:rFonts w:cstheme="minorHAnsi"/>
                <w:sz w:val="20"/>
                <w:szCs w:val="20"/>
                <w:u w:val="single"/>
              </w:rPr>
            </w:pPr>
            <w:r w:rsidRPr="001C7F0B">
              <w:rPr>
                <w:rFonts w:cstheme="minorHAnsi"/>
                <w:sz w:val="20"/>
                <w:szCs w:val="20"/>
                <w:u w:val="single"/>
              </w:rPr>
              <w:t>Baseline (201</w:t>
            </w:r>
            <w:r>
              <w:rPr>
                <w:rFonts w:cstheme="minorHAnsi"/>
                <w:sz w:val="20"/>
                <w:szCs w:val="20"/>
                <w:u w:val="single"/>
              </w:rPr>
              <w:t>8</w:t>
            </w:r>
            <w:r w:rsidRPr="001C7F0B">
              <w:rPr>
                <w:rFonts w:cstheme="minorHAnsi"/>
                <w:sz w:val="20"/>
                <w:szCs w:val="20"/>
                <w:u w:val="single"/>
              </w:rPr>
              <w:t>):</w:t>
            </w:r>
          </w:p>
          <w:p w14:paraId="768EF6E5" w14:textId="77777777" w:rsidR="00CB0D80" w:rsidRDefault="00CB0D80" w:rsidP="00010E0F">
            <w:pPr>
              <w:rPr>
                <w:rFonts w:cstheme="minorHAnsi"/>
                <w:sz w:val="20"/>
                <w:szCs w:val="20"/>
              </w:rPr>
            </w:pPr>
            <w:r>
              <w:rPr>
                <w:rFonts w:cstheme="minorHAnsi"/>
                <w:sz w:val="20"/>
                <w:szCs w:val="20"/>
              </w:rPr>
              <w:t>67%</w:t>
            </w:r>
          </w:p>
          <w:p w14:paraId="65A29937" w14:textId="77777777" w:rsidR="00CB0D80" w:rsidRPr="001C7F0B" w:rsidRDefault="00CB0D80"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9DCADB8" w14:textId="77777777" w:rsidR="00CB0D80" w:rsidRPr="001C7F0B" w:rsidRDefault="00CB0D80" w:rsidP="00010E0F">
            <w:pPr>
              <w:rPr>
                <w:rFonts w:cstheme="minorHAnsi"/>
                <w:sz w:val="20"/>
                <w:szCs w:val="20"/>
              </w:rPr>
            </w:pPr>
            <w:r w:rsidRPr="001C7F0B">
              <w:rPr>
                <w:rFonts w:cstheme="minorHAnsi"/>
                <w:sz w:val="20"/>
                <w:szCs w:val="20"/>
                <w:u w:val="single"/>
              </w:rPr>
              <w:t>Target (2025)</w:t>
            </w:r>
            <w:r w:rsidRPr="001C7F0B">
              <w:rPr>
                <w:rFonts w:cstheme="minorHAnsi"/>
                <w:sz w:val="20"/>
                <w:szCs w:val="20"/>
              </w:rPr>
              <w:t>:</w:t>
            </w:r>
          </w:p>
          <w:p w14:paraId="1201446A" w14:textId="77777777" w:rsidR="00CB0D80" w:rsidRPr="001C7F0B" w:rsidRDefault="00CB0D80" w:rsidP="00010E0F">
            <w:pPr>
              <w:rPr>
                <w:rFonts w:cstheme="minorHAnsi"/>
                <w:sz w:val="20"/>
                <w:szCs w:val="20"/>
              </w:rPr>
            </w:pPr>
            <w:r>
              <w:rPr>
                <w:rFonts w:cstheme="minorHAnsi"/>
                <w:sz w:val="20"/>
                <w:szCs w:val="20"/>
              </w:rPr>
              <w:t xml:space="preserve"> 100%</w:t>
            </w: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5AA3E72" w14:textId="77777777" w:rsidR="00CB0D80" w:rsidRPr="001C7F0B" w:rsidRDefault="00CB0D80" w:rsidP="00010E0F">
            <w:pPr>
              <w:rPr>
                <w:rFonts w:cstheme="minorHAnsi"/>
                <w:sz w:val="20"/>
                <w:szCs w:val="20"/>
              </w:rPr>
            </w:pPr>
            <w:r w:rsidRPr="001C7F0B">
              <w:rPr>
                <w:rFonts w:cstheme="minorHAnsi"/>
                <w:sz w:val="20"/>
                <w:szCs w:val="20"/>
                <w:u w:val="single"/>
              </w:rPr>
              <w:t>Source</w:t>
            </w:r>
            <w:r w:rsidRPr="001C7F0B">
              <w:rPr>
                <w:rFonts w:cstheme="minorHAnsi"/>
                <w:sz w:val="20"/>
                <w:szCs w:val="20"/>
              </w:rPr>
              <w:t>:</w:t>
            </w:r>
          </w:p>
          <w:p w14:paraId="7F2A6E22" w14:textId="77777777" w:rsidR="00CB0D80" w:rsidRPr="001C7F0B" w:rsidRDefault="00CB0D80" w:rsidP="00010E0F">
            <w:pPr>
              <w:rPr>
                <w:rFonts w:cstheme="minorHAnsi"/>
                <w:sz w:val="20"/>
                <w:szCs w:val="20"/>
              </w:rPr>
            </w:pPr>
            <w:r>
              <w:rPr>
                <w:rFonts w:cstheme="minorHAnsi"/>
                <w:sz w:val="20"/>
                <w:szCs w:val="20"/>
              </w:rPr>
              <w:t>WHO/UNICEF Joint Reporting Form (annual)</w:t>
            </w:r>
            <w:r>
              <w:rPr>
                <w:rStyle w:val="FootnoteReference"/>
                <w:rFonts w:cstheme="minorHAnsi"/>
                <w:sz w:val="20"/>
                <w:szCs w:val="20"/>
              </w:rPr>
              <w:footnoteReference w:id="150"/>
            </w:r>
          </w:p>
          <w:p w14:paraId="19CFFC93" w14:textId="77777777" w:rsidR="00CB0D80" w:rsidRPr="001C7F0B" w:rsidRDefault="00CB0D80" w:rsidP="00010E0F">
            <w:pPr>
              <w:rPr>
                <w:rFonts w:cstheme="minorHAnsi"/>
                <w:color w:val="FF0000"/>
                <w:sz w:val="20"/>
                <w:szCs w:val="20"/>
              </w:rPr>
            </w:pP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5B194E5F" w14:textId="77777777" w:rsidR="00CB0D80" w:rsidRPr="00AE0359" w:rsidRDefault="00CB0D80" w:rsidP="00010E0F">
            <w:pPr>
              <w:rPr>
                <w:rFonts w:cstheme="minorHAnsi"/>
                <w:color w:val="0F243E" w:themeColor="text2" w:themeShade="80"/>
                <w:sz w:val="20"/>
                <w:szCs w:val="20"/>
              </w:rPr>
            </w:pPr>
          </w:p>
        </w:tc>
      </w:tr>
      <w:tr w:rsidR="00CB0D80" w:rsidRPr="00AE0359" w14:paraId="47F65BD7"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6061AD99" w14:textId="77777777" w:rsidR="00CB0D80" w:rsidRPr="00AE0359" w:rsidRDefault="00CB0D80" w:rsidP="00010E0F">
            <w:pPr>
              <w:rPr>
                <w:rFonts w:cstheme="minorHAnsi"/>
                <w:b/>
                <w:sz w:val="20"/>
                <w:szCs w:val="20"/>
              </w:rPr>
            </w:pPr>
          </w:p>
        </w:tc>
        <w:tc>
          <w:tcPr>
            <w:tcW w:w="664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E4DBA59" w14:textId="1ECB876D" w:rsidR="00CB0D80" w:rsidRPr="00463AED" w:rsidRDefault="00CB0D80" w:rsidP="00620883">
            <w:pPr>
              <w:rPr>
                <w:rFonts w:cstheme="minorHAnsi"/>
                <w:sz w:val="20"/>
                <w:szCs w:val="20"/>
                <w:lang w:val="en-GB"/>
              </w:rPr>
            </w:pPr>
            <w:r w:rsidRPr="00AE78FA">
              <w:rPr>
                <w:rFonts w:cstheme="minorHAnsi"/>
                <w:b/>
                <w:sz w:val="20"/>
                <w:szCs w:val="20"/>
              </w:rPr>
              <w:t>3.</w:t>
            </w:r>
            <w:r w:rsidR="004B52D3">
              <w:rPr>
                <w:rFonts w:cstheme="minorHAnsi"/>
                <w:b/>
                <w:sz w:val="20"/>
                <w:szCs w:val="20"/>
              </w:rPr>
              <w:t>d</w:t>
            </w:r>
            <w:r w:rsidRPr="00AE78FA">
              <w:rPr>
                <w:rFonts w:cstheme="minorHAnsi"/>
                <w:sz w:val="20"/>
                <w:szCs w:val="20"/>
              </w:rPr>
              <w:t xml:space="preserve"> </w:t>
            </w:r>
            <w:r>
              <w:rPr>
                <w:rFonts w:cstheme="minorHAnsi"/>
                <w:sz w:val="20"/>
                <w:szCs w:val="20"/>
              </w:rPr>
              <w:t>% W</w:t>
            </w:r>
            <w:r w:rsidRPr="00AE78FA">
              <w:rPr>
                <w:rFonts w:cstheme="minorHAnsi"/>
                <w:sz w:val="20"/>
                <w:szCs w:val="20"/>
              </w:rPr>
              <w:t xml:space="preserve">omen (15-49 years) with family planning needs satisfied with modern methods </w:t>
            </w:r>
            <w:r w:rsidRPr="00AE78FA">
              <w:rPr>
                <w:rFonts w:cstheme="minorHAnsi"/>
                <w:sz w:val="20"/>
                <w:szCs w:val="20"/>
                <w:lang w:val="en-GB"/>
              </w:rPr>
              <w:t>(SDG 3.7.1)</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26F2B429" w14:textId="77777777" w:rsidR="00CB0D80" w:rsidRPr="00AE0359" w:rsidRDefault="00CB0D80" w:rsidP="00010E0F">
            <w:pPr>
              <w:rPr>
                <w:rFonts w:cstheme="minorHAnsi"/>
                <w:color w:val="0F243E" w:themeColor="text2" w:themeShade="80"/>
                <w:sz w:val="20"/>
                <w:szCs w:val="20"/>
              </w:rPr>
            </w:pPr>
          </w:p>
        </w:tc>
      </w:tr>
      <w:tr w:rsidR="00CB0D80" w:rsidRPr="00AE0359" w14:paraId="2D964162"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512E23DE"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222D08A" w14:textId="4EECB8FB" w:rsidR="00CB0D80" w:rsidRPr="001C7F0B" w:rsidRDefault="00CB0D80" w:rsidP="00010E0F">
            <w:pPr>
              <w:rPr>
                <w:rFonts w:cstheme="minorHAnsi"/>
                <w:sz w:val="20"/>
                <w:szCs w:val="20"/>
                <w:u w:val="single"/>
              </w:rPr>
            </w:pPr>
            <w:r w:rsidRPr="001C7F0B">
              <w:rPr>
                <w:rFonts w:cstheme="minorHAnsi"/>
                <w:sz w:val="20"/>
                <w:szCs w:val="20"/>
                <w:u w:val="single"/>
              </w:rPr>
              <w:t>Baseline (201</w:t>
            </w:r>
            <w:r>
              <w:rPr>
                <w:rFonts w:cstheme="minorHAnsi"/>
                <w:sz w:val="20"/>
                <w:szCs w:val="20"/>
                <w:u w:val="single"/>
              </w:rPr>
              <w:t>9</w:t>
            </w:r>
            <w:r w:rsidRPr="001C7F0B">
              <w:rPr>
                <w:rFonts w:cstheme="minorHAnsi"/>
                <w:sz w:val="20"/>
                <w:szCs w:val="20"/>
                <w:u w:val="single"/>
              </w:rPr>
              <w:t>):</w:t>
            </w:r>
          </w:p>
          <w:p w14:paraId="3CA7369E" w14:textId="77777777" w:rsidR="00CB0D80" w:rsidRPr="001C7F0B" w:rsidRDefault="00CB0D80" w:rsidP="00010E0F">
            <w:pPr>
              <w:rPr>
                <w:rFonts w:cstheme="minorHAnsi"/>
                <w:sz w:val="20"/>
                <w:szCs w:val="20"/>
              </w:rPr>
            </w:pPr>
            <w:r>
              <w:rPr>
                <w:rFonts w:cstheme="minorHAnsi"/>
                <w:sz w:val="20"/>
                <w:szCs w:val="20"/>
              </w:rPr>
              <w:t>21%</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5E7283B" w14:textId="77777777" w:rsidR="00CB0D80" w:rsidRPr="001C7F0B" w:rsidRDefault="00CB0D80" w:rsidP="00010E0F">
            <w:pPr>
              <w:rPr>
                <w:rFonts w:cstheme="minorHAnsi"/>
                <w:sz w:val="20"/>
                <w:szCs w:val="20"/>
              </w:rPr>
            </w:pPr>
            <w:r w:rsidRPr="001C7F0B">
              <w:rPr>
                <w:rFonts w:cstheme="minorHAnsi"/>
                <w:sz w:val="20"/>
                <w:szCs w:val="20"/>
                <w:u w:val="single"/>
              </w:rPr>
              <w:t>Target (2025)</w:t>
            </w:r>
            <w:r w:rsidRPr="001C7F0B">
              <w:rPr>
                <w:rFonts w:cstheme="minorHAnsi"/>
                <w:sz w:val="20"/>
                <w:szCs w:val="20"/>
              </w:rPr>
              <w:t>:</w:t>
            </w:r>
          </w:p>
          <w:p w14:paraId="3FFF61A9" w14:textId="77777777" w:rsidR="00CB0D80" w:rsidRPr="001C7F0B" w:rsidRDefault="00CB0D80" w:rsidP="00010E0F">
            <w:pPr>
              <w:rPr>
                <w:rFonts w:cstheme="minorHAnsi"/>
                <w:sz w:val="20"/>
                <w:szCs w:val="20"/>
              </w:rPr>
            </w:pPr>
            <w:r>
              <w:rPr>
                <w:rFonts w:cstheme="minorHAnsi"/>
                <w:sz w:val="20"/>
                <w:szCs w:val="20"/>
              </w:rPr>
              <w:t>25%</w:t>
            </w: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3525E65" w14:textId="77777777" w:rsidR="00CB0D80" w:rsidRPr="001C7F0B" w:rsidRDefault="00CB0D80" w:rsidP="00010E0F">
            <w:pPr>
              <w:rPr>
                <w:rFonts w:cstheme="minorHAnsi"/>
                <w:sz w:val="20"/>
                <w:szCs w:val="20"/>
              </w:rPr>
            </w:pPr>
            <w:r w:rsidRPr="001C7F0B">
              <w:rPr>
                <w:rFonts w:cstheme="minorHAnsi"/>
                <w:sz w:val="20"/>
                <w:szCs w:val="20"/>
                <w:u w:val="single"/>
              </w:rPr>
              <w:t>Source</w:t>
            </w:r>
            <w:r w:rsidRPr="001C7F0B">
              <w:rPr>
                <w:rFonts w:cstheme="minorHAnsi"/>
                <w:sz w:val="20"/>
                <w:szCs w:val="20"/>
              </w:rPr>
              <w:t>:</w:t>
            </w:r>
          </w:p>
          <w:p w14:paraId="49FC25E7" w14:textId="46923AAB" w:rsidR="00CB0D80" w:rsidRPr="001C7F0B" w:rsidRDefault="00CB0D80" w:rsidP="00010E0F">
            <w:pPr>
              <w:rPr>
                <w:rFonts w:cstheme="minorHAnsi"/>
                <w:sz w:val="20"/>
                <w:szCs w:val="20"/>
              </w:rPr>
            </w:pPr>
            <w:r>
              <w:rPr>
                <w:rFonts w:cstheme="minorHAnsi"/>
                <w:sz w:val="20"/>
                <w:szCs w:val="20"/>
              </w:rPr>
              <w:t>UNFPA</w:t>
            </w:r>
          </w:p>
          <w:p w14:paraId="6946E742" w14:textId="77777777" w:rsidR="00CB0D80" w:rsidRPr="001C7F0B" w:rsidRDefault="00CB0D80" w:rsidP="00010E0F">
            <w:pPr>
              <w:rPr>
                <w:rFonts w:cstheme="minorHAnsi"/>
                <w:sz w:val="20"/>
                <w:szCs w:val="20"/>
              </w:rPr>
            </w:pP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6022AEBC" w14:textId="77777777" w:rsidR="00CB0D80" w:rsidRPr="00AE0359" w:rsidRDefault="00CB0D80" w:rsidP="00010E0F">
            <w:pPr>
              <w:rPr>
                <w:rFonts w:cstheme="minorHAnsi"/>
                <w:color w:val="0F243E" w:themeColor="text2" w:themeShade="80"/>
                <w:sz w:val="20"/>
                <w:szCs w:val="20"/>
              </w:rPr>
            </w:pPr>
          </w:p>
        </w:tc>
      </w:tr>
      <w:tr w:rsidR="00CB0D80" w:rsidRPr="00AE0359" w14:paraId="62A20ABF"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78571355" w14:textId="77777777" w:rsidR="00CB0D80" w:rsidRPr="00AE0359" w:rsidRDefault="00CB0D80" w:rsidP="00010E0F">
            <w:pPr>
              <w:rPr>
                <w:rFonts w:cstheme="minorHAnsi"/>
                <w:b/>
                <w:sz w:val="20"/>
                <w:szCs w:val="20"/>
              </w:rPr>
            </w:pPr>
          </w:p>
        </w:tc>
        <w:tc>
          <w:tcPr>
            <w:tcW w:w="664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F8D8FB3" w14:textId="715DC10C" w:rsidR="00CB0D80" w:rsidRPr="007C761B" w:rsidRDefault="00CB0D80" w:rsidP="00010E0F">
            <w:pPr>
              <w:rPr>
                <w:rFonts w:cstheme="minorHAnsi"/>
                <w:sz w:val="20"/>
                <w:szCs w:val="20"/>
              </w:rPr>
            </w:pPr>
            <w:r w:rsidRPr="007C761B">
              <w:rPr>
                <w:rFonts w:cstheme="minorHAnsi"/>
                <w:b/>
                <w:sz w:val="20"/>
                <w:szCs w:val="20"/>
                <w:lang w:val="en-GB"/>
              </w:rPr>
              <w:t>3.</w:t>
            </w:r>
            <w:r w:rsidR="004B52D3">
              <w:rPr>
                <w:rFonts w:cstheme="minorHAnsi"/>
                <w:b/>
                <w:sz w:val="20"/>
                <w:szCs w:val="20"/>
                <w:lang w:val="en-GB"/>
              </w:rPr>
              <w:t>e</w:t>
            </w:r>
            <w:r w:rsidRPr="007C761B">
              <w:rPr>
                <w:rFonts w:cstheme="minorHAnsi"/>
                <w:sz w:val="20"/>
                <w:szCs w:val="20"/>
                <w:lang w:val="en-GB"/>
              </w:rPr>
              <w:t xml:space="preserve"> </w:t>
            </w:r>
            <w:r w:rsidRPr="007C761B">
              <w:rPr>
                <w:rFonts w:cstheme="minorHAnsi"/>
                <w:sz w:val="20"/>
                <w:szCs w:val="20"/>
                <w:u w:val="single"/>
                <w:lang w:val="en-GB"/>
              </w:rPr>
              <w:t>Extent of implementation of</w:t>
            </w:r>
            <w:r w:rsidRPr="007C761B">
              <w:rPr>
                <w:rFonts w:cstheme="minorHAnsi"/>
                <w:sz w:val="20"/>
                <w:szCs w:val="20"/>
                <w:lang w:val="en-GB"/>
              </w:rPr>
              <w:t xml:space="preserve"> Action Plans</w:t>
            </w:r>
            <w:r w:rsidRPr="007C761B">
              <w:rPr>
                <w:rStyle w:val="FootnoteReference"/>
                <w:rFonts w:cstheme="minorHAnsi"/>
                <w:sz w:val="20"/>
                <w:szCs w:val="20"/>
                <w:lang w:val="en-GB"/>
              </w:rPr>
              <w:footnoteReference w:id="151"/>
            </w:r>
            <w:r w:rsidRPr="007C761B">
              <w:rPr>
                <w:rFonts w:cstheme="minorHAnsi"/>
                <w:sz w:val="20"/>
                <w:szCs w:val="20"/>
                <w:lang w:val="en-GB"/>
              </w:rPr>
              <w:t xml:space="preserve"> for prevention and control of NCDs (</w:t>
            </w:r>
            <w:r w:rsidRPr="007C761B">
              <w:rPr>
                <w:rFonts w:cstheme="minorHAnsi"/>
                <w:sz w:val="20"/>
                <w:szCs w:val="20"/>
                <w:lang w:val="en-GB"/>
              </w:rPr>
              <w:sym w:font="Wingdings" w:char="F0E0"/>
            </w:r>
            <w:r>
              <w:rPr>
                <w:rFonts w:cstheme="minorHAnsi"/>
                <w:sz w:val="20"/>
                <w:szCs w:val="20"/>
                <w:lang w:val="en-GB"/>
              </w:rPr>
              <w:t xml:space="preserve"> SDG 3.4.1)</w:t>
            </w:r>
          </w:p>
          <w:p w14:paraId="34CEAE8E" w14:textId="77777777" w:rsidR="00CB0D80" w:rsidRPr="00AF4BA4" w:rsidRDefault="00CB0D80" w:rsidP="00010E0F">
            <w:pPr>
              <w:rPr>
                <w:rFonts w:cstheme="minorHAnsi"/>
                <w:sz w:val="16"/>
                <w:szCs w:val="16"/>
                <w:highlight w:val="yellow"/>
                <w:u w:val="single"/>
              </w:rPr>
            </w:pPr>
            <w:r w:rsidRPr="007C761B">
              <w:rPr>
                <w:rFonts w:cstheme="minorHAnsi"/>
                <w:sz w:val="16"/>
                <w:szCs w:val="16"/>
              </w:rPr>
              <w:t>(Rating: 4. Fully implemented; 3. Partially; 2. Inadequately; 1. Not/Poorly implemented)</w:t>
            </w:r>
            <w:r w:rsidRPr="007C761B">
              <w:rPr>
                <w:rFonts w:cstheme="minorHAnsi"/>
                <w:sz w:val="16"/>
                <w:szCs w:val="16"/>
                <w:lang w:val="en-GB"/>
              </w:rPr>
              <w:t xml:space="preserve">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780B3FF8" w14:textId="77777777" w:rsidR="00CB0D80" w:rsidRPr="00AE0359" w:rsidRDefault="00CB0D80" w:rsidP="00010E0F">
            <w:pPr>
              <w:rPr>
                <w:rFonts w:cstheme="minorHAnsi"/>
                <w:color w:val="0F243E" w:themeColor="text2" w:themeShade="80"/>
                <w:sz w:val="20"/>
                <w:szCs w:val="20"/>
              </w:rPr>
            </w:pPr>
          </w:p>
        </w:tc>
      </w:tr>
      <w:tr w:rsidR="00CB0D80" w:rsidRPr="00AE0359" w14:paraId="4D266A83"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7D8332C0"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D3EE923" w14:textId="77777777" w:rsidR="00CB0D80" w:rsidRPr="00352E0D" w:rsidRDefault="00CB0D80" w:rsidP="00010E0F">
            <w:pPr>
              <w:rPr>
                <w:rFonts w:cstheme="minorHAnsi"/>
                <w:sz w:val="20"/>
                <w:szCs w:val="20"/>
                <w:u w:val="single"/>
              </w:rPr>
            </w:pPr>
            <w:r w:rsidRPr="00352E0D">
              <w:rPr>
                <w:rFonts w:cstheme="minorHAnsi"/>
                <w:sz w:val="20"/>
                <w:szCs w:val="20"/>
                <w:u w:val="single"/>
              </w:rPr>
              <w:t>Baseline (2019):</w:t>
            </w:r>
          </w:p>
          <w:p w14:paraId="6182A114" w14:textId="77777777" w:rsidR="00CB0D80" w:rsidRPr="00352E0D" w:rsidRDefault="00CB0D80" w:rsidP="00010E0F">
            <w:pPr>
              <w:rPr>
                <w:rFonts w:cstheme="minorHAnsi"/>
                <w:sz w:val="20"/>
                <w:szCs w:val="20"/>
                <w:u w:val="single"/>
              </w:rPr>
            </w:pPr>
            <w:r w:rsidRPr="00352E0D">
              <w:rPr>
                <w:rFonts w:cstheme="minorHAnsi"/>
                <w:sz w:val="20"/>
                <w:szCs w:val="20"/>
              </w:rPr>
              <w:t>2</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B6A7366" w14:textId="77777777" w:rsidR="00CB0D80" w:rsidRPr="00352E0D" w:rsidRDefault="00CB0D80" w:rsidP="00010E0F">
            <w:pPr>
              <w:rPr>
                <w:rFonts w:cstheme="minorHAnsi"/>
                <w:sz w:val="20"/>
                <w:szCs w:val="20"/>
              </w:rPr>
            </w:pPr>
            <w:r w:rsidRPr="00352E0D">
              <w:rPr>
                <w:rFonts w:cstheme="minorHAnsi"/>
                <w:sz w:val="20"/>
                <w:szCs w:val="20"/>
                <w:u w:val="single"/>
              </w:rPr>
              <w:t>Target (2025)</w:t>
            </w:r>
            <w:r w:rsidRPr="00352E0D">
              <w:rPr>
                <w:rFonts w:cstheme="minorHAnsi"/>
                <w:sz w:val="20"/>
                <w:szCs w:val="20"/>
              </w:rPr>
              <w:t>:</w:t>
            </w:r>
          </w:p>
          <w:p w14:paraId="6DDA08E9" w14:textId="77777777" w:rsidR="00CB0D80" w:rsidRPr="00352E0D" w:rsidRDefault="00CB0D80" w:rsidP="00010E0F">
            <w:pPr>
              <w:rPr>
                <w:rFonts w:cstheme="minorHAnsi"/>
                <w:sz w:val="20"/>
                <w:szCs w:val="20"/>
                <w:u w:val="single"/>
              </w:rPr>
            </w:pPr>
            <w:r w:rsidRPr="00352E0D">
              <w:rPr>
                <w:rFonts w:cstheme="minorHAnsi"/>
                <w:sz w:val="20"/>
                <w:szCs w:val="20"/>
              </w:rPr>
              <w:t>3</w:t>
            </w: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094D265" w14:textId="77777777" w:rsidR="00CB0D80" w:rsidRPr="002848C1" w:rsidRDefault="00CB0D80" w:rsidP="00010E0F">
            <w:pPr>
              <w:rPr>
                <w:rFonts w:cstheme="minorHAnsi"/>
                <w:sz w:val="20"/>
                <w:szCs w:val="20"/>
              </w:rPr>
            </w:pPr>
            <w:r w:rsidRPr="002848C1">
              <w:rPr>
                <w:rFonts w:cstheme="minorHAnsi"/>
                <w:sz w:val="20"/>
                <w:szCs w:val="20"/>
                <w:u w:val="single"/>
              </w:rPr>
              <w:t>Source</w:t>
            </w:r>
            <w:r w:rsidRPr="002848C1">
              <w:rPr>
                <w:rFonts w:cstheme="minorHAnsi"/>
                <w:sz w:val="20"/>
                <w:szCs w:val="20"/>
              </w:rPr>
              <w:t>:</w:t>
            </w:r>
          </w:p>
          <w:p w14:paraId="4858615B" w14:textId="48964A23" w:rsidR="00CB0D80" w:rsidRPr="002848C1" w:rsidRDefault="00CB0D80" w:rsidP="00010E0F">
            <w:pPr>
              <w:rPr>
                <w:rFonts w:cstheme="minorHAnsi"/>
                <w:sz w:val="20"/>
                <w:szCs w:val="20"/>
              </w:rPr>
            </w:pPr>
            <w:r w:rsidRPr="002848C1">
              <w:rPr>
                <w:rFonts w:cstheme="minorHAnsi"/>
                <w:sz w:val="20"/>
                <w:szCs w:val="20"/>
              </w:rPr>
              <w:t>WHO review of reports by the health authorities in BiH</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019BB2C9" w14:textId="77777777" w:rsidR="00CB0D80" w:rsidRPr="00AE0359" w:rsidRDefault="00CB0D80" w:rsidP="00010E0F">
            <w:pPr>
              <w:rPr>
                <w:rFonts w:cstheme="minorHAnsi"/>
                <w:color w:val="0F243E" w:themeColor="text2" w:themeShade="80"/>
                <w:sz w:val="20"/>
                <w:szCs w:val="20"/>
              </w:rPr>
            </w:pPr>
          </w:p>
        </w:tc>
      </w:tr>
      <w:tr w:rsidR="00CB0D80" w:rsidRPr="00AE0359" w14:paraId="6E63F309"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55D104D9" w14:textId="77777777" w:rsidR="00CB0D80" w:rsidRPr="00AE0359" w:rsidRDefault="00CB0D80" w:rsidP="00010E0F">
            <w:pPr>
              <w:rPr>
                <w:rFonts w:cstheme="minorHAnsi"/>
                <w:b/>
                <w:sz w:val="20"/>
                <w:szCs w:val="20"/>
              </w:rPr>
            </w:pPr>
          </w:p>
        </w:tc>
        <w:tc>
          <w:tcPr>
            <w:tcW w:w="664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EB3D54B" w14:textId="1B9F9AB8" w:rsidR="00CB0D80" w:rsidRPr="00BA7E42" w:rsidRDefault="00CB0D80" w:rsidP="00010E0F">
            <w:pPr>
              <w:rPr>
                <w:rFonts w:cstheme="minorHAnsi"/>
                <w:sz w:val="20"/>
                <w:szCs w:val="20"/>
              </w:rPr>
            </w:pPr>
            <w:r w:rsidRPr="00A023D2">
              <w:rPr>
                <w:rFonts w:cstheme="minorHAnsi"/>
                <w:b/>
                <w:sz w:val="20"/>
                <w:szCs w:val="20"/>
              </w:rPr>
              <w:t>3.</w:t>
            </w:r>
            <w:r w:rsidR="004B52D3">
              <w:rPr>
                <w:rFonts w:cstheme="minorHAnsi"/>
                <w:b/>
                <w:sz w:val="20"/>
                <w:szCs w:val="20"/>
              </w:rPr>
              <w:t>f</w:t>
            </w:r>
            <w:r w:rsidRPr="00A023D2">
              <w:rPr>
                <w:rFonts w:cstheme="minorHAnsi"/>
                <w:b/>
                <w:sz w:val="20"/>
                <w:szCs w:val="20"/>
              </w:rPr>
              <w:t xml:space="preserve"> </w:t>
            </w:r>
            <w:r w:rsidRPr="00BA7E42">
              <w:rPr>
                <w:rFonts w:cstheme="minorHAnsi"/>
                <w:b/>
                <w:sz w:val="20"/>
                <w:szCs w:val="20"/>
              </w:rPr>
              <w:t xml:space="preserve">Social protection indicator </w:t>
            </w:r>
            <w:r w:rsidRPr="00BA7E42">
              <w:rPr>
                <w:rFonts w:cstheme="minorHAnsi"/>
                <w:sz w:val="20"/>
                <w:szCs w:val="20"/>
              </w:rPr>
              <w:t>(</w:t>
            </w:r>
            <w:r w:rsidRPr="00BA7E42">
              <w:rPr>
                <w:rFonts w:cstheme="minorHAnsi"/>
                <w:sz w:val="20"/>
                <w:szCs w:val="20"/>
              </w:rPr>
              <w:sym w:font="Wingdings" w:char="F0E0"/>
            </w:r>
            <w:r w:rsidRPr="00BA7E42">
              <w:rPr>
                <w:rFonts w:cstheme="minorHAnsi"/>
                <w:sz w:val="20"/>
                <w:szCs w:val="20"/>
              </w:rPr>
              <w:t xml:space="preserve"> SDG indicator 1.3.1) </w:t>
            </w:r>
          </w:p>
          <w:p w14:paraId="640A7DA1" w14:textId="77777777" w:rsidR="00CB0D80" w:rsidRPr="00A023D2" w:rsidRDefault="00CB0D80" w:rsidP="00010E0F">
            <w:pPr>
              <w:rPr>
                <w:rFonts w:cstheme="minorHAnsi"/>
                <w:sz w:val="20"/>
                <w:szCs w:val="20"/>
              </w:rPr>
            </w:pPr>
            <w:r w:rsidRPr="00BA7E42">
              <w:rPr>
                <w:rFonts w:cstheme="minorHAnsi"/>
                <w:sz w:val="20"/>
                <w:szCs w:val="20"/>
              </w:rPr>
              <w:t>Presence of consolidated social protection and labour (SPL) analysis* (including sex disaggregated data) and sector policy options with gender equality provisions to optimise social protection system performance (social protection; employment; education;</w:t>
            </w:r>
            <w:r w:rsidRPr="00A023D2">
              <w:rPr>
                <w:rFonts w:cstheme="minorHAnsi"/>
                <w:sz w:val="20"/>
                <w:szCs w:val="20"/>
              </w:rPr>
              <w:t xml:space="preserve"> health)</w:t>
            </w:r>
          </w:p>
          <w:p w14:paraId="01826C19" w14:textId="77777777" w:rsidR="00CB0D80" w:rsidRPr="005C1DF4" w:rsidRDefault="00CB0D80" w:rsidP="00010E0F">
            <w:pPr>
              <w:rPr>
                <w:rFonts w:cstheme="minorHAnsi"/>
                <w:sz w:val="20"/>
                <w:szCs w:val="20"/>
                <w:highlight w:val="yellow"/>
              </w:rPr>
            </w:pPr>
            <w:r w:rsidRPr="00A023D2">
              <w:rPr>
                <w:rFonts w:cstheme="minorHAnsi"/>
                <w:sz w:val="20"/>
                <w:szCs w:val="20"/>
              </w:rPr>
              <w:t>(*</w:t>
            </w:r>
            <w:r w:rsidRPr="00A023D2">
              <w:rPr>
                <w:rFonts w:cstheme="minorHAnsi"/>
                <w:i/>
                <w:sz w:val="20"/>
                <w:szCs w:val="20"/>
              </w:rPr>
              <w:t>Comprising new or updated databases for spending on social protection and labour programs and analysis of benefits</w:t>
            </w:r>
            <w:r w:rsidRPr="00A023D2">
              <w:rPr>
                <w:rStyle w:val="FootnoteReference"/>
                <w:rFonts w:cstheme="minorHAnsi"/>
                <w:i/>
                <w:sz w:val="20"/>
                <w:szCs w:val="20"/>
              </w:rPr>
              <w:footnoteReference w:id="152"/>
            </w:r>
            <w:r w:rsidRPr="00A023D2">
              <w:rPr>
                <w:rFonts w:cstheme="minorHAnsi"/>
                <w:i/>
                <w:sz w:val="20"/>
                <w:szCs w:val="20"/>
              </w:rPr>
              <w:t xml:space="preserve"> for vulnerable groups</w:t>
            </w:r>
            <w:r w:rsidRPr="00A023D2">
              <w:rPr>
                <w:rFonts w:cstheme="minorHAnsi"/>
                <w:sz w:val="20"/>
                <w:szCs w:val="20"/>
              </w:rPr>
              <w:t>)</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0379B00F" w14:textId="77777777" w:rsidR="00CB0D80" w:rsidRPr="00AE0359" w:rsidRDefault="00CB0D80" w:rsidP="00010E0F">
            <w:pPr>
              <w:rPr>
                <w:rFonts w:cstheme="minorHAnsi"/>
                <w:color w:val="0F243E" w:themeColor="text2" w:themeShade="80"/>
                <w:sz w:val="20"/>
                <w:szCs w:val="20"/>
              </w:rPr>
            </w:pPr>
          </w:p>
        </w:tc>
      </w:tr>
      <w:tr w:rsidR="00CB0D80" w:rsidRPr="00AE0359" w14:paraId="5D824842"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0B6F7F78"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F79DC8F" w14:textId="77777777" w:rsidR="00CB0D80" w:rsidRPr="00A023D2" w:rsidRDefault="00CB0D80" w:rsidP="00010E0F">
            <w:pPr>
              <w:rPr>
                <w:rFonts w:cstheme="minorHAnsi"/>
                <w:sz w:val="20"/>
                <w:szCs w:val="20"/>
                <w:u w:val="single"/>
              </w:rPr>
            </w:pPr>
            <w:r w:rsidRPr="00A023D2">
              <w:rPr>
                <w:rFonts w:cstheme="minorHAnsi"/>
                <w:sz w:val="20"/>
                <w:szCs w:val="20"/>
                <w:u w:val="single"/>
              </w:rPr>
              <w:t>Baseline (2019):</w:t>
            </w:r>
          </w:p>
          <w:p w14:paraId="110F3C1C" w14:textId="77777777" w:rsidR="00CB0D80" w:rsidRPr="00A023D2" w:rsidRDefault="00CB0D80" w:rsidP="00010E0F">
            <w:pPr>
              <w:rPr>
                <w:rFonts w:cstheme="minorHAnsi"/>
                <w:sz w:val="20"/>
                <w:szCs w:val="20"/>
              </w:rPr>
            </w:pPr>
            <w:r w:rsidRPr="00A023D2">
              <w:rPr>
                <w:rFonts w:cstheme="minorHAnsi"/>
                <w:sz w:val="20"/>
                <w:szCs w:val="20"/>
              </w:rPr>
              <w:t>SPL analysis: N</w:t>
            </w:r>
          </w:p>
          <w:p w14:paraId="1081AFB4" w14:textId="77777777" w:rsidR="00CB0D80" w:rsidRPr="00A023D2" w:rsidRDefault="00CB0D80" w:rsidP="00010E0F">
            <w:pPr>
              <w:rPr>
                <w:rFonts w:cstheme="minorHAnsi"/>
                <w:sz w:val="20"/>
                <w:szCs w:val="20"/>
                <w:u w:val="single"/>
              </w:rPr>
            </w:pPr>
            <w:r w:rsidRPr="00A023D2">
              <w:rPr>
                <w:rFonts w:cstheme="minorHAnsi"/>
                <w:sz w:val="20"/>
                <w:szCs w:val="20"/>
              </w:rPr>
              <w:t>Policy options: N</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A3E4256" w14:textId="77777777" w:rsidR="00CB0D80" w:rsidRPr="00A023D2" w:rsidRDefault="00CB0D80" w:rsidP="00010E0F">
            <w:pPr>
              <w:rPr>
                <w:rFonts w:cstheme="minorHAnsi"/>
                <w:sz w:val="20"/>
                <w:szCs w:val="20"/>
              </w:rPr>
            </w:pPr>
            <w:r w:rsidRPr="00A023D2">
              <w:rPr>
                <w:rFonts w:cstheme="minorHAnsi"/>
                <w:sz w:val="20"/>
                <w:szCs w:val="20"/>
                <w:u w:val="single"/>
              </w:rPr>
              <w:t>Target (2025)</w:t>
            </w:r>
            <w:r w:rsidRPr="00A023D2">
              <w:rPr>
                <w:rFonts w:cstheme="minorHAnsi"/>
                <w:sz w:val="20"/>
                <w:szCs w:val="20"/>
              </w:rPr>
              <w:t>:</w:t>
            </w:r>
          </w:p>
          <w:p w14:paraId="2183D50E" w14:textId="77777777" w:rsidR="00CB0D80" w:rsidRPr="00A023D2" w:rsidRDefault="00CB0D80" w:rsidP="00010E0F">
            <w:pPr>
              <w:rPr>
                <w:rFonts w:cstheme="minorHAnsi"/>
                <w:sz w:val="20"/>
                <w:szCs w:val="20"/>
              </w:rPr>
            </w:pPr>
            <w:r w:rsidRPr="00A023D2">
              <w:rPr>
                <w:rFonts w:cstheme="minorHAnsi"/>
                <w:sz w:val="20"/>
                <w:szCs w:val="20"/>
              </w:rPr>
              <w:t>SPL analysis: Y</w:t>
            </w:r>
          </w:p>
          <w:p w14:paraId="59913E92" w14:textId="77777777" w:rsidR="00CB0D80" w:rsidRPr="00A023D2" w:rsidRDefault="00CB0D80" w:rsidP="00010E0F">
            <w:pPr>
              <w:rPr>
                <w:rFonts w:cstheme="minorHAnsi"/>
                <w:sz w:val="20"/>
                <w:szCs w:val="20"/>
                <w:u w:val="single"/>
              </w:rPr>
            </w:pPr>
            <w:r w:rsidRPr="00A023D2">
              <w:rPr>
                <w:rFonts w:cstheme="minorHAnsi"/>
                <w:sz w:val="20"/>
                <w:szCs w:val="20"/>
              </w:rPr>
              <w:t>Policy options: Y</w:t>
            </w: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41A41A1" w14:textId="77777777" w:rsidR="00CB0D80" w:rsidRPr="003D3D83" w:rsidRDefault="00CB0D80" w:rsidP="00010E0F">
            <w:pPr>
              <w:rPr>
                <w:rFonts w:cstheme="minorHAnsi"/>
                <w:sz w:val="20"/>
                <w:szCs w:val="20"/>
              </w:rPr>
            </w:pPr>
            <w:r w:rsidRPr="003D3D83">
              <w:rPr>
                <w:rFonts w:cstheme="minorHAnsi"/>
                <w:sz w:val="20"/>
                <w:szCs w:val="20"/>
                <w:u w:val="single"/>
              </w:rPr>
              <w:t>Source</w:t>
            </w:r>
            <w:r w:rsidRPr="003D3D83">
              <w:rPr>
                <w:rFonts w:cstheme="minorHAnsi"/>
                <w:sz w:val="20"/>
                <w:szCs w:val="20"/>
              </w:rPr>
              <w:t>:</w:t>
            </w:r>
          </w:p>
          <w:p w14:paraId="6E54881D" w14:textId="48A6EA38" w:rsidR="00CB0D80" w:rsidRPr="003D3D83" w:rsidRDefault="00CB0D80" w:rsidP="00010E0F">
            <w:pPr>
              <w:rPr>
                <w:rFonts w:cstheme="minorHAnsi"/>
                <w:sz w:val="20"/>
                <w:szCs w:val="20"/>
              </w:rPr>
            </w:pPr>
            <w:r w:rsidRPr="003D3D83">
              <w:rPr>
                <w:rFonts w:cstheme="minorHAnsi"/>
                <w:sz w:val="20"/>
                <w:szCs w:val="20"/>
              </w:rPr>
              <w:t>Reports by the health authorities in BiH;</w:t>
            </w:r>
          </w:p>
          <w:p w14:paraId="3BF6BD71" w14:textId="77777777" w:rsidR="00CB0D80" w:rsidRPr="003D3D83" w:rsidRDefault="00CB0D80" w:rsidP="00010E0F">
            <w:pPr>
              <w:rPr>
                <w:rFonts w:cstheme="minorHAnsi"/>
                <w:sz w:val="20"/>
                <w:szCs w:val="20"/>
              </w:rPr>
            </w:pPr>
            <w:r w:rsidRPr="003D3D83">
              <w:rPr>
                <w:rFonts w:cstheme="minorHAnsi"/>
                <w:sz w:val="20"/>
                <w:szCs w:val="20"/>
              </w:rPr>
              <w:t>Programme reports</w:t>
            </w:r>
          </w:p>
          <w:p w14:paraId="03CE6A1A" w14:textId="77777777" w:rsidR="00CB0D80" w:rsidRPr="003D3D83" w:rsidRDefault="00CB0D80" w:rsidP="00010E0F">
            <w:pPr>
              <w:rPr>
                <w:rFonts w:cstheme="minorHAnsi"/>
                <w:sz w:val="20"/>
                <w:szCs w:val="20"/>
                <w:u w:val="single"/>
              </w:rPr>
            </w:pPr>
            <w:r w:rsidRPr="003D3D83">
              <w:rPr>
                <w:rFonts w:cstheme="minorHAnsi"/>
                <w:sz w:val="20"/>
                <w:szCs w:val="20"/>
              </w:rPr>
              <w:t xml:space="preserve">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20C916F4" w14:textId="77777777" w:rsidR="00CB0D80" w:rsidRPr="00AE0359" w:rsidRDefault="00CB0D80" w:rsidP="00010E0F">
            <w:pPr>
              <w:rPr>
                <w:rFonts w:cstheme="minorHAnsi"/>
                <w:color w:val="0F243E" w:themeColor="text2" w:themeShade="80"/>
                <w:sz w:val="20"/>
                <w:szCs w:val="20"/>
              </w:rPr>
            </w:pPr>
          </w:p>
        </w:tc>
      </w:tr>
      <w:tr w:rsidR="00CB0D80" w:rsidRPr="00AE0359" w14:paraId="56A6A11B"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6A1AFFF7" w14:textId="77777777" w:rsidR="00CB0D80" w:rsidRPr="00AE0359" w:rsidRDefault="00CB0D80" w:rsidP="00010E0F">
            <w:pPr>
              <w:rPr>
                <w:rFonts w:cstheme="minorHAnsi"/>
                <w:b/>
                <w:sz w:val="20"/>
                <w:szCs w:val="20"/>
              </w:rPr>
            </w:pPr>
          </w:p>
        </w:tc>
        <w:tc>
          <w:tcPr>
            <w:tcW w:w="664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28DA8777" w14:textId="5D76DB17" w:rsidR="00CB0D80" w:rsidRPr="008831D9" w:rsidRDefault="00CB0D80" w:rsidP="00010E0F">
            <w:pPr>
              <w:rPr>
                <w:rFonts w:cstheme="minorHAnsi"/>
                <w:sz w:val="20"/>
                <w:szCs w:val="20"/>
              </w:rPr>
            </w:pPr>
            <w:r w:rsidRPr="008831D9">
              <w:rPr>
                <w:rFonts w:cstheme="minorHAnsi"/>
                <w:b/>
                <w:bCs/>
                <w:sz w:val="20"/>
                <w:szCs w:val="20"/>
              </w:rPr>
              <w:t>3.</w:t>
            </w:r>
            <w:r w:rsidR="004B52D3">
              <w:rPr>
                <w:rFonts w:cstheme="minorHAnsi"/>
                <w:b/>
                <w:bCs/>
                <w:sz w:val="20"/>
                <w:szCs w:val="20"/>
              </w:rPr>
              <w:t>g</w:t>
            </w:r>
            <w:r w:rsidRPr="008831D9">
              <w:rPr>
                <w:rFonts w:cstheme="minorHAnsi"/>
                <w:b/>
                <w:bCs/>
                <w:sz w:val="20"/>
                <w:szCs w:val="20"/>
              </w:rPr>
              <w:t xml:space="preserve"> </w:t>
            </w:r>
            <w:r w:rsidRPr="008831D9">
              <w:rPr>
                <w:rFonts w:cstheme="minorHAnsi"/>
                <w:sz w:val="20"/>
                <w:szCs w:val="20"/>
              </w:rPr>
              <w:t xml:space="preserve">Percentage of children covered </w:t>
            </w:r>
            <w:r w:rsidRPr="00924C5D">
              <w:rPr>
                <w:rFonts w:cstheme="minorHAnsi"/>
                <w:sz w:val="20"/>
                <w:szCs w:val="20"/>
              </w:rPr>
              <w:t xml:space="preserve">by </w:t>
            </w:r>
            <w:r w:rsidRPr="00924C5D">
              <w:rPr>
                <w:sz w:val="20"/>
                <w:szCs w:val="20"/>
              </w:rPr>
              <w:t>child allowances</w:t>
            </w:r>
            <w:r w:rsidRPr="008831D9">
              <w:rPr>
                <w:rFonts w:cstheme="minorHAnsi"/>
                <w:sz w:val="20"/>
                <w:szCs w:val="20"/>
              </w:rPr>
              <w:t xml:space="preserve"> </w:t>
            </w:r>
          </w:p>
          <w:p w14:paraId="628BA6D0" w14:textId="14BFBF7E" w:rsidR="00CB0D80" w:rsidRPr="00151701" w:rsidRDefault="00CB0D80" w:rsidP="00010E0F">
            <w:pPr>
              <w:rPr>
                <w:rFonts w:cstheme="minorHAnsi"/>
                <w:sz w:val="20"/>
                <w:szCs w:val="20"/>
              </w:rPr>
            </w:pPr>
            <w:r w:rsidRPr="008831D9">
              <w:rPr>
                <w:rFonts w:cstheme="minorHAnsi"/>
                <w:sz w:val="20"/>
                <w:szCs w:val="20"/>
              </w:rPr>
              <w:t>(</w:t>
            </w:r>
            <w:r w:rsidRPr="008831D9">
              <w:rPr>
                <w:rFonts w:cstheme="minorHAnsi"/>
                <w:sz w:val="20"/>
                <w:szCs w:val="20"/>
              </w:rPr>
              <w:sym w:font="Wingdings" w:char="F0E0"/>
            </w:r>
            <w:r w:rsidRPr="008831D9">
              <w:rPr>
                <w:rFonts w:cstheme="minorHAnsi"/>
                <w:sz w:val="20"/>
                <w:szCs w:val="20"/>
              </w:rPr>
              <w:t xml:space="preserve"> SDG indicator 1.3.1)</w:t>
            </w:r>
            <w:r w:rsidRPr="00151701">
              <w:rPr>
                <w:rFonts w:cstheme="minorHAnsi"/>
                <w:sz w:val="20"/>
                <w:szCs w:val="20"/>
              </w:rPr>
              <w:t xml:space="preserve">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228B5773" w14:textId="77777777" w:rsidR="00CB0D80" w:rsidRPr="00AE0359" w:rsidRDefault="00CB0D80"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CB0D80" w:rsidRPr="00AE0359" w14:paraId="32F00B6A"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517F69D7"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00C3F90" w14:textId="77777777" w:rsidR="00CB0D80" w:rsidRPr="008831D9" w:rsidRDefault="00CB0D80" w:rsidP="00010E0F">
            <w:pPr>
              <w:rPr>
                <w:rFonts w:cstheme="minorHAnsi"/>
                <w:sz w:val="20"/>
                <w:szCs w:val="20"/>
              </w:rPr>
            </w:pPr>
            <w:r w:rsidRPr="008831D9">
              <w:rPr>
                <w:rFonts w:cstheme="minorHAnsi"/>
                <w:sz w:val="20"/>
                <w:szCs w:val="20"/>
                <w:u w:val="single"/>
              </w:rPr>
              <w:t>Baseline (2018)</w:t>
            </w:r>
            <w:r w:rsidRPr="008831D9">
              <w:rPr>
                <w:rFonts w:cstheme="minorHAnsi"/>
                <w:sz w:val="20"/>
                <w:szCs w:val="20"/>
              </w:rPr>
              <w:t>:</w:t>
            </w:r>
          </w:p>
          <w:p w14:paraId="10EF44B7" w14:textId="77777777" w:rsidR="00CB0D80" w:rsidRPr="008831D9" w:rsidRDefault="00CB0D80" w:rsidP="00010E0F">
            <w:pPr>
              <w:rPr>
                <w:rFonts w:cstheme="minorHAnsi"/>
                <w:sz w:val="20"/>
                <w:szCs w:val="20"/>
              </w:rPr>
            </w:pPr>
            <w:r w:rsidRPr="008831D9">
              <w:rPr>
                <w:rFonts w:cstheme="minorHAnsi"/>
                <w:sz w:val="20"/>
                <w:szCs w:val="20"/>
              </w:rPr>
              <w:t>14%</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62BEC4F" w14:textId="77777777" w:rsidR="00CB0D80" w:rsidRPr="008831D9" w:rsidRDefault="00CB0D80" w:rsidP="00010E0F">
            <w:pPr>
              <w:rPr>
                <w:rFonts w:cstheme="minorHAnsi"/>
                <w:sz w:val="20"/>
                <w:szCs w:val="20"/>
              </w:rPr>
            </w:pPr>
            <w:r w:rsidRPr="008831D9">
              <w:rPr>
                <w:rFonts w:cstheme="minorHAnsi"/>
                <w:sz w:val="20"/>
                <w:szCs w:val="20"/>
                <w:u w:val="single"/>
              </w:rPr>
              <w:t>Target (2025)</w:t>
            </w:r>
            <w:r w:rsidRPr="008831D9">
              <w:rPr>
                <w:rFonts w:cstheme="minorHAnsi"/>
                <w:sz w:val="20"/>
                <w:szCs w:val="20"/>
              </w:rPr>
              <w:t>:</w:t>
            </w:r>
          </w:p>
          <w:p w14:paraId="1E1565A6" w14:textId="77777777" w:rsidR="00CB0D80" w:rsidRPr="008831D9" w:rsidRDefault="00CB0D80" w:rsidP="00010E0F">
            <w:pPr>
              <w:rPr>
                <w:rFonts w:cstheme="minorHAnsi"/>
                <w:sz w:val="20"/>
                <w:szCs w:val="20"/>
              </w:rPr>
            </w:pPr>
            <w:r w:rsidRPr="008831D9">
              <w:rPr>
                <w:rFonts w:cstheme="minorHAnsi"/>
                <w:sz w:val="20"/>
                <w:szCs w:val="20"/>
              </w:rPr>
              <w:t>25%</w:t>
            </w: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5E947B4" w14:textId="77777777" w:rsidR="00CB0D80" w:rsidRPr="003D3D83" w:rsidRDefault="00CB0D80" w:rsidP="00010E0F">
            <w:pPr>
              <w:rPr>
                <w:rFonts w:cstheme="minorHAnsi"/>
                <w:sz w:val="20"/>
                <w:szCs w:val="20"/>
              </w:rPr>
            </w:pPr>
            <w:r w:rsidRPr="003D3D83">
              <w:rPr>
                <w:rFonts w:cstheme="minorHAnsi"/>
                <w:sz w:val="20"/>
                <w:szCs w:val="20"/>
                <w:u w:val="single"/>
              </w:rPr>
              <w:t>Source</w:t>
            </w:r>
            <w:r w:rsidRPr="003D3D83">
              <w:rPr>
                <w:rFonts w:cstheme="minorHAnsi"/>
                <w:sz w:val="20"/>
                <w:szCs w:val="20"/>
              </w:rPr>
              <w:t>:</w:t>
            </w:r>
          </w:p>
          <w:p w14:paraId="51709949" w14:textId="75E5F033" w:rsidR="00CB0D80" w:rsidRPr="003D3D83" w:rsidRDefault="00CB0D80" w:rsidP="00010E0F">
            <w:pPr>
              <w:rPr>
                <w:rFonts w:cstheme="minorHAnsi"/>
                <w:color w:val="FF0000"/>
                <w:sz w:val="20"/>
                <w:szCs w:val="20"/>
              </w:rPr>
            </w:pPr>
            <w:r w:rsidRPr="003D3D83">
              <w:rPr>
                <w:rFonts w:cstheme="minorHAnsi"/>
                <w:sz w:val="20"/>
                <w:szCs w:val="20"/>
              </w:rPr>
              <w:t xml:space="preserve">Reports by the relevant authorities in BiH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67B557A4" w14:textId="77777777" w:rsidR="00CB0D80" w:rsidRPr="00AE0359" w:rsidRDefault="00CB0D80" w:rsidP="00010E0F">
            <w:pPr>
              <w:rPr>
                <w:rFonts w:cstheme="minorHAnsi"/>
                <w:color w:val="0F243E" w:themeColor="text2" w:themeShade="80"/>
                <w:sz w:val="20"/>
                <w:szCs w:val="20"/>
              </w:rPr>
            </w:pPr>
          </w:p>
        </w:tc>
      </w:tr>
      <w:tr w:rsidR="00CB0D80" w:rsidRPr="00AE0359" w14:paraId="7F76C851"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3DF2BD5F" w14:textId="77777777" w:rsidR="00CB0D80" w:rsidRPr="00AE0359" w:rsidRDefault="00CB0D80" w:rsidP="00010E0F">
            <w:pPr>
              <w:rPr>
                <w:rFonts w:cstheme="minorHAnsi"/>
                <w:b/>
                <w:sz w:val="20"/>
                <w:szCs w:val="20"/>
              </w:rPr>
            </w:pPr>
          </w:p>
        </w:tc>
        <w:tc>
          <w:tcPr>
            <w:tcW w:w="664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457B384" w14:textId="74123521" w:rsidR="00CB0D80" w:rsidRPr="006F132A" w:rsidRDefault="004E578C" w:rsidP="00010E0F">
            <w:pPr>
              <w:rPr>
                <w:rFonts w:cstheme="minorHAnsi"/>
                <w:b/>
                <w:bCs/>
                <w:sz w:val="20"/>
                <w:szCs w:val="20"/>
              </w:rPr>
            </w:pPr>
            <w:r w:rsidRPr="006F132A">
              <w:rPr>
                <w:rFonts w:cstheme="minorHAnsi"/>
                <w:b/>
                <w:bCs/>
                <w:sz w:val="20"/>
                <w:szCs w:val="20"/>
              </w:rPr>
              <w:t>3.</w:t>
            </w:r>
            <w:r>
              <w:rPr>
                <w:rFonts w:cstheme="minorHAnsi"/>
                <w:b/>
                <w:bCs/>
                <w:sz w:val="20"/>
                <w:szCs w:val="20"/>
              </w:rPr>
              <w:t>h</w:t>
            </w:r>
            <w:r w:rsidRPr="006F132A">
              <w:rPr>
                <w:rFonts w:cstheme="minorHAnsi"/>
                <w:b/>
                <w:bCs/>
                <w:sz w:val="20"/>
                <w:szCs w:val="20"/>
              </w:rPr>
              <w:t xml:space="preserve"> SDG</w:t>
            </w:r>
            <w:r w:rsidR="00CB0D80" w:rsidRPr="006F132A">
              <w:rPr>
                <w:rFonts w:cstheme="minorHAnsi"/>
                <w:b/>
                <w:bCs/>
                <w:sz w:val="20"/>
                <w:szCs w:val="20"/>
              </w:rPr>
              <w:t xml:space="preserve"> indicator 16.2.1 </w:t>
            </w:r>
          </w:p>
          <w:p w14:paraId="538E85CD" w14:textId="2AAF5872" w:rsidR="00CB0D80" w:rsidRPr="00A57AD0" w:rsidRDefault="00CB0D80" w:rsidP="00010E0F">
            <w:pPr>
              <w:rPr>
                <w:rFonts w:cstheme="minorHAnsi"/>
                <w:sz w:val="20"/>
                <w:szCs w:val="20"/>
              </w:rPr>
            </w:pPr>
            <w:r w:rsidRPr="006F132A">
              <w:rPr>
                <w:rFonts w:cstheme="minorHAnsi"/>
                <w:sz w:val="20"/>
                <w:szCs w:val="20"/>
              </w:rPr>
              <w:t>% Children aged 2-14 years who experienced any physical punishment and/or psychological aggression by caregivers in the past month</w:t>
            </w:r>
            <w:r w:rsidRPr="006F132A">
              <w:rPr>
                <w:rStyle w:val="FootnoteReference"/>
                <w:rFonts w:cstheme="minorHAnsi"/>
                <w:sz w:val="20"/>
                <w:szCs w:val="20"/>
                <w:lang w:val="ru-RU"/>
              </w:rPr>
              <w:footnoteReference w:id="153"/>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1DAFE1D1" w14:textId="77777777" w:rsidR="00CB0D80" w:rsidRPr="00AE0359" w:rsidRDefault="00CB0D80" w:rsidP="00010E0F">
            <w:pPr>
              <w:rPr>
                <w:rFonts w:cstheme="minorHAnsi"/>
                <w:color w:val="0F243E" w:themeColor="text2" w:themeShade="80"/>
                <w:sz w:val="20"/>
                <w:szCs w:val="20"/>
              </w:rPr>
            </w:pPr>
          </w:p>
        </w:tc>
      </w:tr>
      <w:tr w:rsidR="00CB0D80" w:rsidRPr="00AE0359" w14:paraId="51C5C5C7"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0AEFD0E0"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D2CE82F" w14:textId="77777777" w:rsidR="00CB0D80" w:rsidRPr="006F132A" w:rsidRDefault="00CB0D80" w:rsidP="00010E0F">
            <w:pPr>
              <w:rPr>
                <w:rFonts w:cstheme="minorHAnsi"/>
                <w:sz w:val="20"/>
                <w:szCs w:val="20"/>
              </w:rPr>
            </w:pPr>
            <w:r w:rsidRPr="006F132A">
              <w:rPr>
                <w:rFonts w:cstheme="minorHAnsi"/>
                <w:sz w:val="20"/>
                <w:szCs w:val="20"/>
                <w:u w:val="single"/>
              </w:rPr>
              <w:t>Baseline (2012):</w:t>
            </w:r>
          </w:p>
          <w:p w14:paraId="2ED41F81" w14:textId="77777777" w:rsidR="00CB0D80" w:rsidRPr="006F132A" w:rsidRDefault="00CB0D80" w:rsidP="00010E0F">
            <w:pPr>
              <w:rPr>
                <w:rFonts w:cstheme="minorHAnsi"/>
                <w:sz w:val="20"/>
                <w:szCs w:val="20"/>
              </w:rPr>
            </w:pPr>
            <w:r w:rsidRPr="006F132A">
              <w:rPr>
                <w:rFonts w:cstheme="minorHAnsi"/>
                <w:sz w:val="20"/>
                <w:szCs w:val="20"/>
              </w:rPr>
              <w:t>Psychological aggression: 42%</w:t>
            </w:r>
          </w:p>
          <w:p w14:paraId="1AC955D5" w14:textId="77777777" w:rsidR="00CB0D80" w:rsidRPr="006F132A" w:rsidRDefault="00CB0D80" w:rsidP="00010E0F">
            <w:pPr>
              <w:rPr>
                <w:rFonts w:cstheme="minorHAnsi"/>
                <w:sz w:val="20"/>
                <w:szCs w:val="20"/>
              </w:rPr>
            </w:pPr>
            <w:r w:rsidRPr="006F132A">
              <w:rPr>
                <w:rFonts w:cstheme="minorHAnsi"/>
                <w:sz w:val="20"/>
                <w:szCs w:val="20"/>
              </w:rPr>
              <w:t>Physical punishment: 40%</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8EE882C" w14:textId="77777777" w:rsidR="00CB0D80" w:rsidRPr="006F132A" w:rsidRDefault="00CB0D80" w:rsidP="00010E0F">
            <w:pPr>
              <w:rPr>
                <w:rFonts w:cstheme="minorHAnsi"/>
                <w:sz w:val="20"/>
                <w:szCs w:val="20"/>
              </w:rPr>
            </w:pPr>
            <w:r w:rsidRPr="006F132A">
              <w:rPr>
                <w:rFonts w:cstheme="minorHAnsi"/>
                <w:sz w:val="20"/>
                <w:szCs w:val="20"/>
                <w:u w:val="single"/>
              </w:rPr>
              <w:t>Target (2025)</w:t>
            </w:r>
            <w:r w:rsidRPr="006F132A">
              <w:rPr>
                <w:rFonts w:cstheme="minorHAnsi"/>
                <w:sz w:val="20"/>
                <w:szCs w:val="20"/>
              </w:rPr>
              <w:t>: Psychological aggression: 30%</w:t>
            </w:r>
          </w:p>
          <w:p w14:paraId="31EAD7E0" w14:textId="77777777" w:rsidR="00CB0D80" w:rsidRPr="006F132A" w:rsidRDefault="00CB0D80" w:rsidP="00010E0F">
            <w:pPr>
              <w:rPr>
                <w:rFonts w:cstheme="minorHAnsi"/>
                <w:sz w:val="20"/>
                <w:szCs w:val="20"/>
              </w:rPr>
            </w:pPr>
            <w:r w:rsidRPr="006F132A">
              <w:rPr>
                <w:rFonts w:cstheme="minorHAnsi"/>
                <w:sz w:val="20"/>
                <w:szCs w:val="20"/>
              </w:rPr>
              <w:t>Physical punishment: 30%</w:t>
            </w:r>
          </w:p>
          <w:p w14:paraId="196888B0" w14:textId="77777777" w:rsidR="00CB0D80" w:rsidRPr="006F132A" w:rsidRDefault="00CB0D80" w:rsidP="00010E0F">
            <w:pPr>
              <w:rPr>
                <w:rFonts w:cstheme="minorHAnsi"/>
                <w:sz w:val="20"/>
                <w:szCs w:val="20"/>
                <w:u w:val="single"/>
              </w:rPr>
            </w:pP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A509962" w14:textId="77777777" w:rsidR="00CB0D80" w:rsidRPr="006F132A" w:rsidRDefault="00CB0D80" w:rsidP="00010E0F">
            <w:pPr>
              <w:rPr>
                <w:rFonts w:cstheme="minorHAnsi"/>
                <w:sz w:val="20"/>
                <w:szCs w:val="20"/>
              </w:rPr>
            </w:pPr>
            <w:r w:rsidRPr="006F132A">
              <w:rPr>
                <w:rFonts w:cstheme="minorHAnsi"/>
                <w:sz w:val="20"/>
                <w:szCs w:val="20"/>
                <w:u w:val="single"/>
              </w:rPr>
              <w:t>Source</w:t>
            </w:r>
            <w:r w:rsidRPr="006F132A">
              <w:rPr>
                <w:rFonts w:cstheme="minorHAnsi"/>
                <w:sz w:val="20"/>
                <w:szCs w:val="20"/>
              </w:rPr>
              <w:t>:</w:t>
            </w:r>
          </w:p>
          <w:p w14:paraId="61192F73" w14:textId="77777777" w:rsidR="00CB0D80" w:rsidRPr="006F132A" w:rsidRDefault="00CB0D80" w:rsidP="00010E0F">
            <w:pPr>
              <w:rPr>
                <w:rFonts w:cstheme="minorHAnsi"/>
                <w:sz w:val="18"/>
                <w:szCs w:val="18"/>
                <w:u w:val="single"/>
              </w:rPr>
            </w:pPr>
            <w:r w:rsidRPr="006F132A">
              <w:rPr>
                <w:rFonts w:cstheme="minorHAnsi"/>
                <w:sz w:val="20"/>
                <w:szCs w:val="20"/>
              </w:rPr>
              <w:t xml:space="preserve">Multiple Indicator Cluster Survey (MICS)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1E3E295E" w14:textId="77777777" w:rsidR="00CB0D80" w:rsidRPr="00AE0359" w:rsidRDefault="00CB0D80" w:rsidP="00010E0F">
            <w:pPr>
              <w:rPr>
                <w:rFonts w:cstheme="minorHAnsi"/>
                <w:color w:val="0F243E" w:themeColor="text2" w:themeShade="80"/>
                <w:sz w:val="20"/>
                <w:szCs w:val="20"/>
              </w:rPr>
            </w:pPr>
          </w:p>
        </w:tc>
      </w:tr>
      <w:tr w:rsidR="00CB0D80" w:rsidRPr="00AE0359" w14:paraId="101E3459"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2B4139D6" w14:textId="77777777" w:rsidR="00CB0D80" w:rsidRPr="00AE0359" w:rsidRDefault="00CB0D80" w:rsidP="00010E0F">
            <w:pPr>
              <w:rPr>
                <w:rFonts w:cstheme="minorHAnsi"/>
                <w:b/>
                <w:sz w:val="20"/>
                <w:szCs w:val="20"/>
              </w:rPr>
            </w:pPr>
          </w:p>
        </w:tc>
        <w:tc>
          <w:tcPr>
            <w:tcW w:w="664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05498B8" w14:textId="3EA6868A" w:rsidR="00CB0D80" w:rsidRPr="000776F5" w:rsidRDefault="00CB0D80" w:rsidP="00620883">
            <w:pPr>
              <w:rPr>
                <w:rFonts w:cstheme="minorHAnsi"/>
                <w:sz w:val="18"/>
                <w:szCs w:val="18"/>
                <w:highlight w:val="yellow"/>
                <w:u w:val="single"/>
              </w:rPr>
            </w:pPr>
            <w:r w:rsidRPr="006F132A">
              <w:rPr>
                <w:rFonts w:cstheme="minorHAnsi"/>
                <w:b/>
                <w:bCs/>
                <w:sz w:val="20"/>
                <w:szCs w:val="20"/>
              </w:rPr>
              <w:t>3.</w:t>
            </w:r>
            <w:r w:rsidR="004E578C">
              <w:rPr>
                <w:rFonts w:cstheme="minorHAnsi"/>
                <w:b/>
                <w:bCs/>
                <w:sz w:val="20"/>
                <w:szCs w:val="20"/>
              </w:rPr>
              <w:t>i</w:t>
            </w:r>
            <w:r w:rsidRPr="006F132A">
              <w:rPr>
                <w:rFonts w:cstheme="minorHAnsi"/>
                <w:b/>
                <w:bCs/>
                <w:sz w:val="20"/>
                <w:szCs w:val="20"/>
              </w:rPr>
              <w:t xml:space="preserve"> </w:t>
            </w:r>
            <w:r w:rsidRPr="006F132A">
              <w:rPr>
                <w:rFonts w:cstheme="minorHAnsi"/>
                <w:sz w:val="20"/>
                <w:szCs w:val="20"/>
              </w:rPr>
              <w:t>N</w:t>
            </w:r>
            <w:r w:rsidRPr="006F132A">
              <w:rPr>
                <w:rFonts w:cstheme="minorHAnsi"/>
                <w:sz w:val="20"/>
                <w:szCs w:val="20"/>
                <w:u w:val="single"/>
                <w:vertAlign w:val="superscript"/>
              </w:rPr>
              <w:t>o.</w:t>
            </w:r>
            <w:r w:rsidRPr="006F132A">
              <w:rPr>
                <w:rFonts w:cstheme="minorHAnsi"/>
                <w:sz w:val="20"/>
                <w:szCs w:val="20"/>
              </w:rPr>
              <w:t xml:space="preserve"> Supported service providers/first responders who provide quality service for survivors of violence against women (VAW) in line with standards of Istanbul convention </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48737361" w14:textId="77777777" w:rsidR="00CB0D80" w:rsidRPr="00AE0359" w:rsidRDefault="00CB0D80" w:rsidP="00010E0F">
            <w:pPr>
              <w:rPr>
                <w:rFonts w:cstheme="minorHAnsi"/>
                <w:color w:val="0F243E" w:themeColor="text2" w:themeShade="80"/>
                <w:sz w:val="20"/>
                <w:szCs w:val="20"/>
              </w:rPr>
            </w:pPr>
          </w:p>
        </w:tc>
      </w:tr>
      <w:tr w:rsidR="00CB0D80" w:rsidRPr="00AE0359" w14:paraId="3DFD86C2"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71CAEF9A" w14:textId="77777777" w:rsidR="00CB0D80" w:rsidRPr="00AE0359" w:rsidRDefault="00CB0D80"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156ECC5" w14:textId="77777777" w:rsidR="00CB0D80" w:rsidRPr="006F132A" w:rsidRDefault="00CB0D80" w:rsidP="00010E0F">
            <w:pPr>
              <w:rPr>
                <w:rFonts w:cstheme="minorHAnsi"/>
                <w:sz w:val="20"/>
                <w:szCs w:val="20"/>
                <w:u w:val="single"/>
              </w:rPr>
            </w:pPr>
            <w:r w:rsidRPr="006F132A">
              <w:rPr>
                <w:rFonts w:cstheme="minorHAnsi"/>
                <w:sz w:val="20"/>
                <w:szCs w:val="20"/>
                <w:u w:val="single"/>
              </w:rPr>
              <w:t>Baseline (2015):</w:t>
            </w:r>
          </w:p>
          <w:p w14:paraId="4EC604C7" w14:textId="77777777" w:rsidR="00CB0D80" w:rsidRPr="006F132A" w:rsidRDefault="00CB0D80" w:rsidP="00010E0F">
            <w:pPr>
              <w:rPr>
                <w:rFonts w:cstheme="minorHAnsi"/>
                <w:sz w:val="20"/>
                <w:szCs w:val="20"/>
                <w:u w:val="single"/>
              </w:rPr>
            </w:pPr>
            <w:r w:rsidRPr="006F132A">
              <w:rPr>
                <w:rFonts w:cstheme="minorHAnsi"/>
                <w:sz w:val="20"/>
                <w:szCs w:val="20"/>
              </w:rPr>
              <w:t>0</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DB21D83" w14:textId="77777777" w:rsidR="00CB0D80" w:rsidRPr="006F132A" w:rsidRDefault="00CB0D80" w:rsidP="00010E0F">
            <w:pPr>
              <w:rPr>
                <w:rFonts w:cstheme="minorHAnsi"/>
                <w:sz w:val="20"/>
                <w:szCs w:val="20"/>
                <w:u w:val="single"/>
              </w:rPr>
            </w:pPr>
            <w:r w:rsidRPr="006F132A">
              <w:rPr>
                <w:rFonts w:cstheme="minorHAnsi"/>
                <w:sz w:val="20"/>
                <w:szCs w:val="20"/>
                <w:u w:val="single"/>
              </w:rPr>
              <w:t>Target (2025):</w:t>
            </w:r>
          </w:p>
          <w:p w14:paraId="5522EE8D" w14:textId="77777777" w:rsidR="00CB0D80" w:rsidRPr="006F132A" w:rsidRDefault="00CB0D80" w:rsidP="00010E0F">
            <w:pPr>
              <w:rPr>
                <w:rFonts w:cstheme="minorHAnsi"/>
                <w:sz w:val="20"/>
                <w:szCs w:val="20"/>
                <w:u w:val="single"/>
              </w:rPr>
            </w:pPr>
            <w:r w:rsidRPr="006F132A">
              <w:rPr>
                <w:rFonts w:cstheme="minorHAnsi"/>
                <w:sz w:val="20"/>
                <w:szCs w:val="20"/>
              </w:rPr>
              <w:t>4000</w:t>
            </w:r>
          </w:p>
        </w:tc>
        <w:tc>
          <w:tcPr>
            <w:tcW w:w="296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8266766" w14:textId="77777777" w:rsidR="00CB0D80" w:rsidRPr="003D3D83" w:rsidRDefault="00CB0D80" w:rsidP="00010E0F">
            <w:pPr>
              <w:rPr>
                <w:rFonts w:cstheme="minorHAnsi"/>
                <w:sz w:val="20"/>
                <w:szCs w:val="20"/>
                <w:u w:val="single"/>
              </w:rPr>
            </w:pPr>
            <w:r w:rsidRPr="003D3D83">
              <w:rPr>
                <w:rFonts w:cstheme="minorHAnsi"/>
                <w:sz w:val="20"/>
                <w:szCs w:val="20"/>
                <w:u w:val="single"/>
              </w:rPr>
              <w:t>Source:</w:t>
            </w:r>
          </w:p>
          <w:p w14:paraId="3459752B" w14:textId="113CC42C" w:rsidR="00CB0D80" w:rsidRPr="003D3D83" w:rsidRDefault="00CB0D80" w:rsidP="00010E0F">
            <w:pPr>
              <w:rPr>
                <w:rFonts w:cstheme="minorHAnsi"/>
                <w:sz w:val="20"/>
                <w:szCs w:val="20"/>
              </w:rPr>
            </w:pPr>
            <w:r w:rsidRPr="003D3D83">
              <w:rPr>
                <w:rFonts w:cstheme="minorHAnsi"/>
                <w:sz w:val="20"/>
                <w:szCs w:val="20"/>
              </w:rPr>
              <w:t>Reports by relevant authorities in BiH; Programme reports</w:t>
            </w:r>
          </w:p>
        </w:tc>
        <w:tc>
          <w:tcPr>
            <w:tcW w:w="3838" w:type="dxa"/>
            <w:vMerge/>
            <w:tcBorders>
              <w:top w:val="nil"/>
              <w:left w:val="single" w:sz="4" w:space="0" w:color="548DD4" w:themeColor="text2" w:themeTint="99"/>
              <w:bottom w:val="single" w:sz="4" w:space="0" w:color="548DD4" w:themeColor="text2" w:themeTint="99"/>
              <w:right w:val="single" w:sz="4" w:space="0" w:color="auto"/>
            </w:tcBorders>
          </w:tcPr>
          <w:p w14:paraId="66F0C68A" w14:textId="77777777" w:rsidR="00CB0D80" w:rsidRPr="00AE0359" w:rsidRDefault="00CB0D80" w:rsidP="00010E0F">
            <w:pPr>
              <w:rPr>
                <w:rFonts w:cstheme="minorHAnsi"/>
                <w:color w:val="0F243E" w:themeColor="text2" w:themeShade="80"/>
                <w:sz w:val="20"/>
                <w:szCs w:val="20"/>
              </w:rPr>
            </w:pPr>
          </w:p>
        </w:tc>
      </w:tr>
    </w:tbl>
    <w:p w14:paraId="42278629" w14:textId="77777777" w:rsidR="00AB628C" w:rsidRDefault="00AB628C" w:rsidP="00AB628C">
      <w:pPr>
        <w:rPr>
          <w:rFonts w:cstheme="minorHAnsi"/>
          <w:sz w:val="10"/>
          <w:szCs w:val="10"/>
        </w:rPr>
      </w:pPr>
    </w:p>
    <w:p w14:paraId="0152A9E4" w14:textId="77777777" w:rsidR="00AB628C" w:rsidRDefault="00AB628C" w:rsidP="00AB628C">
      <w:pPr>
        <w:rPr>
          <w:rFonts w:cstheme="minorHAnsi"/>
          <w:sz w:val="10"/>
          <w:szCs w:val="10"/>
        </w:rPr>
      </w:pPr>
    </w:p>
    <w:p w14:paraId="255D9F08" w14:textId="77777777" w:rsidR="00AB628C" w:rsidRDefault="00AB628C" w:rsidP="00AB628C">
      <w:pPr>
        <w:spacing w:after="160" w:line="259" w:lineRule="auto"/>
        <w:rPr>
          <w:rFonts w:cstheme="minorHAnsi"/>
          <w:b/>
          <w:bCs/>
          <w:sz w:val="21"/>
          <w:szCs w:val="21"/>
          <w:highlight w:val="yellow"/>
        </w:rPr>
      </w:pPr>
      <w:r>
        <w:rPr>
          <w:rFonts w:cstheme="minorHAnsi"/>
          <w:b/>
          <w:bCs/>
          <w:sz w:val="21"/>
          <w:szCs w:val="21"/>
          <w:highlight w:val="yellow"/>
        </w:rPr>
        <w:br w:type="page"/>
      </w:r>
    </w:p>
    <w:tbl>
      <w:tblPr>
        <w:tblStyle w:val="TableGrid"/>
        <w:tblW w:w="14044" w:type="dxa"/>
        <w:tblInd w:w="-459" w:type="dxa"/>
        <w:tblBorders>
          <w:left w:val="none" w:sz="0" w:space="0" w:color="auto"/>
          <w:right w:val="none" w:sz="0" w:space="0" w:color="auto"/>
        </w:tblBorders>
        <w:tblLook w:val="04A0" w:firstRow="1" w:lastRow="0" w:firstColumn="1" w:lastColumn="0" w:noHBand="0" w:noVBand="1"/>
      </w:tblPr>
      <w:tblGrid>
        <w:gridCol w:w="3560"/>
        <w:gridCol w:w="250"/>
        <w:gridCol w:w="1603"/>
        <w:gridCol w:w="1735"/>
        <w:gridCol w:w="94"/>
        <w:gridCol w:w="2397"/>
        <w:gridCol w:w="307"/>
        <w:gridCol w:w="4098"/>
      </w:tblGrid>
      <w:tr w:rsidR="00AB628C" w:rsidRPr="009A7D0D" w14:paraId="7BE6CA09" w14:textId="77777777" w:rsidTr="009674CE">
        <w:trPr>
          <w:trHeight w:val="450"/>
          <w:tblHeader/>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244061" w:themeFill="accent1" w:themeFillShade="80"/>
            <w:vAlign w:val="center"/>
          </w:tcPr>
          <w:p w14:paraId="7D77E706" w14:textId="77777777" w:rsidR="00AB628C" w:rsidRPr="009A7D0D" w:rsidRDefault="00AB628C" w:rsidP="00010E0F">
            <w:pPr>
              <w:jc w:val="center"/>
              <w:rPr>
                <w:rFonts w:cstheme="minorHAnsi"/>
                <w:b/>
                <w:color w:val="FFFFFF" w:themeColor="background1"/>
                <w:sz w:val="24"/>
                <w:szCs w:val="24"/>
              </w:rPr>
            </w:pPr>
            <w:r w:rsidRPr="009A7D0D">
              <w:rPr>
                <w:rFonts w:cstheme="minorHAnsi"/>
              </w:rPr>
              <w:br w:type="page"/>
            </w:r>
            <w:r>
              <w:rPr>
                <w:b/>
                <w:color w:val="FFFFFF" w:themeColor="background1"/>
                <w:sz w:val="24"/>
                <w:szCs w:val="24"/>
              </w:rPr>
              <w:t xml:space="preserve">BiH &amp; UN </w:t>
            </w:r>
            <w:r w:rsidRPr="009A7D0D">
              <w:rPr>
                <w:b/>
                <w:color w:val="FFFFFF" w:themeColor="background1"/>
                <w:sz w:val="24"/>
                <w:szCs w:val="24"/>
              </w:rPr>
              <w:t xml:space="preserve">Results </w:t>
            </w:r>
            <w:r>
              <w:rPr>
                <w:b/>
                <w:color w:val="FFFFFF" w:themeColor="background1"/>
                <w:sz w:val="24"/>
                <w:szCs w:val="24"/>
              </w:rPr>
              <w:t>Matrix [2021</w:t>
            </w:r>
            <w:r w:rsidRPr="009A7D0D">
              <w:rPr>
                <w:b/>
                <w:color w:val="FFFFFF" w:themeColor="background1"/>
                <w:sz w:val="24"/>
                <w:szCs w:val="24"/>
              </w:rPr>
              <w:t>-202</w:t>
            </w:r>
            <w:r>
              <w:rPr>
                <w:b/>
                <w:color w:val="FFFFFF" w:themeColor="background1"/>
                <w:sz w:val="24"/>
                <w:szCs w:val="24"/>
              </w:rPr>
              <w:t>5</w:t>
            </w:r>
            <w:r w:rsidRPr="009A7D0D">
              <w:rPr>
                <w:b/>
                <w:color w:val="FFFFFF" w:themeColor="background1"/>
                <w:sz w:val="24"/>
                <w:szCs w:val="24"/>
              </w:rPr>
              <w:t>]</w:t>
            </w:r>
          </w:p>
        </w:tc>
      </w:tr>
      <w:tr w:rsidR="00AB628C" w:rsidRPr="009A7D0D" w14:paraId="71D0A37A" w14:textId="77777777" w:rsidTr="009674CE">
        <w:trPr>
          <w:trHeight w:val="450"/>
          <w:tblHeader/>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244061" w:themeFill="accent1" w:themeFillShade="80"/>
            <w:vAlign w:val="center"/>
          </w:tcPr>
          <w:p w14:paraId="5FE1BB05" w14:textId="77777777" w:rsidR="00AB628C" w:rsidRPr="00D73AAF" w:rsidRDefault="00AB628C" w:rsidP="00010E0F">
            <w:pPr>
              <w:jc w:val="center"/>
              <w:rPr>
                <w:b/>
                <w:color w:val="FFFFFF" w:themeColor="background1"/>
                <w:sz w:val="24"/>
                <w:szCs w:val="24"/>
              </w:rPr>
            </w:pPr>
            <w:r>
              <w:rPr>
                <w:b/>
                <w:color w:val="FFFFFF" w:themeColor="background1"/>
                <w:sz w:val="24"/>
                <w:szCs w:val="24"/>
              </w:rPr>
              <w:t xml:space="preserve">CF </w:t>
            </w:r>
            <w:r w:rsidRPr="00D73AAF">
              <w:rPr>
                <w:b/>
                <w:color w:val="FFFFFF" w:themeColor="background1"/>
                <w:sz w:val="24"/>
                <w:szCs w:val="24"/>
              </w:rPr>
              <w:t>priority: People centered governance and rule of law</w:t>
            </w:r>
          </w:p>
        </w:tc>
      </w:tr>
      <w:tr w:rsidR="00AB628C" w:rsidRPr="006D0A01" w14:paraId="19334F8D"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95B3D7" w:themeFill="accent1" w:themeFillTint="99"/>
          </w:tcPr>
          <w:p w14:paraId="6C1C7867" w14:textId="77777777" w:rsidR="00AB628C" w:rsidRDefault="00AB628C" w:rsidP="00010E0F">
            <w:pPr>
              <w:spacing w:before="60" w:after="60"/>
              <w:rPr>
                <w:rFonts w:cstheme="minorHAnsi"/>
                <w:color w:val="0F243E" w:themeColor="text2" w:themeShade="80"/>
                <w:sz w:val="20"/>
                <w:szCs w:val="20"/>
              </w:rPr>
            </w:pPr>
            <w:r w:rsidRPr="006D0A01">
              <w:rPr>
                <w:rFonts w:cstheme="minorHAnsi"/>
                <w:b/>
                <w:color w:val="0F243E" w:themeColor="text2" w:themeShade="80"/>
                <w:sz w:val="20"/>
                <w:szCs w:val="20"/>
              </w:rPr>
              <w:t>SDGs and targets</w:t>
            </w:r>
            <w:r w:rsidRPr="006D0A01">
              <w:rPr>
                <w:rStyle w:val="FootnoteReference"/>
                <w:rFonts w:cstheme="minorHAnsi"/>
                <w:b/>
                <w:color w:val="0F243E" w:themeColor="text2" w:themeShade="80"/>
                <w:sz w:val="20"/>
                <w:szCs w:val="20"/>
              </w:rPr>
              <w:footnoteReference w:id="154"/>
            </w:r>
            <w:r w:rsidRPr="006D0A01">
              <w:rPr>
                <w:rFonts w:cstheme="minorHAnsi"/>
                <w:b/>
                <w:color w:val="0F243E" w:themeColor="text2" w:themeShade="80"/>
                <w:sz w:val="20"/>
                <w:szCs w:val="20"/>
              </w:rPr>
              <w:t xml:space="preserve">: </w:t>
            </w:r>
            <w:r w:rsidRPr="006D0A01">
              <w:rPr>
                <w:rFonts w:cstheme="minorHAnsi"/>
                <w:color w:val="0F243E" w:themeColor="text2" w:themeShade="80"/>
                <w:sz w:val="20"/>
                <w:szCs w:val="20"/>
              </w:rPr>
              <w:t>5. Gender equality: 5.1, 5.a; 10. Reduced inequalities: 10.1, 10.2, 10.3, 10.4, 10.7; 16; Peace justice and strong institutions: 16.1, 16.2, 16.3, 16.5, 16.6, 16.7, 16.10, 16.b; 17. Partnerships for the goals: 17.18, 17.19.</w:t>
            </w:r>
          </w:p>
          <w:p w14:paraId="1B43F5A4" w14:textId="77777777" w:rsidR="00AB628C" w:rsidRPr="006D0A01" w:rsidRDefault="00AB628C" w:rsidP="00010E0F">
            <w:pPr>
              <w:spacing w:before="60" w:after="60"/>
              <w:rPr>
                <w:rFonts w:cstheme="minorHAnsi"/>
                <w:b/>
                <w:color w:val="0F243E" w:themeColor="text2" w:themeShade="80"/>
                <w:sz w:val="20"/>
                <w:szCs w:val="20"/>
              </w:rPr>
            </w:pPr>
            <w:r w:rsidRPr="00E05038">
              <w:rPr>
                <w:rFonts w:cstheme="minorHAnsi"/>
                <w:b/>
                <w:color w:val="0F243E" w:themeColor="text2" w:themeShade="80"/>
                <w:sz w:val="20"/>
                <w:szCs w:val="20"/>
              </w:rPr>
              <w:t>Sentinel impact indicators</w:t>
            </w:r>
            <w:r w:rsidRPr="00E05038">
              <w:rPr>
                <w:rFonts w:cstheme="minorHAnsi"/>
                <w:color w:val="0F243E" w:themeColor="text2" w:themeShade="80"/>
                <w:sz w:val="20"/>
                <w:szCs w:val="20"/>
              </w:rPr>
              <w:t>: 5. Rule of law (SDG 16.3.1, proxy</w:t>
            </w:r>
            <w:r w:rsidRPr="00E05038">
              <w:rPr>
                <w:rFonts w:cstheme="minorHAnsi"/>
                <w:color w:val="0F243E" w:themeColor="text2" w:themeShade="80"/>
                <w:sz w:val="20"/>
                <w:szCs w:val="20"/>
                <w:vertAlign w:val="superscript"/>
              </w:rPr>
              <w:footnoteReference w:id="155"/>
            </w:r>
            <w:r w:rsidRPr="00E05038">
              <w:rPr>
                <w:rFonts w:cstheme="minorHAnsi"/>
                <w:color w:val="0F243E" w:themeColor="text2" w:themeShade="80"/>
                <w:sz w:val="20"/>
                <w:szCs w:val="20"/>
              </w:rPr>
              <w:t>); 6. Voice &amp; accountability</w:t>
            </w:r>
            <w:r w:rsidRPr="00E05038">
              <w:rPr>
                <w:rFonts w:cstheme="minorHAnsi"/>
                <w:color w:val="0F243E" w:themeColor="text2" w:themeShade="80"/>
                <w:sz w:val="20"/>
                <w:szCs w:val="20"/>
                <w:vertAlign w:val="superscript"/>
              </w:rPr>
              <w:footnoteReference w:id="156"/>
            </w:r>
            <w:r w:rsidRPr="00E05038">
              <w:rPr>
                <w:rFonts w:cstheme="minorHAnsi"/>
                <w:color w:val="0F243E" w:themeColor="text2" w:themeShade="80"/>
                <w:sz w:val="20"/>
                <w:szCs w:val="20"/>
              </w:rPr>
              <w:t xml:space="preserve">  (SDG 16.7.2, proxy); 9. Proportion of population living below the national (relative</w:t>
            </w:r>
            <w:r w:rsidRPr="00E05038">
              <w:rPr>
                <w:rFonts w:cstheme="minorHAnsi"/>
                <w:color w:val="0F243E" w:themeColor="text2" w:themeShade="80"/>
                <w:sz w:val="20"/>
                <w:szCs w:val="20"/>
                <w:vertAlign w:val="superscript"/>
              </w:rPr>
              <w:footnoteReference w:id="157"/>
            </w:r>
            <w:r w:rsidRPr="00E05038">
              <w:rPr>
                <w:rFonts w:cstheme="minorHAnsi"/>
                <w:color w:val="0F243E" w:themeColor="text2" w:themeShade="80"/>
                <w:sz w:val="20"/>
                <w:szCs w:val="20"/>
              </w:rPr>
              <w:t>) poverty line, by location, sex and age (SDG 1.2.1); 11. Gini index of income inequality (SDG 10.1.1, proxy)</w:t>
            </w:r>
          </w:p>
        </w:tc>
      </w:tr>
      <w:tr w:rsidR="00AB628C" w:rsidRPr="006D0A01" w14:paraId="39D1E827"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607F85D3" w14:textId="77777777" w:rsidR="00AB628C" w:rsidRPr="006D0A01" w:rsidRDefault="00AB628C" w:rsidP="00010E0F">
            <w:pPr>
              <w:spacing w:before="60" w:after="60"/>
              <w:rPr>
                <w:rFonts w:cstheme="minorHAnsi"/>
                <w:color w:val="0F243E" w:themeColor="text2" w:themeShade="80"/>
                <w:sz w:val="20"/>
                <w:szCs w:val="20"/>
                <w:lang w:val="en"/>
              </w:rPr>
            </w:pPr>
            <w:r w:rsidRPr="006D0A01">
              <w:rPr>
                <w:rFonts w:cstheme="minorHAnsi"/>
                <w:i/>
                <w:color w:val="0F243E" w:themeColor="text2" w:themeShade="80"/>
                <w:sz w:val="20"/>
                <w:szCs w:val="20"/>
                <w:lang w:val="en"/>
              </w:rPr>
              <w:t>SDG Framework in BiH</w:t>
            </w:r>
            <w:r>
              <w:rPr>
                <w:rFonts w:cstheme="minorHAnsi"/>
                <w:i/>
                <w:color w:val="0F243E" w:themeColor="text2" w:themeShade="80"/>
                <w:sz w:val="20"/>
                <w:szCs w:val="20"/>
                <w:lang w:val="en"/>
              </w:rPr>
              <w:t xml:space="preserve"> (draft)</w:t>
            </w:r>
            <w:r w:rsidRPr="006D0A01">
              <w:rPr>
                <w:rFonts w:cstheme="minorHAnsi"/>
                <w:i/>
                <w:color w:val="0F243E" w:themeColor="text2" w:themeShade="80"/>
                <w:sz w:val="20"/>
                <w:szCs w:val="20"/>
                <w:lang w:val="en"/>
              </w:rPr>
              <w:t xml:space="preserve">: </w:t>
            </w:r>
            <w:r w:rsidRPr="006D0A01">
              <w:rPr>
                <w:rFonts w:cstheme="minorHAnsi"/>
                <w:color w:val="0F243E" w:themeColor="text2" w:themeShade="80"/>
                <w:sz w:val="20"/>
                <w:szCs w:val="20"/>
                <w:lang w:val="en"/>
              </w:rPr>
              <w:t xml:space="preserve">1. Good governance: i. </w:t>
            </w:r>
            <w:r>
              <w:rPr>
                <w:rFonts w:cstheme="minorHAnsi"/>
                <w:color w:val="0F243E" w:themeColor="text2" w:themeShade="80"/>
                <w:sz w:val="20"/>
                <w:szCs w:val="20"/>
                <w:lang w:val="en"/>
              </w:rPr>
              <w:t xml:space="preserve">Efficient, transparent, inclusive and </w:t>
            </w:r>
            <w:r w:rsidRPr="006D0A01">
              <w:rPr>
                <w:rFonts w:cstheme="minorHAnsi"/>
                <w:color w:val="0F243E" w:themeColor="text2" w:themeShade="80"/>
                <w:sz w:val="20"/>
                <w:szCs w:val="20"/>
                <w:lang w:val="en"/>
              </w:rPr>
              <w:t>accountable public sector, ii. Rule of Law</w:t>
            </w:r>
            <w:r>
              <w:rPr>
                <w:rFonts w:cstheme="minorHAnsi"/>
                <w:color w:val="0F243E" w:themeColor="text2" w:themeShade="80"/>
                <w:sz w:val="20"/>
                <w:szCs w:val="20"/>
                <w:lang w:val="en"/>
              </w:rPr>
              <w:t>/Fundamental rights</w:t>
            </w:r>
            <w:r w:rsidRPr="006D0A01">
              <w:rPr>
                <w:rFonts w:cstheme="minorHAnsi"/>
                <w:color w:val="0F243E" w:themeColor="text2" w:themeShade="80"/>
                <w:sz w:val="20"/>
                <w:szCs w:val="20"/>
                <w:lang w:val="en"/>
              </w:rPr>
              <w:t xml:space="preserve">; </w:t>
            </w:r>
            <w:r>
              <w:rPr>
                <w:rFonts w:cstheme="minorHAnsi"/>
                <w:color w:val="0F243E" w:themeColor="text2" w:themeShade="80"/>
                <w:sz w:val="20"/>
                <w:szCs w:val="20"/>
                <w:lang w:val="en"/>
              </w:rPr>
              <w:t xml:space="preserve">Cross-cutting: </w:t>
            </w:r>
            <w:r w:rsidRPr="006D0A01">
              <w:rPr>
                <w:rFonts w:cstheme="minorHAnsi"/>
                <w:color w:val="0F243E" w:themeColor="text2" w:themeShade="80"/>
                <w:sz w:val="20"/>
                <w:szCs w:val="20"/>
                <w:lang w:val="en"/>
              </w:rPr>
              <w:t>Human capital for 21</w:t>
            </w:r>
            <w:r w:rsidRPr="006D0A01">
              <w:rPr>
                <w:rFonts w:cstheme="minorHAnsi"/>
                <w:color w:val="0F243E" w:themeColor="text2" w:themeShade="80"/>
                <w:sz w:val="20"/>
                <w:szCs w:val="20"/>
                <w:vertAlign w:val="superscript"/>
                <w:lang w:val="en"/>
              </w:rPr>
              <w:t>st</w:t>
            </w:r>
            <w:r w:rsidRPr="006D0A01">
              <w:rPr>
                <w:rFonts w:cstheme="minorHAnsi"/>
                <w:color w:val="0F243E" w:themeColor="text2" w:themeShade="80"/>
                <w:sz w:val="20"/>
                <w:szCs w:val="20"/>
                <w:lang w:val="en"/>
              </w:rPr>
              <w:t xml:space="preserve"> C</w:t>
            </w:r>
            <w:r>
              <w:rPr>
                <w:rFonts w:cstheme="minorHAnsi"/>
                <w:color w:val="0F243E" w:themeColor="text2" w:themeShade="80"/>
                <w:sz w:val="20"/>
                <w:szCs w:val="20"/>
                <w:lang w:val="en"/>
              </w:rPr>
              <w:t xml:space="preserve"> and Leave no one behind</w:t>
            </w:r>
            <w:r w:rsidRPr="006D0A01">
              <w:rPr>
                <w:rFonts w:cstheme="minorHAnsi"/>
                <w:color w:val="0F243E" w:themeColor="text2" w:themeShade="80"/>
                <w:sz w:val="20"/>
                <w:szCs w:val="20"/>
                <w:lang w:val="en"/>
              </w:rPr>
              <w:t> </w:t>
            </w:r>
          </w:p>
          <w:p w14:paraId="173DD2EF" w14:textId="13C2BD48" w:rsidR="00AB628C" w:rsidRPr="006D0A01" w:rsidRDefault="00AB628C" w:rsidP="00010E0F">
            <w:pPr>
              <w:spacing w:before="60" w:after="60"/>
              <w:rPr>
                <w:sz w:val="20"/>
                <w:szCs w:val="20"/>
              </w:rPr>
            </w:pPr>
            <w:r w:rsidRPr="006D0A01">
              <w:rPr>
                <w:rFonts w:cstheme="minorHAnsi"/>
                <w:i/>
                <w:color w:val="0F243E" w:themeColor="text2" w:themeShade="80"/>
                <w:sz w:val="20"/>
                <w:szCs w:val="20"/>
              </w:rPr>
              <w:t>EU accession</w:t>
            </w:r>
            <w:r w:rsidRPr="00BA6A02">
              <w:rPr>
                <w:rStyle w:val="FootnoteReference"/>
                <w:rFonts w:cstheme="minorHAnsi"/>
                <w:i/>
                <w:color w:val="0F243E" w:themeColor="text2" w:themeShade="80"/>
                <w:sz w:val="20"/>
                <w:szCs w:val="20"/>
              </w:rPr>
              <w:footnoteReference w:id="158"/>
            </w:r>
            <w:r w:rsidRPr="006D0A01">
              <w:rPr>
                <w:rFonts w:cstheme="minorHAnsi"/>
                <w:color w:val="0F243E" w:themeColor="text2" w:themeShade="80"/>
                <w:sz w:val="20"/>
                <w:szCs w:val="20"/>
              </w:rPr>
              <w:t>:</w:t>
            </w:r>
            <w:r w:rsidRPr="006D0A01">
              <w:rPr>
                <w:rFonts w:cstheme="minorHAnsi"/>
                <w:b/>
                <w:color w:val="0F243E" w:themeColor="text2" w:themeShade="80"/>
                <w:sz w:val="20"/>
                <w:szCs w:val="20"/>
              </w:rPr>
              <w:t xml:space="preserve"> </w:t>
            </w:r>
            <w:r w:rsidRPr="006D0A01">
              <w:rPr>
                <w:rFonts w:cstheme="minorHAnsi"/>
                <w:color w:val="0F243E" w:themeColor="text2" w:themeShade="80"/>
                <w:sz w:val="20"/>
                <w:szCs w:val="20"/>
              </w:rPr>
              <w:t xml:space="preserve">(1) IPA-3 Rule of Law; Democracy &amp; Human Rights; Public Administration; (2) Op4. Legal certainty-competencies BiH authorities, Op7. Fight against corruption, organised crime; Op8. Op8. </w:t>
            </w:r>
            <w:r w:rsidRPr="006D0A01">
              <w:rPr>
                <w:sz w:val="20"/>
                <w:szCs w:val="20"/>
              </w:rPr>
              <w:t>Effective migration management, asylum system</w:t>
            </w:r>
            <w:r w:rsidRPr="006D0A01">
              <w:rPr>
                <w:rFonts w:cstheme="minorHAnsi"/>
                <w:color w:val="0F243E" w:themeColor="text2" w:themeShade="80"/>
                <w:sz w:val="20"/>
                <w:szCs w:val="20"/>
              </w:rPr>
              <w:t xml:space="preserve">; Op9. Protection of human rights, non-discrimination; </w:t>
            </w:r>
            <w:r w:rsidRPr="006D0A01">
              <w:rPr>
                <w:sz w:val="20"/>
                <w:szCs w:val="20"/>
              </w:rPr>
              <w:t>Op11. Ensure enabling environment for civil society,</w:t>
            </w:r>
            <w:r w:rsidRPr="006D0A01">
              <w:rPr>
                <w:rFonts w:cstheme="minorHAnsi"/>
                <w:color w:val="0F243E" w:themeColor="text2" w:themeShade="80"/>
                <w:sz w:val="20"/>
                <w:szCs w:val="20"/>
              </w:rPr>
              <w:t xml:space="preserve"> Op12. </w:t>
            </w:r>
            <w:r w:rsidRPr="006D0A01">
              <w:rPr>
                <w:sz w:val="20"/>
                <w:szCs w:val="20"/>
              </w:rPr>
              <w:t>Guarantee freedom of expression,</w:t>
            </w:r>
            <w:r w:rsidRPr="006D0A01">
              <w:rPr>
                <w:rFonts w:cstheme="minorHAnsi"/>
                <w:color w:val="0F243E" w:themeColor="text2" w:themeShade="80"/>
                <w:sz w:val="20"/>
                <w:szCs w:val="20"/>
              </w:rPr>
              <w:t xml:space="preserve"> Op13. Improve the protection and inclusion of vulnerable groups</w:t>
            </w:r>
            <w:r>
              <w:rPr>
                <w:rFonts w:cstheme="minorHAnsi"/>
                <w:color w:val="0F243E" w:themeColor="text2" w:themeShade="80"/>
                <w:sz w:val="20"/>
                <w:szCs w:val="20"/>
              </w:rPr>
              <w:t xml:space="preserve">; </w:t>
            </w:r>
            <w:r w:rsidRPr="00BA6A02">
              <w:rPr>
                <w:rFonts w:cstheme="minorHAnsi"/>
                <w:color w:val="0F243E" w:themeColor="text2" w:themeShade="80"/>
                <w:sz w:val="20"/>
                <w:szCs w:val="20"/>
              </w:rPr>
              <w:t>Op14. Implement PAR; Ensure professional and de-politicised civil service</w:t>
            </w:r>
          </w:p>
        </w:tc>
      </w:tr>
      <w:tr w:rsidR="00AB628C" w:rsidRPr="00ED484B" w14:paraId="5580F4DD"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44C3E507" w14:textId="77777777" w:rsidR="00AB628C" w:rsidRPr="00ED484B" w:rsidRDefault="00AB628C" w:rsidP="00010E0F">
            <w:pPr>
              <w:spacing w:before="40" w:after="40"/>
              <w:rPr>
                <w:rFonts w:cstheme="minorHAnsi"/>
                <w:b/>
                <w:sz w:val="20"/>
                <w:szCs w:val="20"/>
              </w:rPr>
            </w:pPr>
            <w:r w:rsidRPr="00B322B2">
              <w:rPr>
                <w:rFonts w:cstheme="minorHAnsi"/>
                <w:i/>
                <w:sz w:val="20"/>
                <w:szCs w:val="20"/>
              </w:rPr>
              <w:t>Joint Socio-Economic Reforms, 2019-2022</w:t>
            </w:r>
            <w:r w:rsidRPr="00ED484B">
              <w:rPr>
                <w:rFonts w:cstheme="minorHAnsi"/>
                <w:sz w:val="20"/>
                <w:szCs w:val="20"/>
                <w:vertAlign w:val="superscript"/>
              </w:rPr>
              <w:footnoteReference w:id="159"/>
            </w:r>
            <w:r w:rsidRPr="00ED484B">
              <w:rPr>
                <w:rFonts w:cstheme="minorHAnsi"/>
                <w:sz w:val="20"/>
                <w:szCs w:val="20"/>
              </w:rPr>
              <w:t xml:space="preserve">: </w:t>
            </w:r>
          </w:p>
          <w:p w14:paraId="2A36149C" w14:textId="77777777" w:rsidR="00AB628C" w:rsidRPr="00ED484B" w:rsidRDefault="00AB628C" w:rsidP="00010E0F">
            <w:pPr>
              <w:spacing w:before="40" w:after="40"/>
              <w:rPr>
                <w:rFonts w:cstheme="minorHAnsi"/>
                <w:sz w:val="20"/>
                <w:szCs w:val="20"/>
              </w:rPr>
            </w:pPr>
            <w:r w:rsidRPr="00ED484B">
              <w:rPr>
                <w:rFonts w:cstheme="minorHAnsi"/>
                <w:sz w:val="20"/>
                <w:szCs w:val="20"/>
              </w:rPr>
              <w:t>IV. Policies that Provide Opportunities to Youth, Women and other Vulnerable Groups</w:t>
            </w:r>
          </w:p>
          <w:p w14:paraId="77C1810E" w14:textId="77777777" w:rsidR="00AB628C" w:rsidRPr="00ED484B" w:rsidRDefault="00AB628C" w:rsidP="00010E0F">
            <w:pPr>
              <w:spacing w:before="40" w:after="40"/>
              <w:rPr>
                <w:rFonts w:cstheme="minorHAnsi"/>
                <w:color w:val="FFFFFF" w:themeColor="background1"/>
                <w:sz w:val="20"/>
                <w:szCs w:val="20"/>
              </w:rPr>
            </w:pPr>
            <w:r w:rsidRPr="00ED484B">
              <w:rPr>
                <w:rFonts w:cstheme="minorHAnsi"/>
                <w:sz w:val="20"/>
                <w:szCs w:val="20"/>
              </w:rPr>
              <w:t>‘…</w:t>
            </w:r>
            <w:r w:rsidRPr="00ED484B">
              <w:rPr>
                <w:rFonts w:cstheme="minorHAnsi"/>
                <w:i/>
                <w:sz w:val="20"/>
                <w:szCs w:val="20"/>
              </w:rPr>
              <w:t>all levels will do their utmost to increase cooperation and coordination in order to harmonize legislation to the highest extent possible and strengthen the country's single economic space. This will be achieved by strengthening the coordination between all levels of government</w:t>
            </w:r>
            <w:r w:rsidRPr="00ED484B">
              <w:rPr>
                <w:rFonts w:cstheme="minorHAnsi"/>
                <w:sz w:val="20"/>
                <w:szCs w:val="20"/>
              </w:rPr>
              <w:t xml:space="preserve">.’ - </w:t>
            </w:r>
            <w:r w:rsidRPr="00ED484B">
              <w:rPr>
                <w:rFonts w:cstheme="minorHAnsi"/>
                <w:sz w:val="20"/>
                <w:szCs w:val="20"/>
                <w:u w:val="single"/>
              </w:rPr>
              <w:t>Preamble</w:t>
            </w:r>
            <w:r w:rsidRPr="00ED484B">
              <w:rPr>
                <w:rFonts w:cstheme="minorHAnsi"/>
                <w:sz w:val="20"/>
                <w:szCs w:val="20"/>
              </w:rPr>
              <w:t xml:space="preserve"> </w:t>
            </w:r>
          </w:p>
        </w:tc>
      </w:tr>
      <w:tr w:rsidR="00AB628C" w:rsidRPr="006D0A01" w14:paraId="31E6B30E" w14:textId="77777777" w:rsidTr="009674CE">
        <w:trPr>
          <w:trHeight w:val="311"/>
        </w:trPr>
        <w:tc>
          <w:tcPr>
            <w:tcW w:w="14044" w:type="dxa"/>
            <w:gridSpan w:val="8"/>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4F3EA903" w14:textId="77777777" w:rsidR="00AB628C" w:rsidRPr="006D0A01" w:rsidRDefault="00AB628C" w:rsidP="00010E0F">
            <w:pPr>
              <w:spacing w:before="60" w:after="60"/>
              <w:rPr>
                <w:rFonts w:cstheme="minorHAnsi"/>
                <w:b/>
                <w:color w:val="0F243E" w:themeColor="text2" w:themeShade="80"/>
                <w:sz w:val="20"/>
                <w:szCs w:val="20"/>
                <w:lang w:val="en-US"/>
              </w:rPr>
            </w:pPr>
            <w:r w:rsidRPr="00B322B2">
              <w:rPr>
                <w:rFonts w:cstheme="minorHAnsi"/>
                <w:i/>
                <w:color w:val="0F243E" w:themeColor="text2" w:themeShade="80"/>
                <w:sz w:val="20"/>
                <w:szCs w:val="20"/>
              </w:rPr>
              <w:t>Regional framework(s) and targets</w:t>
            </w:r>
            <w:r w:rsidRPr="006D0A01">
              <w:rPr>
                <w:rFonts w:cstheme="minorHAnsi"/>
                <w:b/>
                <w:color w:val="0F243E" w:themeColor="text2" w:themeShade="80"/>
                <w:sz w:val="20"/>
                <w:szCs w:val="20"/>
              </w:rPr>
              <w:t xml:space="preserve">: </w:t>
            </w:r>
            <w:r w:rsidRPr="006D0A01">
              <w:rPr>
                <w:rFonts w:cstheme="minorHAnsi"/>
                <w:color w:val="0F243E" w:themeColor="text2" w:themeShade="80"/>
                <w:sz w:val="20"/>
                <w:szCs w:val="20"/>
              </w:rPr>
              <w:t>Western Balkans Action Plan</w:t>
            </w:r>
            <w:r w:rsidRPr="006D0A01">
              <w:rPr>
                <w:rStyle w:val="FootnoteReference"/>
                <w:rFonts w:cstheme="minorHAnsi"/>
                <w:sz w:val="20"/>
                <w:szCs w:val="20"/>
                <w:lang w:val="en-US"/>
              </w:rPr>
              <w:footnoteReference w:id="160"/>
            </w:r>
            <w:r w:rsidRPr="006D0A01">
              <w:rPr>
                <w:rFonts w:cstheme="minorHAnsi"/>
                <w:color w:val="0F243E" w:themeColor="text2" w:themeShade="80"/>
                <w:sz w:val="20"/>
                <w:szCs w:val="20"/>
              </w:rPr>
              <w:t xml:space="preserve">: (1) Engage leadership, (2) Empowering positive agents of change, (3) Address </w:t>
            </w:r>
            <w:r w:rsidRPr="00604031">
              <w:rPr>
                <w:color w:val="0F243E" w:themeColor="text2" w:themeShade="80"/>
                <w:sz w:val="20"/>
              </w:rPr>
              <w:t>challenges</w:t>
            </w:r>
            <w:r>
              <w:rPr>
                <w:rFonts w:cstheme="minorHAnsi"/>
                <w:color w:val="0F243E" w:themeColor="text2" w:themeShade="80"/>
                <w:sz w:val="20"/>
                <w:szCs w:val="20"/>
                <w:lang w:val="en-GB"/>
              </w:rPr>
              <w:t xml:space="preserve"> in the area of rule of law, including impunity</w:t>
            </w:r>
            <w:r w:rsidRPr="006D0A01">
              <w:rPr>
                <w:rFonts w:cstheme="minorHAnsi"/>
                <w:color w:val="0F243E" w:themeColor="text2" w:themeShade="80"/>
                <w:sz w:val="20"/>
                <w:szCs w:val="20"/>
              </w:rPr>
              <w:t xml:space="preserve">, (4) Strengthening strategic coherence and effectiveness-UN and </w:t>
            </w:r>
            <w:r>
              <w:rPr>
                <w:rFonts w:cstheme="minorHAnsi"/>
                <w:color w:val="0F243E" w:themeColor="text2" w:themeShade="80"/>
                <w:sz w:val="20"/>
                <w:szCs w:val="20"/>
              </w:rPr>
              <w:t>key</w:t>
            </w:r>
            <w:r w:rsidRPr="006D0A01">
              <w:rPr>
                <w:rFonts w:cstheme="minorHAnsi"/>
                <w:color w:val="0F243E" w:themeColor="text2" w:themeShade="80"/>
                <w:sz w:val="20"/>
                <w:szCs w:val="20"/>
              </w:rPr>
              <w:t xml:space="preserve"> stakeholders</w:t>
            </w:r>
          </w:p>
        </w:tc>
      </w:tr>
      <w:tr w:rsidR="00AB628C" w:rsidRPr="009A7D0D" w14:paraId="165B61F1" w14:textId="77777777" w:rsidTr="009674CE">
        <w:trPr>
          <w:trHeight w:val="337"/>
          <w:tblHeader/>
        </w:trPr>
        <w:tc>
          <w:tcPr>
            <w:tcW w:w="3810" w:type="dxa"/>
            <w:gridSpan w:val="2"/>
            <w:tcBorders>
              <w:top w:val="single" w:sz="4" w:space="0" w:color="548DD4" w:themeColor="text2" w:themeTint="99"/>
              <w:left w:val="single" w:sz="4" w:space="0" w:color="auto"/>
              <w:bottom w:val="single" w:sz="4" w:space="0" w:color="548DD4" w:themeColor="text2" w:themeTint="99"/>
              <w:right w:val="nil"/>
            </w:tcBorders>
            <w:shd w:val="clear" w:color="auto" w:fill="244061" w:themeFill="accent1" w:themeFillShade="80"/>
            <w:vAlign w:val="center"/>
          </w:tcPr>
          <w:p w14:paraId="7A6FE731"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Outcome</w:t>
            </w:r>
          </w:p>
        </w:tc>
        <w:tc>
          <w:tcPr>
            <w:tcW w:w="3338"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32052B1A"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Indicators, Baselines, Targets, Data source</w:t>
            </w:r>
          </w:p>
        </w:tc>
        <w:tc>
          <w:tcPr>
            <w:tcW w:w="2491" w:type="dxa"/>
            <w:gridSpan w:val="2"/>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0B53584B" w14:textId="77777777" w:rsidR="00AB628C" w:rsidRPr="009A7D0D" w:rsidRDefault="00AB628C" w:rsidP="00010E0F">
            <w:pPr>
              <w:jc w:val="center"/>
              <w:rPr>
                <w:color w:val="FFFFFF" w:themeColor="background1"/>
                <w:sz w:val="18"/>
                <w:szCs w:val="18"/>
              </w:rPr>
            </w:pPr>
          </w:p>
        </w:tc>
        <w:tc>
          <w:tcPr>
            <w:tcW w:w="4405" w:type="dxa"/>
            <w:gridSpan w:val="2"/>
            <w:tcBorders>
              <w:top w:val="single" w:sz="4" w:space="0" w:color="548DD4" w:themeColor="text2" w:themeTint="99"/>
              <w:left w:val="nil"/>
              <w:bottom w:val="single" w:sz="4" w:space="0" w:color="548DD4" w:themeColor="text2" w:themeTint="99"/>
              <w:right w:val="single" w:sz="4" w:space="0" w:color="auto"/>
            </w:tcBorders>
            <w:shd w:val="clear" w:color="auto" w:fill="244061" w:themeFill="accent1" w:themeFillShade="80"/>
            <w:vAlign w:val="center"/>
          </w:tcPr>
          <w:p w14:paraId="176EF28A"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Partners</w:t>
            </w:r>
          </w:p>
        </w:tc>
      </w:tr>
      <w:tr w:rsidR="00AB628C" w:rsidRPr="00DD0CEB" w14:paraId="43804A7E" w14:textId="77777777" w:rsidTr="009674CE">
        <w:trPr>
          <w:trHeight w:val="285"/>
        </w:trPr>
        <w:tc>
          <w:tcPr>
            <w:tcW w:w="3560" w:type="dxa"/>
            <w:vMerge w:val="restart"/>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4AC90ACE" w14:textId="77777777" w:rsidR="00AB628C" w:rsidRDefault="00AB628C" w:rsidP="00010E0F">
            <w:pPr>
              <w:rPr>
                <w:rFonts w:cstheme="minorHAnsi"/>
                <w:bCs/>
                <w:sz w:val="20"/>
                <w:szCs w:val="20"/>
              </w:rPr>
            </w:pPr>
            <w:r w:rsidRPr="00DD0CEB">
              <w:rPr>
                <w:rFonts w:cstheme="minorHAnsi"/>
                <w:b/>
                <w:sz w:val="20"/>
                <w:szCs w:val="20"/>
              </w:rPr>
              <w:t xml:space="preserve">Outcome 4. </w:t>
            </w:r>
            <w:r w:rsidRPr="00DD0CEB">
              <w:rPr>
                <w:rFonts w:cstheme="minorHAnsi"/>
                <w:bCs/>
                <w:sz w:val="20"/>
                <w:szCs w:val="20"/>
              </w:rPr>
              <w:t>By 2025, people contribute to, and benefit from more accountable and transparent governance systems that deliver quality public services, and ensure rule of law</w:t>
            </w:r>
          </w:p>
          <w:p w14:paraId="1DB059C7" w14:textId="77777777" w:rsidR="00AB628C" w:rsidRDefault="00AB628C" w:rsidP="00010E0F">
            <w:pPr>
              <w:rPr>
                <w:rFonts w:cstheme="minorHAnsi"/>
                <w:bCs/>
                <w:sz w:val="20"/>
                <w:szCs w:val="20"/>
              </w:rPr>
            </w:pPr>
          </w:p>
          <w:p w14:paraId="1170F213" w14:textId="77777777" w:rsidR="00AB628C" w:rsidRPr="00DD0CEB" w:rsidRDefault="00AB628C" w:rsidP="00010E0F">
            <w:pPr>
              <w:rPr>
                <w:rFonts w:cstheme="minorHAnsi"/>
                <w:b/>
                <w:sz w:val="20"/>
                <w:szCs w:val="20"/>
              </w:rPr>
            </w:pPr>
          </w:p>
          <w:p w14:paraId="35038105" w14:textId="77777777" w:rsidR="00AB628C" w:rsidRPr="00DD0CEB" w:rsidRDefault="00AB628C" w:rsidP="00010E0F">
            <w:pPr>
              <w:rPr>
                <w:rFonts w:cstheme="minorHAnsi"/>
                <w:b/>
                <w:sz w:val="20"/>
                <w:szCs w:val="20"/>
              </w:rPr>
            </w:pPr>
            <w:r w:rsidRPr="00DD0CEB">
              <w:rPr>
                <w:rFonts w:cstheme="minorHAnsi"/>
                <w:i/>
                <w:color w:val="808080" w:themeColor="background1" w:themeShade="80"/>
                <w:sz w:val="20"/>
                <w:szCs w:val="20"/>
              </w:rPr>
              <w:t xml:space="preserve"> </w:t>
            </w:r>
          </w:p>
          <w:p w14:paraId="6279668B" w14:textId="77777777" w:rsidR="00AB628C" w:rsidRPr="00DD0CEB" w:rsidRDefault="00AB628C" w:rsidP="00010E0F">
            <w:pPr>
              <w:rPr>
                <w:rFonts w:cstheme="minorHAnsi"/>
                <w:b/>
                <w:sz w:val="20"/>
                <w:szCs w:val="20"/>
              </w:rPr>
            </w:pPr>
            <w:r w:rsidRPr="00DD0CEB">
              <w:rPr>
                <w:rFonts w:cstheme="minorHAnsi"/>
                <w:i/>
                <w:color w:val="808080" w:themeColor="background1" w:themeShade="80"/>
                <w:sz w:val="20"/>
                <w:szCs w:val="20"/>
              </w:rPr>
              <w:t xml:space="preserve"> </w:t>
            </w:r>
          </w:p>
        </w:tc>
        <w:tc>
          <w:tcPr>
            <w:tcW w:w="63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665FD882" w14:textId="4D7B94B3" w:rsidR="00AB628C" w:rsidRPr="00DD0CEB" w:rsidRDefault="00AB628C" w:rsidP="00010E0F">
            <w:pPr>
              <w:rPr>
                <w:rFonts w:cstheme="minorHAnsi"/>
                <w:sz w:val="20"/>
                <w:szCs w:val="20"/>
              </w:rPr>
            </w:pPr>
            <w:r w:rsidRPr="00DD0CEB">
              <w:rPr>
                <w:rFonts w:cstheme="minorHAnsi"/>
                <w:b/>
                <w:bCs/>
                <w:sz w:val="20"/>
                <w:szCs w:val="20"/>
              </w:rPr>
              <w:t xml:space="preserve"> 4.a </w:t>
            </w:r>
            <w:r w:rsidRPr="00D7533E">
              <w:rPr>
                <w:rFonts w:cstheme="minorHAnsi"/>
                <w:sz w:val="20"/>
                <w:szCs w:val="20"/>
                <w:lang w:val="en-GB"/>
              </w:rPr>
              <w:t>% Local</w:t>
            </w:r>
            <w:r w:rsidRPr="00DD0CEB">
              <w:rPr>
                <w:rFonts w:cstheme="minorHAnsi"/>
                <w:sz w:val="20"/>
                <w:szCs w:val="20"/>
                <w:lang w:val="en-GB"/>
              </w:rPr>
              <w:t xml:space="preserve"> governments and cantons with SDG-centred and gender-sensitive strategies and implementation plans as part of a coherent development planning and management system</w:t>
            </w:r>
          </w:p>
        </w:tc>
        <w:tc>
          <w:tcPr>
            <w:tcW w:w="4098"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0601D04B" w14:textId="736138DC" w:rsidR="00AB628C" w:rsidRPr="003D3D83" w:rsidRDefault="00AB628C" w:rsidP="00010E0F">
            <w:pPr>
              <w:rPr>
                <w:rFonts w:cstheme="minorHAnsi"/>
                <w:sz w:val="20"/>
                <w:szCs w:val="20"/>
                <w:lang w:val="en-US"/>
              </w:rPr>
            </w:pPr>
            <w:r w:rsidRPr="003D3D83">
              <w:rPr>
                <w:rFonts w:cstheme="minorHAnsi"/>
                <w:sz w:val="20"/>
                <w:szCs w:val="20"/>
                <w:u w:val="single"/>
              </w:rPr>
              <w:t>BiH</w:t>
            </w:r>
            <w:r w:rsidRPr="003D3D83">
              <w:rPr>
                <w:rFonts w:cstheme="minorHAnsi"/>
                <w:sz w:val="20"/>
                <w:szCs w:val="20"/>
              </w:rPr>
              <w:t xml:space="preserve">: </w:t>
            </w:r>
          </w:p>
          <w:p w14:paraId="0EA0714A" w14:textId="73CF3E70" w:rsidR="00AB628C" w:rsidRPr="003D3D83" w:rsidRDefault="00AB628C" w:rsidP="00AB628C">
            <w:pPr>
              <w:pStyle w:val="ListParagraph"/>
              <w:numPr>
                <w:ilvl w:val="0"/>
                <w:numId w:val="13"/>
              </w:numPr>
              <w:ind w:left="203" w:hanging="203"/>
              <w:rPr>
                <w:rFonts w:cstheme="minorHAnsi"/>
                <w:sz w:val="20"/>
                <w:szCs w:val="20"/>
              </w:rPr>
            </w:pPr>
            <w:r w:rsidRPr="003D3D83">
              <w:rPr>
                <w:rFonts w:cstheme="minorHAnsi"/>
                <w:sz w:val="20"/>
                <w:szCs w:val="20"/>
                <w:lang w:val="en-CA"/>
              </w:rPr>
              <w:t>Relevant</w:t>
            </w:r>
            <w:r w:rsidRPr="003D3D83">
              <w:rPr>
                <w:rFonts w:cstheme="minorHAnsi"/>
                <w:sz w:val="20"/>
                <w:szCs w:val="20"/>
              </w:rPr>
              <w:t xml:space="preserve"> </w:t>
            </w:r>
            <w:r w:rsidR="0041151B" w:rsidRPr="003D3D83">
              <w:rPr>
                <w:rFonts w:cstheme="minorHAnsi"/>
                <w:sz w:val="20"/>
                <w:szCs w:val="20"/>
              </w:rPr>
              <w:t xml:space="preserve">authorities in </w:t>
            </w:r>
            <w:r w:rsidRPr="003D3D83">
              <w:rPr>
                <w:rFonts w:cstheme="minorHAnsi"/>
                <w:sz w:val="20"/>
                <w:szCs w:val="20"/>
              </w:rPr>
              <w:t xml:space="preserve">BiH </w:t>
            </w:r>
          </w:p>
          <w:p w14:paraId="3C26E585" w14:textId="77777777" w:rsidR="00AB628C" w:rsidRPr="003D3D83" w:rsidRDefault="00AB628C" w:rsidP="00010E0F">
            <w:pPr>
              <w:rPr>
                <w:rFonts w:cstheme="minorHAnsi"/>
                <w:sz w:val="20"/>
                <w:szCs w:val="20"/>
              </w:rPr>
            </w:pPr>
          </w:p>
          <w:p w14:paraId="3B3FFDA7" w14:textId="77777777" w:rsidR="00AB628C" w:rsidRPr="003D3D83" w:rsidRDefault="00AB628C" w:rsidP="00010E0F">
            <w:pPr>
              <w:rPr>
                <w:rFonts w:cstheme="minorHAnsi"/>
                <w:sz w:val="20"/>
                <w:szCs w:val="20"/>
                <w:lang w:val="en-US"/>
              </w:rPr>
            </w:pPr>
            <w:r w:rsidRPr="003D3D83">
              <w:rPr>
                <w:rFonts w:cstheme="minorHAnsi"/>
                <w:sz w:val="20"/>
                <w:szCs w:val="20"/>
                <w:u w:val="single"/>
              </w:rPr>
              <w:t>UN</w:t>
            </w:r>
            <w:r w:rsidRPr="003D3D83">
              <w:rPr>
                <w:rFonts w:cstheme="minorHAnsi"/>
                <w:sz w:val="20"/>
                <w:szCs w:val="20"/>
              </w:rPr>
              <w:t xml:space="preserve">: </w:t>
            </w:r>
          </w:p>
          <w:p w14:paraId="20F2BD72" w14:textId="77777777" w:rsidR="00AB628C" w:rsidRPr="003D3D83" w:rsidRDefault="00AB628C" w:rsidP="00AB628C">
            <w:pPr>
              <w:pStyle w:val="ListParagraph"/>
              <w:numPr>
                <w:ilvl w:val="0"/>
                <w:numId w:val="13"/>
              </w:numPr>
              <w:spacing w:after="160" w:line="259" w:lineRule="auto"/>
              <w:ind w:left="203" w:hanging="203"/>
              <w:rPr>
                <w:rFonts w:cstheme="minorHAnsi"/>
                <w:color w:val="0F243E" w:themeColor="text2" w:themeShade="80"/>
                <w:sz w:val="20"/>
                <w:szCs w:val="20"/>
                <w:lang w:val="en-CA"/>
              </w:rPr>
            </w:pPr>
            <w:r w:rsidRPr="003D3D83">
              <w:rPr>
                <w:rFonts w:cstheme="minorHAnsi"/>
                <w:bCs/>
                <w:sz w:val="20"/>
                <w:szCs w:val="20"/>
              </w:rPr>
              <w:t>IOM, OHCHR, UNDP, UNESCO, UNFPA, UNHCR, UNICEF, UNODC, UNV, UN Women, WHO, ILO, UNDRR</w:t>
            </w:r>
          </w:p>
          <w:p w14:paraId="1B5A86B9" w14:textId="77777777" w:rsidR="00AB628C" w:rsidRPr="003D3D83" w:rsidRDefault="00AB628C" w:rsidP="00010E0F">
            <w:pPr>
              <w:rPr>
                <w:rFonts w:cstheme="minorHAnsi"/>
                <w:sz w:val="20"/>
                <w:szCs w:val="20"/>
              </w:rPr>
            </w:pPr>
            <w:r w:rsidRPr="003D3D83">
              <w:rPr>
                <w:rFonts w:cstheme="minorHAnsi"/>
                <w:sz w:val="20"/>
                <w:szCs w:val="20"/>
                <w:u w:val="single"/>
              </w:rPr>
              <w:t>Other Partners</w:t>
            </w:r>
            <w:r w:rsidRPr="003D3D83">
              <w:rPr>
                <w:rFonts w:cstheme="minorHAnsi"/>
                <w:sz w:val="20"/>
                <w:szCs w:val="20"/>
              </w:rPr>
              <w:t xml:space="preserve">: </w:t>
            </w:r>
          </w:p>
          <w:p w14:paraId="7AEF258B" w14:textId="77777777" w:rsidR="00AB628C" w:rsidRPr="003D3D83" w:rsidRDefault="00AB628C" w:rsidP="00AB628C">
            <w:pPr>
              <w:pStyle w:val="ListParagraph"/>
              <w:numPr>
                <w:ilvl w:val="0"/>
                <w:numId w:val="13"/>
              </w:numPr>
              <w:ind w:left="203" w:hanging="203"/>
              <w:rPr>
                <w:rFonts w:cstheme="minorHAnsi"/>
                <w:color w:val="0F243E" w:themeColor="text2" w:themeShade="80"/>
                <w:sz w:val="20"/>
                <w:szCs w:val="20"/>
                <w:lang w:val="en-CA"/>
              </w:rPr>
            </w:pPr>
            <w:r w:rsidRPr="003D3D83">
              <w:rPr>
                <w:rFonts w:cstheme="minorHAnsi"/>
                <w:sz w:val="20"/>
                <w:szCs w:val="20"/>
                <w:lang w:val="en-CA"/>
              </w:rPr>
              <w:t xml:space="preserve">Relevant CSOs, international partners, and representatives of private sector and academia </w:t>
            </w:r>
          </w:p>
        </w:tc>
      </w:tr>
      <w:tr w:rsidR="00AB628C" w:rsidRPr="00DD0CEB" w14:paraId="5FC4C4D6"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2BB6AD80"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A2AC64B" w14:textId="77777777" w:rsidR="00AB628C" w:rsidRPr="00DD0CEB" w:rsidRDefault="00AB628C" w:rsidP="00010E0F">
            <w:pPr>
              <w:rPr>
                <w:rFonts w:cstheme="minorHAnsi"/>
                <w:sz w:val="20"/>
                <w:szCs w:val="20"/>
              </w:rPr>
            </w:pPr>
            <w:r w:rsidRPr="00DD0CEB">
              <w:rPr>
                <w:rFonts w:cstheme="minorHAnsi"/>
                <w:sz w:val="20"/>
                <w:szCs w:val="20"/>
                <w:u w:val="single"/>
              </w:rPr>
              <w:t>Baseline</w:t>
            </w:r>
            <w:r w:rsidRPr="00DD0CEB">
              <w:rPr>
                <w:rFonts w:cstheme="minorHAnsi"/>
                <w:sz w:val="20"/>
                <w:szCs w:val="20"/>
              </w:rPr>
              <w:t>: 2019</w:t>
            </w:r>
          </w:p>
          <w:p w14:paraId="7605E6F6" w14:textId="77777777" w:rsidR="00AB628C" w:rsidRPr="00DD0CEB" w:rsidRDefault="00AB628C" w:rsidP="00010E0F">
            <w:pPr>
              <w:rPr>
                <w:rFonts w:cstheme="minorHAnsi"/>
                <w:sz w:val="20"/>
                <w:szCs w:val="20"/>
              </w:rPr>
            </w:pPr>
            <w:r w:rsidRPr="00DD0CEB">
              <w:rPr>
                <w:rFonts w:cstheme="minorHAnsi"/>
                <w:sz w:val="20"/>
                <w:szCs w:val="20"/>
              </w:rPr>
              <w:t>Local governments: 0%</w:t>
            </w:r>
          </w:p>
          <w:p w14:paraId="5B7A62A7" w14:textId="77777777" w:rsidR="00AB628C" w:rsidRPr="00DD0CEB" w:rsidRDefault="00AB628C" w:rsidP="00010E0F">
            <w:pPr>
              <w:rPr>
                <w:rFonts w:cstheme="minorHAnsi"/>
                <w:sz w:val="20"/>
                <w:szCs w:val="20"/>
              </w:rPr>
            </w:pPr>
            <w:r w:rsidRPr="00DD0CEB">
              <w:rPr>
                <w:rFonts w:cstheme="minorHAnsi"/>
                <w:sz w:val="20"/>
                <w:szCs w:val="20"/>
              </w:rPr>
              <w:t>Cantons: 0%</w:t>
            </w:r>
          </w:p>
          <w:p w14:paraId="0127811B" w14:textId="77777777" w:rsidR="00AB628C" w:rsidRPr="00DD0CEB" w:rsidRDefault="00AB628C"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3909384" w14:textId="77777777" w:rsidR="00AB628C" w:rsidRPr="00DD0CEB" w:rsidRDefault="00AB628C" w:rsidP="00010E0F">
            <w:pPr>
              <w:rPr>
                <w:rFonts w:cstheme="minorHAnsi"/>
                <w:sz w:val="20"/>
                <w:szCs w:val="20"/>
              </w:rPr>
            </w:pPr>
            <w:r w:rsidRPr="00DD0CEB">
              <w:rPr>
                <w:rFonts w:cstheme="minorHAnsi"/>
                <w:sz w:val="20"/>
                <w:szCs w:val="20"/>
                <w:u w:val="single"/>
              </w:rPr>
              <w:t>Target</w:t>
            </w:r>
            <w:r w:rsidRPr="00DD0CEB">
              <w:rPr>
                <w:rFonts w:cstheme="minorHAnsi"/>
                <w:sz w:val="20"/>
                <w:szCs w:val="20"/>
              </w:rPr>
              <w:t>: (2025)</w:t>
            </w:r>
          </w:p>
          <w:p w14:paraId="3C781D53" w14:textId="77777777" w:rsidR="00AB628C" w:rsidRPr="00DD0CEB" w:rsidRDefault="00AB628C" w:rsidP="00010E0F">
            <w:pPr>
              <w:rPr>
                <w:rFonts w:cstheme="minorHAnsi"/>
                <w:sz w:val="20"/>
                <w:szCs w:val="20"/>
              </w:rPr>
            </w:pPr>
            <w:r w:rsidRPr="00DD0CEB">
              <w:rPr>
                <w:rFonts w:cstheme="minorHAnsi"/>
                <w:sz w:val="20"/>
                <w:szCs w:val="20"/>
              </w:rPr>
              <w:t>Local governments: 60%</w:t>
            </w:r>
          </w:p>
          <w:p w14:paraId="6709CD72" w14:textId="77777777" w:rsidR="00AB628C" w:rsidRPr="00DD0CEB" w:rsidRDefault="00AB628C" w:rsidP="00010E0F">
            <w:pPr>
              <w:rPr>
                <w:rFonts w:cstheme="minorHAnsi"/>
                <w:sz w:val="20"/>
                <w:szCs w:val="20"/>
              </w:rPr>
            </w:pPr>
            <w:r w:rsidRPr="00DD0CEB">
              <w:rPr>
                <w:rFonts w:cstheme="minorHAnsi"/>
                <w:sz w:val="20"/>
                <w:szCs w:val="20"/>
              </w:rPr>
              <w:t>Cantons: 80%</w:t>
            </w:r>
          </w:p>
          <w:p w14:paraId="7E1B7583" w14:textId="77777777" w:rsidR="00AB628C" w:rsidRPr="00DD0CEB" w:rsidRDefault="00AB628C" w:rsidP="00010E0F">
            <w:pPr>
              <w:rPr>
                <w:rFonts w:cstheme="minorHAnsi"/>
                <w:sz w:val="20"/>
                <w:szCs w:val="20"/>
              </w:rPr>
            </w:pP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E782064" w14:textId="77777777" w:rsidR="00AB628C" w:rsidRPr="003D3D83" w:rsidRDefault="00AB628C" w:rsidP="00010E0F">
            <w:pPr>
              <w:rPr>
                <w:rFonts w:cstheme="minorHAnsi"/>
                <w:sz w:val="20"/>
                <w:szCs w:val="20"/>
              </w:rPr>
            </w:pPr>
            <w:r w:rsidRPr="003D3D83">
              <w:rPr>
                <w:rFonts w:cstheme="minorHAnsi"/>
                <w:sz w:val="20"/>
                <w:szCs w:val="20"/>
                <w:u w:val="single"/>
              </w:rPr>
              <w:t>Source</w:t>
            </w:r>
            <w:r w:rsidRPr="003D3D83">
              <w:rPr>
                <w:rFonts w:cstheme="minorHAnsi"/>
                <w:sz w:val="20"/>
                <w:szCs w:val="20"/>
              </w:rPr>
              <w:t>:</w:t>
            </w:r>
          </w:p>
          <w:p w14:paraId="617F9BA1" w14:textId="709B4BE4" w:rsidR="00AB628C" w:rsidRPr="003D3D83" w:rsidRDefault="0041151B" w:rsidP="00010E0F">
            <w:pPr>
              <w:rPr>
                <w:rFonts w:cstheme="minorHAnsi"/>
                <w:sz w:val="20"/>
                <w:szCs w:val="20"/>
              </w:rPr>
            </w:pPr>
            <w:r w:rsidRPr="003D3D83">
              <w:rPr>
                <w:rFonts w:cstheme="minorHAnsi"/>
                <w:sz w:val="20"/>
                <w:szCs w:val="20"/>
              </w:rPr>
              <w:t xml:space="preserve">Reports by relevant authorities in </w:t>
            </w:r>
            <w:r w:rsidR="00AB628C" w:rsidRPr="003D3D83">
              <w:rPr>
                <w:rFonts w:cstheme="minorHAnsi"/>
                <w:sz w:val="20"/>
                <w:szCs w:val="20"/>
              </w:rPr>
              <w:t>BiH; (Development Planning and Management Structures); Programme reports</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778260B4" w14:textId="77777777" w:rsidR="00AB628C" w:rsidRPr="00DD0CEB" w:rsidRDefault="00AB628C" w:rsidP="00010E0F">
            <w:pPr>
              <w:rPr>
                <w:rFonts w:cstheme="minorHAnsi"/>
                <w:color w:val="0F243E" w:themeColor="text2" w:themeShade="80"/>
                <w:sz w:val="20"/>
                <w:szCs w:val="20"/>
              </w:rPr>
            </w:pPr>
          </w:p>
        </w:tc>
      </w:tr>
      <w:tr w:rsidR="00AB628C" w:rsidRPr="00DD0CEB" w14:paraId="58E6B89F"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524E6BC5" w14:textId="77777777" w:rsidR="00AB628C" w:rsidRPr="00DD0CEB" w:rsidRDefault="00AB628C" w:rsidP="00010E0F">
            <w:pPr>
              <w:rPr>
                <w:rFonts w:cstheme="minorHAnsi"/>
                <w:b/>
                <w:sz w:val="20"/>
                <w:szCs w:val="20"/>
              </w:rPr>
            </w:pPr>
          </w:p>
        </w:tc>
        <w:tc>
          <w:tcPr>
            <w:tcW w:w="638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58938DD" w14:textId="4758CB33" w:rsidR="00AB628C" w:rsidRPr="00DD0CEB" w:rsidRDefault="00AB628C" w:rsidP="00010E0F">
            <w:pPr>
              <w:rPr>
                <w:rFonts w:cstheme="minorHAnsi"/>
                <w:sz w:val="20"/>
                <w:szCs w:val="20"/>
                <w:u w:val="single"/>
              </w:rPr>
            </w:pPr>
            <w:r w:rsidRPr="000129A0">
              <w:rPr>
                <w:rFonts w:cstheme="minorHAnsi"/>
                <w:b/>
                <w:sz w:val="20"/>
                <w:szCs w:val="20"/>
              </w:rPr>
              <w:t>4.</w:t>
            </w:r>
            <w:r w:rsidR="00EE1CD1">
              <w:rPr>
                <w:rFonts w:cstheme="minorHAnsi"/>
                <w:b/>
                <w:sz w:val="20"/>
                <w:szCs w:val="20"/>
              </w:rPr>
              <w:t>b</w:t>
            </w:r>
            <w:r w:rsidRPr="000129A0">
              <w:rPr>
                <w:rFonts w:cstheme="minorHAnsi"/>
                <w:sz w:val="20"/>
                <w:szCs w:val="20"/>
              </w:rPr>
              <w:t xml:space="preserve"> Proportion of people who express confidence in their </w:t>
            </w:r>
            <w:r w:rsidR="00CE4E8B">
              <w:rPr>
                <w:rFonts w:cstheme="minorHAnsi"/>
                <w:sz w:val="20"/>
                <w:szCs w:val="20"/>
              </w:rPr>
              <w:t>local</w:t>
            </w:r>
            <w:r w:rsidRPr="000129A0">
              <w:rPr>
                <w:rFonts w:cstheme="minorHAnsi"/>
                <w:sz w:val="20"/>
                <w:szCs w:val="20"/>
              </w:rPr>
              <w:t xml:space="preserve"> authorities, by location (</w:t>
            </w:r>
            <w:r w:rsidRPr="000129A0">
              <w:rPr>
                <w:rFonts w:cstheme="minorHAnsi"/>
                <w:sz w:val="20"/>
                <w:szCs w:val="20"/>
              </w:rPr>
              <w:sym w:font="Wingdings" w:char="F0E0"/>
            </w:r>
            <w:r w:rsidRPr="000129A0">
              <w:rPr>
                <w:rFonts w:cstheme="minorHAnsi"/>
                <w:sz w:val="20"/>
                <w:szCs w:val="20"/>
              </w:rPr>
              <w:t>SDG16.6.2; 16.7.2)</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1C573707" w14:textId="77777777" w:rsidR="00AB628C" w:rsidRPr="00DD0CEB" w:rsidRDefault="00AB628C" w:rsidP="00010E0F">
            <w:pPr>
              <w:rPr>
                <w:rFonts w:cstheme="minorHAnsi"/>
                <w:color w:val="0F243E" w:themeColor="text2" w:themeShade="80"/>
                <w:sz w:val="20"/>
                <w:szCs w:val="20"/>
              </w:rPr>
            </w:pPr>
          </w:p>
        </w:tc>
      </w:tr>
      <w:tr w:rsidR="00AB628C" w:rsidRPr="00DD0CEB" w14:paraId="20011E5F"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264584A1"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3FDD84C" w14:textId="77777777" w:rsidR="00AB628C" w:rsidRPr="000129A0" w:rsidRDefault="00AB628C" w:rsidP="00010E0F">
            <w:pPr>
              <w:rPr>
                <w:rFonts w:cstheme="minorHAnsi"/>
                <w:sz w:val="20"/>
                <w:szCs w:val="20"/>
              </w:rPr>
            </w:pPr>
            <w:r w:rsidRPr="000129A0">
              <w:rPr>
                <w:rFonts w:cstheme="minorHAnsi"/>
                <w:sz w:val="20"/>
                <w:szCs w:val="20"/>
                <w:u w:val="single"/>
              </w:rPr>
              <w:t>Baseline</w:t>
            </w:r>
            <w:r w:rsidRPr="000129A0">
              <w:rPr>
                <w:rFonts w:cstheme="minorHAnsi"/>
                <w:sz w:val="20"/>
                <w:szCs w:val="20"/>
              </w:rPr>
              <w:t>: (2019)</w:t>
            </w:r>
          </w:p>
          <w:p w14:paraId="10F714FA" w14:textId="515CEA77" w:rsidR="00AB628C" w:rsidRPr="000129A0" w:rsidRDefault="00AB628C" w:rsidP="00010E0F">
            <w:pPr>
              <w:rPr>
                <w:rFonts w:cstheme="minorHAnsi"/>
                <w:sz w:val="20"/>
                <w:szCs w:val="20"/>
              </w:rPr>
            </w:pPr>
            <w:r w:rsidRPr="000129A0">
              <w:rPr>
                <w:rFonts w:cstheme="minorHAnsi"/>
                <w:sz w:val="20"/>
                <w:szCs w:val="20"/>
              </w:rPr>
              <w:t>Municipality: 2.3/4</w:t>
            </w:r>
          </w:p>
          <w:p w14:paraId="71EC67A0" w14:textId="77777777" w:rsidR="00AB628C" w:rsidRPr="000129A0" w:rsidRDefault="00AB628C"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55056CB" w14:textId="77777777" w:rsidR="00AB628C" w:rsidRPr="000129A0" w:rsidRDefault="00AB628C" w:rsidP="00010E0F">
            <w:pPr>
              <w:rPr>
                <w:rFonts w:cstheme="minorHAnsi"/>
                <w:sz w:val="20"/>
                <w:szCs w:val="20"/>
              </w:rPr>
            </w:pPr>
            <w:r w:rsidRPr="000129A0">
              <w:rPr>
                <w:rFonts w:cstheme="minorHAnsi"/>
                <w:sz w:val="20"/>
                <w:szCs w:val="20"/>
                <w:u w:val="single"/>
              </w:rPr>
              <w:t>Target</w:t>
            </w:r>
            <w:r w:rsidRPr="000129A0">
              <w:rPr>
                <w:rFonts w:cstheme="minorHAnsi"/>
                <w:sz w:val="20"/>
                <w:szCs w:val="20"/>
              </w:rPr>
              <w:t>:</w:t>
            </w:r>
          </w:p>
          <w:p w14:paraId="1915C0E9" w14:textId="589109B8" w:rsidR="00AB628C" w:rsidRPr="000129A0" w:rsidRDefault="00AB628C" w:rsidP="00010E0F">
            <w:pPr>
              <w:rPr>
                <w:rFonts w:cstheme="minorHAnsi"/>
                <w:sz w:val="20"/>
                <w:szCs w:val="20"/>
              </w:rPr>
            </w:pPr>
            <w:r w:rsidRPr="000129A0">
              <w:rPr>
                <w:rFonts w:cstheme="minorHAnsi"/>
                <w:sz w:val="20"/>
                <w:szCs w:val="20"/>
              </w:rPr>
              <w:t>Municipality: 2.7</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29678CB" w14:textId="77777777" w:rsidR="00AB628C" w:rsidRPr="000129A0" w:rsidRDefault="00AB628C" w:rsidP="00010E0F">
            <w:pPr>
              <w:rPr>
                <w:rFonts w:cstheme="minorHAnsi"/>
                <w:sz w:val="20"/>
                <w:szCs w:val="20"/>
              </w:rPr>
            </w:pPr>
            <w:r w:rsidRPr="000129A0">
              <w:rPr>
                <w:rFonts w:cstheme="minorHAnsi"/>
                <w:sz w:val="20"/>
                <w:szCs w:val="20"/>
                <w:u w:val="single"/>
              </w:rPr>
              <w:t>Source</w:t>
            </w:r>
            <w:r w:rsidRPr="000129A0">
              <w:rPr>
                <w:rFonts w:cstheme="minorHAnsi"/>
                <w:sz w:val="20"/>
                <w:szCs w:val="20"/>
              </w:rPr>
              <w:t>:</w:t>
            </w:r>
          </w:p>
          <w:p w14:paraId="11A4EEE6" w14:textId="77777777" w:rsidR="00AB628C" w:rsidRPr="000129A0" w:rsidRDefault="00AB628C" w:rsidP="00010E0F">
            <w:pPr>
              <w:rPr>
                <w:rFonts w:cstheme="minorHAnsi"/>
                <w:sz w:val="20"/>
                <w:szCs w:val="20"/>
              </w:rPr>
            </w:pPr>
            <w:r w:rsidRPr="000129A0">
              <w:rPr>
                <w:rFonts w:cstheme="minorHAnsi"/>
                <w:sz w:val="20"/>
                <w:szCs w:val="20"/>
              </w:rPr>
              <w:t>CDA, Q-P8</w:t>
            </w:r>
            <w:r w:rsidRPr="000129A0">
              <w:rPr>
                <w:rStyle w:val="FootnoteReference"/>
                <w:rFonts w:cstheme="minorHAnsi"/>
                <w:sz w:val="20"/>
                <w:szCs w:val="20"/>
              </w:rPr>
              <w:footnoteReference w:id="161"/>
            </w:r>
            <w:r w:rsidRPr="000129A0">
              <w:rPr>
                <w:rFonts w:cstheme="minorHAnsi"/>
                <w:sz w:val="20"/>
                <w:szCs w:val="20"/>
              </w:rPr>
              <w:t xml:space="preserve"> </w:t>
            </w:r>
          </w:p>
          <w:p w14:paraId="7F6D9749" w14:textId="77777777" w:rsidR="00AB628C" w:rsidRPr="000129A0" w:rsidRDefault="00AB628C" w:rsidP="00010E0F">
            <w:pPr>
              <w:rPr>
                <w:rFonts w:cstheme="minorHAnsi"/>
                <w:sz w:val="20"/>
                <w:szCs w:val="20"/>
              </w:rPr>
            </w:pPr>
            <w:r w:rsidRPr="000129A0">
              <w:rPr>
                <w:rFonts w:cstheme="minorHAnsi"/>
                <w:sz w:val="20"/>
                <w:szCs w:val="20"/>
              </w:rPr>
              <w:t>(</w:t>
            </w:r>
            <w:r w:rsidRPr="000129A0">
              <w:rPr>
                <w:rFonts w:cstheme="minorHAnsi"/>
                <w:i/>
                <w:sz w:val="20"/>
                <w:szCs w:val="20"/>
              </w:rPr>
              <w:t>pending funding</w:t>
            </w:r>
            <w:r w:rsidRPr="000129A0">
              <w:rPr>
                <w:rFonts w:cstheme="minorHAnsi"/>
                <w:sz w:val="20"/>
                <w:szCs w:val="20"/>
              </w:rPr>
              <w:t>)</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2A51D264" w14:textId="77777777" w:rsidR="00AB628C" w:rsidRPr="00DD0CEB" w:rsidRDefault="00AB628C" w:rsidP="00010E0F">
            <w:pPr>
              <w:rPr>
                <w:rFonts w:cstheme="minorHAnsi"/>
                <w:color w:val="0F243E" w:themeColor="text2" w:themeShade="80"/>
                <w:sz w:val="20"/>
                <w:szCs w:val="20"/>
              </w:rPr>
            </w:pPr>
          </w:p>
        </w:tc>
      </w:tr>
      <w:tr w:rsidR="00AB628C" w:rsidRPr="00DD0CEB" w14:paraId="50AA0B0F"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65F6E665" w14:textId="77777777" w:rsidR="00AB628C" w:rsidRPr="00DD0CEB" w:rsidRDefault="00AB628C" w:rsidP="00010E0F">
            <w:pPr>
              <w:rPr>
                <w:rFonts w:cstheme="minorHAnsi"/>
                <w:b/>
                <w:sz w:val="20"/>
                <w:szCs w:val="20"/>
              </w:rPr>
            </w:pPr>
          </w:p>
        </w:tc>
        <w:tc>
          <w:tcPr>
            <w:tcW w:w="638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BF1A042" w14:textId="5F87655F" w:rsidR="00AB628C" w:rsidRPr="00DD0CEB" w:rsidRDefault="00AB628C" w:rsidP="00010E0F">
            <w:pPr>
              <w:rPr>
                <w:rFonts w:cstheme="minorHAnsi"/>
                <w:bCs/>
                <w:sz w:val="20"/>
                <w:szCs w:val="20"/>
              </w:rPr>
            </w:pPr>
            <w:r w:rsidRPr="00DD0CEB">
              <w:rPr>
                <w:rFonts w:cstheme="minorHAnsi"/>
                <w:b/>
                <w:sz w:val="20"/>
                <w:szCs w:val="20"/>
              </w:rPr>
              <w:t>4.</w:t>
            </w:r>
            <w:r w:rsidR="00EE1CD1">
              <w:rPr>
                <w:rFonts w:cstheme="minorHAnsi"/>
                <w:b/>
                <w:sz w:val="20"/>
                <w:szCs w:val="20"/>
              </w:rPr>
              <w:t>c</w:t>
            </w:r>
            <w:r w:rsidRPr="00DD0CEB">
              <w:rPr>
                <w:rFonts w:cstheme="minorHAnsi"/>
                <w:sz w:val="20"/>
                <w:szCs w:val="20"/>
              </w:rPr>
              <w:t xml:space="preserve"> </w:t>
            </w:r>
            <w:r w:rsidR="001F355A">
              <w:rPr>
                <w:rFonts w:cstheme="minorHAnsi"/>
                <w:b/>
                <w:bCs/>
                <w:sz w:val="20"/>
                <w:szCs w:val="20"/>
              </w:rPr>
              <w:t>SDG indicator 6.1.1, 6.2.1</w:t>
            </w:r>
          </w:p>
          <w:p w14:paraId="0F9DEF94" w14:textId="77777777" w:rsidR="00AB628C" w:rsidRPr="00DD0CEB" w:rsidRDefault="00AB628C" w:rsidP="00010E0F">
            <w:pPr>
              <w:rPr>
                <w:rFonts w:cstheme="minorHAnsi"/>
                <w:sz w:val="20"/>
                <w:szCs w:val="20"/>
              </w:rPr>
            </w:pPr>
            <w:r w:rsidRPr="00DD0CEB">
              <w:rPr>
                <w:rFonts w:cstheme="minorHAnsi"/>
                <w:sz w:val="20"/>
                <w:szCs w:val="20"/>
              </w:rPr>
              <w:t>% Population living in households with access to basic services</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38FCADF3" w14:textId="77777777" w:rsidR="00AB628C" w:rsidRPr="00DD0CEB" w:rsidRDefault="00AB628C" w:rsidP="00010E0F">
            <w:pPr>
              <w:rPr>
                <w:rFonts w:cstheme="minorHAnsi"/>
                <w:color w:val="0F243E" w:themeColor="text2" w:themeShade="80"/>
                <w:sz w:val="20"/>
                <w:szCs w:val="20"/>
              </w:rPr>
            </w:pPr>
          </w:p>
        </w:tc>
      </w:tr>
      <w:tr w:rsidR="00AB628C" w:rsidRPr="00DD0CEB" w14:paraId="4E94D9D8"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267718BD"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1FCDFC7" w14:textId="77777777" w:rsidR="00AB628C" w:rsidRPr="00DD0CEB" w:rsidRDefault="00AB628C" w:rsidP="00010E0F">
            <w:pPr>
              <w:rPr>
                <w:rFonts w:cstheme="minorHAnsi"/>
                <w:sz w:val="20"/>
                <w:szCs w:val="20"/>
              </w:rPr>
            </w:pPr>
            <w:r w:rsidRPr="00DD0CEB">
              <w:rPr>
                <w:rFonts w:cstheme="minorHAnsi"/>
                <w:sz w:val="20"/>
                <w:szCs w:val="20"/>
                <w:u w:val="single"/>
              </w:rPr>
              <w:t>Baseline (2019)</w:t>
            </w:r>
            <w:r w:rsidRPr="00DD0CEB">
              <w:rPr>
                <w:rFonts w:cstheme="minorHAnsi"/>
                <w:sz w:val="20"/>
                <w:szCs w:val="20"/>
              </w:rPr>
              <w:t>:</w:t>
            </w:r>
          </w:p>
          <w:p w14:paraId="1D21BC52" w14:textId="77777777" w:rsidR="00AB628C" w:rsidRPr="00DD0CEB" w:rsidRDefault="00AB628C" w:rsidP="00010E0F">
            <w:pPr>
              <w:rPr>
                <w:rFonts w:cstheme="minorHAnsi"/>
                <w:sz w:val="20"/>
                <w:szCs w:val="20"/>
              </w:rPr>
            </w:pPr>
            <w:r w:rsidRPr="00DD0CEB">
              <w:rPr>
                <w:rFonts w:cstheme="minorHAnsi"/>
                <w:sz w:val="20"/>
                <w:szCs w:val="20"/>
              </w:rPr>
              <w:t xml:space="preserve">Water: 75% </w:t>
            </w:r>
          </w:p>
          <w:p w14:paraId="32426643" w14:textId="77777777" w:rsidR="00AB628C" w:rsidRPr="00DD0CEB" w:rsidRDefault="00AB628C" w:rsidP="00010E0F">
            <w:pPr>
              <w:pStyle w:val="CommentText"/>
              <w:rPr>
                <w:rFonts w:cstheme="minorHAnsi"/>
                <w:b/>
                <w:bCs/>
              </w:rPr>
            </w:pPr>
            <w:r w:rsidRPr="00DD0CEB">
              <w:rPr>
                <w:rFonts w:cstheme="minorHAnsi"/>
              </w:rPr>
              <w:t>Sanitation</w:t>
            </w:r>
            <w:r w:rsidRPr="00DD0CEB">
              <w:rPr>
                <w:rStyle w:val="FootnoteReference"/>
                <w:rFonts w:cstheme="minorHAnsi"/>
              </w:rPr>
              <w:footnoteReference w:id="162"/>
            </w:r>
            <w:r w:rsidRPr="00DD0CEB">
              <w:rPr>
                <w:rFonts w:cstheme="minorHAnsi"/>
              </w:rPr>
              <w:t>: 41%</w:t>
            </w:r>
          </w:p>
          <w:p w14:paraId="3859F554" w14:textId="77777777" w:rsidR="00AB628C" w:rsidRPr="00DD0CEB" w:rsidRDefault="00AB628C"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E255AF3" w14:textId="77777777" w:rsidR="00AB628C" w:rsidRPr="00DD0CEB" w:rsidRDefault="00AB628C" w:rsidP="00010E0F">
            <w:pPr>
              <w:rPr>
                <w:rFonts w:cstheme="minorHAnsi"/>
                <w:sz w:val="20"/>
                <w:szCs w:val="20"/>
              </w:rPr>
            </w:pPr>
            <w:r w:rsidRPr="00DD0CEB">
              <w:rPr>
                <w:rFonts w:cstheme="minorHAnsi"/>
                <w:sz w:val="20"/>
                <w:szCs w:val="20"/>
                <w:u w:val="single"/>
              </w:rPr>
              <w:t>Target (2025)</w:t>
            </w:r>
            <w:r w:rsidRPr="00DD0CEB">
              <w:rPr>
                <w:rFonts w:cstheme="minorHAnsi"/>
                <w:sz w:val="20"/>
                <w:szCs w:val="20"/>
              </w:rPr>
              <w:t>:</w:t>
            </w:r>
          </w:p>
          <w:p w14:paraId="2A1F0867" w14:textId="77777777" w:rsidR="00AB628C" w:rsidRPr="00DD0CEB" w:rsidRDefault="00AB628C" w:rsidP="00010E0F">
            <w:pPr>
              <w:rPr>
                <w:rFonts w:cstheme="minorHAnsi"/>
                <w:sz w:val="20"/>
                <w:szCs w:val="20"/>
              </w:rPr>
            </w:pPr>
            <w:r w:rsidRPr="00DD0CEB">
              <w:rPr>
                <w:rFonts w:cstheme="minorHAnsi"/>
                <w:sz w:val="20"/>
                <w:szCs w:val="20"/>
              </w:rPr>
              <w:t>Water: 85%</w:t>
            </w:r>
          </w:p>
          <w:p w14:paraId="03920F18" w14:textId="77777777" w:rsidR="00AB628C" w:rsidRPr="00DD0CEB" w:rsidRDefault="00AB628C" w:rsidP="00010E0F">
            <w:pPr>
              <w:rPr>
                <w:rFonts w:cstheme="minorHAnsi"/>
                <w:sz w:val="20"/>
                <w:szCs w:val="20"/>
              </w:rPr>
            </w:pPr>
            <w:r w:rsidRPr="00DD0CEB">
              <w:rPr>
                <w:rFonts w:cstheme="minorHAnsi"/>
                <w:sz w:val="20"/>
                <w:szCs w:val="20"/>
              </w:rPr>
              <w:t>Sanitation: 50%</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559BDA0" w14:textId="77777777" w:rsidR="00AB628C" w:rsidRPr="00DD0CEB" w:rsidRDefault="00AB628C" w:rsidP="00010E0F">
            <w:pPr>
              <w:rPr>
                <w:rFonts w:cstheme="minorHAnsi"/>
                <w:sz w:val="20"/>
                <w:szCs w:val="20"/>
              </w:rPr>
            </w:pPr>
            <w:r w:rsidRPr="00DD0CEB">
              <w:rPr>
                <w:rFonts w:cstheme="minorHAnsi"/>
                <w:sz w:val="20"/>
                <w:szCs w:val="20"/>
                <w:u w:val="single"/>
              </w:rPr>
              <w:t>Source</w:t>
            </w:r>
            <w:r w:rsidRPr="00DD0CEB">
              <w:rPr>
                <w:rFonts w:cstheme="minorHAnsi"/>
                <w:sz w:val="20"/>
                <w:szCs w:val="20"/>
              </w:rPr>
              <w:t>:</w:t>
            </w:r>
          </w:p>
          <w:p w14:paraId="2ECC558E" w14:textId="77777777" w:rsidR="00AB628C" w:rsidRPr="00D45ACC" w:rsidRDefault="00AB628C" w:rsidP="00010E0F">
            <w:pPr>
              <w:rPr>
                <w:rFonts w:cstheme="minorHAnsi"/>
                <w:sz w:val="20"/>
                <w:szCs w:val="20"/>
              </w:rPr>
            </w:pPr>
            <w:r w:rsidRPr="00D45ACC">
              <w:rPr>
                <w:rFonts w:cstheme="minorHAnsi"/>
                <w:sz w:val="20"/>
                <w:szCs w:val="20"/>
              </w:rPr>
              <w:t xml:space="preserve">Draft SDG Framework in BiH; </w:t>
            </w:r>
          </w:p>
          <w:p w14:paraId="6FFAE56D" w14:textId="77777777" w:rsidR="00AB628C" w:rsidRPr="00DD0CEB" w:rsidRDefault="00AB628C" w:rsidP="00010E0F">
            <w:pPr>
              <w:rPr>
                <w:rFonts w:cstheme="minorHAnsi"/>
                <w:sz w:val="20"/>
                <w:szCs w:val="20"/>
              </w:rPr>
            </w:pPr>
            <w:r w:rsidRPr="00D45ACC">
              <w:rPr>
                <w:rFonts w:cstheme="minorHAnsi"/>
                <w:sz w:val="20"/>
                <w:szCs w:val="20"/>
              </w:rPr>
              <w:t>World Bank; Programme Reports.</w:t>
            </w:r>
            <w:r w:rsidRPr="00DD0CEB">
              <w:rPr>
                <w:rFonts w:cstheme="minorHAnsi"/>
                <w:sz w:val="20"/>
                <w:szCs w:val="20"/>
              </w:rPr>
              <w:t xml:space="preserve"> </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07407353" w14:textId="77777777" w:rsidR="00AB628C" w:rsidRPr="00DD0CEB" w:rsidRDefault="00AB628C" w:rsidP="00010E0F">
            <w:pPr>
              <w:rPr>
                <w:rFonts w:cstheme="minorHAnsi"/>
                <w:color w:val="0F243E" w:themeColor="text2" w:themeShade="80"/>
                <w:sz w:val="20"/>
                <w:szCs w:val="20"/>
              </w:rPr>
            </w:pPr>
          </w:p>
        </w:tc>
      </w:tr>
      <w:tr w:rsidR="00AB628C" w:rsidRPr="00DD0CEB" w14:paraId="7A7ADD02"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3F761121" w14:textId="77777777" w:rsidR="00AB628C" w:rsidRPr="00DD0CEB" w:rsidRDefault="00AB628C" w:rsidP="00010E0F">
            <w:pPr>
              <w:rPr>
                <w:rFonts w:cstheme="minorHAnsi"/>
                <w:b/>
                <w:sz w:val="20"/>
                <w:szCs w:val="20"/>
              </w:rPr>
            </w:pPr>
          </w:p>
        </w:tc>
        <w:tc>
          <w:tcPr>
            <w:tcW w:w="63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2F7BFAC7" w14:textId="50028098" w:rsidR="00AB628C" w:rsidRPr="00DD0CEB" w:rsidRDefault="00AB628C" w:rsidP="00010E0F">
            <w:pPr>
              <w:rPr>
                <w:rFonts w:cstheme="minorHAnsi"/>
                <w:bCs/>
                <w:sz w:val="20"/>
                <w:szCs w:val="20"/>
              </w:rPr>
            </w:pPr>
            <w:r w:rsidRPr="00DD0CEB">
              <w:rPr>
                <w:rFonts w:cstheme="minorHAnsi"/>
                <w:b/>
                <w:bCs/>
                <w:sz w:val="20"/>
                <w:szCs w:val="20"/>
              </w:rPr>
              <w:t>4.</w:t>
            </w:r>
            <w:r w:rsidR="00EE1CD1">
              <w:rPr>
                <w:rFonts w:cstheme="minorHAnsi"/>
                <w:b/>
                <w:bCs/>
                <w:sz w:val="20"/>
                <w:szCs w:val="20"/>
              </w:rPr>
              <w:t>d</w:t>
            </w:r>
            <w:r w:rsidRPr="00DD0CEB">
              <w:rPr>
                <w:rFonts w:cstheme="minorHAnsi"/>
                <w:b/>
                <w:bCs/>
                <w:sz w:val="20"/>
                <w:szCs w:val="20"/>
              </w:rPr>
              <w:t xml:space="preserve"> SDG indicator 16.6.2 </w:t>
            </w:r>
          </w:p>
          <w:p w14:paraId="42506B53" w14:textId="77777777" w:rsidR="00AB628C" w:rsidRPr="00DD0CEB" w:rsidRDefault="00AB628C" w:rsidP="00010E0F">
            <w:pPr>
              <w:rPr>
                <w:rFonts w:cstheme="minorHAnsi"/>
                <w:sz w:val="20"/>
                <w:szCs w:val="20"/>
              </w:rPr>
            </w:pPr>
            <w:r w:rsidRPr="00DD0CEB">
              <w:rPr>
                <w:rFonts w:cstheme="minorHAnsi"/>
                <w:sz w:val="20"/>
                <w:szCs w:val="20"/>
              </w:rPr>
              <w:t>% Population satisfied with the last experience of use of public services</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2232307D" w14:textId="77777777" w:rsidR="00AB628C" w:rsidRPr="00DD0CEB"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DD0CEB" w14:paraId="040DA68F"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567D9F5E"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C57CCEA" w14:textId="77777777" w:rsidR="00AB628C" w:rsidRPr="00DD0CEB" w:rsidRDefault="00AB628C" w:rsidP="00010E0F">
            <w:pPr>
              <w:rPr>
                <w:rFonts w:cstheme="minorHAnsi"/>
                <w:sz w:val="20"/>
                <w:szCs w:val="20"/>
              </w:rPr>
            </w:pPr>
            <w:r w:rsidRPr="00DD0CEB">
              <w:rPr>
                <w:rFonts w:cstheme="minorHAnsi"/>
                <w:sz w:val="20"/>
                <w:szCs w:val="20"/>
                <w:u w:val="single"/>
              </w:rPr>
              <w:t>Baseline (2014)</w:t>
            </w:r>
            <w:r w:rsidRPr="00DD0CEB">
              <w:rPr>
                <w:rFonts w:cstheme="minorHAnsi"/>
                <w:sz w:val="20"/>
                <w:szCs w:val="20"/>
              </w:rPr>
              <w:t>:</w:t>
            </w:r>
          </w:p>
          <w:p w14:paraId="3F5CF8D6" w14:textId="77777777" w:rsidR="00AB628C" w:rsidRPr="00DD0CEB" w:rsidRDefault="00AB628C" w:rsidP="00010E0F">
            <w:pPr>
              <w:rPr>
                <w:rFonts w:cstheme="minorHAnsi"/>
                <w:sz w:val="20"/>
                <w:szCs w:val="20"/>
              </w:rPr>
            </w:pPr>
            <w:r w:rsidRPr="00DD0CEB">
              <w:rPr>
                <w:rFonts w:cstheme="minorHAnsi"/>
                <w:sz w:val="20"/>
                <w:szCs w:val="20"/>
              </w:rPr>
              <w:t xml:space="preserve">38% </w:t>
            </w: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CC2FCAF" w14:textId="77777777" w:rsidR="00AB628C" w:rsidRPr="00DD0CEB" w:rsidRDefault="00AB628C" w:rsidP="00010E0F">
            <w:pPr>
              <w:rPr>
                <w:rFonts w:cstheme="minorHAnsi"/>
                <w:sz w:val="20"/>
                <w:szCs w:val="20"/>
              </w:rPr>
            </w:pPr>
            <w:r w:rsidRPr="00DD0CEB">
              <w:rPr>
                <w:rFonts w:cstheme="minorHAnsi"/>
                <w:sz w:val="20"/>
                <w:szCs w:val="20"/>
                <w:u w:val="single"/>
              </w:rPr>
              <w:t>Target (2025)</w:t>
            </w:r>
            <w:r w:rsidRPr="00DD0CEB">
              <w:rPr>
                <w:rFonts w:cstheme="minorHAnsi"/>
                <w:sz w:val="20"/>
                <w:szCs w:val="20"/>
              </w:rPr>
              <w:t>:</w:t>
            </w:r>
          </w:p>
          <w:p w14:paraId="0F64C8B4" w14:textId="77777777" w:rsidR="00AB628C" w:rsidRPr="00DD0CEB" w:rsidRDefault="00AB628C" w:rsidP="00010E0F">
            <w:pPr>
              <w:rPr>
                <w:rFonts w:cstheme="minorHAnsi"/>
                <w:sz w:val="20"/>
                <w:szCs w:val="20"/>
              </w:rPr>
            </w:pPr>
            <w:r w:rsidRPr="00DD0CEB">
              <w:rPr>
                <w:rFonts w:cstheme="minorHAnsi"/>
                <w:sz w:val="20"/>
                <w:szCs w:val="20"/>
              </w:rPr>
              <w:t>45%</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8744FEC" w14:textId="77777777" w:rsidR="00AB628C" w:rsidRPr="00DD0CEB" w:rsidRDefault="00AB628C" w:rsidP="00010E0F">
            <w:pPr>
              <w:rPr>
                <w:rFonts w:cstheme="minorHAnsi"/>
                <w:sz w:val="20"/>
                <w:szCs w:val="20"/>
              </w:rPr>
            </w:pPr>
            <w:r w:rsidRPr="00DD0CEB">
              <w:rPr>
                <w:rFonts w:cstheme="minorHAnsi"/>
                <w:sz w:val="20"/>
                <w:szCs w:val="20"/>
                <w:u w:val="single"/>
              </w:rPr>
              <w:t>Source</w:t>
            </w:r>
            <w:r w:rsidRPr="00DD0CEB">
              <w:rPr>
                <w:rFonts w:cstheme="minorHAnsi"/>
                <w:sz w:val="20"/>
                <w:szCs w:val="20"/>
              </w:rPr>
              <w:t>:</w:t>
            </w:r>
          </w:p>
          <w:p w14:paraId="112AE2DC" w14:textId="77777777" w:rsidR="00AB628C" w:rsidRPr="00DD0CEB" w:rsidRDefault="00AB628C" w:rsidP="00010E0F">
            <w:pPr>
              <w:rPr>
                <w:rFonts w:cstheme="minorHAnsi"/>
                <w:i/>
                <w:sz w:val="16"/>
                <w:szCs w:val="16"/>
              </w:rPr>
            </w:pPr>
            <w:r w:rsidRPr="00D45ACC">
              <w:rPr>
                <w:rFonts w:cstheme="minorHAnsi"/>
                <w:sz w:val="20"/>
                <w:szCs w:val="20"/>
              </w:rPr>
              <w:t>Draft SDG Framework in BiH document (</w:t>
            </w:r>
            <w:r w:rsidRPr="00D45ACC">
              <w:rPr>
                <w:rFonts w:cstheme="minorHAnsi"/>
                <w:i/>
                <w:sz w:val="20"/>
                <w:szCs w:val="20"/>
              </w:rPr>
              <w:t>data from Transparency International</w:t>
            </w:r>
            <w:r w:rsidRPr="00D45ACC">
              <w:rPr>
                <w:rFonts w:cstheme="minorHAnsi"/>
                <w:sz w:val="20"/>
                <w:szCs w:val="20"/>
              </w:rPr>
              <w:t>)</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354DC865" w14:textId="77777777" w:rsidR="00AB628C" w:rsidRPr="00DD0CEB" w:rsidRDefault="00AB628C" w:rsidP="00010E0F">
            <w:pPr>
              <w:rPr>
                <w:rFonts w:cstheme="minorHAnsi"/>
                <w:color w:val="0F243E" w:themeColor="text2" w:themeShade="80"/>
                <w:sz w:val="20"/>
                <w:szCs w:val="20"/>
              </w:rPr>
            </w:pPr>
          </w:p>
        </w:tc>
      </w:tr>
      <w:tr w:rsidR="00AB628C" w:rsidRPr="00DD0CEB" w14:paraId="5B7BE17C"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1ABB6397" w14:textId="77777777" w:rsidR="00AB628C" w:rsidRPr="00DD0CEB" w:rsidRDefault="00AB628C" w:rsidP="00010E0F">
            <w:pPr>
              <w:rPr>
                <w:rFonts w:cstheme="minorHAnsi"/>
                <w:b/>
                <w:sz w:val="20"/>
                <w:szCs w:val="20"/>
              </w:rPr>
            </w:pPr>
          </w:p>
        </w:tc>
        <w:tc>
          <w:tcPr>
            <w:tcW w:w="63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21E84EB5" w14:textId="240206BA" w:rsidR="00AB628C" w:rsidRPr="00924C5D" w:rsidRDefault="00AB628C" w:rsidP="00010E0F">
            <w:pPr>
              <w:rPr>
                <w:rFonts w:cstheme="minorHAnsi"/>
                <w:b/>
                <w:bCs/>
                <w:sz w:val="20"/>
                <w:szCs w:val="20"/>
              </w:rPr>
            </w:pPr>
            <w:r w:rsidRPr="00924C5D">
              <w:rPr>
                <w:rFonts w:cstheme="minorHAnsi"/>
                <w:b/>
                <w:bCs/>
                <w:sz w:val="20"/>
                <w:szCs w:val="20"/>
              </w:rPr>
              <w:t>4.</w:t>
            </w:r>
            <w:r w:rsidR="00EE1CD1">
              <w:rPr>
                <w:rFonts w:cstheme="minorHAnsi"/>
                <w:b/>
                <w:bCs/>
                <w:sz w:val="20"/>
                <w:szCs w:val="20"/>
              </w:rPr>
              <w:t>e</w:t>
            </w:r>
            <w:r w:rsidRPr="00924C5D">
              <w:rPr>
                <w:rFonts w:cstheme="minorHAnsi"/>
                <w:b/>
                <w:bCs/>
                <w:sz w:val="20"/>
                <w:szCs w:val="20"/>
              </w:rPr>
              <w:t xml:space="preserve"> Violence prevention and response</w:t>
            </w:r>
          </w:p>
          <w:p w14:paraId="682027BB" w14:textId="77777777" w:rsidR="00AB628C" w:rsidRPr="00924C5D" w:rsidRDefault="00AB628C" w:rsidP="00010E0F">
            <w:pPr>
              <w:rPr>
                <w:rFonts w:cstheme="minorHAnsi"/>
                <w:sz w:val="20"/>
                <w:szCs w:val="20"/>
              </w:rPr>
            </w:pPr>
            <w:r w:rsidRPr="00924C5D">
              <w:rPr>
                <w:rFonts w:cstheme="minorHAnsi"/>
                <w:sz w:val="20"/>
                <w:szCs w:val="20"/>
                <w:u w:val="single"/>
                <w:lang w:val="ru-RU"/>
              </w:rPr>
              <w:t>Extent of implementation of</w:t>
            </w:r>
            <w:r w:rsidRPr="00924C5D">
              <w:rPr>
                <w:rFonts w:cstheme="minorHAnsi"/>
                <w:sz w:val="20"/>
                <w:szCs w:val="20"/>
                <w:lang w:val="ru-RU"/>
              </w:rPr>
              <w:t xml:space="preserve"> </w:t>
            </w:r>
            <w:r w:rsidRPr="00924C5D">
              <w:rPr>
                <w:rFonts w:cstheme="minorHAnsi"/>
                <w:sz w:val="20"/>
                <w:szCs w:val="20"/>
              </w:rPr>
              <w:t xml:space="preserve">BiH authorities’ </w:t>
            </w:r>
            <w:r w:rsidRPr="00924C5D">
              <w:rPr>
                <w:rFonts w:cstheme="minorHAnsi"/>
                <w:sz w:val="20"/>
                <w:szCs w:val="20"/>
                <w:lang w:val="ru-RU"/>
              </w:rPr>
              <w:t>strategies</w:t>
            </w:r>
            <w:r w:rsidRPr="00924C5D">
              <w:rPr>
                <w:rFonts w:cstheme="minorHAnsi"/>
                <w:sz w:val="20"/>
                <w:szCs w:val="20"/>
                <w:lang w:val="bs-Latn-BA"/>
              </w:rPr>
              <w:t xml:space="preserve"> and protocols</w:t>
            </w:r>
            <w:r w:rsidRPr="00924C5D">
              <w:rPr>
                <w:rStyle w:val="FootnoteReference"/>
                <w:rFonts w:cstheme="minorHAnsi"/>
                <w:sz w:val="20"/>
                <w:szCs w:val="20"/>
                <w:lang w:val="ru-RU"/>
              </w:rPr>
              <w:footnoteReference w:id="163"/>
            </w:r>
            <w:r w:rsidRPr="00924C5D">
              <w:rPr>
                <w:rFonts w:cstheme="minorHAnsi"/>
                <w:sz w:val="20"/>
                <w:szCs w:val="20"/>
              </w:rPr>
              <w:t xml:space="preserve">  </w:t>
            </w:r>
            <w:r w:rsidRPr="00924C5D">
              <w:rPr>
                <w:rFonts w:cstheme="minorHAnsi"/>
                <w:sz w:val="20"/>
                <w:szCs w:val="20"/>
                <w:lang w:val="ru-RU"/>
              </w:rPr>
              <w:t>to prevent</w:t>
            </w:r>
            <w:r w:rsidRPr="00924C5D">
              <w:rPr>
                <w:rFonts w:cstheme="minorHAnsi"/>
                <w:sz w:val="20"/>
                <w:szCs w:val="20"/>
                <w:lang w:val="en-US"/>
              </w:rPr>
              <w:t xml:space="preserve"> and </w:t>
            </w:r>
            <w:r w:rsidRPr="00924C5D">
              <w:rPr>
                <w:rFonts w:cstheme="minorHAnsi"/>
                <w:sz w:val="20"/>
                <w:szCs w:val="20"/>
                <w:lang w:val="ru-RU"/>
              </w:rPr>
              <w:t xml:space="preserve">respond to </w:t>
            </w:r>
            <w:r w:rsidRPr="00924C5D">
              <w:rPr>
                <w:rFonts w:cstheme="minorHAnsi"/>
                <w:sz w:val="20"/>
                <w:szCs w:val="20"/>
              </w:rPr>
              <w:t>violence*</w:t>
            </w:r>
          </w:p>
          <w:p w14:paraId="34A110B1" w14:textId="304C152E" w:rsidR="00AB628C" w:rsidRPr="00DD0CEB" w:rsidRDefault="00AB628C" w:rsidP="00010E0F">
            <w:pPr>
              <w:rPr>
                <w:rFonts w:cstheme="minorHAnsi"/>
                <w:sz w:val="20"/>
                <w:szCs w:val="20"/>
                <w:highlight w:val="yellow"/>
                <w:lang w:val="ru-RU"/>
              </w:rPr>
            </w:pPr>
            <w:r w:rsidRPr="00924C5D">
              <w:rPr>
                <w:rFonts w:cstheme="minorHAnsi"/>
                <w:sz w:val="20"/>
                <w:szCs w:val="20"/>
              </w:rPr>
              <w:t>*</w:t>
            </w:r>
            <w:r w:rsidRPr="00924C5D">
              <w:rPr>
                <w:rFonts w:cstheme="minorHAnsi"/>
                <w:i/>
                <w:sz w:val="20"/>
                <w:szCs w:val="20"/>
              </w:rPr>
              <w:t>gender-based violence and domestic violence (G</w:t>
            </w:r>
            <w:r w:rsidRPr="00924C5D">
              <w:rPr>
                <w:rFonts w:cstheme="minorHAnsi"/>
                <w:i/>
                <w:sz w:val="20"/>
                <w:szCs w:val="20"/>
                <w:lang w:val="ru-RU"/>
              </w:rPr>
              <w:t>BV</w:t>
            </w:r>
            <w:r w:rsidRPr="00924C5D">
              <w:rPr>
                <w:rFonts w:cstheme="minorHAnsi"/>
                <w:i/>
                <w:sz w:val="20"/>
                <w:szCs w:val="20"/>
              </w:rPr>
              <w:t>/DV</w:t>
            </w:r>
            <w:r w:rsidR="00CE4E8B" w:rsidRPr="00924C5D">
              <w:rPr>
                <w:rFonts w:cstheme="minorHAnsi"/>
                <w:i/>
                <w:sz w:val="20"/>
                <w:szCs w:val="20"/>
              </w:rPr>
              <w:t>)</w:t>
            </w:r>
            <w:r w:rsidR="00CE4E8B">
              <w:rPr>
                <w:rStyle w:val="FootnoteReference"/>
                <w:rFonts w:cstheme="minorHAnsi"/>
                <w:i/>
                <w:sz w:val="20"/>
                <w:szCs w:val="20"/>
              </w:rPr>
              <w:footnoteReference w:id="164"/>
            </w:r>
            <w:r w:rsidRPr="00924C5D">
              <w:rPr>
                <w:rFonts w:cstheme="minorHAnsi"/>
                <w:i/>
                <w:sz w:val="20"/>
                <w:szCs w:val="20"/>
              </w:rPr>
              <w:t>; violence against children (VAC)</w:t>
            </w:r>
            <w:r w:rsidR="00CE4E8B">
              <w:rPr>
                <w:rStyle w:val="FootnoteReference"/>
                <w:rFonts w:cstheme="minorHAnsi"/>
                <w:i/>
                <w:sz w:val="20"/>
                <w:szCs w:val="20"/>
              </w:rPr>
              <w:footnoteReference w:id="165"/>
            </w:r>
            <w:r w:rsidRPr="00924C5D">
              <w:rPr>
                <w:rFonts w:cstheme="minorHAnsi"/>
                <w:sz w:val="20"/>
                <w:szCs w:val="20"/>
                <w:lang w:val="ru-RU"/>
              </w:rPr>
              <w:t xml:space="preserve"> (</w:t>
            </w:r>
            <w:r w:rsidRPr="00924C5D">
              <w:rPr>
                <w:rFonts w:cstheme="minorHAnsi"/>
                <w:sz w:val="20"/>
                <w:szCs w:val="20"/>
                <w:lang w:val="en-GB"/>
              </w:rPr>
              <w:sym w:font="Wingdings" w:char="F0E0"/>
            </w:r>
            <w:r w:rsidRPr="00924C5D">
              <w:rPr>
                <w:rFonts w:cstheme="minorHAnsi"/>
                <w:sz w:val="20"/>
                <w:szCs w:val="20"/>
                <w:lang w:val="en-GB"/>
              </w:rPr>
              <w:t xml:space="preserve"> SDG 5.2.1, 5.2.2, 16.2.1, 3) </w:t>
            </w:r>
          </w:p>
          <w:p w14:paraId="220A3563" w14:textId="77777777" w:rsidR="00AB628C" w:rsidRPr="00E31716" w:rsidRDefault="00AB628C" w:rsidP="00010E0F">
            <w:pPr>
              <w:rPr>
                <w:rFonts w:cstheme="minorHAnsi"/>
                <w:sz w:val="16"/>
                <w:szCs w:val="16"/>
              </w:rPr>
            </w:pPr>
          </w:p>
        </w:tc>
        <w:tc>
          <w:tcPr>
            <w:tcW w:w="4098" w:type="dxa"/>
            <w:vMerge/>
            <w:tcBorders>
              <w:left w:val="single" w:sz="4" w:space="0" w:color="548DD4" w:themeColor="text2" w:themeTint="99"/>
              <w:bottom w:val="single" w:sz="4" w:space="0" w:color="548DD4" w:themeColor="text2" w:themeTint="99"/>
              <w:right w:val="single" w:sz="4" w:space="0" w:color="auto"/>
            </w:tcBorders>
          </w:tcPr>
          <w:p w14:paraId="7CAEDDB2" w14:textId="77777777" w:rsidR="00AB628C" w:rsidRPr="00DD0CEB" w:rsidRDefault="00AB628C" w:rsidP="00010E0F">
            <w:pPr>
              <w:pStyle w:val="ListParagraph"/>
              <w:numPr>
                <w:ilvl w:val="0"/>
                <w:numId w:val="0"/>
              </w:numPr>
              <w:spacing w:after="160" w:line="259" w:lineRule="auto"/>
              <w:ind w:left="203"/>
              <w:rPr>
                <w:rFonts w:cstheme="minorHAnsi"/>
                <w:color w:val="0F243E" w:themeColor="text2" w:themeShade="80"/>
                <w:sz w:val="20"/>
                <w:szCs w:val="20"/>
                <w:lang w:val="en-CA"/>
              </w:rPr>
            </w:pPr>
          </w:p>
        </w:tc>
      </w:tr>
      <w:tr w:rsidR="00AB628C" w:rsidRPr="00DD0CEB" w14:paraId="25451FF5"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3A863A93"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A81DBCA" w14:textId="77777777" w:rsidR="00AB628C" w:rsidRPr="00924C5D" w:rsidRDefault="00AB628C" w:rsidP="00010E0F">
            <w:pPr>
              <w:rPr>
                <w:rFonts w:cstheme="minorHAnsi"/>
                <w:sz w:val="20"/>
                <w:szCs w:val="20"/>
              </w:rPr>
            </w:pPr>
            <w:r w:rsidRPr="00924C5D">
              <w:rPr>
                <w:rFonts w:cstheme="minorHAnsi"/>
                <w:sz w:val="20"/>
                <w:szCs w:val="20"/>
                <w:u w:val="single"/>
              </w:rPr>
              <w:t>Baseline</w:t>
            </w:r>
            <w:r w:rsidRPr="00924C5D">
              <w:rPr>
                <w:rFonts w:cstheme="minorHAnsi"/>
                <w:sz w:val="20"/>
                <w:szCs w:val="20"/>
              </w:rPr>
              <w:t>: (2019)</w:t>
            </w:r>
          </w:p>
          <w:p w14:paraId="72D9ABAC" w14:textId="0B591106" w:rsidR="00AB628C" w:rsidRPr="00924C5D" w:rsidRDefault="00AB628C" w:rsidP="00010E0F">
            <w:pPr>
              <w:rPr>
                <w:rFonts w:cstheme="minorHAnsi"/>
                <w:sz w:val="20"/>
                <w:szCs w:val="20"/>
              </w:rPr>
            </w:pPr>
            <w:r w:rsidRPr="00924C5D">
              <w:rPr>
                <w:rFonts w:cstheme="minorHAnsi"/>
                <w:sz w:val="20"/>
                <w:szCs w:val="20"/>
              </w:rPr>
              <w:t xml:space="preserve">GBV/DV: </w:t>
            </w:r>
            <w:r w:rsidR="00CE4E8B">
              <w:rPr>
                <w:rFonts w:cstheme="minorHAnsi"/>
                <w:sz w:val="20"/>
                <w:szCs w:val="20"/>
              </w:rPr>
              <w:t>30</w:t>
            </w:r>
          </w:p>
          <w:p w14:paraId="2C8B5C59" w14:textId="7FD4BCB6" w:rsidR="00AB628C" w:rsidRPr="00924C5D" w:rsidRDefault="00AB628C" w:rsidP="00010E0F">
            <w:pPr>
              <w:rPr>
                <w:rFonts w:cstheme="minorHAnsi"/>
                <w:sz w:val="20"/>
                <w:szCs w:val="20"/>
              </w:rPr>
            </w:pPr>
            <w:r w:rsidRPr="00924C5D">
              <w:rPr>
                <w:rFonts w:cstheme="minorHAnsi"/>
                <w:sz w:val="20"/>
                <w:szCs w:val="20"/>
              </w:rPr>
              <w:t xml:space="preserve">VAC: </w:t>
            </w:r>
            <w:r w:rsidR="00CE4E8B">
              <w:rPr>
                <w:rFonts w:cstheme="minorHAnsi"/>
                <w:sz w:val="20"/>
                <w:szCs w:val="20"/>
              </w:rPr>
              <w:t>0</w:t>
            </w:r>
          </w:p>
          <w:p w14:paraId="796283D1" w14:textId="77777777" w:rsidR="00AB628C" w:rsidRPr="00924C5D" w:rsidRDefault="00AB628C"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367DFB0" w14:textId="77777777" w:rsidR="00AB628C" w:rsidRPr="00924C5D" w:rsidRDefault="00AB628C" w:rsidP="00010E0F">
            <w:pPr>
              <w:rPr>
                <w:rFonts w:cstheme="minorHAnsi"/>
                <w:sz w:val="20"/>
                <w:szCs w:val="20"/>
              </w:rPr>
            </w:pPr>
            <w:r w:rsidRPr="00924C5D">
              <w:rPr>
                <w:rFonts w:cstheme="minorHAnsi"/>
                <w:sz w:val="20"/>
                <w:szCs w:val="20"/>
                <w:u w:val="single"/>
              </w:rPr>
              <w:t>Target</w:t>
            </w:r>
            <w:r w:rsidRPr="00924C5D">
              <w:rPr>
                <w:rFonts w:cstheme="minorHAnsi"/>
                <w:sz w:val="20"/>
                <w:szCs w:val="20"/>
              </w:rPr>
              <w:t>: (2025)</w:t>
            </w:r>
          </w:p>
          <w:p w14:paraId="52FD3907" w14:textId="11D95F20" w:rsidR="00AB628C" w:rsidRPr="00924C5D" w:rsidRDefault="00AB628C" w:rsidP="00010E0F">
            <w:pPr>
              <w:rPr>
                <w:rFonts w:cstheme="minorHAnsi"/>
                <w:sz w:val="20"/>
                <w:szCs w:val="20"/>
              </w:rPr>
            </w:pPr>
            <w:r w:rsidRPr="00924C5D">
              <w:rPr>
                <w:rFonts w:cstheme="minorHAnsi"/>
                <w:sz w:val="20"/>
                <w:szCs w:val="20"/>
              </w:rPr>
              <w:t xml:space="preserve">GBV/DV: </w:t>
            </w:r>
            <w:r w:rsidR="00CE4E8B">
              <w:rPr>
                <w:rFonts w:cstheme="minorHAnsi"/>
                <w:sz w:val="20"/>
                <w:szCs w:val="20"/>
              </w:rPr>
              <w:t>100</w:t>
            </w:r>
          </w:p>
          <w:p w14:paraId="5781B66E" w14:textId="5D4999F5" w:rsidR="00AB628C" w:rsidRPr="00924C5D" w:rsidRDefault="00AB628C" w:rsidP="00010E0F">
            <w:pPr>
              <w:rPr>
                <w:rFonts w:cstheme="minorHAnsi"/>
                <w:sz w:val="20"/>
                <w:szCs w:val="20"/>
              </w:rPr>
            </w:pPr>
            <w:r w:rsidRPr="00924C5D">
              <w:rPr>
                <w:rFonts w:cstheme="minorHAnsi"/>
                <w:sz w:val="20"/>
                <w:szCs w:val="20"/>
              </w:rPr>
              <w:t xml:space="preserve">VAC: </w:t>
            </w:r>
            <w:r w:rsidR="00CE4E8B">
              <w:rPr>
                <w:rFonts w:cstheme="minorHAnsi"/>
                <w:sz w:val="20"/>
                <w:szCs w:val="20"/>
              </w:rPr>
              <w:t>100</w:t>
            </w:r>
          </w:p>
          <w:p w14:paraId="26408197" w14:textId="77777777" w:rsidR="00AB628C" w:rsidRPr="00924C5D" w:rsidRDefault="00AB628C" w:rsidP="00010E0F">
            <w:pPr>
              <w:rPr>
                <w:rFonts w:cstheme="minorHAnsi"/>
                <w:sz w:val="20"/>
                <w:szCs w:val="20"/>
              </w:rPr>
            </w:pP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3B8395A" w14:textId="77777777" w:rsidR="00AB628C" w:rsidRPr="003D3D83" w:rsidRDefault="00AB628C" w:rsidP="00010E0F">
            <w:pPr>
              <w:rPr>
                <w:rFonts w:cstheme="minorHAnsi"/>
                <w:sz w:val="20"/>
                <w:szCs w:val="20"/>
              </w:rPr>
            </w:pPr>
            <w:r w:rsidRPr="003D3D83">
              <w:rPr>
                <w:rFonts w:cstheme="minorHAnsi"/>
                <w:sz w:val="20"/>
                <w:szCs w:val="20"/>
                <w:u w:val="single"/>
              </w:rPr>
              <w:t>Source</w:t>
            </w:r>
            <w:r w:rsidRPr="003D3D83">
              <w:rPr>
                <w:rFonts w:cstheme="minorHAnsi"/>
                <w:sz w:val="20"/>
                <w:szCs w:val="20"/>
              </w:rPr>
              <w:t>:</w:t>
            </w:r>
          </w:p>
          <w:p w14:paraId="1D7CEDB7" w14:textId="10BB57C0" w:rsidR="00AB628C" w:rsidRPr="003D3D83" w:rsidRDefault="00AB628C" w:rsidP="00010E0F">
            <w:pPr>
              <w:rPr>
                <w:rFonts w:cstheme="minorHAnsi"/>
                <w:sz w:val="20"/>
                <w:szCs w:val="20"/>
              </w:rPr>
            </w:pPr>
            <w:r w:rsidRPr="003D3D83">
              <w:rPr>
                <w:rFonts w:cstheme="minorHAnsi"/>
                <w:sz w:val="20"/>
                <w:szCs w:val="20"/>
              </w:rPr>
              <w:t xml:space="preserve">Programme reports based on </w:t>
            </w:r>
            <w:r w:rsidR="009D38B2" w:rsidRPr="003D3D83">
              <w:rPr>
                <w:rFonts w:cstheme="minorHAnsi"/>
                <w:sz w:val="20"/>
                <w:szCs w:val="20"/>
              </w:rPr>
              <w:t xml:space="preserve">reports </w:t>
            </w:r>
            <w:r w:rsidR="003574AF" w:rsidRPr="003D3D83">
              <w:rPr>
                <w:rFonts w:cstheme="minorHAnsi"/>
                <w:sz w:val="20"/>
                <w:szCs w:val="20"/>
              </w:rPr>
              <w:t xml:space="preserve">by the relevant authorities in </w:t>
            </w:r>
            <w:r w:rsidRPr="003D3D83">
              <w:rPr>
                <w:rFonts w:cstheme="minorHAnsi"/>
                <w:sz w:val="20"/>
                <w:szCs w:val="20"/>
              </w:rPr>
              <w:t>BiH and CSO reports</w:t>
            </w:r>
          </w:p>
        </w:tc>
        <w:tc>
          <w:tcPr>
            <w:tcW w:w="4098" w:type="dxa"/>
            <w:vMerge/>
            <w:tcBorders>
              <w:left w:val="single" w:sz="4" w:space="0" w:color="548DD4" w:themeColor="text2" w:themeTint="99"/>
              <w:bottom w:val="nil"/>
              <w:right w:val="single" w:sz="4" w:space="0" w:color="auto"/>
            </w:tcBorders>
          </w:tcPr>
          <w:p w14:paraId="5CB84BE9" w14:textId="77777777" w:rsidR="00AB628C" w:rsidRPr="00DD0CEB" w:rsidRDefault="00AB628C" w:rsidP="00010E0F">
            <w:pPr>
              <w:rPr>
                <w:rFonts w:cstheme="minorHAnsi"/>
                <w:color w:val="0F243E" w:themeColor="text2" w:themeShade="80"/>
                <w:sz w:val="20"/>
                <w:szCs w:val="20"/>
              </w:rPr>
            </w:pPr>
          </w:p>
        </w:tc>
      </w:tr>
      <w:tr w:rsidR="00AB628C" w:rsidRPr="00DD0CEB" w14:paraId="349E5A0D"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67E7CC93" w14:textId="77777777" w:rsidR="00AB628C" w:rsidRPr="00DD0CEB" w:rsidRDefault="00AB628C" w:rsidP="00010E0F">
            <w:pPr>
              <w:rPr>
                <w:rFonts w:cstheme="minorHAnsi"/>
                <w:b/>
                <w:sz w:val="20"/>
                <w:szCs w:val="20"/>
              </w:rPr>
            </w:pPr>
          </w:p>
        </w:tc>
        <w:tc>
          <w:tcPr>
            <w:tcW w:w="63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42A003AF" w14:textId="5BAB5740" w:rsidR="00AB628C" w:rsidRPr="00DD0CEB" w:rsidRDefault="00AB628C" w:rsidP="00010E0F">
            <w:pPr>
              <w:rPr>
                <w:rFonts w:cstheme="minorHAnsi"/>
                <w:b/>
                <w:bCs/>
                <w:sz w:val="20"/>
                <w:szCs w:val="20"/>
              </w:rPr>
            </w:pPr>
            <w:r w:rsidRPr="00DD0CEB">
              <w:rPr>
                <w:rFonts w:cstheme="minorHAnsi"/>
                <w:b/>
                <w:bCs/>
                <w:sz w:val="20"/>
                <w:szCs w:val="20"/>
              </w:rPr>
              <w:t>4.</w:t>
            </w:r>
            <w:r w:rsidR="00EE1CD1">
              <w:rPr>
                <w:rFonts w:cstheme="minorHAnsi"/>
                <w:b/>
                <w:bCs/>
                <w:sz w:val="20"/>
                <w:szCs w:val="20"/>
              </w:rPr>
              <w:t>f</w:t>
            </w:r>
            <w:r w:rsidRPr="00DD0CEB">
              <w:rPr>
                <w:rFonts w:cstheme="minorHAnsi"/>
                <w:b/>
                <w:bCs/>
                <w:sz w:val="20"/>
                <w:szCs w:val="20"/>
              </w:rPr>
              <w:t xml:space="preserve"> SDG Indicator 5.5.1 / 5.5.2 </w:t>
            </w:r>
          </w:p>
          <w:p w14:paraId="0FBA3A14" w14:textId="77777777" w:rsidR="00AB628C" w:rsidRPr="00DD0CEB" w:rsidRDefault="00AB628C" w:rsidP="00010E0F">
            <w:pPr>
              <w:rPr>
                <w:rFonts w:cstheme="minorHAnsi"/>
                <w:sz w:val="20"/>
                <w:szCs w:val="20"/>
              </w:rPr>
            </w:pPr>
            <w:r w:rsidRPr="00DD0CEB">
              <w:rPr>
                <w:rFonts w:cstheme="minorHAnsi"/>
                <w:sz w:val="20"/>
                <w:szCs w:val="20"/>
              </w:rPr>
              <w:t xml:space="preserve">a) Share of seats held by women in country parliaments </w:t>
            </w:r>
          </w:p>
          <w:p w14:paraId="7652BB26" w14:textId="77777777" w:rsidR="00AB628C" w:rsidRPr="00DD0CEB" w:rsidRDefault="00AB628C" w:rsidP="00010E0F">
            <w:pPr>
              <w:rPr>
                <w:rFonts w:cstheme="minorHAnsi"/>
                <w:sz w:val="20"/>
                <w:szCs w:val="20"/>
              </w:rPr>
            </w:pPr>
            <w:r w:rsidRPr="00DD0CEB">
              <w:rPr>
                <w:rFonts w:cstheme="minorHAnsi"/>
                <w:sz w:val="20"/>
                <w:szCs w:val="20"/>
              </w:rPr>
              <w:t xml:space="preserve">b) Proportion of women in managerial positions </w:t>
            </w:r>
          </w:p>
        </w:tc>
        <w:tc>
          <w:tcPr>
            <w:tcW w:w="4098" w:type="dxa"/>
            <w:vMerge w:val="restart"/>
            <w:tcBorders>
              <w:top w:val="nil"/>
              <w:left w:val="single" w:sz="4" w:space="0" w:color="548DD4" w:themeColor="text2" w:themeTint="99"/>
              <w:bottom w:val="single" w:sz="4" w:space="0" w:color="548DD4" w:themeColor="text2" w:themeTint="99"/>
              <w:right w:val="single" w:sz="4" w:space="0" w:color="auto"/>
            </w:tcBorders>
          </w:tcPr>
          <w:p w14:paraId="5EE28F3F" w14:textId="77777777" w:rsidR="00AB628C" w:rsidRPr="00DD0CEB" w:rsidRDefault="00AB628C" w:rsidP="00010E0F">
            <w:pPr>
              <w:pStyle w:val="ListParagraph"/>
              <w:numPr>
                <w:ilvl w:val="0"/>
                <w:numId w:val="0"/>
              </w:numPr>
              <w:ind w:left="203"/>
              <w:rPr>
                <w:rFonts w:cstheme="minorHAnsi"/>
                <w:sz w:val="20"/>
                <w:szCs w:val="20"/>
                <w:lang w:val="en-CA"/>
              </w:rPr>
            </w:pPr>
          </w:p>
        </w:tc>
      </w:tr>
      <w:tr w:rsidR="00AB628C" w:rsidRPr="00DD0CEB" w14:paraId="70241002"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39F1695C"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D63B095" w14:textId="77777777" w:rsidR="00AB628C" w:rsidRPr="00DD0CEB" w:rsidRDefault="00AB628C" w:rsidP="00010E0F">
            <w:pPr>
              <w:rPr>
                <w:rFonts w:cstheme="minorHAnsi"/>
                <w:sz w:val="20"/>
                <w:szCs w:val="20"/>
              </w:rPr>
            </w:pPr>
            <w:r w:rsidRPr="00DD0CEB">
              <w:rPr>
                <w:rFonts w:cstheme="minorHAnsi"/>
                <w:sz w:val="20"/>
                <w:szCs w:val="20"/>
                <w:u w:val="single"/>
              </w:rPr>
              <w:t>Baseline (2018):</w:t>
            </w:r>
            <w:r w:rsidRPr="00DD0CEB">
              <w:rPr>
                <w:rFonts w:cstheme="minorHAnsi"/>
                <w:sz w:val="20"/>
                <w:szCs w:val="20"/>
              </w:rPr>
              <w:t xml:space="preserve"> </w:t>
            </w:r>
          </w:p>
          <w:p w14:paraId="747A2CE0" w14:textId="77777777" w:rsidR="00AB628C" w:rsidRPr="00DD0CEB" w:rsidRDefault="00AB628C" w:rsidP="00010E0F">
            <w:pPr>
              <w:rPr>
                <w:rFonts w:cstheme="minorHAnsi"/>
                <w:sz w:val="20"/>
                <w:szCs w:val="20"/>
              </w:rPr>
            </w:pPr>
            <w:r w:rsidRPr="003622A4">
              <w:rPr>
                <w:rFonts w:cstheme="minorHAnsi"/>
                <w:sz w:val="20"/>
                <w:szCs w:val="20"/>
              </w:rPr>
              <w:t>a: 17%</w:t>
            </w:r>
          </w:p>
          <w:p w14:paraId="0E188B08" w14:textId="77777777" w:rsidR="00AB628C" w:rsidRPr="00DD0CEB" w:rsidRDefault="00AB628C" w:rsidP="00010E0F">
            <w:pPr>
              <w:rPr>
                <w:rFonts w:cstheme="minorHAnsi"/>
                <w:sz w:val="20"/>
                <w:szCs w:val="20"/>
              </w:rPr>
            </w:pPr>
            <w:r w:rsidRPr="00DD0CEB">
              <w:rPr>
                <w:rFonts w:cstheme="minorHAnsi"/>
                <w:sz w:val="20"/>
                <w:szCs w:val="20"/>
              </w:rPr>
              <w:t>b: 26%</w:t>
            </w:r>
          </w:p>
          <w:p w14:paraId="5E9A7CE8" w14:textId="77777777" w:rsidR="00AB628C" w:rsidRPr="00DD0CEB" w:rsidRDefault="00AB628C"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7B6C9AA" w14:textId="77777777" w:rsidR="00AB628C" w:rsidRPr="00DD0CEB" w:rsidRDefault="00AB628C" w:rsidP="00010E0F">
            <w:pPr>
              <w:rPr>
                <w:rFonts w:cstheme="minorHAnsi"/>
                <w:sz w:val="20"/>
                <w:szCs w:val="20"/>
              </w:rPr>
            </w:pPr>
            <w:r w:rsidRPr="00DD0CEB">
              <w:rPr>
                <w:rFonts w:cstheme="minorHAnsi"/>
                <w:sz w:val="20"/>
                <w:szCs w:val="20"/>
                <w:u w:val="single"/>
              </w:rPr>
              <w:t>Target (2025</w:t>
            </w:r>
            <w:r w:rsidRPr="00DD0CEB">
              <w:rPr>
                <w:rFonts w:cstheme="minorHAnsi"/>
                <w:sz w:val="20"/>
                <w:szCs w:val="20"/>
              </w:rPr>
              <w:t>:</w:t>
            </w:r>
          </w:p>
          <w:p w14:paraId="6A63627C" w14:textId="77777777" w:rsidR="00AB628C" w:rsidRPr="00DD0CEB" w:rsidRDefault="00AB628C" w:rsidP="00010E0F">
            <w:pPr>
              <w:rPr>
                <w:rFonts w:cstheme="minorHAnsi"/>
                <w:sz w:val="20"/>
                <w:szCs w:val="20"/>
              </w:rPr>
            </w:pPr>
            <w:r w:rsidRPr="00DD0CEB">
              <w:rPr>
                <w:rFonts w:cstheme="minorHAnsi"/>
                <w:sz w:val="20"/>
                <w:szCs w:val="20"/>
              </w:rPr>
              <w:t>a: 25%</w:t>
            </w:r>
          </w:p>
          <w:p w14:paraId="01C62630" w14:textId="77777777" w:rsidR="00AB628C" w:rsidRPr="00E31716" w:rsidRDefault="00AB628C" w:rsidP="00010E0F">
            <w:pPr>
              <w:rPr>
                <w:rFonts w:cstheme="minorHAnsi"/>
                <w:sz w:val="20"/>
                <w:szCs w:val="20"/>
              </w:rPr>
            </w:pPr>
            <w:r>
              <w:rPr>
                <w:rFonts w:cstheme="minorHAnsi"/>
                <w:sz w:val="20"/>
                <w:szCs w:val="20"/>
              </w:rPr>
              <w:t>b: 26%</w:t>
            </w:r>
          </w:p>
          <w:p w14:paraId="29B3AB92" w14:textId="77777777" w:rsidR="00AB628C" w:rsidRPr="00DD0CEB" w:rsidRDefault="00AB628C" w:rsidP="00010E0F">
            <w:pPr>
              <w:rPr>
                <w:rFonts w:cstheme="minorHAnsi"/>
                <w:sz w:val="20"/>
                <w:szCs w:val="20"/>
              </w:rPr>
            </w:pP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CC9D95B" w14:textId="77777777" w:rsidR="00AB628C" w:rsidRPr="00DD0CEB" w:rsidRDefault="00AB628C" w:rsidP="00010E0F">
            <w:pPr>
              <w:rPr>
                <w:rFonts w:cstheme="minorHAnsi"/>
                <w:sz w:val="20"/>
                <w:szCs w:val="20"/>
              </w:rPr>
            </w:pPr>
            <w:r w:rsidRPr="00DD0CEB">
              <w:rPr>
                <w:rFonts w:cstheme="minorHAnsi"/>
                <w:sz w:val="20"/>
                <w:szCs w:val="20"/>
                <w:u w:val="single"/>
              </w:rPr>
              <w:t>Source</w:t>
            </w:r>
            <w:r w:rsidRPr="00DD0CEB">
              <w:rPr>
                <w:rFonts w:cstheme="minorHAnsi"/>
                <w:sz w:val="20"/>
                <w:szCs w:val="20"/>
              </w:rPr>
              <w:t>:</w:t>
            </w:r>
          </w:p>
          <w:p w14:paraId="16A45652" w14:textId="77777777" w:rsidR="00AB628C" w:rsidRPr="00DD0CEB" w:rsidRDefault="00AB628C" w:rsidP="00010E0F">
            <w:pPr>
              <w:rPr>
                <w:rFonts w:cstheme="minorHAnsi"/>
                <w:sz w:val="20"/>
                <w:szCs w:val="20"/>
              </w:rPr>
            </w:pPr>
            <w:r w:rsidRPr="00DD0CEB">
              <w:rPr>
                <w:rFonts w:cstheme="minorHAnsi"/>
                <w:sz w:val="20"/>
                <w:szCs w:val="20"/>
              </w:rPr>
              <w:t xml:space="preserve">Draft SDG Framework in BiH document; World Bank </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39904E99" w14:textId="77777777" w:rsidR="00AB628C" w:rsidRPr="00DD0CEB" w:rsidRDefault="00AB628C" w:rsidP="00010E0F">
            <w:pPr>
              <w:rPr>
                <w:rFonts w:cstheme="minorHAnsi"/>
                <w:sz w:val="20"/>
                <w:szCs w:val="20"/>
              </w:rPr>
            </w:pPr>
          </w:p>
        </w:tc>
      </w:tr>
      <w:tr w:rsidR="00AB628C" w:rsidRPr="00DD0CEB" w14:paraId="039A1854"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3287010F" w14:textId="77777777" w:rsidR="00AB628C" w:rsidRPr="00DD0CEB" w:rsidRDefault="00AB628C" w:rsidP="00010E0F">
            <w:pPr>
              <w:rPr>
                <w:rFonts w:cstheme="minorHAnsi"/>
                <w:b/>
                <w:sz w:val="20"/>
                <w:szCs w:val="20"/>
              </w:rPr>
            </w:pPr>
          </w:p>
        </w:tc>
        <w:tc>
          <w:tcPr>
            <w:tcW w:w="63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00405852" w14:textId="2C51B6E7" w:rsidR="00AB628C" w:rsidRPr="00DD0CEB" w:rsidRDefault="001F355A" w:rsidP="00010E0F">
            <w:pPr>
              <w:rPr>
                <w:rFonts w:cstheme="minorHAnsi"/>
                <w:b/>
                <w:bCs/>
                <w:sz w:val="20"/>
                <w:szCs w:val="20"/>
              </w:rPr>
            </w:pPr>
            <w:r>
              <w:rPr>
                <w:rFonts w:cstheme="minorHAnsi"/>
                <w:b/>
                <w:bCs/>
                <w:sz w:val="20"/>
                <w:szCs w:val="20"/>
              </w:rPr>
              <w:t>4.</w:t>
            </w:r>
            <w:r w:rsidR="00EE1CD1">
              <w:rPr>
                <w:rFonts w:cstheme="minorHAnsi"/>
                <w:b/>
                <w:bCs/>
                <w:sz w:val="20"/>
                <w:szCs w:val="20"/>
              </w:rPr>
              <w:t>g</w:t>
            </w:r>
            <w:r>
              <w:rPr>
                <w:rFonts w:cstheme="minorHAnsi"/>
                <w:b/>
                <w:bCs/>
                <w:sz w:val="20"/>
                <w:szCs w:val="20"/>
              </w:rPr>
              <w:t xml:space="preserve"> SDG Indicator 5.c.1</w:t>
            </w:r>
          </w:p>
          <w:p w14:paraId="3F88FA49" w14:textId="77777777" w:rsidR="00AB628C" w:rsidRPr="00DD0CEB" w:rsidRDefault="00AB628C" w:rsidP="00010E0F">
            <w:pPr>
              <w:rPr>
                <w:rFonts w:cstheme="minorHAnsi"/>
                <w:sz w:val="20"/>
                <w:szCs w:val="20"/>
              </w:rPr>
            </w:pPr>
            <w:r w:rsidRPr="003622A4">
              <w:rPr>
                <w:rFonts w:cstheme="minorHAnsi"/>
                <w:sz w:val="20"/>
                <w:szCs w:val="20"/>
                <w:u w:val="single"/>
              </w:rPr>
              <w:t>Existence of</w:t>
            </w:r>
            <w:r w:rsidRPr="00DD0CEB">
              <w:rPr>
                <w:rFonts w:cstheme="minorHAnsi"/>
                <w:sz w:val="20"/>
                <w:szCs w:val="20"/>
              </w:rPr>
              <w:t xml:space="preserve"> systems to track and make public allocations for gender equality and women’s empowerment</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04F69AB7" w14:textId="77777777" w:rsidR="00AB628C" w:rsidRPr="00DD0CEB" w:rsidRDefault="00AB628C" w:rsidP="00010E0F">
            <w:pPr>
              <w:pStyle w:val="ListParagraph"/>
              <w:numPr>
                <w:ilvl w:val="0"/>
                <w:numId w:val="0"/>
              </w:numPr>
              <w:ind w:left="203"/>
              <w:rPr>
                <w:rFonts w:cstheme="minorHAnsi"/>
                <w:sz w:val="20"/>
                <w:szCs w:val="20"/>
                <w:lang w:val="en-CA"/>
              </w:rPr>
            </w:pPr>
          </w:p>
        </w:tc>
      </w:tr>
      <w:tr w:rsidR="00AB628C" w:rsidRPr="00DD0CEB" w14:paraId="10AC8670"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49A40AAF" w14:textId="77777777" w:rsidR="00AB628C" w:rsidRPr="00DD0CEB"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53AAFF2" w14:textId="77777777" w:rsidR="00AB628C" w:rsidRPr="00DD0CEB" w:rsidRDefault="00AB628C" w:rsidP="00010E0F">
            <w:pPr>
              <w:rPr>
                <w:rFonts w:cstheme="minorHAnsi"/>
                <w:sz w:val="20"/>
                <w:szCs w:val="20"/>
              </w:rPr>
            </w:pPr>
            <w:r w:rsidRPr="00DD0CEB">
              <w:rPr>
                <w:rFonts w:cstheme="minorHAnsi"/>
                <w:sz w:val="20"/>
                <w:szCs w:val="20"/>
                <w:u w:val="single"/>
              </w:rPr>
              <w:t>Baseline (2019):</w:t>
            </w:r>
            <w:r w:rsidRPr="00DD0CEB">
              <w:rPr>
                <w:rFonts w:cstheme="minorHAnsi"/>
                <w:sz w:val="20"/>
                <w:szCs w:val="20"/>
              </w:rPr>
              <w:t xml:space="preserve"> </w:t>
            </w:r>
          </w:p>
          <w:p w14:paraId="277C9E9F" w14:textId="77777777" w:rsidR="00AB628C" w:rsidRPr="00DD0CEB" w:rsidRDefault="00AB628C" w:rsidP="00010E0F">
            <w:pPr>
              <w:rPr>
                <w:rFonts w:cstheme="minorHAnsi"/>
                <w:sz w:val="20"/>
                <w:szCs w:val="20"/>
              </w:rPr>
            </w:pPr>
            <w:r w:rsidRPr="00DD0CEB">
              <w:rPr>
                <w:rFonts w:cstheme="minorHAnsi"/>
                <w:sz w:val="20"/>
                <w:szCs w:val="20"/>
              </w:rPr>
              <w:t xml:space="preserve">Partially existing </w:t>
            </w:r>
          </w:p>
          <w:p w14:paraId="72DE0D14" w14:textId="77777777" w:rsidR="00AB628C" w:rsidRPr="00DD0CEB" w:rsidRDefault="00AB628C" w:rsidP="00010E0F">
            <w:pPr>
              <w:rPr>
                <w:rFonts w:cstheme="minorHAnsi"/>
                <w:sz w:val="20"/>
                <w:szCs w:val="20"/>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BA8B7DE" w14:textId="77777777" w:rsidR="00AB628C" w:rsidRPr="00DD0CEB" w:rsidRDefault="00AB628C" w:rsidP="00010E0F">
            <w:pPr>
              <w:rPr>
                <w:rFonts w:cstheme="minorHAnsi"/>
                <w:sz w:val="20"/>
                <w:szCs w:val="20"/>
              </w:rPr>
            </w:pPr>
            <w:r w:rsidRPr="00DD0CEB">
              <w:rPr>
                <w:rFonts w:cstheme="minorHAnsi"/>
                <w:sz w:val="20"/>
                <w:szCs w:val="20"/>
                <w:u w:val="single"/>
              </w:rPr>
              <w:t>Target (2025)</w:t>
            </w:r>
            <w:r w:rsidRPr="00DD0CEB">
              <w:rPr>
                <w:rFonts w:cstheme="minorHAnsi"/>
                <w:sz w:val="20"/>
                <w:szCs w:val="20"/>
              </w:rPr>
              <w:t>:</w:t>
            </w:r>
          </w:p>
          <w:p w14:paraId="1F627E37" w14:textId="1DBD4411" w:rsidR="00AB628C" w:rsidRPr="00DD0CEB" w:rsidRDefault="00AB628C" w:rsidP="00A92F85">
            <w:pPr>
              <w:rPr>
                <w:rFonts w:cstheme="minorHAnsi"/>
                <w:sz w:val="20"/>
                <w:szCs w:val="20"/>
              </w:rPr>
            </w:pPr>
            <w:r w:rsidRPr="00DD0CEB">
              <w:rPr>
                <w:rFonts w:cstheme="minorHAnsi"/>
                <w:sz w:val="20"/>
                <w:szCs w:val="20"/>
              </w:rPr>
              <w:t>Existing and functional at state and entity levels</w:t>
            </w:r>
            <w:r w:rsidRPr="00DD0CEB">
              <w:rPr>
                <w:rFonts w:cstheme="minorHAnsi"/>
                <w:sz w:val="20"/>
                <w:szCs w:val="20"/>
                <w:u w:val="single"/>
              </w:rPr>
              <w:t xml:space="preserve"> </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090C5EB" w14:textId="77777777" w:rsidR="00AB628C" w:rsidRPr="003D3D83" w:rsidRDefault="00AB628C" w:rsidP="00010E0F">
            <w:pPr>
              <w:rPr>
                <w:rFonts w:cstheme="minorHAnsi"/>
                <w:sz w:val="20"/>
                <w:szCs w:val="20"/>
              </w:rPr>
            </w:pPr>
            <w:r w:rsidRPr="003D3D83">
              <w:rPr>
                <w:rFonts w:cstheme="minorHAnsi"/>
                <w:sz w:val="20"/>
                <w:szCs w:val="20"/>
                <w:u w:val="single"/>
              </w:rPr>
              <w:t>Source</w:t>
            </w:r>
            <w:r w:rsidRPr="003D3D83">
              <w:rPr>
                <w:rFonts w:cstheme="minorHAnsi"/>
                <w:sz w:val="20"/>
                <w:szCs w:val="20"/>
              </w:rPr>
              <w:t>:</w:t>
            </w:r>
          </w:p>
          <w:p w14:paraId="6D059C37" w14:textId="423A9E6B" w:rsidR="00AB628C" w:rsidRPr="003D3D83" w:rsidRDefault="00AB628C" w:rsidP="00010E0F">
            <w:pPr>
              <w:rPr>
                <w:rFonts w:cstheme="minorHAnsi"/>
                <w:sz w:val="20"/>
                <w:szCs w:val="20"/>
              </w:rPr>
            </w:pPr>
            <w:r w:rsidRPr="003D3D83">
              <w:rPr>
                <w:rFonts w:cstheme="minorHAnsi"/>
                <w:sz w:val="20"/>
                <w:szCs w:val="20"/>
              </w:rPr>
              <w:t xml:space="preserve">UN Women reports; </w:t>
            </w:r>
            <w:r w:rsidR="00F27373" w:rsidRPr="003D3D83">
              <w:rPr>
                <w:rFonts w:cstheme="minorHAnsi"/>
                <w:sz w:val="20"/>
                <w:szCs w:val="20"/>
              </w:rPr>
              <w:t xml:space="preserve">reports by relevant authorities in </w:t>
            </w:r>
            <w:r w:rsidRPr="003D3D83">
              <w:rPr>
                <w:rFonts w:cstheme="minorHAnsi"/>
                <w:sz w:val="20"/>
                <w:szCs w:val="20"/>
              </w:rPr>
              <w:t>BiH authorities’ reports</w:t>
            </w:r>
          </w:p>
          <w:p w14:paraId="0B46CDA3" w14:textId="7F20A7B3" w:rsidR="00AB628C" w:rsidRPr="003D3D83" w:rsidRDefault="00AB628C" w:rsidP="00010E0F">
            <w:pPr>
              <w:rPr>
                <w:rFonts w:cstheme="minorHAnsi"/>
                <w:sz w:val="20"/>
                <w:szCs w:val="20"/>
              </w:rPr>
            </w:pPr>
          </w:p>
        </w:tc>
        <w:tc>
          <w:tcPr>
            <w:tcW w:w="4098" w:type="dxa"/>
            <w:vMerge/>
            <w:tcBorders>
              <w:left w:val="single" w:sz="4" w:space="0" w:color="548DD4" w:themeColor="text2" w:themeTint="99"/>
              <w:bottom w:val="single" w:sz="4" w:space="0" w:color="548DD4" w:themeColor="text2" w:themeTint="99"/>
              <w:right w:val="single" w:sz="4" w:space="0" w:color="auto"/>
            </w:tcBorders>
          </w:tcPr>
          <w:p w14:paraId="364BB005" w14:textId="77777777" w:rsidR="00AB628C" w:rsidRPr="00DD0CEB" w:rsidRDefault="00AB628C" w:rsidP="00010E0F">
            <w:pPr>
              <w:rPr>
                <w:rFonts w:cstheme="minorHAnsi"/>
                <w:sz w:val="20"/>
                <w:szCs w:val="20"/>
              </w:rPr>
            </w:pPr>
          </w:p>
        </w:tc>
      </w:tr>
      <w:tr w:rsidR="00193229" w:rsidRPr="00DD0CEB" w14:paraId="030CAC1F" w14:textId="77777777" w:rsidTr="00B7569B">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1DB9FC2E" w14:textId="77777777" w:rsidR="00193229" w:rsidRPr="00DD0CEB" w:rsidRDefault="00193229" w:rsidP="00010E0F">
            <w:pPr>
              <w:rPr>
                <w:rFonts w:cstheme="minorHAnsi"/>
                <w:b/>
                <w:sz w:val="20"/>
                <w:szCs w:val="20"/>
              </w:rPr>
            </w:pPr>
          </w:p>
        </w:tc>
        <w:tc>
          <w:tcPr>
            <w:tcW w:w="6386"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E2CC929" w14:textId="77777777" w:rsidR="00193229" w:rsidRPr="003622A4" w:rsidRDefault="00193229" w:rsidP="00193229">
            <w:pPr>
              <w:rPr>
                <w:rFonts w:cstheme="minorHAnsi"/>
                <w:b/>
                <w:bCs/>
                <w:sz w:val="20"/>
                <w:szCs w:val="20"/>
              </w:rPr>
            </w:pPr>
            <w:r w:rsidRPr="003622A4">
              <w:rPr>
                <w:rFonts w:cstheme="minorHAnsi"/>
                <w:b/>
                <w:bCs/>
                <w:sz w:val="20"/>
                <w:szCs w:val="20"/>
              </w:rPr>
              <w:t>4.</w:t>
            </w:r>
            <w:r>
              <w:rPr>
                <w:rFonts w:cstheme="minorHAnsi"/>
                <w:b/>
                <w:bCs/>
                <w:sz w:val="20"/>
                <w:szCs w:val="20"/>
              </w:rPr>
              <w:t>h</w:t>
            </w:r>
            <w:r w:rsidRPr="003622A4">
              <w:rPr>
                <w:rFonts w:cstheme="minorHAnsi"/>
                <w:b/>
                <w:bCs/>
                <w:sz w:val="20"/>
                <w:szCs w:val="20"/>
              </w:rPr>
              <w:t xml:space="preserve"> SDG indicator 17.18.1 </w:t>
            </w:r>
          </w:p>
          <w:p w14:paraId="472E1185" w14:textId="77777777" w:rsidR="00193229" w:rsidRPr="003622A4" w:rsidRDefault="00193229" w:rsidP="00193229">
            <w:pPr>
              <w:rPr>
                <w:rFonts w:cstheme="minorHAnsi"/>
                <w:sz w:val="20"/>
                <w:szCs w:val="20"/>
              </w:rPr>
            </w:pPr>
            <w:r w:rsidRPr="003622A4">
              <w:rPr>
                <w:rFonts w:cstheme="minorHAnsi"/>
                <w:sz w:val="20"/>
                <w:szCs w:val="20"/>
              </w:rPr>
              <w:t>a. % Domesticated SDG indicators in SDG Framework in BiH</w:t>
            </w:r>
            <w:r w:rsidRPr="003622A4">
              <w:rPr>
                <w:rStyle w:val="FootnoteReference"/>
                <w:rFonts w:cstheme="minorHAnsi"/>
                <w:lang w:val="en"/>
              </w:rPr>
              <w:footnoteReference w:id="166"/>
            </w:r>
            <w:r w:rsidRPr="003622A4">
              <w:rPr>
                <w:rFonts w:cstheme="minorHAnsi"/>
                <w:sz w:val="20"/>
                <w:szCs w:val="20"/>
              </w:rPr>
              <w:t xml:space="preserve"> that are available from statistical institutions </w:t>
            </w:r>
          </w:p>
          <w:p w14:paraId="42327481" w14:textId="44510157" w:rsidR="00193229" w:rsidRPr="00DD0CEB" w:rsidRDefault="00193229" w:rsidP="002251B4">
            <w:pPr>
              <w:rPr>
                <w:rFonts w:cstheme="minorHAnsi"/>
                <w:sz w:val="20"/>
                <w:szCs w:val="20"/>
                <w:u w:val="single"/>
              </w:rPr>
            </w:pPr>
            <w:r w:rsidRPr="003622A4">
              <w:rPr>
                <w:rFonts w:cstheme="minorHAnsi"/>
                <w:i/>
                <w:sz w:val="20"/>
                <w:szCs w:val="20"/>
              </w:rPr>
              <w:t>(*Pending approval of the SDG Framework and finalized indicator set</w:t>
            </w:r>
            <w:r w:rsidRPr="003622A4">
              <w:rPr>
                <w:rFonts w:cstheme="minorHAnsi"/>
                <w:sz w:val="20"/>
                <w:szCs w:val="20"/>
              </w:rPr>
              <w:t>)</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24AC5A30" w14:textId="77777777" w:rsidR="00193229" w:rsidRPr="00DD0CEB" w:rsidRDefault="00193229" w:rsidP="00010E0F">
            <w:pPr>
              <w:rPr>
                <w:rFonts w:cstheme="minorHAnsi"/>
                <w:sz w:val="20"/>
                <w:szCs w:val="20"/>
              </w:rPr>
            </w:pPr>
          </w:p>
        </w:tc>
      </w:tr>
      <w:tr w:rsidR="00254583" w:rsidRPr="00DD0CEB" w14:paraId="211C99E5"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16B27F10" w14:textId="77777777" w:rsidR="00254583" w:rsidRPr="00DD0CEB" w:rsidRDefault="00254583" w:rsidP="00254583">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7D0E0D7" w14:textId="77777777" w:rsidR="00254583" w:rsidRPr="003622A4" w:rsidRDefault="00254583" w:rsidP="00254583">
            <w:pPr>
              <w:rPr>
                <w:rFonts w:cstheme="minorHAnsi"/>
                <w:sz w:val="20"/>
                <w:szCs w:val="20"/>
                <w:u w:val="single"/>
              </w:rPr>
            </w:pPr>
            <w:r w:rsidRPr="003622A4">
              <w:rPr>
                <w:rFonts w:cstheme="minorHAnsi"/>
                <w:sz w:val="20"/>
                <w:szCs w:val="20"/>
                <w:u w:val="single"/>
              </w:rPr>
              <w:t>Baseline (2019):</w:t>
            </w:r>
          </w:p>
          <w:p w14:paraId="234E8D5F" w14:textId="77777777" w:rsidR="00254583" w:rsidRPr="003622A4" w:rsidRDefault="00254583" w:rsidP="00254583">
            <w:pPr>
              <w:rPr>
                <w:rFonts w:cstheme="minorHAnsi"/>
                <w:sz w:val="20"/>
                <w:szCs w:val="20"/>
              </w:rPr>
            </w:pPr>
            <w:r w:rsidRPr="003622A4">
              <w:rPr>
                <w:rFonts w:cstheme="minorHAnsi"/>
                <w:sz w:val="20"/>
                <w:szCs w:val="20"/>
              </w:rPr>
              <w:t>a. TBD*</w:t>
            </w:r>
          </w:p>
          <w:p w14:paraId="58C1341F" w14:textId="77777777" w:rsidR="00254583" w:rsidRPr="00DD0CEB" w:rsidRDefault="00254583" w:rsidP="00254583">
            <w:pPr>
              <w:rPr>
                <w:rFonts w:cstheme="minorHAnsi"/>
                <w:sz w:val="20"/>
                <w:szCs w:val="20"/>
                <w:u w:val="single"/>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7923355" w14:textId="77777777" w:rsidR="00254583" w:rsidRPr="003622A4" w:rsidRDefault="00254583" w:rsidP="00254583">
            <w:pPr>
              <w:rPr>
                <w:rFonts w:cstheme="minorHAnsi"/>
                <w:sz w:val="20"/>
                <w:szCs w:val="20"/>
              </w:rPr>
            </w:pPr>
            <w:r w:rsidRPr="003622A4">
              <w:rPr>
                <w:rFonts w:cstheme="minorHAnsi"/>
                <w:sz w:val="20"/>
                <w:szCs w:val="20"/>
                <w:u w:val="single"/>
              </w:rPr>
              <w:t>Target (2025)</w:t>
            </w:r>
            <w:r w:rsidRPr="003622A4">
              <w:rPr>
                <w:rFonts w:cstheme="minorHAnsi"/>
                <w:sz w:val="20"/>
                <w:szCs w:val="20"/>
              </w:rPr>
              <w:t>:</w:t>
            </w:r>
          </w:p>
          <w:p w14:paraId="06F962A8" w14:textId="5EC7F1BC" w:rsidR="00254583" w:rsidRPr="00DD0CEB" w:rsidRDefault="00254583" w:rsidP="00254583">
            <w:pPr>
              <w:rPr>
                <w:rFonts w:cstheme="minorHAnsi"/>
                <w:sz w:val="20"/>
                <w:szCs w:val="20"/>
                <w:u w:val="single"/>
              </w:rPr>
            </w:pPr>
            <w:r w:rsidRPr="003622A4">
              <w:rPr>
                <w:rFonts w:cstheme="minorHAnsi"/>
                <w:sz w:val="20"/>
                <w:szCs w:val="20"/>
              </w:rPr>
              <w:t>a. TBD*</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791996E" w14:textId="77777777" w:rsidR="00254583" w:rsidRPr="00924C5D" w:rsidRDefault="00254583" w:rsidP="00254583">
            <w:pPr>
              <w:rPr>
                <w:rFonts w:cstheme="minorHAnsi"/>
                <w:sz w:val="20"/>
                <w:szCs w:val="20"/>
              </w:rPr>
            </w:pPr>
            <w:r w:rsidRPr="00924C5D">
              <w:rPr>
                <w:rFonts w:cstheme="minorHAnsi"/>
                <w:sz w:val="20"/>
                <w:szCs w:val="20"/>
                <w:u w:val="single"/>
              </w:rPr>
              <w:t>Source</w:t>
            </w:r>
            <w:r w:rsidRPr="00924C5D">
              <w:rPr>
                <w:rFonts w:cstheme="minorHAnsi"/>
                <w:sz w:val="20"/>
                <w:szCs w:val="20"/>
              </w:rPr>
              <w:t>:</w:t>
            </w:r>
          </w:p>
          <w:p w14:paraId="67B7EC85" w14:textId="77777777" w:rsidR="00254583" w:rsidRPr="003622A4" w:rsidRDefault="00254583" w:rsidP="00254583">
            <w:pPr>
              <w:rPr>
                <w:rFonts w:cstheme="minorHAnsi"/>
                <w:sz w:val="20"/>
                <w:szCs w:val="20"/>
              </w:rPr>
            </w:pPr>
            <w:r w:rsidRPr="00924C5D">
              <w:rPr>
                <w:rFonts w:cstheme="minorHAnsi"/>
                <w:sz w:val="20"/>
                <w:szCs w:val="20"/>
              </w:rPr>
              <w:t>Statistical institutions in BiH; Statistics WG for</w:t>
            </w:r>
            <w:r w:rsidRPr="003622A4">
              <w:rPr>
                <w:rFonts w:cstheme="minorHAnsi"/>
                <w:sz w:val="20"/>
                <w:szCs w:val="20"/>
              </w:rPr>
              <w:t xml:space="preserve"> SDG framework in BiH</w:t>
            </w:r>
          </w:p>
          <w:p w14:paraId="284A6EE5" w14:textId="77777777" w:rsidR="00254583" w:rsidRPr="00DD0CEB" w:rsidRDefault="00254583" w:rsidP="00254583">
            <w:pPr>
              <w:rPr>
                <w:rFonts w:cstheme="minorHAnsi"/>
                <w:sz w:val="20"/>
                <w:szCs w:val="20"/>
                <w:u w:val="single"/>
              </w:rPr>
            </w:pPr>
          </w:p>
        </w:tc>
        <w:tc>
          <w:tcPr>
            <w:tcW w:w="4098" w:type="dxa"/>
            <w:vMerge/>
            <w:tcBorders>
              <w:left w:val="single" w:sz="4" w:space="0" w:color="548DD4" w:themeColor="text2" w:themeTint="99"/>
              <w:bottom w:val="single" w:sz="4" w:space="0" w:color="548DD4" w:themeColor="text2" w:themeTint="99"/>
              <w:right w:val="single" w:sz="4" w:space="0" w:color="auto"/>
            </w:tcBorders>
          </w:tcPr>
          <w:p w14:paraId="4A8D12F2" w14:textId="77777777" w:rsidR="00254583" w:rsidRPr="00DD0CEB" w:rsidRDefault="00254583" w:rsidP="00254583">
            <w:pPr>
              <w:rPr>
                <w:rFonts w:cstheme="minorHAnsi"/>
                <w:sz w:val="20"/>
                <w:szCs w:val="20"/>
              </w:rPr>
            </w:pPr>
          </w:p>
        </w:tc>
      </w:tr>
      <w:tr w:rsidR="00AB628C" w:rsidRPr="00DD0CEB" w14:paraId="16F0447F"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45AE2944" w14:textId="77777777" w:rsidR="00AB628C" w:rsidRPr="00DD0CEB" w:rsidRDefault="00AB628C" w:rsidP="00010E0F">
            <w:pPr>
              <w:rPr>
                <w:rFonts w:cstheme="minorHAnsi"/>
                <w:b/>
                <w:sz w:val="20"/>
                <w:szCs w:val="20"/>
              </w:rPr>
            </w:pPr>
          </w:p>
        </w:tc>
        <w:tc>
          <w:tcPr>
            <w:tcW w:w="6386" w:type="dxa"/>
            <w:gridSpan w:val="6"/>
            <w:tcBorders>
              <w:top w:val="nil"/>
              <w:left w:val="single" w:sz="4" w:space="0" w:color="548DD4" w:themeColor="text2" w:themeTint="99"/>
              <w:bottom w:val="single" w:sz="4" w:space="0" w:color="548DD4" w:themeColor="text2" w:themeTint="99"/>
              <w:right w:val="single" w:sz="4" w:space="0" w:color="548DD4" w:themeColor="text2" w:themeTint="99"/>
            </w:tcBorders>
          </w:tcPr>
          <w:p w14:paraId="11318890" w14:textId="074E472B" w:rsidR="00AB628C" w:rsidRPr="003622A4" w:rsidRDefault="00254583" w:rsidP="002251B4">
            <w:pPr>
              <w:rPr>
                <w:rFonts w:cstheme="minorHAnsi"/>
                <w:sz w:val="20"/>
                <w:szCs w:val="20"/>
              </w:rPr>
            </w:pPr>
            <w:r>
              <w:rPr>
                <w:rFonts w:cstheme="minorHAnsi"/>
                <w:b/>
                <w:bCs/>
                <w:sz w:val="20"/>
                <w:szCs w:val="20"/>
              </w:rPr>
              <w:t>4.</w:t>
            </w:r>
            <w:r w:rsidR="00497022">
              <w:rPr>
                <w:rFonts w:cstheme="minorHAnsi"/>
                <w:b/>
                <w:bCs/>
                <w:sz w:val="20"/>
                <w:szCs w:val="20"/>
              </w:rPr>
              <w:t>i</w:t>
            </w:r>
            <w:r w:rsidR="00892ADC">
              <w:rPr>
                <w:rFonts w:cstheme="minorHAnsi"/>
                <w:b/>
                <w:bCs/>
                <w:sz w:val="20"/>
                <w:szCs w:val="20"/>
              </w:rPr>
              <w:t xml:space="preserve"> </w:t>
            </w:r>
            <w:r w:rsidR="00143A9B" w:rsidRPr="002251B4">
              <w:rPr>
                <w:rFonts w:cstheme="minorHAnsi"/>
                <w:bCs/>
                <w:sz w:val="20"/>
                <w:szCs w:val="20"/>
              </w:rPr>
              <w:t xml:space="preserve">Availability of socio-economic </w:t>
            </w:r>
            <w:r w:rsidR="00E413C6" w:rsidRPr="002251B4">
              <w:rPr>
                <w:rFonts w:cstheme="minorHAnsi"/>
                <w:bCs/>
                <w:sz w:val="20"/>
                <w:szCs w:val="20"/>
              </w:rPr>
              <w:t>assessment</w:t>
            </w:r>
            <w:r w:rsidR="00972511" w:rsidRPr="002251B4">
              <w:rPr>
                <w:rFonts w:cstheme="minorHAnsi"/>
                <w:bCs/>
                <w:sz w:val="20"/>
                <w:szCs w:val="20"/>
              </w:rPr>
              <w:t xml:space="preserve">s of COVID-19 impacts of vulnerable groups and policy </w:t>
            </w:r>
            <w:r w:rsidR="00F85F99" w:rsidRPr="002251B4">
              <w:rPr>
                <w:rFonts w:cstheme="minorHAnsi"/>
                <w:bCs/>
                <w:sz w:val="20"/>
                <w:szCs w:val="20"/>
              </w:rPr>
              <w:t>and financing options for stimulus support</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3450B303" w14:textId="77777777" w:rsidR="00AB628C" w:rsidRPr="00DD0CEB" w:rsidRDefault="00AB628C" w:rsidP="00010E0F">
            <w:pPr>
              <w:ind w:left="720" w:hanging="360"/>
              <w:rPr>
                <w:rFonts w:cstheme="minorHAnsi"/>
                <w:sz w:val="20"/>
                <w:szCs w:val="20"/>
              </w:rPr>
            </w:pPr>
          </w:p>
        </w:tc>
      </w:tr>
      <w:tr w:rsidR="00DC1E9D" w:rsidRPr="00DD0CEB" w14:paraId="1663CF65" w14:textId="77777777" w:rsidTr="009674CE">
        <w:trPr>
          <w:trHeight w:val="285"/>
        </w:trPr>
        <w:tc>
          <w:tcPr>
            <w:tcW w:w="3560" w:type="dxa"/>
            <w:vMerge/>
            <w:tcBorders>
              <w:left w:val="single" w:sz="4" w:space="0" w:color="auto"/>
              <w:bottom w:val="single" w:sz="4" w:space="0" w:color="548DD4" w:themeColor="text2" w:themeTint="99"/>
              <w:right w:val="single" w:sz="4" w:space="0" w:color="548DD4" w:themeColor="text2" w:themeTint="99"/>
            </w:tcBorders>
          </w:tcPr>
          <w:p w14:paraId="1A807DC7" w14:textId="77777777" w:rsidR="00DC1E9D" w:rsidRPr="00DD0CEB" w:rsidRDefault="00DC1E9D" w:rsidP="00DC1E9D">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1B11628" w14:textId="77777777" w:rsidR="00DC1E9D" w:rsidRPr="003622A4" w:rsidRDefault="00DC1E9D" w:rsidP="00DC1E9D">
            <w:pPr>
              <w:rPr>
                <w:rFonts w:cstheme="minorHAnsi"/>
                <w:sz w:val="20"/>
                <w:szCs w:val="20"/>
                <w:u w:val="single"/>
              </w:rPr>
            </w:pPr>
            <w:r w:rsidRPr="003622A4">
              <w:rPr>
                <w:rFonts w:cstheme="minorHAnsi"/>
                <w:sz w:val="20"/>
                <w:szCs w:val="20"/>
                <w:u w:val="single"/>
              </w:rPr>
              <w:t>Baseline (2019):</w:t>
            </w:r>
          </w:p>
          <w:p w14:paraId="51ABB819" w14:textId="43D6C8A5" w:rsidR="00DC1E9D" w:rsidRPr="003622A4" w:rsidRDefault="00DC1E9D" w:rsidP="00DC1E9D">
            <w:pPr>
              <w:rPr>
                <w:rFonts w:cstheme="minorHAnsi"/>
                <w:sz w:val="20"/>
                <w:szCs w:val="20"/>
              </w:rPr>
            </w:pPr>
            <w:r>
              <w:rPr>
                <w:rFonts w:cstheme="minorHAnsi"/>
                <w:sz w:val="20"/>
                <w:szCs w:val="20"/>
              </w:rPr>
              <w:t>N</w:t>
            </w:r>
          </w:p>
          <w:p w14:paraId="7BA047FC" w14:textId="77777777" w:rsidR="00DC1E9D" w:rsidRPr="00626D70" w:rsidRDefault="00DC1E9D" w:rsidP="00DC1E9D">
            <w:pPr>
              <w:rPr>
                <w:rFonts w:cstheme="minorHAnsi"/>
                <w:sz w:val="20"/>
                <w:szCs w:val="20"/>
                <w:highlight w:val="yellow"/>
              </w:rPr>
            </w:pPr>
          </w:p>
        </w:tc>
        <w:tc>
          <w:tcPr>
            <w:tcW w:w="182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DE1118A" w14:textId="77777777" w:rsidR="00DC1E9D" w:rsidRPr="003622A4" w:rsidRDefault="00DC1E9D" w:rsidP="00DC1E9D">
            <w:pPr>
              <w:rPr>
                <w:rFonts w:cstheme="minorHAnsi"/>
                <w:sz w:val="20"/>
                <w:szCs w:val="20"/>
              </w:rPr>
            </w:pPr>
            <w:r w:rsidRPr="003622A4">
              <w:rPr>
                <w:rFonts w:cstheme="minorHAnsi"/>
                <w:sz w:val="20"/>
                <w:szCs w:val="20"/>
                <w:u w:val="single"/>
              </w:rPr>
              <w:t>Target (2025)</w:t>
            </w:r>
            <w:r w:rsidRPr="003622A4">
              <w:rPr>
                <w:rFonts w:cstheme="minorHAnsi"/>
                <w:sz w:val="20"/>
                <w:szCs w:val="20"/>
              </w:rPr>
              <w:t>:</w:t>
            </w:r>
          </w:p>
          <w:p w14:paraId="656FFAAB" w14:textId="18FF788E" w:rsidR="00DC1E9D" w:rsidRPr="003622A4" w:rsidRDefault="00DC1E9D" w:rsidP="00DC1E9D">
            <w:pPr>
              <w:rPr>
                <w:rFonts w:cstheme="minorHAnsi"/>
                <w:sz w:val="20"/>
                <w:szCs w:val="20"/>
              </w:rPr>
            </w:pPr>
            <w:r>
              <w:rPr>
                <w:rFonts w:cstheme="minorHAnsi"/>
                <w:sz w:val="20"/>
                <w:szCs w:val="20"/>
              </w:rPr>
              <w:t>Y</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804AC7F" w14:textId="77777777" w:rsidR="00DC1E9D" w:rsidRPr="003D3D83" w:rsidRDefault="00DC1E9D" w:rsidP="00DC1E9D">
            <w:pPr>
              <w:rPr>
                <w:rFonts w:cstheme="minorHAnsi"/>
                <w:sz w:val="20"/>
                <w:szCs w:val="20"/>
                <w:u w:val="single"/>
              </w:rPr>
            </w:pPr>
            <w:r w:rsidRPr="003D3D83">
              <w:rPr>
                <w:rFonts w:cstheme="minorHAnsi"/>
                <w:sz w:val="20"/>
                <w:szCs w:val="20"/>
                <w:u w:val="single"/>
              </w:rPr>
              <w:t>Source:</w:t>
            </w:r>
          </w:p>
          <w:p w14:paraId="442815F4" w14:textId="565A3F41" w:rsidR="00DC1E9D" w:rsidRPr="003D3D83" w:rsidRDefault="00DC1E9D" w:rsidP="00DC1E9D">
            <w:pPr>
              <w:rPr>
                <w:rFonts w:cstheme="minorHAnsi"/>
                <w:sz w:val="20"/>
                <w:szCs w:val="20"/>
              </w:rPr>
            </w:pPr>
            <w:r w:rsidRPr="003D3D83">
              <w:rPr>
                <w:rFonts w:cstheme="minorHAnsi"/>
                <w:sz w:val="20"/>
                <w:szCs w:val="20"/>
              </w:rPr>
              <w:t>Reports by relevant authorities in BiH; Programme reports</w:t>
            </w:r>
          </w:p>
        </w:tc>
        <w:tc>
          <w:tcPr>
            <w:tcW w:w="4098" w:type="dxa"/>
            <w:vMerge/>
            <w:tcBorders>
              <w:left w:val="single" w:sz="4" w:space="0" w:color="548DD4" w:themeColor="text2" w:themeTint="99"/>
              <w:bottom w:val="single" w:sz="4" w:space="0" w:color="548DD4" w:themeColor="text2" w:themeTint="99"/>
              <w:right w:val="single" w:sz="4" w:space="0" w:color="auto"/>
            </w:tcBorders>
          </w:tcPr>
          <w:p w14:paraId="50DF0230" w14:textId="77777777" w:rsidR="00DC1E9D" w:rsidRPr="00DD0CEB" w:rsidRDefault="00DC1E9D" w:rsidP="00DC1E9D">
            <w:pPr>
              <w:rPr>
                <w:rFonts w:cstheme="minorHAnsi"/>
                <w:color w:val="0F243E" w:themeColor="text2" w:themeShade="80"/>
                <w:sz w:val="20"/>
                <w:szCs w:val="20"/>
              </w:rPr>
            </w:pPr>
          </w:p>
        </w:tc>
      </w:tr>
    </w:tbl>
    <w:p w14:paraId="0E181502" w14:textId="77777777" w:rsidR="00AB628C" w:rsidRDefault="00AB628C" w:rsidP="00AB628C">
      <w:pPr>
        <w:spacing w:after="160" w:line="259" w:lineRule="auto"/>
        <w:rPr>
          <w:rFonts w:cstheme="minorHAnsi"/>
          <w:sz w:val="10"/>
          <w:szCs w:val="10"/>
        </w:rPr>
      </w:pPr>
      <w:r>
        <w:rPr>
          <w:rFonts w:cstheme="minorHAnsi"/>
          <w:sz w:val="10"/>
          <w:szCs w:val="10"/>
        </w:rPr>
        <w:br w:type="page"/>
      </w:r>
    </w:p>
    <w:tbl>
      <w:tblPr>
        <w:tblStyle w:val="TableGrid"/>
        <w:tblW w:w="14065" w:type="dxa"/>
        <w:tblInd w:w="-480" w:type="dxa"/>
        <w:tblBorders>
          <w:left w:val="none" w:sz="0" w:space="0" w:color="auto"/>
          <w:right w:val="none" w:sz="0" w:space="0" w:color="auto"/>
        </w:tblBorders>
        <w:tblLook w:val="04A0" w:firstRow="1" w:lastRow="0" w:firstColumn="1" w:lastColumn="0" w:noHBand="0" w:noVBand="1"/>
      </w:tblPr>
      <w:tblGrid>
        <w:gridCol w:w="3560"/>
        <w:gridCol w:w="185"/>
        <w:gridCol w:w="1668"/>
        <w:gridCol w:w="1829"/>
        <w:gridCol w:w="2456"/>
        <w:gridCol w:w="248"/>
        <w:gridCol w:w="4119"/>
      </w:tblGrid>
      <w:tr w:rsidR="00AB628C" w:rsidRPr="009A7D0D" w14:paraId="7F598179" w14:textId="77777777" w:rsidTr="009674CE">
        <w:trPr>
          <w:trHeight w:val="450"/>
          <w:tblHeader/>
        </w:trPr>
        <w:tc>
          <w:tcPr>
            <w:tcW w:w="14065"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244061" w:themeFill="accent1" w:themeFillShade="80"/>
            <w:vAlign w:val="center"/>
          </w:tcPr>
          <w:p w14:paraId="6302D95C" w14:textId="77777777" w:rsidR="00AB628C" w:rsidRPr="009A7D0D" w:rsidRDefault="00AB628C" w:rsidP="00010E0F">
            <w:pPr>
              <w:jc w:val="center"/>
              <w:rPr>
                <w:rFonts w:cstheme="minorHAnsi"/>
                <w:b/>
                <w:color w:val="FFFFFF" w:themeColor="background1"/>
                <w:sz w:val="24"/>
                <w:szCs w:val="24"/>
              </w:rPr>
            </w:pPr>
            <w:r w:rsidRPr="009A7D0D">
              <w:rPr>
                <w:rFonts w:cstheme="minorHAnsi"/>
              </w:rPr>
              <w:br w:type="page"/>
            </w:r>
            <w:r>
              <w:rPr>
                <w:b/>
                <w:color w:val="FFFFFF" w:themeColor="background1"/>
                <w:sz w:val="24"/>
                <w:szCs w:val="24"/>
              </w:rPr>
              <w:t xml:space="preserve">BiH &amp; UN </w:t>
            </w:r>
            <w:r w:rsidRPr="009A7D0D">
              <w:rPr>
                <w:b/>
                <w:color w:val="FFFFFF" w:themeColor="background1"/>
                <w:sz w:val="24"/>
                <w:szCs w:val="24"/>
              </w:rPr>
              <w:t xml:space="preserve">Results </w:t>
            </w:r>
            <w:r>
              <w:rPr>
                <w:b/>
                <w:color w:val="FFFFFF" w:themeColor="background1"/>
                <w:sz w:val="24"/>
                <w:szCs w:val="24"/>
              </w:rPr>
              <w:t>Matrix [2021</w:t>
            </w:r>
            <w:r w:rsidRPr="009A7D0D">
              <w:rPr>
                <w:b/>
                <w:color w:val="FFFFFF" w:themeColor="background1"/>
                <w:sz w:val="24"/>
                <w:szCs w:val="24"/>
              </w:rPr>
              <w:t>-202</w:t>
            </w:r>
            <w:r>
              <w:rPr>
                <w:b/>
                <w:color w:val="FFFFFF" w:themeColor="background1"/>
                <w:sz w:val="24"/>
                <w:szCs w:val="24"/>
              </w:rPr>
              <w:t>5</w:t>
            </w:r>
            <w:r w:rsidRPr="009A7D0D">
              <w:rPr>
                <w:b/>
                <w:color w:val="FFFFFF" w:themeColor="background1"/>
                <w:sz w:val="24"/>
                <w:szCs w:val="24"/>
              </w:rPr>
              <w:t>]</w:t>
            </w:r>
          </w:p>
        </w:tc>
      </w:tr>
      <w:tr w:rsidR="00AB628C" w:rsidRPr="009A7D0D" w14:paraId="65AF511B" w14:textId="77777777" w:rsidTr="009674CE">
        <w:trPr>
          <w:trHeight w:val="450"/>
          <w:tblHeader/>
        </w:trPr>
        <w:tc>
          <w:tcPr>
            <w:tcW w:w="14065"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244061" w:themeFill="accent1" w:themeFillShade="80"/>
            <w:vAlign w:val="center"/>
          </w:tcPr>
          <w:p w14:paraId="27C9041B" w14:textId="77777777" w:rsidR="00AB628C" w:rsidRPr="009A7D0D" w:rsidRDefault="00AB628C" w:rsidP="00010E0F">
            <w:pPr>
              <w:jc w:val="center"/>
              <w:rPr>
                <w:rFonts w:cstheme="minorHAnsi"/>
              </w:rPr>
            </w:pPr>
            <w:r w:rsidRPr="00D73AAF">
              <w:rPr>
                <w:b/>
                <w:color w:val="FFFFFF" w:themeColor="background1"/>
                <w:sz w:val="24"/>
                <w:szCs w:val="24"/>
              </w:rPr>
              <w:t>CF strategic priority: Citizen and community engagement for social cohesion</w:t>
            </w:r>
          </w:p>
        </w:tc>
      </w:tr>
      <w:tr w:rsidR="00AB628C" w:rsidRPr="00BE2C78" w14:paraId="0479F4BB" w14:textId="77777777" w:rsidTr="009674CE">
        <w:trPr>
          <w:trHeight w:val="311"/>
        </w:trPr>
        <w:tc>
          <w:tcPr>
            <w:tcW w:w="14065"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95B3D7" w:themeFill="accent1" w:themeFillTint="99"/>
          </w:tcPr>
          <w:p w14:paraId="11C755B9" w14:textId="77777777" w:rsidR="00AB628C" w:rsidRDefault="00AB628C" w:rsidP="00010E0F">
            <w:pPr>
              <w:spacing w:before="60" w:after="60"/>
              <w:rPr>
                <w:rFonts w:cstheme="minorHAnsi"/>
                <w:color w:val="0F243E" w:themeColor="text2" w:themeShade="80"/>
                <w:sz w:val="20"/>
                <w:szCs w:val="20"/>
              </w:rPr>
            </w:pPr>
            <w:r w:rsidRPr="00BE2C78">
              <w:rPr>
                <w:rFonts w:cstheme="minorHAnsi"/>
                <w:b/>
                <w:color w:val="0F243E" w:themeColor="text2" w:themeShade="80"/>
                <w:sz w:val="20"/>
                <w:szCs w:val="20"/>
              </w:rPr>
              <w:t>SDGs and targets</w:t>
            </w:r>
            <w:r w:rsidRPr="00BE2C78">
              <w:rPr>
                <w:rStyle w:val="FootnoteReference"/>
                <w:rFonts w:cstheme="minorHAnsi"/>
                <w:b/>
                <w:color w:val="0F243E" w:themeColor="text2" w:themeShade="80"/>
                <w:sz w:val="20"/>
                <w:szCs w:val="20"/>
              </w:rPr>
              <w:footnoteReference w:id="167"/>
            </w:r>
            <w:r w:rsidRPr="00BE2C78">
              <w:rPr>
                <w:rFonts w:cstheme="minorHAnsi"/>
                <w:b/>
                <w:color w:val="0F243E" w:themeColor="text2" w:themeShade="80"/>
                <w:sz w:val="20"/>
                <w:szCs w:val="20"/>
              </w:rPr>
              <w:t xml:space="preserve">: </w:t>
            </w:r>
            <w:r w:rsidRPr="00EC3C73">
              <w:rPr>
                <w:rFonts w:cstheme="minorHAnsi"/>
                <w:b/>
                <w:color w:val="0F243E" w:themeColor="text2" w:themeShade="80"/>
                <w:sz w:val="20"/>
                <w:szCs w:val="20"/>
              </w:rPr>
              <w:t>5.</w:t>
            </w:r>
            <w:r w:rsidRPr="00BE2C78">
              <w:rPr>
                <w:rFonts w:cstheme="minorHAnsi"/>
                <w:color w:val="0F243E" w:themeColor="text2" w:themeShade="80"/>
                <w:sz w:val="20"/>
                <w:szCs w:val="20"/>
              </w:rPr>
              <w:t xml:space="preserve"> Gender equality: 5.2, 5.c; </w:t>
            </w:r>
            <w:r w:rsidRPr="00EC3C73">
              <w:rPr>
                <w:rFonts w:cstheme="minorHAnsi"/>
                <w:b/>
                <w:color w:val="0F243E" w:themeColor="text2" w:themeShade="80"/>
                <w:sz w:val="20"/>
                <w:szCs w:val="20"/>
              </w:rPr>
              <w:t>16.</w:t>
            </w:r>
            <w:r w:rsidRPr="00BE2C78">
              <w:rPr>
                <w:rFonts w:cstheme="minorHAnsi"/>
                <w:color w:val="0F243E" w:themeColor="text2" w:themeShade="80"/>
                <w:sz w:val="20"/>
                <w:szCs w:val="20"/>
              </w:rPr>
              <w:t xml:space="preserve"> Peace justice and strong institutions: 16.1, 16.3, 16.6, 16.7, 16.10, 16.b</w:t>
            </w:r>
          </w:p>
          <w:p w14:paraId="273056AD" w14:textId="77777777" w:rsidR="00AB628C" w:rsidRPr="00BE2C78" w:rsidRDefault="00AB628C" w:rsidP="00010E0F">
            <w:pPr>
              <w:spacing w:before="60" w:after="60"/>
              <w:rPr>
                <w:rFonts w:cstheme="minorHAnsi"/>
                <w:b/>
                <w:color w:val="0F243E" w:themeColor="text2" w:themeShade="80"/>
                <w:sz w:val="20"/>
                <w:szCs w:val="20"/>
              </w:rPr>
            </w:pPr>
            <w:r w:rsidRPr="00E05038">
              <w:rPr>
                <w:rFonts w:cstheme="minorHAnsi"/>
                <w:b/>
                <w:color w:val="0F243E" w:themeColor="text2" w:themeShade="80"/>
                <w:sz w:val="20"/>
                <w:szCs w:val="20"/>
              </w:rPr>
              <w:t>Sentinel impact indicators</w:t>
            </w:r>
            <w:r w:rsidRPr="00E05038">
              <w:rPr>
                <w:rFonts w:cstheme="minorHAnsi"/>
                <w:color w:val="0F243E" w:themeColor="text2" w:themeShade="80"/>
                <w:sz w:val="20"/>
                <w:szCs w:val="20"/>
              </w:rPr>
              <w:t>:: 1. Net migration rate; 5. Rule of law (SDG 16.3.1, proxy); 6. Voice &amp; accountability (SDG 16.7.2, proxy); 9. Proportion of population living below the national (relative) poverty line, by location, sex and age (SDG 1.2.1); 11. Gini index of income inequality (SDG 10.1.1, proxy)</w:t>
            </w:r>
          </w:p>
        </w:tc>
      </w:tr>
      <w:tr w:rsidR="00AB628C" w:rsidRPr="00BE2C78" w14:paraId="1ECA17DA" w14:textId="77777777" w:rsidTr="009674CE">
        <w:trPr>
          <w:trHeight w:val="311"/>
        </w:trPr>
        <w:tc>
          <w:tcPr>
            <w:tcW w:w="14065"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55AE6128" w14:textId="77777777" w:rsidR="00AB628C" w:rsidRPr="00BE2C78" w:rsidRDefault="00AB628C" w:rsidP="00010E0F">
            <w:pPr>
              <w:spacing w:before="60" w:after="60"/>
              <w:rPr>
                <w:rFonts w:cstheme="minorHAnsi"/>
                <w:color w:val="0F243E" w:themeColor="text2" w:themeShade="80"/>
                <w:sz w:val="20"/>
                <w:szCs w:val="20"/>
                <w:lang w:val="en"/>
              </w:rPr>
            </w:pPr>
            <w:r w:rsidRPr="00BE2C78">
              <w:rPr>
                <w:rFonts w:cstheme="minorHAnsi"/>
                <w:i/>
                <w:color w:val="0F243E" w:themeColor="text2" w:themeShade="80"/>
                <w:sz w:val="20"/>
                <w:szCs w:val="20"/>
                <w:lang w:val="en"/>
              </w:rPr>
              <w:t>SDG Framework in BiH</w:t>
            </w:r>
            <w:r>
              <w:rPr>
                <w:rFonts w:cstheme="minorHAnsi"/>
                <w:i/>
                <w:color w:val="0F243E" w:themeColor="text2" w:themeShade="80"/>
                <w:sz w:val="20"/>
                <w:szCs w:val="20"/>
                <w:lang w:val="en"/>
              </w:rPr>
              <w:t xml:space="preserve"> (draft)</w:t>
            </w:r>
            <w:r w:rsidRPr="00BE2C78">
              <w:rPr>
                <w:rFonts w:cstheme="minorHAnsi"/>
                <w:i/>
                <w:color w:val="0F243E" w:themeColor="text2" w:themeShade="80"/>
                <w:sz w:val="20"/>
                <w:szCs w:val="20"/>
                <w:lang w:val="en"/>
              </w:rPr>
              <w:t xml:space="preserve">: </w:t>
            </w:r>
            <w:r w:rsidRPr="00BE2C78">
              <w:rPr>
                <w:rFonts w:cstheme="minorHAnsi"/>
                <w:color w:val="0F243E" w:themeColor="text2" w:themeShade="80"/>
                <w:sz w:val="20"/>
                <w:szCs w:val="20"/>
                <w:lang w:val="en"/>
              </w:rPr>
              <w:t>1. Good governance:</w:t>
            </w:r>
            <w:r w:rsidRPr="006D0A01">
              <w:rPr>
                <w:rFonts w:cstheme="minorHAnsi"/>
                <w:color w:val="0F243E" w:themeColor="text2" w:themeShade="80"/>
                <w:sz w:val="20"/>
                <w:szCs w:val="20"/>
                <w:lang w:val="en"/>
              </w:rPr>
              <w:t xml:space="preserve"> i. </w:t>
            </w:r>
            <w:r>
              <w:rPr>
                <w:rFonts w:cstheme="minorHAnsi"/>
                <w:color w:val="0F243E" w:themeColor="text2" w:themeShade="80"/>
                <w:sz w:val="20"/>
                <w:szCs w:val="20"/>
                <w:lang w:val="en"/>
              </w:rPr>
              <w:t xml:space="preserve">Efficient, transparent, inclusive and </w:t>
            </w:r>
            <w:r w:rsidRPr="006D0A01">
              <w:rPr>
                <w:rFonts w:cstheme="minorHAnsi"/>
                <w:color w:val="0F243E" w:themeColor="text2" w:themeShade="80"/>
                <w:sz w:val="20"/>
                <w:szCs w:val="20"/>
                <w:lang w:val="en"/>
              </w:rPr>
              <w:t>accountable public sector, ii. Rule of Law</w:t>
            </w:r>
            <w:r>
              <w:rPr>
                <w:rFonts w:cstheme="minorHAnsi"/>
                <w:color w:val="0F243E" w:themeColor="text2" w:themeShade="80"/>
                <w:sz w:val="20"/>
                <w:szCs w:val="20"/>
                <w:lang w:val="en"/>
              </w:rPr>
              <w:t>/Fundamental rights</w:t>
            </w:r>
            <w:r w:rsidRPr="00BE2C78" w:rsidDel="00B502C6">
              <w:rPr>
                <w:rFonts w:cstheme="minorHAnsi"/>
                <w:color w:val="0F243E" w:themeColor="text2" w:themeShade="80"/>
                <w:sz w:val="20"/>
                <w:szCs w:val="20"/>
                <w:lang w:val="en"/>
              </w:rPr>
              <w:t xml:space="preserve"> </w:t>
            </w:r>
            <w:r w:rsidRPr="00BE2C78">
              <w:rPr>
                <w:rFonts w:cstheme="minorHAnsi"/>
                <w:color w:val="0F243E" w:themeColor="text2" w:themeShade="80"/>
                <w:sz w:val="20"/>
                <w:szCs w:val="20"/>
                <w:lang w:val="en"/>
              </w:rPr>
              <w:t xml:space="preserve">; </w:t>
            </w:r>
            <w:r>
              <w:rPr>
                <w:rFonts w:cstheme="minorHAnsi"/>
                <w:color w:val="0F243E" w:themeColor="text2" w:themeShade="80"/>
                <w:sz w:val="20"/>
                <w:szCs w:val="20"/>
                <w:lang w:val="en"/>
              </w:rPr>
              <w:t>Cross-cutting:</w:t>
            </w:r>
            <w:r w:rsidRPr="00BE2C78">
              <w:rPr>
                <w:rFonts w:cstheme="minorHAnsi"/>
                <w:color w:val="0F243E" w:themeColor="text2" w:themeShade="80"/>
                <w:sz w:val="20"/>
                <w:szCs w:val="20"/>
                <w:lang w:val="en"/>
              </w:rPr>
              <w:t xml:space="preserve"> Human capital for 21</w:t>
            </w:r>
            <w:r w:rsidRPr="00BE2C78">
              <w:rPr>
                <w:rFonts w:cstheme="minorHAnsi"/>
                <w:color w:val="0F243E" w:themeColor="text2" w:themeShade="80"/>
                <w:sz w:val="20"/>
                <w:szCs w:val="20"/>
                <w:vertAlign w:val="superscript"/>
                <w:lang w:val="en"/>
              </w:rPr>
              <w:t>st</w:t>
            </w:r>
            <w:r w:rsidRPr="00BE2C78">
              <w:rPr>
                <w:rFonts w:cstheme="minorHAnsi"/>
                <w:color w:val="0F243E" w:themeColor="text2" w:themeShade="80"/>
                <w:sz w:val="20"/>
                <w:szCs w:val="20"/>
                <w:lang w:val="en"/>
              </w:rPr>
              <w:t xml:space="preserve"> C</w:t>
            </w:r>
            <w:r>
              <w:rPr>
                <w:rFonts w:cstheme="minorHAnsi"/>
                <w:color w:val="0F243E" w:themeColor="text2" w:themeShade="80"/>
                <w:sz w:val="20"/>
                <w:szCs w:val="20"/>
                <w:lang w:val="en"/>
              </w:rPr>
              <w:t xml:space="preserve"> and Leave no one behind</w:t>
            </w:r>
            <w:r w:rsidRPr="00BE2C78">
              <w:rPr>
                <w:rFonts w:cstheme="minorHAnsi"/>
                <w:color w:val="0F243E" w:themeColor="text2" w:themeShade="80"/>
                <w:sz w:val="20"/>
                <w:szCs w:val="20"/>
                <w:lang w:val="en"/>
              </w:rPr>
              <w:t xml:space="preserve"> </w:t>
            </w:r>
            <w:r w:rsidRPr="00BE2C78">
              <w:rPr>
                <w:rFonts w:cstheme="minorHAnsi"/>
                <w:color w:val="0F243E" w:themeColor="text2" w:themeShade="80"/>
                <w:sz w:val="20"/>
                <w:szCs w:val="20"/>
                <w:lang w:val="en"/>
              </w:rPr>
              <w:t> </w:t>
            </w:r>
          </w:p>
          <w:p w14:paraId="1DD2105A" w14:textId="77777777" w:rsidR="00AB628C" w:rsidRPr="00BE2C78" w:rsidRDefault="00AB628C" w:rsidP="00010E0F">
            <w:pPr>
              <w:rPr>
                <w:sz w:val="20"/>
                <w:szCs w:val="20"/>
              </w:rPr>
            </w:pPr>
            <w:r w:rsidRPr="00BE2C78">
              <w:rPr>
                <w:rFonts w:cstheme="minorHAnsi"/>
                <w:i/>
                <w:color w:val="0F243E" w:themeColor="text2" w:themeShade="80"/>
                <w:sz w:val="20"/>
                <w:szCs w:val="20"/>
              </w:rPr>
              <w:t>EU accession</w:t>
            </w:r>
            <w:r w:rsidRPr="00BA6A02">
              <w:rPr>
                <w:rStyle w:val="FootnoteReference"/>
                <w:rFonts w:cstheme="minorHAnsi"/>
                <w:i/>
                <w:color w:val="0F243E" w:themeColor="text2" w:themeShade="80"/>
                <w:sz w:val="20"/>
                <w:szCs w:val="20"/>
              </w:rPr>
              <w:footnoteReference w:id="168"/>
            </w:r>
            <w:r w:rsidRPr="00BE2C78">
              <w:rPr>
                <w:rFonts w:cstheme="minorHAnsi"/>
                <w:color w:val="0F243E" w:themeColor="text2" w:themeShade="80"/>
                <w:sz w:val="20"/>
                <w:szCs w:val="20"/>
              </w:rPr>
              <w:t>:</w:t>
            </w:r>
            <w:r w:rsidRPr="00BE2C78">
              <w:rPr>
                <w:rFonts w:cstheme="minorHAnsi"/>
                <w:b/>
                <w:color w:val="0F243E" w:themeColor="text2" w:themeShade="80"/>
                <w:sz w:val="20"/>
                <w:szCs w:val="20"/>
              </w:rPr>
              <w:t xml:space="preserve"> </w:t>
            </w:r>
            <w:r w:rsidRPr="00BE2C78">
              <w:rPr>
                <w:rFonts w:cstheme="minorHAnsi"/>
                <w:color w:val="0F243E" w:themeColor="text2" w:themeShade="80"/>
                <w:sz w:val="20"/>
                <w:szCs w:val="20"/>
              </w:rPr>
              <w:t>(1) IPA-3 Rule of Law Democracy &amp; Human Rights;</w:t>
            </w:r>
            <w:r w:rsidRPr="00BE2C78">
              <w:rPr>
                <w:rFonts w:cstheme="minorHAnsi"/>
                <w:b/>
                <w:color w:val="0F243E" w:themeColor="text2" w:themeShade="80"/>
                <w:sz w:val="20"/>
                <w:szCs w:val="20"/>
              </w:rPr>
              <w:t xml:space="preserve"> </w:t>
            </w:r>
            <w:r w:rsidRPr="00BE2C78">
              <w:rPr>
                <w:sz w:val="20"/>
                <w:szCs w:val="20"/>
              </w:rPr>
              <w:t xml:space="preserve">(2) Op5. Promote environment for reconciliation, </w:t>
            </w:r>
            <w:r w:rsidRPr="00BE2C78">
              <w:rPr>
                <w:rFonts w:cstheme="minorHAnsi"/>
                <w:color w:val="0F243E" w:themeColor="text2" w:themeShade="80"/>
                <w:sz w:val="20"/>
                <w:szCs w:val="20"/>
              </w:rPr>
              <w:t xml:space="preserve">Op9. Protection of human rights, non-discrimination, </w:t>
            </w:r>
            <w:r w:rsidRPr="00BE2C78">
              <w:rPr>
                <w:sz w:val="20"/>
                <w:szCs w:val="20"/>
              </w:rPr>
              <w:t>Op11. Ensure enabling environment for civil society,</w:t>
            </w:r>
            <w:r w:rsidRPr="00BE2C78">
              <w:rPr>
                <w:rFonts w:cstheme="minorHAnsi"/>
                <w:color w:val="0F243E" w:themeColor="text2" w:themeShade="80"/>
                <w:sz w:val="20"/>
                <w:szCs w:val="20"/>
              </w:rPr>
              <w:t xml:space="preserve"> Op12. </w:t>
            </w:r>
            <w:r w:rsidRPr="00BE2C78">
              <w:rPr>
                <w:sz w:val="20"/>
                <w:szCs w:val="20"/>
              </w:rPr>
              <w:t>Guarantee freedom of expression,</w:t>
            </w:r>
            <w:r w:rsidRPr="00BE2C78">
              <w:rPr>
                <w:rFonts w:cstheme="minorHAnsi"/>
                <w:color w:val="0F243E" w:themeColor="text2" w:themeShade="80"/>
                <w:sz w:val="20"/>
                <w:szCs w:val="20"/>
              </w:rPr>
              <w:t xml:space="preserve"> Op13. Improve the protection and inclusion of vulnerable groups</w:t>
            </w:r>
            <w:r w:rsidRPr="00BE2C78">
              <w:rPr>
                <w:sz w:val="20"/>
                <w:szCs w:val="20"/>
              </w:rPr>
              <w:t xml:space="preserve"> 11. Ensure an enabling environment for civil society</w:t>
            </w:r>
          </w:p>
        </w:tc>
      </w:tr>
      <w:tr w:rsidR="00AB628C" w:rsidRPr="00BE2C78" w14:paraId="06B89C8A" w14:textId="77777777" w:rsidTr="009674CE">
        <w:trPr>
          <w:trHeight w:val="311"/>
        </w:trPr>
        <w:tc>
          <w:tcPr>
            <w:tcW w:w="14065"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4A01C0CA" w14:textId="77777777" w:rsidR="00AB628C" w:rsidRPr="00BE2C78" w:rsidRDefault="00AB628C" w:rsidP="00010E0F">
            <w:pPr>
              <w:spacing w:before="40" w:after="40"/>
              <w:rPr>
                <w:rFonts w:cstheme="minorHAnsi"/>
                <w:b/>
                <w:sz w:val="20"/>
                <w:szCs w:val="20"/>
              </w:rPr>
            </w:pPr>
            <w:r w:rsidRPr="00B322B2">
              <w:rPr>
                <w:rFonts w:cstheme="minorHAnsi"/>
                <w:i/>
                <w:sz w:val="20"/>
                <w:szCs w:val="20"/>
              </w:rPr>
              <w:t>Joint Socio-Economic Reforms, 2019-2022</w:t>
            </w:r>
            <w:r w:rsidRPr="00E41F80">
              <w:rPr>
                <w:rFonts w:cstheme="minorHAnsi"/>
                <w:sz w:val="20"/>
                <w:szCs w:val="20"/>
                <w:vertAlign w:val="superscript"/>
              </w:rPr>
              <w:footnoteReference w:id="169"/>
            </w:r>
            <w:r w:rsidRPr="00E41F80">
              <w:rPr>
                <w:rFonts w:cstheme="minorHAnsi"/>
                <w:sz w:val="20"/>
                <w:szCs w:val="20"/>
              </w:rPr>
              <w:t>:</w:t>
            </w:r>
            <w:r w:rsidRPr="00BE2C78">
              <w:rPr>
                <w:rFonts w:cstheme="minorHAnsi"/>
                <w:b/>
                <w:sz w:val="20"/>
                <w:szCs w:val="20"/>
              </w:rPr>
              <w:t xml:space="preserve"> </w:t>
            </w:r>
          </w:p>
          <w:p w14:paraId="404DE0DF" w14:textId="77777777" w:rsidR="00AB628C" w:rsidRPr="00BE2C78" w:rsidRDefault="00AB628C" w:rsidP="00010E0F">
            <w:pPr>
              <w:spacing w:before="60" w:after="60"/>
              <w:rPr>
                <w:rFonts w:cstheme="minorHAnsi"/>
                <w:b/>
                <w:sz w:val="20"/>
                <w:szCs w:val="20"/>
              </w:rPr>
            </w:pPr>
            <w:r w:rsidRPr="00BE2C78">
              <w:rPr>
                <w:rFonts w:cstheme="minorHAnsi"/>
                <w:sz w:val="20"/>
                <w:szCs w:val="20"/>
              </w:rPr>
              <w:t>‘</w:t>
            </w:r>
            <w:r w:rsidRPr="00BE2C78">
              <w:rPr>
                <w:rFonts w:cstheme="minorHAnsi"/>
                <w:i/>
                <w:sz w:val="20"/>
                <w:szCs w:val="20"/>
              </w:rPr>
              <w:t>We recognise that…only a strong rule of law and safe and stable environment can bring about the necessary economic progress</w:t>
            </w:r>
            <w:r w:rsidRPr="00BE2C78">
              <w:rPr>
                <w:rFonts w:cstheme="minorHAnsi"/>
                <w:sz w:val="20"/>
                <w:szCs w:val="20"/>
              </w:rPr>
              <w:t>. ‘…</w:t>
            </w:r>
            <w:r w:rsidRPr="00BE2C78">
              <w:rPr>
                <w:rFonts w:cstheme="minorHAnsi"/>
                <w:i/>
                <w:sz w:val="20"/>
                <w:szCs w:val="20"/>
              </w:rPr>
              <w:t>more will be done to stem the persisting brain drain and allow youth and women to unleash their full potential</w:t>
            </w:r>
            <w:r w:rsidRPr="00BE2C78">
              <w:rPr>
                <w:rFonts w:cstheme="minorHAnsi"/>
                <w:sz w:val="20"/>
                <w:szCs w:val="20"/>
              </w:rPr>
              <w:t>.’</w:t>
            </w:r>
            <w:r>
              <w:rPr>
                <w:rFonts w:cstheme="minorHAnsi"/>
                <w:sz w:val="20"/>
                <w:szCs w:val="20"/>
              </w:rPr>
              <w:t>-</w:t>
            </w:r>
            <w:r w:rsidRPr="00BE2C78">
              <w:rPr>
                <w:rFonts w:cstheme="minorHAnsi"/>
                <w:sz w:val="20"/>
                <w:szCs w:val="20"/>
              </w:rPr>
              <w:t xml:space="preserve"> </w:t>
            </w:r>
            <w:r w:rsidRPr="00BE376D">
              <w:rPr>
                <w:rFonts w:cstheme="minorHAnsi"/>
                <w:sz w:val="20"/>
                <w:szCs w:val="20"/>
                <w:u w:val="single"/>
              </w:rPr>
              <w:t>Preamble</w:t>
            </w:r>
          </w:p>
        </w:tc>
      </w:tr>
      <w:tr w:rsidR="00AB628C" w:rsidRPr="00BE2C78" w14:paraId="5EA1042C" w14:textId="77777777" w:rsidTr="009674CE">
        <w:trPr>
          <w:trHeight w:val="311"/>
        </w:trPr>
        <w:tc>
          <w:tcPr>
            <w:tcW w:w="14065" w:type="dxa"/>
            <w:gridSpan w:val="7"/>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DBE5F1" w:themeFill="accent1" w:themeFillTint="33"/>
          </w:tcPr>
          <w:p w14:paraId="7359FF38" w14:textId="77777777" w:rsidR="00AB628C" w:rsidRPr="00BE2C78" w:rsidRDefault="00AB628C" w:rsidP="00010E0F">
            <w:pPr>
              <w:spacing w:before="60" w:after="60"/>
              <w:rPr>
                <w:rFonts w:cstheme="minorHAnsi"/>
                <w:b/>
                <w:color w:val="0F243E" w:themeColor="text2" w:themeShade="80"/>
                <w:sz w:val="20"/>
                <w:szCs w:val="20"/>
                <w:lang w:val="en-US"/>
              </w:rPr>
            </w:pPr>
            <w:r w:rsidRPr="00B322B2">
              <w:rPr>
                <w:rFonts w:cstheme="minorHAnsi"/>
                <w:i/>
                <w:color w:val="0F243E" w:themeColor="text2" w:themeShade="80"/>
                <w:sz w:val="20"/>
                <w:szCs w:val="20"/>
              </w:rPr>
              <w:t>Regional framework</w:t>
            </w:r>
            <w:r w:rsidRPr="00BE2C78">
              <w:rPr>
                <w:rFonts w:cstheme="minorHAnsi"/>
                <w:b/>
                <w:color w:val="0F243E" w:themeColor="text2" w:themeShade="80"/>
                <w:sz w:val="20"/>
                <w:szCs w:val="20"/>
              </w:rPr>
              <w:t xml:space="preserve">: </w:t>
            </w:r>
            <w:r w:rsidRPr="00BE2C78">
              <w:rPr>
                <w:rFonts w:cstheme="minorHAnsi"/>
                <w:color w:val="0F243E" w:themeColor="text2" w:themeShade="80"/>
                <w:sz w:val="20"/>
                <w:szCs w:val="20"/>
              </w:rPr>
              <w:t>Western Balkans Action Plan</w:t>
            </w:r>
            <w:r w:rsidRPr="00BE2C78">
              <w:rPr>
                <w:rStyle w:val="FootnoteReference"/>
                <w:rFonts w:cstheme="minorHAnsi"/>
                <w:sz w:val="20"/>
                <w:szCs w:val="20"/>
                <w:lang w:val="en-US"/>
              </w:rPr>
              <w:footnoteReference w:id="170"/>
            </w:r>
            <w:r w:rsidRPr="00BE2C78">
              <w:rPr>
                <w:rFonts w:cstheme="minorHAnsi"/>
                <w:color w:val="0F243E" w:themeColor="text2" w:themeShade="80"/>
                <w:sz w:val="20"/>
                <w:szCs w:val="20"/>
              </w:rPr>
              <w:t xml:space="preserve">: (1) Engage leadership, (2) Empowering positive agents of change, (3) Address </w:t>
            </w:r>
            <w:r w:rsidRPr="00604031">
              <w:rPr>
                <w:color w:val="0F243E" w:themeColor="text2" w:themeShade="80"/>
                <w:sz w:val="20"/>
              </w:rPr>
              <w:t>challenges</w:t>
            </w:r>
            <w:r>
              <w:rPr>
                <w:rFonts w:cstheme="minorHAnsi"/>
                <w:color w:val="0F243E" w:themeColor="text2" w:themeShade="80"/>
                <w:sz w:val="20"/>
                <w:szCs w:val="20"/>
                <w:lang w:val="en-GB"/>
              </w:rPr>
              <w:t xml:space="preserve"> in the area of rule of law, including impunity</w:t>
            </w:r>
            <w:r w:rsidRPr="00BE2C78">
              <w:rPr>
                <w:rFonts w:cstheme="minorHAnsi"/>
                <w:color w:val="0F243E" w:themeColor="text2" w:themeShade="80"/>
                <w:sz w:val="20"/>
                <w:szCs w:val="20"/>
              </w:rPr>
              <w:t xml:space="preserve">, (4) Strengthening strategic coherence and effectiveness-UN and </w:t>
            </w:r>
            <w:r>
              <w:rPr>
                <w:rFonts w:cstheme="minorHAnsi"/>
                <w:color w:val="0F243E" w:themeColor="text2" w:themeShade="80"/>
                <w:sz w:val="20"/>
                <w:szCs w:val="20"/>
              </w:rPr>
              <w:t>key</w:t>
            </w:r>
            <w:r w:rsidRPr="00BE2C78">
              <w:rPr>
                <w:rFonts w:cstheme="minorHAnsi"/>
                <w:color w:val="0F243E" w:themeColor="text2" w:themeShade="80"/>
                <w:sz w:val="20"/>
                <w:szCs w:val="20"/>
              </w:rPr>
              <w:t xml:space="preserve"> stakeholders</w:t>
            </w:r>
          </w:p>
        </w:tc>
      </w:tr>
      <w:tr w:rsidR="00AB628C" w:rsidRPr="009A7D0D" w14:paraId="590EF077" w14:textId="77777777" w:rsidTr="009674CE">
        <w:trPr>
          <w:trHeight w:val="337"/>
          <w:tblHeader/>
        </w:trPr>
        <w:tc>
          <w:tcPr>
            <w:tcW w:w="3745" w:type="dxa"/>
            <w:gridSpan w:val="2"/>
            <w:tcBorders>
              <w:top w:val="single" w:sz="4" w:space="0" w:color="548DD4" w:themeColor="text2" w:themeTint="99"/>
              <w:left w:val="single" w:sz="4" w:space="0" w:color="auto"/>
              <w:bottom w:val="single" w:sz="4" w:space="0" w:color="548DD4" w:themeColor="text2" w:themeTint="99"/>
              <w:right w:val="nil"/>
            </w:tcBorders>
            <w:shd w:val="clear" w:color="auto" w:fill="244061" w:themeFill="accent1" w:themeFillShade="80"/>
            <w:vAlign w:val="center"/>
          </w:tcPr>
          <w:p w14:paraId="6229FD59"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Outcome</w:t>
            </w:r>
          </w:p>
        </w:tc>
        <w:tc>
          <w:tcPr>
            <w:tcW w:w="5953" w:type="dxa"/>
            <w:gridSpan w:val="3"/>
            <w:tcBorders>
              <w:top w:val="single" w:sz="4" w:space="0" w:color="548DD4" w:themeColor="text2" w:themeTint="99"/>
              <w:left w:val="nil"/>
              <w:bottom w:val="single" w:sz="4" w:space="0" w:color="548DD4" w:themeColor="text2" w:themeTint="99"/>
              <w:right w:val="nil"/>
            </w:tcBorders>
            <w:shd w:val="clear" w:color="auto" w:fill="244061" w:themeFill="accent1" w:themeFillShade="80"/>
            <w:vAlign w:val="center"/>
          </w:tcPr>
          <w:p w14:paraId="7FE938B6"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Indicators, Baselines, Targets, Data source</w:t>
            </w:r>
          </w:p>
        </w:tc>
        <w:tc>
          <w:tcPr>
            <w:tcW w:w="4367" w:type="dxa"/>
            <w:gridSpan w:val="2"/>
            <w:tcBorders>
              <w:top w:val="single" w:sz="4" w:space="0" w:color="548DD4" w:themeColor="text2" w:themeTint="99"/>
              <w:left w:val="nil"/>
              <w:bottom w:val="single" w:sz="4" w:space="0" w:color="548DD4" w:themeColor="text2" w:themeTint="99"/>
              <w:right w:val="single" w:sz="4" w:space="0" w:color="auto"/>
            </w:tcBorders>
            <w:shd w:val="clear" w:color="auto" w:fill="244061" w:themeFill="accent1" w:themeFillShade="80"/>
            <w:vAlign w:val="center"/>
          </w:tcPr>
          <w:p w14:paraId="3131A836" w14:textId="77777777" w:rsidR="00AB628C" w:rsidRPr="009A7D0D" w:rsidRDefault="00AB628C" w:rsidP="00010E0F">
            <w:pPr>
              <w:jc w:val="center"/>
              <w:rPr>
                <w:color w:val="FFFFFF" w:themeColor="background1"/>
                <w:sz w:val="18"/>
                <w:szCs w:val="18"/>
              </w:rPr>
            </w:pPr>
            <w:r w:rsidRPr="009A7D0D">
              <w:rPr>
                <w:color w:val="FFFFFF" w:themeColor="background1"/>
                <w:sz w:val="18"/>
                <w:szCs w:val="18"/>
              </w:rPr>
              <w:t>Partners</w:t>
            </w:r>
          </w:p>
        </w:tc>
      </w:tr>
      <w:tr w:rsidR="00AB628C" w:rsidRPr="00AE0359" w14:paraId="346EB471" w14:textId="77777777" w:rsidTr="009674CE">
        <w:trPr>
          <w:trHeight w:val="538"/>
        </w:trPr>
        <w:tc>
          <w:tcPr>
            <w:tcW w:w="3560" w:type="dxa"/>
            <w:vMerge w:val="restart"/>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2D2BDEB2" w14:textId="77777777" w:rsidR="00AB628C" w:rsidRDefault="00AB628C" w:rsidP="00010E0F">
            <w:pPr>
              <w:rPr>
                <w:rFonts w:cstheme="minorHAnsi"/>
                <w:bCs/>
                <w:sz w:val="20"/>
                <w:szCs w:val="20"/>
              </w:rPr>
            </w:pPr>
            <w:r w:rsidRPr="00FA59BE">
              <w:rPr>
                <w:rFonts w:cstheme="minorHAnsi"/>
                <w:b/>
                <w:sz w:val="20"/>
                <w:szCs w:val="20"/>
              </w:rPr>
              <w:t xml:space="preserve">Outcome 5. </w:t>
            </w:r>
            <w:r w:rsidRPr="00FA59BE">
              <w:rPr>
                <w:rFonts w:cstheme="minorHAnsi"/>
                <w:bCs/>
                <w:sz w:val="20"/>
                <w:szCs w:val="20"/>
              </w:rPr>
              <w:t>By 2025, there is stronger mutual understanding, respect and trust among individuals and communities</w:t>
            </w:r>
          </w:p>
          <w:p w14:paraId="070B27DD" w14:textId="77777777" w:rsidR="00AB628C" w:rsidRDefault="00AB628C" w:rsidP="00010E0F">
            <w:pPr>
              <w:rPr>
                <w:rFonts w:cstheme="minorHAnsi"/>
                <w:bCs/>
                <w:sz w:val="20"/>
                <w:szCs w:val="20"/>
              </w:rPr>
            </w:pPr>
          </w:p>
          <w:p w14:paraId="2201758D" w14:textId="3E66CA96" w:rsidR="00AB628C" w:rsidRPr="00AE0359" w:rsidRDefault="00AB628C" w:rsidP="00010E0F">
            <w:pPr>
              <w:rPr>
                <w:rFonts w:cstheme="minorHAnsi"/>
                <w:b/>
                <w:sz w:val="20"/>
                <w:szCs w:val="20"/>
              </w:rPr>
            </w:pPr>
          </w:p>
        </w:tc>
        <w:tc>
          <w:tcPr>
            <w:tcW w:w="6386"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D076223" w14:textId="00916868" w:rsidR="00AB628C" w:rsidRPr="00D20843" w:rsidRDefault="00AB628C" w:rsidP="00010E0F">
            <w:pPr>
              <w:rPr>
                <w:rFonts w:cstheme="minorHAnsi"/>
                <w:sz w:val="20"/>
                <w:szCs w:val="20"/>
              </w:rPr>
            </w:pPr>
            <w:r w:rsidRPr="000E638A">
              <w:rPr>
                <w:rFonts w:cstheme="minorHAnsi"/>
                <w:b/>
                <w:bCs/>
                <w:sz w:val="20"/>
                <w:szCs w:val="20"/>
              </w:rPr>
              <w:t>5.</w:t>
            </w:r>
            <w:r>
              <w:rPr>
                <w:rFonts w:cstheme="minorHAnsi"/>
                <w:b/>
                <w:bCs/>
                <w:sz w:val="20"/>
                <w:szCs w:val="20"/>
              </w:rPr>
              <w:t>a</w:t>
            </w:r>
            <w:r w:rsidRPr="009E30F8">
              <w:rPr>
                <w:rFonts w:cstheme="minorHAnsi"/>
                <w:sz w:val="20"/>
                <w:szCs w:val="20"/>
              </w:rPr>
              <w:t xml:space="preserve"> </w:t>
            </w:r>
            <w:r>
              <w:rPr>
                <w:rFonts w:cstheme="minorHAnsi"/>
                <w:sz w:val="20"/>
                <w:szCs w:val="20"/>
              </w:rPr>
              <w:t>Proportion of p</w:t>
            </w:r>
            <w:r w:rsidRPr="009E30F8">
              <w:rPr>
                <w:rFonts w:cstheme="minorHAnsi"/>
                <w:sz w:val="20"/>
                <w:szCs w:val="20"/>
              </w:rPr>
              <w:t xml:space="preserve">eople who express a general level of trust in society </w:t>
            </w:r>
            <w:r>
              <w:rPr>
                <w:rFonts w:cstheme="minorHAnsi"/>
                <w:sz w:val="20"/>
                <w:szCs w:val="20"/>
              </w:rPr>
              <w:br/>
            </w:r>
            <w:r w:rsidRPr="009E30F8">
              <w:rPr>
                <w:rFonts w:cstheme="minorHAnsi"/>
                <w:sz w:val="20"/>
                <w:szCs w:val="20"/>
              </w:rPr>
              <w:t>(</w:t>
            </w:r>
            <w:r w:rsidRPr="009E30F8">
              <w:rPr>
                <w:rFonts w:ascii="Wingdings" w:eastAsia="Wingdings" w:hAnsi="Wingdings" w:cstheme="minorHAnsi"/>
                <w:sz w:val="20"/>
                <w:szCs w:val="20"/>
              </w:rPr>
              <w:t></w:t>
            </w:r>
            <w:r w:rsidRPr="009E30F8">
              <w:rPr>
                <w:rFonts w:cstheme="minorHAnsi"/>
                <w:sz w:val="20"/>
                <w:szCs w:val="20"/>
              </w:rPr>
              <w:t>SDG16.1.4; 16.7.2)</w:t>
            </w:r>
            <w:r>
              <w:rPr>
                <w:rFonts w:cstheme="minorHAnsi"/>
                <w:sz w:val="20"/>
                <w:szCs w:val="20"/>
              </w:rPr>
              <w:t xml:space="preserve"> </w:t>
            </w:r>
          </w:p>
        </w:tc>
        <w:tc>
          <w:tcPr>
            <w:tcW w:w="411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0F4CB03C" w14:textId="1B56F07B" w:rsidR="00AB628C" w:rsidRPr="003D3D83" w:rsidRDefault="00AB628C" w:rsidP="00010E0F">
            <w:pPr>
              <w:rPr>
                <w:rFonts w:cstheme="minorHAnsi"/>
                <w:sz w:val="20"/>
                <w:szCs w:val="20"/>
              </w:rPr>
            </w:pPr>
            <w:r w:rsidRPr="003D3D83">
              <w:rPr>
                <w:rFonts w:cstheme="minorHAnsi"/>
                <w:sz w:val="20"/>
                <w:szCs w:val="20"/>
                <w:u w:val="single"/>
              </w:rPr>
              <w:t>BiH</w:t>
            </w:r>
            <w:r w:rsidRPr="003D3D83">
              <w:rPr>
                <w:rFonts w:cstheme="minorHAnsi"/>
                <w:sz w:val="20"/>
                <w:szCs w:val="20"/>
              </w:rPr>
              <w:t>:</w:t>
            </w:r>
          </w:p>
          <w:p w14:paraId="0C11A745" w14:textId="71546A22" w:rsidR="00AB628C" w:rsidRPr="003D3D83" w:rsidRDefault="00AB628C" w:rsidP="00AB628C">
            <w:pPr>
              <w:pStyle w:val="ListParagraph"/>
              <w:numPr>
                <w:ilvl w:val="0"/>
                <w:numId w:val="13"/>
              </w:numPr>
              <w:ind w:left="203" w:hanging="203"/>
              <w:rPr>
                <w:rFonts w:cstheme="minorHAnsi"/>
                <w:sz w:val="20"/>
                <w:szCs w:val="20"/>
              </w:rPr>
            </w:pPr>
            <w:r w:rsidRPr="003D3D83">
              <w:rPr>
                <w:rFonts w:cstheme="minorHAnsi"/>
                <w:sz w:val="20"/>
                <w:szCs w:val="20"/>
                <w:lang w:val="en-CA"/>
              </w:rPr>
              <w:t>Relevant</w:t>
            </w:r>
            <w:r w:rsidRPr="003D3D83">
              <w:rPr>
                <w:rFonts w:cstheme="minorHAnsi"/>
                <w:sz w:val="20"/>
                <w:szCs w:val="20"/>
              </w:rPr>
              <w:t xml:space="preserve"> </w:t>
            </w:r>
            <w:r w:rsidR="008277EB" w:rsidRPr="003D3D83">
              <w:rPr>
                <w:rFonts w:cstheme="minorHAnsi"/>
                <w:sz w:val="20"/>
                <w:szCs w:val="20"/>
              </w:rPr>
              <w:t xml:space="preserve">authorities in </w:t>
            </w:r>
            <w:r w:rsidRPr="003D3D83">
              <w:rPr>
                <w:rFonts w:cstheme="minorHAnsi"/>
                <w:sz w:val="20"/>
                <w:szCs w:val="20"/>
              </w:rPr>
              <w:t xml:space="preserve">BiH </w:t>
            </w:r>
          </w:p>
          <w:p w14:paraId="1C4AC1C2" w14:textId="77777777" w:rsidR="00AB628C" w:rsidRPr="003D3D83" w:rsidRDefault="00AB628C" w:rsidP="00010E0F">
            <w:pPr>
              <w:pStyle w:val="ListParagraph"/>
              <w:numPr>
                <w:ilvl w:val="0"/>
                <w:numId w:val="0"/>
              </w:numPr>
              <w:ind w:left="203"/>
              <w:rPr>
                <w:rFonts w:cstheme="minorHAnsi"/>
                <w:sz w:val="20"/>
                <w:szCs w:val="20"/>
              </w:rPr>
            </w:pPr>
          </w:p>
          <w:p w14:paraId="7AF7F216" w14:textId="77777777" w:rsidR="00AB628C" w:rsidRPr="003D3D83" w:rsidRDefault="00AB628C" w:rsidP="00010E0F">
            <w:pPr>
              <w:rPr>
                <w:rFonts w:cstheme="minorHAnsi"/>
                <w:sz w:val="20"/>
                <w:szCs w:val="20"/>
                <w:lang w:val="en-US"/>
              </w:rPr>
            </w:pPr>
            <w:r w:rsidRPr="003D3D83">
              <w:rPr>
                <w:rFonts w:cstheme="minorHAnsi"/>
                <w:sz w:val="20"/>
                <w:szCs w:val="20"/>
                <w:u w:val="single"/>
              </w:rPr>
              <w:t>UN</w:t>
            </w:r>
            <w:r w:rsidRPr="003D3D83">
              <w:rPr>
                <w:rFonts w:cstheme="minorHAnsi"/>
                <w:sz w:val="20"/>
                <w:szCs w:val="20"/>
              </w:rPr>
              <w:t xml:space="preserve">: </w:t>
            </w:r>
          </w:p>
          <w:p w14:paraId="150F2231" w14:textId="11B84169" w:rsidR="00AB628C" w:rsidRPr="003D3D83" w:rsidRDefault="00AB628C" w:rsidP="00AB628C">
            <w:pPr>
              <w:pStyle w:val="ListParagraph"/>
              <w:numPr>
                <w:ilvl w:val="0"/>
                <w:numId w:val="13"/>
              </w:numPr>
              <w:spacing w:after="160" w:line="259" w:lineRule="auto"/>
              <w:ind w:left="203" w:hanging="203"/>
              <w:rPr>
                <w:rFonts w:cstheme="minorHAnsi"/>
                <w:color w:val="0F243E" w:themeColor="text2" w:themeShade="80"/>
                <w:sz w:val="20"/>
                <w:szCs w:val="20"/>
                <w:lang w:val="es-CR"/>
              </w:rPr>
            </w:pPr>
            <w:r w:rsidRPr="003D3D83">
              <w:rPr>
                <w:rFonts w:cstheme="minorHAnsi"/>
                <w:bCs/>
                <w:sz w:val="20"/>
                <w:szCs w:val="20"/>
                <w:lang w:val="es-CR"/>
              </w:rPr>
              <w:t>ILO, FAO, UNDP, UNESCO, IOM, UNFPA, UN Women, UNV, UNICEF</w:t>
            </w:r>
          </w:p>
          <w:p w14:paraId="009F705F" w14:textId="77777777" w:rsidR="00AB628C" w:rsidRPr="003D3D83" w:rsidRDefault="00AB628C" w:rsidP="00010E0F">
            <w:pPr>
              <w:rPr>
                <w:rFonts w:cstheme="minorHAnsi"/>
                <w:sz w:val="20"/>
                <w:szCs w:val="20"/>
              </w:rPr>
            </w:pPr>
            <w:r w:rsidRPr="003D3D83">
              <w:rPr>
                <w:rFonts w:cstheme="minorHAnsi"/>
                <w:sz w:val="20"/>
                <w:szCs w:val="20"/>
                <w:u w:val="single"/>
              </w:rPr>
              <w:t>Other Partners</w:t>
            </w:r>
            <w:r w:rsidRPr="003D3D83">
              <w:rPr>
                <w:rFonts w:cstheme="minorHAnsi"/>
                <w:sz w:val="20"/>
                <w:szCs w:val="20"/>
              </w:rPr>
              <w:t xml:space="preserve">: </w:t>
            </w:r>
          </w:p>
          <w:p w14:paraId="7FA69352" w14:textId="77777777" w:rsidR="00AB628C" w:rsidRPr="003D3D83" w:rsidRDefault="00AB628C" w:rsidP="00AB628C">
            <w:pPr>
              <w:pStyle w:val="ListParagraph"/>
              <w:numPr>
                <w:ilvl w:val="0"/>
                <w:numId w:val="13"/>
              </w:numPr>
              <w:ind w:left="203" w:hanging="203"/>
              <w:rPr>
                <w:rFonts w:cstheme="minorHAnsi"/>
                <w:color w:val="0F243E" w:themeColor="text2" w:themeShade="80"/>
                <w:sz w:val="20"/>
                <w:szCs w:val="20"/>
                <w:lang w:val="en-CA"/>
              </w:rPr>
            </w:pPr>
            <w:r w:rsidRPr="003D3D83">
              <w:rPr>
                <w:rFonts w:cstheme="minorHAnsi"/>
                <w:sz w:val="20"/>
                <w:szCs w:val="20"/>
                <w:lang w:val="en-CA"/>
              </w:rPr>
              <w:t xml:space="preserve">Relevant CSOs, international partners, and representatives of private sector and academia </w:t>
            </w:r>
          </w:p>
        </w:tc>
      </w:tr>
      <w:tr w:rsidR="00AB628C" w:rsidRPr="00AE0359" w14:paraId="4D3E687B" w14:textId="77777777" w:rsidTr="009674CE">
        <w:trPr>
          <w:trHeight w:val="1502"/>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160D1777" w14:textId="77777777" w:rsidR="00AB628C" w:rsidRPr="00AE0359"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F49DD7E" w14:textId="77777777" w:rsidR="00AB628C" w:rsidRPr="009E30F8" w:rsidRDefault="00AB628C" w:rsidP="00010E0F">
            <w:pPr>
              <w:rPr>
                <w:rFonts w:cstheme="minorHAnsi"/>
                <w:sz w:val="20"/>
                <w:szCs w:val="20"/>
              </w:rPr>
            </w:pPr>
            <w:r w:rsidRPr="009E30F8">
              <w:rPr>
                <w:rFonts w:cstheme="minorHAnsi"/>
                <w:sz w:val="20"/>
                <w:szCs w:val="20"/>
                <w:u w:val="single"/>
              </w:rPr>
              <w:t>Baseline</w:t>
            </w:r>
            <w:r w:rsidRPr="009E30F8">
              <w:rPr>
                <w:rFonts w:cstheme="minorHAnsi"/>
                <w:sz w:val="20"/>
                <w:szCs w:val="20"/>
              </w:rPr>
              <w:t>:</w:t>
            </w:r>
            <w:r>
              <w:rPr>
                <w:rFonts w:cstheme="minorHAnsi"/>
                <w:sz w:val="20"/>
                <w:szCs w:val="20"/>
              </w:rPr>
              <w:t xml:space="preserve"> (2019)</w:t>
            </w:r>
          </w:p>
          <w:p w14:paraId="1FC2D329" w14:textId="77777777" w:rsidR="00AB628C" w:rsidRPr="009E30F8" w:rsidRDefault="00AB628C" w:rsidP="00010E0F">
            <w:pPr>
              <w:rPr>
                <w:rFonts w:cstheme="minorHAnsi"/>
                <w:sz w:val="20"/>
                <w:szCs w:val="20"/>
              </w:rPr>
            </w:pPr>
            <w:r w:rsidRPr="009E30F8">
              <w:rPr>
                <w:rFonts w:cstheme="minorHAnsi"/>
                <w:sz w:val="20"/>
                <w:szCs w:val="20"/>
              </w:rPr>
              <w:t>T: 23</w:t>
            </w:r>
            <w:r>
              <w:rPr>
                <w:rFonts w:cstheme="minorHAnsi"/>
                <w:sz w:val="20"/>
                <w:szCs w:val="20"/>
              </w:rPr>
              <w:t>%</w:t>
            </w:r>
          </w:p>
          <w:p w14:paraId="102BA211" w14:textId="77777777" w:rsidR="00AB628C" w:rsidRPr="009E30F8" w:rsidRDefault="00AB628C" w:rsidP="00010E0F">
            <w:pPr>
              <w:rPr>
                <w:rFonts w:cstheme="minorHAnsi"/>
                <w:sz w:val="20"/>
                <w:szCs w:val="20"/>
              </w:rPr>
            </w:pPr>
            <w:r w:rsidRPr="009E30F8">
              <w:rPr>
                <w:rFonts w:cstheme="minorHAnsi"/>
                <w:sz w:val="20"/>
                <w:szCs w:val="20"/>
              </w:rPr>
              <w:t>M: 27</w:t>
            </w:r>
            <w:r>
              <w:rPr>
                <w:rFonts w:cstheme="minorHAnsi"/>
                <w:sz w:val="20"/>
                <w:szCs w:val="20"/>
              </w:rPr>
              <w:t>%</w:t>
            </w:r>
          </w:p>
          <w:p w14:paraId="74F5154E" w14:textId="77777777" w:rsidR="00AB628C" w:rsidRPr="009E30F8" w:rsidRDefault="00AB628C" w:rsidP="00010E0F">
            <w:pPr>
              <w:rPr>
                <w:rFonts w:cstheme="minorHAnsi"/>
                <w:sz w:val="20"/>
                <w:szCs w:val="20"/>
              </w:rPr>
            </w:pPr>
            <w:r w:rsidRPr="009E30F8">
              <w:rPr>
                <w:rFonts w:cstheme="minorHAnsi"/>
                <w:sz w:val="20"/>
                <w:szCs w:val="20"/>
              </w:rPr>
              <w:t>F: 19</w:t>
            </w:r>
            <w:r>
              <w:rPr>
                <w:rFonts w:cstheme="minorHAnsi"/>
                <w:sz w:val="20"/>
                <w:szCs w:val="20"/>
              </w:rPr>
              <w:t>%</w:t>
            </w:r>
          </w:p>
          <w:p w14:paraId="793F34D6" w14:textId="77777777" w:rsidR="00AB628C" w:rsidRPr="009E30F8" w:rsidRDefault="00AB628C" w:rsidP="00010E0F">
            <w:pPr>
              <w:rPr>
                <w:rFonts w:cstheme="minorHAnsi"/>
                <w:sz w:val="20"/>
                <w:szCs w:val="20"/>
              </w:rPr>
            </w:pPr>
            <w:r w:rsidRPr="009E30F8">
              <w:rPr>
                <w:rFonts w:cstheme="minorHAnsi"/>
                <w:sz w:val="20"/>
                <w:szCs w:val="20"/>
              </w:rPr>
              <w:t>Urban: 26</w:t>
            </w:r>
            <w:r>
              <w:rPr>
                <w:rFonts w:cstheme="minorHAnsi"/>
                <w:sz w:val="20"/>
                <w:szCs w:val="20"/>
              </w:rPr>
              <w:t>%</w:t>
            </w:r>
          </w:p>
          <w:p w14:paraId="08DAFE57" w14:textId="77777777" w:rsidR="00AB628C" w:rsidRPr="00AE0359" w:rsidRDefault="00AB628C" w:rsidP="00010E0F">
            <w:pPr>
              <w:rPr>
                <w:rFonts w:cstheme="minorHAnsi"/>
                <w:sz w:val="20"/>
                <w:szCs w:val="20"/>
              </w:rPr>
            </w:pPr>
            <w:r w:rsidRPr="009E30F8">
              <w:rPr>
                <w:rFonts w:cstheme="minorHAnsi"/>
                <w:sz w:val="20"/>
                <w:szCs w:val="20"/>
              </w:rPr>
              <w:t>Rural: 19</w:t>
            </w:r>
            <w:r>
              <w:rPr>
                <w:rFonts w:cstheme="minorHAnsi"/>
                <w:sz w:val="20"/>
                <w:szCs w:val="20"/>
              </w:rPr>
              <w:t>%</w:t>
            </w:r>
          </w:p>
        </w:tc>
        <w:tc>
          <w:tcPr>
            <w:tcW w:w="18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45C082D" w14:textId="77777777" w:rsidR="00AB628C" w:rsidRPr="008F75E8" w:rsidRDefault="00AB628C" w:rsidP="00010E0F">
            <w:pPr>
              <w:rPr>
                <w:rFonts w:cstheme="minorHAnsi"/>
                <w:sz w:val="20"/>
                <w:szCs w:val="20"/>
              </w:rPr>
            </w:pPr>
            <w:r w:rsidRPr="008F75E8">
              <w:rPr>
                <w:rFonts w:cstheme="minorHAnsi"/>
                <w:sz w:val="20"/>
                <w:szCs w:val="20"/>
                <w:u w:val="single"/>
              </w:rPr>
              <w:t>Target (2025)</w:t>
            </w:r>
            <w:r w:rsidRPr="008F75E8">
              <w:rPr>
                <w:rFonts w:cstheme="minorHAnsi"/>
                <w:sz w:val="20"/>
                <w:szCs w:val="20"/>
              </w:rPr>
              <w:t>:</w:t>
            </w:r>
          </w:p>
          <w:p w14:paraId="69B28581" w14:textId="77777777" w:rsidR="00AB628C" w:rsidRPr="008F75E8" w:rsidRDefault="00AB628C" w:rsidP="00010E0F">
            <w:pPr>
              <w:rPr>
                <w:rFonts w:cstheme="minorHAnsi"/>
                <w:sz w:val="20"/>
                <w:szCs w:val="20"/>
                <w:lang w:val="bs-Latn-BA"/>
              </w:rPr>
            </w:pPr>
            <w:r w:rsidRPr="008F75E8">
              <w:rPr>
                <w:rFonts w:cstheme="minorHAnsi"/>
                <w:sz w:val="20"/>
                <w:szCs w:val="20"/>
              </w:rPr>
              <w:t>T:  24%</w:t>
            </w:r>
          </w:p>
          <w:p w14:paraId="00B899EE" w14:textId="77777777" w:rsidR="00AB628C" w:rsidRPr="008F75E8" w:rsidRDefault="00AB628C" w:rsidP="00010E0F">
            <w:pPr>
              <w:rPr>
                <w:rFonts w:cstheme="minorHAnsi"/>
                <w:sz w:val="20"/>
                <w:szCs w:val="20"/>
              </w:rPr>
            </w:pPr>
            <w:r w:rsidRPr="008F75E8">
              <w:rPr>
                <w:rFonts w:cstheme="minorHAnsi"/>
                <w:sz w:val="20"/>
                <w:szCs w:val="20"/>
              </w:rPr>
              <w:t>M: 28%</w:t>
            </w:r>
          </w:p>
          <w:p w14:paraId="44F600CC" w14:textId="77777777" w:rsidR="00AB628C" w:rsidRPr="008F75E8" w:rsidRDefault="00AB628C" w:rsidP="00010E0F">
            <w:pPr>
              <w:rPr>
                <w:rFonts w:cstheme="minorHAnsi"/>
                <w:sz w:val="20"/>
                <w:szCs w:val="20"/>
              </w:rPr>
            </w:pPr>
            <w:r w:rsidRPr="008F75E8">
              <w:rPr>
                <w:rFonts w:cstheme="minorHAnsi"/>
                <w:sz w:val="20"/>
                <w:szCs w:val="20"/>
              </w:rPr>
              <w:t>F: 20%</w:t>
            </w:r>
          </w:p>
          <w:p w14:paraId="2C897AF0" w14:textId="77777777" w:rsidR="00AB628C" w:rsidRPr="008F75E8" w:rsidRDefault="00AB628C" w:rsidP="00010E0F">
            <w:pPr>
              <w:rPr>
                <w:rFonts w:cstheme="minorHAnsi"/>
                <w:sz w:val="20"/>
                <w:szCs w:val="20"/>
              </w:rPr>
            </w:pPr>
            <w:r w:rsidRPr="008F75E8">
              <w:rPr>
                <w:rFonts w:cstheme="minorHAnsi"/>
                <w:sz w:val="20"/>
                <w:szCs w:val="20"/>
              </w:rPr>
              <w:t>Urban: 27%</w:t>
            </w:r>
            <w:r w:rsidRPr="008F75E8">
              <w:rPr>
                <w:rFonts w:cstheme="minorHAnsi"/>
                <w:sz w:val="20"/>
                <w:szCs w:val="20"/>
                <w:lang w:val="bs-Latn-BA"/>
              </w:rPr>
              <w:t xml:space="preserve"> </w:t>
            </w:r>
          </w:p>
          <w:p w14:paraId="313E0C8D" w14:textId="77777777" w:rsidR="00AB628C" w:rsidRPr="008F75E8" w:rsidRDefault="00AB628C" w:rsidP="00010E0F">
            <w:pPr>
              <w:rPr>
                <w:rFonts w:cstheme="minorHAnsi"/>
                <w:sz w:val="20"/>
                <w:szCs w:val="20"/>
              </w:rPr>
            </w:pPr>
            <w:r w:rsidRPr="008F75E8">
              <w:rPr>
                <w:rFonts w:cstheme="minorHAnsi"/>
                <w:sz w:val="20"/>
                <w:szCs w:val="20"/>
              </w:rPr>
              <w:t>Rural: 20%</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4743C03" w14:textId="77777777" w:rsidR="00AB628C" w:rsidRPr="00033943" w:rsidRDefault="00AB628C" w:rsidP="00010E0F">
            <w:pPr>
              <w:rPr>
                <w:rFonts w:cstheme="minorHAnsi"/>
                <w:sz w:val="20"/>
                <w:szCs w:val="20"/>
              </w:rPr>
            </w:pPr>
            <w:r w:rsidRPr="00033943">
              <w:rPr>
                <w:rFonts w:cstheme="minorHAnsi"/>
                <w:sz w:val="20"/>
                <w:szCs w:val="20"/>
                <w:u w:val="single"/>
              </w:rPr>
              <w:t>Source</w:t>
            </w:r>
            <w:r w:rsidRPr="00033943">
              <w:rPr>
                <w:rFonts w:cstheme="minorHAnsi"/>
                <w:sz w:val="20"/>
                <w:szCs w:val="20"/>
              </w:rPr>
              <w:t>:</w:t>
            </w:r>
          </w:p>
          <w:p w14:paraId="6A2F212B" w14:textId="77777777" w:rsidR="00AB628C" w:rsidRPr="00033943" w:rsidRDefault="00AB628C" w:rsidP="00010E0F">
            <w:pPr>
              <w:rPr>
                <w:rFonts w:cstheme="minorHAnsi"/>
                <w:sz w:val="20"/>
                <w:szCs w:val="20"/>
              </w:rPr>
            </w:pPr>
            <w:r w:rsidRPr="00033943">
              <w:rPr>
                <w:rFonts w:cstheme="minorHAnsi"/>
                <w:sz w:val="20"/>
                <w:szCs w:val="20"/>
              </w:rPr>
              <w:t>2019: Youth Perception Study (UN/RYCO Project), End line Survey (Regional DFF, 2020)</w:t>
            </w:r>
          </w:p>
          <w:p w14:paraId="2D1865E9" w14:textId="77777777" w:rsidR="00AB628C" w:rsidRPr="00033943" w:rsidRDefault="00AB628C" w:rsidP="00010E0F">
            <w:pPr>
              <w:rPr>
                <w:rFonts w:cstheme="minorHAnsi"/>
                <w:sz w:val="20"/>
                <w:szCs w:val="20"/>
              </w:rPr>
            </w:pPr>
            <w:r w:rsidRPr="00033943">
              <w:rPr>
                <w:rFonts w:cstheme="minorHAnsi"/>
                <w:sz w:val="20"/>
                <w:szCs w:val="20"/>
              </w:rPr>
              <w:t xml:space="preserve">United Nations in BiH. </w:t>
            </w:r>
          </w:p>
          <w:p w14:paraId="1C0A55B7" w14:textId="77777777" w:rsidR="00AB628C" w:rsidRPr="00033943" w:rsidRDefault="00AB628C" w:rsidP="00010E0F">
            <w:pPr>
              <w:rPr>
                <w:rFonts w:cstheme="minorHAnsi"/>
                <w:sz w:val="20"/>
                <w:szCs w:val="20"/>
              </w:rPr>
            </w:pPr>
          </w:p>
          <w:p w14:paraId="53871E8D" w14:textId="77777777" w:rsidR="00AB628C" w:rsidRPr="00033943" w:rsidRDefault="00AB628C" w:rsidP="00010E0F">
            <w:pPr>
              <w:rPr>
                <w:rFonts w:cstheme="minorHAnsi"/>
                <w:sz w:val="20"/>
                <w:szCs w:val="20"/>
              </w:rPr>
            </w:pPr>
            <w:r w:rsidRPr="00033943">
              <w:rPr>
                <w:rFonts w:cstheme="minorHAnsi"/>
                <w:sz w:val="20"/>
                <w:szCs w:val="20"/>
              </w:rPr>
              <w:t>2025: CDA, Question-P8</w:t>
            </w:r>
            <w:r w:rsidRPr="00033943">
              <w:rPr>
                <w:rStyle w:val="FootnoteReference"/>
                <w:rFonts w:cstheme="minorHAnsi"/>
                <w:sz w:val="20"/>
                <w:szCs w:val="20"/>
              </w:rPr>
              <w:footnoteReference w:id="171"/>
            </w:r>
          </w:p>
          <w:p w14:paraId="01ABF599" w14:textId="77777777" w:rsidR="00AB628C" w:rsidRPr="008F75E8" w:rsidRDefault="00AB628C" w:rsidP="00010E0F">
            <w:pPr>
              <w:rPr>
                <w:rFonts w:cstheme="minorHAnsi"/>
                <w:sz w:val="20"/>
                <w:szCs w:val="20"/>
              </w:rPr>
            </w:pPr>
            <w:r w:rsidRPr="00033943">
              <w:rPr>
                <w:rFonts w:cstheme="minorHAnsi"/>
                <w:sz w:val="20"/>
                <w:szCs w:val="20"/>
              </w:rPr>
              <w:t>(</w:t>
            </w:r>
            <w:r w:rsidRPr="00033943">
              <w:rPr>
                <w:rFonts w:cstheme="minorHAnsi"/>
                <w:i/>
                <w:sz w:val="20"/>
                <w:szCs w:val="20"/>
              </w:rPr>
              <w:t>pending funding</w:t>
            </w:r>
            <w:r w:rsidRPr="00033943">
              <w:rPr>
                <w:rFonts w:cstheme="minorHAnsi"/>
                <w:sz w:val="20"/>
                <w:szCs w:val="20"/>
              </w:rPr>
              <w:t>)</w:t>
            </w: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3CF9910D" w14:textId="77777777" w:rsidR="00AB628C" w:rsidRPr="00AE0359" w:rsidRDefault="00AB628C" w:rsidP="00010E0F">
            <w:pPr>
              <w:rPr>
                <w:rFonts w:cstheme="minorHAnsi"/>
                <w:color w:val="0F243E" w:themeColor="text2" w:themeShade="80"/>
                <w:sz w:val="20"/>
                <w:szCs w:val="20"/>
              </w:rPr>
            </w:pPr>
          </w:p>
        </w:tc>
      </w:tr>
      <w:tr w:rsidR="00AB628C" w:rsidRPr="00AE0359" w14:paraId="5A82DB74" w14:textId="77777777" w:rsidTr="009674CE">
        <w:trPr>
          <w:trHeight w:val="733"/>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6E3B0F79" w14:textId="77777777" w:rsidR="00AB628C" w:rsidRPr="00AE0359" w:rsidRDefault="00AB628C" w:rsidP="00010E0F">
            <w:pPr>
              <w:rPr>
                <w:rFonts w:cstheme="minorHAnsi"/>
                <w:b/>
                <w:sz w:val="20"/>
                <w:szCs w:val="20"/>
              </w:rPr>
            </w:pPr>
          </w:p>
        </w:tc>
        <w:tc>
          <w:tcPr>
            <w:tcW w:w="6386"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ACD7829" w14:textId="173E36D3" w:rsidR="00AB628C" w:rsidRPr="009E30F8" w:rsidRDefault="00AB628C" w:rsidP="00010E0F">
            <w:pPr>
              <w:rPr>
                <w:rFonts w:cstheme="minorHAnsi"/>
                <w:sz w:val="20"/>
                <w:szCs w:val="20"/>
                <w:u w:val="single"/>
              </w:rPr>
            </w:pPr>
            <w:r w:rsidRPr="00033943">
              <w:rPr>
                <w:rFonts w:cstheme="minorHAnsi"/>
                <w:b/>
                <w:sz w:val="20"/>
                <w:szCs w:val="20"/>
              </w:rPr>
              <w:t>5.b</w:t>
            </w:r>
            <w:r w:rsidRPr="00033943">
              <w:rPr>
                <w:rFonts w:cstheme="minorHAnsi"/>
                <w:sz w:val="20"/>
                <w:szCs w:val="20"/>
              </w:rPr>
              <w:t xml:space="preserve"> Proportion of people who state that a. Reconciliation and normalisation of relations has occurred (‘</w:t>
            </w:r>
            <w:r w:rsidRPr="00033943">
              <w:rPr>
                <w:rFonts w:cstheme="minorHAnsi"/>
                <w:i/>
                <w:sz w:val="20"/>
                <w:szCs w:val="20"/>
              </w:rPr>
              <w:t>mostly’</w:t>
            </w:r>
            <w:r w:rsidRPr="00033943">
              <w:rPr>
                <w:rFonts w:cstheme="minorHAnsi"/>
                <w:sz w:val="20"/>
                <w:szCs w:val="20"/>
              </w:rPr>
              <w:t xml:space="preserve">) and b. Reconciliation is possible </w:t>
            </w:r>
            <w:r w:rsidRPr="00033943">
              <w:rPr>
                <w:rFonts w:cstheme="minorHAnsi"/>
                <w:i/>
                <w:sz w:val="20"/>
                <w:szCs w:val="20"/>
              </w:rPr>
              <w:t>(‘5-10yrs’</w:t>
            </w:r>
            <w:r w:rsidRPr="00033943">
              <w:rPr>
                <w:rFonts w:cstheme="minorHAnsi"/>
                <w:sz w:val="20"/>
                <w:szCs w:val="20"/>
              </w:rPr>
              <w:t>) (</w:t>
            </w:r>
            <w:r w:rsidRPr="00033943">
              <w:rPr>
                <w:rFonts w:cstheme="minorHAnsi"/>
                <w:sz w:val="20"/>
                <w:szCs w:val="20"/>
              </w:rPr>
              <w:sym w:font="Wingdings" w:char="F0E0"/>
            </w:r>
            <w:r w:rsidRPr="00033943">
              <w:rPr>
                <w:rFonts w:cstheme="minorHAnsi"/>
                <w:sz w:val="20"/>
                <w:szCs w:val="20"/>
              </w:rPr>
              <w:t>SDG16.6.2; 16.7.2)</w:t>
            </w:r>
            <w:r w:rsidRPr="00AD5682">
              <w:rPr>
                <w:rFonts w:cstheme="minorHAnsi"/>
                <w:sz w:val="20"/>
                <w:szCs w:val="20"/>
              </w:rPr>
              <w:t xml:space="preserve"> </w:t>
            </w: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6787A99D" w14:textId="77777777" w:rsidR="00AB628C" w:rsidRPr="00AE0359" w:rsidRDefault="00AB628C" w:rsidP="00010E0F">
            <w:pPr>
              <w:rPr>
                <w:rFonts w:cstheme="minorHAnsi"/>
                <w:color w:val="0F243E" w:themeColor="text2" w:themeShade="80"/>
                <w:sz w:val="20"/>
                <w:szCs w:val="20"/>
              </w:rPr>
            </w:pPr>
          </w:p>
        </w:tc>
      </w:tr>
      <w:tr w:rsidR="00AB628C" w:rsidRPr="00AE0359" w14:paraId="75619B17" w14:textId="77777777" w:rsidTr="009674CE">
        <w:trPr>
          <w:trHeight w:val="433"/>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6929CECC" w14:textId="77777777" w:rsidR="00AB628C" w:rsidRPr="00AE0359"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3EF6A44" w14:textId="77777777" w:rsidR="00AB628C" w:rsidRPr="00033943" w:rsidRDefault="00AB628C" w:rsidP="00010E0F">
            <w:pPr>
              <w:rPr>
                <w:rFonts w:cstheme="minorHAnsi"/>
                <w:sz w:val="20"/>
                <w:szCs w:val="20"/>
              </w:rPr>
            </w:pPr>
            <w:r w:rsidRPr="00033943">
              <w:rPr>
                <w:rFonts w:cstheme="minorHAnsi"/>
                <w:sz w:val="20"/>
                <w:szCs w:val="20"/>
                <w:u w:val="single"/>
              </w:rPr>
              <w:t>Baseline</w:t>
            </w:r>
            <w:r w:rsidRPr="00033943">
              <w:rPr>
                <w:rFonts w:cstheme="minorHAnsi"/>
                <w:sz w:val="20"/>
                <w:szCs w:val="20"/>
              </w:rPr>
              <w:t xml:space="preserve"> (2019)</w:t>
            </w:r>
          </w:p>
          <w:p w14:paraId="12CC5360" w14:textId="77777777" w:rsidR="00AB628C" w:rsidRPr="00033943" w:rsidRDefault="00AB628C" w:rsidP="00010E0F">
            <w:pPr>
              <w:rPr>
                <w:rFonts w:cstheme="minorHAnsi"/>
                <w:sz w:val="20"/>
                <w:szCs w:val="20"/>
              </w:rPr>
            </w:pPr>
            <w:r w:rsidRPr="00033943">
              <w:rPr>
                <w:rFonts w:cstheme="minorHAnsi"/>
                <w:sz w:val="20"/>
                <w:szCs w:val="20"/>
              </w:rPr>
              <w:t>a. 19</w:t>
            </w:r>
          </w:p>
          <w:p w14:paraId="43A744D8" w14:textId="77777777" w:rsidR="00AB628C" w:rsidRPr="00033943" w:rsidRDefault="00AB628C" w:rsidP="00010E0F">
            <w:pPr>
              <w:rPr>
                <w:rFonts w:cstheme="minorHAnsi"/>
                <w:sz w:val="20"/>
                <w:szCs w:val="20"/>
              </w:rPr>
            </w:pPr>
            <w:r w:rsidRPr="00033943">
              <w:rPr>
                <w:rFonts w:cstheme="minorHAnsi"/>
                <w:sz w:val="20"/>
                <w:szCs w:val="20"/>
              </w:rPr>
              <w:t>b. 15</w:t>
            </w:r>
          </w:p>
        </w:tc>
        <w:tc>
          <w:tcPr>
            <w:tcW w:w="18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308EA70" w14:textId="77777777" w:rsidR="00AB628C" w:rsidRPr="00033943" w:rsidRDefault="00AB628C" w:rsidP="00010E0F">
            <w:pPr>
              <w:rPr>
                <w:rFonts w:cstheme="minorHAnsi"/>
                <w:sz w:val="20"/>
                <w:szCs w:val="20"/>
              </w:rPr>
            </w:pPr>
            <w:r w:rsidRPr="00033943">
              <w:rPr>
                <w:rFonts w:cstheme="minorHAnsi"/>
                <w:sz w:val="20"/>
                <w:szCs w:val="20"/>
                <w:u w:val="single"/>
              </w:rPr>
              <w:t>Target</w:t>
            </w:r>
            <w:r w:rsidRPr="00033943">
              <w:rPr>
                <w:rFonts w:cstheme="minorHAnsi"/>
                <w:sz w:val="20"/>
                <w:szCs w:val="20"/>
              </w:rPr>
              <w:t>:</w:t>
            </w:r>
          </w:p>
          <w:p w14:paraId="0816879C" w14:textId="77777777" w:rsidR="00AB628C" w:rsidRPr="00033943" w:rsidRDefault="00AB628C" w:rsidP="00010E0F">
            <w:pPr>
              <w:rPr>
                <w:rFonts w:cstheme="minorHAnsi"/>
                <w:sz w:val="20"/>
                <w:szCs w:val="20"/>
              </w:rPr>
            </w:pPr>
            <w:r w:rsidRPr="00033943">
              <w:rPr>
                <w:rFonts w:cstheme="minorHAnsi"/>
                <w:sz w:val="20"/>
                <w:szCs w:val="20"/>
              </w:rPr>
              <w:t>a. 21</w:t>
            </w:r>
          </w:p>
          <w:p w14:paraId="635D12A3" w14:textId="77777777" w:rsidR="00AB628C" w:rsidRPr="00033943" w:rsidRDefault="00AB628C" w:rsidP="00010E0F">
            <w:pPr>
              <w:rPr>
                <w:rFonts w:cstheme="minorHAnsi"/>
                <w:sz w:val="20"/>
                <w:szCs w:val="20"/>
              </w:rPr>
            </w:pPr>
            <w:r w:rsidRPr="00033943">
              <w:rPr>
                <w:rFonts w:cstheme="minorHAnsi"/>
                <w:sz w:val="20"/>
                <w:szCs w:val="20"/>
              </w:rPr>
              <w:t>b. 17</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4A0D312" w14:textId="77777777" w:rsidR="00AB628C" w:rsidRPr="00033943" w:rsidRDefault="00AB628C" w:rsidP="00010E0F">
            <w:pPr>
              <w:rPr>
                <w:rFonts w:cstheme="minorHAnsi"/>
                <w:sz w:val="20"/>
                <w:szCs w:val="20"/>
              </w:rPr>
            </w:pPr>
            <w:r w:rsidRPr="00033943">
              <w:rPr>
                <w:rFonts w:cstheme="minorHAnsi"/>
                <w:sz w:val="20"/>
                <w:szCs w:val="20"/>
                <w:u w:val="single"/>
              </w:rPr>
              <w:t>Source</w:t>
            </w:r>
            <w:r w:rsidRPr="00033943">
              <w:rPr>
                <w:rFonts w:cstheme="minorHAnsi"/>
                <w:sz w:val="20"/>
                <w:szCs w:val="20"/>
              </w:rPr>
              <w:t>:</w:t>
            </w:r>
          </w:p>
          <w:p w14:paraId="28CE1841" w14:textId="77777777" w:rsidR="00AB628C" w:rsidRPr="00033943" w:rsidRDefault="00AB628C" w:rsidP="00010E0F">
            <w:pPr>
              <w:rPr>
                <w:rFonts w:cstheme="minorHAnsi"/>
                <w:sz w:val="20"/>
                <w:szCs w:val="20"/>
              </w:rPr>
            </w:pPr>
            <w:r w:rsidRPr="00033943">
              <w:rPr>
                <w:rFonts w:cstheme="minorHAnsi"/>
                <w:sz w:val="20"/>
                <w:szCs w:val="20"/>
              </w:rPr>
              <w:t>CDA, Q-P12,13</w:t>
            </w:r>
            <w:r w:rsidRPr="00033943">
              <w:rPr>
                <w:rStyle w:val="FootnoteReference"/>
                <w:rFonts w:cstheme="minorHAnsi"/>
                <w:sz w:val="20"/>
                <w:szCs w:val="20"/>
              </w:rPr>
              <w:footnoteReference w:id="172"/>
            </w:r>
            <w:r w:rsidRPr="00033943">
              <w:rPr>
                <w:rFonts w:cstheme="minorHAnsi"/>
                <w:sz w:val="20"/>
                <w:szCs w:val="20"/>
              </w:rPr>
              <w:t xml:space="preserve"> </w:t>
            </w:r>
          </w:p>
          <w:p w14:paraId="058550BB" w14:textId="77777777" w:rsidR="00AB628C" w:rsidRPr="00033943" w:rsidRDefault="00AB628C" w:rsidP="00010E0F">
            <w:pPr>
              <w:rPr>
                <w:rFonts w:cstheme="minorHAnsi"/>
                <w:sz w:val="20"/>
                <w:szCs w:val="20"/>
                <w:u w:val="single"/>
              </w:rPr>
            </w:pPr>
            <w:r w:rsidRPr="00033943">
              <w:rPr>
                <w:rFonts w:cstheme="minorHAnsi"/>
                <w:sz w:val="20"/>
                <w:szCs w:val="20"/>
              </w:rPr>
              <w:t>(</w:t>
            </w:r>
            <w:r w:rsidRPr="00033943">
              <w:rPr>
                <w:rFonts w:cstheme="minorHAnsi"/>
                <w:i/>
                <w:sz w:val="20"/>
                <w:szCs w:val="20"/>
              </w:rPr>
              <w:t>pending funding</w:t>
            </w:r>
            <w:r w:rsidRPr="00033943">
              <w:rPr>
                <w:rFonts w:cstheme="minorHAnsi"/>
                <w:sz w:val="20"/>
                <w:szCs w:val="20"/>
              </w:rPr>
              <w:t>)</w:t>
            </w: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6676C49D" w14:textId="77777777" w:rsidR="00AB628C" w:rsidRPr="00AE0359" w:rsidRDefault="00AB628C" w:rsidP="00010E0F">
            <w:pPr>
              <w:rPr>
                <w:rFonts w:cstheme="minorHAnsi"/>
                <w:color w:val="0F243E" w:themeColor="text2" w:themeShade="80"/>
                <w:sz w:val="20"/>
                <w:szCs w:val="20"/>
              </w:rPr>
            </w:pPr>
          </w:p>
        </w:tc>
      </w:tr>
      <w:tr w:rsidR="00AB628C" w:rsidRPr="00AE0359" w14:paraId="320BB650" w14:textId="77777777" w:rsidTr="009674CE">
        <w:trPr>
          <w:trHeight w:val="433"/>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3C87BC50" w14:textId="77777777" w:rsidR="00AB628C" w:rsidRPr="00AE0359" w:rsidRDefault="00AB628C" w:rsidP="00010E0F">
            <w:pPr>
              <w:rPr>
                <w:rFonts w:cstheme="minorHAnsi"/>
                <w:b/>
                <w:sz w:val="20"/>
                <w:szCs w:val="20"/>
              </w:rPr>
            </w:pPr>
          </w:p>
        </w:tc>
        <w:tc>
          <w:tcPr>
            <w:tcW w:w="6386"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E5025C0" w14:textId="05DDBA3E" w:rsidR="00AB628C" w:rsidRPr="00C129DB" w:rsidRDefault="00AB628C" w:rsidP="00010E0F">
            <w:pPr>
              <w:rPr>
                <w:rFonts w:cstheme="minorHAnsi"/>
                <w:sz w:val="20"/>
                <w:szCs w:val="20"/>
              </w:rPr>
            </w:pPr>
            <w:r w:rsidRPr="00C129DB">
              <w:rPr>
                <w:rFonts w:cstheme="minorHAnsi"/>
                <w:b/>
                <w:sz w:val="20"/>
                <w:szCs w:val="20"/>
              </w:rPr>
              <w:t>5.c</w:t>
            </w:r>
            <w:r w:rsidRPr="00C129DB">
              <w:rPr>
                <w:rFonts w:cstheme="minorHAnsi"/>
                <w:sz w:val="20"/>
                <w:szCs w:val="20"/>
              </w:rPr>
              <w:t xml:space="preserve"> Self-assessed levels of trust and engagement amongst young people, where 1 is negative and 5 is positive</w:t>
            </w:r>
            <w:r w:rsidRPr="00C129DB">
              <w:rPr>
                <w:rStyle w:val="FootnoteReference"/>
                <w:rFonts w:cstheme="minorHAnsi"/>
                <w:sz w:val="20"/>
                <w:szCs w:val="20"/>
              </w:rPr>
              <w:footnoteReference w:id="173"/>
            </w:r>
          </w:p>
          <w:p w14:paraId="23C504AD" w14:textId="77777777" w:rsidR="00AB628C" w:rsidRPr="00C129DB" w:rsidRDefault="00AB628C" w:rsidP="00010E0F">
            <w:pPr>
              <w:ind w:left="181"/>
              <w:rPr>
                <w:rFonts w:cstheme="minorHAnsi"/>
                <w:sz w:val="20"/>
                <w:szCs w:val="20"/>
              </w:rPr>
            </w:pPr>
            <w:r w:rsidRPr="00C129DB">
              <w:rPr>
                <w:rFonts w:cstheme="minorHAnsi"/>
                <w:sz w:val="20"/>
                <w:szCs w:val="20"/>
              </w:rPr>
              <w:t>(1)Young people’s (15-30) attitudes on inter-ethnic trust, cooperation, education and the media (</w:t>
            </w:r>
            <w:r w:rsidRPr="00C129DB">
              <w:rPr>
                <w:rFonts w:cstheme="minorHAnsi"/>
                <w:sz w:val="20"/>
                <w:szCs w:val="20"/>
              </w:rPr>
              <w:sym w:font="Wingdings" w:char="F0E0"/>
            </w:r>
            <w:r w:rsidRPr="00C129DB">
              <w:rPr>
                <w:rFonts w:cstheme="minorHAnsi"/>
                <w:sz w:val="20"/>
                <w:szCs w:val="20"/>
              </w:rPr>
              <w:t>16.b.1)</w:t>
            </w:r>
          </w:p>
          <w:p w14:paraId="58513717" w14:textId="77777777" w:rsidR="00AB628C" w:rsidRPr="00C129DB" w:rsidRDefault="00AB628C" w:rsidP="00010E0F">
            <w:pPr>
              <w:ind w:left="181"/>
              <w:rPr>
                <w:rFonts w:cstheme="minorHAnsi"/>
                <w:sz w:val="20"/>
                <w:szCs w:val="20"/>
              </w:rPr>
            </w:pPr>
            <w:r w:rsidRPr="00C129DB">
              <w:rPr>
                <w:rFonts w:cstheme="minorHAnsi"/>
                <w:sz w:val="20"/>
                <w:szCs w:val="20"/>
              </w:rPr>
              <w:t>(2) Young people’s attitudes on their civic engagement and partnership with government representatives (</w:t>
            </w:r>
            <w:r w:rsidRPr="00C129DB">
              <w:rPr>
                <w:rFonts w:cstheme="minorHAnsi"/>
                <w:sz w:val="20"/>
                <w:szCs w:val="20"/>
              </w:rPr>
              <w:sym w:font="Wingdings" w:char="F0E0"/>
            </w:r>
            <w:r w:rsidRPr="00C129DB">
              <w:rPr>
                <w:rFonts w:cstheme="minorHAnsi"/>
                <w:sz w:val="20"/>
                <w:szCs w:val="20"/>
              </w:rPr>
              <w:t xml:space="preserve"> 16.7.2)</w:t>
            </w: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3EBB49D1" w14:textId="77777777" w:rsidR="00AB628C" w:rsidRPr="00AE0359" w:rsidRDefault="00AB628C" w:rsidP="00010E0F">
            <w:pPr>
              <w:rPr>
                <w:rFonts w:cstheme="minorHAnsi"/>
                <w:color w:val="0F243E" w:themeColor="text2" w:themeShade="80"/>
                <w:sz w:val="20"/>
                <w:szCs w:val="20"/>
              </w:rPr>
            </w:pPr>
          </w:p>
        </w:tc>
      </w:tr>
      <w:tr w:rsidR="00AB628C" w:rsidRPr="00AE0359" w14:paraId="5C84D567" w14:textId="77777777" w:rsidTr="009674CE">
        <w:trPr>
          <w:trHeight w:val="433"/>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065DD74F" w14:textId="77777777" w:rsidR="00AB628C" w:rsidRPr="00AE0359"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919A6AC" w14:textId="77777777" w:rsidR="00AB628C" w:rsidRPr="00033943" w:rsidRDefault="00AB628C" w:rsidP="00010E0F">
            <w:pPr>
              <w:rPr>
                <w:rFonts w:cstheme="minorHAnsi"/>
                <w:sz w:val="20"/>
                <w:szCs w:val="20"/>
              </w:rPr>
            </w:pPr>
            <w:r w:rsidRPr="00033943">
              <w:rPr>
                <w:rFonts w:cstheme="minorHAnsi"/>
                <w:sz w:val="20"/>
                <w:szCs w:val="20"/>
                <w:u w:val="single"/>
              </w:rPr>
              <w:t>Baseline</w:t>
            </w:r>
            <w:r w:rsidRPr="00033943">
              <w:rPr>
                <w:rFonts w:cstheme="minorHAnsi"/>
                <w:sz w:val="20"/>
                <w:szCs w:val="20"/>
              </w:rPr>
              <w:t>: (2019)</w:t>
            </w:r>
          </w:p>
          <w:p w14:paraId="481BFE6F" w14:textId="77777777" w:rsidR="00AB628C" w:rsidRPr="00033943" w:rsidRDefault="00AB628C" w:rsidP="00010E0F">
            <w:pPr>
              <w:tabs>
                <w:tab w:val="left" w:pos="1155"/>
              </w:tabs>
              <w:rPr>
                <w:rFonts w:cstheme="minorHAnsi"/>
                <w:sz w:val="20"/>
                <w:szCs w:val="20"/>
              </w:rPr>
            </w:pPr>
            <w:r w:rsidRPr="00033943">
              <w:rPr>
                <w:rFonts w:cstheme="minorHAnsi"/>
                <w:sz w:val="20"/>
                <w:szCs w:val="20"/>
              </w:rPr>
              <w:t>(1) 3.7/5</w:t>
            </w:r>
            <w:r w:rsidRPr="00033943">
              <w:rPr>
                <w:rFonts w:cstheme="minorHAnsi"/>
                <w:sz w:val="20"/>
                <w:szCs w:val="20"/>
              </w:rPr>
              <w:tab/>
            </w:r>
          </w:p>
          <w:p w14:paraId="74FCBC04" w14:textId="77777777" w:rsidR="00AB628C" w:rsidRPr="00033943" w:rsidRDefault="00AB628C" w:rsidP="00010E0F">
            <w:pPr>
              <w:rPr>
                <w:rFonts w:cstheme="minorHAnsi"/>
                <w:sz w:val="20"/>
                <w:szCs w:val="20"/>
              </w:rPr>
            </w:pPr>
            <w:r w:rsidRPr="00033943">
              <w:rPr>
                <w:rFonts w:cstheme="minorHAnsi"/>
                <w:sz w:val="20"/>
                <w:szCs w:val="20"/>
              </w:rPr>
              <w:t>(2) 2.4/5</w:t>
            </w:r>
          </w:p>
          <w:p w14:paraId="1EC5E189" w14:textId="77777777" w:rsidR="00AB628C" w:rsidRPr="00033943" w:rsidRDefault="00AB628C" w:rsidP="00010E0F">
            <w:pPr>
              <w:rPr>
                <w:rFonts w:cstheme="minorHAnsi"/>
                <w:sz w:val="20"/>
                <w:szCs w:val="20"/>
              </w:rPr>
            </w:pPr>
          </w:p>
        </w:tc>
        <w:tc>
          <w:tcPr>
            <w:tcW w:w="18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86A16D1" w14:textId="77777777" w:rsidR="00AB628C" w:rsidRPr="00033943" w:rsidRDefault="00AB628C" w:rsidP="00010E0F">
            <w:pPr>
              <w:rPr>
                <w:rFonts w:cstheme="minorHAnsi"/>
                <w:sz w:val="20"/>
                <w:szCs w:val="20"/>
              </w:rPr>
            </w:pPr>
            <w:r w:rsidRPr="00033943">
              <w:rPr>
                <w:rFonts w:cstheme="minorHAnsi"/>
                <w:sz w:val="20"/>
                <w:szCs w:val="20"/>
                <w:u w:val="single"/>
              </w:rPr>
              <w:t>Target</w:t>
            </w:r>
            <w:r w:rsidRPr="00033943">
              <w:rPr>
                <w:rFonts w:cstheme="minorHAnsi"/>
                <w:sz w:val="20"/>
                <w:szCs w:val="20"/>
              </w:rPr>
              <w:t>:</w:t>
            </w:r>
          </w:p>
          <w:p w14:paraId="08FA25CC" w14:textId="77777777" w:rsidR="00AB628C" w:rsidRPr="00033943" w:rsidRDefault="00AB628C" w:rsidP="00010E0F">
            <w:pPr>
              <w:rPr>
                <w:rFonts w:cstheme="minorHAnsi"/>
                <w:sz w:val="20"/>
                <w:szCs w:val="20"/>
              </w:rPr>
            </w:pPr>
            <w:r w:rsidRPr="00033943">
              <w:rPr>
                <w:rFonts w:cstheme="minorHAnsi"/>
                <w:sz w:val="20"/>
                <w:szCs w:val="20"/>
              </w:rPr>
              <w:t>(1) 4/5</w:t>
            </w:r>
          </w:p>
          <w:p w14:paraId="7F88BCBA" w14:textId="77777777" w:rsidR="00AB628C" w:rsidRPr="00033943" w:rsidRDefault="00AB628C" w:rsidP="00010E0F">
            <w:pPr>
              <w:rPr>
                <w:rFonts w:cstheme="minorHAnsi"/>
                <w:sz w:val="20"/>
                <w:szCs w:val="20"/>
                <w:u w:val="single"/>
              </w:rPr>
            </w:pPr>
            <w:r w:rsidRPr="00033943">
              <w:rPr>
                <w:rFonts w:cstheme="minorHAnsi"/>
                <w:sz w:val="20"/>
                <w:szCs w:val="20"/>
              </w:rPr>
              <w:t>(2) 3/5</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BBD1F8F" w14:textId="77777777" w:rsidR="00AB628C" w:rsidRPr="00033943" w:rsidRDefault="00AB628C" w:rsidP="00010E0F">
            <w:pPr>
              <w:rPr>
                <w:rFonts w:cstheme="minorHAnsi"/>
                <w:sz w:val="20"/>
                <w:szCs w:val="20"/>
              </w:rPr>
            </w:pPr>
            <w:r w:rsidRPr="00033943">
              <w:rPr>
                <w:rFonts w:cstheme="minorHAnsi"/>
                <w:sz w:val="20"/>
                <w:szCs w:val="20"/>
                <w:u w:val="single"/>
              </w:rPr>
              <w:t>Source</w:t>
            </w:r>
            <w:r w:rsidRPr="00033943">
              <w:rPr>
                <w:rFonts w:cstheme="minorHAnsi"/>
                <w:sz w:val="20"/>
                <w:szCs w:val="20"/>
              </w:rPr>
              <w:t>:</w:t>
            </w:r>
          </w:p>
          <w:p w14:paraId="617091AE" w14:textId="77777777" w:rsidR="00AB628C" w:rsidRPr="00033943" w:rsidRDefault="00AB628C" w:rsidP="00010E0F">
            <w:pPr>
              <w:rPr>
                <w:rFonts w:cstheme="minorHAnsi"/>
                <w:sz w:val="20"/>
                <w:szCs w:val="20"/>
              </w:rPr>
            </w:pPr>
            <w:r w:rsidRPr="00033943">
              <w:rPr>
                <w:rFonts w:cstheme="minorHAnsi"/>
                <w:sz w:val="20"/>
                <w:szCs w:val="20"/>
              </w:rPr>
              <w:t xml:space="preserve">2019: Dialogue for the Future (DFF) 2 BiH End-line Perception Survey 2019 </w:t>
            </w:r>
          </w:p>
          <w:p w14:paraId="3691AD28" w14:textId="77777777" w:rsidR="00AB628C" w:rsidRPr="00033943" w:rsidRDefault="00AB628C" w:rsidP="00010E0F">
            <w:pPr>
              <w:rPr>
                <w:rFonts w:cstheme="minorHAnsi"/>
                <w:sz w:val="20"/>
                <w:szCs w:val="20"/>
              </w:rPr>
            </w:pPr>
            <w:r w:rsidRPr="00033943">
              <w:rPr>
                <w:rFonts w:cstheme="minorHAnsi"/>
                <w:sz w:val="20"/>
                <w:szCs w:val="20"/>
              </w:rPr>
              <w:t>(indicators 3.a and 3.b)</w:t>
            </w:r>
          </w:p>
          <w:p w14:paraId="0DACB56B" w14:textId="77777777" w:rsidR="00AB628C" w:rsidRPr="00033943" w:rsidRDefault="00AB628C" w:rsidP="00010E0F">
            <w:pPr>
              <w:rPr>
                <w:rFonts w:cstheme="minorHAnsi"/>
                <w:sz w:val="20"/>
                <w:szCs w:val="20"/>
              </w:rPr>
            </w:pPr>
            <w:r w:rsidRPr="00033943">
              <w:rPr>
                <w:rFonts w:cstheme="minorHAnsi"/>
                <w:sz w:val="20"/>
                <w:szCs w:val="20"/>
              </w:rPr>
              <w:t>2025: CDA (</w:t>
            </w:r>
            <w:r w:rsidRPr="00033943">
              <w:rPr>
                <w:rFonts w:cstheme="minorHAnsi"/>
                <w:i/>
                <w:sz w:val="20"/>
                <w:szCs w:val="20"/>
              </w:rPr>
              <w:t>pending funding</w:t>
            </w:r>
            <w:r w:rsidRPr="00033943">
              <w:rPr>
                <w:rFonts w:cstheme="minorHAnsi"/>
                <w:sz w:val="20"/>
                <w:szCs w:val="20"/>
              </w:rPr>
              <w:t>)</w:t>
            </w:r>
          </w:p>
          <w:p w14:paraId="35B89433" w14:textId="77777777" w:rsidR="00AB628C" w:rsidRPr="00033943" w:rsidRDefault="00AB628C" w:rsidP="00010E0F">
            <w:pPr>
              <w:rPr>
                <w:rFonts w:cstheme="minorHAnsi"/>
                <w:sz w:val="20"/>
                <w:szCs w:val="20"/>
              </w:rPr>
            </w:pP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051A4990" w14:textId="77777777" w:rsidR="00AB628C" w:rsidRPr="00AE0359" w:rsidRDefault="00AB628C" w:rsidP="00010E0F">
            <w:pPr>
              <w:rPr>
                <w:rFonts w:cstheme="minorHAnsi"/>
                <w:color w:val="0F243E" w:themeColor="text2" w:themeShade="80"/>
                <w:sz w:val="20"/>
                <w:szCs w:val="20"/>
              </w:rPr>
            </w:pPr>
          </w:p>
        </w:tc>
      </w:tr>
      <w:tr w:rsidR="00AB628C" w:rsidRPr="00AE0359" w14:paraId="0BEDF242" w14:textId="77777777" w:rsidTr="009674CE">
        <w:trPr>
          <w:trHeight w:val="433"/>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6EFBC42E" w14:textId="77777777" w:rsidR="00AB628C" w:rsidRPr="00AE0359" w:rsidRDefault="00AB628C" w:rsidP="00010E0F">
            <w:pPr>
              <w:rPr>
                <w:rFonts w:cstheme="minorHAnsi"/>
                <w:b/>
                <w:sz w:val="20"/>
                <w:szCs w:val="20"/>
              </w:rPr>
            </w:pPr>
          </w:p>
        </w:tc>
        <w:tc>
          <w:tcPr>
            <w:tcW w:w="6386"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BA20AE7" w14:textId="77777777" w:rsidR="00AB628C" w:rsidRPr="00C129DB" w:rsidRDefault="00AB628C" w:rsidP="00010E0F">
            <w:pPr>
              <w:rPr>
                <w:rFonts w:cstheme="minorHAnsi"/>
                <w:sz w:val="20"/>
                <w:szCs w:val="20"/>
              </w:rPr>
            </w:pPr>
            <w:r w:rsidRPr="00C129DB">
              <w:rPr>
                <w:rFonts w:cstheme="minorHAnsi"/>
                <w:b/>
                <w:sz w:val="20"/>
                <w:szCs w:val="20"/>
              </w:rPr>
              <w:t>5.d</w:t>
            </w:r>
            <w:r w:rsidRPr="00C129DB">
              <w:rPr>
                <w:rFonts w:cstheme="minorHAnsi"/>
                <w:sz w:val="20"/>
                <w:szCs w:val="20"/>
              </w:rPr>
              <w:t xml:space="preserve"> N</w:t>
            </w:r>
            <w:r w:rsidRPr="00C129DB">
              <w:rPr>
                <w:rFonts w:cstheme="minorHAnsi"/>
                <w:sz w:val="20"/>
                <w:szCs w:val="20"/>
                <w:vertAlign w:val="superscript"/>
              </w:rPr>
              <w:t>o.</w:t>
            </w:r>
            <w:r w:rsidRPr="00C129DB">
              <w:rPr>
                <w:rFonts w:cstheme="minorHAnsi"/>
                <w:sz w:val="20"/>
                <w:szCs w:val="20"/>
              </w:rPr>
              <w:t xml:space="preserve"> Young people participating in community-level initiatives that promote dialogue, social cohesion and appreciation of diversity</w:t>
            </w:r>
          </w:p>
          <w:p w14:paraId="228912DE" w14:textId="5C364A2C" w:rsidR="00AB628C" w:rsidRPr="00C129DB" w:rsidRDefault="00AB628C" w:rsidP="00010E0F">
            <w:pPr>
              <w:rPr>
                <w:rFonts w:cstheme="minorHAnsi"/>
                <w:sz w:val="20"/>
                <w:szCs w:val="20"/>
              </w:rPr>
            </w:pPr>
            <w:r w:rsidRPr="00C129DB">
              <w:rPr>
                <w:rFonts w:cstheme="minorHAnsi"/>
                <w:sz w:val="20"/>
                <w:szCs w:val="20"/>
              </w:rPr>
              <w:t>(</w:t>
            </w:r>
            <w:r w:rsidRPr="00C129DB">
              <w:rPr>
                <w:rFonts w:cstheme="minorHAnsi"/>
                <w:sz w:val="20"/>
                <w:szCs w:val="20"/>
              </w:rPr>
              <w:sym w:font="Wingdings" w:char="F0E0"/>
            </w:r>
            <w:r w:rsidR="001F355A">
              <w:rPr>
                <w:rFonts w:cstheme="minorHAnsi"/>
                <w:sz w:val="20"/>
                <w:szCs w:val="20"/>
              </w:rPr>
              <w:t xml:space="preserve"> 5.2; 16.1.3; 16.3.1; 16.b.1)</w:t>
            </w: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7FA5850B" w14:textId="77777777" w:rsidR="00AB628C" w:rsidRPr="00AE0359" w:rsidRDefault="00AB628C" w:rsidP="00010E0F">
            <w:pPr>
              <w:rPr>
                <w:rFonts w:cstheme="minorHAnsi"/>
                <w:color w:val="0F243E" w:themeColor="text2" w:themeShade="80"/>
                <w:sz w:val="20"/>
                <w:szCs w:val="20"/>
              </w:rPr>
            </w:pPr>
          </w:p>
        </w:tc>
      </w:tr>
      <w:tr w:rsidR="00AB628C" w:rsidRPr="00AE0359" w14:paraId="3A0A15FE" w14:textId="77777777" w:rsidTr="009674CE">
        <w:trPr>
          <w:trHeight w:val="433"/>
        </w:trPr>
        <w:tc>
          <w:tcPr>
            <w:tcW w:w="3560" w:type="dxa"/>
            <w:vMerge/>
            <w:tcBorders>
              <w:top w:val="single" w:sz="4" w:space="0" w:color="548DD4" w:themeColor="text2" w:themeTint="99"/>
              <w:left w:val="single" w:sz="4" w:space="0" w:color="auto"/>
              <w:bottom w:val="single" w:sz="4" w:space="0" w:color="548DD4" w:themeColor="text2" w:themeTint="99"/>
              <w:right w:val="single" w:sz="4" w:space="0" w:color="548DD4" w:themeColor="text2" w:themeTint="99"/>
            </w:tcBorders>
          </w:tcPr>
          <w:p w14:paraId="427379CF" w14:textId="77777777" w:rsidR="00AB628C" w:rsidRPr="00AE0359" w:rsidRDefault="00AB628C" w:rsidP="00010E0F">
            <w:pPr>
              <w:rPr>
                <w:rFonts w:cstheme="minorHAnsi"/>
                <w:b/>
                <w:sz w:val="20"/>
                <w:szCs w:val="20"/>
              </w:rPr>
            </w:pPr>
          </w:p>
        </w:tc>
        <w:tc>
          <w:tcPr>
            <w:tcW w:w="185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314DE00" w14:textId="77777777" w:rsidR="00AB628C" w:rsidRPr="00033943" w:rsidRDefault="00AB628C" w:rsidP="00010E0F">
            <w:pPr>
              <w:rPr>
                <w:rFonts w:cstheme="minorHAnsi"/>
                <w:sz w:val="20"/>
                <w:szCs w:val="20"/>
              </w:rPr>
            </w:pPr>
            <w:r w:rsidRPr="00033943">
              <w:rPr>
                <w:rFonts w:cstheme="minorHAnsi"/>
                <w:sz w:val="20"/>
                <w:szCs w:val="20"/>
                <w:u w:val="single"/>
              </w:rPr>
              <w:t>Baseline</w:t>
            </w:r>
            <w:r w:rsidRPr="00033943">
              <w:rPr>
                <w:rFonts w:cstheme="minorHAnsi"/>
                <w:sz w:val="20"/>
                <w:szCs w:val="20"/>
              </w:rPr>
              <w:t xml:space="preserve">: </w:t>
            </w:r>
          </w:p>
          <w:p w14:paraId="3295A41B" w14:textId="77777777" w:rsidR="00AB628C" w:rsidRPr="00033943" w:rsidRDefault="00AB628C" w:rsidP="00010E0F">
            <w:pPr>
              <w:rPr>
                <w:bCs/>
                <w:sz w:val="20"/>
                <w:szCs w:val="20"/>
                <w:lang w:val="en-US"/>
              </w:rPr>
            </w:pPr>
            <w:r w:rsidRPr="00033943">
              <w:rPr>
                <w:bCs/>
                <w:sz w:val="20"/>
                <w:szCs w:val="20"/>
                <w:lang w:val="en-US"/>
              </w:rPr>
              <w:t xml:space="preserve">T: 25,000; </w:t>
            </w:r>
          </w:p>
          <w:p w14:paraId="31C56E2F" w14:textId="77777777" w:rsidR="00AB628C" w:rsidRPr="00033943" w:rsidRDefault="00AB628C" w:rsidP="00010E0F">
            <w:pPr>
              <w:rPr>
                <w:sz w:val="20"/>
                <w:szCs w:val="20"/>
                <w:lang w:val="en-US"/>
              </w:rPr>
            </w:pPr>
            <w:r w:rsidRPr="00033943">
              <w:rPr>
                <w:sz w:val="20"/>
                <w:szCs w:val="20"/>
                <w:lang w:val="en-US"/>
              </w:rPr>
              <w:t xml:space="preserve">F: 51% </w:t>
            </w:r>
          </w:p>
          <w:p w14:paraId="7E20DAC3" w14:textId="77777777" w:rsidR="00AB628C" w:rsidRPr="00033943" w:rsidRDefault="00AB628C" w:rsidP="00010E0F">
            <w:pPr>
              <w:rPr>
                <w:rFonts w:cstheme="minorHAnsi"/>
                <w:sz w:val="20"/>
                <w:szCs w:val="20"/>
              </w:rPr>
            </w:pPr>
            <w:r w:rsidRPr="00033943">
              <w:rPr>
                <w:sz w:val="20"/>
                <w:szCs w:val="20"/>
                <w:lang w:val="en-US"/>
              </w:rPr>
              <w:t>(most 15-30 yrs)</w:t>
            </w:r>
          </w:p>
        </w:tc>
        <w:tc>
          <w:tcPr>
            <w:tcW w:w="18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D7554F0" w14:textId="77777777" w:rsidR="00AB628C" w:rsidRPr="00033943" w:rsidRDefault="00AB628C" w:rsidP="00010E0F">
            <w:pPr>
              <w:rPr>
                <w:rFonts w:cstheme="minorHAnsi"/>
                <w:sz w:val="20"/>
                <w:szCs w:val="20"/>
              </w:rPr>
            </w:pPr>
            <w:r w:rsidRPr="00033943">
              <w:rPr>
                <w:rFonts w:cstheme="minorHAnsi"/>
                <w:sz w:val="20"/>
                <w:szCs w:val="20"/>
                <w:u w:val="single"/>
              </w:rPr>
              <w:t>Target</w:t>
            </w:r>
            <w:r w:rsidRPr="00033943">
              <w:rPr>
                <w:rFonts w:cstheme="minorHAnsi"/>
                <w:sz w:val="20"/>
                <w:szCs w:val="20"/>
              </w:rPr>
              <w:t xml:space="preserve"> 2025</w:t>
            </w:r>
          </w:p>
          <w:p w14:paraId="29485CD2" w14:textId="77777777" w:rsidR="00AB628C" w:rsidRPr="00033943" w:rsidRDefault="00AB628C" w:rsidP="00010E0F">
            <w:pPr>
              <w:rPr>
                <w:rFonts w:cstheme="minorHAnsi"/>
                <w:sz w:val="20"/>
                <w:szCs w:val="20"/>
              </w:rPr>
            </w:pPr>
            <w:r w:rsidRPr="00033943">
              <w:rPr>
                <w:rFonts w:cstheme="minorHAnsi"/>
                <w:sz w:val="20"/>
                <w:szCs w:val="20"/>
              </w:rPr>
              <w:t>T: 27,500</w:t>
            </w:r>
          </w:p>
          <w:p w14:paraId="581DB1C4" w14:textId="77777777" w:rsidR="00AB628C" w:rsidRPr="00033943" w:rsidRDefault="00AB628C" w:rsidP="00010E0F">
            <w:pPr>
              <w:rPr>
                <w:rFonts w:cstheme="minorHAnsi"/>
                <w:sz w:val="20"/>
                <w:szCs w:val="20"/>
                <w:u w:val="single"/>
              </w:rPr>
            </w:pPr>
            <w:r w:rsidRPr="00033943">
              <w:rPr>
                <w:rFonts w:cstheme="minorHAnsi"/>
                <w:sz w:val="20"/>
                <w:szCs w:val="20"/>
              </w:rPr>
              <w:t xml:space="preserve">F: </w:t>
            </w:r>
            <w:r w:rsidRPr="00033943">
              <w:rPr>
                <w:rFonts w:ascii="Cambria Math" w:hAnsi="Cambria Math" w:cs="Cambria Math"/>
                <w:sz w:val="20"/>
                <w:szCs w:val="20"/>
              </w:rPr>
              <w:t>≮</w:t>
            </w:r>
            <w:r w:rsidRPr="00033943">
              <w:rPr>
                <w:rFonts w:cstheme="minorHAnsi"/>
                <w:sz w:val="20"/>
                <w:szCs w:val="20"/>
              </w:rPr>
              <w:t xml:space="preserve"> 50%</w:t>
            </w:r>
          </w:p>
        </w:tc>
        <w:tc>
          <w:tcPr>
            <w:tcW w:w="270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6397F01" w14:textId="77777777" w:rsidR="00AB628C" w:rsidRPr="00033943" w:rsidRDefault="00AB628C" w:rsidP="00010E0F">
            <w:pPr>
              <w:rPr>
                <w:rFonts w:cstheme="minorHAnsi"/>
                <w:sz w:val="20"/>
                <w:szCs w:val="20"/>
              </w:rPr>
            </w:pPr>
            <w:r w:rsidRPr="00033943">
              <w:rPr>
                <w:rFonts w:cstheme="minorHAnsi"/>
                <w:sz w:val="20"/>
                <w:szCs w:val="20"/>
              </w:rPr>
              <w:t xml:space="preserve">Source: </w:t>
            </w:r>
          </w:p>
          <w:p w14:paraId="66C9F1D3" w14:textId="77777777" w:rsidR="00AB628C" w:rsidRPr="00033943" w:rsidRDefault="00AB628C" w:rsidP="00010E0F">
            <w:pPr>
              <w:rPr>
                <w:rFonts w:cstheme="minorHAnsi"/>
                <w:sz w:val="20"/>
                <w:szCs w:val="20"/>
              </w:rPr>
            </w:pPr>
            <w:r w:rsidRPr="00033943">
              <w:rPr>
                <w:rFonts w:cstheme="minorHAnsi"/>
                <w:sz w:val="20"/>
                <w:szCs w:val="20"/>
              </w:rPr>
              <w:t>2019: Dialogue for the Future (DFF) 2 BiH Joint UN Programme and other UN complementary projects;</w:t>
            </w:r>
          </w:p>
          <w:p w14:paraId="6C4F08C9" w14:textId="77777777" w:rsidR="00AB628C" w:rsidRPr="00033943" w:rsidRDefault="00AB628C" w:rsidP="00010E0F">
            <w:pPr>
              <w:rPr>
                <w:rFonts w:cstheme="minorHAnsi"/>
                <w:i/>
                <w:sz w:val="20"/>
                <w:szCs w:val="20"/>
              </w:rPr>
            </w:pPr>
            <w:r w:rsidRPr="00033943">
              <w:rPr>
                <w:rFonts w:cstheme="minorHAnsi"/>
                <w:sz w:val="20"/>
                <w:szCs w:val="20"/>
              </w:rPr>
              <w:t>2025: CDA (</w:t>
            </w:r>
            <w:r w:rsidRPr="00033943">
              <w:rPr>
                <w:rFonts w:cstheme="minorHAnsi"/>
                <w:i/>
                <w:sz w:val="20"/>
                <w:szCs w:val="20"/>
              </w:rPr>
              <w:t>pending funding</w:t>
            </w:r>
            <w:r w:rsidRPr="00033943">
              <w:rPr>
                <w:rFonts w:cstheme="minorHAnsi"/>
                <w:sz w:val="20"/>
                <w:szCs w:val="20"/>
              </w:rPr>
              <w:t>)</w:t>
            </w:r>
          </w:p>
        </w:tc>
        <w:tc>
          <w:tcPr>
            <w:tcW w:w="411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tcPr>
          <w:p w14:paraId="2F10FEC2" w14:textId="77777777" w:rsidR="00AB628C" w:rsidRPr="00AE0359" w:rsidRDefault="00AB628C" w:rsidP="00010E0F">
            <w:pPr>
              <w:rPr>
                <w:rFonts w:cstheme="minorHAnsi"/>
                <w:color w:val="0F243E" w:themeColor="text2" w:themeShade="80"/>
                <w:sz w:val="20"/>
                <w:szCs w:val="20"/>
              </w:rPr>
            </w:pPr>
          </w:p>
        </w:tc>
      </w:tr>
    </w:tbl>
    <w:p w14:paraId="2FFA8FFC" w14:textId="77777777" w:rsidR="00AB628C" w:rsidRDefault="00AB628C" w:rsidP="00AB628C">
      <w:pPr>
        <w:spacing w:after="160" w:line="259" w:lineRule="auto"/>
        <w:rPr>
          <w:rFonts w:cstheme="minorHAnsi"/>
          <w:sz w:val="10"/>
          <w:szCs w:val="10"/>
        </w:rPr>
      </w:pPr>
    </w:p>
    <w:p w14:paraId="70A0238D" w14:textId="7A898194" w:rsidR="00D476F6" w:rsidRPr="00F71881" w:rsidRDefault="00D476F6" w:rsidP="00A55B6D">
      <w:pPr>
        <w:spacing w:after="160" w:line="259" w:lineRule="auto"/>
        <w:jc w:val="both"/>
        <w:rPr>
          <w:rFonts w:cstheme="minorHAnsi"/>
          <w:sz w:val="10"/>
          <w:szCs w:val="10"/>
          <w:lang w:val="en-GB"/>
        </w:rPr>
      </w:pPr>
    </w:p>
    <w:p w14:paraId="64C2D221" w14:textId="77777777" w:rsidR="00D476F6" w:rsidRPr="00F71881" w:rsidRDefault="00D476F6" w:rsidP="00A55B6D">
      <w:pPr>
        <w:spacing w:after="160" w:line="259" w:lineRule="auto"/>
        <w:jc w:val="both"/>
        <w:rPr>
          <w:rFonts w:cstheme="minorHAnsi"/>
          <w:sz w:val="10"/>
          <w:szCs w:val="10"/>
          <w:lang w:val="en-GB"/>
        </w:rPr>
      </w:pPr>
    </w:p>
    <w:p w14:paraId="41A93B80" w14:textId="05865EDD" w:rsidR="00A62677" w:rsidRPr="00214A8D" w:rsidRDefault="00A62677" w:rsidP="00A55B6D">
      <w:pPr>
        <w:spacing w:after="120" w:line="240" w:lineRule="auto"/>
        <w:jc w:val="both"/>
        <w:rPr>
          <w:color w:val="404040" w:themeColor="text1" w:themeTint="BF"/>
          <w:sz w:val="20"/>
          <w:szCs w:val="20"/>
        </w:rPr>
      </w:pPr>
    </w:p>
    <w:p w14:paraId="145C7A7D" w14:textId="77777777" w:rsidR="00A62677" w:rsidRDefault="00A62677" w:rsidP="00A55B6D">
      <w:pPr>
        <w:jc w:val="both"/>
        <w:rPr>
          <w:b/>
          <w:color w:val="1F497D" w:themeColor="text2"/>
          <w:sz w:val="32"/>
          <w:szCs w:val="32"/>
        </w:rPr>
        <w:sectPr w:rsidR="00A62677" w:rsidSect="004A377C">
          <w:footerReference w:type="default" r:id="rId38"/>
          <w:pgSz w:w="15840" w:h="12240" w:orient="landscape"/>
          <w:pgMar w:top="1134" w:right="1440" w:bottom="851" w:left="1440" w:header="708" w:footer="397"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cols w:space="708"/>
          <w:docGrid w:linePitch="360"/>
        </w:sectPr>
      </w:pPr>
    </w:p>
    <w:p w14:paraId="3AD3D0D9" w14:textId="5CDE7957" w:rsidR="00A62677" w:rsidRPr="002A4196" w:rsidRDefault="00A62677" w:rsidP="00A55B6D">
      <w:pPr>
        <w:jc w:val="both"/>
        <w:rPr>
          <w:b/>
          <w:color w:val="1F497D" w:themeColor="text2"/>
          <w:sz w:val="32"/>
          <w:szCs w:val="32"/>
        </w:rPr>
      </w:pPr>
      <w:r w:rsidRPr="003D3D83">
        <w:rPr>
          <w:b/>
          <w:color w:val="1F497D" w:themeColor="text2"/>
          <w:sz w:val="32"/>
          <w:szCs w:val="32"/>
        </w:rPr>
        <w:t xml:space="preserve">Annex </w:t>
      </w:r>
      <w:r w:rsidR="00226046" w:rsidRPr="003D3D83">
        <w:rPr>
          <w:b/>
          <w:color w:val="1F497D" w:themeColor="text2"/>
          <w:sz w:val="32"/>
          <w:szCs w:val="32"/>
        </w:rPr>
        <w:t>C</w:t>
      </w:r>
      <w:r w:rsidRPr="003D3D83">
        <w:rPr>
          <w:b/>
          <w:color w:val="1F497D" w:themeColor="text2"/>
          <w:sz w:val="32"/>
          <w:szCs w:val="32"/>
        </w:rPr>
        <w:t xml:space="preserve">. </w:t>
      </w:r>
      <w:r w:rsidR="00744652" w:rsidRPr="003D3D83">
        <w:rPr>
          <w:b/>
          <w:color w:val="1F497D" w:themeColor="text2"/>
          <w:sz w:val="32"/>
          <w:szCs w:val="32"/>
        </w:rPr>
        <w:t>CF outcomes and human rights commitments of BiH</w:t>
      </w:r>
      <w:r w:rsidRPr="003D3D83">
        <w:rPr>
          <w:b/>
          <w:color w:val="1F497D" w:themeColor="text2"/>
          <w:sz w:val="32"/>
          <w:szCs w:val="32"/>
        </w:rPr>
        <w:fldChar w:fldCharType="begin"/>
      </w:r>
      <w:r w:rsidRPr="003D3D83">
        <w:instrText xml:space="preserve"> TC "</w:instrText>
      </w:r>
      <w:bookmarkStart w:id="92" w:name="_Toc21777847"/>
      <w:bookmarkStart w:id="93" w:name="_Toc23876379"/>
      <w:bookmarkStart w:id="94" w:name="_Toc23934007"/>
      <w:bookmarkStart w:id="95" w:name="_Toc26184413"/>
      <w:bookmarkStart w:id="96" w:name="_Toc38899137"/>
      <w:r w:rsidRPr="003D3D83">
        <w:rPr>
          <w:b/>
          <w:color w:val="1F497D" w:themeColor="text2"/>
          <w:sz w:val="32"/>
          <w:szCs w:val="32"/>
        </w:rPr>
        <w:instrText xml:space="preserve">Annex </w:instrText>
      </w:r>
      <w:r w:rsidR="00C367B3" w:rsidRPr="003D3D83">
        <w:rPr>
          <w:b/>
          <w:color w:val="1F497D" w:themeColor="text2"/>
          <w:sz w:val="32"/>
          <w:szCs w:val="32"/>
        </w:rPr>
        <w:instrText>C</w:instrText>
      </w:r>
      <w:r w:rsidRPr="003D3D83">
        <w:rPr>
          <w:b/>
          <w:color w:val="1F497D" w:themeColor="text2"/>
          <w:sz w:val="32"/>
          <w:szCs w:val="32"/>
        </w:rPr>
        <w:instrText xml:space="preserve">. </w:instrText>
      </w:r>
      <w:bookmarkEnd w:id="92"/>
      <w:bookmarkEnd w:id="93"/>
      <w:bookmarkEnd w:id="94"/>
      <w:bookmarkEnd w:id="95"/>
      <w:r w:rsidR="00A70FDC" w:rsidRPr="003D3D83">
        <w:rPr>
          <w:b/>
          <w:color w:val="1F497D" w:themeColor="text2"/>
          <w:sz w:val="32"/>
          <w:szCs w:val="32"/>
        </w:rPr>
        <w:instrText>CF outcomes and human rights commitments of BiH</w:instrText>
      </w:r>
      <w:bookmarkEnd w:id="96"/>
      <w:r w:rsidR="00A70FDC" w:rsidRPr="003D3D83">
        <w:instrText xml:space="preserve"> </w:instrText>
      </w:r>
      <w:r w:rsidRPr="003D3D83">
        <w:instrText xml:space="preserve">" \f C \l "1" </w:instrText>
      </w:r>
      <w:r w:rsidRPr="003D3D83">
        <w:rPr>
          <w:b/>
          <w:color w:val="1F497D" w:themeColor="text2"/>
          <w:sz w:val="32"/>
          <w:szCs w:val="32"/>
        </w:rPr>
        <w:fldChar w:fldCharType="end"/>
      </w:r>
    </w:p>
    <w:p w14:paraId="1C370FC2" w14:textId="24300627" w:rsidR="009425FE" w:rsidRPr="00892911" w:rsidRDefault="00744652" w:rsidP="00BD2ADA">
      <w:pPr>
        <w:spacing w:after="120" w:line="240" w:lineRule="auto"/>
        <w:ind w:right="-360"/>
        <w:jc w:val="both"/>
        <w:rPr>
          <w:rFonts w:cstheme="minorHAnsi"/>
          <w:sz w:val="20"/>
          <w:szCs w:val="20"/>
          <w:lang w:eastAsia="en-CA"/>
        </w:rPr>
      </w:pPr>
      <w:r w:rsidRPr="00892911">
        <w:rPr>
          <w:rFonts w:cstheme="minorHAnsi"/>
          <w:sz w:val="20"/>
          <w:szCs w:val="20"/>
          <w:lang w:val="en-GB"/>
        </w:rPr>
        <w:t xml:space="preserve">This annex describes major linkages between CF outcomes </w:t>
      </w:r>
      <w:r w:rsidR="009425FE" w:rsidRPr="00892911">
        <w:rPr>
          <w:rFonts w:cstheme="minorHAnsi"/>
          <w:sz w:val="20"/>
          <w:szCs w:val="20"/>
          <w:lang w:val="en-GB"/>
        </w:rPr>
        <w:t xml:space="preserve">and the </w:t>
      </w:r>
      <w:r w:rsidRPr="00892911">
        <w:rPr>
          <w:rFonts w:cstheme="minorHAnsi"/>
          <w:sz w:val="20"/>
          <w:szCs w:val="20"/>
          <w:lang w:val="en-GB"/>
        </w:rPr>
        <w:t xml:space="preserve">human rights commitments of </w:t>
      </w:r>
      <w:r w:rsidR="00B169C2">
        <w:rPr>
          <w:rFonts w:cstheme="minorHAnsi"/>
          <w:sz w:val="20"/>
          <w:szCs w:val="20"/>
          <w:lang w:val="en-GB"/>
        </w:rPr>
        <w:t>BiH</w:t>
      </w:r>
      <w:r w:rsidRPr="00892911">
        <w:rPr>
          <w:rFonts w:cstheme="minorHAnsi"/>
          <w:sz w:val="20"/>
          <w:szCs w:val="20"/>
          <w:lang w:val="en-GB"/>
        </w:rPr>
        <w:t xml:space="preserve">. This summary is based upon a detailed analysis of </w:t>
      </w:r>
      <w:r w:rsidR="001C62A0" w:rsidRPr="00892911">
        <w:rPr>
          <w:rFonts w:cstheme="minorHAnsi"/>
          <w:sz w:val="20"/>
          <w:szCs w:val="20"/>
          <w:lang w:val="en-GB"/>
        </w:rPr>
        <w:t xml:space="preserve">accepted </w:t>
      </w:r>
      <w:r w:rsidRPr="00892911">
        <w:rPr>
          <w:rFonts w:cstheme="minorHAnsi"/>
          <w:sz w:val="20"/>
          <w:szCs w:val="20"/>
          <w:lang w:val="en-GB"/>
        </w:rPr>
        <w:t xml:space="preserve">recommendations from </w:t>
      </w:r>
      <w:r w:rsidR="008151D9">
        <w:rPr>
          <w:rFonts w:cstheme="minorHAnsi"/>
          <w:sz w:val="20"/>
          <w:szCs w:val="20"/>
          <w:lang w:val="en-GB"/>
        </w:rPr>
        <w:t xml:space="preserve">the </w:t>
      </w:r>
      <w:r w:rsidR="009425FE" w:rsidRPr="00892911">
        <w:rPr>
          <w:rFonts w:cstheme="minorHAnsi"/>
          <w:sz w:val="20"/>
          <w:szCs w:val="20"/>
          <w:lang w:eastAsia="en-CA"/>
        </w:rPr>
        <w:t>2019-2020 Universal Periodic Review (UPR)</w:t>
      </w:r>
      <w:r w:rsidR="009425FE" w:rsidRPr="00892911">
        <w:rPr>
          <w:rStyle w:val="FootnoteReference"/>
          <w:rFonts w:cstheme="minorHAnsi"/>
          <w:sz w:val="20"/>
          <w:szCs w:val="20"/>
          <w:lang w:eastAsia="en-CA"/>
        </w:rPr>
        <w:footnoteReference w:id="174"/>
      </w:r>
      <w:r w:rsidR="009425FE" w:rsidRPr="00892911">
        <w:rPr>
          <w:rFonts w:cstheme="minorHAnsi"/>
          <w:sz w:val="20"/>
          <w:szCs w:val="20"/>
          <w:lang w:eastAsia="en-CA"/>
        </w:rPr>
        <w:t xml:space="preserve">. </w:t>
      </w:r>
    </w:p>
    <w:p w14:paraId="11947DE9" w14:textId="08793091" w:rsidR="009425FE" w:rsidRPr="00892911" w:rsidRDefault="00045BC3" w:rsidP="00BD2ADA">
      <w:pPr>
        <w:spacing w:after="60" w:line="240" w:lineRule="auto"/>
        <w:ind w:right="-360"/>
        <w:jc w:val="both"/>
        <w:rPr>
          <w:rFonts w:cstheme="minorHAnsi"/>
          <w:b/>
          <w:sz w:val="20"/>
          <w:szCs w:val="20"/>
          <w:u w:val="single"/>
          <w:lang w:val="en-GB"/>
        </w:rPr>
      </w:pPr>
      <w:r w:rsidRPr="00892911">
        <w:rPr>
          <w:rFonts w:cstheme="minorHAnsi"/>
          <w:b/>
          <w:sz w:val="20"/>
          <w:szCs w:val="20"/>
          <w:u w:val="single"/>
          <w:lang w:val="en-GB"/>
        </w:rPr>
        <w:t xml:space="preserve">Outcome 1 </w:t>
      </w:r>
      <w:r w:rsidR="007F1D5A" w:rsidRPr="00892911">
        <w:rPr>
          <w:rFonts w:cstheme="minorHAnsi"/>
          <w:b/>
          <w:sz w:val="20"/>
          <w:szCs w:val="20"/>
          <w:u w:val="single"/>
          <w:lang w:val="en-GB"/>
        </w:rPr>
        <w:t xml:space="preserve"> </w:t>
      </w:r>
    </w:p>
    <w:p w14:paraId="08AF13DD" w14:textId="67A38E51" w:rsidR="009425FE" w:rsidRPr="00892911" w:rsidRDefault="009425FE" w:rsidP="00BD2ADA">
      <w:pPr>
        <w:numPr>
          <w:ilvl w:val="0"/>
          <w:numId w:val="20"/>
        </w:numPr>
        <w:spacing w:after="60" w:line="240" w:lineRule="auto"/>
        <w:ind w:right="-360"/>
        <w:jc w:val="both"/>
        <w:rPr>
          <w:rFonts w:cstheme="minorHAnsi"/>
          <w:sz w:val="20"/>
          <w:szCs w:val="20"/>
          <w:lang w:val="en-GB"/>
        </w:rPr>
      </w:pPr>
      <w:r w:rsidRPr="00892911">
        <w:rPr>
          <w:rFonts w:cstheme="minorHAnsi"/>
          <w:sz w:val="20"/>
          <w:szCs w:val="20"/>
          <w:lang w:val="en-GB"/>
        </w:rPr>
        <w:t>Poverty</w:t>
      </w:r>
      <w:r w:rsidR="00045BC3" w:rsidRPr="00892911">
        <w:rPr>
          <w:rFonts w:cstheme="minorHAnsi"/>
          <w:sz w:val="20"/>
          <w:szCs w:val="20"/>
          <w:lang w:val="en-GB"/>
        </w:rPr>
        <w:t>:</w:t>
      </w:r>
      <w:r w:rsidRPr="00892911">
        <w:rPr>
          <w:rFonts w:cstheme="minorHAnsi"/>
          <w:sz w:val="20"/>
          <w:szCs w:val="20"/>
          <w:lang w:val="en-GB"/>
        </w:rPr>
        <w:t xml:space="preserve"> </w:t>
      </w:r>
      <w:r w:rsidR="00045BC3" w:rsidRPr="00892911">
        <w:rPr>
          <w:rFonts w:cstheme="minorHAnsi"/>
          <w:sz w:val="20"/>
          <w:szCs w:val="20"/>
          <w:lang w:val="en-GB"/>
        </w:rPr>
        <w:t>S</w:t>
      </w:r>
      <w:r w:rsidRPr="00892911">
        <w:rPr>
          <w:rFonts w:cstheme="minorHAnsi"/>
          <w:sz w:val="20"/>
          <w:szCs w:val="20"/>
          <w:lang w:val="en-GB"/>
        </w:rPr>
        <w:t xml:space="preserve">ystemic gaps preventing vulnerable groups from enjoying their right to an adequate standard of living and social security, including regional disparities. </w:t>
      </w:r>
    </w:p>
    <w:p w14:paraId="3F99ABF3" w14:textId="4D0F6E06" w:rsidR="009425FE" w:rsidRPr="00892911" w:rsidRDefault="009425FE" w:rsidP="00BD2ADA">
      <w:pPr>
        <w:numPr>
          <w:ilvl w:val="0"/>
          <w:numId w:val="20"/>
        </w:numPr>
        <w:spacing w:after="60" w:line="240" w:lineRule="auto"/>
        <w:ind w:right="-360"/>
        <w:jc w:val="both"/>
        <w:rPr>
          <w:rFonts w:cstheme="minorHAnsi"/>
          <w:sz w:val="20"/>
          <w:szCs w:val="20"/>
          <w:lang w:val="en-GB"/>
        </w:rPr>
      </w:pPr>
      <w:r w:rsidRPr="00892911">
        <w:rPr>
          <w:rFonts w:cstheme="minorHAnsi"/>
          <w:sz w:val="20"/>
          <w:szCs w:val="20"/>
          <w:lang w:val="en-GB"/>
        </w:rPr>
        <w:t>The right to work and to just and favourable conditions of work</w:t>
      </w:r>
      <w:r w:rsidR="00045BC3" w:rsidRPr="00892911">
        <w:rPr>
          <w:rFonts w:cstheme="minorHAnsi"/>
          <w:sz w:val="20"/>
          <w:szCs w:val="20"/>
          <w:lang w:val="en-GB"/>
        </w:rPr>
        <w:t>: S</w:t>
      </w:r>
      <w:r w:rsidRPr="00892911">
        <w:rPr>
          <w:rFonts w:cstheme="minorHAnsi"/>
          <w:sz w:val="20"/>
          <w:szCs w:val="20"/>
          <w:lang w:val="en-GB"/>
        </w:rPr>
        <w:t xml:space="preserve">ystemic gaps concerning </w:t>
      </w:r>
      <w:r w:rsidR="00C348F3" w:rsidRPr="00892911">
        <w:rPr>
          <w:rFonts w:cstheme="minorHAnsi"/>
          <w:sz w:val="20"/>
          <w:szCs w:val="20"/>
          <w:lang w:val="en-GB"/>
        </w:rPr>
        <w:t>gender equality,</w:t>
      </w:r>
      <w:r w:rsidRPr="00892911">
        <w:rPr>
          <w:rFonts w:cstheme="minorHAnsi"/>
          <w:sz w:val="20"/>
          <w:szCs w:val="20"/>
          <w:lang w:val="en-GB"/>
        </w:rPr>
        <w:t xml:space="preserve"> including concerning the prohibition of slavery, forced labour, and trafficking of persons.</w:t>
      </w:r>
    </w:p>
    <w:p w14:paraId="056658A1" w14:textId="77777777" w:rsidR="009425FE" w:rsidRPr="00892911" w:rsidRDefault="009425FE" w:rsidP="00BD2ADA">
      <w:pPr>
        <w:numPr>
          <w:ilvl w:val="0"/>
          <w:numId w:val="20"/>
        </w:numPr>
        <w:spacing w:after="60" w:line="240" w:lineRule="auto"/>
        <w:ind w:right="-360"/>
        <w:jc w:val="both"/>
        <w:rPr>
          <w:rFonts w:cstheme="minorHAnsi"/>
          <w:sz w:val="20"/>
          <w:szCs w:val="20"/>
          <w:lang w:val="en-GB"/>
        </w:rPr>
      </w:pPr>
      <w:r w:rsidRPr="00892911">
        <w:rPr>
          <w:rFonts w:cstheme="minorHAnsi"/>
          <w:sz w:val="20"/>
          <w:szCs w:val="20"/>
          <w:lang w:val="en-GB"/>
        </w:rPr>
        <w:t xml:space="preserve">Right to safe drinking water and sanitation. </w:t>
      </w:r>
    </w:p>
    <w:p w14:paraId="6288B9A2" w14:textId="77777777" w:rsidR="00045BC3" w:rsidRPr="00892911" w:rsidRDefault="00045BC3" w:rsidP="00BD2ADA">
      <w:pPr>
        <w:spacing w:before="120" w:after="60" w:line="240" w:lineRule="auto"/>
        <w:ind w:right="-360"/>
        <w:jc w:val="both"/>
        <w:rPr>
          <w:rFonts w:cstheme="minorHAnsi"/>
          <w:b/>
          <w:sz w:val="20"/>
          <w:szCs w:val="20"/>
        </w:rPr>
      </w:pPr>
      <w:r w:rsidRPr="00892911">
        <w:rPr>
          <w:rFonts w:cstheme="minorHAnsi"/>
          <w:b/>
          <w:sz w:val="20"/>
          <w:szCs w:val="20"/>
        </w:rPr>
        <w:t>Related Human Rights:</w:t>
      </w:r>
    </w:p>
    <w:p w14:paraId="54B8DAC4"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Right to an adequate standard of living [UDHR art. 25; ICESCR art. 11; CRC art. 27]</w:t>
      </w:r>
    </w:p>
    <w:p w14:paraId="63C4E196"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Right to social security [UDHR art. 22; ICESCR art. 9; CRPD art. 28; CRC art. 26]</w:t>
      </w:r>
    </w:p>
    <w:p w14:paraId="0D4340D4" w14:textId="6DE53E2C"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Equal rights of women in economic life [CEDAW arts. 11, 13, 14(2)(g), 15(2), 16(1)]</w:t>
      </w:r>
    </w:p>
    <w:p w14:paraId="64A8C57F"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Equal rights of women to financial credit and rural infrastructure [CEDAW art. 13(b), art. 14(2)]</w:t>
      </w:r>
    </w:p>
    <w:p w14:paraId="4E65AF63"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Right to work and to just and favourable conditions of work [UDHR art. 23; ICESCR arts. 6, 7, 10; CRPD art. 27; ILO Core Labour Conventions and ILO Declaration on Fundamental Principles and Rights at Work]</w:t>
      </w:r>
    </w:p>
    <w:p w14:paraId="6B85F3A7"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Prohibition of slavery, forced labour, and trafficking of persons [UDHR art. 4; ICCPR art. 8; CEDAW art. 6; CRC arts. 34-36]</w:t>
      </w:r>
    </w:p>
    <w:p w14:paraId="3902665E"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Prohibition of child labour [CRC art. 32; ILO Convention No. 182]</w:t>
      </w:r>
    </w:p>
    <w:p w14:paraId="2C1DF812"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Equal labour rights of migrant workers [CMW art. 25]</w:t>
      </w:r>
    </w:p>
    <w:p w14:paraId="06ED1429" w14:textId="77777777" w:rsidR="00045BC3" w:rsidRPr="00B069E8" w:rsidRDefault="00045BC3" w:rsidP="00B069E8">
      <w:pPr>
        <w:pStyle w:val="ListParagraph"/>
        <w:numPr>
          <w:ilvl w:val="0"/>
          <w:numId w:val="24"/>
        </w:numPr>
        <w:spacing w:after="60"/>
        <w:ind w:left="720" w:right="-360"/>
        <w:jc w:val="both"/>
        <w:rPr>
          <w:rFonts w:cstheme="minorHAnsi"/>
          <w:sz w:val="20"/>
          <w:szCs w:val="20"/>
        </w:rPr>
      </w:pPr>
      <w:r w:rsidRPr="00B069E8">
        <w:rPr>
          <w:rFonts w:cstheme="minorHAnsi"/>
          <w:sz w:val="20"/>
          <w:szCs w:val="20"/>
        </w:rPr>
        <w:t xml:space="preserve">Promotion of conditions for international migration [CMW art. 64]  </w:t>
      </w:r>
    </w:p>
    <w:p w14:paraId="22F160B2" w14:textId="207EFF1A" w:rsidR="00045BC3" w:rsidRPr="00B069E8" w:rsidRDefault="00045BC3" w:rsidP="00B069E8">
      <w:pPr>
        <w:pStyle w:val="ListParagraph"/>
        <w:numPr>
          <w:ilvl w:val="0"/>
          <w:numId w:val="24"/>
        </w:numPr>
        <w:spacing w:after="60"/>
        <w:ind w:left="720" w:right="-360"/>
        <w:jc w:val="both"/>
        <w:rPr>
          <w:rFonts w:cstheme="minorHAnsi"/>
          <w:sz w:val="20"/>
          <w:szCs w:val="20"/>
          <w:lang w:val="en-GB"/>
        </w:rPr>
      </w:pPr>
      <w:r w:rsidRPr="00B069E8">
        <w:rPr>
          <w:rFonts w:cstheme="minorHAnsi"/>
          <w:sz w:val="20"/>
          <w:szCs w:val="20"/>
        </w:rPr>
        <w:t>Right of migrants to transfer their earnings and savings [CMW art. 47(1)]</w:t>
      </w:r>
    </w:p>
    <w:p w14:paraId="211757D2" w14:textId="77777777" w:rsidR="00045BC3" w:rsidRPr="00892911" w:rsidRDefault="00045BC3" w:rsidP="00BD2ADA">
      <w:pPr>
        <w:spacing w:after="60" w:line="240" w:lineRule="auto"/>
        <w:ind w:right="-360"/>
        <w:jc w:val="both"/>
        <w:rPr>
          <w:rFonts w:cstheme="minorHAnsi"/>
          <w:sz w:val="20"/>
          <w:szCs w:val="20"/>
          <w:lang w:val="en-GB"/>
        </w:rPr>
      </w:pPr>
    </w:p>
    <w:p w14:paraId="65459CBC" w14:textId="2C48E20D" w:rsidR="009425FE" w:rsidRPr="00892911" w:rsidRDefault="007F1D5A" w:rsidP="00BD2ADA">
      <w:pPr>
        <w:spacing w:after="60" w:line="240" w:lineRule="auto"/>
        <w:ind w:right="-360"/>
        <w:jc w:val="both"/>
        <w:rPr>
          <w:rFonts w:cstheme="minorHAnsi"/>
          <w:b/>
          <w:sz w:val="20"/>
          <w:szCs w:val="20"/>
          <w:u w:val="single"/>
          <w:lang w:val="en-GB"/>
        </w:rPr>
      </w:pPr>
      <w:r w:rsidRPr="00892911">
        <w:rPr>
          <w:rFonts w:cstheme="minorHAnsi"/>
          <w:b/>
          <w:sz w:val="20"/>
          <w:szCs w:val="20"/>
          <w:u w:val="single"/>
          <w:lang w:val="en-GB"/>
        </w:rPr>
        <w:t xml:space="preserve">Outcome 2 </w:t>
      </w:r>
    </w:p>
    <w:p w14:paraId="3A9ABECD" w14:textId="18D0487E" w:rsidR="009425FE" w:rsidRPr="00892911" w:rsidRDefault="001068AA" w:rsidP="00BD2ADA">
      <w:pPr>
        <w:numPr>
          <w:ilvl w:val="0"/>
          <w:numId w:val="21"/>
        </w:numPr>
        <w:spacing w:after="60" w:line="240" w:lineRule="auto"/>
        <w:ind w:right="-360"/>
        <w:jc w:val="both"/>
        <w:rPr>
          <w:rFonts w:cstheme="minorHAnsi"/>
          <w:sz w:val="20"/>
          <w:szCs w:val="20"/>
          <w:lang w:val="en-GB"/>
        </w:rPr>
      </w:pPr>
      <w:r w:rsidRPr="00892911">
        <w:rPr>
          <w:rFonts w:cstheme="minorHAnsi"/>
          <w:sz w:val="20"/>
          <w:szCs w:val="20"/>
          <w:lang w:val="en-GB"/>
        </w:rPr>
        <w:t xml:space="preserve">Ending divisive approaches in education </w:t>
      </w:r>
      <w:r w:rsidR="009425FE" w:rsidRPr="00892911">
        <w:rPr>
          <w:rFonts w:cstheme="minorHAnsi"/>
          <w:sz w:val="20"/>
          <w:szCs w:val="20"/>
          <w:lang w:val="en-GB"/>
        </w:rPr>
        <w:t>– one of the most salient issues, also hindering efforts towards social cohesion and conflict transformation.</w:t>
      </w:r>
    </w:p>
    <w:p w14:paraId="5D968487" w14:textId="77777777" w:rsidR="009425FE" w:rsidRPr="00892911" w:rsidRDefault="009425FE" w:rsidP="00BD2ADA">
      <w:pPr>
        <w:numPr>
          <w:ilvl w:val="0"/>
          <w:numId w:val="21"/>
        </w:numPr>
        <w:spacing w:after="60" w:line="240" w:lineRule="auto"/>
        <w:ind w:right="-360"/>
        <w:jc w:val="both"/>
        <w:rPr>
          <w:rFonts w:cstheme="minorHAnsi"/>
          <w:sz w:val="20"/>
          <w:szCs w:val="20"/>
          <w:lang w:val="en-GB"/>
        </w:rPr>
      </w:pPr>
      <w:r w:rsidRPr="00892911">
        <w:rPr>
          <w:rFonts w:cstheme="minorHAnsi"/>
          <w:sz w:val="20"/>
          <w:szCs w:val="20"/>
          <w:lang w:val="en-GB"/>
        </w:rPr>
        <w:t>Specific concerns regarding the access to education for Roma, persons with disabilities, and minorities</w:t>
      </w:r>
    </w:p>
    <w:p w14:paraId="740C574A" w14:textId="77777777" w:rsidR="00176CE7" w:rsidRPr="00892911" w:rsidRDefault="00176CE7" w:rsidP="00BD2ADA">
      <w:pPr>
        <w:spacing w:before="120" w:after="60" w:line="240" w:lineRule="auto"/>
        <w:ind w:left="567" w:right="-360" w:hanging="567"/>
        <w:jc w:val="both"/>
        <w:rPr>
          <w:rFonts w:cstheme="minorHAnsi"/>
          <w:b/>
          <w:sz w:val="20"/>
          <w:szCs w:val="20"/>
        </w:rPr>
      </w:pPr>
      <w:r w:rsidRPr="00892911">
        <w:rPr>
          <w:rFonts w:cstheme="minorHAnsi"/>
          <w:b/>
          <w:sz w:val="20"/>
          <w:szCs w:val="20"/>
        </w:rPr>
        <w:t>Related Human Rights:</w:t>
      </w:r>
    </w:p>
    <w:p w14:paraId="187DB1F0" w14:textId="77777777" w:rsidR="00176CE7" w:rsidRPr="00B069E8" w:rsidRDefault="00176CE7" w:rsidP="00B069E8">
      <w:pPr>
        <w:pStyle w:val="ListParagraph"/>
        <w:numPr>
          <w:ilvl w:val="0"/>
          <w:numId w:val="25"/>
        </w:numPr>
        <w:spacing w:after="60"/>
        <w:ind w:left="720" w:right="-360"/>
        <w:jc w:val="both"/>
        <w:rPr>
          <w:rFonts w:cstheme="minorHAnsi"/>
          <w:sz w:val="20"/>
          <w:szCs w:val="20"/>
        </w:rPr>
      </w:pPr>
      <w:r w:rsidRPr="00B069E8">
        <w:rPr>
          <w:rFonts w:cstheme="minorHAnsi"/>
          <w:sz w:val="20"/>
          <w:szCs w:val="20"/>
        </w:rPr>
        <w:t>Right to education [UDHR art. 26; ICESCR art. 13], particularly in relation to children [CRC arts. 28, 29];</w:t>
      </w:r>
    </w:p>
    <w:p w14:paraId="29200800" w14:textId="77777777" w:rsidR="00176CE7" w:rsidRPr="00B069E8" w:rsidRDefault="00176CE7" w:rsidP="00B069E8">
      <w:pPr>
        <w:pStyle w:val="ListParagraph"/>
        <w:numPr>
          <w:ilvl w:val="0"/>
          <w:numId w:val="25"/>
        </w:numPr>
        <w:spacing w:after="60"/>
        <w:ind w:left="720" w:right="-360"/>
        <w:jc w:val="both"/>
        <w:rPr>
          <w:rFonts w:cstheme="minorHAnsi"/>
          <w:sz w:val="20"/>
          <w:szCs w:val="20"/>
        </w:rPr>
      </w:pPr>
      <w:r w:rsidRPr="00B069E8">
        <w:rPr>
          <w:rFonts w:cstheme="minorHAnsi"/>
          <w:sz w:val="20"/>
          <w:szCs w:val="20"/>
        </w:rPr>
        <w:t>persons with disabilities [CRC art. 23(3), CRPD art. 24]; and indigenous peoples [UNDRIP art. 14]</w:t>
      </w:r>
    </w:p>
    <w:p w14:paraId="3B92AF84" w14:textId="77777777" w:rsidR="00176CE7" w:rsidRPr="00B069E8" w:rsidRDefault="00176CE7" w:rsidP="00B069E8">
      <w:pPr>
        <w:pStyle w:val="ListParagraph"/>
        <w:numPr>
          <w:ilvl w:val="0"/>
          <w:numId w:val="25"/>
        </w:numPr>
        <w:spacing w:after="60"/>
        <w:ind w:left="720" w:right="-360"/>
        <w:jc w:val="both"/>
        <w:rPr>
          <w:rFonts w:cstheme="minorHAnsi"/>
          <w:sz w:val="20"/>
          <w:szCs w:val="20"/>
        </w:rPr>
      </w:pPr>
      <w:r w:rsidRPr="00B069E8">
        <w:rPr>
          <w:rFonts w:cstheme="minorHAnsi"/>
          <w:sz w:val="20"/>
          <w:szCs w:val="20"/>
        </w:rPr>
        <w:t>Equal rights of women and girls in the field of education [CEDAW art. 10]</w:t>
      </w:r>
    </w:p>
    <w:p w14:paraId="05642E21" w14:textId="77777777" w:rsidR="00176CE7" w:rsidRPr="00B069E8" w:rsidRDefault="00176CE7" w:rsidP="00B069E8">
      <w:pPr>
        <w:pStyle w:val="ListParagraph"/>
        <w:numPr>
          <w:ilvl w:val="0"/>
          <w:numId w:val="25"/>
        </w:numPr>
        <w:spacing w:after="60"/>
        <w:ind w:left="720" w:right="-360"/>
        <w:jc w:val="both"/>
        <w:rPr>
          <w:rFonts w:cstheme="minorHAnsi"/>
          <w:sz w:val="20"/>
          <w:szCs w:val="20"/>
        </w:rPr>
      </w:pPr>
      <w:r w:rsidRPr="00B069E8">
        <w:rPr>
          <w:rFonts w:cstheme="minorHAnsi"/>
          <w:sz w:val="20"/>
          <w:szCs w:val="20"/>
        </w:rPr>
        <w:t>Right to work, including technical and vocational training [ICESCR art. 6]</w:t>
      </w:r>
    </w:p>
    <w:p w14:paraId="10760EFF" w14:textId="77777777" w:rsidR="00176CE7" w:rsidRPr="00B069E8" w:rsidRDefault="00176CE7" w:rsidP="00B069E8">
      <w:pPr>
        <w:pStyle w:val="ListParagraph"/>
        <w:numPr>
          <w:ilvl w:val="0"/>
          <w:numId w:val="25"/>
        </w:numPr>
        <w:spacing w:after="60"/>
        <w:ind w:left="720" w:right="-360"/>
        <w:jc w:val="both"/>
        <w:rPr>
          <w:rFonts w:cstheme="minorHAnsi"/>
          <w:sz w:val="20"/>
          <w:szCs w:val="20"/>
        </w:rPr>
      </w:pPr>
      <w:r w:rsidRPr="00B069E8">
        <w:rPr>
          <w:rFonts w:cstheme="minorHAnsi"/>
          <w:sz w:val="20"/>
          <w:szCs w:val="20"/>
        </w:rPr>
        <w:t>Prohibition of all practices of segregation and discrimination in education [CERD art.2(2),3,5 (e-v); ICESCR art. 2(2), 13; CEDAW art. 2; CRC art. 2, 28]</w:t>
      </w:r>
    </w:p>
    <w:p w14:paraId="11563597" w14:textId="77777777" w:rsidR="00176CE7" w:rsidRPr="00B069E8" w:rsidRDefault="00176CE7" w:rsidP="00B069E8">
      <w:pPr>
        <w:pStyle w:val="ListParagraph"/>
        <w:numPr>
          <w:ilvl w:val="0"/>
          <w:numId w:val="25"/>
        </w:numPr>
        <w:spacing w:after="60"/>
        <w:ind w:left="720" w:right="-360"/>
        <w:jc w:val="both"/>
        <w:rPr>
          <w:rFonts w:cstheme="minorHAnsi"/>
          <w:sz w:val="20"/>
          <w:szCs w:val="20"/>
        </w:rPr>
      </w:pPr>
      <w:r w:rsidRPr="00B069E8">
        <w:rPr>
          <w:rFonts w:cstheme="minorHAnsi"/>
          <w:sz w:val="20"/>
          <w:szCs w:val="20"/>
        </w:rPr>
        <w:t>International cooperation [UDHR art. 28; DRtD arts. 3-4], particularly in relation to children [CRC arts. 23(4), 28(3)], persons with disabilities [CRPD art. 32], and indigenous peoples [UNDRIP art.39]</w:t>
      </w:r>
    </w:p>
    <w:p w14:paraId="00DBE99F" w14:textId="77777777" w:rsidR="00176CE7" w:rsidRPr="00892911" w:rsidRDefault="00176CE7" w:rsidP="00BD2ADA">
      <w:pPr>
        <w:spacing w:after="60" w:line="240" w:lineRule="auto"/>
        <w:ind w:right="-360"/>
        <w:jc w:val="both"/>
        <w:rPr>
          <w:rFonts w:cstheme="minorHAnsi"/>
          <w:sz w:val="20"/>
          <w:szCs w:val="20"/>
        </w:rPr>
      </w:pPr>
    </w:p>
    <w:p w14:paraId="7A98008C" w14:textId="0314C91E" w:rsidR="009425FE" w:rsidRPr="00892911" w:rsidRDefault="00176CE7" w:rsidP="00BD2ADA">
      <w:pPr>
        <w:spacing w:after="60" w:line="240" w:lineRule="auto"/>
        <w:ind w:right="-360"/>
        <w:jc w:val="both"/>
        <w:rPr>
          <w:rFonts w:cstheme="minorHAnsi"/>
          <w:b/>
          <w:sz w:val="20"/>
          <w:szCs w:val="20"/>
          <w:u w:val="single"/>
          <w:lang w:val="en-GB"/>
        </w:rPr>
      </w:pPr>
      <w:r w:rsidRPr="00892911">
        <w:rPr>
          <w:rFonts w:cstheme="minorHAnsi"/>
          <w:b/>
          <w:sz w:val="20"/>
          <w:szCs w:val="20"/>
          <w:u w:val="single"/>
          <w:lang w:val="en-GB"/>
        </w:rPr>
        <w:t>Outcome 3</w:t>
      </w:r>
    </w:p>
    <w:p w14:paraId="3459FFB5" w14:textId="77777777" w:rsidR="009425FE" w:rsidRPr="00892911" w:rsidRDefault="009425FE" w:rsidP="00BD2ADA">
      <w:pPr>
        <w:numPr>
          <w:ilvl w:val="0"/>
          <w:numId w:val="22"/>
        </w:numPr>
        <w:spacing w:after="60" w:line="240" w:lineRule="auto"/>
        <w:ind w:right="-360"/>
        <w:jc w:val="both"/>
        <w:rPr>
          <w:rFonts w:cstheme="minorHAnsi"/>
          <w:sz w:val="20"/>
          <w:szCs w:val="20"/>
          <w:lang w:val="en-GB"/>
        </w:rPr>
      </w:pPr>
      <w:r w:rsidRPr="00892911">
        <w:rPr>
          <w:rFonts w:cstheme="minorHAnsi"/>
          <w:sz w:val="20"/>
          <w:szCs w:val="20"/>
          <w:lang w:val="en-GB"/>
        </w:rPr>
        <w:t>Specific concern related to the accessibility, availability, affordability and quality of health care services</w:t>
      </w:r>
    </w:p>
    <w:p w14:paraId="7BB39E8A" w14:textId="77777777" w:rsidR="009425FE" w:rsidRPr="00892911" w:rsidRDefault="009425FE" w:rsidP="00BD2ADA">
      <w:pPr>
        <w:numPr>
          <w:ilvl w:val="0"/>
          <w:numId w:val="22"/>
        </w:numPr>
        <w:spacing w:after="60" w:line="240" w:lineRule="auto"/>
        <w:ind w:right="-360"/>
        <w:jc w:val="both"/>
        <w:rPr>
          <w:rFonts w:cstheme="minorHAnsi"/>
          <w:sz w:val="20"/>
          <w:szCs w:val="20"/>
          <w:lang w:val="en-GB"/>
        </w:rPr>
      </w:pPr>
      <w:r w:rsidRPr="00892911">
        <w:rPr>
          <w:rFonts w:cstheme="minorHAnsi"/>
          <w:sz w:val="20"/>
          <w:szCs w:val="20"/>
          <w:lang w:val="en-GB"/>
        </w:rPr>
        <w:t>Specific concern related to sexual and reproductive health</w:t>
      </w:r>
    </w:p>
    <w:p w14:paraId="05E85158" w14:textId="77777777" w:rsidR="00176CE7" w:rsidRPr="00892911" w:rsidRDefault="00176CE7" w:rsidP="00BD2ADA">
      <w:pPr>
        <w:spacing w:before="120" w:after="60" w:line="240" w:lineRule="auto"/>
        <w:ind w:right="-360"/>
        <w:jc w:val="both"/>
        <w:rPr>
          <w:rFonts w:cstheme="minorHAnsi"/>
          <w:sz w:val="20"/>
          <w:szCs w:val="20"/>
        </w:rPr>
      </w:pPr>
      <w:r w:rsidRPr="00892911">
        <w:rPr>
          <w:rFonts w:cstheme="minorHAnsi"/>
          <w:b/>
          <w:sz w:val="20"/>
          <w:szCs w:val="20"/>
        </w:rPr>
        <w:t>Related Human Rights:</w:t>
      </w:r>
    </w:p>
    <w:p w14:paraId="3C855B03"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Right to life [UDHR art. 3; ICCPR art. 6], particularly of women [CEDAW art.12] and children [CRC art. 6]</w:t>
      </w:r>
    </w:p>
    <w:p w14:paraId="42BB32F7"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Right to health [UDHR art. 25; ICESCR art. 12], particularly of women [CEDAW art. 12]; and children [CRC art.24]</w:t>
      </w:r>
    </w:p>
    <w:p w14:paraId="229F0A6B"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Special protection for mothers and children [ICESCR art.10]</w:t>
      </w:r>
    </w:p>
    <w:p w14:paraId="4BAA005A"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Right to enjoy the benefits of scientific progress and its application [UDHR art. 27; ICESCR art. 15(1)(b)]</w:t>
      </w:r>
    </w:p>
    <w:p w14:paraId="475532EA"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Right to safe drinking water and sanitation [ICESCR art. 1; Equal access to water and sanitation for rural women [CEDAW art. 14(2)(h)]</w:t>
      </w:r>
    </w:p>
    <w:p w14:paraId="4F6FEB5F"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Right to adequate food and the right to safe drinking water [UDHR art. 25(1); ICESCR art. 11]</w:t>
      </w:r>
    </w:p>
    <w:p w14:paraId="4FFDD390" w14:textId="77777777"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 xml:space="preserve">Right to health including the right to safe, clean, healthy and sustainable environment [UDHR art. 25(1); ICESCR art. 12; CRC art. 24; CEDAW art. 12; CMW art. 28] </w:t>
      </w:r>
    </w:p>
    <w:p w14:paraId="325C31F4" w14:textId="3D698CA2" w:rsidR="00176CE7" w:rsidRPr="00037784" w:rsidRDefault="00176CE7" w:rsidP="00037784">
      <w:pPr>
        <w:pStyle w:val="ListParagraph"/>
        <w:numPr>
          <w:ilvl w:val="0"/>
          <w:numId w:val="26"/>
        </w:numPr>
        <w:spacing w:after="60"/>
        <w:ind w:left="720" w:right="-360"/>
        <w:jc w:val="both"/>
        <w:rPr>
          <w:rFonts w:cstheme="minorHAnsi"/>
          <w:sz w:val="20"/>
          <w:szCs w:val="20"/>
        </w:rPr>
      </w:pPr>
      <w:r w:rsidRPr="00037784">
        <w:rPr>
          <w:rFonts w:cstheme="minorHAnsi"/>
          <w:sz w:val="20"/>
          <w:szCs w:val="20"/>
        </w:rPr>
        <w:t>International cooperation [UDHR art. 28, DRtD arts. 3-4</w:t>
      </w:r>
      <w:r w:rsidR="00BD2ADA" w:rsidRPr="00037784">
        <w:rPr>
          <w:rFonts w:cstheme="minorHAnsi"/>
          <w:sz w:val="20"/>
          <w:szCs w:val="20"/>
        </w:rPr>
        <w:t>], particularly</w:t>
      </w:r>
      <w:r w:rsidRPr="00037784">
        <w:rPr>
          <w:rFonts w:cstheme="minorHAnsi"/>
          <w:sz w:val="20"/>
          <w:szCs w:val="20"/>
        </w:rPr>
        <w:t xml:space="preserve"> in relation to the right to health and children’s rights [ICESCR art. 2(1); CRC art. 4]</w:t>
      </w:r>
    </w:p>
    <w:p w14:paraId="2CB868C0" w14:textId="77777777" w:rsidR="00176CE7" w:rsidRPr="00892911" w:rsidRDefault="00176CE7" w:rsidP="00BD2ADA">
      <w:pPr>
        <w:spacing w:after="60" w:line="240" w:lineRule="auto"/>
        <w:ind w:right="-360"/>
        <w:jc w:val="both"/>
        <w:rPr>
          <w:rFonts w:cstheme="minorHAnsi"/>
          <w:sz w:val="20"/>
          <w:szCs w:val="20"/>
        </w:rPr>
      </w:pPr>
    </w:p>
    <w:p w14:paraId="6F26C7BF" w14:textId="10863A59" w:rsidR="00744652" w:rsidRPr="00892911" w:rsidRDefault="005E68C7" w:rsidP="00BD2ADA">
      <w:pPr>
        <w:spacing w:after="60" w:line="240" w:lineRule="auto"/>
        <w:ind w:right="-360"/>
        <w:jc w:val="both"/>
        <w:rPr>
          <w:rFonts w:cstheme="minorHAnsi"/>
          <w:b/>
          <w:sz w:val="20"/>
          <w:szCs w:val="20"/>
          <w:u w:val="single"/>
          <w:lang w:val="en-GB"/>
        </w:rPr>
      </w:pPr>
      <w:r w:rsidRPr="00892911">
        <w:rPr>
          <w:rFonts w:cstheme="minorHAnsi"/>
          <w:b/>
          <w:sz w:val="20"/>
          <w:szCs w:val="20"/>
          <w:u w:val="single"/>
          <w:lang w:val="en-GB"/>
        </w:rPr>
        <w:t>Outcome 4</w:t>
      </w:r>
      <w:r w:rsidR="00744652" w:rsidRPr="00892911">
        <w:rPr>
          <w:rFonts w:cstheme="minorHAnsi"/>
          <w:b/>
          <w:bCs/>
          <w:sz w:val="20"/>
          <w:szCs w:val="20"/>
          <w:u w:val="single"/>
          <w:lang w:val="en-GB"/>
        </w:rPr>
        <w:t xml:space="preserve"> </w:t>
      </w:r>
    </w:p>
    <w:p w14:paraId="3DC9CA12" w14:textId="46A29CF1" w:rsidR="00744652" w:rsidRPr="00892911" w:rsidRDefault="00744652" w:rsidP="00BD2ADA">
      <w:pPr>
        <w:numPr>
          <w:ilvl w:val="0"/>
          <w:numId w:val="18"/>
        </w:numPr>
        <w:spacing w:after="60" w:line="240" w:lineRule="auto"/>
        <w:ind w:right="-360"/>
        <w:jc w:val="both"/>
        <w:rPr>
          <w:rFonts w:cstheme="minorHAnsi"/>
          <w:sz w:val="20"/>
          <w:szCs w:val="20"/>
          <w:lang w:val="en-GB"/>
        </w:rPr>
      </w:pPr>
      <w:r w:rsidRPr="00892911">
        <w:rPr>
          <w:rFonts w:cstheme="minorHAnsi"/>
          <w:sz w:val="20"/>
          <w:szCs w:val="20"/>
          <w:lang w:val="en-GB"/>
        </w:rPr>
        <w:t>Compliance with international obliga</w:t>
      </w:r>
      <w:r w:rsidR="001068AA" w:rsidRPr="00892911">
        <w:rPr>
          <w:rFonts w:cstheme="minorHAnsi"/>
          <w:sz w:val="20"/>
          <w:szCs w:val="20"/>
          <w:lang w:val="en-GB"/>
        </w:rPr>
        <w:t xml:space="preserve">tions and legal harmonization: </w:t>
      </w:r>
      <w:r w:rsidR="000E00FE" w:rsidRPr="00892911">
        <w:rPr>
          <w:rFonts w:cstheme="minorHAnsi"/>
          <w:sz w:val="20"/>
          <w:szCs w:val="20"/>
          <w:lang w:val="en-GB"/>
        </w:rPr>
        <w:t>Legislative</w:t>
      </w:r>
      <w:r w:rsidRPr="00892911">
        <w:rPr>
          <w:rFonts w:cstheme="minorHAnsi"/>
          <w:sz w:val="20"/>
          <w:szCs w:val="20"/>
          <w:lang w:val="en-GB"/>
        </w:rPr>
        <w:t xml:space="preserve"> reforms are necessary, including amendments to the Constitution and Election Law to remove provisions that </w:t>
      </w:r>
      <w:r w:rsidR="001068AA" w:rsidRPr="00892911">
        <w:rPr>
          <w:rFonts w:cstheme="minorHAnsi"/>
          <w:sz w:val="20"/>
          <w:szCs w:val="20"/>
          <w:lang w:val="en-GB"/>
        </w:rPr>
        <w:t xml:space="preserve">prevent some </w:t>
      </w:r>
      <w:r w:rsidRPr="00892911">
        <w:rPr>
          <w:rFonts w:cstheme="minorHAnsi"/>
          <w:sz w:val="20"/>
          <w:szCs w:val="20"/>
          <w:lang w:val="en-GB"/>
        </w:rPr>
        <w:t>citizens from participating in elections.</w:t>
      </w:r>
    </w:p>
    <w:p w14:paraId="0159ECBC" w14:textId="42160299" w:rsidR="00744652" w:rsidRPr="00892911" w:rsidRDefault="00744652" w:rsidP="00BD2ADA">
      <w:pPr>
        <w:numPr>
          <w:ilvl w:val="0"/>
          <w:numId w:val="18"/>
        </w:numPr>
        <w:spacing w:after="60" w:line="240" w:lineRule="auto"/>
        <w:ind w:right="-360"/>
        <w:jc w:val="both"/>
        <w:rPr>
          <w:rFonts w:cstheme="minorHAnsi"/>
          <w:sz w:val="20"/>
          <w:szCs w:val="20"/>
          <w:lang w:val="en-GB"/>
        </w:rPr>
      </w:pPr>
      <w:r w:rsidRPr="00892911">
        <w:rPr>
          <w:rFonts w:cstheme="minorHAnsi"/>
          <w:sz w:val="20"/>
          <w:szCs w:val="20"/>
          <w:lang w:val="en-GB"/>
        </w:rPr>
        <w:t>Legislative fragmentation, weak policy coordination and monitoring</w:t>
      </w:r>
      <w:r w:rsidR="001068AA" w:rsidRPr="00892911">
        <w:rPr>
          <w:rFonts w:cstheme="minorHAnsi"/>
          <w:sz w:val="20"/>
          <w:szCs w:val="20"/>
          <w:lang w:val="en-GB"/>
        </w:rPr>
        <w:t>: S</w:t>
      </w:r>
      <w:r w:rsidRPr="00892911">
        <w:rPr>
          <w:rFonts w:cstheme="minorHAnsi"/>
          <w:sz w:val="20"/>
          <w:szCs w:val="20"/>
          <w:lang w:val="en-GB"/>
        </w:rPr>
        <w:t>trengthen the national mechanism for coordination, implementation and reporting on human rights recommendations to give greater effect to the human rights guarantees at all levels.</w:t>
      </w:r>
    </w:p>
    <w:p w14:paraId="71DB93C1" w14:textId="0B437DA0" w:rsidR="00744652" w:rsidRPr="00892911" w:rsidRDefault="00744652" w:rsidP="00BD2ADA">
      <w:pPr>
        <w:numPr>
          <w:ilvl w:val="0"/>
          <w:numId w:val="18"/>
        </w:numPr>
        <w:spacing w:after="60" w:line="240" w:lineRule="auto"/>
        <w:ind w:right="-360"/>
        <w:jc w:val="both"/>
        <w:rPr>
          <w:rFonts w:cstheme="minorHAnsi"/>
          <w:sz w:val="20"/>
          <w:szCs w:val="20"/>
          <w:lang w:val="en-GB"/>
        </w:rPr>
      </w:pPr>
      <w:r w:rsidRPr="00892911">
        <w:rPr>
          <w:rFonts w:cstheme="minorHAnsi"/>
          <w:sz w:val="20"/>
          <w:szCs w:val="20"/>
          <w:lang w:val="en-GB"/>
        </w:rPr>
        <w:t xml:space="preserve">National Preventive Mechanism (NPM) which </w:t>
      </w:r>
      <w:r w:rsidR="00220BA4" w:rsidRPr="00892911">
        <w:rPr>
          <w:rFonts w:cstheme="minorHAnsi"/>
          <w:sz w:val="20"/>
          <w:szCs w:val="20"/>
          <w:lang w:val="en-GB"/>
        </w:rPr>
        <w:t xml:space="preserve">is </w:t>
      </w:r>
      <w:r w:rsidRPr="00892911">
        <w:rPr>
          <w:rFonts w:cstheme="minorHAnsi"/>
          <w:sz w:val="20"/>
          <w:szCs w:val="20"/>
          <w:lang w:val="en-GB"/>
        </w:rPr>
        <w:t xml:space="preserve">not yet established. It was recommended that BiH provide additional competencies to the Institution of Human Rights Ombudsman, notably to act as the national preventive mechanism against torture. </w:t>
      </w:r>
    </w:p>
    <w:p w14:paraId="0FC03A72" w14:textId="616E91FA" w:rsidR="00744652" w:rsidRPr="00892911" w:rsidRDefault="00744652" w:rsidP="00BD2ADA">
      <w:pPr>
        <w:numPr>
          <w:ilvl w:val="0"/>
          <w:numId w:val="18"/>
        </w:numPr>
        <w:spacing w:after="60" w:line="240" w:lineRule="auto"/>
        <w:ind w:right="-360"/>
        <w:jc w:val="both"/>
        <w:rPr>
          <w:rFonts w:cstheme="minorHAnsi"/>
          <w:sz w:val="20"/>
          <w:szCs w:val="20"/>
          <w:lang w:val="en-GB"/>
        </w:rPr>
      </w:pPr>
      <w:r w:rsidRPr="00892911">
        <w:rPr>
          <w:rFonts w:cstheme="minorHAnsi"/>
          <w:sz w:val="20"/>
          <w:szCs w:val="20"/>
          <w:lang w:val="en-GB"/>
        </w:rPr>
        <w:t>Non-judicial  accountability mechanisms, such as national institutions for the promotion and protection of human rights (NHRIs) compliant with the Paris Principles  - the independence of the Institution of Human Rights Ombudsman if affected by the non-transparent appointment and dismissal of the Ombudsman by the Parliamentary Assembly. The Institution requires strengthening of its capacities to carry out its mandate to promote and protect human rights.</w:t>
      </w:r>
    </w:p>
    <w:p w14:paraId="3EBEA561" w14:textId="77777777" w:rsidR="005E68C7" w:rsidRPr="00892911" w:rsidRDefault="005E68C7" w:rsidP="00BD2ADA">
      <w:pPr>
        <w:spacing w:before="120" w:after="60" w:line="240" w:lineRule="auto"/>
        <w:ind w:right="-360"/>
        <w:jc w:val="both"/>
        <w:rPr>
          <w:rFonts w:cstheme="minorHAnsi"/>
          <w:b/>
          <w:sz w:val="20"/>
          <w:szCs w:val="20"/>
        </w:rPr>
      </w:pPr>
      <w:r w:rsidRPr="00892911">
        <w:rPr>
          <w:rFonts w:cstheme="minorHAnsi"/>
          <w:b/>
          <w:sz w:val="20"/>
          <w:szCs w:val="20"/>
        </w:rPr>
        <w:t xml:space="preserve">Related human rights: </w:t>
      </w:r>
    </w:p>
    <w:p w14:paraId="32DB61CA" w14:textId="77777777" w:rsidR="005E68C7" w:rsidRPr="00037784" w:rsidRDefault="005E68C7" w:rsidP="00037784">
      <w:pPr>
        <w:pStyle w:val="ListParagraph"/>
        <w:numPr>
          <w:ilvl w:val="0"/>
          <w:numId w:val="27"/>
        </w:numPr>
        <w:spacing w:after="60"/>
        <w:ind w:left="720" w:right="-360"/>
        <w:jc w:val="both"/>
        <w:rPr>
          <w:rFonts w:cstheme="minorHAnsi"/>
          <w:sz w:val="20"/>
          <w:szCs w:val="20"/>
        </w:rPr>
      </w:pPr>
      <w:r w:rsidRPr="00037784">
        <w:rPr>
          <w:rFonts w:cstheme="minorHAnsi"/>
          <w:sz w:val="20"/>
          <w:szCs w:val="20"/>
        </w:rPr>
        <w:t>Right to equality and non-discrimination [UDHR art. 2; ICESCR art. 2(2); ICCPR arts. 2(1), 26; CERD art. 2(2); CEDAW art. 2; CRC art. 2; CRPD art. 5; CMW art. 7; DRtD art. 8(1)]</w:t>
      </w:r>
    </w:p>
    <w:p w14:paraId="245E0692" w14:textId="77777777" w:rsidR="005E68C7" w:rsidRPr="00037784" w:rsidRDefault="005E68C7" w:rsidP="00037784">
      <w:pPr>
        <w:pStyle w:val="ListParagraph"/>
        <w:numPr>
          <w:ilvl w:val="0"/>
          <w:numId w:val="27"/>
        </w:numPr>
        <w:spacing w:after="60"/>
        <w:ind w:left="720" w:right="-360"/>
        <w:jc w:val="both"/>
        <w:rPr>
          <w:rFonts w:cstheme="minorHAnsi"/>
          <w:sz w:val="20"/>
          <w:szCs w:val="20"/>
        </w:rPr>
      </w:pPr>
      <w:r w:rsidRPr="00037784">
        <w:rPr>
          <w:rFonts w:cstheme="minorHAnsi"/>
          <w:sz w:val="20"/>
          <w:szCs w:val="20"/>
        </w:rPr>
        <w:t xml:space="preserve">Right to participate in public affairs [UDHR art. 21; ICCPR art. 25; CEDAW art. 7; ICERD art. 5; CRPD art. 29; DRtD art. 8(2)]  </w:t>
      </w:r>
    </w:p>
    <w:p w14:paraId="0DB1F38E" w14:textId="6F036C4F" w:rsidR="005E68C7" w:rsidRPr="00037784" w:rsidRDefault="005E68C7" w:rsidP="00037784">
      <w:pPr>
        <w:pStyle w:val="ListParagraph"/>
        <w:numPr>
          <w:ilvl w:val="0"/>
          <w:numId w:val="27"/>
        </w:numPr>
        <w:spacing w:after="60"/>
        <w:ind w:left="720" w:right="-360"/>
        <w:jc w:val="both"/>
        <w:rPr>
          <w:rFonts w:cstheme="minorHAnsi"/>
          <w:sz w:val="20"/>
          <w:szCs w:val="20"/>
        </w:rPr>
      </w:pPr>
      <w:r w:rsidRPr="00037784">
        <w:rPr>
          <w:rFonts w:cstheme="minorHAnsi"/>
          <w:sz w:val="20"/>
          <w:szCs w:val="20"/>
        </w:rPr>
        <w:t>Rights to freedom of peaceful assembly and of association</w:t>
      </w:r>
      <w:r w:rsidR="004039A8" w:rsidRPr="00037784">
        <w:rPr>
          <w:rFonts w:cstheme="minorHAnsi"/>
          <w:sz w:val="20"/>
          <w:szCs w:val="20"/>
        </w:rPr>
        <w:t xml:space="preserve"> </w:t>
      </w:r>
      <w:r w:rsidRPr="00037784">
        <w:rPr>
          <w:rFonts w:cstheme="minorHAnsi"/>
          <w:sz w:val="20"/>
          <w:szCs w:val="20"/>
        </w:rPr>
        <w:t xml:space="preserve">[UDHR art. 20(1); ICCPR art. 21-22; ICESCR art. 8; ICERD art. 4-5 (ix); CEDAW art. 7(c); CRC art. 15, CRPD art.29]  </w:t>
      </w:r>
    </w:p>
    <w:p w14:paraId="71C7DA76" w14:textId="77777777" w:rsidR="005E68C7" w:rsidRPr="00037784" w:rsidRDefault="005E68C7" w:rsidP="00037784">
      <w:pPr>
        <w:pStyle w:val="ListParagraph"/>
        <w:numPr>
          <w:ilvl w:val="0"/>
          <w:numId w:val="27"/>
        </w:numPr>
        <w:spacing w:after="60"/>
        <w:ind w:left="720" w:right="-360"/>
        <w:jc w:val="both"/>
        <w:rPr>
          <w:rFonts w:cstheme="minorHAnsi"/>
          <w:sz w:val="20"/>
          <w:szCs w:val="20"/>
        </w:rPr>
      </w:pPr>
      <w:r w:rsidRPr="00037784">
        <w:rPr>
          <w:rFonts w:cstheme="minorHAnsi"/>
          <w:sz w:val="20"/>
          <w:szCs w:val="20"/>
        </w:rPr>
        <w:t>Right to access to information [UDHR art. 19; ICCPR art. 19(1)]</w:t>
      </w:r>
    </w:p>
    <w:p w14:paraId="1B14DBFA" w14:textId="77777777" w:rsidR="005E68C7" w:rsidRPr="00037784" w:rsidRDefault="005E68C7" w:rsidP="00037784">
      <w:pPr>
        <w:pStyle w:val="ListParagraph"/>
        <w:numPr>
          <w:ilvl w:val="0"/>
          <w:numId w:val="27"/>
        </w:numPr>
        <w:spacing w:after="60"/>
        <w:ind w:left="720" w:right="-360"/>
        <w:jc w:val="both"/>
        <w:rPr>
          <w:rFonts w:cstheme="minorHAnsi"/>
          <w:sz w:val="20"/>
          <w:szCs w:val="20"/>
        </w:rPr>
      </w:pPr>
      <w:r w:rsidRPr="00037784">
        <w:rPr>
          <w:rFonts w:cstheme="minorHAnsi"/>
          <w:sz w:val="20"/>
          <w:szCs w:val="20"/>
        </w:rPr>
        <w:t>Elimination of all forms of discrimination against women [CEDAW arts. 1-5] and girls [CRC art. 2], particularly in legislation, political and public life (art. 7), economic and social life (arts. 11, 13), and family relations (art. 16)]</w:t>
      </w:r>
    </w:p>
    <w:p w14:paraId="7F204D4F" w14:textId="77777777" w:rsidR="005E68C7" w:rsidRPr="00037784" w:rsidRDefault="005E68C7" w:rsidP="00037784">
      <w:pPr>
        <w:pStyle w:val="ListParagraph"/>
        <w:numPr>
          <w:ilvl w:val="0"/>
          <w:numId w:val="27"/>
        </w:numPr>
        <w:spacing w:after="60"/>
        <w:ind w:left="720" w:right="-360"/>
        <w:jc w:val="both"/>
        <w:rPr>
          <w:rFonts w:cstheme="minorHAnsi"/>
          <w:sz w:val="20"/>
          <w:szCs w:val="20"/>
        </w:rPr>
      </w:pPr>
      <w:r w:rsidRPr="00037784">
        <w:rPr>
          <w:rFonts w:cstheme="minorHAnsi"/>
          <w:sz w:val="20"/>
          <w:szCs w:val="20"/>
        </w:rPr>
        <w:t>Accessibility for persons with disabilities [CRPD art. 9], children [CRC art. 23], and rural women [CEDAW art. 14(2)]</w:t>
      </w:r>
    </w:p>
    <w:p w14:paraId="43F5A1A8" w14:textId="77777777" w:rsidR="009E2365" w:rsidRPr="00892911" w:rsidRDefault="009E2365" w:rsidP="00BD2ADA">
      <w:pPr>
        <w:spacing w:after="60" w:line="240" w:lineRule="auto"/>
        <w:ind w:left="567" w:right="-360" w:hanging="141"/>
        <w:jc w:val="both"/>
        <w:rPr>
          <w:rFonts w:cstheme="minorHAnsi"/>
          <w:sz w:val="20"/>
          <w:szCs w:val="20"/>
        </w:rPr>
      </w:pPr>
    </w:p>
    <w:p w14:paraId="6E2E3CFB" w14:textId="1DA54AE7" w:rsidR="00744652" w:rsidRPr="00892911" w:rsidRDefault="00892911" w:rsidP="00BD2ADA">
      <w:pPr>
        <w:spacing w:after="60" w:line="240" w:lineRule="auto"/>
        <w:ind w:right="-360"/>
        <w:jc w:val="both"/>
        <w:rPr>
          <w:rFonts w:cstheme="minorHAnsi"/>
          <w:b/>
          <w:sz w:val="20"/>
          <w:szCs w:val="20"/>
          <w:u w:val="single"/>
          <w:lang w:val="en-GB"/>
        </w:rPr>
      </w:pPr>
      <w:r>
        <w:rPr>
          <w:rFonts w:cstheme="minorHAnsi"/>
          <w:b/>
          <w:sz w:val="20"/>
          <w:szCs w:val="20"/>
          <w:u w:val="single"/>
          <w:lang w:val="en-GB"/>
        </w:rPr>
        <w:t>Outcome 5</w:t>
      </w:r>
    </w:p>
    <w:p w14:paraId="7EE66A22" w14:textId="3FFF620A" w:rsidR="00744652" w:rsidRPr="00892911" w:rsidRDefault="00744652" w:rsidP="00BD2ADA">
      <w:pPr>
        <w:numPr>
          <w:ilvl w:val="0"/>
          <w:numId w:val="19"/>
        </w:numPr>
        <w:spacing w:after="60" w:line="240" w:lineRule="auto"/>
        <w:ind w:right="-360"/>
        <w:jc w:val="both"/>
        <w:rPr>
          <w:rFonts w:cstheme="minorHAnsi"/>
          <w:sz w:val="20"/>
          <w:szCs w:val="20"/>
          <w:lang w:val="en-GB"/>
        </w:rPr>
      </w:pPr>
      <w:r w:rsidRPr="00892911">
        <w:rPr>
          <w:rFonts w:cstheme="minorHAnsi"/>
          <w:sz w:val="20"/>
          <w:szCs w:val="20"/>
          <w:lang w:val="en-GB"/>
        </w:rPr>
        <w:t>Transitional justice</w:t>
      </w:r>
      <w:r w:rsidR="00892911" w:rsidRPr="00892911">
        <w:rPr>
          <w:rFonts w:cstheme="minorHAnsi"/>
          <w:sz w:val="20"/>
          <w:szCs w:val="20"/>
          <w:lang w:val="en-GB"/>
        </w:rPr>
        <w:t>: S</w:t>
      </w:r>
      <w:r w:rsidRPr="00892911">
        <w:rPr>
          <w:rFonts w:cstheme="minorHAnsi"/>
          <w:sz w:val="20"/>
          <w:szCs w:val="20"/>
          <w:lang w:val="en-GB"/>
        </w:rPr>
        <w:t xml:space="preserve">hortcomings in three areas, namely prosecution for most grave human rights violations, undermined justice and lack of remedies </w:t>
      </w:r>
      <w:r w:rsidR="00037784" w:rsidRPr="00892911">
        <w:rPr>
          <w:rFonts w:cstheme="minorHAnsi"/>
          <w:sz w:val="20"/>
          <w:szCs w:val="20"/>
          <w:lang w:val="en-GB"/>
        </w:rPr>
        <w:t>for conflict</w:t>
      </w:r>
      <w:r w:rsidRPr="00892911">
        <w:rPr>
          <w:rFonts w:cstheme="minorHAnsi"/>
          <w:sz w:val="20"/>
          <w:szCs w:val="20"/>
          <w:lang w:val="en-GB"/>
        </w:rPr>
        <w:t xml:space="preserve"> related sexual violence, weak progress in establishing the whereabouts of missing persons and  guaranteeing reparation and compensation for families.</w:t>
      </w:r>
    </w:p>
    <w:p w14:paraId="68828B6B" w14:textId="265DD1AE" w:rsidR="00744652" w:rsidRPr="00892911" w:rsidRDefault="00744652" w:rsidP="00BD2ADA">
      <w:pPr>
        <w:numPr>
          <w:ilvl w:val="0"/>
          <w:numId w:val="19"/>
        </w:numPr>
        <w:spacing w:after="60" w:line="240" w:lineRule="auto"/>
        <w:ind w:right="-360"/>
        <w:jc w:val="both"/>
        <w:rPr>
          <w:rFonts w:cstheme="minorHAnsi"/>
          <w:sz w:val="20"/>
          <w:szCs w:val="20"/>
          <w:lang w:val="en-GB"/>
        </w:rPr>
      </w:pPr>
      <w:r w:rsidRPr="00892911">
        <w:rPr>
          <w:rFonts w:cstheme="minorHAnsi"/>
          <w:sz w:val="20"/>
          <w:szCs w:val="20"/>
          <w:lang w:val="en-GB"/>
        </w:rPr>
        <w:t>Respecting the diversity of society by promoting freedom of assembly,  independent and pluralistic media, freedom of expression, and safety of journalists</w:t>
      </w:r>
      <w:r w:rsidR="001C62A0" w:rsidRPr="00892911">
        <w:rPr>
          <w:rFonts w:cstheme="minorHAnsi"/>
          <w:sz w:val="20"/>
          <w:szCs w:val="20"/>
          <w:lang w:val="en-GB"/>
        </w:rPr>
        <w:t xml:space="preserve">; the </w:t>
      </w:r>
      <w:r w:rsidRPr="00892911">
        <w:rPr>
          <w:rFonts w:cstheme="minorHAnsi"/>
          <w:sz w:val="20"/>
          <w:szCs w:val="20"/>
          <w:lang w:val="en-GB"/>
        </w:rPr>
        <w:t>need for constitutional, statutory and/or policy guarantees for public access to information, freedom of expression and freedom of the press and the media, including immunity from political influence.</w:t>
      </w:r>
    </w:p>
    <w:p w14:paraId="732B6574" w14:textId="6DC2E127" w:rsidR="00744652" w:rsidRPr="00892911" w:rsidRDefault="00AC661B" w:rsidP="00BD2ADA">
      <w:pPr>
        <w:numPr>
          <w:ilvl w:val="0"/>
          <w:numId w:val="19"/>
        </w:numPr>
        <w:spacing w:after="60" w:line="240" w:lineRule="auto"/>
        <w:ind w:right="-360"/>
        <w:jc w:val="both"/>
        <w:rPr>
          <w:rFonts w:cstheme="minorHAnsi"/>
          <w:sz w:val="20"/>
          <w:szCs w:val="20"/>
          <w:lang w:val="en-GB"/>
        </w:rPr>
      </w:pPr>
      <w:r w:rsidRPr="00892911">
        <w:rPr>
          <w:rFonts w:cstheme="minorHAnsi"/>
          <w:sz w:val="20"/>
          <w:szCs w:val="20"/>
          <w:lang w:val="en-GB"/>
        </w:rPr>
        <w:t>Preventing a</w:t>
      </w:r>
      <w:r w:rsidR="00744652" w:rsidRPr="00892911">
        <w:rPr>
          <w:rFonts w:cstheme="minorHAnsi"/>
          <w:sz w:val="20"/>
          <w:szCs w:val="20"/>
          <w:lang w:val="en-GB"/>
        </w:rPr>
        <w:t>dvocacy of hatred that constitutes incitement to discrimination, hostility or violence</w:t>
      </w:r>
      <w:r w:rsidRPr="00892911">
        <w:rPr>
          <w:rFonts w:cstheme="minorHAnsi"/>
          <w:sz w:val="20"/>
          <w:szCs w:val="20"/>
          <w:lang w:val="en-GB"/>
        </w:rPr>
        <w:t xml:space="preserve">: Strengthening </w:t>
      </w:r>
      <w:r w:rsidR="00744652" w:rsidRPr="00892911">
        <w:rPr>
          <w:rFonts w:cstheme="minorHAnsi"/>
          <w:sz w:val="20"/>
          <w:szCs w:val="20"/>
          <w:lang w:val="en-GB"/>
        </w:rPr>
        <w:t>legal provisions as well as actual investigation, prosecution and monitoring of hate crimes.</w:t>
      </w:r>
    </w:p>
    <w:p w14:paraId="62E00E52" w14:textId="77777777" w:rsidR="00744652" w:rsidRPr="00892911" w:rsidRDefault="00744652" w:rsidP="00BD2ADA">
      <w:pPr>
        <w:numPr>
          <w:ilvl w:val="0"/>
          <w:numId w:val="19"/>
        </w:numPr>
        <w:spacing w:after="60" w:line="240" w:lineRule="auto"/>
        <w:ind w:right="-360"/>
        <w:jc w:val="both"/>
        <w:rPr>
          <w:rFonts w:cstheme="minorHAnsi"/>
          <w:sz w:val="20"/>
          <w:szCs w:val="20"/>
          <w:lang w:val="en-GB"/>
        </w:rPr>
      </w:pPr>
      <w:r w:rsidRPr="00892911">
        <w:rPr>
          <w:rFonts w:cstheme="minorHAnsi"/>
          <w:sz w:val="20"/>
          <w:szCs w:val="20"/>
          <w:lang w:val="en-GB"/>
        </w:rPr>
        <w:t>Social cohesion and solidarity by promoting knowledge of human rights through educational institutions – a few recommendations in this respect are to be found under SDG4.</w:t>
      </w:r>
    </w:p>
    <w:p w14:paraId="189FCDE1" w14:textId="77777777" w:rsidR="005E68C7" w:rsidRPr="00892911" w:rsidRDefault="005E68C7" w:rsidP="00BD2ADA">
      <w:pPr>
        <w:spacing w:before="120" w:after="60" w:line="240" w:lineRule="auto"/>
        <w:ind w:right="-360"/>
        <w:jc w:val="both"/>
        <w:rPr>
          <w:rFonts w:cstheme="minorHAnsi"/>
          <w:b/>
          <w:bCs/>
          <w:sz w:val="20"/>
          <w:szCs w:val="20"/>
        </w:rPr>
      </w:pPr>
      <w:r w:rsidRPr="00892911">
        <w:rPr>
          <w:rFonts w:cstheme="minorHAnsi"/>
          <w:b/>
          <w:bCs/>
          <w:sz w:val="20"/>
          <w:szCs w:val="20"/>
        </w:rPr>
        <w:t>Related human rights:</w:t>
      </w:r>
    </w:p>
    <w:p w14:paraId="45A9EEA2" w14:textId="77777777" w:rsidR="005E68C7" w:rsidRPr="00037784" w:rsidRDefault="005E68C7" w:rsidP="00037784">
      <w:pPr>
        <w:pStyle w:val="ListParagraph"/>
        <w:numPr>
          <w:ilvl w:val="0"/>
          <w:numId w:val="28"/>
        </w:numPr>
        <w:spacing w:after="60"/>
        <w:ind w:left="720" w:right="-360"/>
        <w:jc w:val="both"/>
        <w:rPr>
          <w:rFonts w:cstheme="minorHAnsi"/>
          <w:bCs/>
          <w:sz w:val="20"/>
          <w:szCs w:val="20"/>
        </w:rPr>
      </w:pPr>
      <w:r w:rsidRPr="00037784">
        <w:rPr>
          <w:rFonts w:cstheme="minorHAnsi"/>
          <w:bCs/>
          <w:sz w:val="20"/>
          <w:szCs w:val="20"/>
        </w:rPr>
        <w:t>Right to freedom of expression and access to information [ICCPR art.19]</w:t>
      </w:r>
    </w:p>
    <w:p w14:paraId="233488AE" w14:textId="77777777" w:rsidR="005E68C7" w:rsidRPr="00037784" w:rsidRDefault="005E68C7" w:rsidP="00037784">
      <w:pPr>
        <w:pStyle w:val="ListParagraph"/>
        <w:numPr>
          <w:ilvl w:val="0"/>
          <w:numId w:val="28"/>
        </w:numPr>
        <w:spacing w:after="60"/>
        <w:ind w:left="720" w:right="-360"/>
        <w:jc w:val="both"/>
        <w:rPr>
          <w:rFonts w:cstheme="minorHAnsi"/>
          <w:bCs/>
          <w:sz w:val="20"/>
          <w:szCs w:val="20"/>
        </w:rPr>
      </w:pPr>
      <w:r w:rsidRPr="00037784">
        <w:rPr>
          <w:rFonts w:cstheme="minorHAnsi"/>
          <w:bCs/>
          <w:sz w:val="20"/>
          <w:szCs w:val="20"/>
        </w:rPr>
        <w:t>Prohibition of advocacy of national, racial or religious hatred and discrimination [ICCPR art.20 (2); CERD art.4]</w:t>
      </w:r>
    </w:p>
    <w:p w14:paraId="22FF314B" w14:textId="77777777" w:rsidR="005E68C7" w:rsidRPr="00037784" w:rsidRDefault="005E68C7" w:rsidP="00037784">
      <w:pPr>
        <w:pStyle w:val="ListParagraph"/>
        <w:numPr>
          <w:ilvl w:val="0"/>
          <w:numId w:val="28"/>
        </w:numPr>
        <w:spacing w:after="60"/>
        <w:ind w:left="720" w:right="-360"/>
        <w:jc w:val="both"/>
        <w:rPr>
          <w:rFonts w:cstheme="minorHAnsi"/>
          <w:bCs/>
          <w:sz w:val="20"/>
          <w:szCs w:val="20"/>
        </w:rPr>
      </w:pPr>
      <w:r w:rsidRPr="00037784">
        <w:rPr>
          <w:rFonts w:cstheme="minorHAnsi"/>
          <w:bCs/>
          <w:sz w:val="20"/>
          <w:szCs w:val="20"/>
        </w:rPr>
        <w:t>Right to access justice, due process and remedies [UDHR arts. 8, 10; ICCPR arts. 2(3), 14-15; CEDAW art. 2(c)]</w:t>
      </w:r>
    </w:p>
    <w:p w14:paraId="76073A32" w14:textId="77777777" w:rsidR="005E68C7" w:rsidRPr="00037784" w:rsidRDefault="005E68C7" w:rsidP="00037784">
      <w:pPr>
        <w:pStyle w:val="ListParagraph"/>
        <w:numPr>
          <w:ilvl w:val="0"/>
          <w:numId w:val="28"/>
        </w:numPr>
        <w:spacing w:after="60"/>
        <w:ind w:left="720" w:right="-360"/>
        <w:jc w:val="both"/>
        <w:rPr>
          <w:rFonts w:cstheme="minorHAnsi"/>
          <w:bCs/>
          <w:sz w:val="20"/>
          <w:szCs w:val="20"/>
        </w:rPr>
      </w:pPr>
      <w:r w:rsidRPr="00037784">
        <w:rPr>
          <w:rFonts w:cstheme="minorHAnsi"/>
          <w:bCs/>
          <w:sz w:val="20"/>
          <w:szCs w:val="20"/>
        </w:rPr>
        <w:t>Right to participate in cultural life [UDHR art. 25; ICESCR art. 15; ICERD arts. 5, 7; CRPD art. 30; CRC art. 31]</w:t>
      </w:r>
    </w:p>
    <w:p w14:paraId="443232B9" w14:textId="77777777" w:rsidR="005E68C7" w:rsidRPr="00037784" w:rsidRDefault="005E68C7" w:rsidP="00037784">
      <w:pPr>
        <w:pStyle w:val="ListParagraph"/>
        <w:numPr>
          <w:ilvl w:val="0"/>
          <w:numId w:val="28"/>
        </w:numPr>
        <w:spacing w:after="60"/>
        <w:ind w:left="720" w:right="-360"/>
        <w:jc w:val="both"/>
        <w:rPr>
          <w:rFonts w:cstheme="minorHAnsi"/>
          <w:bCs/>
          <w:sz w:val="20"/>
          <w:szCs w:val="20"/>
        </w:rPr>
      </w:pPr>
      <w:r w:rsidRPr="00037784">
        <w:rPr>
          <w:rFonts w:cstheme="minorHAnsi"/>
          <w:bCs/>
          <w:sz w:val="20"/>
          <w:szCs w:val="20"/>
        </w:rPr>
        <w:t>Right to life, liberty and security of the person [UDHR art. 3; ICCPR arts. 6(1), 9(1); ICPED art. 1] including freedom from torture [UDHR art. 5; ICCPR art. 7; CAT art. 2; CRC art. 37(a)]</w:t>
      </w:r>
    </w:p>
    <w:p w14:paraId="703F7EBE" w14:textId="77777777" w:rsidR="005E68C7" w:rsidRPr="005E68C7" w:rsidRDefault="005E68C7">
      <w:pPr>
        <w:rPr>
          <w:rFonts w:cstheme="minorHAnsi"/>
          <w:sz w:val="20"/>
          <w:szCs w:val="20"/>
        </w:rPr>
      </w:pPr>
    </w:p>
    <w:p w14:paraId="757B1FAA" w14:textId="37E20E07" w:rsidR="005E68C7" w:rsidRPr="005E68C7" w:rsidRDefault="005E68C7" w:rsidP="005E68C7">
      <w:pPr>
        <w:rPr>
          <w:rFonts w:cstheme="minorHAnsi"/>
          <w:bCs/>
          <w:sz w:val="20"/>
          <w:szCs w:val="20"/>
        </w:rPr>
      </w:pPr>
    </w:p>
    <w:p w14:paraId="6534FB33" w14:textId="77777777" w:rsidR="005E68C7" w:rsidRPr="005E68C7" w:rsidRDefault="005E68C7">
      <w:pPr>
        <w:rPr>
          <w:rFonts w:cstheme="minorHAnsi"/>
          <w:sz w:val="20"/>
          <w:szCs w:val="20"/>
        </w:rPr>
      </w:pPr>
    </w:p>
    <w:p w14:paraId="25F4E2FE" w14:textId="77777777" w:rsidR="00744652" w:rsidRDefault="00744652">
      <w:pPr>
        <w:rPr>
          <w:rFonts w:cstheme="minorHAnsi"/>
          <w:sz w:val="20"/>
          <w:szCs w:val="20"/>
        </w:rPr>
      </w:pPr>
    </w:p>
    <w:p w14:paraId="3EB4E2C5" w14:textId="77777777" w:rsidR="00744652" w:rsidRDefault="00744652">
      <w:pPr>
        <w:rPr>
          <w:rFonts w:cstheme="minorHAnsi"/>
          <w:sz w:val="20"/>
          <w:szCs w:val="20"/>
        </w:rPr>
      </w:pPr>
    </w:p>
    <w:p w14:paraId="60011D75" w14:textId="5847DF90" w:rsidR="00744652" w:rsidRDefault="00744652">
      <w:pPr>
        <w:rPr>
          <w:rFonts w:cstheme="minorHAnsi"/>
          <w:color w:val="000000"/>
          <w:sz w:val="20"/>
          <w:szCs w:val="20"/>
        </w:rPr>
      </w:pPr>
      <w:r>
        <w:rPr>
          <w:rFonts w:cstheme="minorHAnsi"/>
          <w:sz w:val="20"/>
          <w:szCs w:val="20"/>
        </w:rPr>
        <w:br w:type="page"/>
      </w:r>
    </w:p>
    <w:p w14:paraId="57103346" w14:textId="1EF21C3E" w:rsidR="00744652" w:rsidRPr="002A4196" w:rsidRDefault="00744652" w:rsidP="00744652">
      <w:pPr>
        <w:jc w:val="both"/>
        <w:rPr>
          <w:b/>
          <w:color w:val="1F497D" w:themeColor="text2"/>
          <w:sz w:val="32"/>
          <w:szCs w:val="32"/>
        </w:rPr>
      </w:pPr>
      <w:r>
        <w:rPr>
          <w:b/>
          <w:color w:val="1F497D" w:themeColor="text2"/>
          <w:sz w:val="32"/>
          <w:szCs w:val="32"/>
        </w:rPr>
        <w:t>Annex D. Legal annex</w:t>
      </w:r>
      <w:r>
        <w:rPr>
          <w:b/>
          <w:color w:val="1F497D" w:themeColor="text2"/>
          <w:sz w:val="32"/>
          <w:szCs w:val="32"/>
        </w:rPr>
        <w:fldChar w:fldCharType="begin"/>
      </w:r>
      <w:r>
        <w:instrText xml:space="preserve"> TC "</w:instrText>
      </w:r>
      <w:bookmarkStart w:id="97" w:name="_Toc38899138"/>
      <w:r w:rsidRPr="00E262FD">
        <w:rPr>
          <w:b/>
          <w:color w:val="1F497D" w:themeColor="text2"/>
          <w:sz w:val="32"/>
          <w:szCs w:val="32"/>
        </w:rPr>
        <w:instrText xml:space="preserve">Annex </w:instrText>
      </w:r>
      <w:r>
        <w:rPr>
          <w:b/>
          <w:color w:val="1F497D" w:themeColor="text2"/>
          <w:sz w:val="32"/>
          <w:szCs w:val="32"/>
        </w:rPr>
        <w:instrText>D</w:instrText>
      </w:r>
      <w:r w:rsidRPr="00E262FD">
        <w:rPr>
          <w:b/>
          <w:color w:val="1F497D" w:themeColor="text2"/>
          <w:sz w:val="32"/>
          <w:szCs w:val="32"/>
        </w:rPr>
        <w:instrText>. Legal annex</w:instrText>
      </w:r>
      <w:bookmarkEnd w:id="97"/>
      <w:r>
        <w:instrText xml:space="preserve">" \f C \l "1" </w:instrText>
      </w:r>
      <w:r>
        <w:rPr>
          <w:b/>
          <w:color w:val="1F497D" w:themeColor="text2"/>
          <w:sz w:val="32"/>
          <w:szCs w:val="32"/>
        </w:rPr>
        <w:fldChar w:fldCharType="end"/>
      </w:r>
    </w:p>
    <w:p w14:paraId="238BEF6E" w14:textId="77777777" w:rsidR="00744652" w:rsidRDefault="00744652" w:rsidP="00744652">
      <w:pPr>
        <w:pStyle w:val="Default"/>
        <w:spacing w:after="120"/>
        <w:jc w:val="both"/>
        <w:rPr>
          <w:rFonts w:asciiTheme="minorHAnsi" w:hAnsiTheme="minorHAnsi" w:cstheme="minorHAnsi"/>
          <w:sz w:val="20"/>
          <w:szCs w:val="20"/>
        </w:rPr>
      </w:pPr>
      <w:r w:rsidRPr="003D3D83">
        <w:rPr>
          <w:rFonts w:asciiTheme="minorHAnsi" w:hAnsiTheme="minorHAnsi" w:cstheme="minorHAnsi"/>
          <w:sz w:val="20"/>
          <w:szCs w:val="20"/>
        </w:rPr>
        <w:t>Whereas the authorities in Bosnia and Herzegovina (BiH) have</w:t>
      </w:r>
      <w:r w:rsidRPr="00E56E44">
        <w:rPr>
          <w:rFonts w:asciiTheme="minorHAnsi" w:hAnsiTheme="minorHAnsi" w:cstheme="minorHAnsi"/>
          <w:sz w:val="20"/>
          <w:szCs w:val="20"/>
        </w:rPr>
        <w:t xml:space="preserve"> entered into the following relationships:  </w:t>
      </w:r>
    </w:p>
    <w:tbl>
      <w:tblPr>
        <w:tblW w:w="5107"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70"/>
        <w:gridCol w:w="8280"/>
      </w:tblGrid>
      <w:tr w:rsidR="00744652" w:rsidRPr="003D3D83" w14:paraId="2FB13962" w14:textId="77777777" w:rsidTr="000E332C">
        <w:trPr>
          <w:tblHeader/>
        </w:trPr>
        <w:tc>
          <w:tcPr>
            <w:tcW w:w="665" w:type="pct"/>
            <w:tcBorders>
              <w:top w:val="single" w:sz="4" w:space="0" w:color="FFFFFF"/>
              <w:left w:val="single" w:sz="4" w:space="0" w:color="FFFFFF"/>
              <w:bottom w:val="single" w:sz="4" w:space="0" w:color="FFFFFF"/>
              <w:right w:val="single" w:sz="4" w:space="0" w:color="FFFFFF"/>
            </w:tcBorders>
            <w:shd w:val="clear" w:color="auto" w:fill="0F243E" w:themeFill="text2" w:themeFillShade="80"/>
            <w:hideMark/>
          </w:tcPr>
          <w:p w14:paraId="4A6D111F" w14:textId="77777777" w:rsidR="00744652" w:rsidRPr="003D3D83" w:rsidRDefault="00744652" w:rsidP="000E332C">
            <w:pPr>
              <w:spacing w:before="40" w:after="40" w:line="240" w:lineRule="auto"/>
              <w:ind w:left="34"/>
              <w:jc w:val="both"/>
              <w:rPr>
                <w:rFonts w:cstheme="minorHAnsi"/>
                <w:color w:val="FFFFFF"/>
                <w:sz w:val="20"/>
                <w:szCs w:val="20"/>
                <w:lang w:val="en-GB"/>
              </w:rPr>
            </w:pPr>
            <w:r w:rsidRPr="003D3D83">
              <w:rPr>
                <w:rFonts w:cstheme="minorHAnsi"/>
                <w:color w:val="FFFFFF"/>
                <w:sz w:val="20"/>
                <w:szCs w:val="20"/>
                <w:lang w:val="en-GB"/>
              </w:rPr>
              <w:t>Agency</w:t>
            </w:r>
          </w:p>
        </w:tc>
        <w:tc>
          <w:tcPr>
            <w:tcW w:w="4335" w:type="pct"/>
            <w:tcBorders>
              <w:top w:val="single" w:sz="4" w:space="0" w:color="FFFFFF"/>
              <w:left w:val="single" w:sz="4" w:space="0" w:color="FFFFFF"/>
              <w:bottom w:val="single" w:sz="4" w:space="0" w:color="FFFFFF"/>
              <w:right w:val="single" w:sz="4" w:space="0" w:color="FFFFFF"/>
            </w:tcBorders>
            <w:shd w:val="clear" w:color="auto" w:fill="0F243E" w:themeFill="text2" w:themeFillShade="80"/>
            <w:hideMark/>
          </w:tcPr>
          <w:p w14:paraId="5536BB03" w14:textId="77777777" w:rsidR="00744652" w:rsidRPr="003D3D83" w:rsidRDefault="00744652" w:rsidP="000E332C">
            <w:pPr>
              <w:spacing w:before="40" w:after="40" w:line="240" w:lineRule="auto"/>
              <w:ind w:left="33"/>
              <w:jc w:val="both"/>
              <w:rPr>
                <w:rFonts w:cstheme="minorHAnsi"/>
                <w:color w:val="FFFFFF"/>
                <w:sz w:val="20"/>
                <w:szCs w:val="20"/>
                <w:lang w:val="en-GB"/>
              </w:rPr>
            </w:pPr>
            <w:r w:rsidRPr="003D3D83">
              <w:rPr>
                <w:rFonts w:cstheme="minorHAnsi"/>
                <w:color w:val="FFFFFF"/>
                <w:sz w:val="20"/>
                <w:szCs w:val="20"/>
                <w:lang w:val="en-GB"/>
              </w:rPr>
              <w:t>Agreement</w:t>
            </w:r>
          </w:p>
        </w:tc>
      </w:tr>
      <w:tr w:rsidR="00744652" w:rsidRPr="003D3D83" w14:paraId="587CB05A"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3CF32F88"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FAO</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8734075" w14:textId="013C19AC" w:rsidR="00744652" w:rsidRPr="003D3D83" w:rsidRDefault="004E1588" w:rsidP="000E332C">
            <w:pPr>
              <w:spacing w:before="40" w:after="40" w:line="240" w:lineRule="auto"/>
              <w:ind w:right="317"/>
              <w:jc w:val="both"/>
              <w:rPr>
                <w:rFonts w:cstheme="minorHAnsi"/>
                <w:sz w:val="20"/>
                <w:szCs w:val="20"/>
              </w:rPr>
            </w:pPr>
            <w:r w:rsidRPr="003D3D83">
              <w:rPr>
                <w:rFonts w:cstheme="minorHAnsi"/>
                <w:i/>
                <w:sz w:val="20"/>
                <w:szCs w:val="20"/>
                <w:lang w:val="en-GB"/>
              </w:rPr>
              <w:t>Mutatis mutandis</w:t>
            </w:r>
            <w:r w:rsidRPr="003D3D83">
              <w:rPr>
                <w:rFonts w:cstheme="minorHAnsi"/>
                <w:sz w:val="20"/>
                <w:szCs w:val="20"/>
                <w:lang w:val="en-GB"/>
              </w:rPr>
              <w:t xml:space="preserve"> the Standard Basic Assistance Agreement (SBAA) between the BiH and UNDP applies</w:t>
            </w:r>
            <w:r w:rsidRPr="003D3D83" w:rsidDel="009C721B">
              <w:rPr>
                <w:rFonts w:cstheme="minorHAnsi"/>
                <w:sz w:val="20"/>
                <w:szCs w:val="20"/>
                <w:lang w:val="en-GB"/>
              </w:rPr>
              <w:t xml:space="preserve"> </w:t>
            </w:r>
            <w:r w:rsidRPr="003D3D83">
              <w:rPr>
                <w:rFonts w:cstheme="minorHAnsi"/>
                <w:sz w:val="20"/>
                <w:szCs w:val="20"/>
                <w:lang w:val="en-GB"/>
              </w:rPr>
              <w:t xml:space="preserve"> </w:t>
            </w:r>
          </w:p>
        </w:tc>
      </w:tr>
      <w:tr w:rsidR="0085342C" w:rsidRPr="003D3D83" w14:paraId="5B665822"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60AA7AB" w14:textId="07A1EAAE" w:rsidR="0085342C" w:rsidRPr="003D3D83" w:rsidRDefault="0085342C" w:rsidP="000E332C">
            <w:pPr>
              <w:spacing w:before="40" w:after="40" w:line="240" w:lineRule="auto"/>
              <w:ind w:left="34"/>
              <w:jc w:val="both"/>
              <w:rPr>
                <w:rFonts w:cstheme="minorHAnsi"/>
                <w:sz w:val="20"/>
                <w:szCs w:val="20"/>
                <w:lang w:val="en-GB"/>
              </w:rPr>
            </w:pPr>
            <w:r w:rsidRPr="003D3D83">
              <w:rPr>
                <w:rFonts w:cstheme="minorHAnsi"/>
                <w:sz w:val="20"/>
                <w:szCs w:val="20"/>
                <w:lang w:val="en-GB"/>
              </w:rPr>
              <w:t>IAEA</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1CEF3A8" w14:textId="4B6E6C92" w:rsidR="0085342C" w:rsidRPr="003D3D83" w:rsidRDefault="0085342C" w:rsidP="000E332C">
            <w:pPr>
              <w:spacing w:before="40" w:after="40" w:line="240" w:lineRule="auto"/>
              <w:ind w:right="317"/>
              <w:jc w:val="both"/>
              <w:rPr>
                <w:rFonts w:cstheme="minorHAnsi"/>
                <w:sz w:val="20"/>
                <w:szCs w:val="20"/>
              </w:rPr>
            </w:pPr>
            <w:r w:rsidRPr="003D3D83">
              <w:rPr>
                <w:rFonts w:cstheme="minorHAnsi"/>
                <w:sz w:val="20"/>
                <w:szCs w:val="20"/>
              </w:rPr>
              <w:t>Revised Supplementary Agreement concerning the Provision of Technical Assistance by IAEA concluded on 8 September 2009</w:t>
            </w:r>
          </w:p>
        </w:tc>
      </w:tr>
      <w:tr w:rsidR="00744652" w:rsidRPr="003D3D83" w14:paraId="46B7BD3C"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2866375"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ILO</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8A25586" w14:textId="77777777" w:rsidR="00744652" w:rsidRPr="003D3D83" w:rsidRDefault="00744652" w:rsidP="000E332C">
            <w:pPr>
              <w:spacing w:before="40" w:after="40" w:line="240" w:lineRule="auto"/>
              <w:ind w:right="317"/>
              <w:jc w:val="both"/>
              <w:rPr>
                <w:rFonts w:cstheme="minorHAnsi"/>
                <w:sz w:val="20"/>
                <w:szCs w:val="20"/>
              </w:rPr>
            </w:pPr>
            <w:r w:rsidRPr="003D3D83">
              <w:rPr>
                <w:rFonts w:cstheme="minorHAnsi"/>
                <w:sz w:val="20"/>
                <w:szCs w:val="20"/>
              </w:rPr>
              <w:t>A Memorandum of Understanding concluded between the BiH and ILO on 6 February 2013</w:t>
            </w:r>
          </w:p>
        </w:tc>
      </w:tr>
      <w:tr w:rsidR="00744652" w:rsidRPr="003D3D83" w14:paraId="73C6BFB8"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1E3928C"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IOM</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279BFFA" w14:textId="77777777" w:rsidR="00744652" w:rsidRPr="003D3D83" w:rsidRDefault="00744652" w:rsidP="000E332C">
            <w:pPr>
              <w:spacing w:before="40" w:after="40" w:line="240" w:lineRule="auto"/>
              <w:jc w:val="both"/>
              <w:rPr>
                <w:rFonts w:cstheme="minorHAnsi"/>
                <w:sz w:val="20"/>
                <w:szCs w:val="20"/>
                <w:lang w:val="en-GB"/>
              </w:rPr>
            </w:pPr>
            <w:r w:rsidRPr="003D3D83">
              <w:rPr>
                <w:rFonts w:cstheme="minorHAnsi"/>
                <w:sz w:val="20"/>
                <w:szCs w:val="20"/>
              </w:rPr>
              <w:t xml:space="preserve">A Cooperation Agreement concluded between BiH and IOM on 21 June 1995. </w:t>
            </w:r>
          </w:p>
        </w:tc>
      </w:tr>
      <w:tr w:rsidR="00744652" w:rsidRPr="003D3D83" w14:paraId="68B7166A"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AB5F73F"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UNDP</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1DAFA0A" w14:textId="4BD8D457" w:rsidR="00744652" w:rsidRPr="003D3D83" w:rsidRDefault="00744652" w:rsidP="000E332C">
            <w:pPr>
              <w:spacing w:before="40" w:after="40" w:line="240" w:lineRule="auto"/>
              <w:jc w:val="both"/>
              <w:rPr>
                <w:rFonts w:cstheme="minorHAnsi"/>
                <w:sz w:val="20"/>
                <w:szCs w:val="20"/>
              </w:rPr>
            </w:pPr>
            <w:r w:rsidRPr="003D3D83">
              <w:rPr>
                <w:rFonts w:cstheme="minorHAnsi"/>
                <w:sz w:val="20"/>
                <w:szCs w:val="20"/>
                <w:lang w:val="en-GB"/>
              </w:rPr>
              <w:t>T</w:t>
            </w:r>
            <w:r w:rsidRPr="003D3D83">
              <w:rPr>
                <w:rFonts w:cstheme="minorHAnsi"/>
                <w:sz w:val="20"/>
                <w:szCs w:val="20"/>
              </w:rPr>
              <w:t>he ‘Standard Basic Assistance Agreement’ signed between BiH and UNDP on 7 December 1995.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w:t>
            </w:r>
            <w:r w:rsidR="005F4EB9" w:rsidRPr="003D3D83">
              <w:rPr>
                <w:rFonts w:cstheme="minorHAnsi"/>
                <w:sz w:val="20"/>
                <w:szCs w:val="20"/>
              </w:rPr>
              <w:t>S</w:t>
            </w:r>
            <w:r w:rsidRPr="003D3D83">
              <w:rPr>
                <w:rFonts w:cstheme="minorHAnsi"/>
                <w:sz w:val="20"/>
                <w:szCs w:val="20"/>
              </w:rPr>
              <w:t>DG simplification and harmonization initiative. In light of this decision this Cooperation Framework together with a work plan (which shall form part of this CF and is incorporated herein by reference) concluded hereunder constitute together a project document as referred to in the SBAA.</w:t>
            </w:r>
          </w:p>
        </w:tc>
      </w:tr>
      <w:tr w:rsidR="00744652" w:rsidRPr="003D3D83" w14:paraId="5DAE93FC"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2E3D6F8"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UNEP</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9BAC89B" w14:textId="77777777" w:rsidR="00744652" w:rsidRPr="003D3D83" w:rsidRDefault="00744652" w:rsidP="000E332C">
            <w:pPr>
              <w:spacing w:before="40" w:after="40" w:line="240" w:lineRule="auto"/>
              <w:ind w:right="317"/>
              <w:jc w:val="both"/>
              <w:rPr>
                <w:rFonts w:cstheme="minorHAnsi"/>
                <w:sz w:val="20"/>
                <w:szCs w:val="20"/>
                <w:lang w:val="en-GB"/>
              </w:rPr>
            </w:pPr>
            <w:r w:rsidRPr="003D3D83">
              <w:rPr>
                <w:rFonts w:cstheme="minorHAnsi"/>
                <w:i/>
                <w:sz w:val="20"/>
                <w:szCs w:val="20"/>
                <w:lang w:val="en-GB"/>
              </w:rPr>
              <w:t>Mutatis mutandis</w:t>
            </w:r>
            <w:r w:rsidRPr="003D3D83">
              <w:rPr>
                <w:rFonts w:cstheme="minorHAnsi"/>
                <w:sz w:val="20"/>
                <w:szCs w:val="20"/>
                <w:lang w:val="en-GB"/>
              </w:rPr>
              <w:t xml:space="preserve"> the Standard Basic Assistance Agreement (SBAA) between the BiH  and UNDP applies</w:t>
            </w:r>
            <w:r w:rsidRPr="003D3D83" w:rsidDel="009C721B">
              <w:rPr>
                <w:rFonts w:cstheme="minorHAnsi"/>
                <w:sz w:val="20"/>
                <w:szCs w:val="20"/>
                <w:lang w:val="en-GB"/>
              </w:rPr>
              <w:t xml:space="preserve"> </w:t>
            </w:r>
            <w:r w:rsidRPr="003D3D83">
              <w:rPr>
                <w:rFonts w:cstheme="minorHAnsi"/>
                <w:sz w:val="20"/>
                <w:szCs w:val="20"/>
                <w:lang w:val="en-GB"/>
              </w:rPr>
              <w:t xml:space="preserve"> </w:t>
            </w:r>
          </w:p>
        </w:tc>
      </w:tr>
      <w:tr w:rsidR="00744652" w:rsidRPr="003D3D83" w14:paraId="211EABA9"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D7014CC"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UNESCO</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FDA9F51" w14:textId="77777777" w:rsidR="00744652" w:rsidRPr="003D3D83" w:rsidRDefault="00744652" w:rsidP="000E332C">
            <w:pPr>
              <w:spacing w:before="40" w:after="40" w:line="240" w:lineRule="auto"/>
              <w:ind w:right="317"/>
              <w:jc w:val="both"/>
              <w:rPr>
                <w:rFonts w:cstheme="minorHAnsi"/>
                <w:sz w:val="20"/>
                <w:szCs w:val="20"/>
              </w:rPr>
            </w:pPr>
            <w:r w:rsidRPr="003D3D83">
              <w:rPr>
                <w:rFonts w:cstheme="minorHAnsi"/>
                <w:sz w:val="20"/>
                <w:szCs w:val="20"/>
              </w:rPr>
              <w:t>An Agreement between UNESCO and BiH Concerning the Establishment of a UNESCO in Sarajevo on 30 August 1995.</w:t>
            </w:r>
          </w:p>
        </w:tc>
      </w:tr>
      <w:tr w:rsidR="00744652" w:rsidRPr="003D3D83" w14:paraId="1F0DF52B"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30AC45F1"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UNFPA</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5C03F655" w14:textId="77777777" w:rsidR="00744652" w:rsidRPr="003D3D83" w:rsidRDefault="00744652" w:rsidP="000E332C">
            <w:pPr>
              <w:spacing w:before="40" w:after="40" w:line="240" w:lineRule="auto"/>
              <w:ind w:right="317"/>
              <w:jc w:val="both"/>
              <w:rPr>
                <w:rFonts w:cstheme="minorHAnsi"/>
                <w:sz w:val="20"/>
                <w:szCs w:val="20"/>
              </w:rPr>
            </w:pPr>
            <w:r w:rsidRPr="003D3D83">
              <w:rPr>
                <w:rFonts w:cstheme="minorHAnsi"/>
                <w:i/>
                <w:sz w:val="20"/>
                <w:szCs w:val="20"/>
                <w:lang w:val="en-GB"/>
              </w:rPr>
              <w:t>Mutatis mutandis</w:t>
            </w:r>
            <w:r w:rsidRPr="003D3D83">
              <w:rPr>
                <w:rFonts w:cstheme="minorHAnsi"/>
                <w:sz w:val="20"/>
                <w:szCs w:val="20"/>
                <w:lang w:val="en-GB"/>
              </w:rPr>
              <w:t xml:space="preserve"> the Standard Basic Assistance Agreement (SBAA) between BiH and UNDP applies</w:t>
            </w:r>
            <w:r w:rsidRPr="003D3D83" w:rsidDel="003D609D">
              <w:rPr>
                <w:rFonts w:cstheme="minorHAnsi"/>
                <w:i/>
                <w:sz w:val="20"/>
                <w:szCs w:val="20"/>
              </w:rPr>
              <w:t xml:space="preserve"> </w:t>
            </w:r>
          </w:p>
        </w:tc>
      </w:tr>
      <w:tr w:rsidR="00744652" w:rsidRPr="003D3D83" w14:paraId="4014A47C"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758347BD"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UNHCR</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486404B0" w14:textId="77777777" w:rsidR="00744652" w:rsidRPr="003D3D83" w:rsidRDefault="00744652" w:rsidP="000E332C">
            <w:pPr>
              <w:spacing w:before="40" w:after="40" w:line="240" w:lineRule="auto"/>
              <w:jc w:val="both"/>
              <w:rPr>
                <w:rFonts w:cstheme="minorHAnsi"/>
                <w:color w:val="1F497D"/>
                <w:sz w:val="20"/>
                <w:szCs w:val="20"/>
              </w:rPr>
            </w:pPr>
            <w:r w:rsidRPr="003D3D83">
              <w:rPr>
                <w:rFonts w:cstheme="minorHAnsi"/>
                <w:sz w:val="20"/>
                <w:szCs w:val="20"/>
                <w:lang w:val="en-GB"/>
              </w:rPr>
              <w:t xml:space="preserve">A Country Co-operation Agreement concluded between BiH and UNHCR on 18 April 1994. </w:t>
            </w:r>
          </w:p>
        </w:tc>
      </w:tr>
      <w:tr w:rsidR="00744652" w:rsidRPr="003D3D83" w14:paraId="34663F6B"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72F70D00"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UNICEF</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0ABA9EAE" w14:textId="77777777" w:rsidR="00744652" w:rsidRPr="003D3D83" w:rsidRDefault="00744652" w:rsidP="000E332C">
            <w:pPr>
              <w:spacing w:before="40" w:after="40" w:line="240" w:lineRule="auto"/>
              <w:ind w:right="317"/>
              <w:jc w:val="both"/>
              <w:rPr>
                <w:rFonts w:cstheme="minorHAnsi"/>
                <w:sz w:val="20"/>
                <w:szCs w:val="20"/>
              </w:rPr>
            </w:pPr>
            <w:r w:rsidRPr="003D3D83">
              <w:rPr>
                <w:rFonts w:cstheme="minorHAnsi"/>
                <w:sz w:val="20"/>
                <w:szCs w:val="20"/>
              </w:rPr>
              <w:t xml:space="preserve">A Basic Cooperation Agreement (BCA) concluded between BiH and UNICEF on 13 October 1993. </w:t>
            </w:r>
          </w:p>
        </w:tc>
      </w:tr>
      <w:tr w:rsidR="00744652" w:rsidRPr="003D3D83" w14:paraId="7CABEDBA"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519BCD47"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UNODC</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611EFBBA" w14:textId="77777777" w:rsidR="00744652" w:rsidRPr="003D3D83" w:rsidRDefault="00744652" w:rsidP="000E332C">
            <w:pPr>
              <w:spacing w:before="40" w:after="40" w:line="240" w:lineRule="auto"/>
              <w:ind w:right="317"/>
              <w:jc w:val="both"/>
              <w:rPr>
                <w:rFonts w:cstheme="minorHAnsi"/>
                <w:sz w:val="20"/>
                <w:szCs w:val="20"/>
                <w:lang w:val="en-GB"/>
              </w:rPr>
            </w:pPr>
            <w:r w:rsidRPr="003D3D83">
              <w:rPr>
                <w:rFonts w:cstheme="minorHAnsi"/>
                <w:i/>
                <w:sz w:val="20"/>
                <w:szCs w:val="20"/>
                <w:lang w:val="en-GB"/>
              </w:rPr>
              <w:t>Mutatis mutandis</w:t>
            </w:r>
            <w:r w:rsidRPr="003D3D83">
              <w:rPr>
                <w:rFonts w:cstheme="minorHAnsi"/>
                <w:sz w:val="20"/>
                <w:szCs w:val="20"/>
                <w:lang w:val="en-GB"/>
              </w:rPr>
              <w:t xml:space="preserve"> the Standard Basic Assistance Agreement (SBAA) between BiH and UNDP applies</w:t>
            </w:r>
          </w:p>
        </w:tc>
      </w:tr>
      <w:tr w:rsidR="00744652" w:rsidRPr="003D3D83" w14:paraId="77D2EBFD"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6ACBECA2"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 WOMEN</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2C41EAA1" w14:textId="4FC8545A" w:rsidR="00744652" w:rsidRPr="003D3D83" w:rsidRDefault="00744652" w:rsidP="000E332C">
            <w:pPr>
              <w:spacing w:before="40" w:after="40" w:line="240" w:lineRule="auto"/>
              <w:ind w:right="317"/>
              <w:jc w:val="both"/>
              <w:rPr>
                <w:rFonts w:cstheme="minorHAnsi"/>
                <w:sz w:val="20"/>
                <w:szCs w:val="20"/>
                <w:lang w:val="en-GB"/>
              </w:rPr>
            </w:pPr>
            <w:r w:rsidRPr="003D3D83">
              <w:rPr>
                <w:rFonts w:cstheme="minorHAnsi"/>
                <w:i/>
                <w:sz w:val="20"/>
                <w:szCs w:val="20"/>
                <w:lang w:val="en-GB"/>
              </w:rPr>
              <w:t>Mutatis mutandis</w:t>
            </w:r>
            <w:r w:rsidRPr="003D3D83">
              <w:rPr>
                <w:rFonts w:cstheme="minorHAnsi"/>
                <w:sz w:val="20"/>
                <w:szCs w:val="20"/>
                <w:lang w:val="en-GB"/>
              </w:rPr>
              <w:t xml:space="preserve"> the Standard Basic Assistance Agreement (SBAA) between BiH</w:t>
            </w:r>
            <w:r w:rsidR="00267E1A">
              <w:rPr>
                <w:rFonts w:cstheme="minorHAnsi"/>
                <w:sz w:val="20"/>
                <w:szCs w:val="20"/>
                <w:lang w:val="en-GB"/>
              </w:rPr>
              <w:t xml:space="preserve"> </w:t>
            </w:r>
            <w:r w:rsidRPr="003D3D83">
              <w:rPr>
                <w:rFonts w:cstheme="minorHAnsi"/>
                <w:sz w:val="20"/>
                <w:szCs w:val="20"/>
                <w:lang w:val="en-GB"/>
              </w:rPr>
              <w:t>and UNDP applies</w:t>
            </w:r>
          </w:p>
        </w:tc>
      </w:tr>
      <w:tr w:rsidR="00744652" w:rsidRPr="003D3D83" w14:paraId="1CAD7D1D"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1B45061"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UNV</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D7C82AA" w14:textId="77777777" w:rsidR="00744652" w:rsidRPr="003D3D83" w:rsidRDefault="00744652" w:rsidP="000E332C">
            <w:pPr>
              <w:spacing w:before="40" w:after="40" w:line="240" w:lineRule="auto"/>
              <w:jc w:val="both"/>
              <w:rPr>
                <w:rFonts w:cstheme="minorHAnsi"/>
                <w:iCs/>
                <w:sz w:val="20"/>
                <w:szCs w:val="20"/>
                <w:lang w:val="en-GB"/>
              </w:rPr>
            </w:pPr>
            <w:r w:rsidRPr="003D3D83">
              <w:rPr>
                <w:rFonts w:cstheme="minorHAnsi"/>
                <w:i/>
                <w:sz w:val="20"/>
                <w:szCs w:val="20"/>
                <w:lang w:val="en-GB"/>
              </w:rPr>
              <w:t>Mutatis mutandis</w:t>
            </w:r>
            <w:r w:rsidRPr="003D3D83">
              <w:rPr>
                <w:rFonts w:cstheme="minorHAnsi"/>
                <w:sz w:val="20"/>
                <w:szCs w:val="20"/>
                <w:lang w:val="en-GB"/>
              </w:rPr>
              <w:t xml:space="preserve"> the Standard Basic Assistance Agreement (SBAA) between BiH and UNDP applies</w:t>
            </w:r>
          </w:p>
        </w:tc>
      </w:tr>
      <w:tr w:rsidR="00744652" w:rsidRPr="003D3D83" w14:paraId="07B69AFC" w14:textId="77777777" w:rsidTr="000E332C">
        <w:tc>
          <w:tcPr>
            <w:tcW w:w="66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46A594B5" w14:textId="77777777" w:rsidR="00744652" w:rsidRPr="003D3D83" w:rsidRDefault="00744652" w:rsidP="000E332C">
            <w:pPr>
              <w:spacing w:before="40" w:after="40" w:line="240" w:lineRule="auto"/>
              <w:ind w:left="34"/>
              <w:jc w:val="both"/>
              <w:rPr>
                <w:rFonts w:cstheme="minorHAnsi"/>
                <w:sz w:val="20"/>
                <w:szCs w:val="20"/>
                <w:lang w:val="en-GB"/>
              </w:rPr>
            </w:pPr>
            <w:r w:rsidRPr="003D3D83">
              <w:rPr>
                <w:rFonts w:cstheme="minorHAnsi"/>
                <w:sz w:val="20"/>
                <w:szCs w:val="20"/>
                <w:lang w:val="en-GB"/>
              </w:rPr>
              <w:t>WHO</w:t>
            </w:r>
          </w:p>
        </w:tc>
        <w:tc>
          <w:tcPr>
            <w:tcW w:w="4335" w:type="pct"/>
            <w:tcBorders>
              <w:top w:val="single" w:sz="4" w:space="0" w:color="FFFFFF"/>
              <w:left w:val="single" w:sz="4" w:space="0" w:color="FFFFFF"/>
              <w:bottom w:val="single" w:sz="4" w:space="0" w:color="FFFFFF"/>
              <w:right w:val="single" w:sz="4" w:space="0" w:color="FFFFFF"/>
            </w:tcBorders>
            <w:shd w:val="clear" w:color="auto" w:fill="C6D9F1" w:themeFill="text2" w:themeFillTint="33"/>
            <w:hideMark/>
          </w:tcPr>
          <w:p w14:paraId="5946AF0E" w14:textId="77777777" w:rsidR="00744652" w:rsidRPr="003D3D83" w:rsidRDefault="00744652" w:rsidP="000E332C">
            <w:pPr>
              <w:spacing w:before="40" w:after="40" w:line="240" w:lineRule="auto"/>
              <w:jc w:val="both"/>
              <w:rPr>
                <w:rFonts w:cstheme="minorHAnsi"/>
                <w:sz w:val="20"/>
                <w:szCs w:val="20"/>
                <w:lang w:val="en-GB"/>
              </w:rPr>
            </w:pPr>
            <w:r w:rsidRPr="003D3D83">
              <w:rPr>
                <w:rFonts w:cstheme="minorHAnsi"/>
                <w:sz w:val="20"/>
                <w:szCs w:val="20"/>
              </w:rPr>
              <w:t>A Basic Agreement concluded between BiH and WHO on 15 June 1994.</w:t>
            </w:r>
          </w:p>
        </w:tc>
      </w:tr>
      <w:tr w:rsidR="00744652" w:rsidRPr="00C3010F" w14:paraId="3D20E83C" w14:textId="77777777" w:rsidTr="000E332C">
        <w:tc>
          <w:tcPr>
            <w:tcW w:w="5000" w:type="pct"/>
            <w:gridSpan w:val="2"/>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364626F" w14:textId="77777777" w:rsidR="00744652" w:rsidRPr="003B13BE" w:rsidRDefault="00744652" w:rsidP="000E332C">
            <w:pPr>
              <w:spacing w:before="40" w:after="40" w:line="240" w:lineRule="auto"/>
              <w:jc w:val="both"/>
              <w:rPr>
                <w:rFonts w:cstheme="minorHAnsi"/>
                <w:sz w:val="20"/>
                <w:szCs w:val="20"/>
              </w:rPr>
            </w:pPr>
            <w:r w:rsidRPr="003D3D83">
              <w:rPr>
                <w:rFonts w:cstheme="minorHAnsi"/>
                <w:sz w:val="20"/>
                <w:szCs w:val="20"/>
              </w:rPr>
              <w:t>For all UN system agencies including: UNECE, UNDRR, OHCHR, assistance to authorities in BiH shall be made available and shall be furnished and received in accordance with the relevant and applicable resolutions and decisions of the competent UN system agency’s governing structures</w:t>
            </w:r>
          </w:p>
        </w:tc>
      </w:tr>
    </w:tbl>
    <w:p w14:paraId="327A0A35" w14:textId="5381876B" w:rsidR="00744652" w:rsidRDefault="00744652" w:rsidP="00744652">
      <w:pPr>
        <w:jc w:val="both"/>
        <w:rPr>
          <w:rFonts w:cstheme="minorHAnsi"/>
          <w:color w:val="000000"/>
          <w:sz w:val="20"/>
          <w:szCs w:val="20"/>
        </w:rPr>
      </w:pPr>
    </w:p>
    <w:p w14:paraId="2B34F9DA" w14:textId="2A61DBD7" w:rsidR="001E05FC" w:rsidRDefault="001E05FC" w:rsidP="00744652">
      <w:pPr>
        <w:jc w:val="both"/>
        <w:rPr>
          <w:rFonts w:cstheme="minorHAnsi"/>
          <w:color w:val="000000"/>
          <w:sz w:val="20"/>
          <w:szCs w:val="20"/>
        </w:rPr>
      </w:pPr>
    </w:p>
    <w:p w14:paraId="073B9110" w14:textId="1338D102" w:rsidR="001E05FC" w:rsidRDefault="001E05FC" w:rsidP="00744652">
      <w:pPr>
        <w:jc w:val="both"/>
        <w:rPr>
          <w:rFonts w:cstheme="minorHAnsi"/>
          <w:color w:val="000000"/>
          <w:sz w:val="20"/>
          <w:szCs w:val="20"/>
        </w:rPr>
      </w:pPr>
    </w:p>
    <w:p w14:paraId="1CD143AC" w14:textId="2AD333EB" w:rsidR="00A62677" w:rsidRPr="003D3D83"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ED61EE">
        <w:rPr>
          <w:rFonts w:cs="Calibri"/>
          <w:bCs/>
          <w:sz w:val="20"/>
          <w:szCs w:val="20"/>
        </w:rPr>
        <w:t xml:space="preserve">The </w:t>
      </w:r>
      <w:r w:rsidRPr="00ED61EE">
        <w:rPr>
          <w:rFonts w:cs="Calibri"/>
          <w:b/>
          <w:bCs/>
          <w:sz w:val="20"/>
          <w:szCs w:val="20"/>
        </w:rPr>
        <w:t>COOPERATION FRAMEWORK</w:t>
      </w:r>
      <w:r w:rsidRPr="00ED61EE">
        <w:rPr>
          <w:rFonts w:cs="Calibri"/>
          <w:bCs/>
          <w:sz w:val="20"/>
          <w:szCs w:val="20"/>
        </w:rPr>
        <w:t xml:space="preserve"> will, in respect of each of the United Nations system agencies signing, be read, interpreted, and implemented in </w:t>
      </w:r>
      <w:r w:rsidRPr="003D3D83">
        <w:rPr>
          <w:rFonts w:cs="Calibri"/>
          <w:bCs/>
          <w:sz w:val="20"/>
          <w:szCs w:val="20"/>
        </w:rPr>
        <w:t xml:space="preserve">accordance with and in a manner that is consistent with the basic agreement between such United Nations system agency and the </w:t>
      </w:r>
      <w:r w:rsidR="00CA5BCD" w:rsidRPr="003D3D83">
        <w:rPr>
          <w:rFonts w:cs="Calibri"/>
          <w:bCs/>
          <w:sz w:val="20"/>
          <w:szCs w:val="20"/>
        </w:rPr>
        <w:t>authorities in BiH</w:t>
      </w:r>
      <w:r w:rsidRPr="003D3D83">
        <w:rPr>
          <w:rFonts w:cs="Calibri"/>
          <w:bCs/>
          <w:sz w:val="20"/>
          <w:szCs w:val="20"/>
        </w:rPr>
        <w:t>.</w:t>
      </w:r>
    </w:p>
    <w:p w14:paraId="231DDE39" w14:textId="037B91B3" w:rsidR="00A62677" w:rsidRPr="00ED61EE"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3D3D83">
        <w:rPr>
          <w:rFonts w:cs="Calibri"/>
          <w:bCs/>
          <w:sz w:val="20"/>
          <w:szCs w:val="20"/>
        </w:rPr>
        <w:t xml:space="preserve">The </w:t>
      </w:r>
      <w:r w:rsidR="00CA5BCD" w:rsidRPr="003D3D83">
        <w:rPr>
          <w:rFonts w:cs="Calibri"/>
          <w:bCs/>
          <w:sz w:val="20"/>
          <w:szCs w:val="20"/>
        </w:rPr>
        <w:t xml:space="preserve">authorities in BiH </w:t>
      </w:r>
      <w:r w:rsidRPr="003D3D83">
        <w:rPr>
          <w:rFonts w:cs="Calibri"/>
          <w:bCs/>
          <w:sz w:val="20"/>
          <w:szCs w:val="20"/>
        </w:rPr>
        <w:t>will honour its commitments in accordance with the provisions of the cooperation and assistance agreements outlined in paragraph on the Basis of the</w:t>
      </w:r>
      <w:r w:rsidRPr="00ED61EE">
        <w:rPr>
          <w:rFonts w:cs="Calibri"/>
          <w:bCs/>
          <w:sz w:val="20"/>
          <w:szCs w:val="20"/>
        </w:rPr>
        <w:t xml:space="preserve"> Relationship.</w:t>
      </w:r>
    </w:p>
    <w:p w14:paraId="4BE30826" w14:textId="3691238B" w:rsidR="00A62677" w:rsidRPr="003D3D83"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ED61EE">
        <w:rPr>
          <w:rFonts w:cs="Calibri"/>
          <w:bCs/>
          <w:sz w:val="20"/>
          <w:szCs w:val="20"/>
        </w:rPr>
        <w:t xml:space="preserve">Without prejudice to these </w:t>
      </w:r>
      <w:r w:rsidRPr="003D3D83">
        <w:rPr>
          <w:rFonts w:cs="Calibri"/>
          <w:bCs/>
          <w:sz w:val="20"/>
          <w:szCs w:val="20"/>
        </w:rPr>
        <w:t xml:space="preserve">agreements, the </w:t>
      </w:r>
      <w:r w:rsidR="00CA5BCD" w:rsidRPr="003D3D83">
        <w:rPr>
          <w:rFonts w:cs="Calibri"/>
          <w:bCs/>
          <w:sz w:val="20"/>
          <w:szCs w:val="20"/>
        </w:rPr>
        <w:t>authorities in BiH</w:t>
      </w:r>
      <w:r w:rsidRPr="003D3D83">
        <w:rPr>
          <w:rFonts w:cs="Calibri"/>
          <w:bCs/>
          <w:sz w:val="20"/>
          <w:szCs w:val="20"/>
        </w:rPr>
        <w:t xml:space="preserve">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officials and experts on mission.</w:t>
      </w:r>
    </w:p>
    <w:p w14:paraId="5FBC72AB" w14:textId="1F9AFEF2" w:rsidR="00A62677" w:rsidRPr="003D3D83"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3D3D83">
        <w:rPr>
          <w:rFonts w:cs="Calibri"/>
          <w:bCs/>
          <w:sz w:val="20"/>
          <w:szCs w:val="20"/>
        </w:rPr>
        <w:t xml:space="preserve">The </w:t>
      </w:r>
      <w:r w:rsidR="00DC61C1" w:rsidRPr="003D3D83">
        <w:rPr>
          <w:rFonts w:cs="Calibri"/>
          <w:bCs/>
          <w:sz w:val="20"/>
          <w:szCs w:val="20"/>
        </w:rPr>
        <w:t xml:space="preserve">authorities in BiH </w:t>
      </w:r>
      <w:r w:rsidRPr="003D3D83">
        <w:rPr>
          <w:rFonts w:cs="Calibri"/>
          <w:bCs/>
          <w:sz w:val="20"/>
          <w:szCs w:val="20"/>
        </w:rPr>
        <w:t xml:space="preserve">shall also accord to the Agencies and their officials and to other persons performing services on behalf of the Agencies, the privileges, immunities and facilities as set out in the cooperation and assistance agreements between the Agencies and the </w:t>
      </w:r>
      <w:r w:rsidR="00DC61C1" w:rsidRPr="003D3D83">
        <w:rPr>
          <w:rFonts w:cs="Calibri"/>
          <w:bCs/>
          <w:sz w:val="20"/>
          <w:szCs w:val="20"/>
        </w:rPr>
        <w:t>authorities in BiH</w:t>
      </w:r>
      <w:r w:rsidRPr="003D3D83">
        <w:rPr>
          <w:rFonts w:cs="Calibri"/>
          <w:bCs/>
          <w:sz w:val="20"/>
          <w:szCs w:val="20"/>
        </w:rPr>
        <w:t xml:space="preserve">. In addition, it is understood that all United Nations Volunteers shall be assimilated to officials of the Agencies, entitled to the privileges and immunities accorded to such officials under the General Convention or the Specialized Agencies Convention. The </w:t>
      </w:r>
      <w:r w:rsidR="0044502D" w:rsidRPr="003D3D83">
        <w:rPr>
          <w:rFonts w:cs="Calibri"/>
          <w:bCs/>
          <w:sz w:val="20"/>
          <w:szCs w:val="20"/>
        </w:rPr>
        <w:t>authorities in BiH</w:t>
      </w:r>
      <w:r w:rsidRPr="003D3D83">
        <w:rPr>
          <w:rFonts w:cs="Calibri"/>
          <w:bCs/>
          <w:sz w:val="20"/>
          <w:szCs w:val="20"/>
        </w:rPr>
        <w:t xml:space="preserve">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except where it is any claims and liabilities resulting from operations under the cooperation and assistance agreements, except where it is mutually agreed by </w:t>
      </w:r>
      <w:r w:rsidR="0044502D" w:rsidRPr="003D3D83">
        <w:rPr>
          <w:rFonts w:cs="Calibri"/>
          <w:bCs/>
          <w:sz w:val="20"/>
          <w:szCs w:val="20"/>
        </w:rPr>
        <w:t xml:space="preserve">authorities in BiH </w:t>
      </w:r>
      <w:r w:rsidRPr="003D3D83">
        <w:rPr>
          <w:rFonts w:cs="Calibri"/>
          <w:bCs/>
          <w:sz w:val="20"/>
          <w:szCs w:val="20"/>
        </w:rPr>
        <w:t>and a particular Agency that such claims and liabilities arise from gross negligence or misconduct of that Agency, or its officials, advisors or persons performing services.</w:t>
      </w:r>
    </w:p>
    <w:p w14:paraId="5B87F44B" w14:textId="045ECD9F" w:rsidR="00A62677" w:rsidRPr="003D3D83"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3D3D83">
        <w:rPr>
          <w:rFonts w:cs="Calibri"/>
          <w:bCs/>
          <w:sz w:val="20"/>
          <w:szCs w:val="20"/>
        </w:rPr>
        <w:t xml:space="preserve">Without prejudice to the generality of the foregoing, the </w:t>
      </w:r>
      <w:r w:rsidR="00570C46" w:rsidRPr="003D3D83">
        <w:rPr>
          <w:rFonts w:cs="Calibri"/>
          <w:bCs/>
          <w:sz w:val="20"/>
          <w:szCs w:val="20"/>
        </w:rPr>
        <w:t>authorities in BiH</w:t>
      </w:r>
      <w:r w:rsidRPr="003D3D83">
        <w:rPr>
          <w:rFonts w:cs="Calibri"/>
          <w:bCs/>
          <w:sz w:val="20"/>
          <w:szCs w:val="20"/>
        </w:rPr>
        <w:t xml:space="preserve"> shall insure or indemnify the Agencies from civil liability under the law of the country in respect of vehicles provided by the Agencies but under the control of or use by the </w:t>
      </w:r>
      <w:r w:rsidR="00570C46" w:rsidRPr="003D3D83">
        <w:rPr>
          <w:rFonts w:cs="Calibri"/>
          <w:bCs/>
          <w:sz w:val="20"/>
          <w:szCs w:val="20"/>
        </w:rPr>
        <w:t>authorities in BiH</w:t>
      </w:r>
      <w:r w:rsidRPr="003D3D83">
        <w:rPr>
          <w:rFonts w:cs="Calibri"/>
          <w:bCs/>
          <w:sz w:val="20"/>
          <w:szCs w:val="20"/>
        </w:rPr>
        <w:t>.</w:t>
      </w:r>
    </w:p>
    <w:p w14:paraId="09B3C9DA" w14:textId="77777777" w:rsidR="00A62677" w:rsidRPr="00ED61EE"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ED61EE">
        <w:rPr>
          <w:rFonts w:cs="Calibri"/>
          <w:bCs/>
          <w:sz w:val="20"/>
          <w:szCs w:val="20"/>
        </w:rPr>
        <w:t>Nothing in this Agreement shall imply a waiver by the UN or any of its Agencies or Organizations of any privileges or immunities enjoyed by them or their acceptance of the jurisdiction of the courts of any country over disputes arising of this Agreement”.</w:t>
      </w:r>
    </w:p>
    <w:p w14:paraId="51535330" w14:textId="77777777" w:rsidR="00A62677" w:rsidRPr="00ED61EE" w:rsidRDefault="00A62677" w:rsidP="00A55B6D">
      <w:pPr>
        <w:pStyle w:val="ListParagraph"/>
        <w:numPr>
          <w:ilvl w:val="0"/>
          <w:numId w:val="10"/>
        </w:numPr>
        <w:spacing w:after="120" w:line="264" w:lineRule="auto"/>
        <w:ind w:left="357" w:hanging="357"/>
        <w:contextualSpacing w:val="0"/>
        <w:jc w:val="both"/>
        <w:rPr>
          <w:rFonts w:cs="Calibri"/>
          <w:bCs/>
          <w:sz w:val="20"/>
          <w:szCs w:val="20"/>
        </w:rPr>
      </w:pPr>
      <w:r w:rsidRPr="00ED61EE">
        <w:rPr>
          <w:rFonts w:cs="Calibri"/>
          <w:bCs/>
          <w:sz w:val="20"/>
          <w:szCs w:val="20"/>
        </w:rPr>
        <w:t>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document or any Institutional Contract or any Undertaking will be interpreted or applied in a manner, or to an extent, inconsistent with such privileges and immunities.</w:t>
      </w:r>
    </w:p>
    <w:p w14:paraId="04AB2B9D" w14:textId="58CA5BFC" w:rsidR="00182C34" w:rsidRPr="00182C34" w:rsidRDefault="00182C34" w:rsidP="00A55B6D">
      <w:pPr>
        <w:spacing w:after="120"/>
        <w:ind w:left="-142"/>
        <w:jc w:val="both"/>
        <w:rPr>
          <w:sz w:val="21"/>
          <w:szCs w:val="21"/>
        </w:rPr>
      </w:pPr>
    </w:p>
    <w:sectPr w:rsidR="00182C34" w:rsidRPr="00182C34" w:rsidSect="00A55B6D">
      <w:pgSz w:w="12240" w:h="15840"/>
      <w:pgMar w:top="1440" w:right="1440" w:bottom="1440" w:left="1440" w:header="708" w:footer="708" w:gutter="0"/>
      <w:pgBorders w:offsetFrom="page">
        <w:top w:val="double" w:sz="4" w:space="24" w:color="C6D9F1" w:themeColor="text2" w:themeTint="33"/>
        <w:left w:val="double" w:sz="4" w:space="24" w:color="C6D9F1" w:themeColor="text2" w:themeTint="33"/>
        <w:bottom w:val="double" w:sz="4" w:space="24" w:color="C6D9F1" w:themeColor="text2" w:themeTint="33"/>
        <w:right w:val="double" w:sz="4" w:space="24" w:color="C6D9F1" w:themeColor="text2"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491BA" w14:textId="77777777" w:rsidR="00C94183" w:rsidRDefault="00C94183" w:rsidP="004A3440">
      <w:pPr>
        <w:spacing w:after="0" w:line="240" w:lineRule="auto"/>
      </w:pPr>
      <w:r>
        <w:separator/>
      </w:r>
    </w:p>
  </w:endnote>
  <w:endnote w:type="continuationSeparator" w:id="0">
    <w:p w14:paraId="08E71A28" w14:textId="77777777" w:rsidR="00C94183" w:rsidRDefault="00C94183" w:rsidP="004A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HPGothic-EB">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T22Dt00">
    <w:panose1 w:val="00000000000000000000"/>
    <w:charset w:val="00"/>
    <w:family w:val="auto"/>
    <w:notTrueType/>
    <w:pitch w:val="default"/>
    <w:sig w:usb0="00000003" w:usb1="00000000" w:usb2="00000000" w:usb3="00000000" w:csb0="00000001" w:csb1="00000000"/>
  </w:font>
  <w:font w:name="TT1BFt00">
    <w:panose1 w:val="00000000000000000000"/>
    <w:charset w:val="00"/>
    <w:family w:val="auto"/>
    <w:notTrueType/>
    <w:pitch w:val="default"/>
    <w:sig w:usb0="00000003" w:usb1="00000000" w:usb2="00000000" w:usb3="00000000" w:csb0="00000001" w:csb1="00000000"/>
  </w:font>
  <w:font w:name="Simplified">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8A8E" w14:textId="77777777" w:rsidR="009625D5" w:rsidRDefault="009625D5">
    <w:pPr>
      <w:pStyle w:val="Footer"/>
      <w:jc w:val="right"/>
    </w:pPr>
  </w:p>
  <w:p w14:paraId="18842DB3" w14:textId="77777777" w:rsidR="009625D5" w:rsidRDefault="0096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403963"/>
      <w:docPartObj>
        <w:docPartGallery w:val="Page Numbers (Bottom of Page)"/>
        <w:docPartUnique/>
      </w:docPartObj>
    </w:sdtPr>
    <w:sdtEndPr>
      <w:rPr>
        <w:noProof/>
      </w:rPr>
    </w:sdtEndPr>
    <w:sdtContent>
      <w:p w14:paraId="355C3CAE" w14:textId="77777777" w:rsidR="009625D5" w:rsidRDefault="009625D5">
        <w:pPr>
          <w:pStyle w:val="Footer"/>
          <w:jc w:val="right"/>
        </w:pPr>
        <w:r>
          <w:fldChar w:fldCharType="begin"/>
        </w:r>
        <w:r>
          <w:instrText xml:space="preserve"> PAGE   \* MERGEFORMAT </w:instrText>
        </w:r>
        <w:r>
          <w:fldChar w:fldCharType="separate"/>
        </w:r>
        <w:r w:rsidR="00A4249C">
          <w:rPr>
            <w:noProof/>
          </w:rPr>
          <w:t>vi</w:t>
        </w:r>
        <w:r>
          <w:rPr>
            <w:noProof/>
          </w:rPr>
          <w:fldChar w:fldCharType="end"/>
        </w:r>
      </w:p>
    </w:sdtContent>
  </w:sdt>
  <w:p w14:paraId="2E90A20C" w14:textId="77777777" w:rsidR="009625D5" w:rsidRDefault="0096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238703"/>
      <w:docPartObj>
        <w:docPartGallery w:val="Page Numbers (Bottom of Page)"/>
        <w:docPartUnique/>
      </w:docPartObj>
    </w:sdtPr>
    <w:sdtEndPr>
      <w:rPr>
        <w:noProof/>
        <w:sz w:val="18"/>
        <w:szCs w:val="18"/>
      </w:rPr>
    </w:sdtEndPr>
    <w:sdtContent>
      <w:p w14:paraId="3ACC9B3F" w14:textId="77777777" w:rsidR="009625D5" w:rsidRPr="004A41E3" w:rsidRDefault="009625D5">
        <w:pPr>
          <w:pStyle w:val="Footer"/>
          <w:jc w:val="right"/>
          <w:rPr>
            <w:sz w:val="18"/>
            <w:szCs w:val="18"/>
          </w:rPr>
        </w:pPr>
        <w:r w:rsidRPr="004A41E3">
          <w:rPr>
            <w:sz w:val="18"/>
            <w:szCs w:val="18"/>
          </w:rPr>
          <w:fldChar w:fldCharType="begin"/>
        </w:r>
        <w:r w:rsidRPr="004A41E3">
          <w:rPr>
            <w:sz w:val="18"/>
            <w:szCs w:val="18"/>
          </w:rPr>
          <w:instrText xml:space="preserve"> PAGE   \* MERGEFORMAT </w:instrText>
        </w:r>
        <w:r w:rsidRPr="004A41E3">
          <w:rPr>
            <w:sz w:val="18"/>
            <w:szCs w:val="18"/>
          </w:rPr>
          <w:fldChar w:fldCharType="separate"/>
        </w:r>
        <w:r w:rsidR="007927E8">
          <w:rPr>
            <w:noProof/>
            <w:sz w:val="18"/>
            <w:szCs w:val="18"/>
          </w:rPr>
          <w:t>38</w:t>
        </w:r>
        <w:r w:rsidRPr="004A41E3">
          <w:rPr>
            <w:noProof/>
            <w:sz w:val="18"/>
            <w:szCs w:val="18"/>
          </w:rPr>
          <w:fldChar w:fldCharType="end"/>
        </w:r>
      </w:p>
    </w:sdtContent>
  </w:sdt>
  <w:p w14:paraId="566C8199" w14:textId="77777777" w:rsidR="009625D5" w:rsidRDefault="00962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86659"/>
      <w:docPartObj>
        <w:docPartGallery w:val="Page Numbers (Bottom of Page)"/>
        <w:docPartUnique/>
      </w:docPartObj>
    </w:sdtPr>
    <w:sdtEndPr>
      <w:rPr>
        <w:noProof/>
        <w:sz w:val="18"/>
        <w:szCs w:val="18"/>
      </w:rPr>
    </w:sdtEndPr>
    <w:sdtContent>
      <w:p w14:paraId="0E456D27" w14:textId="77777777" w:rsidR="009625D5" w:rsidRPr="004A377C" w:rsidRDefault="009625D5">
        <w:pPr>
          <w:pStyle w:val="Footer"/>
          <w:jc w:val="right"/>
          <w:rPr>
            <w:sz w:val="18"/>
            <w:szCs w:val="18"/>
          </w:rPr>
        </w:pPr>
        <w:r w:rsidRPr="004A377C">
          <w:rPr>
            <w:sz w:val="18"/>
            <w:szCs w:val="18"/>
          </w:rPr>
          <w:fldChar w:fldCharType="begin"/>
        </w:r>
        <w:r w:rsidRPr="004A377C">
          <w:rPr>
            <w:sz w:val="18"/>
            <w:szCs w:val="18"/>
          </w:rPr>
          <w:instrText xml:space="preserve"> PAGE   \* MERGEFORMAT </w:instrText>
        </w:r>
        <w:r w:rsidRPr="004A377C">
          <w:rPr>
            <w:sz w:val="18"/>
            <w:szCs w:val="18"/>
          </w:rPr>
          <w:fldChar w:fldCharType="separate"/>
        </w:r>
        <w:r w:rsidR="007927E8">
          <w:rPr>
            <w:noProof/>
            <w:sz w:val="18"/>
            <w:szCs w:val="18"/>
          </w:rPr>
          <w:t>40</w:t>
        </w:r>
        <w:r w:rsidRPr="004A377C">
          <w:rPr>
            <w:noProof/>
            <w:sz w:val="18"/>
            <w:szCs w:val="18"/>
          </w:rPr>
          <w:fldChar w:fldCharType="end"/>
        </w:r>
      </w:p>
    </w:sdtContent>
  </w:sdt>
  <w:p w14:paraId="1879185C" w14:textId="77777777" w:rsidR="009625D5" w:rsidRDefault="0096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2C25" w14:textId="77777777" w:rsidR="00C94183" w:rsidRDefault="00C94183" w:rsidP="004A3440">
      <w:pPr>
        <w:spacing w:after="0" w:line="240" w:lineRule="auto"/>
      </w:pPr>
      <w:r>
        <w:separator/>
      </w:r>
    </w:p>
  </w:footnote>
  <w:footnote w:type="continuationSeparator" w:id="0">
    <w:p w14:paraId="4112038C" w14:textId="77777777" w:rsidR="00C94183" w:rsidRDefault="00C94183" w:rsidP="004A3440">
      <w:pPr>
        <w:spacing w:after="0" w:line="240" w:lineRule="auto"/>
      </w:pPr>
      <w:r>
        <w:continuationSeparator/>
      </w:r>
    </w:p>
  </w:footnote>
  <w:footnote w:id="1">
    <w:p w14:paraId="469C7611" w14:textId="77777777" w:rsidR="009625D5" w:rsidRPr="005722CD" w:rsidRDefault="009625D5" w:rsidP="00CF5CA4">
      <w:pPr>
        <w:pStyle w:val="FootnoteText"/>
        <w:rPr>
          <w:sz w:val="16"/>
          <w:szCs w:val="16"/>
        </w:rPr>
      </w:pPr>
      <w:r w:rsidRPr="005722CD">
        <w:rPr>
          <w:rStyle w:val="FootnoteReference"/>
          <w:sz w:val="16"/>
          <w:szCs w:val="16"/>
        </w:rPr>
        <w:footnoteRef/>
      </w:r>
      <w:r w:rsidRPr="005722CD">
        <w:rPr>
          <w:sz w:val="16"/>
          <w:szCs w:val="16"/>
        </w:rPr>
        <w:t xml:space="preserve"> See: </w:t>
      </w:r>
      <w:hyperlink r:id="rId1" w:history="1">
        <w:r w:rsidRPr="005722CD">
          <w:rPr>
            <w:rStyle w:val="Hyperlink"/>
            <w:sz w:val="16"/>
            <w:szCs w:val="16"/>
          </w:rPr>
          <w:t>https://sustainabledevelopment.un.org/post2015/transformingourworld</w:t>
        </w:r>
      </w:hyperlink>
      <w:r w:rsidRPr="005722CD">
        <w:rPr>
          <w:rStyle w:val="Strong"/>
          <w:rFonts w:cs="Arial"/>
          <w:color w:val="333333"/>
          <w:sz w:val="16"/>
          <w:szCs w:val="16"/>
          <w:shd w:val="clear" w:color="auto" w:fill="FFFFFF"/>
        </w:rPr>
        <w:t xml:space="preserve">, </w:t>
      </w:r>
      <w:hyperlink r:id="rId2" w:history="1">
        <w:r w:rsidRPr="005722CD">
          <w:rPr>
            <w:rStyle w:val="Hyperlink"/>
            <w:rFonts w:cs="Arial"/>
            <w:sz w:val="16"/>
            <w:szCs w:val="16"/>
            <w:shd w:val="clear" w:color="auto" w:fill="FFFFFF"/>
          </w:rPr>
          <w:t>http://unstats.un.org/sdgs/indicators/indicators-list/</w:t>
        </w:r>
      </w:hyperlink>
    </w:p>
  </w:footnote>
  <w:footnote w:id="2">
    <w:p w14:paraId="7B6A4D74" w14:textId="77777777" w:rsidR="009625D5" w:rsidRPr="005722CD" w:rsidRDefault="009625D5" w:rsidP="00CF5CA4">
      <w:pPr>
        <w:pStyle w:val="FootnoteText"/>
        <w:rPr>
          <w:sz w:val="16"/>
          <w:szCs w:val="16"/>
        </w:rPr>
      </w:pPr>
      <w:r w:rsidRPr="005722CD">
        <w:rPr>
          <w:rStyle w:val="FootnoteReference"/>
          <w:sz w:val="16"/>
          <w:szCs w:val="16"/>
        </w:rPr>
        <w:footnoteRef/>
      </w:r>
      <w:r>
        <w:rPr>
          <w:sz w:val="16"/>
          <w:szCs w:val="16"/>
        </w:rPr>
        <w:t xml:space="preserve"> </w:t>
      </w:r>
      <w:r w:rsidRPr="005722CD">
        <w:rPr>
          <w:sz w:val="16"/>
          <w:szCs w:val="16"/>
        </w:rPr>
        <w:t>Sustainable Development Goals Framework in BiH (</w:t>
      </w:r>
      <w:r w:rsidRPr="005722CD">
        <w:rPr>
          <w:b/>
          <w:sz w:val="16"/>
          <w:szCs w:val="16"/>
        </w:rPr>
        <w:t>SDG Framework</w:t>
      </w:r>
      <w:r w:rsidRPr="005722CD">
        <w:rPr>
          <w:sz w:val="16"/>
          <w:szCs w:val="16"/>
        </w:rPr>
        <w:t>), Working Draft, June 2019;</w:t>
      </w:r>
    </w:p>
  </w:footnote>
  <w:footnote w:id="3">
    <w:p w14:paraId="382A4ED5" w14:textId="3B1B8452" w:rsidR="009625D5" w:rsidRPr="005722CD" w:rsidRDefault="009625D5" w:rsidP="00CF5CA4">
      <w:pPr>
        <w:pStyle w:val="FootnoteText"/>
        <w:rPr>
          <w:sz w:val="16"/>
          <w:szCs w:val="16"/>
        </w:rPr>
      </w:pPr>
      <w:r w:rsidRPr="005722CD">
        <w:rPr>
          <w:rStyle w:val="FootnoteReference"/>
          <w:sz w:val="16"/>
          <w:szCs w:val="16"/>
        </w:rPr>
        <w:footnoteRef/>
      </w:r>
      <w:r w:rsidRPr="005722CD">
        <w:rPr>
          <w:sz w:val="16"/>
          <w:szCs w:val="16"/>
        </w:rPr>
        <w:t xml:space="preserve"> Action Plan for implementation of priorities from the European Commission Analytical Report and Opinion on Bosnia and Herzegovina’s application for membership of the European Union EU, 29 May 2019.  For the purposes of the CF, it is an assumption that the main lines of work in the Action Plan will continue beyond 2020. </w:t>
      </w:r>
    </w:p>
  </w:footnote>
  <w:footnote w:id="4">
    <w:p w14:paraId="4A1F063D" w14:textId="69220319" w:rsidR="009625D5" w:rsidRPr="005722CD" w:rsidRDefault="009625D5" w:rsidP="00CF5CA4">
      <w:pPr>
        <w:pStyle w:val="FootnoteText"/>
        <w:rPr>
          <w:sz w:val="16"/>
          <w:szCs w:val="16"/>
          <w:lang w:val="en-GB"/>
        </w:rPr>
      </w:pPr>
      <w:r w:rsidRPr="005722CD">
        <w:rPr>
          <w:rStyle w:val="FootnoteReference"/>
          <w:sz w:val="16"/>
          <w:szCs w:val="16"/>
        </w:rPr>
        <w:footnoteRef/>
      </w:r>
      <w:r w:rsidRPr="005722CD">
        <w:rPr>
          <w:sz w:val="16"/>
          <w:szCs w:val="16"/>
        </w:rPr>
        <w:t xml:space="preserve"> Joint Socio-Economic Reforms (</w:t>
      </w:r>
      <w:r w:rsidRPr="00F159A4">
        <w:rPr>
          <w:b/>
          <w:sz w:val="16"/>
          <w:szCs w:val="16"/>
        </w:rPr>
        <w:t>Reform Agenda</w:t>
      </w:r>
      <w:r w:rsidRPr="005722CD">
        <w:rPr>
          <w:sz w:val="16"/>
          <w:szCs w:val="16"/>
        </w:rPr>
        <w:t xml:space="preserve">) for the Period 2019-2022, BiH authorities, October 2019. </w:t>
      </w:r>
      <w:r w:rsidRPr="005F596A">
        <w:rPr>
          <w:rFonts w:cstheme="minorHAnsi"/>
          <w:sz w:val="16"/>
          <w:szCs w:val="16"/>
        </w:rPr>
        <w:t xml:space="preserve">It is important to note that the </w:t>
      </w:r>
      <w:r>
        <w:rPr>
          <w:rFonts w:cstheme="minorHAnsi"/>
          <w:sz w:val="16"/>
          <w:szCs w:val="16"/>
        </w:rPr>
        <w:t>Reform Agenda</w:t>
      </w:r>
      <w:r w:rsidRPr="005F596A">
        <w:rPr>
          <w:rFonts w:cstheme="minorHAnsi"/>
          <w:sz w:val="16"/>
          <w:szCs w:val="16"/>
        </w:rPr>
        <w:t xml:space="preserve"> was signed by the Entity level authorities only. State endorsement is pending.</w:t>
      </w:r>
      <w:r>
        <w:rPr>
          <w:rFonts w:cstheme="minorHAnsi"/>
          <w:sz w:val="16"/>
          <w:szCs w:val="16"/>
        </w:rPr>
        <w:t xml:space="preserve"> The </w:t>
      </w:r>
      <w:r w:rsidRPr="005722CD">
        <w:rPr>
          <w:rFonts w:cstheme="minorHAnsi"/>
          <w:sz w:val="16"/>
          <w:szCs w:val="16"/>
        </w:rPr>
        <w:t>priorities align strongly with the recommendations from the EU opinion and the priorities from the emerging SDG Framework in BiH.</w:t>
      </w:r>
    </w:p>
  </w:footnote>
  <w:footnote w:id="5">
    <w:p w14:paraId="233F293B" w14:textId="77777777" w:rsidR="009625D5" w:rsidRPr="005722CD" w:rsidRDefault="009625D5" w:rsidP="00CF5CA4">
      <w:pPr>
        <w:pStyle w:val="FootnoteText"/>
        <w:rPr>
          <w:sz w:val="16"/>
          <w:szCs w:val="16"/>
          <w:lang w:val="en-GB"/>
        </w:rPr>
      </w:pPr>
      <w:r w:rsidRPr="005722CD">
        <w:rPr>
          <w:rStyle w:val="FootnoteReference"/>
          <w:sz w:val="16"/>
          <w:szCs w:val="16"/>
        </w:rPr>
        <w:footnoteRef/>
      </w:r>
      <w:r w:rsidRPr="005722CD">
        <w:rPr>
          <w:sz w:val="16"/>
          <w:szCs w:val="16"/>
        </w:rPr>
        <w:t xml:space="preserve"> In </w:t>
      </w:r>
      <w:r w:rsidRPr="005722CD">
        <w:rPr>
          <w:rFonts w:cstheme="minorHAnsi"/>
          <w:sz w:val="16"/>
          <w:szCs w:val="16"/>
        </w:rPr>
        <w:t>line with accepted recommendations and decisions of human rights mechanisms</w:t>
      </w:r>
      <w:r w:rsidRPr="005722CD">
        <w:rPr>
          <w:sz w:val="16"/>
          <w:szCs w:val="16"/>
          <w:lang w:val="en-GB"/>
        </w:rPr>
        <w:t xml:space="preserve"> Universal Human Rights Index, recommendations addressed to BiH https://uhri.ohchr.org/en/Summary/Country</w:t>
      </w:r>
    </w:p>
  </w:footnote>
  <w:footnote w:id="6">
    <w:p w14:paraId="491D7275" w14:textId="77777777" w:rsidR="009625D5" w:rsidRPr="00961ED3" w:rsidRDefault="009625D5" w:rsidP="00EA6523">
      <w:pPr>
        <w:pStyle w:val="FootnoteText"/>
        <w:rPr>
          <w:lang w:val="en-US"/>
        </w:rPr>
      </w:pPr>
      <w:r>
        <w:rPr>
          <w:rStyle w:val="FootnoteReference"/>
        </w:rPr>
        <w:footnoteRef/>
      </w:r>
      <w:r>
        <w:t xml:space="preserve"> </w:t>
      </w:r>
      <w:r w:rsidRPr="00961ED3">
        <w:rPr>
          <w:sz w:val="18"/>
          <w:szCs w:val="18"/>
          <w:lang w:val="en-US"/>
        </w:rPr>
        <w:t>UN system agencies in alphabetical order.</w:t>
      </w:r>
    </w:p>
  </w:footnote>
  <w:footnote w:id="7">
    <w:p w14:paraId="7A8EBEE6" w14:textId="77777777" w:rsidR="009625D5" w:rsidRPr="009E2365" w:rsidRDefault="009625D5" w:rsidP="00CE09F7">
      <w:pPr>
        <w:pStyle w:val="FootnoteText"/>
        <w:rPr>
          <w:sz w:val="16"/>
          <w:szCs w:val="16"/>
        </w:rPr>
      </w:pPr>
      <w:r w:rsidRPr="009E2365">
        <w:rPr>
          <w:rStyle w:val="FootnoteReference"/>
          <w:sz w:val="16"/>
          <w:szCs w:val="16"/>
        </w:rPr>
        <w:footnoteRef/>
      </w:r>
      <w:r w:rsidRPr="009E2365">
        <w:rPr>
          <w:sz w:val="16"/>
          <w:szCs w:val="16"/>
        </w:rPr>
        <w:t xml:space="preserve"> See: </w:t>
      </w:r>
      <w:hyperlink r:id="rId3" w:history="1">
        <w:r w:rsidRPr="009E2365">
          <w:rPr>
            <w:rStyle w:val="Hyperlink"/>
            <w:sz w:val="16"/>
            <w:szCs w:val="16"/>
          </w:rPr>
          <w:t>https://sustainabledevelopment.un.org/post2015/transformingourworld</w:t>
        </w:r>
      </w:hyperlink>
      <w:r w:rsidRPr="009E2365">
        <w:rPr>
          <w:rStyle w:val="Strong"/>
          <w:rFonts w:cs="Arial"/>
          <w:color w:val="333333"/>
          <w:sz w:val="16"/>
          <w:szCs w:val="16"/>
          <w:shd w:val="clear" w:color="auto" w:fill="FFFFFF"/>
        </w:rPr>
        <w:t xml:space="preserve">, </w:t>
      </w:r>
      <w:hyperlink r:id="rId4" w:history="1">
        <w:r w:rsidRPr="009E2365">
          <w:rPr>
            <w:rStyle w:val="Hyperlink"/>
            <w:rFonts w:cs="Arial"/>
            <w:sz w:val="16"/>
            <w:szCs w:val="16"/>
            <w:shd w:val="clear" w:color="auto" w:fill="FFFFFF"/>
          </w:rPr>
          <w:t>http://unstats.un.org/sdgs/indicators/indicators-list/</w:t>
        </w:r>
      </w:hyperlink>
    </w:p>
  </w:footnote>
  <w:footnote w:id="8">
    <w:p w14:paraId="513E7126" w14:textId="77777777" w:rsidR="009625D5" w:rsidRPr="009E2365" w:rsidRDefault="009625D5" w:rsidP="00CE09F7">
      <w:pPr>
        <w:pStyle w:val="FootnoteText"/>
        <w:rPr>
          <w:sz w:val="16"/>
          <w:szCs w:val="16"/>
        </w:rPr>
      </w:pPr>
      <w:r w:rsidRPr="009E2365">
        <w:rPr>
          <w:rStyle w:val="FootnoteReference"/>
          <w:sz w:val="16"/>
          <w:szCs w:val="16"/>
        </w:rPr>
        <w:footnoteRef/>
      </w:r>
      <w:r w:rsidRPr="009E2365">
        <w:rPr>
          <w:sz w:val="16"/>
          <w:szCs w:val="16"/>
        </w:rPr>
        <w:t xml:space="preserve"> Sustainable Development Goals Framework in BiH (</w:t>
      </w:r>
      <w:r w:rsidRPr="009E2365">
        <w:rPr>
          <w:b/>
          <w:sz w:val="16"/>
          <w:szCs w:val="16"/>
        </w:rPr>
        <w:t>SDG Framework</w:t>
      </w:r>
      <w:r w:rsidRPr="009E2365">
        <w:rPr>
          <w:sz w:val="16"/>
          <w:szCs w:val="16"/>
        </w:rPr>
        <w:t>), Working Draft, June 2019;</w:t>
      </w:r>
    </w:p>
  </w:footnote>
  <w:footnote w:id="9">
    <w:p w14:paraId="6387AAED" w14:textId="77777777" w:rsidR="009625D5" w:rsidRPr="009E2365" w:rsidRDefault="009625D5" w:rsidP="00CE09F7">
      <w:pPr>
        <w:pStyle w:val="FootnoteText"/>
        <w:rPr>
          <w:sz w:val="16"/>
          <w:szCs w:val="16"/>
        </w:rPr>
      </w:pPr>
      <w:r w:rsidRPr="009E2365">
        <w:rPr>
          <w:rStyle w:val="FootnoteReference"/>
          <w:sz w:val="16"/>
          <w:szCs w:val="16"/>
        </w:rPr>
        <w:footnoteRef/>
      </w:r>
      <w:r w:rsidRPr="009E2365">
        <w:rPr>
          <w:sz w:val="16"/>
          <w:szCs w:val="16"/>
        </w:rPr>
        <w:t xml:space="preserve"> Action Plan for implementation of priorities from the European Commission Analytical Report and Opinion on Bosnia and Herzegovina’s application for membership of the European Union EU, 29 May 2019.  For the purposes of the CF, it is an assumption that the main lines of work in the Action Plan will continue beyond 2020. </w:t>
      </w:r>
    </w:p>
  </w:footnote>
  <w:footnote w:id="10">
    <w:p w14:paraId="66B5240E" w14:textId="3F052066" w:rsidR="009625D5" w:rsidRPr="009E2365" w:rsidRDefault="009625D5" w:rsidP="00CE09F7">
      <w:pPr>
        <w:pStyle w:val="FootnoteText"/>
        <w:rPr>
          <w:sz w:val="16"/>
          <w:szCs w:val="16"/>
          <w:lang w:val="en-GB"/>
        </w:rPr>
      </w:pPr>
      <w:r w:rsidRPr="009E2365">
        <w:rPr>
          <w:rStyle w:val="FootnoteReference"/>
          <w:sz w:val="16"/>
          <w:szCs w:val="16"/>
        </w:rPr>
        <w:footnoteRef/>
      </w:r>
      <w:r w:rsidRPr="009E2365">
        <w:rPr>
          <w:sz w:val="16"/>
          <w:szCs w:val="16"/>
        </w:rPr>
        <w:t xml:space="preserve"> Joint Socio-Economic Reforms (</w:t>
      </w:r>
      <w:r w:rsidRPr="009E2365">
        <w:rPr>
          <w:b/>
          <w:sz w:val="16"/>
          <w:szCs w:val="16"/>
        </w:rPr>
        <w:t>Reform Agenda</w:t>
      </w:r>
      <w:r w:rsidRPr="009E2365">
        <w:rPr>
          <w:sz w:val="16"/>
          <w:szCs w:val="16"/>
        </w:rPr>
        <w:t xml:space="preserve">) for the </w:t>
      </w:r>
      <w:r w:rsidRPr="00E746D6">
        <w:rPr>
          <w:sz w:val="16"/>
          <w:szCs w:val="16"/>
        </w:rPr>
        <w:t>Period 2019-2022.  The Government of Republika Srpska endorsed the Reform Agenda at its 41</w:t>
      </w:r>
      <w:r w:rsidRPr="00E746D6">
        <w:rPr>
          <w:sz w:val="16"/>
          <w:szCs w:val="16"/>
          <w:vertAlign w:val="superscript"/>
        </w:rPr>
        <w:t>st</w:t>
      </w:r>
      <w:r w:rsidRPr="00E746D6">
        <w:rPr>
          <w:sz w:val="16"/>
          <w:szCs w:val="16"/>
        </w:rPr>
        <w:t xml:space="preserve"> regular session on 10 October 2019.  </w:t>
      </w:r>
      <w:r w:rsidR="00D2353E" w:rsidRPr="00E746D6">
        <w:rPr>
          <w:sz w:val="16"/>
          <w:szCs w:val="16"/>
        </w:rPr>
        <w:t xml:space="preserve">The Government of </w:t>
      </w:r>
      <w:r w:rsidRPr="00E746D6">
        <w:rPr>
          <w:sz w:val="16"/>
          <w:szCs w:val="16"/>
        </w:rPr>
        <w:t>Federation of BiH endorsed the Reform Agenda at its 194</w:t>
      </w:r>
      <w:r w:rsidRPr="00E746D6">
        <w:rPr>
          <w:sz w:val="16"/>
          <w:szCs w:val="16"/>
          <w:vertAlign w:val="superscript"/>
        </w:rPr>
        <w:t>th</w:t>
      </w:r>
      <w:r w:rsidRPr="00E746D6">
        <w:rPr>
          <w:sz w:val="16"/>
          <w:szCs w:val="16"/>
        </w:rPr>
        <w:t xml:space="preserve"> regular session on 10 October 2019.  The Council of Ministers endorsed the Reform Agenda at its 3</w:t>
      </w:r>
      <w:r w:rsidRPr="00E746D6">
        <w:rPr>
          <w:sz w:val="16"/>
          <w:szCs w:val="16"/>
          <w:vertAlign w:val="superscript"/>
        </w:rPr>
        <w:t>rd</w:t>
      </w:r>
      <w:r w:rsidRPr="00E746D6">
        <w:rPr>
          <w:sz w:val="16"/>
          <w:szCs w:val="16"/>
        </w:rPr>
        <w:t xml:space="preserve"> regular session on 30 January 2020</w:t>
      </w:r>
      <w:r w:rsidRPr="00E746D6">
        <w:rPr>
          <w:rFonts w:cstheme="minorHAnsi"/>
          <w:sz w:val="16"/>
          <w:szCs w:val="16"/>
        </w:rPr>
        <w:t>. The priorities align strongly with the recommendations from the EU opinion and the priorities from the emerging SDG Framework in BiH.</w:t>
      </w:r>
    </w:p>
  </w:footnote>
  <w:footnote w:id="11">
    <w:p w14:paraId="4E3524BF" w14:textId="77777777" w:rsidR="009625D5" w:rsidRPr="009E2365" w:rsidRDefault="009625D5" w:rsidP="00CE09F7">
      <w:pPr>
        <w:pStyle w:val="FootnoteText"/>
        <w:rPr>
          <w:sz w:val="16"/>
          <w:szCs w:val="16"/>
          <w:lang w:val="en-GB"/>
        </w:rPr>
      </w:pPr>
      <w:r w:rsidRPr="009E2365">
        <w:rPr>
          <w:rStyle w:val="FootnoteReference"/>
          <w:sz w:val="16"/>
          <w:szCs w:val="16"/>
        </w:rPr>
        <w:footnoteRef/>
      </w:r>
      <w:r w:rsidRPr="009E2365">
        <w:rPr>
          <w:sz w:val="16"/>
          <w:szCs w:val="16"/>
        </w:rPr>
        <w:t xml:space="preserve"> In </w:t>
      </w:r>
      <w:r w:rsidRPr="009E2365">
        <w:rPr>
          <w:rFonts w:cstheme="minorHAnsi"/>
          <w:sz w:val="16"/>
          <w:szCs w:val="16"/>
        </w:rPr>
        <w:t>line with accepted recommendations and decisions of human rights mechanisms</w:t>
      </w:r>
      <w:r w:rsidRPr="009E2365">
        <w:rPr>
          <w:sz w:val="16"/>
          <w:szCs w:val="16"/>
          <w:lang w:val="en-GB"/>
        </w:rPr>
        <w:t xml:space="preserve"> Universal Human Rights Index, recommendations addressed to BiH https://uhri.ohchr.org/en/Summary/Country</w:t>
      </w:r>
    </w:p>
  </w:footnote>
  <w:footnote w:id="12">
    <w:p w14:paraId="67CF904C" w14:textId="7844977A" w:rsidR="009625D5" w:rsidRPr="009E2365" w:rsidRDefault="009625D5" w:rsidP="00CE09F7">
      <w:pPr>
        <w:spacing w:after="0" w:line="240" w:lineRule="auto"/>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b/>
          <w:sz w:val="16"/>
          <w:szCs w:val="16"/>
        </w:rPr>
        <w:t>Vulnerable groups</w:t>
      </w:r>
      <w:r w:rsidRPr="009E2365">
        <w:rPr>
          <w:rFonts w:cstheme="minorHAnsi"/>
          <w:sz w:val="16"/>
          <w:szCs w:val="16"/>
        </w:rPr>
        <w:t>: Households below the BiH poverty line (17% 2015), and those headed by women and younger people, victims of domestic violence and war-time victims of rape, disadvantaged children and young people, people with disabilities, unemployed persons, the Roma, LGBTI, migrants, internally displaced persons (IDPs), minority returnees, refugees and asylum seekers,</w:t>
      </w:r>
      <w:r w:rsidR="00144EA2">
        <w:rPr>
          <w:rFonts w:cstheme="minorHAnsi"/>
          <w:sz w:val="16"/>
          <w:szCs w:val="16"/>
        </w:rPr>
        <w:t xml:space="preserve"> persons under subsidiary protection,</w:t>
      </w:r>
      <w:r w:rsidRPr="009E2365">
        <w:rPr>
          <w:rFonts w:cstheme="minorHAnsi"/>
          <w:sz w:val="16"/>
          <w:szCs w:val="16"/>
        </w:rPr>
        <w:t xml:space="preserve"> persons at risk of statelessness, victims of human trafficking, and groups of people at risk from climate change and natural disasters. There are other vulnerable groups in BiH that are not the primary focus of UN system cooperation: Elderly isolated persons, alcohol and drug addicts, prisoners and former prisoners, persons living with HIV and AIDS. </w:t>
      </w:r>
    </w:p>
  </w:footnote>
  <w:footnote w:id="13">
    <w:p w14:paraId="20DF9671" w14:textId="77777777" w:rsidR="009625D5" w:rsidRPr="005F596A" w:rsidRDefault="009625D5" w:rsidP="00CE09F7">
      <w:pPr>
        <w:pStyle w:val="FootnoteText"/>
        <w:rPr>
          <w:rFonts w:cstheme="minorHAnsi"/>
          <w:sz w:val="16"/>
          <w:szCs w:val="16"/>
        </w:rPr>
      </w:pPr>
      <w:r w:rsidRPr="005F596A">
        <w:rPr>
          <w:rStyle w:val="FootnoteReference"/>
          <w:rFonts w:cstheme="minorHAnsi"/>
          <w:sz w:val="16"/>
          <w:szCs w:val="16"/>
        </w:rPr>
        <w:footnoteRef/>
      </w:r>
      <w:r w:rsidRPr="005F596A">
        <w:rPr>
          <w:rFonts w:cstheme="minorHAnsi"/>
          <w:sz w:val="16"/>
          <w:szCs w:val="16"/>
        </w:rPr>
        <w:t xml:space="preserve"> World Bank’s Human Capital Index. A child born in BiH today will reach only 62% of their productive potential when they grow up as compared to a child born in countries with best education and health care. When assessing education in BiH, the report shows that on average children can expect to complete 11.7 years of schooling by age 18. However, this is only equivalent to 8.6 years of effective learning.</w:t>
      </w:r>
    </w:p>
  </w:footnote>
  <w:footnote w:id="14">
    <w:p w14:paraId="3C9B36EE" w14:textId="097DEDBA" w:rsidR="009625D5" w:rsidRPr="005F596A" w:rsidRDefault="009625D5" w:rsidP="00CE09F7">
      <w:pPr>
        <w:pStyle w:val="FootnoteText"/>
        <w:rPr>
          <w:rFonts w:cstheme="minorHAnsi"/>
          <w:sz w:val="16"/>
          <w:szCs w:val="16"/>
        </w:rPr>
      </w:pPr>
      <w:r w:rsidRPr="005F596A">
        <w:rPr>
          <w:rStyle w:val="FootnoteReference"/>
          <w:rFonts w:cstheme="minorHAnsi"/>
          <w:sz w:val="16"/>
          <w:szCs w:val="16"/>
        </w:rPr>
        <w:footnoteRef/>
      </w:r>
      <w:r w:rsidRPr="005F596A">
        <w:rPr>
          <w:rFonts w:cstheme="minorHAnsi"/>
          <w:sz w:val="16"/>
          <w:szCs w:val="16"/>
        </w:rPr>
        <w:t xml:space="preserve"> </w:t>
      </w:r>
      <w:r w:rsidR="00F6492A" w:rsidRPr="005F596A">
        <w:rPr>
          <w:rFonts w:cstheme="minorHAnsi"/>
          <w:sz w:val="16"/>
          <w:szCs w:val="16"/>
        </w:rPr>
        <w:t xml:space="preserve">UN General Assembly, Human Rights Council, </w:t>
      </w:r>
      <w:hyperlink r:id="rId5" w:history="1">
        <w:r w:rsidR="00F6492A" w:rsidRPr="009425FE">
          <w:rPr>
            <w:rStyle w:val="Hyperlink"/>
            <w:rFonts w:cstheme="minorHAnsi"/>
            <w:sz w:val="16"/>
            <w:szCs w:val="16"/>
          </w:rPr>
          <w:t>Report of the Working Group on the Universal Periodic Review (UPR): Bosnia and Herzegovina</w:t>
        </w:r>
      </w:hyperlink>
      <w:r w:rsidR="00F6492A" w:rsidRPr="005F596A">
        <w:rPr>
          <w:rFonts w:cstheme="minorHAnsi"/>
          <w:sz w:val="16"/>
          <w:szCs w:val="16"/>
        </w:rPr>
        <w:t xml:space="preserve">, </w:t>
      </w:r>
      <w:r w:rsidR="00F6492A" w:rsidRPr="009425FE">
        <w:rPr>
          <w:rFonts w:cstheme="minorHAnsi"/>
          <w:sz w:val="16"/>
          <w:szCs w:val="16"/>
        </w:rPr>
        <w:t>A/HRC/43/17</w:t>
      </w:r>
      <w:r w:rsidR="00F6492A">
        <w:rPr>
          <w:rFonts w:cstheme="minorHAnsi"/>
          <w:sz w:val="16"/>
          <w:szCs w:val="16"/>
        </w:rPr>
        <w:t>, 19 December, 2019.</w:t>
      </w:r>
    </w:p>
  </w:footnote>
  <w:footnote w:id="15">
    <w:p w14:paraId="2997260C" w14:textId="77777777" w:rsidR="009625D5" w:rsidRPr="005722CD" w:rsidRDefault="009625D5" w:rsidP="00CE09F7">
      <w:pPr>
        <w:pStyle w:val="FootnoteText"/>
        <w:rPr>
          <w:sz w:val="16"/>
          <w:szCs w:val="16"/>
        </w:rPr>
      </w:pPr>
      <w:r w:rsidRPr="005722CD">
        <w:rPr>
          <w:rStyle w:val="FootnoteReference"/>
          <w:sz w:val="16"/>
          <w:szCs w:val="16"/>
        </w:rPr>
        <w:footnoteRef/>
      </w:r>
      <w:r w:rsidRPr="005722CD">
        <w:rPr>
          <w:sz w:val="16"/>
          <w:szCs w:val="16"/>
        </w:rPr>
        <w:t xml:space="preserve"> </w:t>
      </w:r>
      <w:r w:rsidRPr="005722CD">
        <w:rPr>
          <w:i/>
          <w:sz w:val="16"/>
          <w:szCs w:val="16"/>
        </w:rPr>
        <w:t>‘…stem the persisting brain drain  and allow youth and women to unleash their full potential’</w:t>
      </w:r>
      <w:r w:rsidRPr="005722CD">
        <w:rPr>
          <w:sz w:val="16"/>
          <w:szCs w:val="16"/>
        </w:rPr>
        <w:t xml:space="preserve"> </w:t>
      </w:r>
      <w:r>
        <w:rPr>
          <w:sz w:val="16"/>
          <w:szCs w:val="16"/>
        </w:rPr>
        <w:t>Reform Agenda</w:t>
      </w:r>
      <w:r w:rsidRPr="005722CD">
        <w:rPr>
          <w:sz w:val="16"/>
          <w:szCs w:val="16"/>
        </w:rPr>
        <w:t>, ibid.,1.</w:t>
      </w:r>
    </w:p>
  </w:footnote>
  <w:footnote w:id="16">
    <w:p w14:paraId="09BCCAEC" w14:textId="77777777" w:rsidR="009625D5" w:rsidRPr="009E2365" w:rsidRDefault="009625D5" w:rsidP="00CF5CA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See: </w:t>
      </w:r>
      <w:hyperlink r:id="rId6" w:history="1">
        <w:r w:rsidRPr="009E2365">
          <w:rPr>
            <w:rStyle w:val="Hyperlink"/>
            <w:rFonts w:cstheme="minorHAnsi"/>
            <w:sz w:val="16"/>
            <w:szCs w:val="16"/>
          </w:rPr>
          <w:t>https://sustainabledevelopment.un.org/post2015/transformingourworld</w:t>
        </w:r>
      </w:hyperlink>
      <w:r w:rsidRPr="009E2365">
        <w:rPr>
          <w:rStyle w:val="Strong"/>
          <w:rFonts w:cstheme="minorHAnsi"/>
          <w:color w:val="333333"/>
          <w:sz w:val="16"/>
          <w:szCs w:val="16"/>
          <w:shd w:val="clear" w:color="auto" w:fill="FFFFFF"/>
        </w:rPr>
        <w:t xml:space="preserve">, </w:t>
      </w:r>
      <w:hyperlink r:id="rId7" w:history="1">
        <w:r w:rsidRPr="009E2365">
          <w:rPr>
            <w:rStyle w:val="Hyperlink"/>
            <w:rFonts w:cstheme="minorHAnsi"/>
            <w:sz w:val="16"/>
            <w:szCs w:val="16"/>
            <w:shd w:val="clear" w:color="auto" w:fill="FFFFFF"/>
          </w:rPr>
          <w:t>http://unstats.un.org/sdgs/indicators/indicators-list/</w:t>
        </w:r>
      </w:hyperlink>
    </w:p>
  </w:footnote>
  <w:footnote w:id="17">
    <w:p w14:paraId="2AC18019" w14:textId="77777777" w:rsidR="009625D5" w:rsidRPr="009E2365" w:rsidRDefault="009625D5" w:rsidP="00CF5CA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Sustainable Development Goals Framework in BiH (</w:t>
      </w:r>
      <w:r w:rsidRPr="009E2365">
        <w:rPr>
          <w:rFonts w:cstheme="minorHAnsi"/>
          <w:b/>
          <w:sz w:val="16"/>
          <w:szCs w:val="16"/>
        </w:rPr>
        <w:t>SDG Framework</w:t>
      </w:r>
      <w:r w:rsidRPr="009E2365">
        <w:rPr>
          <w:rFonts w:cstheme="minorHAnsi"/>
          <w:sz w:val="16"/>
          <w:szCs w:val="16"/>
        </w:rPr>
        <w:t>), Working Draft, June 2019.</w:t>
      </w:r>
    </w:p>
  </w:footnote>
  <w:footnote w:id="18">
    <w:p w14:paraId="5C5C1A0B" w14:textId="77777777" w:rsidR="009625D5" w:rsidRPr="009E2365" w:rsidRDefault="009625D5" w:rsidP="00CF5CA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Action Plan for implementation of priorities from the European Commission (</w:t>
      </w:r>
      <w:r w:rsidRPr="009E2365">
        <w:rPr>
          <w:rFonts w:cstheme="minorHAnsi"/>
          <w:b/>
          <w:sz w:val="16"/>
          <w:szCs w:val="16"/>
        </w:rPr>
        <w:t>AP-EC</w:t>
      </w:r>
      <w:r w:rsidRPr="009E2365">
        <w:rPr>
          <w:rFonts w:cstheme="minorHAnsi"/>
          <w:sz w:val="16"/>
          <w:szCs w:val="16"/>
        </w:rPr>
        <w:t xml:space="preserve">) Analytical Report and Opinion on Bosnia and Herzegovina’s application for membership of the European Union EU, 29 May 2019.  For the purposes of the CF, it is an assumption that the main lines of work in the Action Plan will continue beyond 2020. </w:t>
      </w:r>
    </w:p>
  </w:footnote>
  <w:footnote w:id="19">
    <w:p w14:paraId="54600577" w14:textId="295E4E0C" w:rsidR="009625D5" w:rsidRPr="009E2365" w:rsidRDefault="009625D5" w:rsidP="00CF5CA4">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xml:space="preserve">) for the Period 2019-2022.  </w:t>
      </w:r>
      <w:r w:rsidRPr="0069604A">
        <w:rPr>
          <w:rFonts w:cstheme="minorHAnsi"/>
          <w:sz w:val="16"/>
          <w:szCs w:val="16"/>
        </w:rPr>
        <w:t>The Government of Republika Srpska endorsed the Reform Agenda at its 41</w:t>
      </w:r>
      <w:r w:rsidRPr="0069604A">
        <w:rPr>
          <w:rFonts w:cstheme="minorHAnsi"/>
          <w:sz w:val="16"/>
          <w:szCs w:val="16"/>
          <w:vertAlign w:val="superscript"/>
        </w:rPr>
        <w:t>st</w:t>
      </w:r>
      <w:r w:rsidRPr="0069604A">
        <w:rPr>
          <w:rFonts w:cstheme="minorHAnsi"/>
          <w:sz w:val="16"/>
          <w:szCs w:val="16"/>
        </w:rPr>
        <w:t xml:space="preserve"> regular session on 10 October 2019.  </w:t>
      </w:r>
      <w:r w:rsidR="00FC2C21" w:rsidRPr="0069604A">
        <w:rPr>
          <w:rFonts w:cstheme="minorHAnsi"/>
          <w:sz w:val="16"/>
          <w:szCs w:val="16"/>
        </w:rPr>
        <w:t xml:space="preserve">The Government of </w:t>
      </w:r>
      <w:r w:rsidRPr="0069604A">
        <w:rPr>
          <w:rFonts w:cstheme="minorHAnsi"/>
          <w:sz w:val="16"/>
          <w:szCs w:val="16"/>
        </w:rPr>
        <w:t>Federation of BiH endorsed the Reform Agenda at its 194</w:t>
      </w:r>
      <w:r w:rsidRPr="0069604A">
        <w:rPr>
          <w:rFonts w:cstheme="minorHAnsi"/>
          <w:sz w:val="16"/>
          <w:szCs w:val="16"/>
          <w:vertAlign w:val="superscript"/>
        </w:rPr>
        <w:t>th</w:t>
      </w:r>
      <w:r w:rsidRPr="0069604A">
        <w:rPr>
          <w:rFonts w:cstheme="minorHAnsi"/>
          <w:sz w:val="16"/>
          <w:szCs w:val="16"/>
        </w:rPr>
        <w:t xml:space="preserve"> regular session on 10 October 2019.  The Council of Ministers endorsed the Reform Agenda at its 3</w:t>
      </w:r>
      <w:r w:rsidRPr="0069604A">
        <w:rPr>
          <w:rFonts w:cstheme="minorHAnsi"/>
          <w:sz w:val="16"/>
          <w:szCs w:val="16"/>
          <w:vertAlign w:val="superscript"/>
        </w:rPr>
        <w:t>rd</w:t>
      </w:r>
      <w:r w:rsidRPr="0069604A">
        <w:rPr>
          <w:rFonts w:cstheme="minorHAnsi"/>
          <w:sz w:val="16"/>
          <w:szCs w:val="16"/>
        </w:rPr>
        <w:t xml:space="preserve"> regular session on 30 January 2020. The</w:t>
      </w:r>
      <w:r w:rsidRPr="009E2365">
        <w:rPr>
          <w:rFonts w:cstheme="minorHAnsi"/>
          <w:sz w:val="16"/>
          <w:szCs w:val="16"/>
        </w:rPr>
        <w:t xml:space="preserve"> Reform Agenda priorities align strongly with the recommendations from the EU opinion and the priorities from the emerging SDG Framework in BiH.</w:t>
      </w:r>
    </w:p>
  </w:footnote>
  <w:footnote w:id="20">
    <w:p w14:paraId="02BE8E89" w14:textId="77777777" w:rsidR="009625D5" w:rsidRPr="009E2365" w:rsidRDefault="009625D5" w:rsidP="00CF5CA4">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In line with accepted recommendations and decisions of human rights mechanisms</w:t>
      </w:r>
      <w:r w:rsidRPr="009E2365">
        <w:rPr>
          <w:rFonts w:cstheme="minorHAnsi"/>
          <w:sz w:val="16"/>
          <w:szCs w:val="16"/>
          <w:lang w:val="en-GB"/>
        </w:rPr>
        <w:t xml:space="preserve"> Universal Human Rights Index, recommendations addressed to BiH https://uhri.ohchr.org/en/Summary/Country</w:t>
      </w:r>
    </w:p>
  </w:footnote>
  <w:footnote w:id="21">
    <w:p w14:paraId="636ECB40" w14:textId="3B852908" w:rsidR="009625D5" w:rsidRPr="009E2365" w:rsidRDefault="009625D5" w:rsidP="00CF5CA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(1) The BiH Voluntary Review (VR), April 2019; (2) Sustainable Development Goals Framework in BiH (</w:t>
      </w:r>
      <w:r w:rsidRPr="009E2365">
        <w:rPr>
          <w:rFonts w:cstheme="minorHAnsi"/>
          <w:b/>
          <w:sz w:val="16"/>
          <w:szCs w:val="16"/>
        </w:rPr>
        <w:t>SDG Framework</w:t>
      </w:r>
      <w:r w:rsidRPr="009E2365">
        <w:rPr>
          <w:rFonts w:cstheme="minorHAnsi"/>
          <w:sz w:val="16"/>
          <w:szCs w:val="16"/>
        </w:rPr>
        <w:t>), Working Draft, June 2019; (3) UN Common Country Analysis for BiH (</w:t>
      </w:r>
      <w:r w:rsidRPr="009E2365">
        <w:rPr>
          <w:rFonts w:cstheme="minorHAnsi"/>
          <w:b/>
          <w:sz w:val="16"/>
          <w:szCs w:val="16"/>
        </w:rPr>
        <w:t>CCA</w:t>
      </w:r>
      <w:r w:rsidRPr="009E2365">
        <w:rPr>
          <w:rFonts w:cstheme="minorHAnsi"/>
          <w:sz w:val="16"/>
          <w:szCs w:val="16"/>
        </w:rPr>
        <w:t xml:space="preserve">), UN, 2019 (draft). </w:t>
      </w:r>
    </w:p>
  </w:footnote>
  <w:footnote w:id="22">
    <w:p w14:paraId="4A556645" w14:textId="31619AC3" w:rsidR="009625D5" w:rsidRPr="009E2365" w:rsidRDefault="009625D5" w:rsidP="0038127F">
      <w:pPr>
        <w:spacing w:after="0" w:line="240" w:lineRule="auto"/>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b/>
          <w:sz w:val="16"/>
          <w:szCs w:val="16"/>
        </w:rPr>
        <w:t>Vulnerable groups</w:t>
      </w:r>
      <w:r w:rsidRPr="009E2365">
        <w:rPr>
          <w:rFonts w:cstheme="minorHAnsi"/>
          <w:sz w:val="16"/>
          <w:szCs w:val="16"/>
        </w:rPr>
        <w:t xml:space="preserve">: Households below the BiH poverty line (17% 2015), and those headed by women and younger people, victims of domestic violence and war-time victims of rape, disadvantaged children and young people, people with disabilities, unemployed persons, the Roma, LGBTI, migrants, internally displaced persons (IDPs), minority returnees, refugees and asylum seekers, persons at risk of statelessness, victims of human trafficking, and groups of people at risk from climate change and natural disasters. There are other vulnerable groups in BiH that are not the primary focus of UN system cooperation: Elderly isolated persons, alcohol and drug addicts, prisoners and former prisoners, persons living with HIV and AIDS. </w:t>
      </w:r>
    </w:p>
  </w:footnote>
  <w:footnote w:id="23">
    <w:p w14:paraId="2C7839E9" w14:textId="29B019CE" w:rsidR="009625D5" w:rsidRPr="009E2365" w:rsidRDefault="009625D5" w:rsidP="00CF5CA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i/>
          <w:sz w:val="16"/>
          <w:szCs w:val="16"/>
        </w:rPr>
        <w:t>‘…stem the persisting brain drain and allow youth and women to unleash their full potential’</w:t>
      </w:r>
      <w:r w:rsidRPr="009E2365">
        <w:rPr>
          <w:rFonts w:cstheme="minorHAnsi"/>
          <w:sz w:val="16"/>
          <w:szCs w:val="16"/>
        </w:rPr>
        <w:t xml:space="preserve"> Reform Agenda, ibid.,1.’</w:t>
      </w:r>
    </w:p>
  </w:footnote>
  <w:footnote w:id="24">
    <w:p w14:paraId="4156F1E8" w14:textId="77777777" w:rsidR="009625D5" w:rsidRPr="009E2365" w:rsidRDefault="009625D5" w:rsidP="00CF5CA4">
      <w:pPr>
        <w:spacing w:after="0" w:line="240" w:lineRule="auto"/>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 Novovic and D. Babic, 2015-2020 United Nations Development Assistance Framework for Bosnia and Herzegovina:</w:t>
      </w:r>
    </w:p>
    <w:p w14:paraId="3F8B2B0C" w14:textId="77777777" w:rsidR="009625D5" w:rsidRPr="0069604A" w:rsidRDefault="009625D5" w:rsidP="00CF5CA4">
      <w:pPr>
        <w:spacing w:after="0" w:line="240" w:lineRule="auto"/>
        <w:ind w:right="-136"/>
        <w:rPr>
          <w:rFonts w:cstheme="minorHAnsi"/>
          <w:sz w:val="16"/>
          <w:szCs w:val="16"/>
          <w:lang w:val="en-GB"/>
        </w:rPr>
      </w:pPr>
      <w:r w:rsidRPr="009E2365">
        <w:rPr>
          <w:rFonts w:cstheme="minorHAnsi"/>
          <w:sz w:val="16"/>
          <w:szCs w:val="16"/>
        </w:rPr>
        <w:t xml:space="preserve">Final </w:t>
      </w:r>
      <w:r w:rsidRPr="009E2365">
        <w:rPr>
          <w:rFonts w:cstheme="minorHAnsi"/>
          <w:b/>
          <w:sz w:val="16"/>
          <w:szCs w:val="16"/>
        </w:rPr>
        <w:t>UNDAF Evaluation</w:t>
      </w:r>
      <w:r w:rsidRPr="009E2365">
        <w:rPr>
          <w:rFonts w:cstheme="minorHAnsi"/>
          <w:sz w:val="16"/>
          <w:szCs w:val="16"/>
        </w:rPr>
        <w:t xml:space="preserve">, May 2019. Major recommendations addressed by the new CF: Fewer, more focused outcomes; Intensification of normative work to bring international standards more fully into programming; Mainstreaming of gender-specific strategies, results (outputs) and </w:t>
      </w:r>
      <w:r w:rsidRPr="0069604A">
        <w:rPr>
          <w:rFonts w:cstheme="minorHAnsi"/>
          <w:sz w:val="16"/>
          <w:szCs w:val="16"/>
        </w:rPr>
        <w:t xml:space="preserve">indicators across all outcomes; Increased focus on young people and migrants; Expanded partnerships  at local levels with CSOs and community groups; and Strengthened function of the Joint Steering Committee in terms of mutual oversight, commitment and accountability. </w:t>
      </w:r>
    </w:p>
  </w:footnote>
  <w:footnote w:id="25">
    <w:p w14:paraId="62A96D4D" w14:textId="26A4D2B5" w:rsidR="009625D5" w:rsidRPr="009E2365" w:rsidRDefault="009625D5">
      <w:pPr>
        <w:pStyle w:val="FootnoteText"/>
        <w:rPr>
          <w:rFonts w:cstheme="minorHAnsi"/>
          <w:sz w:val="16"/>
          <w:szCs w:val="16"/>
          <w:lang w:val="en-US"/>
        </w:rPr>
      </w:pPr>
      <w:r w:rsidRPr="0069604A">
        <w:rPr>
          <w:rStyle w:val="FootnoteReference"/>
          <w:rFonts w:cstheme="minorHAnsi"/>
          <w:sz w:val="16"/>
          <w:szCs w:val="16"/>
        </w:rPr>
        <w:footnoteRef/>
      </w:r>
      <w:r w:rsidRPr="0069604A">
        <w:rPr>
          <w:rFonts w:cstheme="minorHAnsi"/>
          <w:sz w:val="16"/>
          <w:szCs w:val="16"/>
        </w:rPr>
        <w:t xml:space="preserve"> </w:t>
      </w:r>
      <w:r w:rsidRPr="0069604A">
        <w:rPr>
          <w:rFonts w:cstheme="minorHAnsi"/>
          <w:spacing w:val="-4"/>
          <w:sz w:val="16"/>
          <w:szCs w:val="16"/>
        </w:rPr>
        <w:t xml:space="preserve">2013 Population Census in Bosnia and Herzegovina. The results have been disputed by the Republika Srpska Government. </w:t>
      </w:r>
    </w:p>
  </w:footnote>
  <w:footnote w:id="26">
    <w:p w14:paraId="58FF3610" w14:textId="77777777" w:rsidR="009625D5" w:rsidRPr="009E2365" w:rsidRDefault="009625D5" w:rsidP="007649EE">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 General Framework Agreement for Peace in Bosnia and Herzegovina- Initialled in Dayton on 21 November 1995 and signed in Paris on 14 December 1995, https://www.osce.org/bih/126173?download=true  </w:t>
      </w:r>
    </w:p>
  </w:footnote>
  <w:footnote w:id="27">
    <w:p w14:paraId="003F1EBD" w14:textId="083B437C" w:rsidR="009625D5" w:rsidRPr="009E2365" w:rsidRDefault="009625D5" w:rsidP="007649E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this CF, social cohesion is understood as the willingness of members of a society to cooperate with each other in order to survive and prosper.</w:t>
      </w:r>
    </w:p>
  </w:footnote>
  <w:footnote w:id="28">
    <w:p w14:paraId="51C9E152" w14:textId="77777777" w:rsidR="009625D5" w:rsidRPr="009E2365" w:rsidRDefault="009625D5" w:rsidP="007649EE">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 </w:t>
      </w:r>
      <w:r w:rsidRPr="009E2365">
        <w:rPr>
          <w:rFonts w:cstheme="minorHAnsi"/>
          <w:sz w:val="16"/>
          <w:szCs w:val="16"/>
          <w:lang w:val="en-GB"/>
        </w:rPr>
        <w:t>EU Stabilisation and Association Agreement (SAA) and candidacy for EU accessions as agreed in 2015. BiH submitted its application for EU membership in 2016.</w:t>
      </w:r>
    </w:p>
  </w:footnote>
  <w:footnote w:id="29">
    <w:p w14:paraId="48D5FB01" w14:textId="77777777" w:rsidR="009625D5" w:rsidRPr="009E2365" w:rsidRDefault="009625D5" w:rsidP="007649EE">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In its recent opinion on EU accession the EC notes the need for greater compliance with the </w:t>
      </w:r>
      <w:r w:rsidRPr="009E2365">
        <w:rPr>
          <w:rFonts w:cstheme="minorHAnsi"/>
          <w:sz w:val="16"/>
          <w:szCs w:val="16"/>
          <w:lang w:val="en-US"/>
        </w:rPr>
        <w:t>Copenhagen political criteria requiring the stability of institutions and guarantees for democracy and the rule of law.</w:t>
      </w:r>
      <w:r w:rsidRPr="009E2365">
        <w:rPr>
          <w:rFonts w:cstheme="minorHAnsi"/>
          <w:sz w:val="16"/>
          <w:szCs w:val="16"/>
          <w:lang w:val="en-GB"/>
        </w:rPr>
        <w:t xml:space="preserve"> EC,</w:t>
      </w:r>
      <w:r w:rsidRPr="009E2365">
        <w:rPr>
          <w:rFonts w:cstheme="minorHAnsi"/>
          <w:sz w:val="16"/>
          <w:szCs w:val="16"/>
        </w:rPr>
        <w:t xml:space="preserve"> </w:t>
      </w:r>
      <w:hyperlink r:id="rId8" w:history="1">
        <w:r w:rsidRPr="009E2365">
          <w:rPr>
            <w:rStyle w:val="Hyperlink"/>
            <w:rFonts w:cstheme="minorHAnsi"/>
            <w:sz w:val="16"/>
            <w:szCs w:val="16"/>
          </w:rPr>
          <w:t>Commission Opinion on Bosnia and Herzegovina’s application for membership of the European Union</w:t>
        </w:r>
      </w:hyperlink>
      <w:r w:rsidRPr="009E2365">
        <w:rPr>
          <w:rFonts w:cstheme="minorHAnsi"/>
          <w:sz w:val="16"/>
          <w:szCs w:val="16"/>
        </w:rPr>
        <w:t>, Brussels, 29 May 2019, 14.</w:t>
      </w:r>
    </w:p>
  </w:footnote>
  <w:footnote w:id="30">
    <w:p w14:paraId="0021369B" w14:textId="77777777" w:rsidR="009625D5" w:rsidRPr="009E2365" w:rsidRDefault="009625D5" w:rsidP="0037647A">
      <w:pPr>
        <w:pStyle w:val="FootnoteText"/>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US"/>
        </w:rPr>
        <w:t xml:space="preserve">BiH Ministry of Security, Migration Profile of BiH, 2018. </w:t>
      </w:r>
    </w:p>
  </w:footnote>
  <w:footnote w:id="31">
    <w:p w14:paraId="15387E00" w14:textId="77777777" w:rsidR="009625D5" w:rsidRPr="009E2365" w:rsidRDefault="009625D5" w:rsidP="0037647A">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more information on the methodology underpinning the UNDESA figures, see </w:t>
      </w:r>
      <w:r w:rsidRPr="009E2365">
        <w:rPr>
          <w:rFonts w:cstheme="minorHAnsi"/>
          <w:i/>
          <w:iCs/>
          <w:sz w:val="16"/>
          <w:szCs w:val="16"/>
        </w:rPr>
        <w:t>Trends in International Migrant Stock: The 2017 Revision</w:t>
      </w:r>
      <w:r w:rsidRPr="009E2365">
        <w:rPr>
          <w:rFonts w:cstheme="minorHAnsi"/>
          <w:sz w:val="16"/>
          <w:szCs w:val="16"/>
        </w:rPr>
        <w:t>.</w:t>
      </w:r>
    </w:p>
  </w:footnote>
  <w:footnote w:id="32">
    <w:p w14:paraId="3346877D" w14:textId="77777777" w:rsidR="009625D5" w:rsidRPr="0069604A" w:rsidRDefault="009625D5" w:rsidP="0037647A">
      <w:pPr>
        <w:pStyle w:val="FootnoteText"/>
        <w:ind w:right="-136"/>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UNDESA population projections in SDG Framework in BiH., ibid, 7. </w:t>
      </w:r>
    </w:p>
  </w:footnote>
  <w:footnote w:id="33">
    <w:p w14:paraId="17FE7AEB" w14:textId="36507702" w:rsidR="009625D5" w:rsidRPr="0069604A" w:rsidRDefault="009625D5" w:rsidP="007649EE">
      <w:pPr>
        <w:pStyle w:val="FootnoteText"/>
        <w:rPr>
          <w:rFonts w:cstheme="minorHAnsi"/>
          <w:sz w:val="16"/>
          <w:szCs w:val="16"/>
          <w:lang w:val="en-US"/>
        </w:rPr>
      </w:pPr>
      <w:r w:rsidRPr="0069604A">
        <w:rPr>
          <w:rStyle w:val="FootnoteReference"/>
          <w:rFonts w:cstheme="minorHAnsi"/>
          <w:sz w:val="16"/>
          <w:szCs w:val="16"/>
        </w:rPr>
        <w:footnoteRef/>
      </w:r>
      <w:r w:rsidRPr="0069604A">
        <w:rPr>
          <w:rFonts w:cstheme="minorHAnsi"/>
          <w:sz w:val="16"/>
          <w:szCs w:val="16"/>
        </w:rPr>
        <w:t xml:space="preserve"> In accordance with articles 2 and 50 ICCPR and general comment No. 31 (2004) on the nature of the general legal obligation imposed on States parties to the Covenant.</w:t>
      </w:r>
    </w:p>
  </w:footnote>
  <w:footnote w:id="34">
    <w:p w14:paraId="6D213FD3" w14:textId="77777777" w:rsidR="009625D5" w:rsidRPr="0069604A" w:rsidRDefault="009625D5" w:rsidP="007649EE">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(1) IMF, World Economic Report: The Great Lockdown, April 2020, 6-7; (2) UN, Shared Responsibility, Global Solidarity: Responding to the socio-economic impacts of COVID-19, Report of the Secretary General, March 2020.  </w:t>
      </w:r>
    </w:p>
  </w:footnote>
  <w:footnote w:id="35">
    <w:p w14:paraId="0E6507BF" w14:textId="0D2050A4" w:rsidR="009625D5" w:rsidRPr="0069604A" w:rsidRDefault="009625D5" w:rsidP="007649EE">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(1) WHO, </w:t>
      </w:r>
      <w:hyperlink r:id="rId9" w:anchor="/ead3c6475654481ca51c248d52ab9c61" w:history="1">
        <w:r w:rsidRPr="0069604A">
          <w:rPr>
            <w:rStyle w:val="Hyperlink"/>
            <w:rFonts w:cstheme="minorHAnsi"/>
            <w:sz w:val="16"/>
            <w:szCs w:val="16"/>
          </w:rPr>
          <w:t>Dashboard-COVID-19 situation in the WHO European Region</w:t>
        </w:r>
      </w:hyperlink>
      <w:r w:rsidRPr="0069604A">
        <w:rPr>
          <w:rFonts w:cstheme="minorHAnsi"/>
          <w:sz w:val="16"/>
          <w:szCs w:val="16"/>
        </w:rPr>
        <w:t>, dld 27 April 2020; (2) UN in BiH, SITUATION REPORT #12, 24 April, 2020.</w:t>
      </w:r>
    </w:p>
  </w:footnote>
  <w:footnote w:id="36">
    <w:p w14:paraId="54E6E6D1" w14:textId="73BAB877" w:rsidR="009625D5" w:rsidRPr="009E2365" w:rsidRDefault="009625D5" w:rsidP="007649EE">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(1) UN in BiH, SITUATION REPORT #12, 24 April, 2020; (2) Karanovic &amp; Partners, </w:t>
      </w:r>
      <w:hyperlink r:id="rId10" w:history="1">
        <w:r w:rsidRPr="0069604A">
          <w:rPr>
            <w:rStyle w:val="Hyperlink"/>
            <w:rFonts w:cstheme="minorHAnsi"/>
            <w:sz w:val="16"/>
            <w:szCs w:val="16"/>
          </w:rPr>
          <w:t>Draft Laws on Mitigating the Negative Economic Consequences presented in Bosnia and Herzegovina</w:t>
        </w:r>
      </w:hyperlink>
      <w:r w:rsidRPr="0069604A">
        <w:rPr>
          <w:rFonts w:cstheme="minorHAnsi"/>
          <w:sz w:val="16"/>
          <w:szCs w:val="16"/>
        </w:rPr>
        <w:t>, 20 April, 2020.</w:t>
      </w:r>
    </w:p>
  </w:footnote>
  <w:footnote w:id="37">
    <w:p w14:paraId="2CAB187C" w14:textId="114EB818" w:rsidR="009625D5" w:rsidRPr="009E2365" w:rsidRDefault="009625D5" w:rsidP="007649EE">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(1) World Bank, </w:t>
      </w:r>
      <w:hyperlink r:id="rId11" w:history="1">
        <w:r w:rsidRPr="009E2365">
          <w:rPr>
            <w:rStyle w:val="Hyperlink"/>
            <w:rFonts w:cstheme="minorHAnsi"/>
            <w:sz w:val="16"/>
            <w:szCs w:val="16"/>
          </w:rPr>
          <w:t>GDP data</w:t>
        </w:r>
      </w:hyperlink>
      <w:r w:rsidRPr="009E2365">
        <w:rPr>
          <w:rFonts w:cstheme="minorHAnsi"/>
          <w:sz w:val="16"/>
          <w:szCs w:val="16"/>
        </w:rPr>
        <w:t>, dld February 2020. (2) EIU, Country Report for Bosnia Herzegovina, Sept 2019. Per-capita GDP levels in BiH were still projected to be less than 15% of EU averages by 2024. SDG Framework in BiH, ibid., 12.</w:t>
      </w:r>
    </w:p>
  </w:footnote>
  <w:footnote w:id="38">
    <w:p w14:paraId="25950CDB" w14:textId="6BE2FB11" w:rsidR="009625D5" w:rsidRPr="009E2365" w:rsidRDefault="009625D5" w:rsidP="0037647A">
      <w:pPr>
        <w:pStyle w:val="FootnoteText"/>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The European Bank for Reconstruction and Development reports that the COVID-19 crisis will slow economic growth in Bosnia and Herzegovina and the region. The projected GDP for Bosnia and Herzegovina in 2020 is -3.9%. EBRD, </w:t>
      </w:r>
      <w:hyperlink r:id="rId12" w:history="1">
        <w:r w:rsidRPr="009E2365">
          <w:rPr>
            <w:rStyle w:val="Hyperlink"/>
            <w:rFonts w:cstheme="minorHAnsi"/>
            <w:sz w:val="16"/>
            <w:szCs w:val="16"/>
          </w:rPr>
          <w:t>Regional Economic Prospects, Covid-19: From Shock to Recovery</w:t>
        </w:r>
      </w:hyperlink>
      <w:r w:rsidRPr="009E2365">
        <w:rPr>
          <w:rFonts w:cstheme="minorHAnsi"/>
          <w:sz w:val="16"/>
          <w:szCs w:val="16"/>
        </w:rPr>
        <w:t>, April 2020.</w:t>
      </w:r>
    </w:p>
  </w:footnote>
  <w:footnote w:id="39">
    <w:p w14:paraId="3E199B07" w14:textId="77777777" w:rsidR="009625D5" w:rsidRPr="009E2365" w:rsidRDefault="009625D5">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UNDP, HD data explorer http://hdr.undp.org/en/countries/profiles/BIH. The Gini score of 32.7 is higher than in Serbia (28.5) and Albania (29.0), similar to Montenegro (31.9), and lower than in Macedonia (35.6).  </w:t>
      </w:r>
    </w:p>
  </w:footnote>
  <w:footnote w:id="40">
    <w:p w14:paraId="4B65FE56" w14:textId="59ABEFCA" w:rsidR="009625D5" w:rsidRPr="009E2365" w:rsidRDefault="009625D5">
      <w:pPr>
        <w:spacing w:after="0" w:line="240" w:lineRule="auto"/>
        <w:ind w:right="-136"/>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T. Novovic and D. Babic, 2015-2020 United Nations Development Assistance Framework for Bosnia and Herzegovina: Final </w:t>
      </w:r>
      <w:r w:rsidRPr="009E2365">
        <w:rPr>
          <w:rFonts w:cstheme="minorHAnsi"/>
          <w:b/>
          <w:sz w:val="16"/>
          <w:szCs w:val="16"/>
        </w:rPr>
        <w:t>UNDAF Evaluation</w:t>
      </w:r>
      <w:r w:rsidRPr="009E2365">
        <w:rPr>
          <w:rFonts w:cstheme="minorHAnsi"/>
          <w:sz w:val="16"/>
          <w:szCs w:val="16"/>
        </w:rPr>
        <w:t>, May 2019. 16. Data from Directorate for Economic Planning. See: https://data.worldbank.org/indicator/SI.POV.NAHC?locations=BA. Poverty was higher among older population (65+) and children (age 0-14 years), as their respective poverty rates were 19.6% and 18.7%. Poverty rates were higher among households with unemployed head of household. Poverty rates are higher for rural areas (20.5%) than for urban (11.3%)</w:t>
      </w:r>
    </w:p>
  </w:footnote>
  <w:footnote w:id="41">
    <w:p w14:paraId="22DB0E9F" w14:textId="77777777" w:rsidR="009625D5" w:rsidRPr="009E2365" w:rsidRDefault="009625D5">
      <w:pPr>
        <w:pStyle w:val="NoSpacing"/>
        <w:ind w:right="-136"/>
        <w:rPr>
          <w:rFonts w:cstheme="minorHAnsi"/>
          <w:sz w:val="16"/>
          <w:szCs w:val="16"/>
          <w:lang w:val="en-GB"/>
        </w:rPr>
      </w:pPr>
      <w:r w:rsidRPr="009E2365">
        <w:rPr>
          <w:rStyle w:val="FootnoteReference"/>
          <w:rFonts w:cstheme="minorHAnsi"/>
          <w:sz w:val="16"/>
          <w:szCs w:val="16"/>
          <w:lang w:val="en-GB"/>
        </w:rPr>
        <w:footnoteRef/>
      </w:r>
      <w:r w:rsidRPr="009E2365">
        <w:rPr>
          <w:rFonts w:cstheme="minorHAnsi"/>
          <w:sz w:val="16"/>
          <w:szCs w:val="16"/>
          <w:lang w:val="en-GB"/>
        </w:rPr>
        <w:t xml:space="preserve"> </w:t>
      </w:r>
      <w:r w:rsidRPr="009E2365">
        <w:rPr>
          <w:rFonts w:cstheme="minorHAnsi"/>
          <w:sz w:val="16"/>
          <w:szCs w:val="16"/>
        </w:rPr>
        <w:t>SDG Framework in BiH., ibid 13</w:t>
      </w:r>
      <w:r w:rsidRPr="009E2365">
        <w:rPr>
          <w:rFonts w:cstheme="minorHAnsi"/>
          <w:sz w:val="16"/>
          <w:szCs w:val="16"/>
          <w:lang w:val="en-GB"/>
        </w:rPr>
        <w:t xml:space="preserve">. </w:t>
      </w:r>
    </w:p>
  </w:footnote>
  <w:footnote w:id="42">
    <w:p w14:paraId="48CCBA62" w14:textId="43862F5C" w:rsidR="009625D5" w:rsidRPr="009E2365" w:rsidRDefault="009625D5">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hyperlink r:id="rId13" w:history="1">
        <w:r w:rsidRPr="009E2365">
          <w:rPr>
            <w:rStyle w:val="Hyperlink"/>
            <w:rFonts w:cstheme="minorHAnsi"/>
            <w:sz w:val="16"/>
            <w:szCs w:val="16"/>
          </w:rPr>
          <w:t>ILO Stat</w:t>
        </w:r>
      </w:hyperlink>
      <w:r w:rsidRPr="009E2365">
        <w:rPr>
          <w:rFonts w:cstheme="minorHAnsi"/>
          <w:sz w:val="16"/>
          <w:szCs w:val="16"/>
        </w:rPr>
        <w:t xml:space="preserve"> (modelled estimates), dld February 2020. </w:t>
      </w:r>
    </w:p>
  </w:footnote>
  <w:footnote w:id="43">
    <w:p w14:paraId="71172C86" w14:textId="63DAC069" w:rsidR="009625D5" w:rsidRPr="009E2365" w:rsidRDefault="009625D5">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Women, Gender Brief-Bosnia and Herzegovina, October 2019 (DRAFT); UNDAF Evaluation, ibid., 17; SDG Framework in BiH., ibid 17-18.</w:t>
      </w:r>
    </w:p>
  </w:footnote>
  <w:footnote w:id="44">
    <w:p w14:paraId="6C62B36F" w14:textId="77777777" w:rsidR="009625D5" w:rsidRPr="009E2365" w:rsidRDefault="009625D5" w:rsidP="00B40FE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GB"/>
        </w:rPr>
        <w:t>EC,</w:t>
      </w:r>
      <w:r w:rsidRPr="009E2365">
        <w:rPr>
          <w:rFonts w:cstheme="minorHAnsi"/>
          <w:sz w:val="16"/>
          <w:szCs w:val="16"/>
        </w:rPr>
        <w:t xml:space="preserve"> </w:t>
      </w:r>
      <w:hyperlink r:id="rId14" w:history="1">
        <w:r w:rsidRPr="009E2365">
          <w:rPr>
            <w:rStyle w:val="Hyperlink"/>
            <w:rFonts w:cstheme="minorHAnsi"/>
            <w:sz w:val="16"/>
            <w:szCs w:val="16"/>
          </w:rPr>
          <w:t>Commission Opinion on Bosnia and Herzegovina’s application for membership of the European Union</w:t>
        </w:r>
      </w:hyperlink>
      <w:r w:rsidRPr="009E2365">
        <w:rPr>
          <w:rFonts w:cstheme="minorHAnsi"/>
          <w:sz w:val="16"/>
          <w:szCs w:val="16"/>
        </w:rPr>
        <w:t>, Brussels, 29 May 2019</w:t>
      </w:r>
    </w:p>
  </w:footnote>
  <w:footnote w:id="45">
    <w:p w14:paraId="500621ED" w14:textId="6C4B8490" w:rsidR="009625D5" w:rsidRPr="009E2365" w:rsidRDefault="009625D5" w:rsidP="00B40FE4">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for the Period 2019-2022, BiH authorities, October 2019.</w:t>
      </w:r>
    </w:p>
  </w:footnote>
  <w:footnote w:id="46">
    <w:p w14:paraId="73313AC7" w14:textId="77777777" w:rsidR="009625D5" w:rsidRPr="009E2365" w:rsidRDefault="009625D5" w:rsidP="003C35BB">
      <w:pPr>
        <w:pStyle w:val="FootnoteText"/>
        <w:ind w:right="-138"/>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EC Opinion, ibid., 13.  </w:t>
      </w:r>
    </w:p>
  </w:footnote>
  <w:footnote w:id="47">
    <w:p w14:paraId="42A8D0DD" w14:textId="77777777" w:rsidR="009625D5" w:rsidRPr="009E2365" w:rsidRDefault="009625D5" w:rsidP="0073401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Sustainable Development Goals Framework in BiH, June 2019 (DRAFT).</w:t>
      </w:r>
    </w:p>
  </w:footnote>
  <w:footnote w:id="48">
    <w:p w14:paraId="61618FC4" w14:textId="5A146E69" w:rsidR="009625D5" w:rsidRPr="009E2365" w:rsidRDefault="009625D5" w:rsidP="0073401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system-wide commitment to strengthen its support for trust-building and dialogue in the region, as agreed by UN leadership in 2019 </w:t>
      </w:r>
    </w:p>
  </w:footnote>
  <w:footnote w:id="49">
    <w:p w14:paraId="76D5381A" w14:textId="3604E035" w:rsidR="009625D5" w:rsidRPr="009E2365" w:rsidRDefault="009625D5" w:rsidP="0091475D">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UNDP, Human Development Indicators: </w:t>
      </w:r>
      <w:hyperlink r:id="rId15" w:history="1">
        <w:r w:rsidRPr="009E2365">
          <w:rPr>
            <w:rStyle w:val="Hyperlink"/>
            <w:rFonts w:cstheme="minorHAnsi"/>
            <w:sz w:val="16"/>
            <w:szCs w:val="16"/>
          </w:rPr>
          <w:t>Bosnia and Herzegovina, 2019</w:t>
        </w:r>
      </w:hyperlink>
      <w:r w:rsidRPr="009E2365">
        <w:rPr>
          <w:rFonts w:cstheme="minorHAnsi"/>
          <w:sz w:val="16"/>
          <w:szCs w:val="16"/>
        </w:rPr>
        <w:t>. Between 2000 and 2018, Bosnia and Herzegovina’s HDI value increased by 15%. The BiH HDI of 0.769 is above the average of 0.75 for countries in the high human development group and below the average of 0.779 for countries in Europe and Central Asia.. Discounted for inequality, the HDI falls  falls to 0.658, a loss of 14% due to inequality in the distribution of the HDI dimension indices. This is below the average loss due to inequality for high HDI countries of 18% but higher than the average for Europe and Central Asia at 12%.</w:t>
      </w:r>
    </w:p>
  </w:footnote>
  <w:footnote w:id="50">
    <w:p w14:paraId="1DFD0058" w14:textId="368874D2" w:rsidR="009625D5" w:rsidRPr="009E2365" w:rsidRDefault="009625D5">
      <w:pPr>
        <w:pStyle w:val="FootnoteText"/>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Commission Opinion on Bosnia and Herzegovina’s application for membership of the European Union (29 May 2019).</w:t>
      </w:r>
    </w:p>
  </w:footnote>
  <w:footnote w:id="51">
    <w:p w14:paraId="7235D8FB" w14:textId="77777777" w:rsidR="009625D5" w:rsidRPr="009E2365" w:rsidRDefault="009625D5" w:rsidP="0091475D">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Sustainable Development Report 2019, Sachs, J. et al., 2019. </w:t>
      </w:r>
      <w:hyperlink r:id="rId16" w:history="1">
        <w:r w:rsidRPr="009E2365">
          <w:rPr>
            <w:rStyle w:val="Hyperlink"/>
            <w:rFonts w:cstheme="minorHAnsi"/>
            <w:sz w:val="16"/>
            <w:szCs w:val="16"/>
          </w:rPr>
          <w:t>BiH Country Profile, 2019</w:t>
        </w:r>
      </w:hyperlink>
      <w:r w:rsidRPr="009E2365">
        <w:rPr>
          <w:rFonts w:cstheme="minorHAnsi"/>
          <w:sz w:val="16"/>
          <w:szCs w:val="16"/>
        </w:rPr>
        <w:t>.</w:t>
      </w:r>
    </w:p>
  </w:footnote>
  <w:footnote w:id="52">
    <w:p w14:paraId="16D20069" w14:textId="77777777" w:rsidR="009625D5" w:rsidRPr="009E2365" w:rsidRDefault="009625D5" w:rsidP="00D045C0">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(1) The BiH Voluntary Review (VR), April 2019; (2) Sustainable Development Goals Framework in BiH (</w:t>
      </w:r>
      <w:r w:rsidRPr="009E2365">
        <w:rPr>
          <w:rFonts w:cstheme="minorHAnsi"/>
          <w:b/>
          <w:sz w:val="16"/>
          <w:szCs w:val="16"/>
        </w:rPr>
        <w:t>SDG Framework</w:t>
      </w:r>
      <w:r w:rsidRPr="009E2365">
        <w:rPr>
          <w:rFonts w:cstheme="minorHAnsi"/>
          <w:sz w:val="16"/>
          <w:szCs w:val="16"/>
        </w:rPr>
        <w:t>), Working Draft, June 2019; (3) UN Common Country Analysis for BiH, UN, 2019 (draft).</w:t>
      </w:r>
    </w:p>
  </w:footnote>
  <w:footnote w:id="53">
    <w:p w14:paraId="11666CED" w14:textId="77777777" w:rsidR="009625D5" w:rsidRPr="009E2365" w:rsidRDefault="009625D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Common Country Analysis for BiH, UN, 2019 (draft). These gaps and challenges were identified from the </w:t>
      </w:r>
      <w:hyperlink r:id="rId17" w:history="1">
        <w:r w:rsidRPr="009E2365">
          <w:rPr>
            <w:rStyle w:val="Hyperlink"/>
            <w:rFonts w:cstheme="minorHAnsi"/>
            <w:sz w:val="16"/>
            <w:szCs w:val="16"/>
            <w:lang w:val="en-GB"/>
          </w:rPr>
          <w:t>Zamisli 2030</w:t>
        </w:r>
      </w:hyperlink>
      <w:r w:rsidRPr="009E2365">
        <w:rPr>
          <w:rFonts w:cstheme="minorHAnsi"/>
          <w:sz w:val="16"/>
          <w:szCs w:val="16"/>
          <w:lang w:val="en-GB"/>
        </w:rPr>
        <w:t xml:space="preserve"> (</w:t>
      </w:r>
      <w:r w:rsidRPr="009E2365">
        <w:rPr>
          <w:rFonts w:cstheme="minorHAnsi"/>
          <w:i/>
          <w:sz w:val="16"/>
          <w:szCs w:val="16"/>
          <w:lang w:val="en-GB"/>
        </w:rPr>
        <w:t>Imagine 2030</w:t>
      </w:r>
      <w:r w:rsidRPr="009E2365">
        <w:rPr>
          <w:rFonts w:cstheme="minorHAnsi"/>
          <w:sz w:val="16"/>
          <w:szCs w:val="16"/>
          <w:lang w:val="en-GB"/>
        </w:rPr>
        <w:t xml:space="preserve">) public consultations, supported by the UN system, on the SDGs and the future of BiH. The   consultations were </w:t>
      </w:r>
      <w:r w:rsidRPr="009E2365">
        <w:rPr>
          <w:rFonts w:cstheme="minorHAnsi"/>
          <w:sz w:val="16"/>
          <w:szCs w:val="16"/>
        </w:rPr>
        <w:t>initiated in April 2017 and expanded in May 2018 and June 2019.</w:t>
      </w:r>
    </w:p>
  </w:footnote>
  <w:footnote w:id="54">
    <w:p w14:paraId="69F6C682" w14:textId="7E05B8DC" w:rsidR="009625D5" w:rsidRPr="009E2365" w:rsidRDefault="009625D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GB"/>
        </w:rPr>
        <w:t xml:space="preserve">The </w:t>
      </w:r>
      <w:r w:rsidRPr="009E2365">
        <w:rPr>
          <w:rFonts w:cstheme="minorHAnsi"/>
          <w:sz w:val="16"/>
          <w:szCs w:val="16"/>
        </w:rPr>
        <w:t>Reform Agenda states: the key challenge for the health systems in BiH is ‘</w:t>
      </w:r>
      <w:r w:rsidRPr="009E2365">
        <w:rPr>
          <w:rFonts w:cstheme="minorHAnsi"/>
          <w:i/>
          <w:sz w:val="16"/>
          <w:szCs w:val="16"/>
        </w:rPr>
        <w:t>to improve accessibility, quality, efficiency and sustainability for all citizens, in the context of a declining and ageing population, a highly fragmented system of insurance and service delivery, poor financial management and an exodus of health care workers</w:t>
      </w:r>
      <w:r w:rsidRPr="009E2365">
        <w:rPr>
          <w:rFonts w:cstheme="minorHAnsi"/>
          <w:sz w:val="16"/>
          <w:szCs w:val="16"/>
        </w:rPr>
        <w:t xml:space="preserve">’. </w:t>
      </w:r>
    </w:p>
  </w:footnote>
  <w:footnote w:id="55">
    <w:p w14:paraId="730F344E" w14:textId="6CBAB736" w:rsidR="009625D5" w:rsidRPr="0069604A" w:rsidRDefault="009625D5" w:rsidP="000E3246">
      <w:pPr>
        <w:pStyle w:val="FootnoteText"/>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RCC2018 risk assessment. BiH is one of the three countries in the region certified as high-risk for polio. Bottlenecks include weak and insufficiently funded programme management and health promotion, strong anti-vaccine movements in the region, lack of demand and the lack of targeted interventions for Roma. The coverage for certain vaccines such as MMR is continuously decreasing (MCV1 in 2013 was 92% while in in 2017 fell to 69%). 1/3 of districts in the country report coverage of DTP3 vaccine at less than 80% which is far from the required 95% coverage. Procurement of the vaccines </w:t>
      </w:r>
      <w:r w:rsidRPr="0069604A">
        <w:rPr>
          <w:rFonts w:cstheme="minorHAnsi"/>
          <w:sz w:val="16"/>
          <w:szCs w:val="16"/>
        </w:rPr>
        <w:t>does not take place in a harmonized manner across the authorities in BiH, which decreases the opportunities of the country for price negotiations or delivery times.</w:t>
      </w:r>
    </w:p>
  </w:footnote>
  <w:footnote w:id="56">
    <w:p w14:paraId="29568C5F" w14:textId="77777777" w:rsidR="009625D5" w:rsidRPr="0069604A" w:rsidRDefault="009625D5" w:rsidP="000E3246">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WHO, </w:t>
      </w:r>
      <w:hyperlink r:id="rId18" w:history="1">
        <w:r w:rsidRPr="0069604A">
          <w:rPr>
            <w:rStyle w:val="Hyperlink"/>
            <w:rFonts w:cstheme="minorHAnsi"/>
            <w:sz w:val="16"/>
            <w:szCs w:val="16"/>
          </w:rPr>
          <w:t>BiH-Non-communicable diseases country profile 2018</w:t>
        </w:r>
      </w:hyperlink>
      <w:r w:rsidRPr="0069604A">
        <w:rPr>
          <w:rFonts w:cstheme="minorHAnsi"/>
          <w:sz w:val="16"/>
          <w:szCs w:val="16"/>
        </w:rPr>
        <w:t>, dld Oct 2019.</w:t>
      </w:r>
    </w:p>
  </w:footnote>
  <w:footnote w:id="57">
    <w:p w14:paraId="7853F1E6" w14:textId="61897C5F" w:rsidR="009625D5" w:rsidRPr="009E2365" w:rsidRDefault="009625D5" w:rsidP="000E3246">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There are at least three separately governed and mutually independent health systems in BiH (FBiH, RS, BDBIH), with further devolution of the FBiH system into 10 independently governed cantonal health systems.. The insufficient level of harmonization between the health care</w:t>
      </w:r>
      <w:r w:rsidRPr="009E2365">
        <w:rPr>
          <w:rFonts w:cstheme="minorHAnsi"/>
          <w:sz w:val="16"/>
          <w:szCs w:val="16"/>
        </w:rPr>
        <w:t xml:space="preserve"> systems also constitutes an obstacle to free movement and leads to differences in equity and access to health services. This results in a structural difference in the exercise of the right to health care for all, depending on their place of </w:t>
      </w:r>
      <w:r w:rsidRPr="0069604A">
        <w:rPr>
          <w:rFonts w:cstheme="minorHAnsi"/>
          <w:sz w:val="16"/>
          <w:szCs w:val="16"/>
        </w:rPr>
        <w:t xml:space="preserve">residence. </w:t>
      </w:r>
    </w:p>
  </w:footnote>
  <w:footnote w:id="58">
    <w:p w14:paraId="4773F925" w14:textId="77777777" w:rsidR="009625D5" w:rsidRPr="009E2365" w:rsidRDefault="009625D5" w:rsidP="000E3246">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WHO, </w:t>
      </w:r>
      <w:hyperlink r:id="rId19" w:history="1">
        <w:r w:rsidRPr="009E2365">
          <w:rPr>
            <w:rStyle w:val="Hyperlink"/>
            <w:rFonts w:cstheme="minorHAnsi"/>
            <w:sz w:val="16"/>
            <w:szCs w:val="16"/>
          </w:rPr>
          <w:t>Global health expenditure database</w:t>
        </w:r>
      </w:hyperlink>
      <w:r w:rsidRPr="009E2365">
        <w:rPr>
          <w:rFonts w:cstheme="minorHAnsi"/>
          <w:sz w:val="16"/>
          <w:szCs w:val="16"/>
        </w:rPr>
        <w:t>, dld Nov 2019. Total current health spending (CHE). General government health expenditures (GGHED) were 6.5% of GDP in 2016. These were higher than spending rates in Croatia (CHE: 7.2%; GGHED: 5.6%) and Slovenia (CHE: 8.5%; GGHED: 6.1)</w:t>
      </w:r>
    </w:p>
  </w:footnote>
  <w:footnote w:id="59">
    <w:p w14:paraId="782568C9" w14:textId="150165D4" w:rsidR="009625D5" w:rsidRPr="009E2365" w:rsidRDefault="009625D5" w:rsidP="00C67DB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A</w:t>
      </w:r>
      <w:r w:rsidRPr="009E2365">
        <w:rPr>
          <w:rFonts w:eastAsia="Calibri Light" w:cstheme="minorHAnsi"/>
          <w:sz w:val="16"/>
          <w:szCs w:val="16"/>
        </w:rPr>
        <w:t xml:space="preserve">ir pollution in BiH far </w:t>
      </w:r>
      <w:r w:rsidRPr="009E2365">
        <w:rPr>
          <w:rFonts w:cstheme="minorHAnsi"/>
          <w:sz w:val="16"/>
          <w:szCs w:val="16"/>
        </w:rPr>
        <w:t xml:space="preserve">exceeds WHO and EU standards and causes one of the highest average mortality rates from air pollution in the world. </w:t>
      </w:r>
      <w:r w:rsidRPr="009E2365">
        <w:rPr>
          <w:rFonts w:eastAsia="Calibri Light" w:cstheme="minorHAnsi"/>
          <w:sz w:val="16"/>
          <w:szCs w:val="16"/>
        </w:rPr>
        <w:t xml:space="preserve">According to the WHO, BiH is losing 22% of its GDP (US$ 7,228 million) annually due to air pollution. </w:t>
      </w:r>
      <w:r w:rsidRPr="009E2365">
        <w:rPr>
          <w:rFonts w:cstheme="minorHAnsi"/>
          <w:sz w:val="16"/>
          <w:szCs w:val="16"/>
        </w:rPr>
        <w:t>CCA, ibid., 1</w:t>
      </w:r>
      <w:r w:rsidRPr="009E2365">
        <w:rPr>
          <w:rFonts w:eastAsia="Calibri Light" w:cstheme="minorHAnsi"/>
          <w:sz w:val="16"/>
          <w:szCs w:val="16"/>
        </w:rPr>
        <w:t>7.</w:t>
      </w:r>
    </w:p>
  </w:footnote>
  <w:footnote w:id="60">
    <w:p w14:paraId="4E31EF04" w14:textId="77777777" w:rsidR="009625D5" w:rsidRPr="009E2365" w:rsidRDefault="009625D5" w:rsidP="00C67DB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GB"/>
        </w:rPr>
        <w:t xml:space="preserve">UNDP BiH (2019), </w:t>
      </w:r>
      <w:r w:rsidRPr="009E2365">
        <w:rPr>
          <w:rFonts w:cstheme="minorHAnsi"/>
          <w:i/>
          <w:iCs/>
          <w:sz w:val="16"/>
          <w:szCs w:val="16"/>
          <w:lang w:val="en-GB"/>
        </w:rPr>
        <w:t>In-depth climate change vulnerability assessment</w:t>
      </w:r>
      <w:r w:rsidRPr="009E2365">
        <w:rPr>
          <w:rFonts w:cstheme="minorHAnsi"/>
          <w:sz w:val="16"/>
          <w:szCs w:val="16"/>
        </w:rPr>
        <w:t>.</w:t>
      </w:r>
    </w:p>
  </w:footnote>
  <w:footnote w:id="61">
    <w:p w14:paraId="6CAB3A00" w14:textId="77777777" w:rsidR="009625D5" w:rsidRPr="009E2365" w:rsidRDefault="009625D5" w:rsidP="00C67DB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color w:val="0563C1"/>
          <w:sz w:val="16"/>
          <w:szCs w:val="16"/>
          <w:u w:val="single"/>
          <w:lang w:val="en-GB"/>
        </w:rPr>
        <w:t>The 2019 Inform Global Risk Index.</w:t>
      </w:r>
    </w:p>
  </w:footnote>
  <w:footnote w:id="62">
    <w:p w14:paraId="7FDD1220" w14:textId="77777777" w:rsidR="009625D5" w:rsidRPr="009E2365" w:rsidRDefault="009625D5" w:rsidP="00C67DB9">
      <w:pPr>
        <w:pStyle w:val="FootnoteText"/>
        <w:rPr>
          <w:rFonts w:cstheme="minorHAnsi"/>
          <w:sz w:val="16"/>
          <w:szCs w:val="16"/>
        </w:rPr>
      </w:pPr>
      <w:r w:rsidRPr="009E2365">
        <w:rPr>
          <w:rStyle w:val="FootnoteReference"/>
          <w:rFonts w:cstheme="minorHAnsi"/>
          <w:sz w:val="16"/>
          <w:szCs w:val="16"/>
        </w:rPr>
        <w:footnoteRef/>
      </w:r>
      <w:r w:rsidRPr="009E2365">
        <w:rPr>
          <w:rStyle w:val="FootnoteReference"/>
          <w:rFonts w:cstheme="minorHAnsi"/>
          <w:sz w:val="16"/>
          <w:szCs w:val="16"/>
        </w:rPr>
        <w:t xml:space="preserve"> </w:t>
      </w:r>
      <w:r w:rsidRPr="009E2365">
        <w:rPr>
          <w:rFonts w:cstheme="minorHAnsi"/>
          <w:sz w:val="16"/>
          <w:szCs w:val="16"/>
        </w:rPr>
        <w:t xml:space="preserve">World Bank, </w:t>
      </w:r>
      <w:r w:rsidRPr="009E2365">
        <w:rPr>
          <w:rFonts w:cstheme="minorHAnsi"/>
          <w:i/>
          <w:iCs/>
          <w:sz w:val="16"/>
          <w:szCs w:val="16"/>
        </w:rPr>
        <w:t>Global Facility for Disaster Reduction and Recovery</w:t>
      </w:r>
      <w:r w:rsidRPr="009E2365">
        <w:rPr>
          <w:rFonts w:cstheme="minorHAnsi"/>
          <w:color w:val="000000" w:themeColor="text1"/>
          <w:sz w:val="16"/>
          <w:szCs w:val="16"/>
        </w:rPr>
        <w:t xml:space="preserve">, </w:t>
      </w:r>
      <w:r w:rsidRPr="009E2365">
        <w:rPr>
          <w:rFonts w:cstheme="minorHAnsi"/>
          <w:sz w:val="16"/>
          <w:szCs w:val="16"/>
        </w:rPr>
        <w:t xml:space="preserve">available at: </w:t>
      </w:r>
      <w:hyperlink r:id="rId20" w:history="1">
        <w:r w:rsidRPr="009E2365">
          <w:rPr>
            <w:rStyle w:val="Hyperlink"/>
            <w:rFonts w:cstheme="minorHAnsi"/>
            <w:sz w:val="16"/>
            <w:szCs w:val="16"/>
          </w:rPr>
          <w:t>https://www.gfdrr.org/bosnia-and-herzegovina</w:t>
        </w:r>
      </w:hyperlink>
      <w:r w:rsidRPr="009E2365">
        <w:rPr>
          <w:rFonts w:cstheme="minorHAnsi"/>
          <w:sz w:val="16"/>
          <w:szCs w:val="16"/>
        </w:rPr>
        <w:t xml:space="preserve"> </w:t>
      </w:r>
    </w:p>
  </w:footnote>
  <w:footnote w:id="63">
    <w:p w14:paraId="5F0D46B1" w14:textId="77777777" w:rsidR="009625D5" w:rsidRPr="009E2365" w:rsidRDefault="009625D5" w:rsidP="00C67DB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On average, floods impact annually about 100,000 people and about US$600 million in GDP.</w:t>
      </w:r>
      <w:r w:rsidRPr="009E2365">
        <w:rPr>
          <w:rFonts w:cstheme="minorHAnsi"/>
          <w:color w:val="0563C1"/>
          <w:sz w:val="16"/>
          <w:szCs w:val="16"/>
        </w:rPr>
        <w:t xml:space="preserve"> </w:t>
      </w:r>
      <w:r w:rsidRPr="009E2365">
        <w:rPr>
          <w:rFonts w:eastAsia="Calibri Light" w:cstheme="minorHAnsi"/>
          <w:sz w:val="16"/>
          <w:szCs w:val="16"/>
        </w:rPr>
        <w:t xml:space="preserve">Risks related to climate variability were highlighted by the 2014 floods, which led to more than 20 deaths, 90,000 people displaced and billions of dollars in damages (an estimated 15% of GDP. </w:t>
      </w:r>
      <w:r w:rsidRPr="009E2365">
        <w:rPr>
          <w:rFonts w:cstheme="minorHAnsi"/>
          <w:sz w:val="16"/>
          <w:szCs w:val="16"/>
        </w:rPr>
        <w:t xml:space="preserve">UNDP BiH (2017), </w:t>
      </w:r>
      <w:r w:rsidRPr="009E2365">
        <w:rPr>
          <w:rFonts w:cstheme="minorHAnsi"/>
          <w:i/>
          <w:iCs/>
          <w:sz w:val="16"/>
          <w:szCs w:val="16"/>
        </w:rPr>
        <w:t>Flood and Landslide Housing Risk Assessment</w:t>
      </w:r>
      <w:r w:rsidRPr="009E2365">
        <w:rPr>
          <w:rFonts w:cstheme="minorHAnsi"/>
          <w:sz w:val="16"/>
          <w:szCs w:val="16"/>
        </w:rPr>
        <w:t>.</w:t>
      </w:r>
    </w:p>
  </w:footnote>
  <w:footnote w:id="64">
    <w:p w14:paraId="2039CB0F" w14:textId="6BAC3C70" w:rsidR="001A3142" w:rsidRPr="009E2365" w:rsidRDefault="001A3142" w:rsidP="001A3142">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COVID-19 and Human Rights - We are all in this together, April 2020. 11.</w:t>
      </w:r>
    </w:p>
  </w:footnote>
  <w:footnote w:id="65">
    <w:p w14:paraId="265318EE" w14:textId="64924986" w:rsidR="009625D5" w:rsidRPr="009E2365" w:rsidRDefault="009625D5">
      <w:pPr>
        <w:pStyle w:val="FootnoteText"/>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US"/>
        </w:rPr>
        <w:t xml:space="preserve">A summary diagram of the theory of change is provided in </w:t>
      </w:r>
      <w:r w:rsidRPr="009E2365">
        <w:rPr>
          <w:rFonts w:cstheme="minorHAnsi"/>
          <w:b/>
          <w:sz w:val="16"/>
          <w:szCs w:val="16"/>
          <w:lang w:val="en-US"/>
        </w:rPr>
        <w:t>Annex A</w:t>
      </w:r>
      <w:r w:rsidRPr="009E2365">
        <w:rPr>
          <w:rFonts w:cstheme="minorHAnsi"/>
          <w:sz w:val="16"/>
          <w:szCs w:val="16"/>
          <w:lang w:val="en-US"/>
        </w:rPr>
        <w:t>.</w:t>
      </w:r>
    </w:p>
  </w:footnote>
  <w:footnote w:id="66">
    <w:p w14:paraId="216D7D17" w14:textId="77777777" w:rsidR="009625D5" w:rsidRPr="009E2365" w:rsidRDefault="009625D5" w:rsidP="00DF6600">
      <w:pPr>
        <w:spacing w:after="0" w:line="240" w:lineRule="auto"/>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US"/>
        </w:rPr>
        <w:t xml:space="preserve">(1) The 2030 Agenda for Sustainable Development and the SDGs as expressed in the emerging </w:t>
      </w:r>
      <w:r w:rsidRPr="009E2365">
        <w:rPr>
          <w:rFonts w:cstheme="minorHAnsi"/>
          <w:i/>
          <w:sz w:val="16"/>
          <w:szCs w:val="16"/>
          <w:lang w:val="en"/>
        </w:rPr>
        <w:t xml:space="preserve">SDG Framework in BiH and domesticated SDG targets; (2) </w:t>
      </w:r>
      <w:r w:rsidRPr="009E2365">
        <w:rPr>
          <w:rFonts w:cstheme="minorHAnsi"/>
          <w:sz w:val="16"/>
          <w:szCs w:val="16"/>
          <w:lang w:val="en-US"/>
        </w:rPr>
        <w:t xml:space="preserve">Future accession to the European Union, as expressed in the Action Plan for implementation of priorities from the European Commission Opinion and Analytical Report; (3) The Joint Socio-Economic Reforms (Reform Agenda), 2019-2022; and (4) The human </w:t>
      </w:r>
      <w:r w:rsidRPr="009E2365">
        <w:rPr>
          <w:rFonts w:cstheme="minorHAnsi"/>
          <w:sz w:val="16"/>
          <w:szCs w:val="16"/>
          <w:lang w:val="en-GB"/>
        </w:rPr>
        <w:t>rights commitments of BiH and other agreed international and regional development goals and treaty obligations</w:t>
      </w:r>
      <w:r w:rsidRPr="009E2365">
        <w:rPr>
          <w:rFonts w:cstheme="minorHAnsi"/>
          <w:sz w:val="16"/>
          <w:szCs w:val="16"/>
          <w:lang w:val="en-US"/>
        </w:rPr>
        <w:t>.</w:t>
      </w:r>
    </w:p>
  </w:footnote>
  <w:footnote w:id="67">
    <w:p w14:paraId="31ABCC64" w14:textId="77777777" w:rsidR="009625D5" w:rsidRPr="009E2365" w:rsidRDefault="009625D5" w:rsidP="009C311D">
      <w:pPr>
        <w:spacing w:after="0" w:line="240" w:lineRule="auto"/>
        <w:ind w:right="-136"/>
        <w:rPr>
          <w:rFonts w:cstheme="minorHAnsi"/>
          <w:sz w:val="16"/>
          <w:szCs w:val="16"/>
          <w:lang w:val="en-GB"/>
        </w:rPr>
      </w:pPr>
      <w:r w:rsidRPr="009E2365">
        <w:rPr>
          <w:rStyle w:val="FootnoteReference"/>
          <w:rFonts w:cstheme="minorHAnsi"/>
          <w:sz w:val="16"/>
          <w:szCs w:val="16"/>
        </w:rPr>
        <w:footnoteRef/>
      </w:r>
      <w:hyperlink r:id="rId21" w:history="1">
        <w:r w:rsidRPr="009E2365">
          <w:rPr>
            <w:rStyle w:val="Hyperlink"/>
            <w:rFonts w:cstheme="minorHAnsi"/>
            <w:sz w:val="16"/>
            <w:szCs w:val="16"/>
          </w:rPr>
          <w:t>Poverty in BiH</w:t>
        </w:r>
      </w:hyperlink>
      <w:r w:rsidRPr="009E2365">
        <w:rPr>
          <w:rFonts w:cstheme="minorHAnsi"/>
          <w:sz w:val="16"/>
          <w:szCs w:val="16"/>
        </w:rPr>
        <w:t xml:space="preserve"> is higher among the older population (65+) and children (age 0-14 years), as their respective poverty rates were 20% and 19%. Poverty rates were higher among households with unemployed head of household. Poverty rates are higher for rural areas (22%) than for urban (11%) The Gini coefficient was 33 in 2017, higher than in Serbia (28.5) and Albania (29.0), almost similar to Montenegro (31.9), and lower than in Macedonia (35.6). UNDP, HD data explorer http://hdr.undp.org/en/countries/profiles/BIH.   </w:t>
      </w:r>
    </w:p>
  </w:footnote>
  <w:footnote w:id="68">
    <w:p w14:paraId="0064AFA7" w14:textId="77777777" w:rsidR="009625D5" w:rsidRPr="009E2365" w:rsidRDefault="009625D5" w:rsidP="00E02262">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There is a higher barrier for women. World Bank, </w:t>
      </w:r>
      <w:hyperlink r:id="rId22" w:history="1">
        <w:r w:rsidRPr="009E2365">
          <w:rPr>
            <w:rStyle w:val="Hyperlink"/>
            <w:rFonts w:cstheme="minorHAnsi"/>
            <w:iCs/>
            <w:sz w:val="16"/>
            <w:szCs w:val="16"/>
          </w:rPr>
          <w:t>Access to Finance for Female-Led Micro, Small &amp; Medium-Sized Enterprises in Bosnia and Herzegovina</w:t>
        </w:r>
      </w:hyperlink>
      <w:r w:rsidRPr="009E2365">
        <w:rPr>
          <w:rFonts w:cstheme="minorHAnsi"/>
          <w:sz w:val="16"/>
          <w:szCs w:val="16"/>
        </w:rPr>
        <w:t xml:space="preserve">, 2018.  </w:t>
      </w:r>
    </w:p>
  </w:footnote>
  <w:footnote w:id="69">
    <w:p w14:paraId="31B35A68" w14:textId="77777777" w:rsidR="009625D5" w:rsidRPr="009E2365" w:rsidRDefault="009625D5" w:rsidP="00543E5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EC, </w:t>
      </w:r>
      <w:hyperlink r:id="rId23" w:history="1">
        <w:r w:rsidRPr="009E2365">
          <w:rPr>
            <w:rStyle w:val="Hyperlink"/>
            <w:rFonts w:cstheme="minorHAnsi"/>
            <w:sz w:val="16"/>
            <w:szCs w:val="16"/>
          </w:rPr>
          <w:t>Analytical Report</w:t>
        </w:r>
      </w:hyperlink>
      <w:r w:rsidRPr="009E2365">
        <w:rPr>
          <w:rFonts w:cstheme="minorHAnsi"/>
          <w:sz w:val="16"/>
          <w:szCs w:val="16"/>
        </w:rPr>
        <w:t xml:space="preserve"> accompanying the document Communication from the Commission to the European Parliament and the Council</w:t>
      </w:r>
    </w:p>
    <w:p w14:paraId="48A01F39" w14:textId="77777777" w:rsidR="009625D5" w:rsidRPr="009E2365" w:rsidRDefault="009625D5" w:rsidP="00543E5C">
      <w:pPr>
        <w:pStyle w:val="FootnoteText"/>
        <w:rPr>
          <w:rFonts w:cstheme="minorHAnsi"/>
          <w:sz w:val="16"/>
          <w:szCs w:val="16"/>
        </w:rPr>
      </w:pPr>
      <w:r w:rsidRPr="009E2365">
        <w:rPr>
          <w:rFonts w:cstheme="minorHAnsi"/>
          <w:sz w:val="16"/>
          <w:szCs w:val="16"/>
        </w:rPr>
        <w:t>Commission Opinion on Bosnia and Herzegovina’s application for membership of the EU, Brussels, SWD (2019) 222 final, 29 May 2019, 89.</w:t>
      </w:r>
    </w:p>
  </w:footnote>
  <w:footnote w:id="70">
    <w:p w14:paraId="7D87DBFB" w14:textId="77777777" w:rsidR="009625D5" w:rsidRPr="009E2365" w:rsidRDefault="009625D5" w:rsidP="009C311D">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color w:val="000000"/>
          <w:sz w:val="16"/>
          <w:szCs w:val="16"/>
          <w:shd w:val="clear" w:color="auto" w:fill="FFFFFF"/>
        </w:rPr>
        <w:t xml:space="preserve">Bosnia and Herzegovina (BiH) has a particularly rich biological and habitat diversity. See: GEF, UNEP, BiH, </w:t>
      </w:r>
      <w:hyperlink r:id="rId24" w:history="1">
        <w:r w:rsidRPr="009E2365">
          <w:rPr>
            <w:rStyle w:val="Hyperlink"/>
            <w:rFonts w:cstheme="minorHAnsi"/>
            <w:sz w:val="16"/>
            <w:szCs w:val="16"/>
            <w:shd w:val="clear" w:color="auto" w:fill="FFFFFF"/>
          </w:rPr>
          <w:t>Biodiversity CHM-BiH</w:t>
        </w:r>
      </w:hyperlink>
      <w:r w:rsidRPr="009E2365">
        <w:rPr>
          <w:rFonts w:cstheme="minorHAnsi"/>
          <w:color w:val="000000"/>
          <w:sz w:val="16"/>
          <w:szCs w:val="16"/>
          <w:shd w:val="clear" w:color="auto" w:fill="FFFFFF"/>
        </w:rPr>
        <w:t>, dld Nov 2019.</w:t>
      </w:r>
    </w:p>
  </w:footnote>
  <w:footnote w:id="71">
    <w:p w14:paraId="71C1590A" w14:textId="77777777" w:rsidR="009625D5" w:rsidRPr="0069604A" w:rsidRDefault="009625D5" w:rsidP="009C311D">
      <w:pPr>
        <w:autoSpaceDE w:val="0"/>
        <w:autoSpaceDN w:val="0"/>
        <w:adjustRightInd w:val="0"/>
        <w:spacing w:after="0" w:line="240" w:lineRule="auto"/>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example, the World Bank reports that, as of 2017, 55% of the university-educated workforce of BiH was living and working abroad. World Bank, </w:t>
      </w:r>
      <w:r w:rsidRPr="0069604A">
        <w:rPr>
          <w:rFonts w:cstheme="minorHAnsi"/>
          <w:sz w:val="16"/>
          <w:szCs w:val="16"/>
        </w:rPr>
        <w:t>Migration and Brain Drain in Europe and Central Asia, WORLD BANK ECA ECONOMIC UPDATE FALL 2019, 62, 65.</w:t>
      </w:r>
    </w:p>
  </w:footnote>
  <w:footnote w:id="72">
    <w:p w14:paraId="6917F5A1" w14:textId="77777777" w:rsidR="009625D5" w:rsidRPr="0069604A" w:rsidRDefault="009625D5" w:rsidP="005E651E">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w:t>
      </w:r>
      <w:hyperlink r:id="rId25" w:history="1">
        <w:r w:rsidRPr="0069604A">
          <w:rPr>
            <w:rStyle w:val="Hyperlink"/>
            <w:rFonts w:cstheme="minorHAnsi"/>
            <w:sz w:val="16"/>
            <w:szCs w:val="16"/>
          </w:rPr>
          <w:t>ILOSTAT database</w:t>
        </w:r>
      </w:hyperlink>
      <w:r w:rsidRPr="0069604A">
        <w:rPr>
          <w:rFonts w:cstheme="minorHAnsi"/>
          <w:sz w:val="16"/>
          <w:szCs w:val="16"/>
        </w:rPr>
        <w:t>, dld Oct 2019.</w:t>
      </w:r>
    </w:p>
  </w:footnote>
  <w:footnote w:id="73">
    <w:p w14:paraId="5737030B" w14:textId="77777777" w:rsidR="009625D5" w:rsidRPr="0069604A" w:rsidRDefault="009625D5" w:rsidP="005E651E">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WHO, </w:t>
      </w:r>
      <w:hyperlink r:id="rId26" w:history="1">
        <w:r w:rsidRPr="0069604A">
          <w:rPr>
            <w:rStyle w:val="Hyperlink"/>
            <w:rFonts w:cstheme="minorHAnsi"/>
            <w:sz w:val="16"/>
            <w:szCs w:val="16"/>
          </w:rPr>
          <w:t>Global health expenditure database</w:t>
        </w:r>
      </w:hyperlink>
      <w:r w:rsidRPr="0069604A">
        <w:rPr>
          <w:rFonts w:cstheme="minorHAnsi"/>
          <w:sz w:val="16"/>
          <w:szCs w:val="16"/>
        </w:rPr>
        <w:t>, dld Nov 2019. Total current health spending (CHE). These were higher than spending rates in Croatia (CHE: 7.2%)and Slovenia (CHE: 8.5%)</w:t>
      </w:r>
    </w:p>
  </w:footnote>
  <w:footnote w:id="74">
    <w:p w14:paraId="747CA9DD" w14:textId="314F5B59" w:rsidR="009625D5" w:rsidRPr="009E2365" w:rsidRDefault="009625D5" w:rsidP="005E651E">
      <w:pPr>
        <w:pStyle w:val="FootnoteText"/>
        <w:rPr>
          <w:rFonts w:cstheme="minorHAnsi"/>
          <w:sz w:val="16"/>
          <w:szCs w:val="16"/>
        </w:rPr>
      </w:pPr>
      <w:r w:rsidRPr="0069604A">
        <w:rPr>
          <w:rStyle w:val="FootnoteReference"/>
          <w:rFonts w:cstheme="minorHAnsi"/>
          <w:sz w:val="16"/>
          <w:szCs w:val="16"/>
        </w:rPr>
        <w:footnoteRef/>
      </w:r>
      <w:r w:rsidRPr="0069604A">
        <w:rPr>
          <w:rFonts w:cstheme="minorHAnsi"/>
          <w:sz w:val="16"/>
          <w:szCs w:val="16"/>
        </w:rPr>
        <w:t xml:space="preserve"> There are 13 different health systems in BiH. This complicates the way services are provided, increases management and coordination costs, and adversely affects the rationality</w:t>
      </w:r>
      <w:r w:rsidRPr="009E2365">
        <w:rPr>
          <w:rFonts w:cstheme="minorHAnsi"/>
          <w:sz w:val="16"/>
          <w:szCs w:val="16"/>
        </w:rPr>
        <w:t xml:space="preserve"> of management of health care institutions.</w:t>
      </w:r>
      <w:r w:rsidRPr="009E2365">
        <w:rPr>
          <w:rFonts w:cstheme="minorHAnsi"/>
          <w:iCs/>
          <w:sz w:val="16"/>
          <w:szCs w:val="16"/>
        </w:rPr>
        <w:t xml:space="preserve">.; World Bank, </w:t>
      </w:r>
      <w:r w:rsidRPr="009E2365">
        <w:rPr>
          <w:rFonts w:cstheme="minorHAnsi"/>
          <w:sz w:val="16"/>
          <w:szCs w:val="16"/>
        </w:rPr>
        <w:t xml:space="preserve">Bosnia and Herzegovina </w:t>
      </w:r>
      <w:hyperlink r:id="rId27" w:history="1">
        <w:r w:rsidRPr="009E2365">
          <w:rPr>
            <w:rStyle w:val="Hyperlink"/>
            <w:rFonts w:cstheme="minorHAnsi"/>
            <w:sz w:val="16"/>
            <w:szCs w:val="16"/>
          </w:rPr>
          <w:t>Human Capital Index</w:t>
        </w:r>
      </w:hyperlink>
      <w:r w:rsidRPr="009E2365">
        <w:rPr>
          <w:rFonts w:cstheme="minorHAnsi"/>
          <w:sz w:val="16"/>
          <w:szCs w:val="16"/>
        </w:rPr>
        <w:t>, 2018.</w:t>
      </w:r>
    </w:p>
  </w:footnote>
  <w:footnote w:id="75">
    <w:p w14:paraId="688A0920" w14:textId="77777777" w:rsidR="009625D5" w:rsidRPr="009E2365" w:rsidRDefault="009625D5" w:rsidP="005E651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(1) </w:t>
      </w:r>
      <w:r w:rsidRPr="009E2365">
        <w:rPr>
          <w:rFonts w:cstheme="minorHAnsi"/>
          <w:iCs/>
          <w:sz w:val="16"/>
          <w:szCs w:val="16"/>
        </w:rPr>
        <w:t xml:space="preserve">World Bank ASPIRE </w:t>
      </w:r>
      <w:hyperlink r:id="rId28" w:history="1">
        <w:r w:rsidRPr="009E2365">
          <w:rPr>
            <w:rStyle w:val="Hyperlink"/>
            <w:rFonts w:cstheme="minorHAnsi"/>
            <w:iCs/>
            <w:sz w:val="16"/>
            <w:szCs w:val="16"/>
          </w:rPr>
          <w:t>Atlas of Social Protection-BiH Profile</w:t>
        </w:r>
      </w:hyperlink>
      <w:r w:rsidRPr="009E2365">
        <w:rPr>
          <w:rFonts w:cstheme="minorHAnsi"/>
          <w:iCs/>
          <w:sz w:val="16"/>
          <w:szCs w:val="16"/>
        </w:rPr>
        <w:t xml:space="preserve"> (2015 data), dld Nov 2019.; (2) UNDP calculations, based on data (for most recent year available) from the ILO World Social Protection Report 2017-2019.</w:t>
      </w:r>
    </w:p>
  </w:footnote>
  <w:footnote w:id="76">
    <w:p w14:paraId="4B258DE1" w14:textId="56ABE701" w:rsidR="009625D5" w:rsidRPr="009E2365" w:rsidRDefault="009625D5" w:rsidP="00010EFF">
      <w:pPr>
        <w:pStyle w:val="FootnoteText"/>
        <w:ind w:right="-138"/>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color w:val="000000" w:themeColor="text1"/>
          <w:sz w:val="16"/>
          <w:szCs w:val="16"/>
        </w:rPr>
        <w:t xml:space="preserve">The recent EC opinion on BiH’s application for EU membership highlights the large gap between the requirements of the EU Acquis and the prevailing conditions in BiH, especially with regard to the </w:t>
      </w:r>
      <w:r w:rsidRPr="009E2365">
        <w:rPr>
          <w:rFonts w:cstheme="minorHAnsi"/>
          <w:sz w:val="16"/>
          <w:szCs w:val="16"/>
        </w:rPr>
        <w:t xml:space="preserve">Copenhagen criteria for stability of institutions guaranteeing democracy, the rule of law, human rights and respect for and protection of minorities. EC Opinion, ibid., 13.  </w:t>
      </w:r>
    </w:p>
  </w:footnote>
  <w:footnote w:id="77">
    <w:p w14:paraId="35885324" w14:textId="77777777" w:rsidR="009625D5" w:rsidRPr="009E2365" w:rsidRDefault="009625D5" w:rsidP="00010EFF">
      <w:pPr>
        <w:pStyle w:val="Comment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These weaknesses are particularly evident during times of crisis, when a rapid, coordinated response across all of BiH is needed. (e.g. migration inflows, floods, and other natural disasters).</w:t>
      </w:r>
    </w:p>
  </w:footnote>
  <w:footnote w:id="78">
    <w:p w14:paraId="52A98D3F" w14:textId="77777777" w:rsidR="009625D5" w:rsidRPr="009E2365" w:rsidRDefault="009625D5" w:rsidP="002317F1">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example: Implementation of ratified human rights treaties is constrained by </w:t>
      </w:r>
      <w:r w:rsidRPr="009E2365">
        <w:rPr>
          <w:rFonts w:cstheme="minorHAnsi"/>
          <w:bCs/>
          <w:sz w:val="16"/>
          <w:szCs w:val="16"/>
        </w:rPr>
        <w:t>limited accountability mechanisms</w:t>
      </w:r>
      <w:r w:rsidRPr="009E2365">
        <w:rPr>
          <w:rFonts w:cstheme="minorHAnsi"/>
          <w:sz w:val="16"/>
          <w:szCs w:val="16"/>
        </w:rPr>
        <w:t>, making it a challenge to identify the proper duty-bearer for a particular provision or recommendation.</w:t>
      </w:r>
    </w:p>
  </w:footnote>
  <w:footnote w:id="79">
    <w:p w14:paraId="4D9C9A94" w14:textId="77777777" w:rsidR="009625D5" w:rsidRPr="009E2365" w:rsidRDefault="009625D5" w:rsidP="0025266B">
      <w:pPr>
        <w:pStyle w:val="FootnoteText"/>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Peace and Development Assessment: Bosnia and Herzegovina, Working draft, Sept 2019.</w:t>
      </w:r>
    </w:p>
  </w:footnote>
  <w:footnote w:id="80">
    <w:p w14:paraId="37D1E6F3" w14:textId="77777777" w:rsidR="009625D5" w:rsidRPr="009E2365" w:rsidRDefault="009625D5" w:rsidP="00601766">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shd w:val="clear" w:color="auto" w:fill="FBFBFB"/>
        </w:rPr>
        <w:t>21</w:t>
      </w:r>
      <w:r w:rsidRPr="009E2365">
        <w:rPr>
          <w:rFonts w:cstheme="minorHAnsi"/>
          <w:sz w:val="16"/>
          <w:szCs w:val="16"/>
          <w:shd w:val="clear" w:color="auto" w:fill="FBFBFB"/>
          <w:vertAlign w:val="superscript"/>
        </w:rPr>
        <w:t>st</w:t>
      </w:r>
      <w:r w:rsidRPr="009E2365">
        <w:rPr>
          <w:rFonts w:cstheme="minorHAnsi"/>
          <w:sz w:val="16"/>
          <w:szCs w:val="16"/>
          <w:shd w:val="clear" w:color="auto" w:fill="FBFBFB"/>
        </w:rPr>
        <w:t xml:space="preserve"> century </w:t>
      </w:r>
      <w:r w:rsidRPr="009E2365">
        <w:rPr>
          <w:rFonts w:cstheme="minorHAnsi"/>
          <w:i/>
          <w:sz w:val="16"/>
          <w:szCs w:val="16"/>
        </w:rPr>
        <w:t>transversal</w:t>
      </w:r>
      <w:r w:rsidRPr="009E2365">
        <w:rPr>
          <w:rFonts w:cstheme="minorHAnsi"/>
          <w:sz w:val="16"/>
          <w:szCs w:val="16"/>
        </w:rPr>
        <w:t xml:space="preserve"> skills (e.g. communication, team work and networking, critical thinking and problem solving, initiative and resilience) and </w:t>
      </w:r>
      <w:r w:rsidRPr="009E2365">
        <w:rPr>
          <w:rFonts w:cstheme="minorHAnsi"/>
          <w:i/>
          <w:sz w:val="16"/>
          <w:szCs w:val="16"/>
        </w:rPr>
        <w:t>deep skills</w:t>
      </w:r>
      <w:r w:rsidRPr="009E2365">
        <w:rPr>
          <w:rFonts w:cstheme="minorHAnsi"/>
          <w:sz w:val="16"/>
          <w:szCs w:val="16"/>
        </w:rPr>
        <w:t xml:space="preserve"> in one or more trades </w:t>
      </w:r>
      <w:r w:rsidRPr="009E2365">
        <w:rPr>
          <w:rFonts w:cstheme="minorHAnsi"/>
          <w:sz w:val="16"/>
          <w:szCs w:val="16"/>
          <w:shd w:val="clear" w:color="auto" w:fill="FBFBFB"/>
        </w:rPr>
        <w:t xml:space="preserve">e.g. ICT, boilermakers, millwrights, welders. EC, </w:t>
      </w:r>
      <w:r w:rsidRPr="009E2365">
        <w:rPr>
          <w:rFonts w:cstheme="minorHAnsi"/>
          <w:sz w:val="16"/>
          <w:szCs w:val="16"/>
        </w:rPr>
        <w:t xml:space="preserve">Skills for Industry Strategy 2030, 2019. See also; ILO, </w:t>
      </w:r>
      <w:hyperlink r:id="rId29" w:history="1">
        <w:r w:rsidRPr="009E2365">
          <w:rPr>
            <w:rStyle w:val="Hyperlink"/>
            <w:rFonts w:cstheme="minorHAnsi"/>
            <w:sz w:val="16"/>
            <w:szCs w:val="16"/>
          </w:rPr>
          <w:t>Skill-up</w:t>
        </w:r>
      </w:hyperlink>
      <w:r w:rsidRPr="009E2365">
        <w:rPr>
          <w:rFonts w:cstheme="minorHAnsi"/>
          <w:sz w:val="16"/>
          <w:szCs w:val="16"/>
        </w:rPr>
        <w:t xml:space="preserve">, dld Nov 2019; AES, </w:t>
      </w:r>
      <w:hyperlink r:id="rId30" w:history="1">
        <w:r w:rsidRPr="009E2365">
          <w:rPr>
            <w:rStyle w:val="Hyperlink"/>
            <w:rFonts w:cstheme="minorHAnsi"/>
            <w:sz w:val="16"/>
            <w:szCs w:val="16"/>
          </w:rPr>
          <w:t>What are 21</w:t>
        </w:r>
        <w:r w:rsidRPr="009E2365">
          <w:rPr>
            <w:rStyle w:val="Hyperlink"/>
            <w:rFonts w:cstheme="minorHAnsi"/>
            <w:sz w:val="16"/>
            <w:szCs w:val="16"/>
            <w:vertAlign w:val="superscript"/>
          </w:rPr>
          <w:t>st</w:t>
        </w:r>
        <w:r w:rsidRPr="009E2365">
          <w:rPr>
            <w:rStyle w:val="Hyperlink"/>
            <w:rFonts w:cstheme="minorHAnsi"/>
            <w:sz w:val="16"/>
            <w:szCs w:val="16"/>
          </w:rPr>
          <w:t xml:space="preserve"> century skills</w:t>
        </w:r>
      </w:hyperlink>
      <w:r w:rsidRPr="009E2365">
        <w:rPr>
          <w:rFonts w:cstheme="minorHAnsi"/>
          <w:sz w:val="16"/>
          <w:szCs w:val="16"/>
        </w:rPr>
        <w:t>, dld 2020.</w:t>
      </w:r>
    </w:p>
  </w:footnote>
  <w:footnote w:id="81">
    <w:p w14:paraId="1FFC4718" w14:textId="77777777" w:rsidR="009625D5" w:rsidRPr="009E2365" w:rsidRDefault="009625D5" w:rsidP="003C36B1">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b/>
          <w:sz w:val="16"/>
          <w:szCs w:val="16"/>
        </w:rPr>
        <w:t>Sentinel indicators</w:t>
      </w:r>
      <w:r w:rsidRPr="009E2365">
        <w:rPr>
          <w:rFonts w:cstheme="minorHAnsi"/>
          <w:sz w:val="16"/>
          <w:szCs w:val="16"/>
        </w:rPr>
        <w:t xml:space="preserve"> are complementary to outcome performance indicators. Where outcome indicators are used to measure intended results (institutional and behavioural), sentinel indicators are used to signal </w:t>
      </w:r>
      <w:r w:rsidRPr="009E2365">
        <w:rPr>
          <w:rFonts w:cstheme="minorHAnsi"/>
          <w:b/>
          <w:sz w:val="16"/>
          <w:szCs w:val="16"/>
        </w:rPr>
        <w:t>wider changes</w:t>
      </w:r>
      <w:r w:rsidRPr="009E2365">
        <w:rPr>
          <w:rFonts w:cstheme="minorHAnsi"/>
          <w:sz w:val="16"/>
          <w:szCs w:val="16"/>
        </w:rPr>
        <w:t xml:space="preserve"> in the system in which programme(s) operate, alerting the CF partners to system level change and, where necessary, the need for follow-up investigation and analysis. See: </w:t>
      </w:r>
      <w:hyperlink r:id="rId31" w:history="1">
        <w:r w:rsidRPr="009E2365">
          <w:rPr>
            <w:rStyle w:val="Hyperlink"/>
            <w:rFonts w:cstheme="minorHAnsi"/>
            <w:sz w:val="16"/>
            <w:szCs w:val="16"/>
          </w:rPr>
          <w:t>Sentinel Indicators</w:t>
        </w:r>
      </w:hyperlink>
      <w:r w:rsidRPr="009E2365">
        <w:rPr>
          <w:rFonts w:cstheme="minorHAnsi"/>
          <w:sz w:val="16"/>
          <w:szCs w:val="16"/>
        </w:rPr>
        <w:t>: A Systems-Based Approach to Monitoring and Evaluation, 2015.</w:t>
      </w:r>
    </w:p>
  </w:footnote>
  <w:footnote w:id="82">
    <w:p w14:paraId="2C4036AA" w14:textId="77777777" w:rsidR="009625D5" w:rsidRPr="009E2365" w:rsidRDefault="009625D5" w:rsidP="00CD01E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Based upon: Sustainable Development Goals Framework in BiH, June 2019 (DRAFT), Annex 1. </w:t>
      </w:r>
    </w:p>
  </w:footnote>
  <w:footnote w:id="83">
    <w:p w14:paraId="367DF485" w14:textId="585F3B59" w:rsidR="009625D5" w:rsidRPr="007E4270" w:rsidRDefault="009625D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7E4270">
        <w:rPr>
          <w:rFonts w:cstheme="minorHAnsi"/>
          <w:sz w:val="16"/>
          <w:szCs w:val="16"/>
        </w:rPr>
        <w:t xml:space="preserve">See: </w:t>
      </w:r>
      <w:hyperlink r:id="rId32" w:history="1">
        <w:r w:rsidRPr="007E4270">
          <w:rPr>
            <w:rStyle w:val="Hyperlink"/>
            <w:rFonts w:cstheme="minorHAnsi"/>
            <w:sz w:val="16"/>
            <w:szCs w:val="16"/>
          </w:rPr>
          <w:t>Net migration rate</w:t>
        </w:r>
      </w:hyperlink>
      <w:r w:rsidRPr="007E4270">
        <w:rPr>
          <w:rFonts w:cstheme="minorHAnsi"/>
          <w:sz w:val="16"/>
          <w:szCs w:val="16"/>
        </w:rPr>
        <w:t xml:space="preserve">, UN </w:t>
      </w:r>
      <w:r w:rsidR="004039A8" w:rsidRPr="007E4270">
        <w:rPr>
          <w:rFonts w:cstheme="minorHAnsi"/>
          <w:sz w:val="16"/>
          <w:szCs w:val="16"/>
        </w:rPr>
        <w:t>Population</w:t>
      </w:r>
      <w:r w:rsidRPr="007E4270">
        <w:rPr>
          <w:rFonts w:cstheme="minorHAnsi"/>
          <w:sz w:val="16"/>
          <w:szCs w:val="16"/>
        </w:rPr>
        <w:t xml:space="preserve"> Division. There are multiple BiH and international sources of information for the pace and scale of out-migration. The UN system will work with BiH statistical authorities to agree on the indicators for the purposes of monitoring and reporting. In particular, measures are needed to gauge levels of migration amongst young people and the professions. </w:t>
      </w:r>
    </w:p>
  </w:footnote>
  <w:footnote w:id="84">
    <w:p w14:paraId="1335A966" w14:textId="2211E2E3" w:rsidR="009625D5" w:rsidRPr="007E4270" w:rsidRDefault="009625D5">
      <w:pPr>
        <w:pStyle w:val="FootnoteText"/>
        <w:rPr>
          <w:rFonts w:cstheme="minorHAnsi"/>
          <w:sz w:val="16"/>
          <w:szCs w:val="16"/>
        </w:rPr>
      </w:pPr>
      <w:r w:rsidRPr="007E4270">
        <w:rPr>
          <w:rStyle w:val="FootnoteReference"/>
          <w:rFonts w:cstheme="minorHAnsi"/>
          <w:sz w:val="16"/>
          <w:szCs w:val="16"/>
        </w:rPr>
        <w:footnoteRef/>
      </w:r>
      <w:r w:rsidRPr="007E4270">
        <w:rPr>
          <w:rFonts w:cstheme="minorHAnsi"/>
          <w:sz w:val="16"/>
          <w:szCs w:val="16"/>
        </w:rPr>
        <w:t xml:space="preserve"> The </w:t>
      </w:r>
      <w:hyperlink r:id="rId33" w:history="1">
        <w:r w:rsidRPr="007E4270">
          <w:rPr>
            <w:rStyle w:val="Hyperlink"/>
            <w:rFonts w:cstheme="minorHAnsi"/>
            <w:sz w:val="16"/>
            <w:szCs w:val="16"/>
          </w:rPr>
          <w:t>labour force participation rate of women</w:t>
        </w:r>
      </w:hyperlink>
      <w:r w:rsidRPr="007E4270">
        <w:rPr>
          <w:rFonts w:cstheme="minorHAnsi"/>
          <w:sz w:val="16"/>
          <w:szCs w:val="16"/>
        </w:rPr>
        <w:t xml:space="preserve"> will also be monitored to consider a change in the numbers of women that have stopped looking for work and are not captured in unemployment rates. It was 35% in 2019, using the modeled ILO estimate.</w:t>
      </w:r>
    </w:p>
  </w:footnote>
  <w:footnote w:id="85">
    <w:p w14:paraId="191A6736" w14:textId="77777777" w:rsidR="009625D5" w:rsidRPr="009E2365" w:rsidRDefault="009625D5" w:rsidP="00DE59A6">
      <w:pPr>
        <w:pStyle w:val="FootnoteText"/>
        <w:rPr>
          <w:rFonts w:cstheme="minorHAnsi"/>
          <w:sz w:val="16"/>
          <w:szCs w:val="16"/>
        </w:rPr>
      </w:pPr>
      <w:r w:rsidRPr="007E4270">
        <w:rPr>
          <w:rStyle w:val="FootnoteReference"/>
          <w:rFonts w:cstheme="minorHAnsi"/>
          <w:sz w:val="16"/>
          <w:szCs w:val="16"/>
        </w:rPr>
        <w:footnoteRef/>
      </w:r>
      <w:r w:rsidRPr="007E4270">
        <w:rPr>
          <w:rFonts w:cstheme="minorHAnsi"/>
          <w:sz w:val="16"/>
          <w:szCs w:val="16"/>
        </w:rPr>
        <w:t xml:space="preserve"> This is the domesticated indicator for SDG 17.7.2 from BiH SDG Framework</w:t>
      </w:r>
      <w:r w:rsidRPr="009E2365">
        <w:rPr>
          <w:rFonts w:cstheme="minorHAnsi"/>
          <w:sz w:val="16"/>
          <w:szCs w:val="16"/>
        </w:rPr>
        <w:t xml:space="preserve"> (draft). World Bank World Governance Indicators data. Indicator ranges from approximately -2.5 (weak) to 2.5 (strong) governance performance.</w:t>
      </w:r>
    </w:p>
  </w:footnote>
  <w:footnote w:id="86">
    <w:p w14:paraId="24F654BE" w14:textId="77777777" w:rsidR="009625D5" w:rsidRPr="009E2365" w:rsidRDefault="009625D5" w:rsidP="003911D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is the domesticated indicator for SDG 17.7.2 from BiH SDG Framework (draft). World Bank World Governance Indicators data, measuring the “extent to which citizens believe they participate in selecting their government, as well as freedom of expression, association, and media. Internationally comparable indicator values range from -2.5 (weak) to +2.5 (strong) governance performance”.</w:t>
      </w:r>
    </w:p>
  </w:footnote>
  <w:footnote w:id="87">
    <w:p w14:paraId="191DB380" w14:textId="77777777" w:rsidR="009625D5" w:rsidRPr="009E2365" w:rsidRDefault="009625D5" w:rsidP="00FC5BA8">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Relative poverty defined as 60% of the median income (Eurostat methodology)</w:t>
      </w:r>
    </w:p>
  </w:footnote>
  <w:footnote w:id="88">
    <w:p w14:paraId="237BEB00" w14:textId="77777777" w:rsidR="009625D5" w:rsidRPr="009E2365" w:rsidRDefault="009625D5" w:rsidP="00D405A3">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Including: </w:t>
      </w:r>
      <w:r w:rsidRPr="009E2365">
        <w:rPr>
          <w:rFonts w:cstheme="minorHAnsi"/>
          <w:sz w:val="16"/>
          <w:szCs w:val="16"/>
          <w:lang w:val="en-GB"/>
        </w:rPr>
        <w:t>Parliaments, the private sector, international financial institutions, civil society organisations, media, universities, and independent research and policy institutions.</w:t>
      </w:r>
    </w:p>
  </w:footnote>
  <w:footnote w:id="89">
    <w:p w14:paraId="63F32D00" w14:textId="741A3402" w:rsidR="009625D5" w:rsidRPr="009E2365" w:rsidRDefault="009625D5" w:rsidP="00D405A3">
      <w:pPr>
        <w:pStyle w:val="FootnoteText"/>
        <w:ind w:right="-136"/>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UNDAF Evaluation, ibid., 17; SDG Framework in BiH., ibid 17-18.</w:t>
      </w:r>
    </w:p>
  </w:footnote>
  <w:footnote w:id="90">
    <w:p w14:paraId="03123637" w14:textId="77777777" w:rsidR="009625D5" w:rsidRPr="009E2365" w:rsidRDefault="009625D5" w:rsidP="00D405A3">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example: Inclusive labour market policies and codes for more female-friendly workplaces, addressing the gender gap in incomes."</w:t>
      </w:r>
    </w:p>
  </w:footnote>
  <w:footnote w:id="91">
    <w:p w14:paraId="6CB68DF5" w14:textId="77777777" w:rsidR="009625D5" w:rsidRPr="009E2365" w:rsidRDefault="009625D5" w:rsidP="00D405A3">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Disaggregated by income, sex, age, ethnicity, migratory status, disability and geographic location</w:t>
      </w:r>
    </w:p>
  </w:footnote>
  <w:footnote w:id="92">
    <w:p w14:paraId="4FBCA2C7" w14:textId="43205E53" w:rsidR="009625D5" w:rsidRPr="009E2365" w:rsidRDefault="009625D5" w:rsidP="00FB5221">
      <w:pPr>
        <w:pStyle w:val="FootnoteText"/>
        <w:rPr>
          <w:rFonts w:cstheme="minorHAnsi"/>
          <w:sz w:val="16"/>
          <w:szCs w:val="16"/>
        </w:rPr>
      </w:pPr>
      <w:r w:rsidRPr="009E2365">
        <w:rPr>
          <w:rStyle w:val="FootnoteReference"/>
          <w:rFonts w:cstheme="minorHAnsi"/>
          <w:sz w:val="16"/>
          <w:szCs w:val="16"/>
        </w:rPr>
        <w:footnoteRef/>
      </w:r>
      <w:r w:rsidRPr="009E2365">
        <w:rPr>
          <w:rFonts w:cstheme="minorHAnsi"/>
          <w:b/>
          <w:sz w:val="16"/>
          <w:szCs w:val="16"/>
        </w:rPr>
        <w:t>Outcomes are high level changes related to institutional performance or the behaviours of people and their communities</w:t>
      </w:r>
      <w:r w:rsidRPr="009E2365">
        <w:rPr>
          <w:rFonts w:cstheme="minorHAnsi"/>
          <w:sz w:val="16"/>
          <w:szCs w:val="16"/>
        </w:rPr>
        <w:t xml:space="preserve">. They describe: (1) How people are acting differently to improve their lives and those of their families and communities or (2) How institutions are performing in new ways to support people in these efforts. </w:t>
      </w:r>
      <w:r w:rsidRPr="009E2365">
        <w:rPr>
          <w:rFonts w:cstheme="minorHAnsi"/>
          <w:b/>
          <w:sz w:val="16"/>
          <w:szCs w:val="16"/>
        </w:rPr>
        <w:t>Outputs describe new skills and abilities, products or services</w:t>
      </w:r>
      <w:r w:rsidRPr="009E2365">
        <w:rPr>
          <w:rFonts w:cstheme="minorHAnsi"/>
          <w:sz w:val="16"/>
          <w:szCs w:val="16"/>
        </w:rPr>
        <w:t xml:space="preserve">. These are the concrete results of cooperation between BiH authorities and the UN and they are expected to demonstrate innovation. The outputs expected from BiH-UN system cooperation will be developed as part of detailed </w:t>
      </w:r>
      <w:r w:rsidRPr="009E2365">
        <w:rPr>
          <w:rFonts w:cstheme="minorHAnsi"/>
          <w:b/>
          <w:sz w:val="16"/>
          <w:szCs w:val="16"/>
        </w:rPr>
        <w:t>Joint Work Plans (JWP)</w:t>
      </w:r>
      <w:r w:rsidRPr="009E2365">
        <w:rPr>
          <w:rFonts w:cstheme="minorHAnsi"/>
          <w:sz w:val="16"/>
          <w:szCs w:val="16"/>
        </w:rPr>
        <w:t xml:space="preserve"> for each outcome</w:t>
      </w:r>
    </w:p>
  </w:footnote>
  <w:footnote w:id="93">
    <w:p w14:paraId="411029DA" w14:textId="3D6A4FFF" w:rsidR="0092411F" w:rsidRPr="004E5DB9" w:rsidRDefault="0092411F">
      <w:pPr>
        <w:pStyle w:val="FootnoteText"/>
        <w:rPr>
          <w:sz w:val="16"/>
          <w:szCs w:val="16"/>
          <w:lang w:val="en-US"/>
        </w:rPr>
      </w:pPr>
      <w:r w:rsidRPr="004E5DB9">
        <w:rPr>
          <w:rStyle w:val="FootnoteReference"/>
          <w:sz w:val="16"/>
          <w:szCs w:val="16"/>
        </w:rPr>
        <w:footnoteRef/>
      </w:r>
      <w:r w:rsidRPr="004E5DB9">
        <w:rPr>
          <w:sz w:val="16"/>
          <w:szCs w:val="16"/>
        </w:rPr>
        <w:t xml:space="preserve"> </w:t>
      </w:r>
      <w:hyperlink r:id="rId34" w:history="1">
        <w:r w:rsidR="004E5DB9" w:rsidRPr="004E5DB9">
          <w:rPr>
            <w:rStyle w:val="Hyperlink"/>
            <w:sz w:val="16"/>
            <w:szCs w:val="16"/>
          </w:rPr>
          <w:t>https://news.un.org/en/story/2020/04/1062752</w:t>
        </w:r>
      </w:hyperlink>
    </w:p>
  </w:footnote>
  <w:footnote w:id="94">
    <w:p w14:paraId="0CACFA3C" w14:textId="5A3E158B" w:rsidR="009625D5" w:rsidRPr="009E2365" w:rsidRDefault="009625D5" w:rsidP="0099398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General Assembly, Human Rights Council, </w:t>
      </w:r>
      <w:hyperlink r:id="rId35" w:history="1">
        <w:r w:rsidR="00744652" w:rsidRPr="009E2365">
          <w:rPr>
            <w:rStyle w:val="Hyperlink"/>
            <w:rFonts w:cstheme="minorHAnsi"/>
            <w:sz w:val="16"/>
            <w:szCs w:val="16"/>
          </w:rPr>
          <w:t>R</w:t>
        </w:r>
        <w:r w:rsidRPr="009E2365">
          <w:rPr>
            <w:rStyle w:val="Hyperlink"/>
            <w:rFonts w:cstheme="minorHAnsi"/>
            <w:sz w:val="16"/>
            <w:szCs w:val="16"/>
          </w:rPr>
          <w:t>eport of the Working Group on the Universal Periodic Review (UPR): Bosnia and Herzegovina</w:t>
        </w:r>
      </w:hyperlink>
      <w:r w:rsidRPr="009E2365">
        <w:rPr>
          <w:rFonts w:cstheme="minorHAnsi"/>
          <w:sz w:val="16"/>
          <w:szCs w:val="16"/>
        </w:rPr>
        <w:t xml:space="preserve">, </w:t>
      </w:r>
      <w:r w:rsidR="009425FE" w:rsidRPr="009E2365">
        <w:rPr>
          <w:rFonts w:cstheme="minorHAnsi"/>
          <w:sz w:val="16"/>
          <w:szCs w:val="16"/>
        </w:rPr>
        <w:t>A/HRC/43/17, 19 December, 2019.</w:t>
      </w:r>
    </w:p>
  </w:footnote>
  <w:footnote w:id="95">
    <w:p w14:paraId="37A9518F" w14:textId="77777777" w:rsidR="009625D5" w:rsidRPr="009E2365" w:rsidRDefault="009625D5" w:rsidP="002C7DC2">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STEM: Science, technology, engineering, maths</w:t>
      </w:r>
    </w:p>
  </w:footnote>
  <w:footnote w:id="96">
    <w:p w14:paraId="75AAB143" w14:textId="77777777" w:rsidR="009625D5" w:rsidRPr="009E2365" w:rsidRDefault="009625D5" w:rsidP="0024684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FAO, Processor driven integration of small-scale farmers into value chains in Eastern Europe and Central Asia: A synthesis paper, 2014.</w:t>
      </w:r>
    </w:p>
  </w:footnote>
  <w:footnote w:id="97">
    <w:p w14:paraId="44FADDF7" w14:textId="77777777" w:rsidR="009625D5" w:rsidRPr="009E2365" w:rsidRDefault="009625D5" w:rsidP="00E15229">
      <w:pPr>
        <w:pStyle w:val="FootnoteText"/>
        <w:rPr>
          <w:rFonts w:cstheme="minorHAnsi"/>
          <w:sz w:val="16"/>
          <w:szCs w:val="16"/>
        </w:rPr>
      </w:pPr>
      <w:r w:rsidRPr="009E2365">
        <w:rPr>
          <w:rFonts w:cstheme="minorHAnsi"/>
          <w:sz w:val="16"/>
          <w:szCs w:val="16"/>
          <w:vertAlign w:val="superscript"/>
        </w:rPr>
        <w:footnoteRef/>
      </w:r>
      <w:r w:rsidRPr="009E2365">
        <w:rPr>
          <w:rFonts w:cstheme="minorHAnsi"/>
          <w:sz w:val="16"/>
          <w:szCs w:val="16"/>
        </w:rPr>
        <w:t xml:space="preserve"> INFORM Global Risk index, available at </w:t>
      </w:r>
      <w:hyperlink r:id="rId36">
        <w:r w:rsidRPr="009E2365">
          <w:rPr>
            <w:rStyle w:val="Hyperlink"/>
            <w:rFonts w:cstheme="minorHAnsi"/>
            <w:color w:val="0563C1"/>
            <w:sz w:val="16"/>
            <w:szCs w:val="16"/>
          </w:rPr>
          <w:t>https://drmkc.jrc.ec.europa.eu/inform-index/</w:t>
        </w:r>
      </w:hyperlink>
    </w:p>
  </w:footnote>
  <w:footnote w:id="98">
    <w:p w14:paraId="6722188E" w14:textId="77777777" w:rsidR="009625D5" w:rsidRPr="009E2365" w:rsidRDefault="009625D5" w:rsidP="00E15229">
      <w:pPr>
        <w:pStyle w:val="FootnoteText"/>
        <w:rPr>
          <w:rFonts w:cstheme="minorHAnsi"/>
          <w:sz w:val="16"/>
          <w:szCs w:val="16"/>
        </w:rPr>
      </w:pPr>
      <w:r w:rsidRPr="009E2365">
        <w:rPr>
          <w:rStyle w:val="FootnoteReference"/>
          <w:rFonts w:cstheme="minorHAnsi"/>
          <w:sz w:val="16"/>
          <w:szCs w:val="16"/>
        </w:rPr>
        <w:footnoteRef/>
      </w:r>
      <w:r w:rsidRPr="009E2365">
        <w:rPr>
          <w:rStyle w:val="FootnoteReference"/>
          <w:rFonts w:cstheme="minorHAnsi"/>
          <w:sz w:val="16"/>
          <w:szCs w:val="16"/>
        </w:rPr>
        <w:t xml:space="preserve"> </w:t>
      </w:r>
      <w:r w:rsidRPr="009E2365">
        <w:rPr>
          <w:rFonts w:cstheme="minorHAnsi"/>
          <w:sz w:val="16"/>
          <w:szCs w:val="16"/>
        </w:rPr>
        <w:t xml:space="preserve">On average, floods impact about 100,000 people annually and estimated loss to GDP of US $600 million. </w:t>
      </w:r>
      <w:r w:rsidRPr="009E2365">
        <w:rPr>
          <w:rFonts w:eastAsia="Calibri Light" w:cstheme="minorHAnsi"/>
          <w:sz w:val="16"/>
          <w:szCs w:val="16"/>
        </w:rPr>
        <w:t xml:space="preserve">The severe 2014 floods led to more than 20 deaths, the displacement of 90,000 people, and estimated economic losses of 15% of GDP.  See (1) </w:t>
      </w:r>
      <w:r w:rsidRPr="009E2365">
        <w:rPr>
          <w:rFonts w:cstheme="minorHAnsi"/>
          <w:sz w:val="16"/>
          <w:szCs w:val="16"/>
        </w:rPr>
        <w:t xml:space="preserve">INFORM Global Risk index, available at </w:t>
      </w:r>
      <w:hyperlink r:id="rId37">
        <w:r w:rsidRPr="009E2365">
          <w:rPr>
            <w:rStyle w:val="Hyperlink"/>
            <w:rFonts w:cstheme="minorHAnsi"/>
            <w:color w:val="0563C1"/>
            <w:sz w:val="16"/>
            <w:szCs w:val="16"/>
          </w:rPr>
          <w:t>https://drmkc.jrc.ec.europa.eu/inform-index/</w:t>
        </w:r>
      </w:hyperlink>
      <w:r w:rsidRPr="009E2365">
        <w:rPr>
          <w:rFonts w:cstheme="minorHAnsi"/>
          <w:sz w:val="16"/>
          <w:szCs w:val="16"/>
          <w:lang w:val="en-GB"/>
        </w:rPr>
        <w:t xml:space="preserve">; (2) </w:t>
      </w:r>
      <w:r w:rsidRPr="009E2365">
        <w:rPr>
          <w:rFonts w:cstheme="minorHAnsi"/>
          <w:sz w:val="16"/>
          <w:szCs w:val="16"/>
        </w:rPr>
        <w:t xml:space="preserve">World Bank, </w:t>
      </w:r>
      <w:r w:rsidRPr="009E2365">
        <w:rPr>
          <w:rFonts w:cstheme="minorHAnsi"/>
          <w:i/>
          <w:iCs/>
          <w:sz w:val="16"/>
          <w:szCs w:val="16"/>
        </w:rPr>
        <w:t>Global Facility for Disaster Reduction and Recovery</w:t>
      </w:r>
      <w:r w:rsidRPr="009E2365">
        <w:rPr>
          <w:rFonts w:cstheme="minorHAnsi"/>
          <w:sz w:val="16"/>
          <w:szCs w:val="16"/>
        </w:rPr>
        <w:t xml:space="preserve">: </w:t>
      </w:r>
      <w:hyperlink r:id="rId38" w:history="1">
        <w:r w:rsidRPr="009E2365">
          <w:rPr>
            <w:rStyle w:val="Hyperlink"/>
            <w:rFonts w:cstheme="minorHAnsi"/>
            <w:sz w:val="16"/>
            <w:szCs w:val="16"/>
          </w:rPr>
          <w:t>BiH</w:t>
        </w:r>
      </w:hyperlink>
      <w:r w:rsidRPr="009E2365">
        <w:rPr>
          <w:rFonts w:cstheme="minorHAnsi"/>
          <w:sz w:val="16"/>
          <w:szCs w:val="16"/>
        </w:rPr>
        <w:t>; (3) UNDP BiH (2017), Flood and Landslide Housing Risk Assessment.</w:t>
      </w:r>
    </w:p>
  </w:footnote>
  <w:footnote w:id="99">
    <w:p w14:paraId="2214F8E6" w14:textId="77777777" w:rsidR="009625D5" w:rsidRPr="009E2365" w:rsidRDefault="009625D5" w:rsidP="00E1522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GB"/>
        </w:rPr>
        <w:t>UNDP BiH (2019), In-depth climate change vulnerability assessment</w:t>
      </w:r>
    </w:p>
  </w:footnote>
  <w:footnote w:id="100">
    <w:p w14:paraId="1C60004F" w14:textId="77777777" w:rsidR="009625D5" w:rsidRPr="009E2365" w:rsidRDefault="009625D5" w:rsidP="00A543AA">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World Bank’s Human Capital Index. A child born in BiH today will reach only 62% of their productive potential when they grow up as compared to a child born in countries with best education and health care. When assessing education in BiH, the report shows that on average children can expect to complete 11.7 years of schooling by age 18. However, this is only equivalent to 8.6 years of effective learning.</w:t>
      </w:r>
    </w:p>
  </w:footnote>
  <w:footnote w:id="101">
    <w:p w14:paraId="0A222911" w14:textId="403EF9F5" w:rsidR="009625D5" w:rsidRPr="009E2365" w:rsidRDefault="009625D5" w:rsidP="0099398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00F6492A" w:rsidRPr="009E2365">
        <w:rPr>
          <w:rFonts w:cstheme="minorHAnsi"/>
          <w:sz w:val="16"/>
          <w:szCs w:val="16"/>
        </w:rPr>
        <w:t xml:space="preserve">UN General Assembly, Human Rights Council, </w:t>
      </w:r>
      <w:hyperlink r:id="rId39" w:history="1">
        <w:r w:rsidR="00F6492A" w:rsidRPr="009E2365">
          <w:rPr>
            <w:rStyle w:val="Hyperlink"/>
            <w:rFonts w:cstheme="minorHAnsi"/>
            <w:sz w:val="16"/>
            <w:szCs w:val="16"/>
          </w:rPr>
          <w:t>Report of the Working Group on the Universal Periodic Review (UPR): Bosnia and Herzegovina</w:t>
        </w:r>
      </w:hyperlink>
      <w:r w:rsidR="00F6492A" w:rsidRPr="009E2365">
        <w:rPr>
          <w:rFonts w:cstheme="minorHAnsi"/>
          <w:sz w:val="16"/>
          <w:szCs w:val="16"/>
        </w:rPr>
        <w:t>, A/HRC/43/17, 19 December, 2019.</w:t>
      </w:r>
    </w:p>
  </w:footnote>
  <w:footnote w:id="102">
    <w:p w14:paraId="29F89BA3" w14:textId="77777777" w:rsidR="009625D5" w:rsidRPr="009E2365" w:rsidRDefault="009625D5" w:rsidP="00A543AA">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UNTIL will function as a Laboratory and tool, offering innovative technologies, including AI, Blockchain, and Internet of Things (IoT) , advisory support and guidance for problem solving through hands-on workshops, immersion-learning, and incubated projects.</w:t>
      </w:r>
    </w:p>
  </w:footnote>
  <w:footnote w:id="103">
    <w:p w14:paraId="417773E3" w14:textId="77777777" w:rsidR="009625D5" w:rsidRPr="009E2365" w:rsidRDefault="009625D5" w:rsidP="00A543AA">
      <w:pPr>
        <w:widowControl w:val="0"/>
        <w:autoSpaceDE w:val="0"/>
        <w:autoSpaceDN w:val="0"/>
        <w:adjustRightInd w:val="0"/>
        <w:spacing w:after="0" w:line="240" w:lineRule="auto"/>
        <w:rPr>
          <w:rFonts w:eastAsiaTheme="minorEastAsia" w:cstheme="minorHAnsi"/>
          <w:color w:val="808080" w:themeColor="background1" w:themeShade="80"/>
          <w:sz w:val="16"/>
          <w:szCs w:val="16"/>
        </w:rPr>
      </w:pPr>
      <w:r w:rsidRPr="009E2365">
        <w:rPr>
          <w:rStyle w:val="FootnoteReference"/>
          <w:rFonts w:cstheme="minorHAnsi"/>
          <w:color w:val="404040" w:themeColor="text1" w:themeTint="BF"/>
          <w:sz w:val="16"/>
          <w:szCs w:val="16"/>
        </w:rPr>
        <w:footnoteRef/>
      </w:r>
      <w:r w:rsidRPr="009E2365">
        <w:rPr>
          <w:rFonts w:cstheme="minorHAnsi"/>
          <w:color w:val="404040" w:themeColor="text1" w:themeTint="BF"/>
          <w:sz w:val="16"/>
          <w:szCs w:val="16"/>
        </w:rPr>
        <w:t xml:space="preserve"> </w:t>
      </w:r>
      <w:r w:rsidRPr="009E2365">
        <w:rPr>
          <w:rFonts w:cstheme="minorHAnsi"/>
          <w:sz w:val="16"/>
          <w:szCs w:val="16"/>
        </w:rPr>
        <w:t xml:space="preserve">Economic analysis of ECD investments show estimated future returns on investment, through higher productivity and wages, amounting to 13% per annum. Short-term programme costs are more than offset by the immediate and long-term benefits through reduction in the need for special education, better health outcomes, reduced need for social services, lower criminal justice costs, and increased productivity See: (1) Lancet Series </w:t>
      </w:r>
      <w:hyperlink r:id="rId40" w:history="1">
        <w:r w:rsidRPr="009E2365">
          <w:rPr>
            <w:rStyle w:val="Hyperlink"/>
            <w:rFonts w:cstheme="minorHAnsi"/>
            <w:sz w:val="16"/>
            <w:szCs w:val="16"/>
          </w:rPr>
          <w:t>Advancing Early Childhood Development: from Science to Scale</w:t>
        </w:r>
      </w:hyperlink>
      <w:r w:rsidRPr="009E2365">
        <w:rPr>
          <w:rFonts w:cstheme="minorHAnsi"/>
          <w:color w:val="404040" w:themeColor="text1" w:themeTint="BF"/>
          <w:sz w:val="16"/>
          <w:szCs w:val="16"/>
        </w:rPr>
        <w:t xml:space="preserve">, 2016; </w:t>
      </w:r>
      <w:r w:rsidRPr="009E2365">
        <w:rPr>
          <w:rFonts w:eastAsiaTheme="minorEastAsia" w:cstheme="minorHAnsi"/>
          <w:color w:val="404040" w:themeColor="text1" w:themeTint="BF"/>
          <w:sz w:val="16"/>
          <w:szCs w:val="16"/>
        </w:rPr>
        <w:t xml:space="preserve">(2) </w:t>
      </w:r>
      <w:hyperlink r:id="rId41" w:history="1">
        <w:r w:rsidRPr="009E2365">
          <w:rPr>
            <w:rStyle w:val="Hyperlink"/>
            <w:rFonts w:eastAsiaTheme="minorEastAsia" w:cstheme="minorHAnsi"/>
            <w:sz w:val="16"/>
            <w:szCs w:val="16"/>
          </w:rPr>
          <w:t>Invest in Early Childhood Development: Reduce Deficits, Strengthen the Economy</w:t>
        </w:r>
      </w:hyperlink>
      <w:r w:rsidRPr="009E2365">
        <w:rPr>
          <w:rFonts w:eastAsiaTheme="minorEastAsia" w:cstheme="minorHAnsi"/>
          <w:color w:val="404040" w:themeColor="text1" w:themeTint="BF"/>
          <w:sz w:val="16"/>
          <w:szCs w:val="16"/>
        </w:rPr>
        <w:t xml:space="preserve">, and </w:t>
      </w:r>
      <w:hyperlink r:id="rId42" w:history="1">
        <w:r w:rsidRPr="009E2365">
          <w:rPr>
            <w:rStyle w:val="Hyperlink"/>
            <w:rFonts w:eastAsiaTheme="minorEastAsia" w:cstheme="minorHAnsi"/>
            <w:sz w:val="16"/>
            <w:szCs w:val="16"/>
          </w:rPr>
          <w:t>There’s more to gain by taking a comprehensive approach to ECD</w:t>
        </w:r>
      </w:hyperlink>
      <w:r w:rsidRPr="009E2365">
        <w:rPr>
          <w:rFonts w:eastAsiaTheme="minorEastAsia" w:cstheme="minorHAnsi"/>
          <w:color w:val="404040" w:themeColor="text1" w:themeTint="BF"/>
          <w:sz w:val="16"/>
          <w:szCs w:val="16"/>
        </w:rPr>
        <w:t>,  J.J. Heckman at the</w:t>
      </w:r>
      <w:r w:rsidRPr="009E2365">
        <w:rPr>
          <w:rFonts w:eastAsiaTheme="minorEastAsia" w:cstheme="minorHAnsi"/>
          <w:color w:val="808080" w:themeColor="background1" w:themeShade="80"/>
          <w:sz w:val="16"/>
          <w:szCs w:val="16"/>
        </w:rPr>
        <w:t xml:space="preserve"> </w:t>
      </w:r>
      <w:hyperlink r:id="rId43" w:history="1">
        <w:r w:rsidRPr="009E2365">
          <w:rPr>
            <w:rStyle w:val="Hyperlink"/>
            <w:rFonts w:eastAsiaTheme="minorEastAsia" w:cstheme="minorHAnsi"/>
            <w:sz w:val="16"/>
            <w:szCs w:val="16"/>
          </w:rPr>
          <w:t>Heckman Equation</w:t>
        </w:r>
      </w:hyperlink>
      <w:r w:rsidRPr="009E2365">
        <w:rPr>
          <w:rFonts w:eastAsiaTheme="minorEastAsia" w:cstheme="minorHAnsi"/>
          <w:color w:val="404040" w:themeColor="text1" w:themeTint="BF"/>
          <w:sz w:val="16"/>
          <w:szCs w:val="16"/>
        </w:rPr>
        <w:t xml:space="preserve">, dld Nov 2018; (3)  UNICEF, </w:t>
      </w:r>
      <w:hyperlink r:id="rId44" w:history="1">
        <w:r w:rsidRPr="009E2365">
          <w:rPr>
            <w:rStyle w:val="Hyperlink"/>
            <w:rFonts w:eastAsiaTheme="minorEastAsia" w:cstheme="minorHAnsi"/>
            <w:sz w:val="16"/>
            <w:szCs w:val="16"/>
          </w:rPr>
          <w:t>Evidence for ECD Investment</w:t>
        </w:r>
      </w:hyperlink>
      <w:r w:rsidRPr="009E2365">
        <w:rPr>
          <w:rFonts w:eastAsiaTheme="minorEastAsia" w:cstheme="minorHAnsi"/>
          <w:color w:val="404040" w:themeColor="text1" w:themeTint="BF"/>
          <w:sz w:val="16"/>
          <w:szCs w:val="16"/>
        </w:rPr>
        <w:t xml:space="preserve">, Dec 2015; (4) </w:t>
      </w:r>
      <w:r w:rsidRPr="009E2365">
        <w:rPr>
          <w:rFonts w:cstheme="minorHAnsi"/>
          <w:sz w:val="16"/>
          <w:szCs w:val="16"/>
        </w:rPr>
        <w:t xml:space="preserve">OECD, </w:t>
      </w:r>
      <w:hyperlink r:id="rId45" w:history="1">
        <w:r w:rsidRPr="009E2365">
          <w:rPr>
            <w:rStyle w:val="Hyperlink"/>
            <w:rFonts w:cstheme="minorHAnsi"/>
            <w:sz w:val="16"/>
            <w:szCs w:val="16"/>
          </w:rPr>
          <w:t>Investing in high quality early childhood education and care</w:t>
        </w:r>
      </w:hyperlink>
      <w:r w:rsidRPr="009E2365">
        <w:rPr>
          <w:rFonts w:cstheme="minorHAnsi"/>
          <w:sz w:val="16"/>
          <w:szCs w:val="16"/>
        </w:rPr>
        <w:t xml:space="preserve">, OECD, dld Oct 2017; (5) World Bank, </w:t>
      </w:r>
      <w:hyperlink r:id="rId46" w:history="1">
        <w:r w:rsidRPr="009E2365">
          <w:rPr>
            <w:rStyle w:val="Hyperlink"/>
            <w:rFonts w:cstheme="minorHAnsi"/>
            <w:sz w:val="16"/>
            <w:szCs w:val="16"/>
          </w:rPr>
          <w:t>Investing in Early Childhood Development</w:t>
        </w:r>
      </w:hyperlink>
      <w:r w:rsidRPr="009E2365">
        <w:rPr>
          <w:rFonts w:cstheme="minorHAnsi"/>
          <w:sz w:val="16"/>
          <w:szCs w:val="16"/>
        </w:rPr>
        <w:t>, Review of the World Bank’s Recent Experience, 2015. 2-3, 32, 58.</w:t>
      </w:r>
      <w:r w:rsidRPr="009E2365">
        <w:rPr>
          <w:rFonts w:eastAsiaTheme="minorEastAsia" w:cstheme="minorHAnsi"/>
          <w:color w:val="404040" w:themeColor="text1" w:themeTint="BF"/>
          <w:sz w:val="16"/>
          <w:szCs w:val="16"/>
        </w:rPr>
        <w:t>,</w:t>
      </w:r>
      <w:r w:rsidRPr="009E2365">
        <w:rPr>
          <w:rFonts w:eastAsiaTheme="minorEastAsia" w:cstheme="minorHAnsi"/>
          <w:color w:val="808080" w:themeColor="background1" w:themeShade="80"/>
          <w:sz w:val="16"/>
          <w:szCs w:val="16"/>
        </w:rPr>
        <w:t xml:space="preserve"> </w:t>
      </w:r>
      <w:hyperlink r:id="rId47" w:history="1">
        <w:r w:rsidRPr="009E2365">
          <w:rPr>
            <w:rStyle w:val="Hyperlink"/>
            <w:rFonts w:eastAsiaTheme="minorEastAsia" w:cstheme="minorHAnsi"/>
            <w:sz w:val="16"/>
            <w:szCs w:val="16"/>
          </w:rPr>
          <w:t>Why invest in ECD?</w:t>
        </w:r>
      </w:hyperlink>
      <w:r w:rsidRPr="009E2365">
        <w:rPr>
          <w:rFonts w:eastAsiaTheme="minorEastAsia" w:cstheme="minorHAnsi"/>
          <w:color w:val="808080" w:themeColor="background1" w:themeShade="80"/>
          <w:sz w:val="16"/>
          <w:szCs w:val="16"/>
        </w:rPr>
        <w:t xml:space="preserve">, </w:t>
      </w:r>
      <w:r w:rsidRPr="009E2365">
        <w:rPr>
          <w:rFonts w:eastAsiaTheme="minorEastAsia" w:cstheme="minorHAnsi"/>
          <w:sz w:val="16"/>
          <w:szCs w:val="16"/>
        </w:rPr>
        <w:t>dld Nov 2019.</w:t>
      </w:r>
    </w:p>
  </w:footnote>
  <w:footnote w:id="104">
    <w:p w14:paraId="1EA5A3BC" w14:textId="77777777" w:rsidR="009625D5" w:rsidRPr="009E2365" w:rsidRDefault="009625D5" w:rsidP="00A543AA">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A strategic ECD programme for 2016-2021 for RS has been adopted. In 2018 Standards and Norms of Health Care Services in the FBiH were revised to include innovative integrated early childhood development (IECD) services as part of the primary healthcare package. It promotes universal coverage of IECD and Early Childhood Interventions (ECI) services mainstreamed within the health sector and funded through the ten Cantonal Health Insurance Funds</w:t>
      </w:r>
    </w:p>
  </w:footnote>
  <w:footnote w:id="105">
    <w:p w14:paraId="0E64A08F" w14:textId="6C8F3C01" w:rsidR="009625D5" w:rsidRPr="009E2365" w:rsidRDefault="009625D5" w:rsidP="007B344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00F6492A" w:rsidRPr="009E2365">
        <w:rPr>
          <w:rFonts w:cstheme="minorHAnsi"/>
          <w:sz w:val="16"/>
          <w:szCs w:val="16"/>
        </w:rPr>
        <w:t xml:space="preserve">UN General Assembly, Human Rights Council, </w:t>
      </w:r>
      <w:hyperlink r:id="rId48" w:history="1">
        <w:r w:rsidR="00F6492A" w:rsidRPr="009E2365">
          <w:rPr>
            <w:rStyle w:val="Hyperlink"/>
            <w:rFonts w:cstheme="minorHAnsi"/>
            <w:sz w:val="16"/>
            <w:szCs w:val="16"/>
          </w:rPr>
          <w:t>Report of the Working Group on the Universal Periodic Review (UPR): Bosnia and Herzegovina</w:t>
        </w:r>
      </w:hyperlink>
      <w:r w:rsidR="00F6492A" w:rsidRPr="009E2365">
        <w:rPr>
          <w:rFonts w:cstheme="minorHAnsi"/>
          <w:sz w:val="16"/>
          <w:szCs w:val="16"/>
        </w:rPr>
        <w:t>, A/HRC/43/17, 19 December, 2019.</w:t>
      </w:r>
    </w:p>
  </w:footnote>
  <w:footnote w:id="106">
    <w:p w14:paraId="3A5C11D3" w14:textId="3C172257" w:rsidR="009625D5" w:rsidRPr="009575D9" w:rsidRDefault="009625D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(1) </w:t>
      </w:r>
      <w:r w:rsidRPr="009575D9">
        <w:rPr>
          <w:rFonts w:cstheme="minorHAnsi"/>
          <w:sz w:val="16"/>
          <w:szCs w:val="16"/>
        </w:rPr>
        <w:t xml:space="preserve">UNDP calculations, based on data (for most recent year available) from the ILO World Social Protection Report 2017-2019; (2) </w:t>
      </w:r>
      <w:r w:rsidRPr="009575D9">
        <w:rPr>
          <w:rFonts w:cstheme="minorHAnsi"/>
          <w:i/>
          <w:iCs/>
          <w:sz w:val="16"/>
          <w:szCs w:val="16"/>
        </w:rPr>
        <w:t>World Bank ASPIRE data base (2015 data).</w:t>
      </w:r>
    </w:p>
  </w:footnote>
  <w:footnote w:id="107">
    <w:p w14:paraId="65BBB4AB" w14:textId="1D6250C6" w:rsidR="00C358F1" w:rsidRPr="009E2365" w:rsidRDefault="00C358F1">
      <w:pPr>
        <w:pStyle w:val="FootnoteText"/>
        <w:rPr>
          <w:rFonts w:cstheme="minorHAnsi"/>
          <w:sz w:val="16"/>
          <w:szCs w:val="16"/>
        </w:rPr>
      </w:pPr>
      <w:r w:rsidRPr="009575D9">
        <w:rPr>
          <w:rStyle w:val="FootnoteReference"/>
          <w:rFonts w:cstheme="minorHAnsi"/>
          <w:sz w:val="16"/>
          <w:szCs w:val="16"/>
        </w:rPr>
        <w:footnoteRef/>
      </w:r>
      <w:r w:rsidRPr="009575D9">
        <w:rPr>
          <w:rFonts w:cstheme="minorHAnsi"/>
          <w:sz w:val="16"/>
          <w:szCs w:val="16"/>
        </w:rPr>
        <w:t xml:space="preserve"> This includes </w:t>
      </w:r>
      <w:r w:rsidR="000B2AD1" w:rsidRPr="009575D9">
        <w:rPr>
          <w:rFonts w:cstheme="minorHAnsi"/>
          <w:sz w:val="16"/>
          <w:szCs w:val="16"/>
        </w:rPr>
        <w:t xml:space="preserve">technical assistance and training to expand </w:t>
      </w:r>
      <w:r w:rsidRPr="009575D9">
        <w:rPr>
          <w:rFonts w:cstheme="minorHAnsi"/>
          <w:sz w:val="16"/>
          <w:szCs w:val="16"/>
        </w:rPr>
        <w:t xml:space="preserve">radiotherapy and nuclear medicine </w:t>
      </w:r>
      <w:r w:rsidR="000B2AD1" w:rsidRPr="009575D9">
        <w:rPr>
          <w:rFonts w:cstheme="minorHAnsi"/>
          <w:sz w:val="16"/>
          <w:szCs w:val="16"/>
        </w:rPr>
        <w:t xml:space="preserve">services for </w:t>
      </w:r>
      <w:r w:rsidRPr="009575D9">
        <w:rPr>
          <w:rFonts w:cstheme="minorHAnsi"/>
          <w:sz w:val="16"/>
          <w:szCs w:val="16"/>
        </w:rPr>
        <w:t xml:space="preserve">effective treatment </w:t>
      </w:r>
      <w:r w:rsidR="000B2AD1" w:rsidRPr="009575D9">
        <w:rPr>
          <w:rFonts w:cstheme="minorHAnsi"/>
          <w:sz w:val="16"/>
          <w:szCs w:val="16"/>
        </w:rPr>
        <w:t xml:space="preserve">of </w:t>
      </w:r>
      <w:r w:rsidRPr="009575D9">
        <w:rPr>
          <w:rFonts w:cstheme="minorHAnsi"/>
          <w:sz w:val="16"/>
          <w:szCs w:val="16"/>
        </w:rPr>
        <w:t>non-communicable diseases</w:t>
      </w:r>
      <w:r w:rsidR="000B2AD1" w:rsidRPr="009575D9">
        <w:rPr>
          <w:rFonts w:cstheme="minorHAnsi"/>
          <w:sz w:val="16"/>
          <w:szCs w:val="16"/>
        </w:rPr>
        <w:t xml:space="preserve">, </w:t>
      </w:r>
      <w:r w:rsidRPr="009575D9">
        <w:rPr>
          <w:rFonts w:cstheme="minorHAnsi"/>
          <w:sz w:val="16"/>
          <w:szCs w:val="16"/>
        </w:rPr>
        <w:t>as well as radiation protection of patients</w:t>
      </w:r>
      <w:r w:rsidR="000B2AD1" w:rsidRPr="009575D9">
        <w:rPr>
          <w:rFonts w:cstheme="minorHAnsi"/>
          <w:sz w:val="16"/>
          <w:szCs w:val="16"/>
        </w:rPr>
        <w:t>.</w:t>
      </w:r>
    </w:p>
  </w:footnote>
  <w:footnote w:id="108">
    <w:p w14:paraId="6F75F14B" w14:textId="1F10BBBA" w:rsidR="009625D5" w:rsidRPr="009E2365" w:rsidRDefault="009625D5" w:rsidP="0087649A">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00F6492A" w:rsidRPr="009E2365">
        <w:rPr>
          <w:rFonts w:cstheme="minorHAnsi"/>
          <w:sz w:val="16"/>
          <w:szCs w:val="16"/>
        </w:rPr>
        <w:t xml:space="preserve">UN General Assembly, Human Rights Council, </w:t>
      </w:r>
      <w:hyperlink r:id="rId49" w:history="1">
        <w:r w:rsidR="00F6492A" w:rsidRPr="009E2365">
          <w:rPr>
            <w:rStyle w:val="Hyperlink"/>
            <w:rFonts w:cstheme="minorHAnsi"/>
            <w:sz w:val="16"/>
            <w:szCs w:val="16"/>
          </w:rPr>
          <w:t>Report of the Working Group on the Universal Periodic Review (UPR): Bosnia and Herzegovina</w:t>
        </w:r>
      </w:hyperlink>
      <w:r w:rsidR="00F6492A" w:rsidRPr="009E2365">
        <w:rPr>
          <w:rFonts w:cstheme="minorHAnsi"/>
          <w:sz w:val="16"/>
          <w:szCs w:val="16"/>
        </w:rPr>
        <w:t>, A/HRC/43/17, 19 December, 2019.</w:t>
      </w:r>
    </w:p>
  </w:footnote>
  <w:footnote w:id="109">
    <w:p w14:paraId="031C3D15" w14:textId="77777777" w:rsidR="009625D5" w:rsidRPr="009E2365" w:rsidRDefault="009625D5" w:rsidP="00170C24">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involves a shift away from ‘</w:t>
      </w:r>
      <w:r w:rsidRPr="009E2365">
        <w:rPr>
          <w:rFonts w:cstheme="minorHAnsi"/>
          <w:i/>
          <w:sz w:val="16"/>
          <w:szCs w:val="16"/>
        </w:rPr>
        <w:t>regulate and forget</w:t>
      </w:r>
      <w:r w:rsidRPr="009E2365">
        <w:rPr>
          <w:rFonts w:cstheme="minorHAnsi"/>
          <w:sz w:val="16"/>
          <w:szCs w:val="16"/>
        </w:rPr>
        <w:t xml:space="preserve">’ toward a regulatory framework that </w:t>
      </w:r>
      <w:r w:rsidRPr="009E2365">
        <w:rPr>
          <w:rFonts w:cstheme="minorHAnsi"/>
          <w:b/>
          <w:sz w:val="16"/>
          <w:szCs w:val="16"/>
        </w:rPr>
        <w:t>is adaptive, open to experimentation, focused on results, and collaborative</w:t>
      </w:r>
      <w:r w:rsidRPr="009E2365">
        <w:rPr>
          <w:rFonts w:cstheme="minorHAnsi"/>
          <w:sz w:val="16"/>
          <w:szCs w:val="16"/>
        </w:rPr>
        <w:t xml:space="preserve"> across sectors, administrative jurisdictions and with the private sector. Deloitte Insights, </w:t>
      </w:r>
      <w:hyperlink r:id="rId50" w:history="1">
        <w:r w:rsidRPr="009E2365">
          <w:rPr>
            <w:rStyle w:val="Hyperlink"/>
            <w:rFonts w:cstheme="minorHAnsi"/>
            <w:sz w:val="16"/>
            <w:szCs w:val="16"/>
          </w:rPr>
          <w:t>The Future of Regulation – Principles for regulating emerging technologies</w:t>
        </w:r>
      </w:hyperlink>
      <w:r w:rsidRPr="009E2365">
        <w:rPr>
          <w:rFonts w:cstheme="minorHAnsi"/>
          <w:sz w:val="16"/>
          <w:szCs w:val="16"/>
        </w:rPr>
        <w:t xml:space="preserve">, dld Oct 2018. </w:t>
      </w:r>
    </w:p>
  </w:footnote>
  <w:footnote w:id="110">
    <w:p w14:paraId="6D5FFFDB" w14:textId="77777777" w:rsidR="009625D5" w:rsidRPr="009E2365" w:rsidRDefault="009625D5" w:rsidP="002874BD">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See 6 characteristics of a </w:t>
      </w:r>
      <w:hyperlink r:id="rId51" w:history="1">
        <w:r w:rsidRPr="009E2365">
          <w:rPr>
            <w:rStyle w:val="Hyperlink"/>
            <w:rFonts w:cstheme="minorHAnsi"/>
            <w:sz w:val="16"/>
            <w:szCs w:val="16"/>
          </w:rPr>
          <w:t>‘high performing’ civil service</w:t>
        </w:r>
      </w:hyperlink>
      <w:r w:rsidRPr="009E2365">
        <w:rPr>
          <w:rFonts w:cstheme="minorHAnsi"/>
          <w:sz w:val="16"/>
          <w:szCs w:val="16"/>
        </w:rPr>
        <w:t xml:space="preserve"> M. Jarvis, Mowat Centre, School of Public Policy &amp; Governance, University of Toronto, 2016.</w:t>
      </w:r>
    </w:p>
  </w:footnote>
  <w:footnote w:id="111">
    <w:p w14:paraId="20899F9B" w14:textId="77777777" w:rsidR="009625D5" w:rsidRPr="009E2365" w:rsidRDefault="009625D5" w:rsidP="00CE2FD6">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 Constitution of BiH includes the Convention on the elimination of all forms of discrimination against women (CEDAW), and the country has ratified the Council of Europe Convention on preventing and combating violence against women and domestic violence (the Istanbul Convention). The CEDAW commitments and recommendations of the Committee for the Elimination of Discrimination Against Women, as well as other UN recommendations on women's human rights and gender equality, are included in the priorities of the third Gender Action Plan 2018-2022. In 2015, BiH adopted a Framework Strategy for the implementation of Istanbul Convention for the period 2015-2018. BiH is regularly reporting on its progress towards international bodies for gender equality and advancement of women’s human rights; civil society is closely following all reporting and is submitting alternative reports accordingly.</w:t>
      </w:r>
    </w:p>
  </w:footnote>
  <w:footnote w:id="112">
    <w:p w14:paraId="5ABCC77C" w14:textId="77777777" w:rsidR="009625D5" w:rsidRPr="009E2365" w:rsidRDefault="009625D5" w:rsidP="00CE2FD6">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Rural women and Roma women have limited access to social protection benefits and to health insurance compared to urban women and men.</w:t>
      </w:r>
    </w:p>
  </w:footnote>
  <w:footnote w:id="113">
    <w:p w14:paraId="173DD982" w14:textId="77777777" w:rsidR="009625D5" w:rsidRPr="009E2365" w:rsidRDefault="009625D5" w:rsidP="00CE2FD6">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Common Country Analysis for BiH (CCA), UN, 2019 (draft), 26-27, 36.</w:t>
      </w:r>
    </w:p>
  </w:footnote>
  <w:footnote w:id="114">
    <w:p w14:paraId="6D401C68" w14:textId="4200B5D5" w:rsidR="009625D5" w:rsidRPr="009E2365" w:rsidRDefault="009625D5" w:rsidP="00F757B7">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00F6492A" w:rsidRPr="009E2365">
        <w:rPr>
          <w:rFonts w:cstheme="minorHAnsi"/>
          <w:sz w:val="16"/>
          <w:szCs w:val="16"/>
        </w:rPr>
        <w:t xml:space="preserve">UN General Assembly, Human Rights Council, </w:t>
      </w:r>
      <w:hyperlink r:id="rId52" w:history="1">
        <w:r w:rsidR="00F6492A" w:rsidRPr="009E2365">
          <w:rPr>
            <w:rStyle w:val="Hyperlink"/>
            <w:rFonts w:cstheme="minorHAnsi"/>
            <w:sz w:val="16"/>
            <w:szCs w:val="16"/>
          </w:rPr>
          <w:t>Report of the Working Group on the Universal Periodic Review (UPR): Bosnia and Herzegovina</w:t>
        </w:r>
      </w:hyperlink>
      <w:r w:rsidR="00F6492A" w:rsidRPr="009E2365">
        <w:rPr>
          <w:rFonts w:cstheme="minorHAnsi"/>
          <w:sz w:val="16"/>
          <w:szCs w:val="16"/>
        </w:rPr>
        <w:t>, A/HRC/43/17, 19 December, 2019.</w:t>
      </w:r>
    </w:p>
  </w:footnote>
  <w:footnote w:id="115">
    <w:p w14:paraId="6CF67DC5" w14:textId="2C4A1A01" w:rsidR="009625D5" w:rsidRPr="009E2365" w:rsidRDefault="009625D5" w:rsidP="007C5C45">
      <w:pPr>
        <w:pStyle w:val="FootnoteText"/>
        <w:ind w:right="-75"/>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system-wide commitment to strengthen its support for trust-building and dialogue in the region, as agreed by UN leadership in 2019.</w:t>
      </w:r>
      <w:r w:rsidRPr="009E2365" w:rsidDel="00762DD5">
        <w:rPr>
          <w:rFonts w:cstheme="minorHAnsi"/>
          <w:sz w:val="16"/>
          <w:szCs w:val="16"/>
        </w:rPr>
        <w:t xml:space="preserve"> </w:t>
      </w:r>
    </w:p>
  </w:footnote>
  <w:footnote w:id="116">
    <w:p w14:paraId="4743D332" w14:textId="77777777" w:rsidR="009625D5" w:rsidRPr="009E2365" w:rsidRDefault="009625D5">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These links could pave the way for the development of a comprehensive employment policy framework and local employment plans with high levels of private sector engagement.</w:t>
      </w:r>
    </w:p>
  </w:footnote>
  <w:footnote w:id="117">
    <w:p w14:paraId="1009FCE9" w14:textId="1649FA36" w:rsidR="009625D5" w:rsidRPr="009E2365" w:rsidRDefault="009625D5" w:rsidP="00A62677">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r w:rsidRPr="009E2365">
        <w:rPr>
          <w:rFonts w:cstheme="minorHAnsi"/>
          <w:sz w:val="16"/>
          <w:szCs w:val="16"/>
          <w:lang w:val="en-GB"/>
        </w:rPr>
        <w:t xml:space="preserve">To better understand education and employment challenges for girls and women it will be important to </w:t>
      </w:r>
      <w:r w:rsidRPr="002848C1">
        <w:rPr>
          <w:rFonts w:cstheme="minorHAnsi"/>
          <w:sz w:val="16"/>
          <w:szCs w:val="16"/>
          <w:lang w:val="en-GB"/>
        </w:rPr>
        <w:t>develop capacities in household and time-use surveys in BiH</w:t>
      </w:r>
    </w:p>
  </w:footnote>
  <w:footnote w:id="118">
    <w:p w14:paraId="34A87F70" w14:textId="77777777" w:rsidR="003620D8" w:rsidRPr="009E2365" w:rsidRDefault="003620D8" w:rsidP="003620D8">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WHO, </w:t>
      </w:r>
      <w:hyperlink r:id="rId53" w:history="1">
        <w:r w:rsidRPr="009E2365">
          <w:rPr>
            <w:rStyle w:val="Hyperlink"/>
            <w:rFonts w:cstheme="minorHAnsi"/>
            <w:sz w:val="16"/>
            <w:szCs w:val="16"/>
          </w:rPr>
          <w:t>COVID</w:t>
        </w:r>
        <w:r w:rsidRPr="009E2365">
          <w:rPr>
            <w:rStyle w:val="Hyperlink"/>
            <w:rFonts w:cstheme="minorHAnsi"/>
            <w:sz w:val="16"/>
            <w:szCs w:val="16"/>
          </w:rPr>
          <w:noBreakHyphen/>
          <w:t>19 STRATEGY UPDATE</w:t>
        </w:r>
      </w:hyperlink>
      <w:r w:rsidRPr="009E2365">
        <w:rPr>
          <w:rFonts w:cstheme="minorHAnsi"/>
          <w:sz w:val="16"/>
          <w:szCs w:val="16"/>
        </w:rPr>
        <w:t>, 14 April, 2020.</w:t>
      </w:r>
    </w:p>
  </w:footnote>
  <w:footnote w:id="119">
    <w:p w14:paraId="6A381EA7" w14:textId="77777777" w:rsidR="009625D5" w:rsidRPr="009E2365" w:rsidRDefault="009625D5" w:rsidP="0021007A">
      <w:pPr>
        <w:pStyle w:val="FootnoteText"/>
        <w:ind w:right="-138"/>
        <w:rPr>
          <w:rFonts w:cstheme="minorHAnsi"/>
          <w:sz w:val="16"/>
          <w:szCs w:val="16"/>
          <w:lang w:val="en-US"/>
        </w:rPr>
      </w:pPr>
      <w:r w:rsidRPr="009E2365">
        <w:rPr>
          <w:rStyle w:val="FootnoteReference"/>
          <w:rFonts w:cstheme="minorHAnsi"/>
          <w:sz w:val="16"/>
          <w:szCs w:val="16"/>
        </w:rPr>
        <w:footnoteRef/>
      </w:r>
      <w:r w:rsidRPr="009E2365">
        <w:rPr>
          <w:rFonts w:cstheme="minorHAnsi"/>
          <w:sz w:val="16"/>
          <w:szCs w:val="16"/>
        </w:rPr>
        <w:t xml:space="preserve"> Capacity development: Capacity development is the process whereby people, organizations and society as a whole create and strengthen their skills and abilities for positive economic, social, and environmental change. A capacity development approach will inform all aspects of this CF.</w:t>
      </w:r>
    </w:p>
  </w:footnote>
  <w:footnote w:id="120">
    <w:p w14:paraId="05FCECB9" w14:textId="77777777" w:rsidR="009625D5" w:rsidRPr="009E2365" w:rsidRDefault="009625D5" w:rsidP="00CC4EC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Sustainable Development Goals Framework in BiH, June 2019 (DRAFT).</w:t>
      </w:r>
    </w:p>
  </w:footnote>
  <w:footnote w:id="121">
    <w:p w14:paraId="531238F1" w14:textId="77777777" w:rsidR="009625D5" w:rsidRPr="009E2365" w:rsidRDefault="009625D5" w:rsidP="00CC4EC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In the case of UNDP, the Government Coordinating Authority will nominate the Government Co-operating Agency directly responsible for the Government’s participation in each UNDP-assisted workplan. The reference to “Implementing Partner(s)” shall mean “Executing Agency(s)” as used in the SBAA. Where there are multiple implementing partners identified in a workplan, a Principal Implementing Partner will be identified who will have responsibility for convening, coordinating and overall monitoring (programme and financial) of all the Implementing Partners identified in the workplan to ensure that inputs are provided and activities undertaken in a coherent manner to produce the results of the workplan.  </w:t>
      </w:r>
    </w:p>
  </w:footnote>
  <w:footnote w:id="122">
    <w:p w14:paraId="7D1F572E" w14:textId="77777777" w:rsidR="009625D5" w:rsidRPr="009E2365" w:rsidRDefault="009625D5" w:rsidP="00A62677">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the purposes of these clauses, ‘the UN’ includes the IFIs.</w:t>
      </w:r>
    </w:p>
  </w:footnote>
  <w:footnote w:id="123">
    <w:p w14:paraId="3660738D" w14:textId="77777777" w:rsidR="009625D5" w:rsidRPr="009E2365" w:rsidRDefault="009625D5" w:rsidP="00A62677">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For example, by: Sex, income, education level, and disability status. </w:t>
      </w:r>
    </w:p>
  </w:footnote>
  <w:footnote w:id="124">
    <w:p w14:paraId="2D3DBB2B" w14:textId="77777777" w:rsidR="009625D5" w:rsidRPr="009E2365" w:rsidRDefault="009625D5" w:rsidP="00A62677">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 progress update will follow the UNSDG Standard Operational Format and Guidelines for Reporting Progress on the Cooperation Framework.</w:t>
      </w:r>
    </w:p>
  </w:footnote>
  <w:footnote w:id="125">
    <w:p w14:paraId="582FBE3A" w14:textId="5B650BCD" w:rsidR="009625D5" w:rsidRPr="008A4F9F" w:rsidRDefault="009625D5" w:rsidP="008A4F9F">
      <w:pPr>
        <w:pStyle w:val="FootnoteText"/>
        <w:rPr>
          <w:sz w:val="16"/>
          <w:szCs w:val="16"/>
        </w:rPr>
      </w:pPr>
      <w:r w:rsidRPr="00E05038">
        <w:rPr>
          <w:rStyle w:val="FootnoteReference"/>
          <w:rFonts w:cstheme="minorHAnsi"/>
          <w:sz w:val="16"/>
          <w:szCs w:val="16"/>
        </w:rPr>
        <w:footnoteRef/>
      </w:r>
      <w:r w:rsidRPr="00E05038">
        <w:rPr>
          <w:rFonts w:cstheme="minorHAnsi"/>
          <w:sz w:val="16"/>
          <w:szCs w:val="16"/>
        </w:rPr>
        <w:t xml:space="preserve"> These criteria and considerations per: The United Nations Evaluation Group (UNEG), </w:t>
      </w:r>
      <w:hyperlink r:id="rId54" w:history="1">
        <w:r w:rsidRPr="00E05038">
          <w:rPr>
            <w:rStyle w:val="Hyperlink"/>
            <w:rFonts w:cstheme="minorHAnsi"/>
            <w:sz w:val="16"/>
            <w:szCs w:val="16"/>
          </w:rPr>
          <w:t>Norms and Standards for Evaluation</w:t>
        </w:r>
      </w:hyperlink>
      <w:r w:rsidRPr="00E05038">
        <w:rPr>
          <w:rFonts w:cstheme="minorHAnsi"/>
          <w:sz w:val="16"/>
          <w:szCs w:val="16"/>
        </w:rPr>
        <w:t>, 2017.</w:t>
      </w:r>
    </w:p>
  </w:footnote>
  <w:footnote w:id="126">
    <w:p w14:paraId="790DE083" w14:textId="77777777" w:rsidR="009625D5" w:rsidRPr="00AB628C" w:rsidRDefault="009625D5" w:rsidP="00FD44F5">
      <w:pPr>
        <w:pStyle w:val="FootnoteText"/>
        <w:rPr>
          <w:rFonts w:cstheme="minorHAnsi"/>
          <w:sz w:val="16"/>
          <w:szCs w:val="16"/>
        </w:rPr>
      </w:pPr>
      <w:r w:rsidRPr="00AB628C">
        <w:rPr>
          <w:rStyle w:val="FootnoteReference"/>
          <w:rFonts w:cstheme="minorHAnsi"/>
          <w:sz w:val="16"/>
          <w:szCs w:val="16"/>
        </w:rPr>
        <w:footnoteRef/>
      </w:r>
      <w:r w:rsidRPr="00AB628C">
        <w:rPr>
          <w:rFonts w:cstheme="minorHAnsi"/>
          <w:sz w:val="16"/>
          <w:szCs w:val="16"/>
        </w:rPr>
        <w:t xml:space="preserve"> See: </w:t>
      </w:r>
      <w:hyperlink r:id="rId55" w:history="1">
        <w:r w:rsidRPr="00AB628C">
          <w:rPr>
            <w:rStyle w:val="Hyperlink"/>
            <w:rFonts w:cstheme="minorHAnsi"/>
            <w:sz w:val="16"/>
            <w:szCs w:val="16"/>
          </w:rPr>
          <w:t>https://sustainabledevelopment.un.org/sdgs</w:t>
        </w:r>
      </w:hyperlink>
      <w:r w:rsidRPr="00AB628C">
        <w:rPr>
          <w:rFonts w:cstheme="minorHAnsi"/>
          <w:sz w:val="16"/>
          <w:szCs w:val="16"/>
        </w:rPr>
        <w:t xml:space="preserve">; </w:t>
      </w:r>
      <w:hyperlink w:history="1"/>
      <w:hyperlink r:id="rId56" w:history="1">
        <w:r w:rsidRPr="00AB628C">
          <w:rPr>
            <w:rStyle w:val="Hyperlink"/>
            <w:rFonts w:cstheme="minorHAnsi"/>
            <w:sz w:val="16"/>
            <w:szCs w:val="16"/>
            <w:shd w:val="clear" w:color="auto" w:fill="FFFFFF"/>
          </w:rPr>
          <w:t>http://unstats.un.org/sdgs/indicators/indicators-list/</w:t>
        </w:r>
      </w:hyperlink>
      <w:hyperlink w:history="1"/>
    </w:p>
  </w:footnote>
  <w:footnote w:id="127">
    <w:p w14:paraId="55C41289" w14:textId="77777777" w:rsidR="009625D5" w:rsidRPr="009E2365" w:rsidRDefault="009625D5" w:rsidP="00AB628C">
      <w:pPr>
        <w:pStyle w:val="FootnoteText"/>
        <w:rPr>
          <w:rFonts w:cstheme="minorHAnsi"/>
          <w:b/>
          <w:sz w:val="16"/>
          <w:szCs w:val="16"/>
        </w:rPr>
      </w:pPr>
      <w:r w:rsidRPr="009E2365">
        <w:rPr>
          <w:rStyle w:val="FootnoteReference"/>
          <w:rFonts w:cstheme="minorHAnsi"/>
          <w:b/>
          <w:sz w:val="16"/>
          <w:szCs w:val="16"/>
        </w:rPr>
        <w:footnoteRef/>
      </w:r>
      <w:r w:rsidRPr="009E2365">
        <w:rPr>
          <w:rFonts w:cstheme="minorHAnsi"/>
          <w:b/>
          <w:sz w:val="16"/>
          <w:szCs w:val="16"/>
        </w:rPr>
        <w:t xml:space="preserve"> </w:t>
      </w:r>
      <w:r w:rsidRPr="009E2365">
        <w:rPr>
          <w:rFonts w:cstheme="minorHAnsi"/>
          <w:sz w:val="16"/>
          <w:szCs w:val="16"/>
        </w:rPr>
        <w:t xml:space="preserve">See: </w:t>
      </w:r>
      <w:hyperlink r:id="rId57" w:history="1">
        <w:r w:rsidRPr="009E2365">
          <w:rPr>
            <w:rStyle w:val="Hyperlink"/>
            <w:rFonts w:cstheme="minorHAnsi"/>
            <w:sz w:val="16"/>
            <w:szCs w:val="16"/>
          </w:rPr>
          <w:t>https://sustainabledevelopment.un.org/post2015/transformingourworld</w:t>
        </w:r>
      </w:hyperlink>
      <w:r w:rsidRPr="009E2365">
        <w:rPr>
          <w:rStyle w:val="Strong"/>
          <w:rFonts w:cstheme="minorHAnsi"/>
          <w:sz w:val="16"/>
          <w:szCs w:val="16"/>
          <w:shd w:val="clear" w:color="auto" w:fill="FFFFFF"/>
        </w:rPr>
        <w:t xml:space="preserve">, </w:t>
      </w:r>
      <w:hyperlink r:id="rId58" w:history="1">
        <w:r w:rsidRPr="009E2365">
          <w:rPr>
            <w:rStyle w:val="Hyperlink"/>
            <w:rFonts w:cstheme="minorHAnsi"/>
            <w:sz w:val="16"/>
            <w:szCs w:val="16"/>
            <w:shd w:val="clear" w:color="auto" w:fill="FFFFFF"/>
          </w:rPr>
          <w:t>http://unstats.un.org/sdgs/indicators/indicators-list/</w:t>
        </w:r>
      </w:hyperlink>
    </w:p>
  </w:footnote>
  <w:footnote w:id="128">
    <w:p w14:paraId="5E07F858" w14:textId="2D62D233"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See: </w:t>
      </w:r>
      <w:hyperlink r:id="rId59" w:history="1">
        <w:r w:rsidRPr="009E2365">
          <w:rPr>
            <w:rStyle w:val="Hyperlink"/>
            <w:rFonts w:cstheme="minorHAnsi"/>
            <w:sz w:val="16"/>
            <w:szCs w:val="16"/>
          </w:rPr>
          <w:t>Net migration rate</w:t>
        </w:r>
      </w:hyperlink>
      <w:r w:rsidRPr="009E2365">
        <w:rPr>
          <w:rFonts w:cstheme="minorHAnsi"/>
          <w:sz w:val="16"/>
          <w:szCs w:val="16"/>
        </w:rPr>
        <w:t xml:space="preserve">, UN </w:t>
      </w:r>
      <w:r w:rsidR="004039A8" w:rsidRPr="009E2365">
        <w:rPr>
          <w:rFonts w:cstheme="minorHAnsi"/>
          <w:sz w:val="16"/>
          <w:szCs w:val="16"/>
        </w:rPr>
        <w:t>Population</w:t>
      </w:r>
      <w:r w:rsidRPr="009E2365">
        <w:rPr>
          <w:rFonts w:cstheme="minorHAnsi"/>
          <w:sz w:val="16"/>
          <w:szCs w:val="16"/>
        </w:rPr>
        <w:t xml:space="preserve"> Division. There are multiple BiH and international sources of information for the pace and scale of out-migration. The UN system will work </w:t>
      </w:r>
      <w:r w:rsidR="002848C1" w:rsidRPr="002848C1">
        <w:rPr>
          <w:rFonts w:cstheme="minorHAnsi"/>
          <w:sz w:val="16"/>
          <w:szCs w:val="16"/>
        </w:rPr>
        <w:t>with statistical</w:t>
      </w:r>
      <w:r w:rsidRPr="002848C1">
        <w:rPr>
          <w:rFonts w:cstheme="minorHAnsi"/>
          <w:sz w:val="16"/>
          <w:szCs w:val="16"/>
        </w:rPr>
        <w:t xml:space="preserve"> authorities in BiH t</w:t>
      </w:r>
      <w:r w:rsidRPr="009E2365">
        <w:rPr>
          <w:rFonts w:cstheme="minorHAnsi"/>
          <w:sz w:val="16"/>
          <w:szCs w:val="16"/>
        </w:rPr>
        <w:t xml:space="preserve">o agree on the indicators for the purposes of monitoring and reporting. In particular, measures are needed to gauge levels of migration amongst young people and the professions. </w:t>
      </w:r>
    </w:p>
  </w:footnote>
  <w:footnote w:id="129">
    <w:p w14:paraId="72CF3B5B" w14:textId="77777777" w:rsidR="009625D5" w:rsidRPr="009E2365" w:rsidRDefault="009625D5" w:rsidP="00AB628C">
      <w:pPr>
        <w:pStyle w:val="FootnoteText"/>
        <w:rPr>
          <w:rFonts w:cstheme="minorHAnsi"/>
          <w:sz w:val="16"/>
          <w:szCs w:val="16"/>
        </w:rPr>
      </w:pPr>
      <w:r w:rsidRPr="00E05038">
        <w:rPr>
          <w:rStyle w:val="FootnoteReference"/>
          <w:rFonts w:cstheme="minorHAnsi"/>
          <w:sz w:val="16"/>
          <w:szCs w:val="16"/>
        </w:rPr>
        <w:footnoteRef/>
      </w:r>
      <w:r w:rsidRPr="00E05038">
        <w:rPr>
          <w:rFonts w:cstheme="minorHAnsi"/>
          <w:sz w:val="16"/>
          <w:szCs w:val="16"/>
        </w:rPr>
        <w:t xml:space="preserve"> The </w:t>
      </w:r>
      <w:hyperlink r:id="rId60" w:history="1">
        <w:r w:rsidRPr="00E05038">
          <w:rPr>
            <w:rStyle w:val="Hyperlink"/>
            <w:rFonts w:cstheme="minorHAnsi"/>
            <w:sz w:val="16"/>
            <w:szCs w:val="16"/>
          </w:rPr>
          <w:t>labour force participation rate of women</w:t>
        </w:r>
      </w:hyperlink>
      <w:r w:rsidRPr="00E05038">
        <w:rPr>
          <w:rFonts w:cstheme="minorHAnsi"/>
          <w:sz w:val="16"/>
          <w:szCs w:val="16"/>
        </w:rPr>
        <w:t xml:space="preserve"> will also be monitored to consider a change in the numbers of women that have stopped looking for work and are not captured in unemployment rates. It was 35% in 2019, using the modeled ILO estimate.</w:t>
      </w:r>
    </w:p>
  </w:footnote>
  <w:footnote w:id="130">
    <w:p w14:paraId="132507C6"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Priorities for EU accession informed by: (1) Prospective outline of IPA-3 priorities, discussion with EU Delegation Office, BiH, Oct 2019. (2) European Commission Opinion on Bosnia and Herzegovina’s application for membership of the European Union EU, 29 May 2019. </w:t>
      </w:r>
    </w:p>
  </w:footnote>
  <w:footnote w:id="131">
    <w:p w14:paraId="0EA7F832" w14:textId="77777777" w:rsidR="009625D5" w:rsidRPr="009E2365" w:rsidRDefault="009625D5" w:rsidP="00AB628C">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for the Period 2019-2022, BiH Authorities, October 2019.</w:t>
      </w:r>
    </w:p>
  </w:footnote>
  <w:footnote w:id="132">
    <w:p w14:paraId="5CE951A8"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system-wide commitment to strengthen its support for trust-building and dialogue in the region, as agreed by UN leadership in 2019.</w:t>
      </w:r>
    </w:p>
  </w:footnote>
  <w:footnote w:id="133">
    <w:p w14:paraId="7DEE7C69"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Partners to be more specifically defined during preparation of the biennial Joint UN Work Plans</w:t>
      </w:r>
    </w:p>
  </w:footnote>
  <w:footnote w:id="134">
    <w:p w14:paraId="4127B4F1"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Active Labour Market (ALM) measures most often involve a mix of five initiatives: (i) Training programmes to help workers improve their skills, often accompanied by income support; (ii) Public works programmes, often as part of public-private collaborations aimed at remote or poorer areas with large numbers of long-term unemployed; (iii) Employment subsidies for the hiring of unemployed persons, especially for groups facing significant barriers in the labour market, such as women, young people, and persons with disabilities; (iv) Self-employment and micro-enterprise creation policies and programmes that provide incentives and supports (micro-credit, business training, mentoring) for the start-up of SMEs; and  (v) Public employment service (PES) to  connect jobseekers and employers. ILO, </w:t>
      </w:r>
      <w:hyperlink r:id="rId61" w:history="1">
        <w:r w:rsidRPr="009E2365">
          <w:rPr>
            <w:rStyle w:val="Hyperlink"/>
            <w:rFonts w:cstheme="minorHAnsi"/>
            <w:sz w:val="16"/>
            <w:szCs w:val="16"/>
          </w:rPr>
          <w:t>Finding proactive features in labour market policies</w:t>
        </w:r>
      </w:hyperlink>
      <w:r w:rsidRPr="009E2365">
        <w:rPr>
          <w:rFonts w:cstheme="minorHAnsi"/>
          <w:sz w:val="16"/>
          <w:szCs w:val="16"/>
        </w:rPr>
        <w:t xml:space="preserve">: A reflection based on the evidence, 2018; ILO, </w:t>
      </w:r>
      <w:hyperlink r:id="rId62" w:history="1">
        <w:r w:rsidRPr="009E2365">
          <w:rPr>
            <w:rStyle w:val="Hyperlink"/>
            <w:rFonts w:cstheme="minorHAnsi"/>
            <w:sz w:val="16"/>
            <w:szCs w:val="16"/>
          </w:rPr>
          <w:t>WHAT WORKS: PROMOTING PATHWAYS TO DECENT WORK</w:t>
        </w:r>
      </w:hyperlink>
      <w:r w:rsidRPr="009E2365">
        <w:rPr>
          <w:rFonts w:cstheme="minorHAnsi"/>
          <w:sz w:val="16"/>
          <w:szCs w:val="16"/>
        </w:rPr>
        <w:t>, 2019.</w:t>
      </w:r>
    </w:p>
  </w:footnote>
  <w:footnote w:id="135">
    <w:p w14:paraId="2B555180"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ALM are particularly valuable for women, enabling young women to gain essential skills and work experience, as well as providing guidance in non-traditional work opportunities, and for adult women facilitating their re-entry into the labour market after breaks resulting from childbirth and child-rearing. Where women’s labour force participation is low, ALM have shown greater, positive effects on employment for women than for men. Evidence shows that these results are strongest for skills-training programmes, and measures such as job-search assistance, hiring subsidies, and start-up grants. ILO, </w:t>
      </w:r>
      <w:hyperlink r:id="rId63" w:history="1">
        <w:r w:rsidRPr="009E2365">
          <w:rPr>
            <w:rStyle w:val="Hyperlink"/>
            <w:rFonts w:cstheme="minorHAnsi"/>
            <w:sz w:val="16"/>
            <w:szCs w:val="16"/>
          </w:rPr>
          <w:t>Gender in employment policies and programmes: What works for women</w:t>
        </w:r>
      </w:hyperlink>
      <w:r w:rsidRPr="009E2365">
        <w:rPr>
          <w:rFonts w:cstheme="minorHAnsi"/>
          <w:sz w:val="16"/>
          <w:szCs w:val="16"/>
        </w:rPr>
        <w:t>, EMPLOYMENT Working Paper No. 235 Employment Policy Department, 2017.</w:t>
      </w:r>
    </w:p>
  </w:footnote>
  <w:footnote w:id="136">
    <w:p w14:paraId="03246E13" w14:textId="77777777" w:rsidR="009625D5" w:rsidRPr="009E2365" w:rsidRDefault="009625D5" w:rsidP="00AB628C">
      <w:pPr>
        <w:pStyle w:val="FootnoteText"/>
        <w:rPr>
          <w:rFonts w:cstheme="minorHAnsi"/>
          <w:b/>
          <w:sz w:val="16"/>
          <w:szCs w:val="16"/>
        </w:rPr>
      </w:pPr>
      <w:r w:rsidRPr="009E2365">
        <w:rPr>
          <w:rStyle w:val="FootnoteReference"/>
          <w:rFonts w:cstheme="minorHAnsi"/>
          <w:b/>
          <w:sz w:val="16"/>
          <w:szCs w:val="16"/>
        </w:rPr>
        <w:footnoteRef/>
      </w:r>
      <w:r w:rsidRPr="009E2365">
        <w:rPr>
          <w:rFonts w:cstheme="minorHAnsi"/>
          <w:b/>
          <w:sz w:val="16"/>
          <w:szCs w:val="16"/>
        </w:rPr>
        <w:t xml:space="preserve"> </w:t>
      </w:r>
      <w:r w:rsidRPr="009E2365">
        <w:rPr>
          <w:rFonts w:cstheme="minorHAnsi"/>
          <w:sz w:val="16"/>
          <w:szCs w:val="16"/>
        </w:rPr>
        <w:t xml:space="preserve">See: </w:t>
      </w:r>
      <w:hyperlink r:id="rId64" w:history="1">
        <w:r w:rsidRPr="009E2365">
          <w:rPr>
            <w:rStyle w:val="Hyperlink"/>
            <w:rFonts w:cstheme="minorHAnsi"/>
            <w:sz w:val="16"/>
            <w:szCs w:val="16"/>
          </w:rPr>
          <w:t>https://sustainabledevelopment.un.org/post2015/transformingourworld</w:t>
        </w:r>
      </w:hyperlink>
      <w:r w:rsidRPr="009E2365">
        <w:rPr>
          <w:rStyle w:val="Strong"/>
          <w:rFonts w:cstheme="minorHAnsi"/>
          <w:sz w:val="16"/>
          <w:szCs w:val="16"/>
          <w:shd w:val="clear" w:color="auto" w:fill="FFFFFF"/>
        </w:rPr>
        <w:t xml:space="preserve">, </w:t>
      </w:r>
      <w:hyperlink r:id="rId65" w:history="1">
        <w:r w:rsidRPr="009E2365">
          <w:rPr>
            <w:rStyle w:val="Hyperlink"/>
            <w:rFonts w:cstheme="minorHAnsi"/>
            <w:sz w:val="16"/>
            <w:szCs w:val="16"/>
            <w:shd w:val="clear" w:color="auto" w:fill="FFFFFF"/>
          </w:rPr>
          <w:t>http://unstats.un.org/sdgs/indicators/indicators-list/</w:t>
        </w:r>
      </w:hyperlink>
    </w:p>
  </w:footnote>
  <w:footnote w:id="137">
    <w:p w14:paraId="279F88D3"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Priorities for EU accession informed by: (1) Prospective outline of IPA-3 priorities, discussion with EU Delegation Office, BiH, Oct 2019. (2) European Commission Opinion on Bosnia and Herzegovina’s application for membership of the European Union EU, 29 May 2019. </w:t>
      </w:r>
    </w:p>
  </w:footnote>
  <w:footnote w:id="138">
    <w:p w14:paraId="2E50C9CB" w14:textId="77777777" w:rsidR="009625D5" w:rsidRPr="009E2365" w:rsidRDefault="009625D5" w:rsidP="00AB628C">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for the Period 2019-2022, BiH Authorities, October 2019.</w:t>
      </w:r>
    </w:p>
  </w:footnote>
  <w:footnote w:id="139">
    <w:p w14:paraId="6C5A31A2"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system-wide commitment to strengthen its support for trust-building and dialogue in the region, as agreed by UN leadership in 2019</w:t>
      </w:r>
    </w:p>
  </w:footnote>
  <w:footnote w:id="140">
    <w:p w14:paraId="5B2EF93A"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Girls scored better in reading (+30pts); No gender differences in math and science scores. OECD, Programme for International Student Assessment (PISA), 2018 Bosnia and Herzegovina-Country Note, 2019.</w:t>
      </w:r>
    </w:p>
  </w:footnote>
  <w:footnote w:id="141">
    <w:p w14:paraId="341C1D22"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SDG WG and Data/Stats group may report on long-term unemployed and inactive, separately</w:t>
      </w:r>
    </w:p>
  </w:footnote>
  <w:footnote w:id="142">
    <w:p w14:paraId="35966CE1"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formal cooperation has the aim of providing a formal, regular platform to strengthen institutional relationships between employers and the education and training systems in BiH. This is intended to achieve stronger alignment between the curricula and programme offerings of the education and TVET systems with labour market needs. The structure of engagement will ensure a special focus on the situation of young people, women, and vulnerable groups.</w:t>
      </w:r>
    </w:p>
  </w:footnote>
  <w:footnote w:id="143">
    <w:p w14:paraId="66DBD12C" w14:textId="77777777" w:rsidR="009625D5" w:rsidRPr="009E2365" w:rsidRDefault="009625D5" w:rsidP="00AB628C">
      <w:pPr>
        <w:pStyle w:val="FootnoteText"/>
        <w:rPr>
          <w:rFonts w:cstheme="minorHAnsi"/>
          <w:b/>
          <w:sz w:val="16"/>
          <w:szCs w:val="16"/>
        </w:rPr>
      </w:pPr>
      <w:r w:rsidRPr="009E2365">
        <w:rPr>
          <w:rStyle w:val="FootnoteReference"/>
          <w:rFonts w:cstheme="minorHAnsi"/>
          <w:b/>
          <w:sz w:val="16"/>
          <w:szCs w:val="16"/>
        </w:rPr>
        <w:footnoteRef/>
      </w:r>
      <w:r w:rsidRPr="009E2365">
        <w:rPr>
          <w:rFonts w:cstheme="minorHAnsi"/>
          <w:b/>
          <w:sz w:val="16"/>
          <w:szCs w:val="16"/>
        </w:rPr>
        <w:t xml:space="preserve"> </w:t>
      </w:r>
      <w:r w:rsidRPr="009E2365">
        <w:rPr>
          <w:rFonts w:cstheme="minorHAnsi"/>
          <w:sz w:val="16"/>
          <w:szCs w:val="16"/>
        </w:rPr>
        <w:t xml:space="preserve">See: </w:t>
      </w:r>
      <w:hyperlink r:id="rId66" w:history="1">
        <w:r w:rsidRPr="009E2365">
          <w:rPr>
            <w:rStyle w:val="Hyperlink"/>
            <w:rFonts w:cstheme="minorHAnsi"/>
            <w:sz w:val="16"/>
            <w:szCs w:val="16"/>
          </w:rPr>
          <w:t>https://sustainabledevelopment.un.org/post2015/transformingourworld</w:t>
        </w:r>
      </w:hyperlink>
      <w:r w:rsidRPr="009E2365">
        <w:rPr>
          <w:rStyle w:val="Strong"/>
          <w:rFonts w:cstheme="minorHAnsi"/>
          <w:sz w:val="16"/>
          <w:szCs w:val="16"/>
          <w:shd w:val="clear" w:color="auto" w:fill="FFFFFF"/>
        </w:rPr>
        <w:t xml:space="preserve">, </w:t>
      </w:r>
      <w:hyperlink r:id="rId67" w:history="1">
        <w:r w:rsidRPr="009E2365">
          <w:rPr>
            <w:rStyle w:val="Hyperlink"/>
            <w:rFonts w:cstheme="minorHAnsi"/>
            <w:sz w:val="16"/>
            <w:szCs w:val="16"/>
            <w:shd w:val="clear" w:color="auto" w:fill="FFFFFF"/>
          </w:rPr>
          <w:t>http://unstats.un.org/sdgs/indicators/indicators-list/</w:t>
        </w:r>
      </w:hyperlink>
    </w:p>
  </w:footnote>
  <w:footnote w:id="144">
    <w:p w14:paraId="19F4723C"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Relative poverty defined as 60% of the median income (Eurostat methodology)</w:t>
      </w:r>
    </w:p>
  </w:footnote>
  <w:footnote w:id="145">
    <w:p w14:paraId="51CF14D4"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Priorities for EU accession informed by: (1) Prospective outline of IPA-3 priorities, discussion with EU Delegation Office, BiH, Oct 2019. (2) European Commission Opinion on Bosnia and Herzegovina’s application for membership of the European Union EU, 29 May 2019. </w:t>
      </w:r>
    </w:p>
  </w:footnote>
  <w:footnote w:id="146">
    <w:p w14:paraId="105EE93A" w14:textId="7601628E" w:rsidR="009625D5" w:rsidRPr="002848C1" w:rsidRDefault="009625D5" w:rsidP="00AB628C">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xml:space="preserve">) for the Period 2019-2022, </w:t>
      </w:r>
      <w:r w:rsidRPr="002848C1">
        <w:rPr>
          <w:rFonts w:cstheme="minorHAnsi"/>
          <w:sz w:val="16"/>
          <w:szCs w:val="16"/>
        </w:rPr>
        <w:t>the authorities in BiH, October 2019.</w:t>
      </w:r>
    </w:p>
  </w:footnote>
  <w:footnote w:id="147">
    <w:p w14:paraId="2426123D" w14:textId="77777777" w:rsidR="009625D5" w:rsidRPr="002848C1" w:rsidRDefault="009625D5" w:rsidP="00AB628C">
      <w:pPr>
        <w:pStyle w:val="FootnoteText"/>
        <w:rPr>
          <w:rFonts w:cstheme="minorHAnsi"/>
          <w:sz w:val="16"/>
          <w:szCs w:val="16"/>
        </w:rPr>
      </w:pPr>
      <w:r w:rsidRPr="002848C1">
        <w:rPr>
          <w:rStyle w:val="FootnoteReference"/>
          <w:rFonts w:cstheme="minorHAnsi"/>
          <w:sz w:val="16"/>
          <w:szCs w:val="16"/>
        </w:rPr>
        <w:footnoteRef/>
      </w:r>
      <w:r w:rsidRPr="002848C1">
        <w:rPr>
          <w:rFonts w:cstheme="minorHAnsi"/>
          <w:sz w:val="16"/>
          <w:szCs w:val="16"/>
        </w:rPr>
        <w:t xml:space="preserve"> UN system-wide commitment to strengthen its support for trust-building and dialogue in the region, as agreed by UN leadership in 2019</w:t>
      </w:r>
    </w:p>
  </w:footnote>
  <w:footnote w:id="148">
    <w:p w14:paraId="63968287" w14:textId="320D2AA0" w:rsidR="009625D5" w:rsidRPr="009E2365" w:rsidRDefault="009625D5" w:rsidP="00AB628C">
      <w:pPr>
        <w:pStyle w:val="FootnoteText"/>
        <w:rPr>
          <w:rFonts w:cstheme="minorHAnsi"/>
          <w:sz w:val="16"/>
          <w:szCs w:val="16"/>
        </w:rPr>
      </w:pPr>
      <w:r w:rsidRPr="002848C1">
        <w:rPr>
          <w:rStyle w:val="FootnoteReference"/>
          <w:rFonts w:cstheme="minorHAnsi"/>
          <w:sz w:val="16"/>
          <w:szCs w:val="16"/>
        </w:rPr>
        <w:footnoteRef/>
      </w:r>
      <w:r w:rsidRPr="002848C1">
        <w:rPr>
          <w:rFonts w:cstheme="minorHAnsi"/>
          <w:sz w:val="16"/>
          <w:szCs w:val="16"/>
        </w:rPr>
        <w:t xml:space="preserve"> Universal Health Coverage –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w:t>
      </w:r>
      <w:r w:rsidRPr="002848C1">
        <w:rPr>
          <w:sz w:val="16"/>
          <w:szCs w:val="16"/>
        </w:rPr>
        <w:t xml:space="preserve">This indicator is intended to capture totality of coverage (universal, leaving no one behind) provided by health systems of WHO member states. Validity and reliability of the indicator depends on availability of good data from relevant authorities and sources.  WHO will provide technical support to the relevant authorities in BIH to calculate </w:t>
      </w:r>
      <w:r w:rsidR="00CF38E3" w:rsidRPr="002848C1">
        <w:rPr>
          <w:sz w:val="16"/>
          <w:szCs w:val="16"/>
        </w:rPr>
        <w:t>the</w:t>
      </w:r>
      <w:r w:rsidRPr="002848C1">
        <w:rPr>
          <w:sz w:val="16"/>
          <w:szCs w:val="16"/>
        </w:rPr>
        <w:t xml:space="preserve"> UHC indices based</w:t>
      </w:r>
      <w:r w:rsidR="00B05A1B" w:rsidRPr="002848C1">
        <w:rPr>
          <w:sz w:val="16"/>
          <w:szCs w:val="16"/>
        </w:rPr>
        <w:t xml:space="preserve"> as part of the WHO ongoing technical programme in BiH and based</w:t>
      </w:r>
      <w:r w:rsidRPr="002848C1">
        <w:rPr>
          <w:sz w:val="16"/>
          <w:szCs w:val="16"/>
        </w:rPr>
        <w:t xml:space="preserve"> on data and information collected through routine health statistics</w:t>
      </w:r>
      <w:r w:rsidR="007909FD" w:rsidRPr="002848C1">
        <w:rPr>
          <w:sz w:val="16"/>
          <w:szCs w:val="16"/>
        </w:rPr>
        <w:t xml:space="preserve"> of the relevant authorities in BiH</w:t>
      </w:r>
      <w:r w:rsidRPr="002848C1">
        <w:rPr>
          <w:sz w:val="16"/>
          <w:szCs w:val="16"/>
        </w:rPr>
        <w:t>.</w:t>
      </w:r>
    </w:p>
  </w:footnote>
  <w:footnote w:id="149">
    <w:p w14:paraId="201A631D"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w:t>
      </w:r>
      <w:hyperlink r:id="rId68" w:history="1">
        <w:r w:rsidRPr="009E2365">
          <w:rPr>
            <w:rStyle w:val="Hyperlink"/>
            <w:rFonts w:cstheme="minorHAnsi"/>
            <w:sz w:val="16"/>
            <w:szCs w:val="16"/>
          </w:rPr>
          <w:t>http://apps.who.int/gho/portal/uhc-country.jsp</w:t>
        </w:r>
      </w:hyperlink>
      <w:r w:rsidRPr="009E2365">
        <w:rPr>
          <w:rFonts w:cstheme="minorHAnsi"/>
          <w:sz w:val="16"/>
          <w:szCs w:val="16"/>
        </w:rPr>
        <w:t xml:space="preserve"> </w:t>
      </w:r>
    </w:p>
  </w:footnote>
  <w:footnote w:id="150">
    <w:p w14:paraId="2F5922DB" w14:textId="36A28485" w:rsidR="00CB0D80" w:rsidRPr="009E2365" w:rsidRDefault="00CB0D80"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 possibility of reporting sex disaggregated data will be discussed </w:t>
      </w:r>
      <w:r w:rsidRPr="002848C1">
        <w:rPr>
          <w:rFonts w:cstheme="minorHAnsi"/>
          <w:sz w:val="16"/>
          <w:szCs w:val="16"/>
        </w:rPr>
        <w:t>with health authorities in BiH</w:t>
      </w:r>
      <w:r w:rsidR="003D3D83">
        <w:rPr>
          <w:rFonts w:cstheme="minorHAnsi"/>
          <w:sz w:val="16"/>
          <w:szCs w:val="16"/>
        </w:rPr>
        <w:t>.</w:t>
      </w:r>
    </w:p>
  </w:footnote>
  <w:footnote w:id="151">
    <w:p w14:paraId="099B04CD" w14:textId="77777777" w:rsidR="00CB0D80" w:rsidRPr="009E2365" w:rsidRDefault="00CB0D80"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The Action Plans include: evidence-based national guidelines, protocols, and standards for the management of major NCDs through a primary care approach, including gender equality provisions and sex disaggregated data.</w:t>
      </w:r>
    </w:p>
  </w:footnote>
  <w:footnote w:id="152">
    <w:p w14:paraId="1B13ECC4" w14:textId="77777777" w:rsidR="00CB0D80" w:rsidRPr="009E2365" w:rsidRDefault="00CB0D80"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A method of computing the distribution of public expenditure across different demographic groups. For example the benefit incidence of social protection and labor programs (SPL) to poorest quintile shows the percentage of total social protection and labor programs benefits received by the poorest 20% of the population (social insurance, social safety nets, and unemployment benefits and active labor market programs) See: </w:t>
      </w:r>
      <w:hyperlink r:id="rId69" w:history="1">
        <w:r w:rsidRPr="009E2365">
          <w:rPr>
            <w:rStyle w:val="Hyperlink"/>
            <w:rFonts w:cstheme="minorHAnsi"/>
            <w:sz w:val="16"/>
            <w:szCs w:val="16"/>
          </w:rPr>
          <w:t>World Bank ASPIRE data</w:t>
        </w:r>
      </w:hyperlink>
      <w:r w:rsidRPr="009E2365">
        <w:rPr>
          <w:rFonts w:cstheme="minorHAnsi"/>
          <w:sz w:val="16"/>
          <w:szCs w:val="16"/>
        </w:rPr>
        <w:t>, dld Feb 2020.</w:t>
      </w:r>
    </w:p>
  </w:footnote>
  <w:footnote w:id="153">
    <w:p w14:paraId="666EC8D5" w14:textId="77777777" w:rsidR="00CB0D80" w:rsidRPr="009E2365" w:rsidRDefault="00CB0D80"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Quantitative indicators 16.2.1 (children experiencing violent discipline) and 5.2.1 (intimate partner violence) may be available, pending implementation of MICS and OSCE-led survey on violence against women</w:t>
      </w:r>
      <w:r w:rsidRPr="009E2365">
        <w:rPr>
          <w:rFonts w:eastAsiaTheme="minorEastAsia" w:cstheme="minorHAnsi"/>
          <w:sz w:val="16"/>
          <w:szCs w:val="16"/>
        </w:rPr>
        <w:t>.</w:t>
      </w:r>
    </w:p>
  </w:footnote>
  <w:footnote w:id="154">
    <w:p w14:paraId="431B84F8" w14:textId="77777777" w:rsidR="009625D5" w:rsidRPr="009E2365" w:rsidRDefault="009625D5" w:rsidP="00AB628C">
      <w:pPr>
        <w:pStyle w:val="FootnoteText"/>
        <w:rPr>
          <w:rFonts w:cstheme="minorHAnsi"/>
          <w:b/>
          <w:sz w:val="16"/>
          <w:szCs w:val="16"/>
        </w:rPr>
      </w:pPr>
      <w:r w:rsidRPr="009E2365">
        <w:rPr>
          <w:rStyle w:val="FootnoteReference"/>
          <w:rFonts w:cstheme="minorHAnsi"/>
          <w:b/>
          <w:sz w:val="16"/>
          <w:szCs w:val="16"/>
        </w:rPr>
        <w:footnoteRef/>
      </w:r>
      <w:r w:rsidRPr="009E2365">
        <w:rPr>
          <w:rFonts w:cstheme="minorHAnsi"/>
          <w:b/>
          <w:sz w:val="16"/>
          <w:szCs w:val="16"/>
        </w:rPr>
        <w:t xml:space="preserve"> </w:t>
      </w:r>
      <w:r w:rsidRPr="009E2365">
        <w:rPr>
          <w:rFonts w:cstheme="minorHAnsi"/>
          <w:sz w:val="16"/>
          <w:szCs w:val="16"/>
        </w:rPr>
        <w:t xml:space="preserve">See: </w:t>
      </w:r>
      <w:hyperlink r:id="rId70" w:history="1">
        <w:r w:rsidRPr="009E2365">
          <w:rPr>
            <w:rStyle w:val="Hyperlink"/>
            <w:rFonts w:cstheme="minorHAnsi"/>
            <w:sz w:val="16"/>
            <w:szCs w:val="16"/>
          </w:rPr>
          <w:t>https://sustainabledevelopment.un.org/post2015/transformingourworld</w:t>
        </w:r>
      </w:hyperlink>
      <w:r w:rsidRPr="009E2365">
        <w:rPr>
          <w:rStyle w:val="Strong"/>
          <w:rFonts w:cstheme="minorHAnsi"/>
          <w:sz w:val="16"/>
          <w:szCs w:val="16"/>
          <w:shd w:val="clear" w:color="auto" w:fill="FFFFFF"/>
        </w:rPr>
        <w:t xml:space="preserve">, </w:t>
      </w:r>
      <w:hyperlink r:id="rId71" w:history="1">
        <w:r w:rsidRPr="009E2365">
          <w:rPr>
            <w:rStyle w:val="Hyperlink"/>
            <w:rFonts w:cstheme="minorHAnsi"/>
            <w:sz w:val="16"/>
            <w:szCs w:val="16"/>
            <w:shd w:val="clear" w:color="auto" w:fill="FFFFFF"/>
          </w:rPr>
          <w:t>http://unstats.un.org/sdgs/indicators/indicators-list/</w:t>
        </w:r>
      </w:hyperlink>
    </w:p>
  </w:footnote>
  <w:footnote w:id="155">
    <w:p w14:paraId="11C90606"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is the domesticated indicator for SDG 17.7.2 from BiH SDG Framework (draft). World Bank World Governance Indicators data. Indicator ranges from approximately -2.5 (weak) to 2.5 (strong) governance performance.</w:t>
      </w:r>
    </w:p>
  </w:footnote>
  <w:footnote w:id="156">
    <w:p w14:paraId="67F8C52E"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is the domesticated indicator for SDG 17.7.2 from BiH SDG Framework (draft). World Bank World Governance Indicators data, measuring the “extent to which citizens believe they participate in selecting their government, as well as freedom of expression, association, and media. Internationally comparable indicator values range from -2.5 (weak) to +2.5 (strong) governance performance”.</w:t>
      </w:r>
    </w:p>
  </w:footnote>
  <w:footnote w:id="157">
    <w:p w14:paraId="4DB16DF8"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Relative poverty defined as 60% of the median income (Eurostat methodology)</w:t>
      </w:r>
    </w:p>
  </w:footnote>
  <w:footnote w:id="158">
    <w:p w14:paraId="2AD4B164"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Priorities for EU accession informed by: (1) Prospective outline of IPA-3 priorities, discussion with EU Delegation Office, BiH, Oct 2019. (2) European Commission Opinion on Bosnia and Herzegovina’s application for membership of the European Union EU, 29 May 2019. </w:t>
      </w:r>
    </w:p>
  </w:footnote>
  <w:footnote w:id="159">
    <w:p w14:paraId="3CA60B31" w14:textId="77777777" w:rsidR="009625D5" w:rsidRPr="009E2365" w:rsidRDefault="009625D5" w:rsidP="00AB628C">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for the Period 2019-2022, BiH Authorities, October 2019.</w:t>
      </w:r>
    </w:p>
  </w:footnote>
  <w:footnote w:id="160">
    <w:p w14:paraId="490823AD"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system-wide commitment to strengthen its support for trust-building and dialogue in the region, as agreed by UN leadership in 2019</w:t>
      </w:r>
    </w:p>
  </w:footnote>
  <w:footnote w:id="161">
    <w:p w14:paraId="584D8B9F" w14:textId="77777777" w:rsidR="009625D5" w:rsidRPr="009E2365" w:rsidRDefault="009625D5" w:rsidP="00AB628C">
      <w:pPr>
        <w:pStyle w:val="Default"/>
        <w:rPr>
          <w:rFonts w:asciiTheme="minorHAnsi" w:hAnsiTheme="minorHAnsi" w:cstheme="minorHAnsi"/>
          <w:sz w:val="16"/>
          <w:szCs w:val="16"/>
        </w:rPr>
      </w:pPr>
      <w:r w:rsidRPr="009E2365">
        <w:rPr>
          <w:rStyle w:val="FootnoteReference"/>
          <w:rFonts w:asciiTheme="minorHAnsi" w:hAnsiTheme="minorHAnsi" w:cstheme="minorHAnsi"/>
          <w:sz w:val="16"/>
          <w:szCs w:val="16"/>
        </w:rPr>
        <w:footnoteRef/>
      </w:r>
      <w:r w:rsidRPr="009E2365">
        <w:rPr>
          <w:rFonts w:asciiTheme="minorHAnsi" w:hAnsiTheme="minorHAnsi" w:cstheme="minorHAnsi"/>
          <w:sz w:val="16"/>
          <w:szCs w:val="16"/>
        </w:rPr>
        <w:t xml:space="preserve"> Assessment of confidence in major institutional bodies in BiH on a scale of 1 to 4, with 4 indicating a high level of confidence.</w:t>
      </w:r>
      <w:r w:rsidRPr="009E2365">
        <w:rPr>
          <w:rFonts w:asciiTheme="minorHAnsi" w:hAnsiTheme="minorHAnsi" w:cstheme="minorHAnsi"/>
          <w:iCs/>
          <w:sz w:val="16"/>
          <w:szCs w:val="16"/>
        </w:rPr>
        <w:t xml:space="preserve"> The police had the highest rating at 2.8; political parties the lowest at 1.8.Trust in UN system was rated 2.5. UN PEACE AND DEVELOPMENT ASSESSMENT FOR BiH, ibid. 12.</w:t>
      </w:r>
    </w:p>
  </w:footnote>
  <w:footnote w:id="162">
    <w:p w14:paraId="31F2428E" w14:textId="77777777" w:rsidR="009625D5" w:rsidRPr="009E2365" w:rsidRDefault="009625D5" w:rsidP="00AB628C">
      <w:pPr>
        <w:pStyle w:val="FootnoteText"/>
        <w:rPr>
          <w:rFonts w:cstheme="minorHAnsi"/>
          <w:sz w:val="16"/>
          <w:szCs w:val="16"/>
          <w:lang w:val="bs-Latn-BA"/>
        </w:rPr>
      </w:pPr>
      <w:r w:rsidRPr="009E2365">
        <w:rPr>
          <w:rStyle w:val="FootnoteReference"/>
          <w:rFonts w:cstheme="minorHAnsi"/>
          <w:sz w:val="16"/>
          <w:szCs w:val="16"/>
        </w:rPr>
        <w:footnoteRef/>
      </w:r>
      <w:r w:rsidRPr="009E2365">
        <w:rPr>
          <w:rFonts w:cstheme="minorHAnsi"/>
          <w:sz w:val="16"/>
          <w:szCs w:val="16"/>
        </w:rPr>
        <w:t xml:space="preserve"> Sanitation includes public sewage network connections.</w:t>
      </w:r>
    </w:p>
  </w:footnote>
  <w:footnote w:id="163">
    <w:p w14:paraId="35F01BBA"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indicator includes assessment of extent to which health and social protection </w:t>
      </w:r>
      <w:r w:rsidRPr="009E2365">
        <w:rPr>
          <w:rFonts w:cstheme="minorHAnsi"/>
          <w:b/>
          <w:bCs/>
          <w:sz w:val="16"/>
          <w:szCs w:val="16"/>
        </w:rPr>
        <w:t xml:space="preserve">referral mechanisms </w:t>
      </w:r>
      <w:r w:rsidRPr="009E2365">
        <w:rPr>
          <w:rFonts w:cstheme="minorHAnsi"/>
          <w:sz w:val="16"/>
          <w:szCs w:val="16"/>
        </w:rPr>
        <w:t>are responsive to VGs and implemented in line with international standards</w:t>
      </w:r>
    </w:p>
  </w:footnote>
  <w:footnote w:id="164">
    <w:p w14:paraId="7A1F8A81" w14:textId="77777777" w:rsidR="009625D5" w:rsidRPr="009E2365" w:rsidRDefault="009625D5" w:rsidP="00CE4E8B">
      <w:pPr>
        <w:pStyle w:val="FootnoteText"/>
        <w:rPr>
          <w:sz w:val="16"/>
          <w:szCs w:val="16"/>
          <w:lang w:val="en-US"/>
        </w:rPr>
      </w:pPr>
      <w:r w:rsidRPr="009E2365">
        <w:rPr>
          <w:rStyle w:val="FootnoteReference"/>
          <w:sz w:val="16"/>
          <w:szCs w:val="16"/>
        </w:rPr>
        <w:footnoteRef/>
      </w:r>
      <w:r w:rsidRPr="009E2365">
        <w:rPr>
          <w:sz w:val="16"/>
          <w:szCs w:val="16"/>
        </w:rPr>
        <w:t xml:space="preserve"> </w:t>
      </w:r>
      <w:r w:rsidRPr="009E2365">
        <w:rPr>
          <w:rFonts w:cstheme="minorHAnsi"/>
          <w:sz w:val="16"/>
          <w:szCs w:val="16"/>
        </w:rPr>
        <w:t>Rating is based on the responses to a set of criteria with a maximum score of 100 points. Rating criteria informed by: Committee on the Elimination of Discrimination against Women, Concluding observations on the sixth periodic report of Bosnia and Herzegovina, CEDAW/C/BIH/CO/6, 12 Nov 2019. Paras 12, 14, 26, 34, 44.</w:t>
      </w:r>
    </w:p>
  </w:footnote>
  <w:footnote w:id="165">
    <w:p w14:paraId="5193A2BE" w14:textId="77777777" w:rsidR="009625D5" w:rsidRPr="009E2365" w:rsidRDefault="009625D5" w:rsidP="00CE4E8B">
      <w:pPr>
        <w:pStyle w:val="FootnoteText"/>
        <w:rPr>
          <w:sz w:val="16"/>
          <w:szCs w:val="16"/>
          <w:lang w:val="en-US"/>
        </w:rPr>
      </w:pPr>
      <w:r w:rsidRPr="009E2365">
        <w:rPr>
          <w:rStyle w:val="FootnoteReference"/>
          <w:sz w:val="16"/>
          <w:szCs w:val="16"/>
        </w:rPr>
        <w:footnoteRef/>
      </w:r>
      <w:r w:rsidRPr="009E2365">
        <w:rPr>
          <w:sz w:val="16"/>
          <w:szCs w:val="16"/>
        </w:rPr>
        <w:t xml:space="preserve"> </w:t>
      </w:r>
      <w:r w:rsidRPr="009E2365">
        <w:rPr>
          <w:rFonts w:cstheme="minorHAnsi"/>
          <w:sz w:val="16"/>
          <w:szCs w:val="16"/>
        </w:rPr>
        <w:t>Rating is based on the responses to a set of criteria with a maximum score of 100 points. Rating criteria informed by: Committee on the Rights of the Child, Concluding observations on the combined fifth and sixth periodic reports of Bosnia and Herzegovina, CRC/C/BIH/CO/5-6, 05 Dec 2019. Paras 25-29.</w:t>
      </w:r>
    </w:p>
  </w:footnote>
  <w:footnote w:id="166">
    <w:p w14:paraId="699A433C" w14:textId="77777777" w:rsidR="00193229" w:rsidRPr="009E2365" w:rsidRDefault="00193229" w:rsidP="00193229">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Sustainable Development Goals Framework in BiH (</w:t>
      </w:r>
      <w:r w:rsidRPr="009E2365">
        <w:rPr>
          <w:rFonts w:cstheme="minorHAnsi"/>
          <w:b/>
          <w:sz w:val="16"/>
          <w:szCs w:val="16"/>
        </w:rPr>
        <w:t>SDG Framework</w:t>
      </w:r>
      <w:r w:rsidRPr="009E2365">
        <w:rPr>
          <w:rFonts w:cstheme="minorHAnsi"/>
          <w:sz w:val="16"/>
          <w:szCs w:val="16"/>
        </w:rPr>
        <w:t>), Working Draft, February 2020. Domesticated SDG indicators including sub-indicators with disaggregation are counted as ‘available’ when the aggregate value AND at least one disaggregated sub-value is available from statistical institutions in BiH.</w:t>
      </w:r>
    </w:p>
  </w:footnote>
  <w:footnote w:id="167">
    <w:p w14:paraId="44063605" w14:textId="77777777" w:rsidR="009625D5" w:rsidRPr="009E2365" w:rsidRDefault="009625D5" w:rsidP="00AB628C">
      <w:pPr>
        <w:pStyle w:val="FootnoteText"/>
        <w:rPr>
          <w:rFonts w:cstheme="minorHAnsi"/>
          <w:b/>
          <w:sz w:val="16"/>
          <w:szCs w:val="16"/>
        </w:rPr>
      </w:pPr>
      <w:r w:rsidRPr="009E2365">
        <w:rPr>
          <w:rStyle w:val="FootnoteReference"/>
          <w:rFonts w:cstheme="minorHAnsi"/>
          <w:b/>
          <w:sz w:val="16"/>
          <w:szCs w:val="16"/>
        </w:rPr>
        <w:footnoteRef/>
      </w:r>
      <w:r w:rsidRPr="009E2365">
        <w:rPr>
          <w:rFonts w:cstheme="minorHAnsi"/>
          <w:b/>
          <w:sz w:val="16"/>
          <w:szCs w:val="16"/>
        </w:rPr>
        <w:t xml:space="preserve"> </w:t>
      </w:r>
      <w:r w:rsidRPr="009E2365">
        <w:rPr>
          <w:rFonts w:cstheme="minorHAnsi"/>
          <w:sz w:val="16"/>
          <w:szCs w:val="16"/>
        </w:rPr>
        <w:t xml:space="preserve">See: </w:t>
      </w:r>
      <w:hyperlink r:id="rId72" w:history="1">
        <w:r w:rsidRPr="009E2365">
          <w:rPr>
            <w:rStyle w:val="Hyperlink"/>
            <w:rFonts w:cstheme="minorHAnsi"/>
            <w:sz w:val="16"/>
            <w:szCs w:val="16"/>
          </w:rPr>
          <w:t>https://sustainabledevelopment.un.org/post2015/transformingourworld</w:t>
        </w:r>
      </w:hyperlink>
      <w:r w:rsidRPr="009E2365">
        <w:rPr>
          <w:rStyle w:val="Strong"/>
          <w:rFonts w:cstheme="minorHAnsi"/>
          <w:sz w:val="16"/>
          <w:szCs w:val="16"/>
          <w:shd w:val="clear" w:color="auto" w:fill="FFFFFF"/>
        </w:rPr>
        <w:t xml:space="preserve">, </w:t>
      </w:r>
      <w:hyperlink r:id="rId73" w:history="1">
        <w:r w:rsidRPr="009E2365">
          <w:rPr>
            <w:rStyle w:val="Hyperlink"/>
            <w:rFonts w:cstheme="minorHAnsi"/>
            <w:sz w:val="16"/>
            <w:szCs w:val="16"/>
            <w:shd w:val="clear" w:color="auto" w:fill="FFFFFF"/>
          </w:rPr>
          <w:t>http://unstats.un.org/sdgs/indicators/indicators-list/</w:t>
        </w:r>
      </w:hyperlink>
    </w:p>
  </w:footnote>
  <w:footnote w:id="168">
    <w:p w14:paraId="3D532D8A"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Priorities for EU accession informed by: (1) Prospective outline of IPA-3 priorities, discussion with EU Delegation Office, BiH, Oct 2019. (2) European Commission Opinion on Bosnia and Herzegovina’s application for membership of the European Union EU, 29 May 2019. </w:t>
      </w:r>
    </w:p>
  </w:footnote>
  <w:footnote w:id="169">
    <w:p w14:paraId="3B06EB2A" w14:textId="77777777" w:rsidR="009625D5" w:rsidRPr="009E2365" w:rsidRDefault="009625D5" w:rsidP="00AB628C">
      <w:pPr>
        <w:pStyle w:val="FootnoteText"/>
        <w:rPr>
          <w:rFonts w:cstheme="minorHAnsi"/>
          <w:sz w:val="16"/>
          <w:szCs w:val="16"/>
          <w:lang w:val="en-GB"/>
        </w:rPr>
      </w:pPr>
      <w:r w:rsidRPr="009E2365">
        <w:rPr>
          <w:rStyle w:val="FootnoteReference"/>
          <w:rFonts w:cstheme="minorHAnsi"/>
          <w:sz w:val="16"/>
          <w:szCs w:val="16"/>
        </w:rPr>
        <w:footnoteRef/>
      </w:r>
      <w:r w:rsidRPr="009E2365">
        <w:rPr>
          <w:rFonts w:cstheme="minorHAnsi"/>
          <w:sz w:val="16"/>
          <w:szCs w:val="16"/>
        </w:rPr>
        <w:t xml:space="preserve"> Joint Socio-Economic Reforms (</w:t>
      </w:r>
      <w:r w:rsidRPr="009E2365">
        <w:rPr>
          <w:rFonts w:cstheme="minorHAnsi"/>
          <w:b/>
          <w:sz w:val="16"/>
          <w:szCs w:val="16"/>
        </w:rPr>
        <w:t>Reform Agenda</w:t>
      </w:r>
      <w:r w:rsidRPr="009E2365">
        <w:rPr>
          <w:rFonts w:cstheme="minorHAnsi"/>
          <w:sz w:val="16"/>
          <w:szCs w:val="16"/>
        </w:rPr>
        <w:t>) for the Period 2019-2022, BiH Authorities, October 2019.</w:t>
      </w:r>
    </w:p>
  </w:footnote>
  <w:footnote w:id="170">
    <w:p w14:paraId="1378708B"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UN system-wide commitment to strengthen its support for trust-building and dialogue in the region, as agreed by UN leadership in 2019. </w:t>
      </w:r>
    </w:p>
  </w:footnote>
  <w:footnote w:id="171">
    <w:p w14:paraId="0E824683" w14:textId="77777777" w:rsidR="009625D5" w:rsidRPr="009E2365" w:rsidRDefault="009625D5" w:rsidP="00AB628C">
      <w:pPr>
        <w:pStyle w:val="Default"/>
        <w:ind w:right="-216"/>
        <w:rPr>
          <w:rFonts w:asciiTheme="minorHAnsi" w:hAnsiTheme="minorHAnsi" w:cstheme="minorHAnsi"/>
          <w:sz w:val="16"/>
          <w:szCs w:val="16"/>
        </w:rPr>
      </w:pPr>
      <w:r w:rsidRPr="009E2365">
        <w:rPr>
          <w:rStyle w:val="FootnoteReference"/>
          <w:rFonts w:asciiTheme="minorHAnsi" w:hAnsiTheme="minorHAnsi" w:cstheme="minorHAnsi"/>
          <w:sz w:val="16"/>
          <w:szCs w:val="16"/>
        </w:rPr>
        <w:footnoteRef/>
      </w:r>
      <w:r w:rsidRPr="009E2365">
        <w:rPr>
          <w:rFonts w:asciiTheme="minorHAnsi" w:hAnsiTheme="minorHAnsi" w:cstheme="minorHAnsi"/>
          <w:sz w:val="16"/>
          <w:szCs w:val="16"/>
        </w:rPr>
        <w:t xml:space="preserve"> Assessment of general trust levels, found that 71% of respondents indicated: ‘</w:t>
      </w:r>
      <w:r w:rsidRPr="009E2365">
        <w:rPr>
          <w:rFonts w:asciiTheme="minorHAnsi" w:hAnsiTheme="minorHAnsi" w:cstheme="minorHAnsi"/>
          <w:i/>
          <w:iCs/>
          <w:sz w:val="16"/>
          <w:szCs w:val="16"/>
        </w:rPr>
        <w:t>You can never be too careful around people’</w:t>
      </w:r>
      <w:r w:rsidRPr="009E2365">
        <w:rPr>
          <w:rFonts w:asciiTheme="minorHAnsi" w:hAnsiTheme="minorHAnsi" w:cstheme="minorHAnsi"/>
          <w:iCs/>
          <w:sz w:val="16"/>
          <w:szCs w:val="16"/>
        </w:rPr>
        <w:t>. Among the 23% of persons responding that ‘</w:t>
      </w:r>
      <w:r w:rsidRPr="009E2365">
        <w:rPr>
          <w:rFonts w:asciiTheme="minorHAnsi" w:hAnsiTheme="minorHAnsi" w:cstheme="minorHAnsi"/>
          <w:i/>
          <w:iCs/>
          <w:sz w:val="16"/>
          <w:szCs w:val="16"/>
        </w:rPr>
        <w:t>Most people can be trusted</w:t>
      </w:r>
      <w:r w:rsidRPr="009E2365">
        <w:rPr>
          <w:rFonts w:asciiTheme="minorHAnsi" w:hAnsiTheme="minorHAnsi" w:cstheme="minorHAnsi"/>
          <w:iCs/>
          <w:sz w:val="16"/>
          <w:szCs w:val="16"/>
        </w:rPr>
        <w:t>’ levels were higher for men (27%) than for women (19%) and for urban residents (26%) compared with their rural peers (19%). Prism Research and Consulting, UN PEACE AND DEVELOPMENT ASSESSMENT FOR BiH, 2019 (draft), 12.</w:t>
      </w:r>
    </w:p>
  </w:footnote>
  <w:footnote w:id="172">
    <w:p w14:paraId="36D7C40A" w14:textId="77777777" w:rsidR="009625D5" w:rsidRPr="009E2365" w:rsidRDefault="009625D5" w:rsidP="00AB628C">
      <w:pPr>
        <w:pStyle w:val="Default"/>
        <w:rPr>
          <w:rFonts w:asciiTheme="minorHAnsi" w:hAnsiTheme="minorHAnsi" w:cstheme="minorHAnsi"/>
          <w:sz w:val="16"/>
          <w:szCs w:val="16"/>
        </w:rPr>
      </w:pPr>
      <w:r w:rsidRPr="009E2365">
        <w:rPr>
          <w:rStyle w:val="FootnoteReference"/>
          <w:rFonts w:asciiTheme="minorHAnsi" w:hAnsiTheme="minorHAnsi" w:cstheme="minorHAnsi"/>
          <w:sz w:val="16"/>
          <w:szCs w:val="16"/>
        </w:rPr>
        <w:footnoteRef/>
      </w:r>
      <w:r w:rsidRPr="009E2365">
        <w:rPr>
          <w:rFonts w:asciiTheme="minorHAnsi" w:hAnsiTheme="minorHAnsi" w:cstheme="minorHAnsi"/>
          <w:sz w:val="16"/>
          <w:szCs w:val="16"/>
        </w:rPr>
        <w:t xml:space="preserve"> Opinions about the current state of reconciliation and chances for </w:t>
      </w:r>
      <w:r w:rsidRPr="009E2365">
        <w:rPr>
          <w:rFonts w:asciiTheme="minorHAnsi" w:hAnsiTheme="minorHAnsi" w:cstheme="minorHAnsi"/>
          <w:i/>
          <w:sz w:val="16"/>
          <w:szCs w:val="16"/>
        </w:rPr>
        <w:t>future</w:t>
      </w:r>
      <w:r w:rsidRPr="009E2365">
        <w:rPr>
          <w:rFonts w:asciiTheme="minorHAnsi" w:hAnsiTheme="minorHAnsi" w:cstheme="minorHAnsi"/>
          <w:sz w:val="16"/>
          <w:szCs w:val="16"/>
        </w:rPr>
        <w:t xml:space="preserve"> reconciliation. </w:t>
      </w:r>
      <w:r w:rsidRPr="009E2365">
        <w:rPr>
          <w:rFonts w:asciiTheme="minorHAnsi" w:hAnsiTheme="minorHAnsi" w:cstheme="minorHAnsi"/>
          <w:iCs/>
          <w:sz w:val="16"/>
          <w:szCs w:val="16"/>
        </w:rPr>
        <w:t>UN PEACE AND DEVELOPMENT ASSESSMENT FOR BiH, ibid. 18-19.</w:t>
      </w:r>
    </w:p>
  </w:footnote>
  <w:footnote w:id="173">
    <w:p w14:paraId="0E88932B" w14:textId="77777777" w:rsidR="009625D5" w:rsidRPr="009E2365" w:rsidRDefault="009625D5" w:rsidP="00AB628C">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This indicator represents the arithmetic mean of the coded responses to question Dp1 and can have a value between 1 (negative) and 5 (positive).</w:t>
      </w:r>
    </w:p>
  </w:footnote>
  <w:footnote w:id="174">
    <w:p w14:paraId="6FE78D06" w14:textId="5A0A6361" w:rsidR="009425FE" w:rsidRPr="009E2365" w:rsidRDefault="009425FE" w:rsidP="009425FE">
      <w:pPr>
        <w:pStyle w:val="FootnoteText"/>
        <w:rPr>
          <w:rFonts w:cstheme="minorHAnsi"/>
          <w:sz w:val="16"/>
          <w:szCs w:val="16"/>
        </w:rPr>
      </w:pPr>
      <w:r w:rsidRPr="009E2365">
        <w:rPr>
          <w:rStyle w:val="FootnoteReference"/>
          <w:rFonts w:cstheme="minorHAnsi"/>
          <w:sz w:val="16"/>
          <w:szCs w:val="16"/>
        </w:rPr>
        <w:footnoteRef/>
      </w:r>
      <w:r w:rsidRPr="009E2365">
        <w:rPr>
          <w:rFonts w:cstheme="minorHAnsi"/>
          <w:sz w:val="16"/>
          <w:szCs w:val="16"/>
        </w:rPr>
        <w:t xml:space="preserve"> (1) UN General Assembly, Human Rights Council, </w:t>
      </w:r>
      <w:hyperlink r:id="rId74" w:history="1">
        <w:r w:rsidRPr="009E2365">
          <w:rPr>
            <w:rStyle w:val="Hyperlink"/>
            <w:rFonts w:cstheme="minorHAnsi"/>
            <w:sz w:val="16"/>
            <w:szCs w:val="16"/>
          </w:rPr>
          <w:t>Report of the Working Group on the Universal Periodic Review (UPR): Bosnia and Herzegovina</w:t>
        </w:r>
      </w:hyperlink>
      <w:r w:rsidRPr="009E2365">
        <w:rPr>
          <w:rFonts w:cstheme="minorHAnsi"/>
          <w:sz w:val="16"/>
          <w:szCs w:val="16"/>
        </w:rPr>
        <w:t>, A/HRC/43/17, 19 December, 2019. (2) UN General Assembly, Human Rights Council, Report of the Working Group on the Universal Periodic Review (UPR): Bosnia and Herzegovina – Addendum, A/HRC/43/17/Add.1, 9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CB40" w14:textId="4F266EEF" w:rsidR="009625D5" w:rsidRDefault="009625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2B5D" w14:textId="7BFF2395" w:rsidR="009625D5" w:rsidRDefault="009625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611E" w14:textId="0604F5FC" w:rsidR="009625D5" w:rsidRDefault="009625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AD82" w14:textId="0293D280" w:rsidR="009625D5" w:rsidRDefault="0096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022A" w14:textId="107A9B6C" w:rsidR="009625D5" w:rsidRDefault="0096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F2D3" w14:textId="7C832B70" w:rsidR="009625D5" w:rsidRDefault="00962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B4F6" w14:textId="584F4001" w:rsidR="009625D5" w:rsidRDefault="009625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74A6" w14:textId="735740B9" w:rsidR="009625D5" w:rsidRDefault="009625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BF6B" w14:textId="4AA9347B" w:rsidR="009625D5" w:rsidRDefault="009625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F315" w14:textId="3E753F03" w:rsidR="009625D5" w:rsidRDefault="009625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16C5" w14:textId="32FF2DFB" w:rsidR="009625D5" w:rsidRPr="00512F1D" w:rsidRDefault="009625D5" w:rsidP="0053784F">
    <w:pPr>
      <w:pStyle w:val="Header"/>
      <w:jc w:val="right"/>
      <w:rPr>
        <w:b/>
        <w:i/>
        <w:color w:val="404040" w:themeColor="text1" w:themeTint="BF"/>
      </w:rPr>
    </w:pPr>
    <w:r w:rsidRPr="00512F1D">
      <w:rPr>
        <w:b/>
        <w:i/>
        <w:color w:val="404040" w:themeColor="text1" w:themeTint="BF"/>
      </w:rPr>
      <w:t>Working draft – Not for distribution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0426" w14:textId="755AFBA7" w:rsidR="009625D5" w:rsidRDefault="0096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7"/>
    <w:lvl w:ilvl="0">
      <w:start w:val="1"/>
      <w:numFmt w:val="bullet"/>
      <w:pStyle w:val="Liststar"/>
      <w:lvlText w:val=""/>
      <w:lvlJc w:val="left"/>
      <w:pPr>
        <w:tabs>
          <w:tab w:val="num" w:pos="288"/>
        </w:tabs>
        <w:ind w:left="576" w:hanging="288"/>
      </w:pPr>
      <w:rPr>
        <w:rFonts w:ascii="Symbol" w:hAnsi="Symbol"/>
      </w:rPr>
    </w:lvl>
  </w:abstractNum>
  <w:abstractNum w:abstractNumId="1"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B48E9"/>
    <w:multiLevelType w:val="hybridMultilevel"/>
    <w:tmpl w:val="9F1227C0"/>
    <w:lvl w:ilvl="0" w:tplc="AE6619BE">
      <w:start w:val="1"/>
      <w:numFmt w:val="bullet"/>
      <w:lvlText w:val="»"/>
      <w:lvlJc w:val="left"/>
      <w:pPr>
        <w:ind w:left="1146" w:hanging="360"/>
      </w:pPr>
      <w:rPr>
        <w:rFonts w:ascii="Calibri" w:hAnsi="Calibri" w:hint="default"/>
        <w:b w:val="0"/>
        <w:i w:val="0"/>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1CE5C21"/>
    <w:multiLevelType w:val="hybridMultilevel"/>
    <w:tmpl w:val="353EED0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8F320E"/>
    <w:multiLevelType w:val="hybridMultilevel"/>
    <w:tmpl w:val="10CCA490"/>
    <w:lvl w:ilvl="0" w:tplc="D7BCE488">
      <w:start w:val="1"/>
      <w:numFmt w:val="bullet"/>
      <w:lvlText w:val="»"/>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29114D"/>
    <w:multiLevelType w:val="hybridMultilevel"/>
    <w:tmpl w:val="D396DAF8"/>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90285F"/>
    <w:multiLevelType w:val="multilevel"/>
    <w:tmpl w:val="EBFEF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90141"/>
    <w:multiLevelType w:val="hybridMultilevel"/>
    <w:tmpl w:val="902C740E"/>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F869FE"/>
    <w:multiLevelType w:val="hybridMultilevel"/>
    <w:tmpl w:val="FAC2AF3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372" w:hanging="360"/>
      </w:pPr>
      <w:rPr>
        <w:rFonts w:ascii="Courier New" w:hAnsi="Courier New" w:cs="Courier New" w:hint="default"/>
      </w:rPr>
    </w:lvl>
    <w:lvl w:ilvl="2" w:tplc="10090005" w:tentative="1">
      <w:start w:val="1"/>
      <w:numFmt w:val="bullet"/>
      <w:lvlText w:val=""/>
      <w:lvlJc w:val="left"/>
      <w:pPr>
        <w:ind w:left="1092" w:hanging="360"/>
      </w:pPr>
      <w:rPr>
        <w:rFonts w:ascii="Wingdings" w:hAnsi="Wingdings" w:hint="default"/>
      </w:rPr>
    </w:lvl>
    <w:lvl w:ilvl="3" w:tplc="10090001" w:tentative="1">
      <w:start w:val="1"/>
      <w:numFmt w:val="bullet"/>
      <w:lvlText w:val=""/>
      <w:lvlJc w:val="left"/>
      <w:pPr>
        <w:ind w:left="1812" w:hanging="360"/>
      </w:pPr>
      <w:rPr>
        <w:rFonts w:ascii="Symbol" w:hAnsi="Symbol" w:hint="default"/>
      </w:rPr>
    </w:lvl>
    <w:lvl w:ilvl="4" w:tplc="10090003" w:tentative="1">
      <w:start w:val="1"/>
      <w:numFmt w:val="bullet"/>
      <w:lvlText w:val="o"/>
      <w:lvlJc w:val="left"/>
      <w:pPr>
        <w:ind w:left="2532" w:hanging="360"/>
      </w:pPr>
      <w:rPr>
        <w:rFonts w:ascii="Courier New" w:hAnsi="Courier New" w:cs="Courier New" w:hint="default"/>
      </w:rPr>
    </w:lvl>
    <w:lvl w:ilvl="5" w:tplc="10090005" w:tentative="1">
      <w:start w:val="1"/>
      <w:numFmt w:val="bullet"/>
      <w:lvlText w:val=""/>
      <w:lvlJc w:val="left"/>
      <w:pPr>
        <w:ind w:left="3252" w:hanging="360"/>
      </w:pPr>
      <w:rPr>
        <w:rFonts w:ascii="Wingdings" w:hAnsi="Wingdings" w:hint="default"/>
      </w:rPr>
    </w:lvl>
    <w:lvl w:ilvl="6" w:tplc="10090001" w:tentative="1">
      <w:start w:val="1"/>
      <w:numFmt w:val="bullet"/>
      <w:lvlText w:val=""/>
      <w:lvlJc w:val="left"/>
      <w:pPr>
        <w:ind w:left="3972" w:hanging="360"/>
      </w:pPr>
      <w:rPr>
        <w:rFonts w:ascii="Symbol" w:hAnsi="Symbol" w:hint="default"/>
      </w:rPr>
    </w:lvl>
    <w:lvl w:ilvl="7" w:tplc="10090003" w:tentative="1">
      <w:start w:val="1"/>
      <w:numFmt w:val="bullet"/>
      <w:lvlText w:val="o"/>
      <w:lvlJc w:val="left"/>
      <w:pPr>
        <w:ind w:left="4692" w:hanging="360"/>
      </w:pPr>
      <w:rPr>
        <w:rFonts w:ascii="Courier New" w:hAnsi="Courier New" w:cs="Courier New" w:hint="default"/>
      </w:rPr>
    </w:lvl>
    <w:lvl w:ilvl="8" w:tplc="10090005" w:tentative="1">
      <w:start w:val="1"/>
      <w:numFmt w:val="bullet"/>
      <w:lvlText w:val=""/>
      <w:lvlJc w:val="left"/>
      <w:pPr>
        <w:ind w:left="5412" w:hanging="360"/>
      </w:pPr>
      <w:rPr>
        <w:rFonts w:ascii="Wingdings" w:hAnsi="Wingdings" w:hint="default"/>
      </w:rPr>
    </w:lvl>
  </w:abstractNum>
  <w:abstractNum w:abstractNumId="9" w15:restartNumberingAfterBreak="0">
    <w:nsid w:val="1CEB07CC"/>
    <w:multiLevelType w:val="hybridMultilevel"/>
    <w:tmpl w:val="9D4AA968"/>
    <w:lvl w:ilvl="0" w:tplc="AE6619BE">
      <w:start w:val="1"/>
      <w:numFmt w:val="bullet"/>
      <w:lvlText w:val="»"/>
      <w:lvlJc w:val="left"/>
      <w:pPr>
        <w:ind w:left="1146" w:hanging="360"/>
      </w:pPr>
      <w:rPr>
        <w:rFonts w:ascii="Calibri" w:hAnsi="Calibri" w:hint="default"/>
        <w:b w:val="0"/>
        <w:i w:val="0"/>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7B0DDE"/>
    <w:multiLevelType w:val="hybridMultilevel"/>
    <w:tmpl w:val="66F68780"/>
    <w:lvl w:ilvl="0" w:tplc="AE6619BE">
      <w:start w:val="1"/>
      <w:numFmt w:val="bullet"/>
      <w:lvlText w:val="»"/>
      <w:lvlJc w:val="left"/>
      <w:pPr>
        <w:ind w:left="1146" w:hanging="360"/>
      </w:pPr>
      <w:rPr>
        <w:rFonts w:ascii="Calibri" w:hAnsi="Calibri" w:hint="default"/>
        <w:b w:val="0"/>
        <w:i w:val="0"/>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2403588"/>
    <w:multiLevelType w:val="hybridMultilevel"/>
    <w:tmpl w:val="D7A6AFB0"/>
    <w:lvl w:ilvl="0" w:tplc="AE6619BE">
      <w:start w:val="1"/>
      <w:numFmt w:val="bullet"/>
      <w:lvlText w:val="»"/>
      <w:lvlJc w:val="left"/>
      <w:pPr>
        <w:ind w:left="1146" w:hanging="360"/>
      </w:pPr>
      <w:rPr>
        <w:rFonts w:ascii="Calibri" w:hAnsi="Calibri" w:hint="default"/>
        <w:b w:val="0"/>
        <w:i w:val="0"/>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5625CC0"/>
    <w:multiLevelType w:val="hybridMultilevel"/>
    <w:tmpl w:val="E29E800E"/>
    <w:lvl w:ilvl="0" w:tplc="D7BCE488">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2687F"/>
    <w:multiLevelType w:val="hybridMultilevel"/>
    <w:tmpl w:val="56BCDAC6"/>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EC4225"/>
    <w:multiLevelType w:val="hybridMultilevel"/>
    <w:tmpl w:val="79D8E3C6"/>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C37E2E"/>
    <w:multiLevelType w:val="hybridMultilevel"/>
    <w:tmpl w:val="FC1ECCAE"/>
    <w:lvl w:ilvl="0" w:tplc="AE6619BE">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14491F"/>
    <w:multiLevelType w:val="multilevel"/>
    <w:tmpl w:val="C2A6E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016D3B"/>
    <w:multiLevelType w:val="multilevel"/>
    <w:tmpl w:val="998C1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1B556D"/>
    <w:multiLevelType w:val="hybridMultilevel"/>
    <w:tmpl w:val="F162E6BC"/>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A427CF8"/>
    <w:multiLevelType w:val="hybridMultilevel"/>
    <w:tmpl w:val="23387B1A"/>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AB29F5"/>
    <w:multiLevelType w:val="hybridMultilevel"/>
    <w:tmpl w:val="B5202B20"/>
    <w:lvl w:ilvl="0" w:tplc="EB025252">
      <w:start w:val="1"/>
      <w:numFmt w:val="bullet"/>
      <w:pStyle w:val="ListParagraph"/>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51022F"/>
    <w:multiLevelType w:val="multilevel"/>
    <w:tmpl w:val="DD964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7E1CFB"/>
    <w:multiLevelType w:val="hybridMultilevel"/>
    <w:tmpl w:val="F9B2BA52"/>
    <w:lvl w:ilvl="0" w:tplc="6DD4DFF6">
      <w:start w:val="1"/>
      <w:numFmt w:val="bullet"/>
      <w:lvlText w:val="»"/>
      <w:lvlJc w:val="left"/>
      <w:pPr>
        <w:ind w:left="720" w:hanging="360"/>
      </w:pPr>
      <w:rPr>
        <w:rFonts w:ascii="Sitka Small" w:hAnsi="Sitka Small" w:hint="default"/>
        <w:lang w:val="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70BB"/>
    <w:multiLevelType w:val="multilevel"/>
    <w:tmpl w:val="08BA2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A8000D"/>
    <w:multiLevelType w:val="multilevel"/>
    <w:tmpl w:val="5E625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BE4195"/>
    <w:multiLevelType w:val="hybridMultilevel"/>
    <w:tmpl w:val="6B40D250"/>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917612"/>
    <w:multiLevelType w:val="hybridMultilevel"/>
    <w:tmpl w:val="BCC42760"/>
    <w:lvl w:ilvl="0" w:tplc="AE6619BE">
      <w:start w:val="1"/>
      <w:numFmt w:val="bullet"/>
      <w:lvlText w:val="»"/>
      <w:lvlJc w:val="left"/>
      <w:pPr>
        <w:ind w:left="1146" w:hanging="360"/>
      </w:pPr>
      <w:rPr>
        <w:rFonts w:ascii="Calibri" w:hAnsi="Calibri" w:hint="default"/>
        <w:b w:val="0"/>
        <w:i w:val="0"/>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7ABA1249"/>
    <w:multiLevelType w:val="hybridMultilevel"/>
    <w:tmpl w:val="207A6CC6"/>
    <w:lvl w:ilvl="0" w:tplc="188050D4">
      <w:start w:val="1"/>
      <w:numFmt w:val="decimal"/>
      <w:lvlText w:val="%1."/>
      <w:lvlJc w:val="left"/>
      <w:pPr>
        <w:ind w:left="360" w:hanging="360"/>
      </w:pPr>
      <w:rPr>
        <w:b w:val="0"/>
        <w:i w:val="0"/>
        <w:color w:val="404040" w:themeColor="text1" w:themeTint="BF"/>
        <w:sz w:val="21"/>
        <w:lang w:val="en-US"/>
      </w:rPr>
    </w:lvl>
    <w:lvl w:ilvl="1" w:tplc="D7BCE488">
      <w:start w:val="1"/>
      <w:numFmt w:val="bullet"/>
      <w:lvlText w:val="»"/>
      <w:lvlJc w:val="left"/>
      <w:pPr>
        <w:ind w:left="1080" w:hanging="360"/>
      </w:pPr>
      <w:rPr>
        <w:rFonts w:ascii="Calibri" w:hAnsi="Calibri" w:hint="default"/>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20"/>
  </w:num>
  <w:num w:numId="3">
    <w:abstractNumId w:val="27"/>
  </w:num>
  <w:num w:numId="4">
    <w:abstractNumId w:val="4"/>
  </w:num>
  <w:num w:numId="5">
    <w:abstractNumId w:val="14"/>
  </w:num>
  <w:num w:numId="6">
    <w:abstractNumId w:val="7"/>
  </w:num>
  <w:num w:numId="7">
    <w:abstractNumId w:val="12"/>
  </w:num>
  <w:num w:numId="8">
    <w:abstractNumId w:val="22"/>
  </w:num>
  <w:num w:numId="9">
    <w:abstractNumId w:val="13"/>
  </w:num>
  <w:num w:numId="10">
    <w:abstractNumId w:val="3"/>
  </w:num>
  <w:num w:numId="11">
    <w:abstractNumId w:val="1"/>
  </w:num>
  <w:num w:numId="12">
    <w:abstractNumId w:val="25"/>
  </w:num>
  <w:num w:numId="13">
    <w:abstractNumId w:val="8"/>
  </w:num>
  <w:num w:numId="14">
    <w:abstractNumId w:val="0"/>
  </w:num>
  <w:num w:numId="15">
    <w:abstractNumId w:val="18"/>
  </w:num>
  <w:num w:numId="16">
    <w:abstractNumId w:val="19"/>
  </w:num>
  <w:num w:numId="17">
    <w:abstractNumId w:val="5"/>
  </w:num>
  <w:num w:numId="18">
    <w:abstractNumId w:val="23"/>
  </w:num>
  <w:num w:numId="19">
    <w:abstractNumId w:val="21"/>
  </w:num>
  <w:num w:numId="20">
    <w:abstractNumId w:val="6"/>
  </w:num>
  <w:num w:numId="21">
    <w:abstractNumId w:val="17"/>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11"/>
  </w:num>
  <w:num w:numId="27">
    <w:abstractNumId w:val="9"/>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40"/>
    <w:rsid w:val="00000026"/>
    <w:rsid w:val="00001735"/>
    <w:rsid w:val="000022E1"/>
    <w:rsid w:val="00002569"/>
    <w:rsid w:val="00004B3D"/>
    <w:rsid w:val="00006392"/>
    <w:rsid w:val="00006FB0"/>
    <w:rsid w:val="000076CB"/>
    <w:rsid w:val="00010E0F"/>
    <w:rsid w:val="00010EFF"/>
    <w:rsid w:val="00011176"/>
    <w:rsid w:val="00011430"/>
    <w:rsid w:val="000117BA"/>
    <w:rsid w:val="000119C5"/>
    <w:rsid w:val="000125A8"/>
    <w:rsid w:val="00013CF2"/>
    <w:rsid w:val="00015517"/>
    <w:rsid w:val="00016280"/>
    <w:rsid w:val="0001660B"/>
    <w:rsid w:val="000168E3"/>
    <w:rsid w:val="00017A2C"/>
    <w:rsid w:val="00020649"/>
    <w:rsid w:val="000208B2"/>
    <w:rsid w:val="0002126A"/>
    <w:rsid w:val="00021606"/>
    <w:rsid w:val="00021D4E"/>
    <w:rsid w:val="000220BE"/>
    <w:rsid w:val="00024841"/>
    <w:rsid w:val="00025C0B"/>
    <w:rsid w:val="000268FC"/>
    <w:rsid w:val="00027FB4"/>
    <w:rsid w:val="000301B1"/>
    <w:rsid w:val="0003028F"/>
    <w:rsid w:val="00030366"/>
    <w:rsid w:val="00030C18"/>
    <w:rsid w:val="00031EAB"/>
    <w:rsid w:val="00032964"/>
    <w:rsid w:val="00032F05"/>
    <w:rsid w:val="00033059"/>
    <w:rsid w:val="00033299"/>
    <w:rsid w:val="000332CF"/>
    <w:rsid w:val="000334B8"/>
    <w:rsid w:val="000341CD"/>
    <w:rsid w:val="0003513F"/>
    <w:rsid w:val="00037619"/>
    <w:rsid w:val="00037784"/>
    <w:rsid w:val="00037B0A"/>
    <w:rsid w:val="000402B5"/>
    <w:rsid w:val="0004141C"/>
    <w:rsid w:val="00041474"/>
    <w:rsid w:val="00042B7A"/>
    <w:rsid w:val="00043E5D"/>
    <w:rsid w:val="000457BF"/>
    <w:rsid w:val="00045BC3"/>
    <w:rsid w:val="00047359"/>
    <w:rsid w:val="00047911"/>
    <w:rsid w:val="000508D3"/>
    <w:rsid w:val="00050D59"/>
    <w:rsid w:val="00050DC7"/>
    <w:rsid w:val="00051BA9"/>
    <w:rsid w:val="0005281F"/>
    <w:rsid w:val="000533A4"/>
    <w:rsid w:val="00053BC3"/>
    <w:rsid w:val="000544B3"/>
    <w:rsid w:val="000544B5"/>
    <w:rsid w:val="00054529"/>
    <w:rsid w:val="000561B9"/>
    <w:rsid w:val="000565C4"/>
    <w:rsid w:val="00060040"/>
    <w:rsid w:val="00060692"/>
    <w:rsid w:val="00061017"/>
    <w:rsid w:val="0006125D"/>
    <w:rsid w:val="00063A47"/>
    <w:rsid w:val="00063DBF"/>
    <w:rsid w:val="00063E04"/>
    <w:rsid w:val="00063F8B"/>
    <w:rsid w:val="0006460A"/>
    <w:rsid w:val="00066A2F"/>
    <w:rsid w:val="00066EE3"/>
    <w:rsid w:val="0007022A"/>
    <w:rsid w:val="000717E2"/>
    <w:rsid w:val="00072771"/>
    <w:rsid w:val="000728A6"/>
    <w:rsid w:val="00072A2F"/>
    <w:rsid w:val="000759E3"/>
    <w:rsid w:val="00075C38"/>
    <w:rsid w:val="000767E0"/>
    <w:rsid w:val="00077617"/>
    <w:rsid w:val="000777C3"/>
    <w:rsid w:val="0008028F"/>
    <w:rsid w:val="000809B6"/>
    <w:rsid w:val="00080F30"/>
    <w:rsid w:val="0008112F"/>
    <w:rsid w:val="00081939"/>
    <w:rsid w:val="00081EC1"/>
    <w:rsid w:val="00082FAA"/>
    <w:rsid w:val="00084064"/>
    <w:rsid w:val="00085D49"/>
    <w:rsid w:val="00085E1F"/>
    <w:rsid w:val="00086A76"/>
    <w:rsid w:val="000918C4"/>
    <w:rsid w:val="000919CE"/>
    <w:rsid w:val="0009382B"/>
    <w:rsid w:val="000975F9"/>
    <w:rsid w:val="000A08E2"/>
    <w:rsid w:val="000A0C0B"/>
    <w:rsid w:val="000A0EA6"/>
    <w:rsid w:val="000A1288"/>
    <w:rsid w:val="000A1BCE"/>
    <w:rsid w:val="000A1CED"/>
    <w:rsid w:val="000A26ED"/>
    <w:rsid w:val="000A2E5E"/>
    <w:rsid w:val="000A3953"/>
    <w:rsid w:val="000A3E2C"/>
    <w:rsid w:val="000A3E3A"/>
    <w:rsid w:val="000A4435"/>
    <w:rsid w:val="000A6C83"/>
    <w:rsid w:val="000A6E9A"/>
    <w:rsid w:val="000A711D"/>
    <w:rsid w:val="000A73B5"/>
    <w:rsid w:val="000B028B"/>
    <w:rsid w:val="000B0445"/>
    <w:rsid w:val="000B0AD8"/>
    <w:rsid w:val="000B0D28"/>
    <w:rsid w:val="000B2631"/>
    <w:rsid w:val="000B2AD1"/>
    <w:rsid w:val="000B2F20"/>
    <w:rsid w:val="000B3957"/>
    <w:rsid w:val="000B4332"/>
    <w:rsid w:val="000B4B25"/>
    <w:rsid w:val="000B5105"/>
    <w:rsid w:val="000B5B81"/>
    <w:rsid w:val="000B64ED"/>
    <w:rsid w:val="000C177B"/>
    <w:rsid w:val="000C1B90"/>
    <w:rsid w:val="000C23EC"/>
    <w:rsid w:val="000C25D8"/>
    <w:rsid w:val="000C4830"/>
    <w:rsid w:val="000C4891"/>
    <w:rsid w:val="000C4AD6"/>
    <w:rsid w:val="000C5B43"/>
    <w:rsid w:val="000C693C"/>
    <w:rsid w:val="000C79B7"/>
    <w:rsid w:val="000D00B2"/>
    <w:rsid w:val="000D0B55"/>
    <w:rsid w:val="000D2EB0"/>
    <w:rsid w:val="000D3345"/>
    <w:rsid w:val="000D3B44"/>
    <w:rsid w:val="000D3F08"/>
    <w:rsid w:val="000D42FF"/>
    <w:rsid w:val="000D617C"/>
    <w:rsid w:val="000E00FE"/>
    <w:rsid w:val="000E0786"/>
    <w:rsid w:val="000E081A"/>
    <w:rsid w:val="000E1B70"/>
    <w:rsid w:val="000E1DA2"/>
    <w:rsid w:val="000E28DC"/>
    <w:rsid w:val="000E2DEC"/>
    <w:rsid w:val="000E3246"/>
    <w:rsid w:val="000E329E"/>
    <w:rsid w:val="000E3629"/>
    <w:rsid w:val="000E3896"/>
    <w:rsid w:val="000E4A2A"/>
    <w:rsid w:val="000E4F19"/>
    <w:rsid w:val="000E4F4D"/>
    <w:rsid w:val="000E5D85"/>
    <w:rsid w:val="000E6256"/>
    <w:rsid w:val="000E6ECF"/>
    <w:rsid w:val="000E7468"/>
    <w:rsid w:val="000E7AAA"/>
    <w:rsid w:val="000F012A"/>
    <w:rsid w:val="000F02C7"/>
    <w:rsid w:val="000F0B01"/>
    <w:rsid w:val="000F0EFF"/>
    <w:rsid w:val="000F12D6"/>
    <w:rsid w:val="000F1BA2"/>
    <w:rsid w:val="000F4267"/>
    <w:rsid w:val="000F4641"/>
    <w:rsid w:val="000F49D7"/>
    <w:rsid w:val="000F4FF0"/>
    <w:rsid w:val="000F50CA"/>
    <w:rsid w:val="000F51AB"/>
    <w:rsid w:val="000F5CE2"/>
    <w:rsid w:val="000F5EB1"/>
    <w:rsid w:val="00100674"/>
    <w:rsid w:val="00100A8D"/>
    <w:rsid w:val="00100AD2"/>
    <w:rsid w:val="001029A5"/>
    <w:rsid w:val="00102DDA"/>
    <w:rsid w:val="0010320F"/>
    <w:rsid w:val="00103C55"/>
    <w:rsid w:val="001056E4"/>
    <w:rsid w:val="00106095"/>
    <w:rsid w:val="001068AA"/>
    <w:rsid w:val="0010691B"/>
    <w:rsid w:val="001070D6"/>
    <w:rsid w:val="0011009D"/>
    <w:rsid w:val="0011322B"/>
    <w:rsid w:val="00113BDC"/>
    <w:rsid w:val="00113C65"/>
    <w:rsid w:val="0011670D"/>
    <w:rsid w:val="00117678"/>
    <w:rsid w:val="00117A0D"/>
    <w:rsid w:val="00117E69"/>
    <w:rsid w:val="00121927"/>
    <w:rsid w:val="00122F3B"/>
    <w:rsid w:val="00123615"/>
    <w:rsid w:val="0012437A"/>
    <w:rsid w:val="00124777"/>
    <w:rsid w:val="00125D2A"/>
    <w:rsid w:val="00126DB1"/>
    <w:rsid w:val="00126FC0"/>
    <w:rsid w:val="001272B9"/>
    <w:rsid w:val="001272F9"/>
    <w:rsid w:val="00127C80"/>
    <w:rsid w:val="00127F40"/>
    <w:rsid w:val="00130E8F"/>
    <w:rsid w:val="00133AEC"/>
    <w:rsid w:val="001348D9"/>
    <w:rsid w:val="0013534F"/>
    <w:rsid w:val="00136338"/>
    <w:rsid w:val="001367ED"/>
    <w:rsid w:val="001374AB"/>
    <w:rsid w:val="00137B13"/>
    <w:rsid w:val="00140452"/>
    <w:rsid w:val="00140BDF"/>
    <w:rsid w:val="00141D2D"/>
    <w:rsid w:val="0014203A"/>
    <w:rsid w:val="001428A7"/>
    <w:rsid w:val="00142EB4"/>
    <w:rsid w:val="00143A9B"/>
    <w:rsid w:val="00144112"/>
    <w:rsid w:val="00144CE6"/>
    <w:rsid w:val="00144EA2"/>
    <w:rsid w:val="00144F42"/>
    <w:rsid w:val="00146BEE"/>
    <w:rsid w:val="00147551"/>
    <w:rsid w:val="00147561"/>
    <w:rsid w:val="00150CDB"/>
    <w:rsid w:val="00154E10"/>
    <w:rsid w:val="0015552C"/>
    <w:rsid w:val="00155DC6"/>
    <w:rsid w:val="00156B20"/>
    <w:rsid w:val="00160079"/>
    <w:rsid w:val="00160B22"/>
    <w:rsid w:val="00160CB8"/>
    <w:rsid w:val="00160E1F"/>
    <w:rsid w:val="00160E81"/>
    <w:rsid w:val="00161110"/>
    <w:rsid w:val="00161231"/>
    <w:rsid w:val="00161343"/>
    <w:rsid w:val="00161636"/>
    <w:rsid w:val="001628FE"/>
    <w:rsid w:val="001629C5"/>
    <w:rsid w:val="00162DDC"/>
    <w:rsid w:val="001636B9"/>
    <w:rsid w:val="00164039"/>
    <w:rsid w:val="00164B81"/>
    <w:rsid w:val="001650E3"/>
    <w:rsid w:val="00165D6E"/>
    <w:rsid w:val="00165F3C"/>
    <w:rsid w:val="00167D2D"/>
    <w:rsid w:val="001702DE"/>
    <w:rsid w:val="00170331"/>
    <w:rsid w:val="00170802"/>
    <w:rsid w:val="00170B08"/>
    <w:rsid w:val="00170C24"/>
    <w:rsid w:val="001711E7"/>
    <w:rsid w:val="00171BF0"/>
    <w:rsid w:val="001749AA"/>
    <w:rsid w:val="00174B9E"/>
    <w:rsid w:val="00176580"/>
    <w:rsid w:val="00176897"/>
    <w:rsid w:val="00176CE7"/>
    <w:rsid w:val="00177007"/>
    <w:rsid w:val="00177726"/>
    <w:rsid w:val="0017781F"/>
    <w:rsid w:val="0017786C"/>
    <w:rsid w:val="0018048B"/>
    <w:rsid w:val="001806D2"/>
    <w:rsid w:val="0018125D"/>
    <w:rsid w:val="00181345"/>
    <w:rsid w:val="00181AD8"/>
    <w:rsid w:val="00181CD0"/>
    <w:rsid w:val="001820A1"/>
    <w:rsid w:val="00182A80"/>
    <w:rsid w:val="00182C34"/>
    <w:rsid w:val="00183D20"/>
    <w:rsid w:val="00184301"/>
    <w:rsid w:val="00184CC0"/>
    <w:rsid w:val="00185DB1"/>
    <w:rsid w:val="00185F20"/>
    <w:rsid w:val="001872A0"/>
    <w:rsid w:val="00187643"/>
    <w:rsid w:val="00191557"/>
    <w:rsid w:val="00191F02"/>
    <w:rsid w:val="00193229"/>
    <w:rsid w:val="001955A6"/>
    <w:rsid w:val="001956DF"/>
    <w:rsid w:val="00195848"/>
    <w:rsid w:val="0019642B"/>
    <w:rsid w:val="0019724A"/>
    <w:rsid w:val="001973DE"/>
    <w:rsid w:val="0019783D"/>
    <w:rsid w:val="00197F4E"/>
    <w:rsid w:val="001A0F0B"/>
    <w:rsid w:val="001A116A"/>
    <w:rsid w:val="001A3142"/>
    <w:rsid w:val="001A3A27"/>
    <w:rsid w:val="001A3D74"/>
    <w:rsid w:val="001A480C"/>
    <w:rsid w:val="001A5299"/>
    <w:rsid w:val="001A5C48"/>
    <w:rsid w:val="001A6B0E"/>
    <w:rsid w:val="001A70E5"/>
    <w:rsid w:val="001A7396"/>
    <w:rsid w:val="001A7C71"/>
    <w:rsid w:val="001A7FD7"/>
    <w:rsid w:val="001B0318"/>
    <w:rsid w:val="001B069F"/>
    <w:rsid w:val="001B1D67"/>
    <w:rsid w:val="001B2F14"/>
    <w:rsid w:val="001B4498"/>
    <w:rsid w:val="001B44A0"/>
    <w:rsid w:val="001B4ABC"/>
    <w:rsid w:val="001B63CC"/>
    <w:rsid w:val="001B65E6"/>
    <w:rsid w:val="001B6A23"/>
    <w:rsid w:val="001B7123"/>
    <w:rsid w:val="001B7144"/>
    <w:rsid w:val="001C02FF"/>
    <w:rsid w:val="001C1DD2"/>
    <w:rsid w:val="001C3018"/>
    <w:rsid w:val="001C3CC6"/>
    <w:rsid w:val="001C62A0"/>
    <w:rsid w:val="001C6374"/>
    <w:rsid w:val="001C63E5"/>
    <w:rsid w:val="001C68E1"/>
    <w:rsid w:val="001C776E"/>
    <w:rsid w:val="001C7C82"/>
    <w:rsid w:val="001D0BE7"/>
    <w:rsid w:val="001D2205"/>
    <w:rsid w:val="001D2557"/>
    <w:rsid w:val="001D2B2A"/>
    <w:rsid w:val="001D43E5"/>
    <w:rsid w:val="001D4728"/>
    <w:rsid w:val="001D4B83"/>
    <w:rsid w:val="001D5FF2"/>
    <w:rsid w:val="001D75BF"/>
    <w:rsid w:val="001D7A10"/>
    <w:rsid w:val="001E05FC"/>
    <w:rsid w:val="001E0EFB"/>
    <w:rsid w:val="001E12F9"/>
    <w:rsid w:val="001E1E75"/>
    <w:rsid w:val="001E2CCF"/>
    <w:rsid w:val="001E2FEE"/>
    <w:rsid w:val="001E44E7"/>
    <w:rsid w:val="001E45D2"/>
    <w:rsid w:val="001E5CDF"/>
    <w:rsid w:val="001E5FF7"/>
    <w:rsid w:val="001E714A"/>
    <w:rsid w:val="001E7627"/>
    <w:rsid w:val="001E7AE7"/>
    <w:rsid w:val="001F0B87"/>
    <w:rsid w:val="001F0C17"/>
    <w:rsid w:val="001F11C0"/>
    <w:rsid w:val="001F14A8"/>
    <w:rsid w:val="001F1711"/>
    <w:rsid w:val="001F30C9"/>
    <w:rsid w:val="001F355A"/>
    <w:rsid w:val="001F3675"/>
    <w:rsid w:val="001F38A3"/>
    <w:rsid w:val="001F4CF5"/>
    <w:rsid w:val="001F5012"/>
    <w:rsid w:val="001F5C0B"/>
    <w:rsid w:val="001F6190"/>
    <w:rsid w:val="001F6E4D"/>
    <w:rsid w:val="002014B4"/>
    <w:rsid w:val="002014D5"/>
    <w:rsid w:val="00201B50"/>
    <w:rsid w:val="00201CC0"/>
    <w:rsid w:val="002023DF"/>
    <w:rsid w:val="00202573"/>
    <w:rsid w:val="00202722"/>
    <w:rsid w:val="00202A2A"/>
    <w:rsid w:val="00202E29"/>
    <w:rsid w:val="00202E2E"/>
    <w:rsid w:val="00203C30"/>
    <w:rsid w:val="00204B27"/>
    <w:rsid w:val="00205166"/>
    <w:rsid w:val="002053DC"/>
    <w:rsid w:val="002059D5"/>
    <w:rsid w:val="00206DC0"/>
    <w:rsid w:val="00207674"/>
    <w:rsid w:val="0021007A"/>
    <w:rsid w:val="00210A3A"/>
    <w:rsid w:val="002117AF"/>
    <w:rsid w:val="0021200D"/>
    <w:rsid w:val="00214198"/>
    <w:rsid w:val="00215021"/>
    <w:rsid w:val="00215E29"/>
    <w:rsid w:val="002163FC"/>
    <w:rsid w:val="00216B8D"/>
    <w:rsid w:val="0021764F"/>
    <w:rsid w:val="002179BC"/>
    <w:rsid w:val="00220835"/>
    <w:rsid w:val="00220BA4"/>
    <w:rsid w:val="00222338"/>
    <w:rsid w:val="00222528"/>
    <w:rsid w:val="00222A78"/>
    <w:rsid w:val="00223423"/>
    <w:rsid w:val="00223973"/>
    <w:rsid w:val="00224950"/>
    <w:rsid w:val="002251B4"/>
    <w:rsid w:val="002253B4"/>
    <w:rsid w:val="00225682"/>
    <w:rsid w:val="00226046"/>
    <w:rsid w:val="002260DE"/>
    <w:rsid w:val="00227C1E"/>
    <w:rsid w:val="00230063"/>
    <w:rsid w:val="00230276"/>
    <w:rsid w:val="002305D4"/>
    <w:rsid w:val="002317F1"/>
    <w:rsid w:val="002318E9"/>
    <w:rsid w:val="00233CD1"/>
    <w:rsid w:val="0023480A"/>
    <w:rsid w:val="00235594"/>
    <w:rsid w:val="00235B4A"/>
    <w:rsid w:val="0023651B"/>
    <w:rsid w:val="002366F4"/>
    <w:rsid w:val="00237BB7"/>
    <w:rsid w:val="00237E54"/>
    <w:rsid w:val="00240456"/>
    <w:rsid w:val="002407C3"/>
    <w:rsid w:val="002416D7"/>
    <w:rsid w:val="002421CD"/>
    <w:rsid w:val="0024464B"/>
    <w:rsid w:val="00244BB4"/>
    <w:rsid w:val="00244BE0"/>
    <w:rsid w:val="0024561E"/>
    <w:rsid w:val="00245B0A"/>
    <w:rsid w:val="0024684C"/>
    <w:rsid w:val="00247708"/>
    <w:rsid w:val="002479BB"/>
    <w:rsid w:val="00251A7E"/>
    <w:rsid w:val="0025266B"/>
    <w:rsid w:val="00253CA1"/>
    <w:rsid w:val="00254583"/>
    <w:rsid w:val="00254859"/>
    <w:rsid w:val="0025541A"/>
    <w:rsid w:val="00255ADE"/>
    <w:rsid w:val="00255FA5"/>
    <w:rsid w:val="00257113"/>
    <w:rsid w:val="002574C5"/>
    <w:rsid w:val="00260B36"/>
    <w:rsid w:val="00260B97"/>
    <w:rsid w:val="00261583"/>
    <w:rsid w:val="00262564"/>
    <w:rsid w:val="002645A8"/>
    <w:rsid w:val="00264C37"/>
    <w:rsid w:val="00264CD6"/>
    <w:rsid w:val="00264D3F"/>
    <w:rsid w:val="00265EAA"/>
    <w:rsid w:val="002664CF"/>
    <w:rsid w:val="00267E1A"/>
    <w:rsid w:val="0027006E"/>
    <w:rsid w:val="0027024F"/>
    <w:rsid w:val="0027025F"/>
    <w:rsid w:val="0027041E"/>
    <w:rsid w:val="0027192C"/>
    <w:rsid w:val="0027485B"/>
    <w:rsid w:val="00275400"/>
    <w:rsid w:val="0027541B"/>
    <w:rsid w:val="00276418"/>
    <w:rsid w:val="0028002C"/>
    <w:rsid w:val="00282543"/>
    <w:rsid w:val="002848C1"/>
    <w:rsid w:val="002849C5"/>
    <w:rsid w:val="00284D30"/>
    <w:rsid w:val="00284F8A"/>
    <w:rsid w:val="002853E4"/>
    <w:rsid w:val="0028595D"/>
    <w:rsid w:val="00286886"/>
    <w:rsid w:val="002870F5"/>
    <w:rsid w:val="002874BD"/>
    <w:rsid w:val="00291145"/>
    <w:rsid w:val="0029141D"/>
    <w:rsid w:val="002914F1"/>
    <w:rsid w:val="0029192E"/>
    <w:rsid w:val="00291C41"/>
    <w:rsid w:val="00291C58"/>
    <w:rsid w:val="0029238D"/>
    <w:rsid w:val="00292599"/>
    <w:rsid w:val="0029290A"/>
    <w:rsid w:val="002933EA"/>
    <w:rsid w:val="00293C0F"/>
    <w:rsid w:val="00294042"/>
    <w:rsid w:val="002946A6"/>
    <w:rsid w:val="0029505C"/>
    <w:rsid w:val="00295294"/>
    <w:rsid w:val="00295D56"/>
    <w:rsid w:val="002962C2"/>
    <w:rsid w:val="00297128"/>
    <w:rsid w:val="00297E99"/>
    <w:rsid w:val="002A0390"/>
    <w:rsid w:val="002A1792"/>
    <w:rsid w:val="002A184B"/>
    <w:rsid w:val="002A1F98"/>
    <w:rsid w:val="002A2D0D"/>
    <w:rsid w:val="002A3B9D"/>
    <w:rsid w:val="002A3BAD"/>
    <w:rsid w:val="002A406E"/>
    <w:rsid w:val="002A4FAD"/>
    <w:rsid w:val="002A5A97"/>
    <w:rsid w:val="002A5DEE"/>
    <w:rsid w:val="002A6BD5"/>
    <w:rsid w:val="002A6ED0"/>
    <w:rsid w:val="002A748D"/>
    <w:rsid w:val="002B0410"/>
    <w:rsid w:val="002B04AE"/>
    <w:rsid w:val="002B0B80"/>
    <w:rsid w:val="002B2700"/>
    <w:rsid w:val="002B2F5C"/>
    <w:rsid w:val="002B5F92"/>
    <w:rsid w:val="002B6FF9"/>
    <w:rsid w:val="002B734F"/>
    <w:rsid w:val="002B771B"/>
    <w:rsid w:val="002B7B56"/>
    <w:rsid w:val="002C0038"/>
    <w:rsid w:val="002C0C51"/>
    <w:rsid w:val="002C2A9C"/>
    <w:rsid w:val="002C330D"/>
    <w:rsid w:val="002C38CB"/>
    <w:rsid w:val="002C5102"/>
    <w:rsid w:val="002C514A"/>
    <w:rsid w:val="002C627F"/>
    <w:rsid w:val="002C6B4C"/>
    <w:rsid w:val="002C765D"/>
    <w:rsid w:val="002C7A81"/>
    <w:rsid w:val="002C7DC2"/>
    <w:rsid w:val="002D0E78"/>
    <w:rsid w:val="002D20BD"/>
    <w:rsid w:val="002D2A4B"/>
    <w:rsid w:val="002D36E3"/>
    <w:rsid w:val="002D3980"/>
    <w:rsid w:val="002D3C87"/>
    <w:rsid w:val="002D4D1E"/>
    <w:rsid w:val="002D5373"/>
    <w:rsid w:val="002D6DD6"/>
    <w:rsid w:val="002D7CAA"/>
    <w:rsid w:val="002E0A99"/>
    <w:rsid w:val="002E1792"/>
    <w:rsid w:val="002E1BF4"/>
    <w:rsid w:val="002E2068"/>
    <w:rsid w:val="002E3B77"/>
    <w:rsid w:val="002E3CF8"/>
    <w:rsid w:val="002E485A"/>
    <w:rsid w:val="002E4886"/>
    <w:rsid w:val="002E4AE1"/>
    <w:rsid w:val="002E55D5"/>
    <w:rsid w:val="002E62DA"/>
    <w:rsid w:val="002E6539"/>
    <w:rsid w:val="002E769C"/>
    <w:rsid w:val="002F03A0"/>
    <w:rsid w:val="002F0991"/>
    <w:rsid w:val="002F1E18"/>
    <w:rsid w:val="002F286E"/>
    <w:rsid w:val="002F3811"/>
    <w:rsid w:val="002F3EC7"/>
    <w:rsid w:val="002F45D9"/>
    <w:rsid w:val="002F472C"/>
    <w:rsid w:val="002F620F"/>
    <w:rsid w:val="002F67AF"/>
    <w:rsid w:val="002F7850"/>
    <w:rsid w:val="00300959"/>
    <w:rsid w:val="00300D3C"/>
    <w:rsid w:val="0030109D"/>
    <w:rsid w:val="00301517"/>
    <w:rsid w:val="00302027"/>
    <w:rsid w:val="00302347"/>
    <w:rsid w:val="00302928"/>
    <w:rsid w:val="00302A84"/>
    <w:rsid w:val="00302E65"/>
    <w:rsid w:val="0030311D"/>
    <w:rsid w:val="0030492F"/>
    <w:rsid w:val="003049F4"/>
    <w:rsid w:val="00304B22"/>
    <w:rsid w:val="003062B0"/>
    <w:rsid w:val="003078F6"/>
    <w:rsid w:val="00307B87"/>
    <w:rsid w:val="00307BD5"/>
    <w:rsid w:val="00307E75"/>
    <w:rsid w:val="00312559"/>
    <w:rsid w:val="003141D6"/>
    <w:rsid w:val="003145E9"/>
    <w:rsid w:val="003150D1"/>
    <w:rsid w:val="003167BE"/>
    <w:rsid w:val="003168F0"/>
    <w:rsid w:val="0031690A"/>
    <w:rsid w:val="00316FE0"/>
    <w:rsid w:val="003179F9"/>
    <w:rsid w:val="003204BB"/>
    <w:rsid w:val="00320A29"/>
    <w:rsid w:val="00320AB0"/>
    <w:rsid w:val="00320B6E"/>
    <w:rsid w:val="00320D31"/>
    <w:rsid w:val="00321770"/>
    <w:rsid w:val="00322B1E"/>
    <w:rsid w:val="00323325"/>
    <w:rsid w:val="00323C28"/>
    <w:rsid w:val="003243E6"/>
    <w:rsid w:val="00324DD6"/>
    <w:rsid w:val="00324E82"/>
    <w:rsid w:val="00325734"/>
    <w:rsid w:val="00326002"/>
    <w:rsid w:val="0032748E"/>
    <w:rsid w:val="0032790C"/>
    <w:rsid w:val="00330416"/>
    <w:rsid w:val="00330AEB"/>
    <w:rsid w:val="00331E00"/>
    <w:rsid w:val="003337EA"/>
    <w:rsid w:val="00334898"/>
    <w:rsid w:val="00334E0C"/>
    <w:rsid w:val="0033505F"/>
    <w:rsid w:val="00335256"/>
    <w:rsid w:val="003355D6"/>
    <w:rsid w:val="00335F5E"/>
    <w:rsid w:val="00336886"/>
    <w:rsid w:val="0033723B"/>
    <w:rsid w:val="003405DF"/>
    <w:rsid w:val="0034141B"/>
    <w:rsid w:val="0034221F"/>
    <w:rsid w:val="003426B9"/>
    <w:rsid w:val="003435DE"/>
    <w:rsid w:val="003437B9"/>
    <w:rsid w:val="003446E1"/>
    <w:rsid w:val="00344A97"/>
    <w:rsid w:val="00344FBB"/>
    <w:rsid w:val="0034504C"/>
    <w:rsid w:val="00346363"/>
    <w:rsid w:val="00346F1F"/>
    <w:rsid w:val="003472BA"/>
    <w:rsid w:val="0034791C"/>
    <w:rsid w:val="00347BCC"/>
    <w:rsid w:val="003532E4"/>
    <w:rsid w:val="0035407B"/>
    <w:rsid w:val="0035466D"/>
    <w:rsid w:val="0035581F"/>
    <w:rsid w:val="00355AB7"/>
    <w:rsid w:val="00355AF6"/>
    <w:rsid w:val="00356532"/>
    <w:rsid w:val="00356AFF"/>
    <w:rsid w:val="00356CEA"/>
    <w:rsid w:val="003574AF"/>
    <w:rsid w:val="00360032"/>
    <w:rsid w:val="003601D4"/>
    <w:rsid w:val="00360AF3"/>
    <w:rsid w:val="00360CAD"/>
    <w:rsid w:val="00360D82"/>
    <w:rsid w:val="003610C5"/>
    <w:rsid w:val="00361623"/>
    <w:rsid w:val="003620D8"/>
    <w:rsid w:val="00362430"/>
    <w:rsid w:val="003625AE"/>
    <w:rsid w:val="00362981"/>
    <w:rsid w:val="00362FBB"/>
    <w:rsid w:val="00363087"/>
    <w:rsid w:val="0036374A"/>
    <w:rsid w:val="003638BA"/>
    <w:rsid w:val="0036398B"/>
    <w:rsid w:val="00367098"/>
    <w:rsid w:val="00367223"/>
    <w:rsid w:val="00367F32"/>
    <w:rsid w:val="00370381"/>
    <w:rsid w:val="00370E6A"/>
    <w:rsid w:val="00371217"/>
    <w:rsid w:val="0037192D"/>
    <w:rsid w:val="00371949"/>
    <w:rsid w:val="00371EF0"/>
    <w:rsid w:val="00372DB9"/>
    <w:rsid w:val="003730F5"/>
    <w:rsid w:val="003736DA"/>
    <w:rsid w:val="0037382D"/>
    <w:rsid w:val="00373B1D"/>
    <w:rsid w:val="00373D70"/>
    <w:rsid w:val="0037400B"/>
    <w:rsid w:val="00375719"/>
    <w:rsid w:val="003757CB"/>
    <w:rsid w:val="0037647A"/>
    <w:rsid w:val="00376E6E"/>
    <w:rsid w:val="0037738B"/>
    <w:rsid w:val="0037741F"/>
    <w:rsid w:val="00377BEE"/>
    <w:rsid w:val="0038127F"/>
    <w:rsid w:val="0038152A"/>
    <w:rsid w:val="003821E4"/>
    <w:rsid w:val="00382504"/>
    <w:rsid w:val="003829F9"/>
    <w:rsid w:val="00382E8C"/>
    <w:rsid w:val="00382E9E"/>
    <w:rsid w:val="00383E2C"/>
    <w:rsid w:val="00385361"/>
    <w:rsid w:val="003873EA"/>
    <w:rsid w:val="003877E2"/>
    <w:rsid w:val="00390A59"/>
    <w:rsid w:val="003911D4"/>
    <w:rsid w:val="00391220"/>
    <w:rsid w:val="003927CB"/>
    <w:rsid w:val="0039354F"/>
    <w:rsid w:val="00394220"/>
    <w:rsid w:val="00394AE8"/>
    <w:rsid w:val="0039500A"/>
    <w:rsid w:val="003962CC"/>
    <w:rsid w:val="003974AF"/>
    <w:rsid w:val="0039784D"/>
    <w:rsid w:val="00397D0D"/>
    <w:rsid w:val="003A065D"/>
    <w:rsid w:val="003A0746"/>
    <w:rsid w:val="003A08D8"/>
    <w:rsid w:val="003A15D2"/>
    <w:rsid w:val="003A2013"/>
    <w:rsid w:val="003A42A4"/>
    <w:rsid w:val="003A49E4"/>
    <w:rsid w:val="003A55ED"/>
    <w:rsid w:val="003A676F"/>
    <w:rsid w:val="003A78A4"/>
    <w:rsid w:val="003A7F9A"/>
    <w:rsid w:val="003B012A"/>
    <w:rsid w:val="003B0CC3"/>
    <w:rsid w:val="003B111D"/>
    <w:rsid w:val="003B13BE"/>
    <w:rsid w:val="003B14DA"/>
    <w:rsid w:val="003B4F16"/>
    <w:rsid w:val="003B6EF0"/>
    <w:rsid w:val="003B7611"/>
    <w:rsid w:val="003B7634"/>
    <w:rsid w:val="003B7E50"/>
    <w:rsid w:val="003C0B12"/>
    <w:rsid w:val="003C1202"/>
    <w:rsid w:val="003C3296"/>
    <w:rsid w:val="003C35BB"/>
    <w:rsid w:val="003C36B1"/>
    <w:rsid w:val="003C4005"/>
    <w:rsid w:val="003C498B"/>
    <w:rsid w:val="003C51AD"/>
    <w:rsid w:val="003C52FB"/>
    <w:rsid w:val="003C53EC"/>
    <w:rsid w:val="003D08BE"/>
    <w:rsid w:val="003D0A3B"/>
    <w:rsid w:val="003D0B81"/>
    <w:rsid w:val="003D1387"/>
    <w:rsid w:val="003D1965"/>
    <w:rsid w:val="003D1B1E"/>
    <w:rsid w:val="003D2260"/>
    <w:rsid w:val="003D28D7"/>
    <w:rsid w:val="003D2D28"/>
    <w:rsid w:val="003D2DB0"/>
    <w:rsid w:val="003D2E7C"/>
    <w:rsid w:val="003D349A"/>
    <w:rsid w:val="003D3D83"/>
    <w:rsid w:val="003D4BE9"/>
    <w:rsid w:val="003D5AF2"/>
    <w:rsid w:val="003D673B"/>
    <w:rsid w:val="003D6D06"/>
    <w:rsid w:val="003D6E64"/>
    <w:rsid w:val="003E1371"/>
    <w:rsid w:val="003E1F92"/>
    <w:rsid w:val="003E2D30"/>
    <w:rsid w:val="003E3978"/>
    <w:rsid w:val="003E3F47"/>
    <w:rsid w:val="003E4446"/>
    <w:rsid w:val="003E5682"/>
    <w:rsid w:val="003E75EC"/>
    <w:rsid w:val="003F0E52"/>
    <w:rsid w:val="003F185D"/>
    <w:rsid w:val="003F1A73"/>
    <w:rsid w:val="003F2FE1"/>
    <w:rsid w:val="003F35BD"/>
    <w:rsid w:val="003F3AB0"/>
    <w:rsid w:val="003F46AA"/>
    <w:rsid w:val="003F7ECE"/>
    <w:rsid w:val="00400692"/>
    <w:rsid w:val="00400A3A"/>
    <w:rsid w:val="00401AA1"/>
    <w:rsid w:val="00401ADA"/>
    <w:rsid w:val="004028B0"/>
    <w:rsid w:val="00402CB5"/>
    <w:rsid w:val="004039A8"/>
    <w:rsid w:val="00404E81"/>
    <w:rsid w:val="00404FC5"/>
    <w:rsid w:val="00405D49"/>
    <w:rsid w:val="00405DE7"/>
    <w:rsid w:val="004060AA"/>
    <w:rsid w:val="004067A6"/>
    <w:rsid w:val="00406B4A"/>
    <w:rsid w:val="00406B95"/>
    <w:rsid w:val="00406C23"/>
    <w:rsid w:val="00407884"/>
    <w:rsid w:val="00407B43"/>
    <w:rsid w:val="00410BDD"/>
    <w:rsid w:val="0041151B"/>
    <w:rsid w:val="004120A4"/>
    <w:rsid w:val="004121B1"/>
    <w:rsid w:val="00412813"/>
    <w:rsid w:val="0041477C"/>
    <w:rsid w:val="004179E0"/>
    <w:rsid w:val="00417B69"/>
    <w:rsid w:val="00417BF7"/>
    <w:rsid w:val="0042061E"/>
    <w:rsid w:val="0042181F"/>
    <w:rsid w:val="00421B95"/>
    <w:rsid w:val="00422305"/>
    <w:rsid w:val="004226C5"/>
    <w:rsid w:val="00422B17"/>
    <w:rsid w:val="00422B50"/>
    <w:rsid w:val="00424270"/>
    <w:rsid w:val="00424522"/>
    <w:rsid w:val="00424880"/>
    <w:rsid w:val="004256AA"/>
    <w:rsid w:val="004257F4"/>
    <w:rsid w:val="004266CB"/>
    <w:rsid w:val="00426A04"/>
    <w:rsid w:val="00426C7B"/>
    <w:rsid w:val="00426C8E"/>
    <w:rsid w:val="00426FA3"/>
    <w:rsid w:val="00427980"/>
    <w:rsid w:val="00427DCA"/>
    <w:rsid w:val="00431E0B"/>
    <w:rsid w:val="00433AC8"/>
    <w:rsid w:val="004352C8"/>
    <w:rsid w:val="004352D4"/>
    <w:rsid w:val="00435ACD"/>
    <w:rsid w:val="00436862"/>
    <w:rsid w:val="00437926"/>
    <w:rsid w:val="004406DA"/>
    <w:rsid w:val="00440905"/>
    <w:rsid w:val="004421CC"/>
    <w:rsid w:val="00443CE7"/>
    <w:rsid w:val="00443DE7"/>
    <w:rsid w:val="00444C99"/>
    <w:rsid w:val="0044502D"/>
    <w:rsid w:val="0044668C"/>
    <w:rsid w:val="00447396"/>
    <w:rsid w:val="00447721"/>
    <w:rsid w:val="004506DE"/>
    <w:rsid w:val="00450C0B"/>
    <w:rsid w:val="004518E1"/>
    <w:rsid w:val="00453722"/>
    <w:rsid w:val="00454385"/>
    <w:rsid w:val="00454A84"/>
    <w:rsid w:val="004563E8"/>
    <w:rsid w:val="00456802"/>
    <w:rsid w:val="0046159E"/>
    <w:rsid w:val="0046188F"/>
    <w:rsid w:val="00462FC7"/>
    <w:rsid w:val="00463035"/>
    <w:rsid w:val="00463974"/>
    <w:rsid w:val="00463D29"/>
    <w:rsid w:val="004650F3"/>
    <w:rsid w:val="00465CA0"/>
    <w:rsid w:val="00466A89"/>
    <w:rsid w:val="00467290"/>
    <w:rsid w:val="00467F43"/>
    <w:rsid w:val="00470519"/>
    <w:rsid w:val="004706A2"/>
    <w:rsid w:val="00470CC7"/>
    <w:rsid w:val="0047248F"/>
    <w:rsid w:val="0047272D"/>
    <w:rsid w:val="00472B21"/>
    <w:rsid w:val="00473438"/>
    <w:rsid w:val="00473631"/>
    <w:rsid w:val="00474EC5"/>
    <w:rsid w:val="00475189"/>
    <w:rsid w:val="00475BB4"/>
    <w:rsid w:val="0047665D"/>
    <w:rsid w:val="0048015C"/>
    <w:rsid w:val="004801E9"/>
    <w:rsid w:val="0048040B"/>
    <w:rsid w:val="004808A2"/>
    <w:rsid w:val="00481878"/>
    <w:rsid w:val="00482EC6"/>
    <w:rsid w:val="004830DC"/>
    <w:rsid w:val="0048331D"/>
    <w:rsid w:val="004835B0"/>
    <w:rsid w:val="00483CD3"/>
    <w:rsid w:val="004850E8"/>
    <w:rsid w:val="00486296"/>
    <w:rsid w:val="0048655F"/>
    <w:rsid w:val="00490370"/>
    <w:rsid w:val="00490FAC"/>
    <w:rsid w:val="0049154E"/>
    <w:rsid w:val="00491ACD"/>
    <w:rsid w:val="00491B2C"/>
    <w:rsid w:val="00491E0D"/>
    <w:rsid w:val="00492245"/>
    <w:rsid w:val="00493CE0"/>
    <w:rsid w:val="00493EDB"/>
    <w:rsid w:val="004949F9"/>
    <w:rsid w:val="00494F87"/>
    <w:rsid w:val="004950B3"/>
    <w:rsid w:val="0049539F"/>
    <w:rsid w:val="004955D6"/>
    <w:rsid w:val="00497022"/>
    <w:rsid w:val="004A027B"/>
    <w:rsid w:val="004A0E38"/>
    <w:rsid w:val="004A102C"/>
    <w:rsid w:val="004A11A4"/>
    <w:rsid w:val="004A18B0"/>
    <w:rsid w:val="004A27D5"/>
    <w:rsid w:val="004A2A07"/>
    <w:rsid w:val="004A3440"/>
    <w:rsid w:val="004A34EC"/>
    <w:rsid w:val="004A377C"/>
    <w:rsid w:val="004A3D01"/>
    <w:rsid w:val="004A54E6"/>
    <w:rsid w:val="004A6972"/>
    <w:rsid w:val="004A7390"/>
    <w:rsid w:val="004B0341"/>
    <w:rsid w:val="004B10F8"/>
    <w:rsid w:val="004B1700"/>
    <w:rsid w:val="004B185C"/>
    <w:rsid w:val="004B1EE7"/>
    <w:rsid w:val="004B2ECB"/>
    <w:rsid w:val="004B30E3"/>
    <w:rsid w:val="004B3260"/>
    <w:rsid w:val="004B3C65"/>
    <w:rsid w:val="004B3D7A"/>
    <w:rsid w:val="004B45D1"/>
    <w:rsid w:val="004B49E0"/>
    <w:rsid w:val="004B4CEA"/>
    <w:rsid w:val="004B5018"/>
    <w:rsid w:val="004B516C"/>
    <w:rsid w:val="004B52D3"/>
    <w:rsid w:val="004B5669"/>
    <w:rsid w:val="004B751D"/>
    <w:rsid w:val="004B7A58"/>
    <w:rsid w:val="004C056E"/>
    <w:rsid w:val="004C338B"/>
    <w:rsid w:val="004C383E"/>
    <w:rsid w:val="004C4D7B"/>
    <w:rsid w:val="004C53A6"/>
    <w:rsid w:val="004C6FFD"/>
    <w:rsid w:val="004C7D68"/>
    <w:rsid w:val="004D03D5"/>
    <w:rsid w:val="004D2D6F"/>
    <w:rsid w:val="004D30D8"/>
    <w:rsid w:val="004D318D"/>
    <w:rsid w:val="004D3579"/>
    <w:rsid w:val="004D5C58"/>
    <w:rsid w:val="004D5F6C"/>
    <w:rsid w:val="004D6801"/>
    <w:rsid w:val="004D6BB2"/>
    <w:rsid w:val="004D6BCD"/>
    <w:rsid w:val="004D7945"/>
    <w:rsid w:val="004E013C"/>
    <w:rsid w:val="004E036C"/>
    <w:rsid w:val="004E0FF0"/>
    <w:rsid w:val="004E1588"/>
    <w:rsid w:val="004E1BF6"/>
    <w:rsid w:val="004E1D7A"/>
    <w:rsid w:val="004E1ED7"/>
    <w:rsid w:val="004E23E4"/>
    <w:rsid w:val="004E3187"/>
    <w:rsid w:val="004E35B3"/>
    <w:rsid w:val="004E3EC1"/>
    <w:rsid w:val="004E5558"/>
    <w:rsid w:val="004E578C"/>
    <w:rsid w:val="004E5DB9"/>
    <w:rsid w:val="004E6ED3"/>
    <w:rsid w:val="004E763F"/>
    <w:rsid w:val="004E7A1C"/>
    <w:rsid w:val="004F0883"/>
    <w:rsid w:val="004F15AC"/>
    <w:rsid w:val="004F22A7"/>
    <w:rsid w:val="004F2F1F"/>
    <w:rsid w:val="004F31F1"/>
    <w:rsid w:val="004F3C62"/>
    <w:rsid w:val="004F5524"/>
    <w:rsid w:val="004F6933"/>
    <w:rsid w:val="004F6F19"/>
    <w:rsid w:val="004F70AE"/>
    <w:rsid w:val="004F7311"/>
    <w:rsid w:val="004F7911"/>
    <w:rsid w:val="004F7C34"/>
    <w:rsid w:val="004F7F6B"/>
    <w:rsid w:val="00500C4B"/>
    <w:rsid w:val="00501487"/>
    <w:rsid w:val="00501636"/>
    <w:rsid w:val="005017ED"/>
    <w:rsid w:val="00501961"/>
    <w:rsid w:val="005031B7"/>
    <w:rsid w:val="00503FE4"/>
    <w:rsid w:val="00504173"/>
    <w:rsid w:val="00504B59"/>
    <w:rsid w:val="00505346"/>
    <w:rsid w:val="00505438"/>
    <w:rsid w:val="0050563E"/>
    <w:rsid w:val="005058E0"/>
    <w:rsid w:val="00505EC3"/>
    <w:rsid w:val="00507943"/>
    <w:rsid w:val="00510094"/>
    <w:rsid w:val="005100A2"/>
    <w:rsid w:val="00510EBA"/>
    <w:rsid w:val="00512433"/>
    <w:rsid w:val="00512F18"/>
    <w:rsid w:val="00512F1D"/>
    <w:rsid w:val="0051341E"/>
    <w:rsid w:val="00513860"/>
    <w:rsid w:val="0051497A"/>
    <w:rsid w:val="00515088"/>
    <w:rsid w:val="005154F5"/>
    <w:rsid w:val="005159AB"/>
    <w:rsid w:val="00516E2E"/>
    <w:rsid w:val="00516FA2"/>
    <w:rsid w:val="00517100"/>
    <w:rsid w:val="00517329"/>
    <w:rsid w:val="005177E2"/>
    <w:rsid w:val="00520839"/>
    <w:rsid w:val="00520F97"/>
    <w:rsid w:val="00521DCC"/>
    <w:rsid w:val="0052201A"/>
    <w:rsid w:val="00522ED7"/>
    <w:rsid w:val="00524513"/>
    <w:rsid w:val="005248E6"/>
    <w:rsid w:val="00525D07"/>
    <w:rsid w:val="00525F8C"/>
    <w:rsid w:val="0052752B"/>
    <w:rsid w:val="005307BF"/>
    <w:rsid w:val="00532178"/>
    <w:rsid w:val="0053321D"/>
    <w:rsid w:val="00533D6F"/>
    <w:rsid w:val="00535D22"/>
    <w:rsid w:val="0053784F"/>
    <w:rsid w:val="00537EA8"/>
    <w:rsid w:val="00537FD7"/>
    <w:rsid w:val="00540CBF"/>
    <w:rsid w:val="0054251C"/>
    <w:rsid w:val="00543366"/>
    <w:rsid w:val="005437E4"/>
    <w:rsid w:val="00543E5C"/>
    <w:rsid w:val="00543F7D"/>
    <w:rsid w:val="00544BD5"/>
    <w:rsid w:val="00544CAA"/>
    <w:rsid w:val="0054549A"/>
    <w:rsid w:val="00545D77"/>
    <w:rsid w:val="005468A1"/>
    <w:rsid w:val="00546B98"/>
    <w:rsid w:val="00546D29"/>
    <w:rsid w:val="0054710D"/>
    <w:rsid w:val="005502B0"/>
    <w:rsid w:val="005509C6"/>
    <w:rsid w:val="00551284"/>
    <w:rsid w:val="005536B1"/>
    <w:rsid w:val="005536C1"/>
    <w:rsid w:val="00553A83"/>
    <w:rsid w:val="00555B2A"/>
    <w:rsid w:val="00556E2C"/>
    <w:rsid w:val="005575F2"/>
    <w:rsid w:val="005604F0"/>
    <w:rsid w:val="00561EF7"/>
    <w:rsid w:val="00563A05"/>
    <w:rsid w:val="00563B13"/>
    <w:rsid w:val="00565C35"/>
    <w:rsid w:val="00565DD7"/>
    <w:rsid w:val="00565FDD"/>
    <w:rsid w:val="005663FE"/>
    <w:rsid w:val="00566A61"/>
    <w:rsid w:val="00566EDC"/>
    <w:rsid w:val="0056710A"/>
    <w:rsid w:val="00570939"/>
    <w:rsid w:val="00570C46"/>
    <w:rsid w:val="005710D0"/>
    <w:rsid w:val="00571643"/>
    <w:rsid w:val="00571D9D"/>
    <w:rsid w:val="00572433"/>
    <w:rsid w:val="00572D3D"/>
    <w:rsid w:val="00573ACB"/>
    <w:rsid w:val="00574D19"/>
    <w:rsid w:val="005756CE"/>
    <w:rsid w:val="00575CF8"/>
    <w:rsid w:val="005768D5"/>
    <w:rsid w:val="0057694F"/>
    <w:rsid w:val="00576C48"/>
    <w:rsid w:val="00577F8B"/>
    <w:rsid w:val="005816D7"/>
    <w:rsid w:val="00581AEE"/>
    <w:rsid w:val="00582F79"/>
    <w:rsid w:val="00583640"/>
    <w:rsid w:val="00584274"/>
    <w:rsid w:val="00586790"/>
    <w:rsid w:val="00586818"/>
    <w:rsid w:val="00586A79"/>
    <w:rsid w:val="005879EA"/>
    <w:rsid w:val="00590BC0"/>
    <w:rsid w:val="00591C21"/>
    <w:rsid w:val="00592134"/>
    <w:rsid w:val="0059248B"/>
    <w:rsid w:val="005944D1"/>
    <w:rsid w:val="005951C2"/>
    <w:rsid w:val="005952C1"/>
    <w:rsid w:val="00595647"/>
    <w:rsid w:val="005973AA"/>
    <w:rsid w:val="005A0347"/>
    <w:rsid w:val="005A0F1C"/>
    <w:rsid w:val="005A11C3"/>
    <w:rsid w:val="005A1644"/>
    <w:rsid w:val="005A221C"/>
    <w:rsid w:val="005A32B4"/>
    <w:rsid w:val="005A378C"/>
    <w:rsid w:val="005A484D"/>
    <w:rsid w:val="005A4EF5"/>
    <w:rsid w:val="005A505F"/>
    <w:rsid w:val="005A535D"/>
    <w:rsid w:val="005A540F"/>
    <w:rsid w:val="005A604B"/>
    <w:rsid w:val="005A7791"/>
    <w:rsid w:val="005A7DDC"/>
    <w:rsid w:val="005B16DC"/>
    <w:rsid w:val="005B1FB0"/>
    <w:rsid w:val="005B2663"/>
    <w:rsid w:val="005B28ED"/>
    <w:rsid w:val="005B2907"/>
    <w:rsid w:val="005B2924"/>
    <w:rsid w:val="005B3DAE"/>
    <w:rsid w:val="005B4495"/>
    <w:rsid w:val="005B5DBE"/>
    <w:rsid w:val="005B5DE1"/>
    <w:rsid w:val="005B65F9"/>
    <w:rsid w:val="005B7263"/>
    <w:rsid w:val="005B7498"/>
    <w:rsid w:val="005C1358"/>
    <w:rsid w:val="005C38FC"/>
    <w:rsid w:val="005C5172"/>
    <w:rsid w:val="005C5471"/>
    <w:rsid w:val="005C5C22"/>
    <w:rsid w:val="005C64AC"/>
    <w:rsid w:val="005C6790"/>
    <w:rsid w:val="005D0F3E"/>
    <w:rsid w:val="005D215B"/>
    <w:rsid w:val="005D38CC"/>
    <w:rsid w:val="005D3E40"/>
    <w:rsid w:val="005D536B"/>
    <w:rsid w:val="005D6147"/>
    <w:rsid w:val="005D6B3D"/>
    <w:rsid w:val="005D7068"/>
    <w:rsid w:val="005E07C4"/>
    <w:rsid w:val="005E193F"/>
    <w:rsid w:val="005E1D02"/>
    <w:rsid w:val="005E1E02"/>
    <w:rsid w:val="005E239C"/>
    <w:rsid w:val="005E2733"/>
    <w:rsid w:val="005E278F"/>
    <w:rsid w:val="005E31B2"/>
    <w:rsid w:val="005E477B"/>
    <w:rsid w:val="005E4C34"/>
    <w:rsid w:val="005E5A7C"/>
    <w:rsid w:val="005E5DC3"/>
    <w:rsid w:val="005E651E"/>
    <w:rsid w:val="005E68C7"/>
    <w:rsid w:val="005E6972"/>
    <w:rsid w:val="005E7BD3"/>
    <w:rsid w:val="005F19F7"/>
    <w:rsid w:val="005F1E08"/>
    <w:rsid w:val="005F2381"/>
    <w:rsid w:val="005F282C"/>
    <w:rsid w:val="005F30E7"/>
    <w:rsid w:val="005F3895"/>
    <w:rsid w:val="005F3CDA"/>
    <w:rsid w:val="005F4187"/>
    <w:rsid w:val="005F4EB0"/>
    <w:rsid w:val="005F4EB9"/>
    <w:rsid w:val="005F5094"/>
    <w:rsid w:val="005F596A"/>
    <w:rsid w:val="005F6349"/>
    <w:rsid w:val="005F70BB"/>
    <w:rsid w:val="005F7B04"/>
    <w:rsid w:val="006009DF"/>
    <w:rsid w:val="00601766"/>
    <w:rsid w:val="00603DAD"/>
    <w:rsid w:val="006042D5"/>
    <w:rsid w:val="006050CD"/>
    <w:rsid w:val="00607FE0"/>
    <w:rsid w:val="00610736"/>
    <w:rsid w:val="00610EBA"/>
    <w:rsid w:val="00610F1E"/>
    <w:rsid w:val="00611840"/>
    <w:rsid w:val="00611B69"/>
    <w:rsid w:val="0061267E"/>
    <w:rsid w:val="0061334F"/>
    <w:rsid w:val="00613AC3"/>
    <w:rsid w:val="00615661"/>
    <w:rsid w:val="00616D40"/>
    <w:rsid w:val="00616DC7"/>
    <w:rsid w:val="0061706C"/>
    <w:rsid w:val="00620883"/>
    <w:rsid w:val="00620987"/>
    <w:rsid w:val="006215E4"/>
    <w:rsid w:val="006215EC"/>
    <w:rsid w:val="006217AB"/>
    <w:rsid w:val="00622A69"/>
    <w:rsid w:val="00622AC2"/>
    <w:rsid w:val="00623B37"/>
    <w:rsid w:val="00625553"/>
    <w:rsid w:val="00625F21"/>
    <w:rsid w:val="00626E52"/>
    <w:rsid w:val="006278BE"/>
    <w:rsid w:val="00627B93"/>
    <w:rsid w:val="006304B5"/>
    <w:rsid w:val="0063188F"/>
    <w:rsid w:val="00631FBE"/>
    <w:rsid w:val="006336D7"/>
    <w:rsid w:val="006350FB"/>
    <w:rsid w:val="006353DE"/>
    <w:rsid w:val="00635E3A"/>
    <w:rsid w:val="00636104"/>
    <w:rsid w:val="006367F4"/>
    <w:rsid w:val="00641B47"/>
    <w:rsid w:val="006442EC"/>
    <w:rsid w:val="00645136"/>
    <w:rsid w:val="0064684C"/>
    <w:rsid w:val="00650DF7"/>
    <w:rsid w:val="00650E53"/>
    <w:rsid w:val="00653191"/>
    <w:rsid w:val="00654B98"/>
    <w:rsid w:val="00654E6A"/>
    <w:rsid w:val="00654F90"/>
    <w:rsid w:val="00657E6F"/>
    <w:rsid w:val="0066003C"/>
    <w:rsid w:val="00660A8F"/>
    <w:rsid w:val="00660A9E"/>
    <w:rsid w:val="0066216F"/>
    <w:rsid w:val="006629FC"/>
    <w:rsid w:val="00663842"/>
    <w:rsid w:val="00663B79"/>
    <w:rsid w:val="00667D11"/>
    <w:rsid w:val="00670A6B"/>
    <w:rsid w:val="006724E7"/>
    <w:rsid w:val="0067271D"/>
    <w:rsid w:val="00672F0E"/>
    <w:rsid w:val="00673717"/>
    <w:rsid w:val="0067378A"/>
    <w:rsid w:val="00674FDA"/>
    <w:rsid w:val="00675A0E"/>
    <w:rsid w:val="00675E9A"/>
    <w:rsid w:val="006761A6"/>
    <w:rsid w:val="00676A4A"/>
    <w:rsid w:val="006770B8"/>
    <w:rsid w:val="00680548"/>
    <w:rsid w:val="00680BED"/>
    <w:rsid w:val="0068138A"/>
    <w:rsid w:val="00681B0F"/>
    <w:rsid w:val="0068204D"/>
    <w:rsid w:val="00682410"/>
    <w:rsid w:val="00682F60"/>
    <w:rsid w:val="0068316A"/>
    <w:rsid w:val="00683957"/>
    <w:rsid w:val="00683BA9"/>
    <w:rsid w:val="00683CCF"/>
    <w:rsid w:val="00683D3C"/>
    <w:rsid w:val="00685224"/>
    <w:rsid w:val="00686025"/>
    <w:rsid w:val="00686576"/>
    <w:rsid w:val="00686A8F"/>
    <w:rsid w:val="006875CA"/>
    <w:rsid w:val="00692744"/>
    <w:rsid w:val="00693967"/>
    <w:rsid w:val="00693E87"/>
    <w:rsid w:val="00694234"/>
    <w:rsid w:val="00694406"/>
    <w:rsid w:val="00695BDC"/>
    <w:rsid w:val="0069604A"/>
    <w:rsid w:val="00696133"/>
    <w:rsid w:val="006961A9"/>
    <w:rsid w:val="0069630F"/>
    <w:rsid w:val="006971B6"/>
    <w:rsid w:val="0069729D"/>
    <w:rsid w:val="006A0DCC"/>
    <w:rsid w:val="006A1B81"/>
    <w:rsid w:val="006A3590"/>
    <w:rsid w:val="006A4441"/>
    <w:rsid w:val="006A5593"/>
    <w:rsid w:val="006A586F"/>
    <w:rsid w:val="006A6C54"/>
    <w:rsid w:val="006A6CA0"/>
    <w:rsid w:val="006B0326"/>
    <w:rsid w:val="006B2015"/>
    <w:rsid w:val="006B42EB"/>
    <w:rsid w:val="006B44E9"/>
    <w:rsid w:val="006B515C"/>
    <w:rsid w:val="006B5729"/>
    <w:rsid w:val="006C07D8"/>
    <w:rsid w:val="006C1886"/>
    <w:rsid w:val="006C1C96"/>
    <w:rsid w:val="006C38F5"/>
    <w:rsid w:val="006C3967"/>
    <w:rsid w:val="006C5DD8"/>
    <w:rsid w:val="006C5E43"/>
    <w:rsid w:val="006C60A6"/>
    <w:rsid w:val="006C61FD"/>
    <w:rsid w:val="006C707E"/>
    <w:rsid w:val="006C7DDC"/>
    <w:rsid w:val="006C7F99"/>
    <w:rsid w:val="006D019B"/>
    <w:rsid w:val="006D13BB"/>
    <w:rsid w:val="006D1522"/>
    <w:rsid w:val="006D4228"/>
    <w:rsid w:val="006D551C"/>
    <w:rsid w:val="006D68A4"/>
    <w:rsid w:val="006E4840"/>
    <w:rsid w:val="006E4F91"/>
    <w:rsid w:val="006E5A20"/>
    <w:rsid w:val="006E5C72"/>
    <w:rsid w:val="006E5EAD"/>
    <w:rsid w:val="006E606E"/>
    <w:rsid w:val="006E6455"/>
    <w:rsid w:val="006E7548"/>
    <w:rsid w:val="006F19CF"/>
    <w:rsid w:val="006F2F65"/>
    <w:rsid w:val="006F3AAE"/>
    <w:rsid w:val="006F53C2"/>
    <w:rsid w:val="006F754D"/>
    <w:rsid w:val="007000C9"/>
    <w:rsid w:val="00700A44"/>
    <w:rsid w:val="007012E5"/>
    <w:rsid w:val="00703184"/>
    <w:rsid w:val="00703488"/>
    <w:rsid w:val="00703F8C"/>
    <w:rsid w:val="00704263"/>
    <w:rsid w:val="007042FC"/>
    <w:rsid w:val="00705F36"/>
    <w:rsid w:val="0070653E"/>
    <w:rsid w:val="00707023"/>
    <w:rsid w:val="00707381"/>
    <w:rsid w:val="00707B9E"/>
    <w:rsid w:val="00711299"/>
    <w:rsid w:val="00711787"/>
    <w:rsid w:val="00711A2E"/>
    <w:rsid w:val="00711DE8"/>
    <w:rsid w:val="007130D1"/>
    <w:rsid w:val="00713452"/>
    <w:rsid w:val="00713FF5"/>
    <w:rsid w:val="00715658"/>
    <w:rsid w:val="007166E3"/>
    <w:rsid w:val="00716CAC"/>
    <w:rsid w:val="0071713B"/>
    <w:rsid w:val="00721298"/>
    <w:rsid w:val="00721C6D"/>
    <w:rsid w:val="00721EF3"/>
    <w:rsid w:val="007220ED"/>
    <w:rsid w:val="00722171"/>
    <w:rsid w:val="00722581"/>
    <w:rsid w:val="0072268E"/>
    <w:rsid w:val="00722692"/>
    <w:rsid w:val="00722793"/>
    <w:rsid w:val="00722B27"/>
    <w:rsid w:val="007233F3"/>
    <w:rsid w:val="00723A12"/>
    <w:rsid w:val="00723C4F"/>
    <w:rsid w:val="007245C8"/>
    <w:rsid w:val="00724F94"/>
    <w:rsid w:val="00725022"/>
    <w:rsid w:val="0072507F"/>
    <w:rsid w:val="00725B86"/>
    <w:rsid w:val="0072604D"/>
    <w:rsid w:val="00730859"/>
    <w:rsid w:val="00730D31"/>
    <w:rsid w:val="0073115B"/>
    <w:rsid w:val="00731992"/>
    <w:rsid w:val="00731ADD"/>
    <w:rsid w:val="00731B74"/>
    <w:rsid w:val="00733235"/>
    <w:rsid w:val="00733566"/>
    <w:rsid w:val="00733AA7"/>
    <w:rsid w:val="00734019"/>
    <w:rsid w:val="007342E4"/>
    <w:rsid w:val="00734F92"/>
    <w:rsid w:val="007374F4"/>
    <w:rsid w:val="0073775C"/>
    <w:rsid w:val="00741411"/>
    <w:rsid w:val="00741B0C"/>
    <w:rsid w:val="00741B71"/>
    <w:rsid w:val="0074213B"/>
    <w:rsid w:val="00744652"/>
    <w:rsid w:val="00744EE4"/>
    <w:rsid w:val="00745DB6"/>
    <w:rsid w:val="007501AB"/>
    <w:rsid w:val="00750C14"/>
    <w:rsid w:val="007510B6"/>
    <w:rsid w:val="007513D8"/>
    <w:rsid w:val="00751481"/>
    <w:rsid w:val="00751854"/>
    <w:rsid w:val="007520EA"/>
    <w:rsid w:val="00752B61"/>
    <w:rsid w:val="00753706"/>
    <w:rsid w:val="00753E50"/>
    <w:rsid w:val="0075709A"/>
    <w:rsid w:val="00757FC7"/>
    <w:rsid w:val="00757FDF"/>
    <w:rsid w:val="00760C86"/>
    <w:rsid w:val="00761BC1"/>
    <w:rsid w:val="00761F87"/>
    <w:rsid w:val="00762C25"/>
    <w:rsid w:val="00762DD5"/>
    <w:rsid w:val="007649EE"/>
    <w:rsid w:val="00764DCD"/>
    <w:rsid w:val="00766851"/>
    <w:rsid w:val="00766A11"/>
    <w:rsid w:val="00766D3E"/>
    <w:rsid w:val="00770C98"/>
    <w:rsid w:val="00771121"/>
    <w:rsid w:val="00771308"/>
    <w:rsid w:val="00771759"/>
    <w:rsid w:val="00773591"/>
    <w:rsid w:val="007741C6"/>
    <w:rsid w:val="00774509"/>
    <w:rsid w:val="00774EF5"/>
    <w:rsid w:val="00775196"/>
    <w:rsid w:val="00775ABC"/>
    <w:rsid w:val="007761FF"/>
    <w:rsid w:val="00776748"/>
    <w:rsid w:val="00776E81"/>
    <w:rsid w:val="00777171"/>
    <w:rsid w:val="00777E5B"/>
    <w:rsid w:val="00780D99"/>
    <w:rsid w:val="00782083"/>
    <w:rsid w:val="0078282D"/>
    <w:rsid w:val="00783F0D"/>
    <w:rsid w:val="00784818"/>
    <w:rsid w:val="007852FE"/>
    <w:rsid w:val="007855CA"/>
    <w:rsid w:val="00785D56"/>
    <w:rsid w:val="00786BB2"/>
    <w:rsid w:val="0078749F"/>
    <w:rsid w:val="007902EA"/>
    <w:rsid w:val="00790389"/>
    <w:rsid w:val="007909FD"/>
    <w:rsid w:val="0079110E"/>
    <w:rsid w:val="007912B1"/>
    <w:rsid w:val="0079144C"/>
    <w:rsid w:val="00791CCE"/>
    <w:rsid w:val="007927E8"/>
    <w:rsid w:val="007928CB"/>
    <w:rsid w:val="00793A68"/>
    <w:rsid w:val="00794572"/>
    <w:rsid w:val="00794A92"/>
    <w:rsid w:val="00794BCF"/>
    <w:rsid w:val="00795984"/>
    <w:rsid w:val="00797055"/>
    <w:rsid w:val="007A030A"/>
    <w:rsid w:val="007A12CA"/>
    <w:rsid w:val="007A14B9"/>
    <w:rsid w:val="007A200F"/>
    <w:rsid w:val="007A40BE"/>
    <w:rsid w:val="007A4AE8"/>
    <w:rsid w:val="007A51CE"/>
    <w:rsid w:val="007A6664"/>
    <w:rsid w:val="007A6EB7"/>
    <w:rsid w:val="007A711B"/>
    <w:rsid w:val="007B0213"/>
    <w:rsid w:val="007B052C"/>
    <w:rsid w:val="007B112A"/>
    <w:rsid w:val="007B16A0"/>
    <w:rsid w:val="007B29CF"/>
    <w:rsid w:val="007B2F6F"/>
    <w:rsid w:val="007B344E"/>
    <w:rsid w:val="007B3518"/>
    <w:rsid w:val="007B3AB3"/>
    <w:rsid w:val="007B3B8D"/>
    <w:rsid w:val="007B4187"/>
    <w:rsid w:val="007B4554"/>
    <w:rsid w:val="007B4EAF"/>
    <w:rsid w:val="007B50DD"/>
    <w:rsid w:val="007B54FF"/>
    <w:rsid w:val="007B5962"/>
    <w:rsid w:val="007B7245"/>
    <w:rsid w:val="007C0476"/>
    <w:rsid w:val="007C0725"/>
    <w:rsid w:val="007C1928"/>
    <w:rsid w:val="007C2152"/>
    <w:rsid w:val="007C2960"/>
    <w:rsid w:val="007C393A"/>
    <w:rsid w:val="007C4892"/>
    <w:rsid w:val="007C4E49"/>
    <w:rsid w:val="007C4F62"/>
    <w:rsid w:val="007C54B1"/>
    <w:rsid w:val="007C5C45"/>
    <w:rsid w:val="007C5DBB"/>
    <w:rsid w:val="007C6C29"/>
    <w:rsid w:val="007C7153"/>
    <w:rsid w:val="007C7AF5"/>
    <w:rsid w:val="007D0448"/>
    <w:rsid w:val="007D29F4"/>
    <w:rsid w:val="007D333C"/>
    <w:rsid w:val="007D4203"/>
    <w:rsid w:val="007D44FF"/>
    <w:rsid w:val="007D4F27"/>
    <w:rsid w:val="007D525A"/>
    <w:rsid w:val="007D53FA"/>
    <w:rsid w:val="007D573A"/>
    <w:rsid w:val="007D6120"/>
    <w:rsid w:val="007D6AD9"/>
    <w:rsid w:val="007D6AFE"/>
    <w:rsid w:val="007D6CF7"/>
    <w:rsid w:val="007D759C"/>
    <w:rsid w:val="007D7A23"/>
    <w:rsid w:val="007D7A4C"/>
    <w:rsid w:val="007D7AA4"/>
    <w:rsid w:val="007E21EC"/>
    <w:rsid w:val="007E2794"/>
    <w:rsid w:val="007E334B"/>
    <w:rsid w:val="007E3B44"/>
    <w:rsid w:val="007E4270"/>
    <w:rsid w:val="007E44CF"/>
    <w:rsid w:val="007E4B5E"/>
    <w:rsid w:val="007E4FB5"/>
    <w:rsid w:val="007E5169"/>
    <w:rsid w:val="007E5F45"/>
    <w:rsid w:val="007E751A"/>
    <w:rsid w:val="007E7C98"/>
    <w:rsid w:val="007F0877"/>
    <w:rsid w:val="007F0D45"/>
    <w:rsid w:val="007F19FE"/>
    <w:rsid w:val="007F1D5A"/>
    <w:rsid w:val="007F28DE"/>
    <w:rsid w:val="007F2B10"/>
    <w:rsid w:val="007F2F54"/>
    <w:rsid w:val="007F3227"/>
    <w:rsid w:val="007F3BBB"/>
    <w:rsid w:val="007F3C59"/>
    <w:rsid w:val="007F3C7F"/>
    <w:rsid w:val="007F4399"/>
    <w:rsid w:val="007F45BD"/>
    <w:rsid w:val="007F5067"/>
    <w:rsid w:val="007F5358"/>
    <w:rsid w:val="00800948"/>
    <w:rsid w:val="00801156"/>
    <w:rsid w:val="00802AA1"/>
    <w:rsid w:val="008030EC"/>
    <w:rsid w:val="008033C2"/>
    <w:rsid w:val="00803673"/>
    <w:rsid w:val="00803BB2"/>
    <w:rsid w:val="0080434B"/>
    <w:rsid w:val="00804BD6"/>
    <w:rsid w:val="0080579B"/>
    <w:rsid w:val="008062CF"/>
    <w:rsid w:val="008065ED"/>
    <w:rsid w:val="00806EB6"/>
    <w:rsid w:val="0080738E"/>
    <w:rsid w:val="00807757"/>
    <w:rsid w:val="008104CB"/>
    <w:rsid w:val="00810E0E"/>
    <w:rsid w:val="00810E27"/>
    <w:rsid w:val="008118EE"/>
    <w:rsid w:val="00811C43"/>
    <w:rsid w:val="00814344"/>
    <w:rsid w:val="008151D9"/>
    <w:rsid w:val="008154E3"/>
    <w:rsid w:val="008158E1"/>
    <w:rsid w:val="00816DB6"/>
    <w:rsid w:val="008173E6"/>
    <w:rsid w:val="008175AF"/>
    <w:rsid w:val="0081798B"/>
    <w:rsid w:val="00817F9C"/>
    <w:rsid w:val="00821366"/>
    <w:rsid w:val="0082218E"/>
    <w:rsid w:val="008235E4"/>
    <w:rsid w:val="00824112"/>
    <w:rsid w:val="0082771E"/>
    <w:rsid w:val="008277EB"/>
    <w:rsid w:val="00831D96"/>
    <w:rsid w:val="0083258B"/>
    <w:rsid w:val="00833A49"/>
    <w:rsid w:val="00835115"/>
    <w:rsid w:val="0083532F"/>
    <w:rsid w:val="008358F1"/>
    <w:rsid w:val="00835EA7"/>
    <w:rsid w:val="00840A58"/>
    <w:rsid w:val="008421C3"/>
    <w:rsid w:val="00843216"/>
    <w:rsid w:val="00844364"/>
    <w:rsid w:val="008451D2"/>
    <w:rsid w:val="0084610D"/>
    <w:rsid w:val="00846EB9"/>
    <w:rsid w:val="00850683"/>
    <w:rsid w:val="008508C8"/>
    <w:rsid w:val="0085342C"/>
    <w:rsid w:val="00854257"/>
    <w:rsid w:val="008549C7"/>
    <w:rsid w:val="00854AC0"/>
    <w:rsid w:val="008551E3"/>
    <w:rsid w:val="008606D5"/>
    <w:rsid w:val="0086078A"/>
    <w:rsid w:val="00860C31"/>
    <w:rsid w:val="00861050"/>
    <w:rsid w:val="00863197"/>
    <w:rsid w:val="0086351E"/>
    <w:rsid w:val="00864090"/>
    <w:rsid w:val="00864312"/>
    <w:rsid w:val="00865DCB"/>
    <w:rsid w:val="00866E67"/>
    <w:rsid w:val="00871640"/>
    <w:rsid w:val="00871B0A"/>
    <w:rsid w:val="00872997"/>
    <w:rsid w:val="008740CD"/>
    <w:rsid w:val="0087463C"/>
    <w:rsid w:val="00874EF4"/>
    <w:rsid w:val="008752CF"/>
    <w:rsid w:val="00875832"/>
    <w:rsid w:val="00876088"/>
    <w:rsid w:val="0087649A"/>
    <w:rsid w:val="0087704A"/>
    <w:rsid w:val="00877212"/>
    <w:rsid w:val="00877E15"/>
    <w:rsid w:val="00880290"/>
    <w:rsid w:val="00883D55"/>
    <w:rsid w:val="00883FAF"/>
    <w:rsid w:val="00886883"/>
    <w:rsid w:val="00886A82"/>
    <w:rsid w:val="008873E5"/>
    <w:rsid w:val="008874EA"/>
    <w:rsid w:val="00890638"/>
    <w:rsid w:val="00890FE4"/>
    <w:rsid w:val="0089124E"/>
    <w:rsid w:val="008925AF"/>
    <w:rsid w:val="00892911"/>
    <w:rsid w:val="00892ADC"/>
    <w:rsid w:val="00892CA7"/>
    <w:rsid w:val="00893D60"/>
    <w:rsid w:val="00894718"/>
    <w:rsid w:val="00896869"/>
    <w:rsid w:val="00897870"/>
    <w:rsid w:val="008A27B7"/>
    <w:rsid w:val="008A4F9F"/>
    <w:rsid w:val="008A522D"/>
    <w:rsid w:val="008A7832"/>
    <w:rsid w:val="008B049F"/>
    <w:rsid w:val="008B226B"/>
    <w:rsid w:val="008B4DE8"/>
    <w:rsid w:val="008B535C"/>
    <w:rsid w:val="008B5629"/>
    <w:rsid w:val="008B56B1"/>
    <w:rsid w:val="008B596D"/>
    <w:rsid w:val="008B6316"/>
    <w:rsid w:val="008B6E5C"/>
    <w:rsid w:val="008C12B4"/>
    <w:rsid w:val="008C1408"/>
    <w:rsid w:val="008C294E"/>
    <w:rsid w:val="008C36E5"/>
    <w:rsid w:val="008C412C"/>
    <w:rsid w:val="008C473E"/>
    <w:rsid w:val="008C4764"/>
    <w:rsid w:val="008C544D"/>
    <w:rsid w:val="008C5613"/>
    <w:rsid w:val="008C5F65"/>
    <w:rsid w:val="008C6DB9"/>
    <w:rsid w:val="008C7632"/>
    <w:rsid w:val="008C7780"/>
    <w:rsid w:val="008D05C5"/>
    <w:rsid w:val="008D0FAF"/>
    <w:rsid w:val="008D177B"/>
    <w:rsid w:val="008D2145"/>
    <w:rsid w:val="008D2B79"/>
    <w:rsid w:val="008D32E0"/>
    <w:rsid w:val="008D366B"/>
    <w:rsid w:val="008D3B7A"/>
    <w:rsid w:val="008D3D4C"/>
    <w:rsid w:val="008D4D16"/>
    <w:rsid w:val="008D55D3"/>
    <w:rsid w:val="008D6450"/>
    <w:rsid w:val="008D6946"/>
    <w:rsid w:val="008D701C"/>
    <w:rsid w:val="008D7580"/>
    <w:rsid w:val="008E06E5"/>
    <w:rsid w:val="008E0883"/>
    <w:rsid w:val="008E0DF3"/>
    <w:rsid w:val="008E16D7"/>
    <w:rsid w:val="008E1752"/>
    <w:rsid w:val="008E262A"/>
    <w:rsid w:val="008E2B61"/>
    <w:rsid w:val="008E2C12"/>
    <w:rsid w:val="008E367A"/>
    <w:rsid w:val="008E3ACD"/>
    <w:rsid w:val="008E4829"/>
    <w:rsid w:val="008E5B68"/>
    <w:rsid w:val="008E5E1D"/>
    <w:rsid w:val="008E64C8"/>
    <w:rsid w:val="008E6EB8"/>
    <w:rsid w:val="008E712A"/>
    <w:rsid w:val="008E75CE"/>
    <w:rsid w:val="008E78A7"/>
    <w:rsid w:val="008F03EC"/>
    <w:rsid w:val="008F17FC"/>
    <w:rsid w:val="008F2FC0"/>
    <w:rsid w:val="008F31DD"/>
    <w:rsid w:val="008F32B5"/>
    <w:rsid w:val="008F38F7"/>
    <w:rsid w:val="008F3DFC"/>
    <w:rsid w:val="008F4B55"/>
    <w:rsid w:val="008F5A71"/>
    <w:rsid w:val="008F5DC3"/>
    <w:rsid w:val="008F5F7A"/>
    <w:rsid w:val="008F6036"/>
    <w:rsid w:val="008F7724"/>
    <w:rsid w:val="008F79FA"/>
    <w:rsid w:val="00901D94"/>
    <w:rsid w:val="00901F34"/>
    <w:rsid w:val="00903B27"/>
    <w:rsid w:val="00903BB4"/>
    <w:rsid w:val="00903DED"/>
    <w:rsid w:val="0090440F"/>
    <w:rsid w:val="00904D24"/>
    <w:rsid w:val="009057B0"/>
    <w:rsid w:val="00905AF4"/>
    <w:rsid w:val="00905DBE"/>
    <w:rsid w:val="00906D3D"/>
    <w:rsid w:val="009077A5"/>
    <w:rsid w:val="009101D6"/>
    <w:rsid w:val="009101E9"/>
    <w:rsid w:val="00910A23"/>
    <w:rsid w:val="0091110C"/>
    <w:rsid w:val="00911901"/>
    <w:rsid w:val="00911B66"/>
    <w:rsid w:val="00911C8C"/>
    <w:rsid w:val="009125D4"/>
    <w:rsid w:val="0091269C"/>
    <w:rsid w:val="009128D4"/>
    <w:rsid w:val="00912EFD"/>
    <w:rsid w:val="00913E04"/>
    <w:rsid w:val="00914367"/>
    <w:rsid w:val="0091475D"/>
    <w:rsid w:val="00914EF2"/>
    <w:rsid w:val="009168BC"/>
    <w:rsid w:val="00920013"/>
    <w:rsid w:val="00920D07"/>
    <w:rsid w:val="00923080"/>
    <w:rsid w:val="009231F0"/>
    <w:rsid w:val="009238E1"/>
    <w:rsid w:val="0092411F"/>
    <w:rsid w:val="00926168"/>
    <w:rsid w:val="0092671E"/>
    <w:rsid w:val="00926876"/>
    <w:rsid w:val="009268B2"/>
    <w:rsid w:val="00927488"/>
    <w:rsid w:val="009312CF"/>
    <w:rsid w:val="0093586B"/>
    <w:rsid w:val="00936685"/>
    <w:rsid w:val="00936D3F"/>
    <w:rsid w:val="00940267"/>
    <w:rsid w:val="00940288"/>
    <w:rsid w:val="00940CD9"/>
    <w:rsid w:val="0094101C"/>
    <w:rsid w:val="00941283"/>
    <w:rsid w:val="00942539"/>
    <w:rsid w:val="009425FE"/>
    <w:rsid w:val="00942A3F"/>
    <w:rsid w:val="00943290"/>
    <w:rsid w:val="00943B2D"/>
    <w:rsid w:val="00944644"/>
    <w:rsid w:val="00944704"/>
    <w:rsid w:val="00945F01"/>
    <w:rsid w:val="00946163"/>
    <w:rsid w:val="00946463"/>
    <w:rsid w:val="00946661"/>
    <w:rsid w:val="00947387"/>
    <w:rsid w:val="00947548"/>
    <w:rsid w:val="00950025"/>
    <w:rsid w:val="00950128"/>
    <w:rsid w:val="00950216"/>
    <w:rsid w:val="00950286"/>
    <w:rsid w:val="00950420"/>
    <w:rsid w:val="00951395"/>
    <w:rsid w:val="00951B90"/>
    <w:rsid w:val="00951EC6"/>
    <w:rsid w:val="0095371B"/>
    <w:rsid w:val="009540FD"/>
    <w:rsid w:val="00954C5A"/>
    <w:rsid w:val="00954CD7"/>
    <w:rsid w:val="009553B7"/>
    <w:rsid w:val="00955D71"/>
    <w:rsid w:val="00955DFD"/>
    <w:rsid w:val="00955F25"/>
    <w:rsid w:val="00956068"/>
    <w:rsid w:val="009562D3"/>
    <w:rsid w:val="00956BE3"/>
    <w:rsid w:val="009575D9"/>
    <w:rsid w:val="009603E7"/>
    <w:rsid w:val="009604C0"/>
    <w:rsid w:val="00961885"/>
    <w:rsid w:val="00961D1F"/>
    <w:rsid w:val="009623B5"/>
    <w:rsid w:val="009625D5"/>
    <w:rsid w:val="00962CC9"/>
    <w:rsid w:val="0096525A"/>
    <w:rsid w:val="00965B2D"/>
    <w:rsid w:val="00965CA0"/>
    <w:rsid w:val="00965E8E"/>
    <w:rsid w:val="009674CE"/>
    <w:rsid w:val="0096779A"/>
    <w:rsid w:val="00967E6C"/>
    <w:rsid w:val="00970795"/>
    <w:rsid w:val="009709A3"/>
    <w:rsid w:val="00971A2D"/>
    <w:rsid w:val="00972086"/>
    <w:rsid w:val="00972511"/>
    <w:rsid w:val="00972BE6"/>
    <w:rsid w:val="0097491E"/>
    <w:rsid w:val="009755B6"/>
    <w:rsid w:val="009766CB"/>
    <w:rsid w:val="00977612"/>
    <w:rsid w:val="0097798D"/>
    <w:rsid w:val="00977E4F"/>
    <w:rsid w:val="009807CC"/>
    <w:rsid w:val="0098149E"/>
    <w:rsid w:val="0098303D"/>
    <w:rsid w:val="00984FBA"/>
    <w:rsid w:val="00985091"/>
    <w:rsid w:val="00985529"/>
    <w:rsid w:val="00985779"/>
    <w:rsid w:val="009864E5"/>
    <w:rsid w:val="00986A5E"/>
    <w:rsid w:val="00986BA0"/>
    <w:rsid w:val="00987F5D"/>
    <w:rsid w:val="00987FEC"/>
    <w:rsid w:val="00990041"/>
    <w:rsid w:val="00990978"/>
    <w:rsid w:val="00991E53"/>
    <w:rsid w:val="0099264A"/>
    <w:rsid w:val="00992656"/>
    <w:rsid w:val="00992A30"/>
    <w:rsid w:val="00992F52"/>
    <w:rsid w:val="00993985"/>
    <w:rsid w:val="00994E52"/>
    <w:rsid w:val="00995701"/>
    <w:rsid w:val="00995DB3"/>
    <w:rsid w:val="00996C3A"/>
    <w:rsid w:val="0099758E"/>
    <w:rsid w:val="00997DF0"/>
    <w:rsid w:val="009A011D"/>
    <w:rsid w:val="009A0472"/>
    <w:rsid w:val="009A05B1"/>
    <w:rsid w:val="009A168E"/>
    <w:rsid w:val="009A2201"/>
    <w:rsid w:val="009A22EF"/>
    <w:rsid w:val="009A24AC"/>
    <w:rsid w:val="009A37D8"/>
    <w:rsid w:val="009A3A68"/>
    <w:rsid w:val="009A3A90"/>
    <w:rsid w:val="009A4375"/>
    <w:rsid w:val="009A5327"/>
    <w:rsid w:val="009A5342"/>
    <w:rsid w:val="009A5962"/>
    <w:rsid w:val="009A704D"/>
    <w:rsid w:val="009A70B7"/>
    <w:rsid w:val="009A7C3E"/>
    <w:rsid w:val="009A7C48"/>
    <w:rsid w:val="009A7E3B"/>
    <w:rsid w:val="009B02D8"/>
    <w:rsid w:val="009B0515"/>
    <w:rsid w:val="009B0A2E"/>
    <w:rsid w:val="009B1A18"/>
    <w:rsid w:val="009B2440"/>
    <w:rsid w:val="009B2B93"/>
    <w:rsid w:val="009B3589"/>
    <w:rsid w:val="009B3D79"/>
    <w:rsid w:val="009B45C6"/>
    <w:rsid w:val="009B474B"/>
    <w:rsid w:val="009B59AA"/>
    <w:rsid w:val="009B6267"/>
    <w:rsid w:val="009B6357"/>
    <w:rsid w:val="009B65A0"/>
    <w:rsid w:val="009B6E59"/>
    <w:rsid w:val="009B7544"/>
    <w:rsid w:val="009B7EC6"/>
    <w:rsid w:val="009C0BE7"/>
    <w:rsid w:val="009C311D"/>
    <w:rsid w:val="009C31A1"/>
    <w:rsid w:val="009C4EB6"/>
    <w:rsid w:val="009C582C"/>
    <w:rsid w:val="009C67F7"/>
    <w:rsid w:val="009C698E"/>
    <w:rsid w:val="009C721B"/>
    <w:rsid w:val="009D0B8C"/>
    <w:rsid w:val="009D1006"/>
    <w:rsid w:val="009D1199"/>
    <w:rsid w:val="009D253C"/>
    <w:rsid w:val="009D38B2"/>
    <w:rsid w:val="009D43F2"/>
    <w:rsid w:val="009D466E"/>
    <w:rsid w:val="009D486F"/>
    <w:rsid w:val="009D4FC8"/>
    <w:rsid w:val="009D53D7"/>
    <w:rsid w:val="009D5808"/>
    <w:rsid w:val="009D69D0"/>
    <w:rsid w:val="009D6F29"/>
    <w:rsid w:val="009D7898"/>
    <w:rsid w:val="009D7BFE"/>
    <w:rsid w:val="009E036A"/>
    <w:rsid w:val="009E0545"/>
    <w:rsid w:val="009E0D55"/>
    <w:rsid w:val="009E1C20"/>
    <w:rsid w:val="009E2365"/>
    <w:rsid w:val="009E248A"/>
    <w:rsid w:val="009E5147"/>
    <w:rsid w:val="009E573C"/>
    <w:rsid w:val="009E694D"/>
    <w:rsid w:val="009E75DE"/>
    <w:rsid w:val="009F003C"/>
    <w:rsid w:val="009F0253"/>
    <w:rsid w:val="009F02B0"/>
    <w:rsid w:val="009F22BF"/>
    <w:rsid w:val="009F22E0"/>
    <w:rsid w:val="009F2D3D"/>
    <w:rsid w:val="009F2E58"/>
    <w:rsid w:val="009F38E5"/>
    <w:rsid w:val="009F3BC7"/>
    <w:rsid w:val="009F3DFC"/>
    <w:rsid w:val="009F3F03"/>
    <w:rsid w:val="009F73CD"/>
    <w:rsid w:val="009F787B"/>
    <w:rsid w:val="00A0049A"/>
    <w:rsid w:val="00A008A6"/>
    <w:rsid w:val="00A01687"/>
    <w:rsid w:val="00A0168B"/>
    <w:rsid w:val="00A016F7"/>
    <w:rsid w:val="00A02F89"/>
    <w:rsid w:val="00A02FD8"/>
    <w:rsid w:val="00A03068"/>
    <w:rsid w:val="00A038E0"/>
    <w:rsid w:val="00A03C33"/>
    <w:rsid w:val="00A04DC7"/>
    <w:rsid w:val="00A0623D"/>
    <w:rsid w:val="00A06A65"/>
    <w:rsid w:val="00A06B6B"/>
    <w:rsid w:val="00A104D2"/>
    <w:rsid w:val="00A10F88"/>
    <w:rsid w:val="00A1138E"/>
    <w:rsid w:val="00A1192C"/>
    <w:rsid w:val="00A11939"/>
    <w:rsid w:val="00A12435"/>
    <w:rsid w:val="00A12827"/>
    <w:rsid w:val="00A12B6A"/>
    <w:rsid w:val="00A133A3"/>
    <w:rsid w:val="00A1350D"/>
    <w:rsid w:val="00A13E47"/>
    <w:rsid w:val="00A146DF"/>
    <w:rsid w:val="00A147D6"/>
    <w:rsid w:val="00A14B51"/>
    <w:rsid w:val="00A14F1E"/>
    <w:rsid w:val="00A14F5A"/>
    <w:rsid w:val="00A1525B"/>
    <w:rsid w:val="00A156DE"/>
    <w:rsid w:val="00A163E7"/>
    <w:rsid w:val="00A1653F"/>
    <w:rsid w:val="00A16CE7"/>
    <w:rsid w:val="00A2113F"/>
    <w:rsid w:val="00A217EB"/>
    <w:rsid w:val="00A22B99"/>
    <w:rsid w:val="00A25F07"/>
    <w:rsid w:val="00A26166"/>
    <w:rsid w:val="00A26332"/>
    <w:rsid w:val="00A26433"/>
    <w:rsid w:val="00A26C37"/>
    <w:rsid w:val="00A26E0C"/>
    <w:rsid w:val="00A27462"/>
    <w:rsid w:val="00A31884"/>
    <w:rsid w:val="00A31A90"/>
    <w:rsid w:val="00A32AF0"/>
    <w:rsid w:val="00A342D4"/>
    <w:rsid w:val="00A34947"/>
    <w:rsid w:val="00A350AD"/>
    <w:rsid w:val="00A350CF"/>
    <w:rsid w:val="00A352A7"/>
    <w:rsid w:val="00A36476"/>
    <w:rsid w:val="00A36651"/>
    <w:rsid w:val="00A3788B"/>
    <w:rsid w:val="00A4006D"/>
    <w:rsid w:val="00A40333"/>
    <w:rsid w:val="00A407AC"/>
    <w:rsid w:val="00A4094E"/>
    <w:rsid w:val="00A40E18"/>
    <w:rsid w:val="00A4249C"/>
    <w:rsid w:val="00A43297"/>
    <w:rsid w:val="00A45586"/>
    <w:rsid w:val="00A45C7B"/>
    <w:rsid w:val="00A51B91"/>
    <w:rsid w:val="00A52089"/>
    <w:rsid w:val="00A53C48"/>
    <w:rsid w:val="00A54156"/>
    <w:rsid w:val="00A543AA"/>
    <w:rsid w:val="00A54563"/>
    <w:rsid w:val="00A548DA"/>
    <w:rsid w:val="00A54922"/>
    <w:rsid w:val="00A54E0C"/>
    <w:rsid w:val="00A55B6D"/>
    <w:rsid w:val="00A576FF"/>
    <w:rsid w:val="00A6077A"/>
    <w:rsid w:val="00A60F81"/>
    <w:rsid w:val="00A621BE"/>
    <w:rsid w:val="00A62677"/>
    <w:rsid w:val="00A62D53"/>
    <w:rsid w:val="00A6441C"/>
    <w:rsid w:val="00A644F0"/>
    <w:rsid w:val="00A64F88"/>
    <w:rsid w:val="00A654F6"/>
    <w:rsid w:val="00A67D2B"/>
    <w:rsid w:val="00A7039F"/>
    <w:rsid w:val="00A70FDC"/>
    <w:rsid w:val="00A717CA"/>
    <w:rsid w:val="00A72B84"/>
    <w:rsid w:val="00A7337C"/>
    <w:rsid w:val="00A73A50"/>
    <w:rsid w:val="00A73E8F"/>
    <w:rsid w:val="00A73F8A"/>
    <w:rsid w:val="00A74B0B"/>
    <w:rsid w:val="00A75091"/>
    <w:rsid w:val="00A753E3"/>
    <w:rsid w:val="00A7589F"/>
    <w:rsid w:val="00A75DB2"/>
    <w:rsid w:val="00A76350"/>
    <w:rsid w:val="00A77278"/>
    <w:rsid w:val="00A7748B"/>
    <w:rsid w:val="00A81AFD"/>
    <w:rsid w:val="00A82FC8"/>
    <w:rsid w:val="00A84673"/>
    <w:rsid w:val="00A85053"/>
    <w:rsid w:val="00A85848"/>
    <w:rsid w:val="00A9213E"/>
    <w:rsid w:val="00A9281B"/>
    <w:rsid w:val="00A92F85"/>
    <w:rsid w:val="00A9430C"/>
    <w:rsid w:val="00A94575"/>
    <w:rsid w:val="00A94727"/>
    <w:rsid w:val="00A94BA5"/>
    <w:rsid w:val="00A95336"/>
    <w:rsid w:val="00A9597F"/>
    <w:rsid w:val="00A966A0"/>
    <w:rsid w:val="00A96805"/>
    <w:rsid w:val="00A96993"/>
    <w:rsid w:val="00A96BE9"/>
    <w:rsid w:val="00A9789A"/>
    <w:rsid w:val="00AA00D0"/>
    <w:rsid w:val="00AA0B80"/>
    <w:rsid w:val="00AA0C3D"/>
    <w:rsid w:val="00AA0EB1"/>
    <w:rsid w:val="00AA17B7"/>
    <w:rsid w:val="00AA1C5A"/>
    <w:rsid w:val="00AA287E"/>
    <w:rsid w:val="00AA3E2B"/>
    <w:rsid w:val="00AA4F59"/>
    <w:rsid w:val="00AA50C7"/>
    <w:rsid w:val="00AA6965"/>
    <w:rsid w:val="00AA6ADB"/>
    <w:rsid w:val="00AA7715"/>
    <w:rsid w:val="00AA7E39"/>
    <w:rsid w:val="00AB17DD"/>
    <w:rsid w:val="00AB207F"/>
    <w:rsid w:val="00AB2399"/>
    <w:rsid w:val="00AB2464"/>
    <w:rsid w:val="00AB25AE"/>
    <w:rsid w:val="00AB2D28"/>
    <w:rsid w:val="00AB38A4"/>
    <w:rsid w:val="00AB3929"/>
    <w:rsid w:val="00AB41B8"/>
    <w:rsid w:val="00AB4D7D"/>
    <w:rsid w:val="00AB628C"/>
    <w:rsid w:val="00AB6EA6"/>
    <w:rsid w:val="00AB72A0"/>
    <w:rsid w:val="00AB785A"/>
    <w:rsid w:val="00AB785B"/>
    <w:rsid w:val="00AB7BD1"/>
    <w:rsid w:val="00AC00DE"/>
    <w:rsid w:val="00AC0AA1"/>
    <w:rsid w:val="00AC281F"/>
    <w:rsid w:val="00AC328B"/>
    <w:rsid w:val="00AC54C1"/>
    <w:rsid w:val="00AC5823"/>
    <w:rsid w:val="00AC5B2B"/>
    <w:rsid w:val="00AC5D1E"/>
    <w:rsid w:val="00AC661B"/>
    <w:rsid w:val="00AC67C5"/>
    <w:rsid w:val="00AC78CD"/>
    <w:rsid w:val="00AD0FF8"/>
    <w:rsid w:val="00AD248C"/>
    <w:rsid w:val="00AD2CB6"/>
    <w:rsid w:val="00AD2D39"/>
    <w:rsid w:val="00AD32AF"/>
    <w:rsid w:val="00AD38BF"/>
    <w:rsid w:val="00AD4A13"/>
    <w:rsid w:val="00AD4D00"/>
    <w:rsid w:val="00AD4D3D"/>
    <w:rsid w:val="00AD5117"/>
    <w:rsid w:val="00AD583D"/>
    <w:rsid w:val="00AE04BB"/>
    <w:rsid w:val="00AE0557"/>
    <w:rsid w:val="00AE1378"/>
    <w:rsid w:val="00AE14A8"/>
    <w:rsid w:val="00AE15C1"/>
    <w:rsid w:val="00AE1880"/>
    <w:rsid w:val="00AE1B8F"/>
    <w:rsid w:val="00AE215C"/>
    <w:rsid w:val="00AE28D6"/>
    <w:rsid w:val="00AE3C4E"/>
    <w:rsid w:val="00AE3EC0"/>
    <w:rsid w:val="00AE44E6"/>
    <w:rsid w:val="00AE4A71"/>
    <w:rsid w:val="00AE6A73"/>
    <w:rsid w:val="00AE7467"/>
    <w:rsid w:val="00AF0317"/>
    <w:rsid w:val="00AF03B8"/>
    <w:rsid w:val="00AF0A2D"/>
    <w:rsid w:val="00AF1BC9"/>
    <w:rsid w:val="00AF1C90"/>
    <w:rsid w:val="00AF1E8D"/>
    <w:rsid w:val="00AF20C4"/>
    <w:rsid w:val="00AF3053"/>
    <w:rsid w:val="00AF3C6C"/>
    <w:rsid w:val="00AF3D72"/>
    <w:rsid w:val="00AF3F75"/>
    <w:rsid w:val="00AF416B"/>
    <w:rsid w:val="00AF5994"/>
    <w:rsid w:val="00AF660B"/>
    <w:rsid w:val="00B0081F"/>
    <w:rsid w:val="00B02BC1"/>
    <w:rsid w:val="00B04470"/>
    <w:rsid w:val="00B047B8"/>
    <w:rsid w:val="00B0505A"/>
    <w:rsid w:val="00B0527F"/>
    <w:rsid w:val="00B05A1B"/>
    <w:rsid w:val="00B069E8"/>
    <w:rsid w:val="00B077A0"/>
    <w:rsid w:val="00B0791E"/>
    <w:rsid w:val="00B10C0C"/>
    <w:rsid w:val="00B1101C"/>
    <w:rsid w:val="00B1124C"/>
    <w:rsid w:val="00B1137C"/>
    <w:rsid w:val="00B11950"/>
    <w:rsid w:val="00B11C45"/>
    <w:rsid w:val="00B12352"/>
    <w:rsid w:val="00B1370C"/>
    <w:rsid w:val="00B13C14"/>
    <w:rsid w:val="00B13D4F"/>
    <w:rsid w:val="00B14008"/>
    <w:rsid w:val="00B1490E"/>
    <w:rsid w:val="00B15A44"/>
    <w:rsid w:val="00B15B07"/>
    <w:rsid w:val="00B169C2"/>
    <w:rsid w:val="00B17741"/>
    <w:rsid w:val="00B178DE"/>
    <w:rsid w:val="00B20068"/>
    <w:rsid w:val="00B205F9"/>
    <w:rsid w:val="00B21611"/>
    <w:rsid w:val="00B21DC3"/>
    <w:rsid w:val="00B220BB"/>
    <w:rsid w:val="00B22C55"/>
    <w:rsid w:val="00B2357F"/>
    <w:rsid w:val="00B23620"/>
    <w:rsid w:val="00B23B07"/>
    <w:rsid w:val="00B23DEC"/>
    <w:rsid w:val="00B23FBA"/>
    <w:rsid w:val="00B24603"/>
    <w:rsid w:val="00B246CD"/>
    <w:rsid w:val="00B24CCE"/>
    <w:rsid w:val="00B250AB"/>
    <w:rsid w:val="00B250BC"/>
    <w:rsid w:val="00B265B6"/>
    <w:rsid w:val="00B26A66"/>
    <w:rsid w:val="00B27B67"/>
    <w:rsid w:val="00B3059C"/>
    <w:rsid w:val="00B308F9"/>
    <w:rsid w:val="00B3278B"/>
    <w:rsid w:val="00B33A22"/>
    <w:rsid w:val="00B3433F"/>
    <w:rsid w:val="00B34648"/>
    <w:rsid w:val="00B346C9"/>
    <w:rsid w:val="00B34E75"/>
    <w:rsid w:val="00B36BB3"/>
    <w:rsid w:val="00B37014"/>
    <w:rsid w:val="00B37463"/>
    <w:rsid w:val="00B4038A"/>
    <w:rsid w:val="00B40EAF"/>
    <w:rsid w:val="00B40FE4"/>
    <w:rsid w:val="00B4149C"/>
    <w:rsid w:val="00B41D84"/>
    <w:rsid w:val="00B42408"/>
    <w:rsid w:val="00B429C7"/>
    <w:rsid w:val="00B42C2D"/>
    <w:rsid w:val="00B43156"/>
    <w:rsid w:val="00B435D3"/>
    <w:rsid w:val="00B43D53"/>
    <w:rsid w:val="00B44563"/>
    <w:rsid w:val="00B44E47"/>
    <w:rsid w:val="00B44FDF"/>
    <w:rsid w:val="00B455B0"/>
    <w:rsid w:val="00B4689F"/>
    <w:rsid w:val="00B47147"/>
    <w:rsid w:val="00B47198"/>
    <w:rsid w:val="00B506EE"/>
    <w:rsid w:val="00B50801"/>
    <w:rsid w:val="00B51798"/>
    <w:rsid w:val="00B520F6"/>
    <w:rsid w:val="00B52AF8"/>
    <w:rsid w:val="00B57464"/>
    <w:rsid w:val="00B57BEA"/>
    <w:rsid w:val="00B60200"/>
    <w:rsid w:val="00B60A2B"/>
    <w:rsid w:val="00B614C0"/>
    <w:rsid w:val="00B615D0"/>
    <w:rsid w:val="00B62683"/>
    <w:rsid w:val="00B64222"/>
    <w:rsid w:val="00B6454C"/>
    <w:rsid w:val="00B649E4"/>
    <w:rsid w:val="00B667DC"/>
    <w:rsid w:val="00B66875"/>
    <w:rsid w:val="00B71253"/>
    <w:rsid w:val="00B71D7F"/>
    <w:rsid w:val="00B71D88"/>
    <w:rsid w:val="00B72072"/>
    <w:rsid w:val="00B721C7"/>
    <w:rsid w:val="00B72D5F"/>
    <w:rsid w:val="00B73F07"/>
    <w:rsid w:val="00B7402E"/>
    <w:rsid w:val="00B74670"/>
    <w:rsid w:val="00B75152"/>
    <w:rsid w:val="00B772AD"/>
    <w:rsid w:val="00B77890"/>
    <w:rsid w:val="00B80578"/>
    <w:rsid w:val="00B81188"/>
    <w:rsid w:val="00B82B03"/>
    <w:rsid w:val="00B83A2B"/>
    <w:rsid w:val="00B83A30"/>
    <w:rsid w:val="00B845DA"/>
    <w:rsid w:val="00B84C39"/>
    <w:rsid w:val="00B86143"/>
    <w:rsid w:val="00B8618A"/>
    <w:rsid w:val="00B86982"/>
    <w:rsid w:val="00B8724C"/>
    <w:rsid w:val="00B87C75"/>
    <w:rsid w:val="00B87D43"/>
    <w:rsid w:val="00B9033E"/>
    <w:rsid w:val="00B90D10"/>
    <w:rsid w:val="00B9116F"/>
    <w:rsid w:val="00B91334"/>
    <w:rsid w:val="00B913EC"/>
    <w:rsid w:val="00B9283C"/>
    <w:rsid w:val="00B93925"/>
    <w:rsid w:val="00B94448"/>
    <w:rsid w:val="00B9792F"/>
    <w:rsid w:val="00BA0D64"/>
    <w:rsid w:val="00BA2B7E"/>
    <w:rsid w:val="00BA2CE8"/>
    <w:rsid w:val="00BA5486"/>
    <w:rsid w:val="00BA555F"/>
    <w:rsid w:val="00BA5E2A"/>
    <w:rsid w:val="00BA6666"/>
    <w:rsid w:val="00BA6752"/>
    <w:rsid w:val="00BA7A47"/>
    <w:rsid w:val="00BA7E42"/>
    <w:rsid w:val="00BB1734"/>
    <w:rsid w:val="00BB18FE"/>
    <w:rsid w:val="00BB1EB5"/>
    <w:rsid w:val="00BB231E"/>
    <w:rsid w:val="00BB2C2D"/>
    <w:rsid w:val="00BB306A"/>
    <w:rsid w:val="00BB4930"/>
    <w:rsid w:val="00BB5115"/>
    <w:rsid w:val="00BB7451"/>
    <w:rsid w:val="00BC1958"/>
    <w:rsid w:val="00BC20FA"/>
    <w:rsid w:val="00BC284E"/>
    <w:rsid w:val="00BC2F6A"/>
    <w:rsid w:val="00BC3C32"/>
    <w:rsid w:val="00BC577B"/>
    <w:rsid w:val="00BC6750"/>
    <w:rsid w:val="00BC7D44"/>
    <w:rsid w:val="00BD05B6"/>
    <w:rsid w:val="00BD0837"/>
    <w:rsid w:val="00BD0C93"/>
    <w:rsid w:val="00BD1B4D"/>
    <w:rsid w:val="00BD2087"/>
    <w:rsid w:val="00BD2ADA"/>
    <w:rsid w:val="00BD33F1"/>
    <w:rsid w:val="00BD3E2C"/>
    <w:rsid w:val="00BD422C"/>
    <w:rsid w:val="00BD4D8C"/>
    <w:rsid w:val="00BD567E"/>
    <w:rsid w:val="00BD75C3"/>
    <w:rsid w:val="00BD79CD"/>
    <w:rsid w:val="00BD79E1"/>
    <w:rsid w:val="00BE2ECE"/>
    <w:rsid w:val="00BE428A"/>
    <w:rsid w:val="00BE42C1"/>
    <w:rsid w:val="00BE4C2B"/>
    <w:rsid w:val="00BE4C6A"/>
    <w:rsid w:val="00BE530D"/>
    <w:rsid w:val="00BE593A"/>
    <w:rsid w:val="00BE6547"/>
    <w:rsid w:val="00BE69EF"/>
    <w:rsid w:val="00BF0270"/>
    <w:rsid w:val="00BF0C5C"/>
    <w:rsid w:val="00BF11FB"/>
    <w:rsid w:val="00BF12EE"/>
    <w:rsid w:val="00BF1C6F"/>
    <w:rsid w:val="00BF1D26"/>
    <w:rsid w:val="00BF2993"/>
    <w:rsid w:val="00BF3AA1"/>
    <w:rsid w:val="00BF4C46"/>
    <w:rsid w:val="00BF5571"/>
    <w:rsid w:val="00BF58D3"/>
    <w:rsid w:val="00BF634A"/>
    <w:rsid w:val="00BF634F"/>
    <w:rsid w:val="00BF6379"/>
    <w:rsid w:val="00BF65DA"/>
    <w:rsid w:val="00BF66EF"/>
    <w:rsid w:val="00BF69AA"/>
    <w:rsid w:val="00BF6CD3"/>
    <w:rsid w:val="00BF79EA"/>
    <w:rsid w:val="00C01FE9"/>
    <w:rsid w:val="00C021C0"/>
    <w:rsid w:val="00C03CD9"/>
    <w:rsid w:val="00C046E7"/>
    <w:rsid w:val="00C04748"/>
    <w:rsid w:val="00C047C2"/>
    <w:rsid w:val="00C052D0"/>
    <w:rsid w:val="00C05BB5"/>
    <w:rsid w:val="00C05F5F"/>
    <w:rsid w:val="00C0652A"/>
    <w:rsid w:val="00C06633"/>
    <w:rsid w:val="00C06D07"/>
    <w:rsid w:val="00C10C11"/>
    <w:rsid w:val="00C10EBB"/>
    <w:rsid w:val="00C11277"/>
    <w:rsid w:val="00C11D35"/>
    <w:rsid w:val="00C12A2D"/>
    <w:rsid w:val="00C141FF"/>
    <w:rsid w:val="00C142EB"/>
    <w:rsid w:val="00C15B9C"/>
    <w:rsid w:val="00C16155"/>
    <w:rsid w:val="00C1698B"/>
    <w:rsid w:val="00C16D01"/>
    <w:rsid w:val="00C17A24"/>
    <w:rsid w:val="00C20C59"/>
    <w:rsid w:val="00C2370D"/>
    <w:rsid w:val="00C237F2"/>
    <w:rsid w:val="00C24FBA"/>
    <w:rsid w:val="00C250F9"/>
    <w:rsid w:val="00C25946"/>
    <w:rsid w:val="00C261B7"/>
    <w:rsid w:val="00C26307"/>
    <w:rsid w:val="00C26B40"/>
    <w:rsid w:val="00C3010F"/>
    <w:rsid w:val="00C307F2"/>
    <w:rsid w:val="00C30812"/>
    <w:rsid w:val="00C311AB"/>
    <w:rsid w:val="00C33812"/>
    <w:rsid w:val="00C348F3"/>
    <w:rsid w:val="00C358F1"/>
    <w:rsid w:val="00C367B3"/>
    <w:rsid w:val="00C36CE2"/>
    <w:rsid w:val="00C36FF3"/>
    <w:rsid w:val="00C37680"/>
    <w:rsid w:val="00C37B17"/>
    <w:rsid w:val="00C41077"/>
    <w:rsid w:val="00C4120C"/>
    <w:rsid w:val="00C41D7F"/>
    <w:rsid w:val="00C41F79"/>
    <w:rsid w:val="00C43FF9"/>
    <w:rsid w:val="00C45CD1"/>
    <w:rsid w:val="00C465EA"/>
    <w:rsid w:val="00C46A9E"/>
    <w:rsid w:val="00C4736D"/>
    <w:rsid w:val="00C476A1"/>
    <w:rsid w:val="00C47C40"/>
    <w:rsid w:val="00C50847"/>
    <w:rsid w:val="00C531E6"/>
    <w:rsid w:val="00C53F81"/>
    <w:rsid w:val="00C546B5"/>
    <w:rsid w:val="00C55FBA"/>
    <w:rsid w:val="00C56D31"/>
    <w:rsid w:val="00C57A30"/>
    <w:rsid w:val="00C6119F"/>
    <w:rsid w:val="00C62B23"/>
    <w:rsid w:val="00C64AF4"/>
    <w:rsid w:val="00C64C91"/>
    <w:rsid w:val="00C65445"/>
    <w:rsid w:val="00C67825"/>
    <w:rsid w:val="00C67DB9"/>
    <w:rsid w:val="00C70A47"/>
    <w:rsid w:val="00C70E09"/>
    <w:rsid w:val="00C721D7"/>
    <w:rsid w:val="00C722AC"/>
    <w:rsid w:val="00C72836"/>
    <w:rsid w:val="00C72F30"/>
    <w:rsid w:val="00C73768"/>
    <w:rsid w:val="00C75948"/>
    <w:rsid w:val="00C81750"/>
    <w:rsid w:val="00C81A6D"/>
    <w:rsid w:val="00C81CF8"/>
    <w:rsid w:val="00C8229C"/>
    <w:rsid w:val="00C83B9D"/>
    <w:rsid w:val="00C846AA"/>
    <w:rsid w:val="00C850AD"/>
    <w:rsid w:val="00C866AA"/>
    <w:rsid w:val="00C86928"/>
    <w:rsid w:val="00C87182"/>
    <w:rsid w:val="00C87649"/>
    <w:rsid w:val="00C87D62"/>
    <w:rsid w:val="00C9069E"/>
    <w:rsid w:val="00C90962"/>
    <w:rsid w:val="00C91BF9"/>
    <w:rsid w:val="00C91F12"/>
    <w:rsid w:val="00C9279A"/>
    <w:rsid w:val="00C92B34"/>
    <w:rsid w:val="00C92BD5"/>
    <w:rsid w:val="00C935A6"/>
    <w:rsid w:val="00C94183"/>
    <w:rsid w:val="00C96893"/>
    <w:rsid w:val="00CA0497"/>
    <w:rsid w:val="00CA04EF"/>
    <w:rsid w:val="00CA1316"/>
    <w:rsid w:val="00CA1EC8"/>
    <w:rsid w:val="00CA1FAD"/>
    <w:rsid w:val="00CA21A5"/>
    <w:rsid w:val="00CA2EE1"/>
    <w:rsid w:val="00CA3087"/>
    <w:rsid w:val="00CA342C"/>
    <w:rsid w:val="00CA4B17"/>
    <w:rsid w:val="00CA5245"/>
    <w:rsid w:val="00CA52A7"/>
    <w:rsid w:val="00CA5BCD"/>
    <w:rsid w:val="00CA5F99"/>
    <w:rsid w:val="00CA602E"/>
    <w:rsid w:val="00CA70A3"/>
    <w:rsid w:val="00CB0D80"/>
    <w:rsid w:val="00CB0F81"/>
    <w:rsid w:val="00CB0F9D"/>
    <w:rsid w:val="00CB10F2"/>
    <w:rsid w:val="00CB115D"/>
    <w:rsid w:val="00CB165C"/>
    <w:rsid w:val="00CB179D"/>
    <w:rsid w:val="00CB187A"/>
    <w:rsid w:val="00CB1931"/>
    <w:rsid w:val="00CB29D2"/>
    <w:rsid w:val="00CB3C65"/>
    <w:rsid w:val="00CB4735"/>
    <w:rsid w:val="00CB599C"/>
    <w:rsid w:val="00CB5B96"/>
    <w:rsid w:val="00CB6352"/>
    <w:rsid w:val="00CB64B4"/>
    <w:rsid w:val="00CB66E3"/>
    <w:rsid w:val="00CB7281"/>
    <w:rsid w:val="00CC03DE"/>
    <w:rsid w:val="00CC16F6"/>
    <w:rsid w:val="00CC19D2"/>
    <w:rsid w:val="00CC1A54"/>
    <w:rsid w:val="00CC3278"/>
    <w:rsid w:val="00CC32D9"/>
    <w:rsid w:val="00CC458F"/>
    <w:rsid w:val="00CC465F"/>
    <w:rsid w:val="00CC4ECE"/>
    <w:rsid w:val="00CC56E8"/>
    <w:rsid w:val="00CC716F"/>
    <w:rsid w:val="00CC7BB5"/>
    <w:rsid w:val="00CD01EE"/>
    <w:rsid w:val="00CD0925"/>
    <w:rsid w:val="00CD1802"/>
    <w:rsid w:val="00CD1A14"/>
    <w:rsid w:val="00CD2388"/>
    <w:rsid w:val="00CD2CFF"/>
    <w:rsid w:val="00CD358C"/>
    <w:rsid w:val="00CD4F03"/>
    <w:rsid w:val="00CD4F38"/>
    <w:rsid w:val="00CD61E2"/>
    <w:rsid w:val="00CD692C"/>
    <w:rsid w:val="00CD69CE"/>
    <w:rsid w:val="00CD6AC2"/>
    <w:rsid w:val="00CD6B66"/>
    <w:rsid w:val="00CE0434"/>
    <w:rsid w:val="00CE09F7"/>
    <w:rsid w:val="00CE0F2A"/>
    <w:rsid w:val="00CE2B39"/>
    <w:rsid w:val="00CE2FD6"/>
    <w:rsid w:val="00CE3893"/>
    <w:rsid w:val="00CE4E8B"/>
    <w:rsid w:val="00CE5368"/>
    <w:rsid w:val="00CE56E4"/>
    <w:rsid w:val="00CE7896"/>
    <w:rsid w:val="00CE78A5"/>
    <w:rsid w:val="00CF001A"/>
    <w:rsid w:val="00CF0E07"/>
    <w:rsid w:val="00CF1802"/>
    <w:rsid w:val="00CF2446"/>
    <w:rsid w:val="00CF2D09"/>
    <w:rsid w:val="00CF38E3"/>
    <w:rsid w:val="00CF4994"/>
    <w:rsid w:val="00CF580B"/>
    <w:rsid w:val="00CF5CA4"/>
    <w:rsid w:val="00CF6158"/>
    <w:rsid w:val="00CF6324"/>
    <w:rsid w:val="00CF653D"/>
    <w:rsid w:val="00CF694F"/>
    <w:rsid w:val="00CF73CA"/>
    <w:rsid w:val="00CF744E"/>
    <w:rsid w:val="00CF78A9"/>
    <w:rsid w:val="00D001D1"/>
    <w:rsid w:val="00D01C29"/>
    <w:rsid w:val="00D0314C"/>
    <w:rsid w:val="00D03426"/>
    <w:rsid w:val="00D034D5"/>
    <w:rsid w:val="00D0390B"/>
    <w:rsid w:val="00D045C0"/>
    <w:rsid w:val="00D06615"/>
    <w:rsid w:val="00D10615"/>
    <w:rsid w:val="00D10AB6"/>
    <w:rsid w:val="00D110DF"/>
    <w:rsid w:val="00D118B0"/>
    <w:rsid w:val="00D1262D"/>
    <w:rsid w:val="00D1334C"/>
    <w:rsid w:val="00D13741"/>
    <w:rsid w:val="00D13E24"/>
    <w:rsid w:val="00D142A9"/>
    <w:rsid w:val="00D16276"/>
    <w:rsid w:val="00D21175"/>
    <w:rsid w:val="00D216AD"/>
    <w:rsid w:val="00D21848"/>
    <w:rsid w:val="00D227E7"/>
    <w:rsid w:val="00D2353E"/>
    <w:rsid w:val="00D24147"/>
    <w:rsid w:val="00D24DFB"/>
    <w:rsid w:val="00D24E37"/>
    <w:rsid w:val="00D2582C"/>
    <w:rsid w:val="00D25A5A"/>
    <w:rsid w:val="00D26928"/>
    <w:rsid w:val="00D2738C"/>
    <w:rsid w:val="00D31468"/>
    <w:rsid w:val="00D31E46"/>
    <w:rsid w:val="00D32EC9"/>
    <w:rsid w:val="00D34FDA"/>
    <w:rsid w:val="00D374A8"/>
    <w:rsid w:val="00D37CCA"/>
    <w:rsid w:val="00D405A3"/>
    <w:rsid w:val="00D41D4C"/>
    <w:rsid w:val="00D42380"/>
    <w:rsid w:val="00D431EE"/>
    <w:rsid w:val="00D44ED4"/>
    <w:rsid w:val="00D4530A"/>
    <w:rsid w:val="00D476F6"/>
    <w:rsid w:val="00D50D62"/>
    <w:rsid w:val="00D518B2"/>
    <w:rsid w:val="00D51F73"/>
    <w:rsid w:val="00D52190"/>
    <w:rsid w:val="00D52382"/>
    <w:rsid w:val="00D535E8"/>
    <w:rsid w:val="00D54FEA"/>
    <w:rsid w:val="00D555F0"/>
    <w:rsid w:val="00D56050"/>
    <w:rsid w:val="00D60A4D"/>
    <w:rsid w:val="00D61041"/>
    <w:rsid w:val="00D610D8"/>
    <w:rsid w:val="00D6113F"/>
    <w:rsid w:val="00D61C5A"/>
    <w:rsid w:val="00D6213D"/>
    <w:rsid w:val="00D622F8"/>
    <w:rsid w:val="00D631EE"/>
    <w:rsid w:val="00D63E12"/>
    <w:rsid w:val="00D640EC"/>
    <w:rsid w:val="00D6451E"/>
    <w:rsid w:val="00D65C3F"/>
    <w:rsid w:val="00D66CCD"/>
    <w:rsid w:val="00D706D9"/>
    <w:rsid w:val="00D70995"/>
    <w:rsid w:val="00D709F5"/>
    <w:rsid w:val="00D73261"/>
    <w:rsid w:val="00D733C8"/>
    <w:rsid w:val="00D7440D"/>
    <w:rsid w:val="00D759F2"/>
    <w:rsid w:val="00D75A3F"/>
    <w:rsid w:val="00D760B6"/>
    <w:rsid w:val="00D76494"/>
    <w:rsid w:val="00D76608"/>
    <w:rsid w:val="00D76788"/>
    <w:rsid w:val="00D76BEA"/>
    <w:rsid w:val="00D77B1E"/>
    <w:rsid w:val="00D80DAA"/>
    <w:rsid w:val="00D8187E"/>
    <w:rsid w:val="00D819E7"/>
    <w:rsid w:val="00D81CB4"/>
    <w:rsid w:val="00D81E9F"/>
    <w:rsid w:val="00D81F73"/>
    <w:rsid w:val="00D835CC"/>
    <w:rsid w:val="00D836FF"/>
    <w:rsid w:val="00D84584"/>
    <w:rsid w:val="00D868A2"/>
    <w:rsid w:val="00D86D88"/>
    <w:rsid w:val="00D905E6"/>
    <w:rsid w:val="00D929D7"/>
    <w:rsid w:val="00D93F88"/>
    <w:rsid w:val="00D947A9"/>
    <w:rsid w:val="00D9485D"/>
    <w:rsid w:val="00D9559C"/>
    <w:rsid w:val="00D95C9D"/>
    <w:rsid w:val="00D95DA4"/>
    <w:rsid w:val="00D96893"/>
    <w:rsid w:val="00D96CB8"/>
    <w:rsid w:val="00D9791B"/>
    <w:rsid w:val="00D97EB0"/>
    <w:rsid w:val="00DA1547"/>
    <w:rsid w:val="00DA1D2D"/>
    <w:rsid w:val="00DA2D36"/>
    <w:rsid w:val="00DA3950"/>
    <w:rsid w:val="00DA3982"/>
    <w:rsid w:val="00DA439F"/>
    <w:rsid w:val="00DA43A7"/>
    <w:rsid w:val="00DA7E64"/>
    <w:rsid w:val="00DB009B"/>
    <w:rsid w:val="00DB03F3"/>
    <w:rsid w:val="00DB11F5"/>
    <w:rsid w:val="00DB133E"/>
    <w:rsid w:val="00DB14D4"/>
    <w:rsid w:val="00DB1844"/>
    <w:rsid w:val="00DB306B"/>
    <w:rsid w:val="00DB3820"/>
    <w:rsid w:val="00DB3E8C"/>
    <w:rsid w:val="00DB412B"/>
    <w:rsid w:val="00DB525D"/>
    <w:rsid w:val="00DB6051"/>
    <w:rsid w:val="00DB7AAE"/>
    <w:rsid w:val="00DC13C6"/>
    <w:rsid w:val="00DC16FB"/>
    <w:rsid w:val="00DC1E9D"/>
    <w:rsid w:val="00DC226B"/>
    <w:rsid w:val="00DC22C6"/>
    <w:rsid w:val="00DC235D"/>
    <w:rsid w:val="00DC287B"/>
    <w:rsid w:val="00DC3639"/>
    <w:rsid w:val="00DC3F26"/>
    <w:rsid w:val="00DC4547"/>
    <w:rsid w:val="00DC4B59"/>
    <w:rsid w:val="00DC51AB"/>
    <w:rsid w:val="00DC51D1"/>
    <w:rsid w:val="00DC61C1"/>
    <w:rsid w:val="00DC6933"/>
    <w:rsid w:val="00DC6C4E"/>
    <w:rsid w:val="00DD2541"/>
    <w:rsid w:val="00DD26FF"/>
    <w:rsid w:val="00DD282B"/>
    <w:rsid w:val="00DD2E0E"/>
    <w:rsid w:val="00DD35EC"/>
    <w:rsid w:val="00DD4D3F"/>
    <w:rsid w:val="00DD4E2D"/>
    <w:rsid w:val="00DD55EF"/>
    <w:rsid w:val="00DD600B"/>
    <w:rsid w:val="00DD604B"/>
    <w:rsid w:val="00DD6131"/>
    <w:rsid w:val="00DD613D"/>
    <w:rsid w:val="00DD7325"/>
    <w:rsid w:val="00DD7DD5"/>
    <w:rsid w:val="00DE0464"/>
    <w:rsid w:val="00DE143A"/>
    <w:rsid w:val="00DE26F6"/>
    <w:rsid w:val="00DE2B33"/>
    <w:rsid w:val="00DE2C9F"/>
    <w:rsid w:val="00DE3479"/>
    <w:rsid w:val="00DE357B"/>
    <w:rsid w:val="00DE3A86"/>
    <w:rsid w:val="00DE3E05"/>
    <w:rsid w:val="00DE4B86"/>
    <w:rsid w:val="00DE5255"/>
    <w:rsid w:val="00DE542E"/>
    <w:rsid w:val="00DE5741"/>
    <w:rsid w:val="00DE59A6"/>
    <w:rsid w:val="00DE5DA6"/>
    <w:rsid w:val="00DE6BCD"/>
    <w:rsid w:val="00DF025F"/>
    <w:rsid w:val="00DF183E"/>
    <w:rsid w:val="00DF2131"/>
    <w:rsid w:val="00DF26B8"/>
    <w:rsid w:val="00DF3936"/>
    <w:rsid w:val="00DF406B"/>
    <w:rsid w:val="00DF4B3A"/>
    <w:rsid w:val="00DF4C7A"/>
    <w:rsid w:val="00DF53C3"/>
    <w:rsid w:val="00DF6211"/>
    <w:rsid w:val="00DF64BA"/>
    <w:rsid w:val="00DF6600"/>
    <w:rsid w:val="00DF6847"/>
    <w:rsid w:val="00DF6A5A"/>
    <w:rsid w:val="00DF709C"/>
    <w:rsid w:val="00E00046"/>
    <w:rsid w:val="00E011D6"/>
    <w:rsid w:val="00E012ED"/>
    <w:rsid w:val="00E01B89"/>
    <w:rsid w:val="00E01CF3"/>
    <w:rsid w:val="00E02262"/>
    <w:rsid w:val="00E02E4A"/>
    <w:rsid w:val="00E032DE"/>
    <w:rsid w:val="00E03562"/>
    <w:rsid w:val="00E03690"/>
    <w:rsid w:val="00E04940"/>
    <w:rsid w:val="00E05038"/>
    <w:rsid w:val="00E05E9C"/>
    <w:rsid w:val="00E061D6"/>
    <w:rsid w:val="00E0623C"/>
    <w:rsid w:val="00E0691E"/>
    <w:rsid w:val="00E06C44"/>
    <w:rsid w:val="00E100DE"/>
    <w:rsid w:val="00E104A4"/>
    <w:rsid w:val="00E10F56"/>
    <w:rsid w:val="00E11434"/>
    <w:rsid w:val="00E1159E"/>
    <w:rsid w:val="00E11906"/>
    <w:rsid w:val="00E11A06"/>
    <w:rsid w:val="00E126BD"/>
    <w:rsid w:val="00E14349"/>
    <w:rsid w:val="00E1484A"/>
    <w:rsid w:val="00E15229"/>
    <w:rsid w:val="00E165C9"/>
    <w:rsid w:val="00E17E4E"/>
    <w:rsid w:val="00E21323"/>
    <w:rsid w:val="00E231FC"/>
    <w:rsid w:val="00E24657"/>
    <w:rsid w:val="00E24F85"/>
    <w:rsid w:val="00E25125"/>
    <w:rsid w:val="00E25847"/>
    <w:rsid w:val="00E25896"/>
    <w:rsid w:val="00E25F1F"/>
    <w:rsid w:val="00E266B2"/>
    <w:rsid w:val="00E30BC9"/>
    <w:rsid w:val="00E3117D"/>
    <w:rsid w:val="00E31EA9"/>
    <w:rsid w:val="00E321D5"/>
    <w:rsid w:val="00E33313"/>
    <w:rsid w:val="00E356E6"/>
    <w:rsid w:val="00E373B6"/>
    <w:rsid w:val="00E404B7"/>
    <w:rsid w:val="00E413C6"/>
    <w:rsid w:val="00E41677"/>
    <w:rsid w:val="00E419A9"/>
    <w:rsid w:val="00E41A7D"/>
    <w:rsid w:val="00E41A99"/>
    <w:rsid w:val="00E41FC9"/>
    <w:rsid w:val="00E449F8"/>
    <w:rsid w:val="00E44FE2"/>
    <w:rsid w:val="00E4528D"/>
    <w:rsid w:val="00E46008"/>
    <w:rsid w:val="00E463E7"/>
    <w:rsid w:val="00E47289"/>
    <w:rsid w:val="00E47595"/>
    <w:rsid w:val="00E476B1"/>
    <w:rsid w:val="00E47AE5"/>
    <w:rsid w:val="00E50D12"/>
    <w:rsid w:val="00E5214B"/>
    <w:rsid w:val="00E54862"/>
    <w:rsid w:val="00E57638"/>
    <w:rsid w:val="00E5774F"/>
    <w:rsid w:val="00E60754"/>
    <w:rsid w:val="00E6201F"/>
    <w:rsid w:val="00E62096"/>
    <w:rsid w:val="00E62F63"/>
    <w:rsid w:val="00E63058"/>
    <w:rsid w:val="00E631ED"/>
    <w:rsid w:val="00E633DB"/>
    <w:rsid w:val="00E63423"/>
    <w:rsid w:val="00E63CC8"/>
    <w:rsid w:val="00E67855"/>
    <w:rsid w:val="00E70094"/>
    <w:rsid w:val="00E71265"/>
    <w:rsid w:val="00E7268A"/>
    <w:rsid w:val="00E73558"/>
    <w:rsid w:val="00E74389"/>
    <w:rsid w:val="00E746D6"/>
    <w:rsid w:val="00E77814"/>
    <w:rsid w:val="00E77E6E"/>
    <w:rsid w:val="00E800BE"/>
    <w:rsid w:val="00E80943"/>
    <w:rsid w:val="00E80CCB"/>
    <w:rsid w:val="00E80D79"/>
    <w:rsid w:val="00E81C64"/>
    <w:rsid w:val="00E81DA4"/>
    <w:rsid w:val="00E83DF7"/>
    <w:rsid w:val="00E84230"/>
    <w:rsid w:val="00E85D66"/>
    <w:rsid w:val="00E860FF"/>
    <w:rsid w:val="00E863AB"/>
    <w:rsid w:val="00E86B30"/>
    <w:rsid w:val="00E87A93"/>
    <w:rsid w:val="00E90AD3"/>
    <w:rsid w:val="00E91158"/>
    <w:rsid w:val="00E9374F"/>
    <w:rsid w:val="00E93C27"/>
    <w:rsid w:val="00E94DB6"/>
    <w:rsid w:val="00E952C2"/>
    <w:rsid w:val="00E95CD3"/>
    <w:rsid w:val="00E96322"/>
    <w:rsid w:val="00E97A7D"/>
    <w:rsid w:val="00EA0768"/>
    <w:rsid w:val="00EA192B"/>
    <w:rsid w:val="00EA2499"/>
    <w:rsid w:val="00EA2946"/>
    <w:rsid w:val="00EA403B"/>
    <w:rsid w:val="00EA4483"/>
    <w:rsid w:val="00EA52AE"/>
    <w:rsid w:val="00EA6328"/>
    <w:rsid w:val="00EA6523"/>
    <w:rsid w:val="00EA7031"/>
    <w:rsid w:val="00EA750A"/>
    <w:rsid w:val="00EB31E9"/>
    <w:rsid w:val="00EB42A5"/>
    <w:rsid w:val="00EB4461"/>
    <w:rsid w:val="00EB507C"/>
    <w:rsid w:val="00EB68EF"/>
    <w:rsid w:val="00EB717E"/>
    <w:rsid w:val="00EB74CD"/>
    <w:rsid w:val="00EB7C4E"/>
    <w:rsid w:val="00EB7D4E"/>
    <w:rsid w:val="00EB7D72"/>
    <w:rsid w:val="00EC0658"/>
    <w:rsid w:val="00EC0F16"/>
    <w:rsid w:val="00EC1AAB"/>
    <w:rsid w:val="00EC1B09"/>
    <w:rsid w:val="00EC32A5"/>
    <w:rsid w:val="00EC3631"/>
    <w:rsid w:val="00EC3958"/>
    <w:rsid w:val="00EC3D9D"/>
    <w:rsid w:val="00EC411D"/>
    <w:rsid w:val="00EC4388"/>
    <w:rsid w:val="00EC561F"/>
    <w:rsid w:val="00EC6976"/>
    <w:rsid w:val="00EC79E9"/>
    <w:rsid w:val="00ED06FB"/>
    <w:rsid w:val="00ED0854"/>
    <w:rsid w:val="00ED0A48"/>
    <w:rsid w:val="00ED1EB7"/>
    <w:rsid w:val="00ED31A1"/>
    <w:rsid w:val="00ED3E94"/>
    <w:rsid w:val="00ED4472"/>
    <w:rsid w:val="00ED503A"/>
    <w:rsid w:val="00ED509F"/>
    <w:rsid w:val="00ED61EE"/>
    <w:rsid w:val="00ED6313"/>
    <w:rsid w:val="00ED714C"/>
    <w:rsid w:val="00ED727D"/>
    <w:rsid w:val="00ED797F"/>
    <w:rsid w:val="00EE0903"/>
    <w:rsid w:val="00EE163F"/>
    <w:rsid w:val="00EE1CD1"/>
    <w:rsid w:val="00EE6703"/>
    <w:rsid w:val="00EF1A38"/>
    <w:rsid w:val="00EF1D86"/>
    <w:rsid w:val="00EF3303"/>
    <w:rsid w:val="00EF3918"/>
    <w:rsid w:val="00EF41AE"/>
    <w:rsid w:val="00EF4DFA"/>
    <w:rsid w:val="00EF53AF"/>
    <w:rsid w:val="00EF596B"/>
    <w:rsid w:val="00EF6A53"/>
    <w:rsid w:val="00EF6D85"/>
    <w:rsid w:val="00F00750"/>
    <w:rsid w:val="00F02E47"/>
    <w:rsid w:val="00F02E7B"/>
    <w:rsid w:val="00F06019"/>
    <w:rsid w:val="00F06120"/>
    <w:rsid w:val="00F062EF"/>
    <w:rsid w:val="00F064F3"/>
    <w:rsid w:val="00F068C0"/>
    <w:rsid w:val="00F0714D"/>
    <w:rsid w:val="00F0777E"/>
    <w:rsid w:val="00F07BBA"/>
    <w:rsid w:val="00F10380"/>
    <w:rsid w:val="00F1159A"/>
    <w:rsid w:val="00F116A1"/>
    <w:rsid w:val="00F1258E"/>
    <w:rsid w:val="00F130E3"/>
    <w:rsid w:val="00F13C47"/>
    <w:rsid w:val="00F14330"/>
    <w:rsid w:val="00F14464"/>
    <w:rsid w:val="00F149B6"/>
    <w:rsid w:val="00F151B3"/>
    <w:rsid w:val="00F151E7"/>
    <w:rsid w:val="00F1596B"/>
    <w:rsid w:val="00F159A4"/>
    <w:rsid w:val="00F15AF4"/>
    <w:rsid w:val="00F15ED0"/>
    <w:rsid w:val="00F1664A"/>
    <w:rsid w:val="00F20543"/>
    <w:rsid w:val="00F21506"/>
    <w:rsid w:val="00F2294B"/>
    <w:rsid w:val="00F22E1D"/>
    <w:rsid w:val="00F22F22"/>
    <w:rsid w:val="00F243F7"/>
    <w:rsid w:val="00F2584C"/>
    <w:rsid w:val="00F25FCE"/>
    <w:rsid w:val="00F26684"/>
    <w:rsid w:val="00F26C9E"/>
    <w:rsid w:val="00F27195"/>
    <w:rsid w:val="00F27207"/>
    <w:rsid w:val="00F27373"/>
    <w:rsid w:val="00F274F0"/>
    <w:rsid w:val="00F27B71"/>
    <w:rsid w:val="00F301D6"/>
    <w:rsid w:val="00F31E4B"/>
    <w:rsid w:val="00F32C8C"/>
    <w:rsid w:val="00F32DE5"/>
    <w:rsid w:val="00F3423B"/>
    <w:rsid w:val="00F35C02"/>
    <w:rsid w:val="00F37871"/>
    <w:rsid w:val="00F37A79"/>
    <w:rsid w:val="00F403F4"/>
    <w:rsid w:val="00F40611"/>
    <w:rsid w:val="00F40B4C"/>
    <w:rsid w:val="00F40B9A"/>
    <w:rsid w:val="00F41A06"/>
    <w:rsid w:val="00F4311C"/>
    <w:rsid w:val="00F431B8"/>
    <w:rsid w:val="00F43B78"/>
    <w:rsid w:val="00F43BB0"/>
    <w:rsid w:val="00F44B4C"/>
    <w:rsid w:val="00F44B9C"/>
    <w:rsid w:val="00F45186"/>
    <w:rsid w:val="00F45204"/>
    <w:rsid w:val="00F47C12"/>
    <w:rsid w:val="00F502A7"/>
    <w:rsid w:val="00F50709"/>
    <w:rsid w:val="00F514D7"/>
    <w:rsid w:val="00F51A08"/>
    <w:rsid w:val="00F51D75"/>
    <w:rsid w:val="00F52A1D"/>
    <w:rsid w:val="00F538B2"/>
    <w:rsid w:val="00F54690"/>
    <w:rsid w:val="00F5488C"/>
    <w:rsid w:val="00F562ED"/>
    <w:rsid w:val="00F60810"/>
    <w:rsid w:val="00F6184B"/>
    <w:rsid w:val="00F63B91"/>
    <w:rsid w:val="00F640B3"/>
    <w:rsid w:val="00F642A4"/>
    <w:rsid w:val="00F6492A"/>
    <w:rsid w:val="00F67DDF"/>
    <w:rsid w:val="00F67E58"/>
    <w:rsid w:val="00F70C8C"/>
    <w:rsid w:val="00F70D87"/>
    <w:rsid w:val="00F71477"/>
    <w:rsid w:val="00F71503"/>
    <w:rsid w:val="00F717BF"/>
    <w:rsid w:val="00F7241F"/>
    <w:rsid w:val="00F7245A"/>
    <w:rsid w:val="00F72C39"/>
    <w:rsid w:val="00F73417"/>
    <w:rsid w:val="00F7363A"/>
    <w:rsid w:val="00F73954"/>
    <w:rsid w:val="00F74E09"/>
    <w:rsid w:val="00F75168"/>
    <w:rsid w:val="00F757B7"/>
    <w:rsid w:val="00F75FF7"/>
    <w:rsid w:val="00F773E6"/>
    <w:rsid w:val="00F80D27"/>
    <w:rsid w:val="00F81868"/>
    <w:rsid w:val="00F81E35"/>
    <w:rsid w:val="00F82747"/>
    <w:rsid w:val="00F83F99"/>
    <w:rsid w:val="00F856C4"/>
    <w:rsid w:val="00F8580E"/>
    <w:rsid w:val="00F85E03"/>
    <w:rsid w:val="00F85E18"/>
    <w:rsid w:val="00F85F99"/>
    <w:rsid w:val="00F86630"/>
    <w:rsid w:val="00F86F14"/>
    <w:rsid w:val="00F86FE7"/>
    <w:rsid w:val="00F87E57"/>
    <w:rsid w:val="00F90DD8"/>
    <w:rsid w:val="00F90E3B"/>
    <w:rsid w:val="00F9201D"/>
    <w:rsid w:val="00F92F44"/>
    <w:rsid w:val="00F93976"/>
    <w:rsid w:val="00F941C6"/>
    <w:rsid w:val="00F948C4"/>
    <w:rsid w:val="00F95893"/>
    <w:rsid w:val="00F96E2B"/>
    <w:rsid w:val="00F97B0A"/>
    <w:rsid w:val="00FA0811"/>
    <w:rsid w:val="00FA1982"/>
    <w:rsid w:val="00FA23CD"/>
    <w:rsid w:val="00FA2E0F"/>
    <w:rsid w:val="00FA356C"/>
    <w:rsid w:val="00FA3B21"/>
    <w:rsid w:val="00FA6385"/>
    <w:rsid w:val="00FA7334"/>
    <w:rsid w:val="00FA7872"/>
    <w:rsid w:val="00FA7A6E"/>
    <w:rsid w:val="00FA7DBC"/>
    <w:rsid w:val="00FB02C2"/>
    <w:rsid w:val="00FB0C5D"/>
    <w:rsid w:val="00FB1807"/>
    <w:rsid w:val="00FB24B2"/>
    <w:rsid w:val="00FB2D89"/>
    <w:rsid w:val="00FB31D7"/>
    <w:rsid w:val="00FB3E43"/>
    <w:rsid w:val="00FB5221"/>
    <w:rsid w:val="00FB53CD"/>
    <w:rsid w:val="00FB5ED1"/>
    <w:rsid w:val="00FC0814"/>
    <w:rsid w:val="00FC0DF7"/>
    <w:rsid w:val="00FC120A"/>
    <w:rsid w:val="00FC126E"/>
    <w:rsid w:val="00FC2C21"/>
    <w:rsid w:val="00FC2D54"/>
    <w:rsid w:val="00FC4433"/>
    <w:rsid w:val="00FC4657"/>
    <w:rsid w:val="00FC5183"/>
    <w:rsid w:val="00FC53E7"/>
    <w:rsid w:val="00FC542C"/>
    <w:rsid w:val="00FC5BA8"/>
    <w:rsid w:val="00FC5E3E"/>
    <w:rsid w:val="00FC5FD9"/>
    <w:rsid w:val="00FC65C8"/>
    <w:rsid w:val="00FD06B8"/>
    <w:rsid w:val="00FD08B6"/>
    <w:rsid w:val="00FD15C3"/>
    <w:rsid w:val="00FD1C66"/>
    <w:rsid w:val="00FD1CE9"/>
    <w:rsid w:val="00FD1F9F"/>
    <w:rsid w:val="00FD229F"/>
    <w:rsid w:val="00FD29BD"/>
    <w:rsid w:val="00FD3409"/>
    <w:rsid w:val="00FD3A7B"/>
    <w:rsid w:val="00FD44F5"/>
    <w:rsid w:val="00FD471E"/>
    <w:rsid w:val="00FD59DC"/>
    <w:rsid w:val="00FD6AD3"/>
    <w:rsid w:val="00FD6EC3"/>
    <w:rsid w:val="00FD71A0"/>
    <w:rsid w:val="00FD734D"/>
    <w:rsid w:val="00FE1A81"/>
    <w:rsid w:val="00FE1ACB"/>
    <w:rsid w:val="00FE322D"/>
    <w:rsid w:val="00FE3706"/>
    <w:rsid w:val="00FE390A"/>
    <w:rsid w:val="00FE4C98"/>
    <w:rsid w:val="00FE6F26"/>
    <w:rsid w:val="00FF0D0E"/>
    <w:rsid w:val="00FF0E3B"/>
    <w:rsid w:val="00FF1349"/>
    <w:rsid w:val="00FF141E"/>
    <w:rsid w:val="00FF37CC"/>
    <w:rsid w:val="00FF3A04"/>
    <w:rsid w:val="00FF3B90"/>
    <w:rsid w:val="00FF3C80"/>
    <w:rsid w:val="00FF6A11"/>
    <w:rsid w:val="00FF74C8"/>
    <w:rsid w:val="00FF7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6C7D0"/>
  <w15:docId w15:val="{D59517C1-8500-48BF-97D5-58271D8B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40"/>
  </w:style>
  <w:style w:type="paragraph" w:styleId="Heading1">
    <w:name w:val="heading 1"/>
    <w:basedOn w:val="Normal"/>
    <w:next w:val="Normal"/>
    <w:link w:val="Heading1Char"/>
    <w:uiPriority w:val="9"/>
    <w:qFormat/>
    <w:rsid w:val="00D476F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476F6"/>
    <w:pPr>
      <w:keepNext/>
      <w:widowControl w:val="0"/>
      <w:suppressAutoHyphens/>
      <w:spacing w:before="360" w:after="120" w:line="270" w:lineRule="exact"/>
      <w:ind w:left="510" w:hanging="510"/>
      <w:outlineLvl w:val="1"/>
    </w:pPr>
    <w:rPr>
      <w:rFonts w:ascii="Georgia" w:eastAsia="SimSun" w:hAnsi="Georgia" w:cs="Times New Roman"/>
      <w:bCs/>
      <w:i/>
      <w:sz w:val="20"/>
      <w:szCs w:val="20"/>
      <w:lang w:val="en-GB" w:eastAsia="ar-SA"/>
    </w:rPr>
  </w:style>
  <w:style w:type="paragraph" w:styleId="Heading3">
    <w:name w:val="heading 3"/>
    <w:basedOn w:val="Normal"/>
    <w:next w:val="Normal"/>
    <w:link w:val="Heading3Char"/>
    <w:uiPriority w:val="9"/>
    <w:semiHidden/>
    <w:unhideWhenUsed/>
    <w:qFormat/>
    <w:rsid w:val="00D476F6"/>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6F6"/>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unhideWhenUsed/>
    <w:qFormat/>
    <w:rsid w:val="004A3440"/>
    <w:pPr>
      <w:spacing w:after="0" w:line="240" w:lineRule="auto"/>
    </w:pPr>
    <w:rPr>
      <w:sz w:val="20"/>
      <w:szCs w:val="20"/>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sid w:val="004A3440"/>
    <w:rPr>
      <w:sz w:val="20"/>
      <w:szCs w:val="20"/>
    </w:rPr>
  </w:style>
  <w:style w:type="character" w:styleId="Hyperlink">
    <w:name w:val="Hyperlink"/>
    <w:basedOn w:val="DefaultParagraphFont"/>
    <w:uiPriority w:val="99"/>
    <w:unhideWhenUsed/>
    <w:rsid w:val="004A3440"/>
    <w:rPr>
      <w:color w:val="0000FF" w:themeColor="hyperlink"/>
      <w:u w:val="single"/>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4A3440"/>
    <w:rPr>
      <w:vertAlign w:val="superscript"/>
    </w:rPr>
  </w:style>
  <w:style w:type="character" w:styleId="Strong">
    <w:name w:val="Strong"/>
    <w:basedOn w:val="DefaultParagraphFont"/>
    <w:uiPriority w:val="22"/>
    <w:qFormat/>
    <w:rsid w:val="004A3440"/>
    <w:rPr>
      <w:b/>
      <w:bCs/>
    </w:rPr>
  </w:style>
  <w:style w:type="paragraph" w:customStyle="1" w:styleId="Char2">
    <w:name w:val="Char2"/>
    <w:basedOn w:val="Normal"/>
    <w:link w:val="FootnoteReference"/>
    <w:uiPriority w:val="99"/>
    <w:rsid w:val="004A3440"/>
    <w:pPr>
      <w:spacing w:after="160" w:line="240" w:lineRule="exact"/>
    </w:pPr>
    <w:rPr>
      <w:vertAlign w:val="superscript"/>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4A3440"/>
    <w:pPr>
      <w:numPr>
        <w:numId w:val="2"/>
      </w:numPr>
      <w:autoSpaceDE w:val="0"/>
      <w:autoSpaceDN w:val="0"/>
      <w:adjustRightInd w:val="0"/>
      <w:spacing w:after="0" w:line="240" w:lineRule="auto"/>
      <w:contextualSpacing/>
    </w:pPr>
    <w:rPr>
      <w:rFonts w:eastAsia="Times New Roman" w:cs="Times New Roman"/>
      <w:szCs w:val="24"/>
      <w:lang w:val="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rsid w:val="004A3440"/>
    <w:rPr>
      <w:rFonts w:eastAsia="Times New Roman" w:cs="Times New Roman"/>
      <w:szCs w:val="24"/>
      <w:lang w:val="en-US"/>
    </w:rPr>
  </w:style>
  <w:style w:type="table" w:styleId="TableGrid">
    <w:name w:val="Table Grid"/>
    <w:basedOn w:val="TableNormal"/>
    <w:uiPriority w:val="39"/>
    <w:qFormat/>
    <w:rsid w:val="004A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A6D"/>
    <w:pPr>
      <w:spacing w:before="100" w:beforeAutospacing="1" w:after="100" w:afterAutospacing="1" w:line="240" w:lineRule="auto"/>
    </w:pPr>
    <w:rPr>
      <w:rFonts w:ascii="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3E75EC"/>
  </w:style>
  <w:style w:type="paragraph" w:styleId="NoSpacing">
    <w:name w:val="No Spacing"/>
    <w:link w:val="NoSpacingChar"/>
    <w:uiPriority w:val="1"/>
    <w:qFormat/>
    <w:rsid w:val="003E75EC"/>
    <w:pPr>
      <w:spacing w:after="0" w:line="240" w:lineRule="auto"/>
    </w:pPr>
  </w:style>
  <w:style w:type="character" w:styleId="CommentReference">
    <w:name w:val="annotation reference"/>
    <w:basedOn w:val="DefaultParagraphFont"/>
    <w:uiPriority w:val="99"/>
    <w:semiHidden/>
    <w:unhideWhenUsed/>
    <w:rsid w:val="00750C14"/>
    <w:rPr>
      <w:sz w:val="16"/>
      <w:szCs w:val="16"/>
    </w:rPr>
  </w:style>
  <w:style w:type="paragraph" w:styleId="CommentText">
    <w:name w:val="annotation text"/>
    <w:basedOn w:val="Normal"/>
    <w:link w:val="CommentTextChar"/>
    <w:uiPriority w:val="99"/>
    <w:unhideWhenUsed/>
    <w:qFormat/>
    <w:rsid w:val="00750C14"/>
    <w:pPr>
      <w:spacing w:after="0" w:line="240" w:lineRule="auto"/>
    </w:pPr>
    <w:rPr>
      <w:sz w:val="20"/>
      <w:szCs w:val="20"/>
    </w:rPr>
  </w:style>
  <w:style w:type="character" w:customStyle="1" w:styleId="CommentTextChar">
    <w:name w:val="Comment Text Char"/>
    <w:basedOn w:val="DefaultParagraphFont"/>
    <w:link w:val="CommentText"/>
    <w:uiPriority w:val="99"/>
    <w:rsid w:val="00750C14"/>
    <w:rPr>
      <w:sz w:val="20"/>
      <w:szCs w:val="20"/>
    </w:rPr>
  </w:style>
  <w:style w:type="paragraph" w:styleId="BalloonText">
    <w:name w:val="Balloon Text"/>
    <w:basedOn w:val="Normal"/>
    <w:link w:val="BalloonTextChar"/>
    <w:uiPriority w:val="99"/>
    <w:semiHidden/>
    <w:unhideWhenUsed/>
    <w:rsid w:val="0075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14"/>
    <w:rPr>
      <w:rFonts w:ascii="Tahoma" w:hAnsi="Tahoma" w:cs="Tahoma"/>
      <w:sz w:val="16"/>
      <w:szCs w:val="16"/>
    </w:rPr>
  </w:style>
  <w:style w:type="paragraph" w:styleId="Footer">
    <w:name w:val="footer"/>
    <w:basedOn w:val="Normal"/>
    <w:link w:val="FooterChar"/>
    <w:uiPriority w:val="99"/>
    <w:unhideWhenUsed/>
    <w:rsid w:val="00AA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C7"/>
  </w:style>
  <w:style w:type="paragraph" w:styleId="TOC1">
    <w:name w:val="toc 1"/>
    <w:basedOn w:val="Normal"/>
    <w:next w:val="Normal"/>
    <w:autoRedefine/>
    <w:uiPriority w:val="39"/>
    <w:unhideWhenUsed/>
    <w:rsid w:val="0004141C"/>
    <w:pPr>
      <w:tabs>
        <w:tab w:val="right" w:leader="dot" w:pos="9350"/>
      </w:tabs>
      <w:spacing w:before="120" w:after="60" w:line="240" w:lineRule="auto"/>
    </w:pPr>
    <w:rPr>
      <w:b/>
      <w:noProof/>
      <w:color w:val="0F243E" w:themeColor="text2" w:themeShade="80"/>
      <w:sz w:val="21"/>
      <w:szCs w:val="21"/>
    </w:rPr>
  </w:style>
  <w:style w:type="paragraph" w:styleId="TOC2">
    <w:name w:val="toc 2"/>
    <w:basedOn w:val="Normal"/>
    <w:next w:val="Normal"/>
    <w:autoRedefine/>
    <w:uiPriority w:val="39"/>
    <w:unhideWhenUsed/>
    <w:rsid w:val="00147561"/>
    <w:pPr>
      <w:spacing w:after="100"/>
      <w:ind w:left="220"/>
    </w:pPr>
  </w:style>
  <w:style w:type="paragraph" w:styleId="Header">
    <w:name w:val="header"/>
    <w:basedOn w:val="Normal"/>
    <w:link w:val="HeaderChar"/>
    <w:uiPriority w:val="99"/>
    <w:unhideWhenUsed/>
    <w:rsid w:val="0014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561"/>
  </w:style>
  <w:style w:type="character" w:styleId="FollowedHyperlink">
    <w:name w:val="FollowedHyperlink"/>
    <w:basedOn w:val="DefaultParagraphFont"/>
    <w:uiPriority w:val="99"/>
    <w:semiHidden/>
    <w:unhideWhenUsed/>
    <w:rsid w:val="00C15B9C"/>
    <w:rPr>
      <w:color w:val="800080" w:themeColor="followedHyperlink"/>
      <w:u w:val="single"/>
    </w:rPr>
  </w:style>
  <w:style w:type="paragraph" w:styleId="Quote">
    <w:name w:val="Quote"/>
    <w:basedOn w:val="Normal"/>
    <w:next w:val="Normal"/>
    <w:link w:val="QuoteChar"/>
    <w:uiPriority w:val="29"/>
    <w:qFormat/>
    <w:rsid w:val="00043E5D"/>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43E5D"/>
    <w:rPr>
      <w:rFonts w:eastAsiaTheme="minorEastAsia"/>
      <w:i/>
      <w:iCs/>
      <w:color w:val="000000" w:themeColor="text1"/>
      <w:lang w:val="en-US" w:eastAsia="ja-JP"/>
    </w:rPr>
  </w:style>
  <w:style w:type="paragraph" w:customStyle="1" w:styleId="Default">
    <w:name w:val="Default"/>
    <w:rsid w:val="00A62677"/>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C4ECE"/>
    <w:pPr>
      <w:spacing w:after="200"/>
    </w:pPr>
    <w:rPr>
      <w:b/>
      <w:bCs/>
    </w:rPr>
  </w:style>
  <w:style w:type="character" w:customStyle="1" w:styleId="CommentSubjectChar">
    <w:name w:val="Comment Subject Char"/>
    <w:basedOn w:val="CommentTextChar"/>
    <w:link w:val="CommentSubject"/>
    <w:uiPriority w:val="99"/>
    <w:semiHidden/>
    <w:rsid w:val="00CC4ECE"/>
    <w:rPr>
      <w:b/>
      <w:bCs/>
      <w:sz w:val="20"/>
      <w:szCs w:val="20"/>
    </w:rPr>
  </w:style>
  <w:style w:type="character" w:customStyle="1" w:styleId="normaltextrun">
    <w:name w:val="normaltextrun"/>
    <w:basedOn w:val="DefaultParagraphFont"/>
    <w:rsid w:val="00EF6A53"/>
  </w:style>
  <w:style w:type="character" w:customStyle="1" w:styleId="spellingerror">
    <w:name w:val="spellingerror"/>
    <w:basedOn w:val="DefaultParagraphFont"/>
    <w:rsid w:val="00EF6A53"/>
  </w:style>
  <w:style w:type="character" w:customStyle="1" w:styleId="A24">
    <w:name w:val="A24"/>
    <w:uiPriority w:val="99"/>
    <w:rsid w:val="00063F8B"/>
    <w:rPr>
      <w:rFonts w:cs="Myriad Pro Light"/>
      <w:b/>
      <w:bCs/>
      <w:color w:val="000000"/>
      <w:sz w:val="28"/>
      <w:szCs w:val="28"/>
    </w:rPr>
  </w:style>
  <w:style w:type="paragraph" w:styleId="Revision">
    <w:name w:val="Revision"/>
    <w:hidden/>
    <w:uiPriority w:val="99"/>
    <w:semiHidden/>
    <w:rsid w:val="0048040B"/>
    <w:pPr>
      <w:spacing w:after="0" w:line="240" w:lineRule="auto"/>
    </w:pPr>
  </w:style>
  <w:style w:type="character" w:customStyle="1" w:styleId="Heading1Char">
    <w:name w:val="Heading 1 Char"/>
    <w:basedOn w:val="DefaultParagraphFont"/>
    <w:link w:val="Heading1"/>
    <w:uiPriority w:val="9"/>
    <w:rsid w:val="00D476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476F6"/>
    <w:rPr>
      <w:rFonts w:ascii="Georgia" w:eastAsia="SimSun" w:hAnsi="Georgia" w:cs="Times New Roman"/>
      <w:bCs/>
      <w:i/>
      <w:sz w:val="20"/>
      <w:szCs w:val="20"/>
      <w:lang w:val="en-GB" w:eastAsia="ar-SA"/>
    </w:rPr>
  </w:style>
  <w:style w:type="character" w:customStyle="1" w:styleId="Heading3Char">
    <w:name w:val="Heading 3 Char"/>
    <w:basedOn w:val="DefaultParagraphFont"/>
    <w:link w:val="Heading3"/>
    <w:uiPriority w:val="9"/>
    <w:semiHidden/>
    <w:rsid w:val="00D476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76F6"/>
    <w:rPr>
      <w:rFonts w:asciiTheme="majorHAnsi" w:eastAsiaTheme="majorEastAsia" w:hAnsiTheme="majorHAnsi" w:cstheme="majorBidi"/>
      <w:b/>
      <w:bCs/>
      <w:i/>
      <w:iCs/>
      <w:color w:val="4F81BD" w:themeColor="accent1"/>
    </w:rPr>
  </w:style>
  <w:style w:type="character" w:customStyle="1" w:styleId="Hyperlink1">
    <w:name w:val="Hyperlink1"/>
    <w:basedOn w:val="DefaultParagraphFont"/>
    <w:uiPriority w:val="99"/>
    <w:unhideWhenUsed/>
    <w:rsid w:val="00D476F6"/>
    <w:rPr>
      <w:color w:val="0000FF"/>
      <w:u w:val="single"/>
    </w:rPr>
  </w:style>
  <w:style w:type="character" w:styleId="Emphasis">
    <w:name w:val="Emphasis"/>
    <w:basedOn w:val="DefaultParagraphFont"/>
    <w:uiPriority w:val="20"/>
    <w:qFormat/>
    <w:rsid w:val="00D476F6"/>
    <w:rPr>
      <w:i/>
      <w:iCs/>
    </w:rPr>
  </w:style>
  <w:style w:type="character" w:customStyle="1" w:styleId="apple-converted-space">
    <w:name w:val="apple-converted-space"/>
    <w:basedOn w:val="DefaultParagraphFont"/>
    <w:rsid w:val="00D476F6"/>
  </w:style>
  <w:style w:type="paragraph" w:styleId="Title">
    <w:name w:val="Title"/>
    <w:basedOn w:val="Normal"/>
    <w:next w:val="Normal"/>
    <w:link w:val="TitleChar"/>
    <w:uiPriority w:val="10"/>
    <w:qFormat/>
    <w:rsid w:val="00D476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6F6"/>
    <w:rPr>
      <w:rFonts w:asciiTheme="majorHAnsi" w:eastAsiaTheme="majorEastAsia" w:hAnsiTheme="majorHAnsi" w:cstheme="majorBidi"/>
      <w:color w:val="17365D" w:themeColor="text2" w:themeShade="BF"/>
      <w:spacing w:val="5"/>
      <w:kern w:val="28"/>
      <w:sz w:val="52"/>
      <w:szCs w:val="52"/>
    </w:rPr>
  </w:style>
  <w:style w:type="character" w:customStyle="1" w:styleId="text-blue">
    <w:name w:val="text-blue"/>
    <w:basedOn w:val="DefaultParagraphFont"/>
    <w:rsid w:val="00D476F6"/>
  </w:style>
  <w:style w:type="character" w:customStyle="1" w:styleId="FootnoteTextChar1">
    <w:name w:val="Footnote Text Char1"/>
    <w:aliases w:val="Текст сноски Знак1 Char1,Текст сноски Знак Знак Char1,Текст сноски Знак1 Знак Знак Char1,Текст сноски Знак Знак Знак Знак Char1,Текст сноски Знак1 Знак Знак Знак Знак Char1,Текст сноски Знак Знак Знак Знак Знак Знак Char1,ft Char1"/>
    <w:basedOn w:val="DefaultParagraphFont"/>
    <w:uiPriority w:val="99"/>
    <w:rsid w:val="00D476F6"/>
    <w:rPr>
      <w:rFonts w:ascii="Times New Roman" w:eastAsia="Times New Roman" w:hAnsi="Times New Roman" w:cs="Times New Roman"/>
      <w:sz w:val="20"/>
      <w:szCs w:val="20"/>
      <w:lang w:val="en-US"/>
    </w:rPr>
  </w:style>
  <w:style w:type="paragraph" w:customStyle="1" w:styleId="MaliPasus">
    <w:name w:val="Mali Pasus"/>
    <w:basedOn w:val="Normal"/>
    <w:qFormat/>
    <w:rsid w:val="00D476F6"/>
    <w:pPr>
      <w:spacing w:before="120" w:after="120" w:line="240" w:lineRule="auto"/>
    </w:pPr>
    <w:rPr>
      <w:rFonts w:ascii="Candara" w:eastAsia="Calibri" w:hAnsi="Candara" w:cs="Times New Roman"/>
      <w:sz w:val="20"/>
      <w:szCs w:val="20"/>
      <w:lang w:val="en-US"/>
    </w:rPr>
  </w:style>
  <w:style w:type="paragraph" w:customStyle="1" w:styleId="Pasus1">
    <w:name w:val="Pasus1"/>
    <w:basedOn w:val="Normal"/>
    <w:qFormat/>
    <w:rsid w:val="00D476F6"/>
    <w:pPr>
      <w:spacing w:before="120" w:after="120" w:line="240" w:lineRule="auto"/>
      <w:jc w:val="both"/>
    </w:pPr>
    <w:rPr>
      <w:rFonts w:ascii="Candara" w:eastAsia="Times New Roman" w:hAnsi="Candara" w:cs="Times New Roman"/>
      <w:lang w:val="en-US"/>
    </w:rPr>
  </w:style>
  <w:style w:type="paragraph" w:customStyle="1" w:styleId="Liststar">
    <w:name w:val="List star"/>
    <w:basedOn w:val="NormalIndent"/>
    <w:uiPriority w:val="99"/>
    <w:rsid w:val="00D476F6"/>
    <w:pPr>
      <w:numPr>
        <w:numId w:val="14"/>
      </w:numPr>
      <w:tabs>
        <w:tab w:val="clear" w:pos="288"/>
        <w:tab w:val="num" w:pos="360"/>
      </w:tabs>
      <w:ind w:left="720" w:firstLine="0"/>
      <w:jc w:val="both"/>
    </w:pPr>
    <w:rPr>
      <w:rFonts w:ascii="Calibri" w:eastAsia="MS Mincho" w:hAnsi="Calibri" w:cs="Times New Roman"/>
      <w:sz w:val="21"/>
      <w:szCs w:val="21"/>
      <w:lang w:val="en-GB"/>
    </w:rPr>
  </w:style>
  <w:style w:type="paragraph" w:styleId="NormalIndent">
    <w:name w:val="Normal Indent"/>
    <w:basedOn w:val="Normal"/>
    <w:uiPriority w:val="99"/>
    <w:semiHidden/>
    <w:unhideWhenUsed/>
    <w:rsid w:val="00D476F6"/>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1840">
      <w:bodyDiv w:val="1"/>
      <w:marLeft w:val="0"/>
      <w:marRight w:val="0"/>
      <w:marTop w:val="0"/>
      <w:marBottom w:val="0"/>
      <w:divBdr>
        <w:top w:val="none" w:sz="0" w:space="0" w:color="auto"/>
        <w:left w:val="none" w:sz="0" w:space="0" w:color="auto"/>
        <w:bottom w:val="none" w:sz="0" w:space="0" w:color="auto"/>
        <w:right w:val="none" w:sz="0" w:space="0" w:color="auto"/>
      </w:divBdr>
    </w:div>
    <w:div w:id="26412306">
      <w:bodyDiv w:val="1"/>
      <w:marLeft w:val="0"/>
      <w:marRight w:val="0"/>
      <w:marTop w:val="0"/>
      <w:marBottom w:val="0"/>
      <w:divBdr>
        <w:top w:val="none" w:sz="0" w:space="0" w:color="auto"/>
        <w:left w:val="none" w:sz="0" w:space="0" w:color="auto"/>
        <w:bottom w:val="none" w:sz="0" w:space="0" w:color="auto"/>
        <w:right w:val="none" w:sz="0" w:space="0" w:color="auto"/>
      </w:divBdr>
    </w:div>
    <w:div w:id="159077100">
      <w:bodyDiv w:val="1"/>
      <w:marLeft w:val="0"/>
      <w:marRight w:val="0"/>
      <w:marTop w:val="0"/>
      <w:marBottom w:val="0"/>
      <w:divBdr>
        <w:top w:val="none" w:sz="0" w:space="0" w:color="auto"/>
        <w:left w:val="none" w:sz="0" w:space="0" w:color="auto"/>
        <w:bottom w:val="none" w:sz="0" w:space="0" w:color="auto"/>
        <w:right w:val="none" w:sz="0" w:space="0" w:color="auto"/>
      </w:divBdr>
    </w:div>
    <w:div w:id="175000965">
      <w:bodyDiv w:val="1"/>
      <w:marLeft w:val="0"/>
      <w:marRight w:val="0"/>
      <w:marTop w:val="0"/>
      <w:marBottom w:val="0"/>
      <w:divBdr>
        <w:top w:val="none" w:sz="0" w:space="0" w:color="auto"/>
        <w:left w:val="none" w:sz="0" w:space="0" w:color="auto"/>
        <w:bottom w:val="none" w:sz="0" w:space="0" w:color="auto"/>
        <w:right w:val="none" w:sz="0" w:space="0" w:color="auto"/>
      </w:divBdr>
    </w:div>
    <w:div w:id="292100925">
      <w:bodyDiv w:val="1"/>
      <w:marLeft w:val="0"/>
      <w:marRight w:val="0"/>
      <w:marTop w:val="0"/>
      <w:marBottom w:val="0"/>
      <w:divBdr>
        <w:top w:val="none" w:sz="0" w:space="0" w:color="auto"/>
        <w:left w:val="none" w:sz="0" w:space="0" w:color="auto"/>
        <w:bottom w:val="none" w:sz="0" w:space="0" w:color="auto"/>
        <w:right w:val="none" w:sz="0" w:space="0" w:color="auto"/>
      </w:divBdr>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405691823">
      <w:bodyDiv w:val="1"/>
      <w:marLeft w:val="0"/>
      <w:marRight w:val="0"/>
      <w:marTop w:val="0"/>
      <w:marBottom w:val="0"/>
      <w:divBdr>
        <w:top w:val="none" w:sz="0" w:space="0" w:color="auto"/>
        <w:left w:val="none" w:sz="0" w:space="0" w:color="auto"/>
        <w:bottom w:val="none" w:sz="0" w:space="0" w:color="auto"/>
        <w:right w:val="none" w:sz="0" w:space="0" w:color="auto"/>
      </w:divBdr>
    </w:div>
    <w:div w:id="418330751">
      <w:bodyDiv w:val="1"/>
      <w:marLeft w:val="0"/>
      <w:marRight w:val="0"/>
      <w:marTop w:val="0"/>
      <w:marBottom w:val="0"/>
      <w:divBdr>
        <w:top w:val="none" w:sz="0" w:space="0" w:color="auto"/>
        <w:left w:val="none" w:sz="0" w:space="0" w:color="auto"/>
        <w:bottom w:val="none" w:sz="0" w:space="0" w:color="auto"/>
        <w:right w:val="none" w:sz="0" w:space="0" w:color="auto"/>
      </w:divBdr>
    </w:div>
    <w:div w:id="433984624">
      <w:bodyDiv w:val="1"/>
      <w:marLeft w:val="0"/>
      <w:marRight w:val="0"/>
      <w:marTop w:val="0"/>
      <w:marBottom w:val="0"/>
      <w:divBdr>
        <w:top w:val="none" w:sz="0" w:space="0" w:color="auto"/>
        <w:left w:val="none" w:sz="0" w:space="0" w:color="auto"/>
        <w:bottom w:val="none" w:sz="0" w:space="0" w:color="auto"/>
        <w:right w:val="none" w:sz="0" w:space="0" w:color="auto"/>
      </w:divBdr>
    </w:div>
    <w:div w:id="582959197">
      <w:bodyDiv w:val="1"/>
      <w:marLeft w:val="0"/>
      <w:marRight w:val="0"/>
      <w:marTop w:val="0"/>
      <w:marBottom w:val="0"/>
      <w:divBdr>
        <w:top w:val="none" w:sz="0" w:space="0" w:color="auto"/>
        <w:left w:val="none" w:sz="0" w:space="0" w:color="auto"/>
        <w:bottom w:val="none" w:sz="0" w:space="0" w:color="auto"/>
        <w:right w:val="none" w:sz="0" w:space="0" w:color="auto"/>
      </w:divBdr>
    </w:div>
    <w:div w:id="625552390">
      <w:bodyDiv w:val="1"/>
      <w:marLeft w:val="0"/>
      <w:marRight w:val="0"/>
      <w:marTop w:val="0"/>
      <w:marBottom w:val="0"/>
      <w:divBdr>
        <w:top w:val="none" w:sz="0" w:space="0" w:color="auto"/>
        <w:left w:val="none" w:sz="0" w:space="0" w:color="auto"/>
        <w:bottom w:val="none" w:sz="0" w:space="0" w:color="auto"/>
        <w:right w:val="none" w:sz="0" w:space="0" w:color="auto"/>
      </w:divBdr>
    </w:div>
    <w:div w:id="627668245">
      <w:bodyDiv w:val="1"/>
      <w:marLeft w:val="0"/>
      <w:marRight w:val="0"/>
      <w:marTop w:val="0"/>
      <w:marBottom w:val="0"/>
      <w:divBdr>
        <w:top w:val="none" w:sz="0" w:space="0" w:color="auto"/>
        <w:left w:val="none" w:sz="0" w:space="0" w:color="auto"/>
        <w:bottom w:val="none" w:sz="0" w:space="0" w:color="auto"/>
        <w:right w:val="none" w:sz="0" w:space="0" w:color="auto"/>
      </w:divBdr>
    </w:div>
    <w:div w:id="662971107">
      <w:bodyDiv w:val="1"/>
      <w:marLeft w:val="0"/>
      <w:marRight w:val="0"/>
      <w:marTop w:val="0"/>
      <w:marBottom w:val="0"/>
      <w:divBdr>
        <w:top w:val="none" w:sz="0" w:space="0" w:color="auto"/>
        <w:left w:val="none" w:sz="0" w:space="0" w:color="auto"/>
        <w:bottom w:val="none" w:sz="0" w:space="0" w:color="auto"/>
        <w:right w:val="none" w:sz="0" w:space="0" w:color="auto"/>
      </w:divBdr>
    </w:div>
    <w:div w:id="663700489">
      <w:bodyDiv w:val="1"/>
      <w:marLeft w:val="0"/>
      <w:marRight w:val="0"/>
      <w:marTop w:val="0"/>
      <w:marBottom w:val="0"/>
      <w:divBdr>
        <w:top w:val="none" w:sz="0" w:space="0" w:color="auto"/>
        <w:left w:val="none" w:sz="0" w:space="0" w:color="auto"/>
        <w:bottom w:val="none" w:sz="0" w:space="0" w:color="auto"/>
        <w:right w:val="none" w:sz="0" w:space="0" w:color="auto"/>
      </w:divBdr>
      <w:divsChild>
        <w:div w:id="417597205">
          <w:marLeft w:val="0"/>
          <w:marRight w:val="0"/>
          <w:marTop w:val="225"/>
          <w:marBottom w:val="225"/>
          <w:divBdr>
            <w:top w:val="none" w:sz="0" w:space="0" w:color="auto"/>
            <w:left w:val="none" w:sz="0" w:space="0" w:color="auto"/>
            <w:bottom w:val="none" w:sz="0" w:space="0" w:color="auto"/>
            <w:right w:val="none" w:sz="0" w:space="0" w:color="auto"/>
          </w:divBdr>
          <w:divsChild>
            <w:div w:id="283118190">
              <w:marLeft w:val="0"/>
              <w:marRight w:val="150"/>
              <w:marTop w:val="0"/>
              <w:marBottom w:val="156"/>
              <w:divBdr>
                <w:top w:val="none" w:sz="0" w:space="0" w:color="auto"/>
                <w:left w:val="none" w:sz="0" w:space="0" w:color="auto"/>
                <w:bottom w:val="none" w:sz="0" w:space="0" w:color="auto"/>
                <w:right w:val="none" w:sz="0" w:space="0" w:color="auto"/>
              </w:divBdr>
              <w:divsChild>
                <w:div w:id="542063853">
                  <w:marLeft w:val="0"/>
                  <w:marRight w:val="0"/>
                  <w:marTop w:val="0"/>
                  <w:marBottom w:val="0"/>
                  <w:divBdr>
                    <w:top w:val="none" w:sz="0" w:space="0" w:color="auto"/>
                    <w:left w:val="none" w:sz="0" w:space="0" w:color="auto"/>
                    <w:bottom w:val="none" w:sz="0" w:space="0" w:color="auto"/>
                    <w:right w:val="single" w:sz="6" w:space="8" w:color="DDDDDD"/>
                  </w:divBdr>
                </w:div>
                <w:div w:id="1911381082">
                  <w:marLeft w:val="0"/>
                  <w:marRight w:val="0"/>
                  <w:marTop w:val="0"/>
                  <w:marBottom w:val="0"/>
                  <w:divBdr>
                    <w:top w:val="none" w:sz="0" w:space="0" w:color="auto"/>
                    <w:left w:val="none" w:sz="0" w:space="0" w:color="auto"/>
                    <w:bottom w:val="none" w:sz="0" w:space="0" w:color="auto"/>
                    <w:right w:val="single" w:sz="6" w:space="8" w:color="DDDDDD"/>
                  </w:divBdr>
                </w:div>
              </w:divsChild>
            </w:div>
          </w:divsChild>
        </w:div>
        <w:div w:id="1397893417">
          <w:marLeft w:val="0"/>
          <w:marRight w:val="0"/>
          <w:marTop w:val="0"/>
          <w:marBottom w:val="0"/>
          <w:divBdr>
            <w:top w:val="none" w:sz="0" w:space="0" w:color="auto"/>
            <w:left w:val="none" w:sz="0" w:space="0" w:color="auto"/>
            <w:bottom w:val="none" w:sz="0" w:space="0" w:color="auto"/>
            <w:right w:val="none" w:sz="0" w:space="0" w:color="auto"/>
          </w:divBdr>
        </w:div>
      </w:divsChild>
    </w:div>
    <w:div w:id="798649600">
      <w:bodyDiv w:val="1"/>
      <w:marLeft w:val="0"/>
      <w:marRight w:val="0"/>
      <w:marTop w:val="0"/>
      <w:marBottom w:val="0"/>
      <w:divBdr>
        <w:top w:val="none" w:sz="0" w:space="0" w:color="auto"/>
        <w:left w:val="none" w:sz="0" w:space="0" w:color="auto"/>
        <w:bottom w:val="none" w:sz="0" w:space="0" w:color="auto"/>
        <w:right w:val="none" w:sz="0" w:space="0" w:color="auto"/>
      </w:divBdr>
    </w:div>
    <w:div w:id="882520342">
      <w:bodyDiv w:val="1"/>
      <w:marLeft w:val="0"/>
      <w:marRight w:val="0"/>
      <w:marTop w:val="0"/>
      <w:marBottom w:val="0"/>
      <w:divBdr>
        <w:top w:val="none" w:sz="0" w:space="0" w:color="auto"/>
        <w:left w:val="none" w:sz="0" w:space="0" w:color="auto"/>
        <w:bottom w:val="none" w:sz="0" w:space="0" w:color="auto"/>
        <w:right w:val="none" w:sz="0" w:space="0" w:color="auto"/>
      </w:divBdr>
    </w:div>
    <w:div w:id="895429157">
      <w:bodyDiv w:val="1"/>
      <w:marLeft w:val="0"/>
      <w:marRight w:val="0"/>
      <w:marTop w:val="0"/>
      <w:marBottom w:val="0"/>
      <w:divBdr>
        <w:top w:val="none" w:sz="0" w:space="0" w:color="auto"/>
        <w:left w:val="none" w:sz="0" w:space="0" w:color="auto"/>
        <w:bottom w:val="none" w:sz="0" w:space="0" w:color="auto"/>
        <w:right w:val="none" w:sz="0" w:space="0" w:color="auto"/>
      </w:divBdr>
    </w:div>
    <w:div w:id="1095321884">
      <w:bodyDiv w:val="1"/>
      <w:marLeft w:val="0"/>
      <w:marRight w:val="0"/>
      <w:marTop w:val="0"/>
      <w:marBottom w:val="0"/>
      <w:divBdr>
        <w:top w:val="none" w:sz="0" w:space="0" w:color="auto"/>
        <w:left w:val="none" w:sz="0" w:space="0" w:color="auto"/>
        <w:bottom w:val="none" w:sz="0" w:space="0" w:color="auto"/>
        <w:right w:val="none" w:sz="0" w:space="0" w:color="auto"/>
      </w:divBdr>
    </w:div>
    <w:div w:id="1124156292">
      <w:bodyDiv w:val="1"/>
      <w:marLeft w:val="0"/>
      <w:marRight w:val="0"/>
      <w:marTop w:val="0"/>
      <w:marBottom w:val="0"/>
      <w:divBdr>
        <w:top w:val="none" w:sz="0" w:space="0" w:color="auto"/>
        <w:left w:val="none" w:sz="0" w:space="0" w:color="auto"/>
        <w:bottom w:val="none" w:sz="0" w:space="0" w:color="auto"/>
        <w:right w:val="none" w:sz="0" w:space="0" w:color="auto"/>
      </w:divBdr>
    </w:div>
    <w:div w:id="1224439807">
      <w:bodyDiv w:val="1"/>
      <w:marLeft w:val="0"/>
      <w:marRight w:val="0"/>
      <w:marTop w:val="0"/>
      <w:marBottom w:val="0"/>
      <w:divBdr>
        <w:top w:val="none" w:sz="0" w:space="0" w:color="auto"/>
        <w:left w:val="none" w:sz="0" w:space="0" w:color="auto"/>
        <w:bottom w:val="none" w:sz="0" w:space="0" w:color="auto"/>
        <w:right w:val="none" w:sz="0" w:space="0" w:color="auto"/>
      </w:divBdr>
    </w:div>
    <w:div w:id="1415780298">
      <w:bodyDiv w:val="1"/>
      <w:marLeft w:val="0"/>
      <w:marRight w:val="0"/>
      <w:marTop w:val="0"/>
      <w:marBottom w:val="0"/>
      <w:divBdr>
        <w:top w:val="none" w:sz="0" w:space="0" w:color="auto"/>
        <w:left w:val="none" w:sz="0" w:space="0" w:color="auto"/>
        <w:bottom w:val="none" w:sz="0" w:space="0" w:color="auto"/>
        <w:right w:val="none" w:sz="0" w:space="0" w:color="auto"/>
      </w:divBdr>
    </w:div>
    <w:div w:id="1457331586">
      <w:bodyDiv w:val="1"/>
      <w:marLeft w:val="0"/>
      <w:marRight w:val="0"/>
      <w:marTop w:val="0"/>
      <w:marBottom w:val="0"/>
      <w:divBdr>
        <w:top w:val="none" w:sz="0" w:space="0" w:color="auto"/>
        <w:left w:val="none" w:sz="0" w:space="0" w:color="auto"/>
        <w:bottom w:val="none" w:sz="0" w:space="0" w:color="auto"/>
        <w:right w:val="none" w:sz="0" w:space="0" w:color="auto"/>
      </w:divBdr>
    </w:div>
    <w:div w:id="1568420399">
      <w:bodyDiv w:val="1"/>
      <w:marLeft w:val="0"/>
      <w:marRight w:val="0"/>
      <w:marTop w:val="0"/>
      <w:marBottom w:val="0"/>
      <w:divBdr>
        <w:top w:val="none" w:sz="0" w:space="0" w:color="auto"/>
        <w:left w:val="none" w:sz="0" w:space="0" w:color="auto"/>
        <w:bottom w:val="none" w:sz="0" w:space="0" w:color="auto"/>
        <w:right w:val="none" w:sz="0" w:space="0" w:color="auto"/>
      </w:divBdr>
    </w:div>
    <w:div w:id="1590651431">
      <w:bodyDiv w:val="1"/>
      <w:marLeft w:val="0"/>
      <w:marRight w:val="0"/>
      <w:marTop w:val="0"/>
      <w:marBottom w:val="0"/>
      <w:divBdr>
        <w:top w:val="none" w:sz="0" w:space="0" w:color="auto"/>
        <w:left w:val="none" w:sz="0" w:space="0" w:color="auto"/>
        <w:bottom w:val="none" w:sz="0" w:space="0" w:color="auto"/>
        <w:right w:val="none" w:sz="0" w:space="0" w:color="auto"/>
      </w:divBdr>
    </w:div>
    <w:div w:id="1653676624">
      <w:bodyDiv w:val="1"/>
      <w:marLeft w:val="0"/>
      <w:marRight w:val="0"/>
      <w:marTop w:val="0"/>
      <w:marBottom w:val="0"/>
      <w:divBdr>
        <w:top w:val="none" w:sz="0" w:space="0" w:color="auto"/>
        <w:left w:val="none" w:sz="0" w:space="0" w:color="auto"/>
        <w:bottom w:val="none" w:sz="0" w:space="0" w:color="auto"/>
        <w:right w:val="none" w:sz="0" w:space="0" w:color="auto"/>
      </w:divBdr>
    </w:div>
    <w:div w:id="1756629566">
      <w:bodyDiv w:val="1"/>
      <w:marLeft w:val="0"/>
      <w:marRight w:val="0"/>
      <w:marTop w:val="0"/>
      <w:marBottom w:val="0"/>
      <w:divBdr>
        <w:top w:val="none" w:sz="0" w:space="0" w:color="auto"/>
        <w:left w:val="none" w:sz="0" w:space="0" w:color="auto"/>
        <w:bottom w:val="none" w:sz="0" w:space="0" w:color="auto"/>
        <w:right w:val="none" w:sz="0" w:space="0" w:color="auto"/>
      </w:divBdr>
    </w:div>
    <w:div w:id="1924532605">
      <w:bodyDiv w:val="1"/>
      <w:marLeft w:val="0"/>
      <w:marRight w:val="0"/>
      <w:marTop w:val="0"/>
      <w:marBottom w:val="0"/>
      <w:divBdr>
        <w:top w:val="none" w:sz="0" w:space="0" w:color="auto"/>
        <w:left w:val="none" w:sz="0" w:space="0" w:color="auto"/>
        <w:bottom w:val="none" w:sz="0" w:space="0" w:color="auto"/>
        <w:right w:val="none" w:sz="0" w:space="0" w:color="auto"/>
      </w:divBdr>
      <w:divsChild>
        <w:div w:id="1224828099">
          <w:marLeft w:val="1066"/>
          <w:marRight w:val="0"/>
          <w:marTop w:val="0"/>
          <w:marBottom w:val="120"/>
          <w:divBdr>
            <w:top w:val="none" w:sz="0" w:space="0" w:color="auto"/>
            <w:left w:val="none" w:sz="0" w:space="0" w:color="auto"/>
            <w:bottom w:val="none" w:sz="0" w:space="0" w:color="auto"/>
            <w:right w:val="none" w:sz="0" w:space="0" w:color="auto"/>
          </w:divBdr>
        </w:div>
        <w:div w:id="21828270">
          <w:marLeft w:val="2304"/>
          <w:marRight w:val="0"/>
          <w:marTop w:val="0"/>
          <w:marBottom w:val="120"/>
          <w:divBdr>
            <w:top w:val="none" w:sz="0" w:space="0" w:color="auto"/>
            <w:left w:val="none" w:sz="0" w:space="0" w:color="auto"/>
            <w:bottom w:val="none" w:sz="0" w:space="0" w:color="auto"/>
            <w:right w:val="none" w:sz="0" w:space="0" w:color="auto"/>
          </w:divBdr>
        </w:div>
        <w:div w:id="1476142801">
          <w:marLeft w:val="2304"/>
          <w:marRight w:val="0"/>
          <w:marTop w:val="0"/>
          <w:marBottom w:val="120"/>
          <w:divBdr>
            <w:top w:val="none" w:sz="0" w:space="0" w:color="auto"/>
            <w:left w:val="none" w:sz="0" w:space="0" w:color="auto"/>
            <w:bottom w:val="none" w:sz="0" w:space="0" w:color="auto"/>
            <w:right w:val="none" w:sz="0" w:space="0" w:color="auto"/>
          </w:divBdr>
        </w:div>
        <w:div w:id="372772693">
          <w:marLeft w:val="1066"/>
          <w:marRight w:val="0"/>
          <w:marTop w:val="0"/>
          <w:marBottom w:val="120"/>
          <w:divBdr>
            <w:top w:val="none" w:sz="0" w:space="0" w:color="auto"/>
            <w:left w:val="none" w:sz="0" w:space="0" w:color="auto"/>
            <w:bottom w:val="none" w:sz="0" w:space="0" w:color="auto"/>
            <w:right w:val="none" w:sz="0" w:space="0" w:color="auto"/>
          </w:divBdr>
        </w:div>
        <w:div w:id="939533058">
          <w:marLeft w:val="2304"/>
          <w:marRight w:val="0"/>
          <w:marTop w:val="0"/>
          <w:marBottom w:val="120"/>
          <w:divBdr>
            <w:top w:val="none" w:sz="0" w:space="0" w:color="auto"/>
            <w:left w:val="none" w:sz="0" w:space="0" w:color="auto"/>
            <w:bottom w:val="none" w:sz="0" w:space="0" w:color="auto"/>
            <w:right w:val="none" w:sz="0" w:space="0" w:color="auto"/>
          </w:divBdr>
        </w:div>
        <w:div w:id="665472879">
          <w:marLeft w:val="2304"/>
          <w:marRight w:val="0"/>
          <w:marTop w:val="0"/>
          <w:marBottom w:val="120"/>
          <w:divBdr>
            <w:top w:val="none" w:sz="0" w:space="0" w:color="auto"/>
            <w:left w:val="none" w:sz="0" w:space="0" w:color="auto"/>
            <w:bottom w:val="none" w:sz="0" w:space="0" w:color="auto"/>
            <w:right w:val="none" w:sz="0" w:space="0" w:color="auto"/>
          </w:divBdr>
        </w:div>
        <w:div w:id="1874032246">
          <w:marLeft w:val="1066"/>
          <w:marRight w:val="0"/>
          <w:marTop w:val="0"/>
          <w:marBottom w:val="120"/>
          <w:divBdr>
            <w:top w:val="none" w:sz="0" w:space="0" w:color="auto"/>
            <w:left w:val="none" w:sz="0" w:space="0" w:color="auto"/>
            <w:bottom w:val="none" w:sz="0" w:space="0" w:color="auto"/>
            <w:right w:val="none" w:sz="0" w:space="0" w:color="auto"/>
          </w:divBdr>
        </w:div>
        <w:div w:id="490030061">
          <w:marLeft w:val="2304"/>
          <w:marRight w:val="0"/>
          <w:marTop w:val="0"/>
          <w:marBottom w:val="120"/>
          <w:divBdr>
            <w:top w:val="none" w:sz="0" w:space="0" w:color="auto"/>
            <w:left w:val="none" w:sz="0" w:space="0" w:color="auto"/>
            <w:bottom w:val="none" w:sz="0" w:space="0" w:color="auto"/>
            <w:right w:val="none" w:sz="0" w:space="0" w:color="auto"/>
          </w:divBdr>
        </w:div>
        <w:div w:id="1939100547">
          <w:marLeft w:val="1066"/>
          <w:marRight w:val="0"/>
          <w:marTop w:val="0"/>
          <w:marBottom w:val="120"/>
          <w:divBdr>
            <w:top w:val="none" w:sz="0" w:space="0" w:color="auto"/>
            <w:left w:val="none" w:sz="0" w:space="0" w:color="auto"/>
            <w:bottom w:val="none" w:sz="0" w:space="0" w:color="auto"/>
            <w:right w:val="none" w:sz="0" w:space="0" w:color="auto"/>
          </w:divBdr>
        </w:div>
        <w:div w:id="1685277900">
          <w:marLeft w:val="2304"/>
          <w:marRight w:val="0"/>
          <w:marTop w:val="0"/>
          <w:marBottom w:val="120"/>
          <w:divBdr>
            <w:top w:val="none" w:sz="0" w:space="0" w:color="auto"/>
            <w:left w:val="none" w:sz="0" w:space="0" w:color="auto"/>
            <w:bottom w:val="none" w:sz="0" w:space="0" w:color="auto"/>
            <w:right w:val="none" w:sz="0" w:space="0" w:color="auto"/>
          </w:divBdr>
        </w:div>
        <w:div w:id="1136987917">
          <w:marLeft w:val="1066"/>
          <w:marRight w:val="0"/>
          <w:marTop w:val="0"/>
          <w:marBottom w:val="120"/>
          <w:divBdr>
            <w:top w:val="none" w:sz="0" w:space="0" w:color="auto"/>
            <w:left w:val="none" w:sz="0" w:space="0" w:color="auto"/>
            <w:bottom w:val="none" w:sz="0" w:space="0" w:color="auto"/>
            <w:right w:val="none" w:sz="0" w:space="0" w:color="auto"/>
          </w:divBdr>
        </w:div>
      </w:divsChild>
    </w:div>
    <w:div w:id="1937665986">
      <w:bodyDiv w:val="1"/>
      <w:marLeft w:val="0"/>
      <w:marRight w:val="0"/>
      <w:marTop w:val="0"/>
      <w:marBottom w:val="0"/>
      <w:divBdr>
        <w:top w:val="none" w:sz="0" w:space="0" w:color="auto"/>
        <w:left w:val="none" w:sz="0" w:space="0" w:color="auto"/>
        <w:bottom w:val="none" w:sz="0" w:space="0" w:color="auto"/>
        <w:right w:val="none" w:sz="0" w:space="0" w:color="auto"/>
      </w:divBdr>
    </w:div>
    <w:div w:id="1997804209">
      <w:bodyDiv w:val="1"/>
      <w:marLeft w:val="0"/>
      <w:marRight w:val="0"/>
      <w:marTop w:val="0"/>
      <w:marBottom w:val="0"/>
      <w:divBdr>
        <w:top w:val="none" w:sz="0" w:space="0" w:color="auto"/>
        <w:left w:val="none" w:sz="0" w:space="0" w:color="auto"/>
        <w:bottom w:val="none" w:sz="0" w:space="0" w:color="auto"/>
        <w:right w:val="none" w:sz="0" w:space="0" w:color="auto"/>
      </w:divBdr>
    </w:div>
    <w:div w:id="2072341619">
      <w:bodyDiv w:val="1"/>
      <w:marLeft w:val="0"/>
      <w:marRight w:val="0"/>
      <w:marTop w:val="0"/>
      <w:marBottom w:val="0"/>
      <w:divBdr>
        <w:top w:val="none" w:sz="0" w:space="0" w:color="auto"/>
        <w:left w:val="none" w:sz="0" w:space="0" w:color="auto"/>
        <w:bottom w:val="none" w:sz="0" w:space="0" w:color="auto"/>
        <w:right w:val="none" w:sz="0" w:space="0" w:color="auto"/>
      </w:divBdr>
    </w:div>
    <w:div w:id="2097944741">
      <w:bodyDiv w:val="1"/>
      <w:marLeft w:val="0"/>
      <w:marRight w:val="0"/>
      <w:marTop w:val="0"/>
      <w:marBottom w:val="0"/>
      <w:divBdr>
        <w:top w:val="none" w:sz="0" w:space="0" w:color="auto"/>
        <w:left w:val="none" w:sz="0" w:space="0" w:color="auto"/>
        <w:bottom w:val="none" w:sz="0" w:space="0" w:color="auto"/>
        <w:right w:val="none" w:sz="0" w:space="0" w:color="auto"/>
      </w:divBdr>
    </w:div>
    <w:div w:id="2108958275">
      <w:bodyDiv w:val="1"/>
      <w:marLeft w:val="0"/>
      <w:marRight w:val="0"/>
      <w:marTop w:val="0"/>
      <w:marBottom w:val="0"/>
      <w:divBdr>
        <w:top w:val="none" w:sz="0" w:space="0" w:color="auto"/>
        <w:left w:val="none" w:sz="0" w:space="0" w:color="auto"/>
        <w:bottom w:val="none" w:sz="0" w:space="0" w:color="auto"/>
        <w:right w:val="none" w:sz="0" w:space="0" w:color="auto"/>
      </w:divBdr>
    </w:div>
    <w:div w:id="2114595688">
      <w:bodyDiv w:val="1"/>
      <w:marLeft w:val="0"/>
      <w:marRight w:val="0"/>
      <w:marTop w:val="0"/>
      <w:marBottom w:val="0"/>
      <w:divBdr>
        <w:top w:val="none" w:sz="0" w:space="0" w:color="auto"/>
        <w:left w:val="none" w:sz="0" w:space="0" w:color="auto"/>
        <w:bottom w:val="none" w:sz="0" w:space="0" w:color="auto"/>
        <w:right w:val="none" w:sz="0" w:space="0" w:color="auto"/>
      </w:divBdr>
    </w:div>
    <w:div w:id="2130272371">
      <w:bodyDiv w:val="1"/>
      <w:marLeft w:val="0"/>
      <w:marRight w:val="0"/>
      <w:marTop w:val="0"/>
      <w:marBottom w:val="0"/>
      <w:divBdr>
        <w:top w:val="none" w:sz="0" w:space="0" w:color="auto"/>
        <w:left w:val="none" w:sz="0" w:space="0" w:color="auto"/>
        <w:bottom w:val="none" w:sz="0" w:space="0" w:color="auto"/>
        <w:right w:val="none" w:sz="0" w:space="0" w:color="auto"/>
      </w:divBdr>
    </w:div>
    <w:div w:id="2134711041">
      <w:bodyDiv w:val="1"/>
      <w:marLeft w:val="0"/>
      <w:marRight w:val="0"/>
      <w:marTop w:val="0"/>
      <w:marBottom w:val="0"/>
      <w:divBdr>
        <w:top w:val="none" w:sz="0" w:space="0" w:color="auto"/>
        <w:left w:val="none" w:sz="0" w:space="0" w:color="auto"/>
        <w:bottom w:val="none" w:sz="0" w:space="0" w:color="auto"/>
        <w:right w:val="none" w:sz="0" w:space="0" w:color="auto"/>
      </w:divBdr>
    </w:div>
    <w:div w:id="21397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sdgindex.org/reports/sustainable-development-report-2019/"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hdr.undp.org/sites/all/themes/hdr_theme/country-notes/BIH.pdf" TargetMode="External"/><Relationship Id="rId33" Type="http://schemas.openxmlformats.org/officeDocument/2006/relationships/header" Target="header10.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s://www.unenvironment.org/explore-topics/resource-efficiency/what-we-do/sustainable-consumption-and-production-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yperlink" Target="https://eur03.safelinks.protection.outlook.com/?url=https%3A%2F%2Fwww.who.int%2Fgho%2Fphe%2Foutdoor_air_pollution%2Fexposure%2Fen%2F&amp;data=02%7C01%7Camra.zorlak%40undp.org%7Cc3eff7b483254fa5450a08d7a334f55a%7Cb3e5db5e2944483799f57488ace54319%7C0%7C0%7C637157320155520943&amp;sdata=b0YdR%2B8rkEaPK3jLwPlHHpevypx9flmIFblb6VKc%2B7o%3D&amp;reserved=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data.worldbank.org/indicator/SL.TLF.CACT.FE.ZS?locations=BA"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heckmanequation.org/resource/research-summary-lifecycle-benefits-influential-early-childhood-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yperlink" Target="https://github.com/sdsna/2019GlobalIndex/blob/master/country_profiles/Bosnia%20and%20Herzegovina_SDR_2019.pdf" TargetMode="External"/><Relationship Id="rId30" Type="http://schemas.openxmlformats.org/officeDocument/2006/relationships/hyperlink" Target="https://until.un.org" TargetMode="Externa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3" Type="http://schemas.openxmlformats.org/officeDocument/2006/relationships/hyperlink" Target="https://data.worldbank.org/indicator/SL.UEM.1524.ZS?locations=BA" TargetMode="External"/><Relationship Id="rId18" Type="http://schemas.openxmlformats.org/officeDocument/2006/relationships/hyperlink" Target="https://www.who.int/nmh/countries/2018/bih_en.pdf?ua=1" TargetMode="External"/><Relationship Id="rId26" Type="http://schemas.openxmlformats.org/officeDocument/2006/relationships/hyperlink" Target="https://apps.who.int/nha/database/country_profile/Index/en" TargetMode="External"/><Relationship Id="rId39" Type="http://schemas.openxmlformats.org/officeDocument/2006/relationships/hyperlink" Target="https://undocs.org/A/HRC/43/17" TargetMode="External"/><Relationship Id="rId21" Type="http://schemas.openxmlformats.org/officeDocument/2006/relationships/hyperlink" Target="See:%20https://data.worldbank.org/indicator/SI.POV.NAHC?locations=BA" TargetMode="External"/><Relationship Id="rId34" Type="http://schemas.openxmlformats.org/officeDocument/2006/relationships/hyperlink" Target="https://news.un.org/en/story/2020/04/1062752" TargetMode="External"/><Relationship Id="rId42" Type="http://schemas.openxmlformats.org/officeDocument/2006/relationships/hyperlink" Target="https://heckmanequation.org/assets/2017/01/F_Heckman_CBAOnePager_120516.pdf" TargetMode="External"/><Relationship Id="rId47" Type="http://schemas.openxmlformats.org/officeDocument/2006/relationships/hyperlink" Target="http://web.worldbank.org/WBSITE/EXTERNAL/TOPICS/EXTCY/EXTECD/0,,contentMDK:20207747~menuPK:527098~pagePK:148956~piPK:216618~theSitePK:344939,00.html" TargetMode="External"/><Relationship Id="rId50" Type="http://schemas.openxmlformats.org/officeDocument/2006/relationships/hyperlink" Target="https://www2.deloitte.com/content/dam/insights/us/articles/4538_Future-of-regulation/DI_Future-of-regulation.pdf" TargetMode="External"/><Relationship Id="rId55" Type="http://schemas.openxmlformats.org/officeDocument/2006/relationships/hyperlink" Target="https://sustainabledevelopment.un.org/sdgs" TargetMode="External"/><Relationship Id="rId63" Type="http://schemas.openxmlformats.org/officeDocument/2006/relationships/hyperlink" Target="https://www.ilo.org/wcmsp5/groups/public/---ed_emp/documents/publication/wcms_613536.pdf" TargetMode="External"/><Relationship Id="rId68" Type="http://schemas.openxmlformats.org/officeDocument/2006/relationships/hyperlink" Target="http://apps.who.int/gho/portal/uhc-country.jsp" TargetMode="External"/><Relationship Id="rId7" Type="http://schemas.openxmlformats.org/officeDocument/2006/relationships/hyperlink" Target="http://unstats.un.org/sdgs/indicators/indicators-list/" TargetMode="External"/><Relationship Id="rId71" Type="http://schemas.openxmlformats.org/officeDocument/2006/relationships/hyperlink" Target="http://unstats.un.org/sdgs/indicators/indicators-list/" TargetMode="External"/><Relationship Id="rId2" Type="http://schemas.openxmlformats.org/officeDocument/2006/relationships/hyperlink" Target="http://unstats.un.org/sdgs/indicators/indicators-list/" TargetMode="External"/><Relationship Id="rId16" Type="http://schemas.openxmlformats.org/officeDocument/2006/relationships/hyperlink" Target="https://github.com/sdsna/2019GlobalIndex/blob/master/country_profiles/Bosnia%20and%20Herzegovina_SDR_2019.pdf" TargetMode="External"/><Relationship Id="rId29" Type="http://schemas.openxmlformats.org/officeDocument/2006/relationships/hyperlink" Target="https://www.ilo.org/skills/projects/skill-up/lang--en/index.htm" TargetMode="External"/><Relationship Id="rId11" Type="http://schemas.openxmlformats.org/officeDocument/2006/relationships/hyperlink" Target="https://data.worldbank.org/indicator/NY.GDP.MKTP.KD.ZG?locations=BA" TargetMode="External"/><Relationship Id="rId24" Type="http://schemas.openxmlformats.org/officeDocument/2006/relationships/hyperlink" Target="http://www.bih-chm-cbd.ba/bib_en.htm" TargetMode="External"/><Relationship Id="rId32" Type="http://schemas.openxmlformats.org/officeDocument/2006/relationships/hyperlink" Target="https://data.worldbank.org/indicator/SM.POP.NETM?locations=BA" TargetMode="External"/><Relationship Id="rId37" Type="http://schemas.openxmlformats.org/officeDocument/2006/relationships/hyperlink" Target="https://drmkc.jrc.ec.europa.eu/inform-index/" TargetMode="External"/><Relationship Id="rId40" Type="http://schemas.openxmlformats.org/officeDocument/2006/relationships/hyperlink" Target="https://www.thelancet.com/series/ECD2016" TargetMode="External"/><Relationship Id="rId45" Type="http://schemas.openxmlformats.org/officeDocument/2006/relationships/hyperlink" Target="https://www.oecd.org/education/school/48980282.pdf" TargetMode="External"/><Relationship Id="rId53" Type="http://schemas.openxmlformats.org/officeDocument/2006/relationships/hyperlink" Target="https://www.who.int/publications-detail/covid-19-strategy-update-13-april-2020" TargetMode="External"/><Relationship Id="rId58" Type="http://schemas.openxmlformats.org/officeDocument/2006/relationships/hyperlink" Target="http://unstats.un.org/sdgs/indicators/indicators-list/" TargetMode="External"/><Relationship Id="rId66" Type="http://schemas.openxmlformats.org/officeDocument/2006/relationships/hyperlink" Target="https://sustainabledevelopment.un.org/post2015/transformingourworld" TargetMode="External"/><Relationship Id="rId74" Type="http://schemas.openxmlformats.org/officeDocument/2006/relationships/hyperlink" Target="https://undocs.org/A/HRC/43/17" TargetMode="External"/><Relationship Id="rId5" Type="http://schemas.openxmlformats.org/officeDocument/2006/relationships/hyperlink" Target="https://undocs.org/A/HRC/43/17" TargetMode="External"/><Relationship Id="rId15" Type="http://schemas.openxmlformats.org/officeDocument/2006/relationships/hyperlink" Target="http://hdr.undp.org/sites/all/themes/hdr_theme/country-notes/BIH.pdf" TargetMode="External"/><Relationship Id="rId23" Type="http://schemas.openxmlformats.org/officeDocument/2006/relationships/hyperlink" Target="https://ec.europa.eu/neighbourhood-enlargement/sites/near/files/20190529-bosnia-and-herzegovina-analytical-report.pdf" TargetMode="External"/><Relationship Id="rId28" Type="http://schemas.openxmlformats.org/officeDocument/2006/relationships/hyperlink" Target="http://datatopics.worldbank.org/aspire/country/bosnia-and-herzegovina" TargetMode="External"/><Relationship Id="rId36" Type="http://schemas.openxmlformats.org/officeDocument/2006/relationships/hyperlink" Target="https://drmkc.jrc.ec.europa.eu/inform-index/" TargetMode="External"/><Relationship Id="rId49" Type="http://schemas.openxmlformats.org/officeDocument/2006/relationships/hyperlink" Target="https://undocs.org/A/HRC/43/17" TargetMode="External"/><Relationship Id="rId57" Type="http://schemas.openxmlformats.org/officeDocument/2006/relationships/hyperlink" Target="https://sustainabledevelopment.un.org/post2015/transformingourworld" TargetMode="External"/><Relationship Id="rId61" Type="http://schemas.openxmlformats.org/officeDocument/2006/relationships/hyperlink" Target="https://www.ilo.org/wcmsp5/groups/public/---dgreports/---cabinet/documents/publication/wcms_650075.pdf" TargetMode="External"/><Relationship Id="rId10" Type="http://schemas.openxmlformats.org/officeDocument/2006/relationships/hyperlink" Target="https://www.karanovicpartners.com/news/draft-law-on-mitigating-the-negative-economic-consequences-presented-in-bosnia-and-herzegovina/" TargetMode="External"/><Relationship Id="rId19" Type="http://schemas.openxmlformats.org/officeDocument/2006/relationships/hyperlink" Target="https://apps.who.int/nha/database/country_profile/Index/en" TargetMode="External"/><Relationship Id="rId31" Type="http://schemas.openxmlformats.org/officeDocument/2006/relationships/hyperlink" Target="https://www.evaluationconference.org/e/in/eid=13&amp;s=2621&amp;req=info" TargetMode="External"/><Relationship Id="rId44" Type="http://schemas.openxmlformats.org/officeDocument/2006/relationships/hyperlink" Target="http://www.unicef.org/earlychildhood/index_69851.html" TargetMode="External"/><Relationship Id="rId52" Type="http://schemas.openxmlformats.org/officeDocument/2006/relationships/hyperlink" Target="https://undocs.org/A/HRC/43/17" TargetMode="External"/><Relationship Id="rId60" Type="http://schemas.openxmlformats.org/officeDocument/2006/relationships/hyperlink" Target="https://data.worldbank.org/indicator/SL.TLF.CACT.FE.ZS?locations=BA" TargetMode="External"/><Relationship Id="rId65" Type="http://schemas.openxmlformats.org/officeDocument/2006/relationships/hyperlink" Target="http://unstats.un.org/sdgs/indicators/indicators-list/" TargetMode="External"/><Relationship Id="rId73" Type="http://schemas.openxmlformats.org/officeDocument/2006/relationships/hyperlink" Target="http://unstats.un.org/sdgs/indicators/indicators-list/" TargetMode="External"/><Relationship Id="rId4" Type="http://schemas.openxmlformats.org/officeDocument/2006/relationships/hyperlink" Target="http://unstats.un.org/sdgs/indicators/indicators-list/" TargetMode="External"/><Relationship Id="rId9" Type="http://schemas.openxmlformats.org/officeDocument/2006/relationships/hyperlink" Target="https://who.maps.arcgis.com/apps/opsdashboard/index.html" TargetMode="External"/><Relationship Id="rId14" Type="http://schemas.openxmlformats.org/officeDocument/2006/relationships/hyperlink" Target="file:///C:\Users\EHODZIC-KOVAC\AppData\Local\Microsoft\Windows\INetCache\Content.Outlook\POJAHTYE\Commission%20Opinion%20on%20Bosnia%20and%20Herzegovina&#8217;s%20application%20for%20membership%20of%20the%20European%20Union" TargetMode="External"/><Relationship Id="rId22" Type="http://schemas.openxmlformats.org/officeDocument/2006/relationships/hyperlink" Target="http://documents.worldbank.org/curated/en/890741521459734141/pdf/124394-WP-P144969-PUBLIC-BiHAccesstoFinanceKnowledgeBrief.pdf" TargetMode="External"/><Relationship Id="rId27" Type="http://schemas.openxmlformats.org/officeDocument/2006/relationships/hyperlink" Target="https://databank.worldbank.org/data/download/hci/HCI_2pager_BIH.pdf" TargetMode="External"/><Relationship Id="rId30" Type="http://schemas.openxmlformats.org/officeDocument/2006/relationships/hyperlink" Target="https://www.aeseducation.com/career-readiness/what-are-21st-century-skills" TargetMode="External"/><Relationship Id="rId35" Type="http://schemas.openxmlformats.org/officeDocument/2006/relationships/hyperlink" Target="https://undocs.org/A/HRC/43/17" TargetMode="External"/><Relationship Id="rId43" Type="http://schemas.openxmlformats.org/officeDocument/2006/relationships/hyperlink" Target="https://heckmanequation.org" TargetMode="External"/><Relationship Id="rId48" Type="http://schemas.openxmlformats.org/officeDocument/2006/relationships/hyperlink" Target="https://undocs.org/A/HRC/43/17" TargetMode="External"/><Relationship Id="rId56" Type="http://schemas.openxmlformats.org/officeDocument/2006/relationships/hyperlink" Target="http://unstats.un.org/sdgs/indicators/indicators-list/" TargetMode="External"/><Relationship Id="rId64" Type="http://schemas.openxmlformats.org/officeDocument/2006/relationships/hyperlink" Target="https://sustainabledevelopment.un.org/post2015/transformingourworld" TargetMode="External"/><Relationship Id="rId69" Type="http://schemas.openxmlformats.org/officeDocument/2006/relationships/hyperlink" Target="https://data.worldbank.org/indicator/per_allsp.ben_q1_tot?locations=BA" TargetMode="External"/><Relationship Id="rId8" Type="http://schemas.openxmlformats.org/officeDocument/2006/relationships/hyperlink" Target="file:///C:\Users\EHODZIC-KOVAC\AppData\Local\Microsoft\Windows\INetCache\Content.Outlook\POJAHTYE\Commission%20Opinion%20on%20Bosnia%20and%20Herzegovina&#8217;s%20application%20for%20membership%20of%20the%20European%20Union" TargetMode="External"/><Relationship Id="rId51" Type="http://schemas.openxmlformats.org/officeDocument/2006/relationships/hyperlink" Target="https://mowatcentre.ca/wp-content/uploads/publications/122_creating_a_high-performing_canadian_civil_service.pdf" TargetMode="External"/><Relationship Id="rId72" Type="http://schemas.openxmlformats.org/officeDocument/2006/relationships/hyperlink" Target="https://sustainabledevelopment.un.org/post2015/transformingourworld" TargetMode="External"/><Relationship Id="rId3" Type="http://schemas.openxmlformats.org/officeDocument/2006/relationships/hyperlink" Target="https://sustainabledevelopment.un.org/post2015/transformingourworld" TargetMode="External"/><Relationship Id="rId12" Type="http://schemas.openxmlformats.org/officeDocument/2006/relationships/hyperlink" Target="https://www.euneighbours.eu/en/south/stay-informed/publications/regional-economic-prospects-ebrd-regions-covid-19-shock-recovery" TargetMode="External"/><Relationship Id="rId17" Type="http://schemas.openxmlformats.org/officeDocument/2006/relationships/hyperlink" Target="file:///C:\Users\EHODZIC-KOVAC\AppData\Local\Microsoft\Windows\INetCache\Content.Outlook\POJAHTYE\UN-led%20Zamisli%202030%20SDG%20platform" TargetMode="External"/><Relationship Id="rId25" Type="http://schemas.openxmlformats.org/officeDocument/2006/relationships/hyperlink" Target="https://data.worldbank.org/indicator/SL.UEM.1524.ZS?locations=BA" TargetMode="External"/><Relationship Id="rId33" Type="http://schemas.openxmlformats.org/officeDocument/2006/relationships/hyperlink" Target="https://data.worldbank.org/indicator/SL.TLF.CACT.FE.ZS?locations=BA" TargetMode="External"/><Relationship Id="rId38" Type="http://schemas.openxmlformats.org/officeDocument/2006/relationships/hyperlink" Target="https://www.gfdrr.org/bosnia-and-herzegovina" TargetMode="External"/><Relationship Id="rId46" Type="http://schemas.openxmlformats.org/officeDocument/2006/relationships/hyperlink" Target="https://olc.worldbank.org/sites/default/files/Investing%20in%20Early%20Chidhood%20Development_Review%20of%20the%20WB%20Recent%20Experience_eBook_0.pdf" TargetMode="External"/><Relationship Id="rId59" Type="http://schemas.openxmlformats.org/officeDocument/2006/relationships/hyperlink" Target="https://data.worldbank.org/indicator/SM.POP.NETM?locations=BA" TargetMode="External"/><Relationship Id="rId67" Type="http://schemas.openxmlformats.org/officeDocument/2006/relationships/hyperlink" Target="http://unstats.un.org/sdgs/indicators/indicators-list/" TargetMode="External"/><Relationship Id="rId20" Type="http://schemas.openxmlformats.org/officeDocument/2006/relationships/hyperlink" Target="https://www.gfdrr.org/bosnia-and-herzegovina" TargetMode="External"/><Relationship Id="rId41" Type="http://schemas.openxmlformats.org/officeDocument/2006/relationships/hyperlink" Target="http://heckmanequation.org/content/resource/invest-early-childhood-development-reduce-deficits-strengthen-economy" TargetMode="External"/><Relationship Id="rId54" Type="http://schemas.openxmlformats.org/officeDocument/2006/relationships/hyperlink" Target="http://www.unevaluation.org/document/detail/1914" TargetMode="External"/><Relationship Id="rId62" Type="http://schemas.openxmlformats.org/officeDocument/2006/relationships/hyperlink" Target="https://www.ilo.org/wcmsp5/groups/public/---dgreports/---inst/documents/publication/wcms_724097.pdf" TargetMode="External"/><Relationship Id="rId70" Type="http://schemas.openxmlformats.org/officeDocument/2006/relationships/hyperlink" Target="https://sustainabledevelopment.un.org/post2015/transformingourworld"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C2A9-C9D9-4F1C-98E6-33EAFE4C3AE5}">
  <ds:schemaRefs>
    <ds:schemaRef ds:uri="http://purl.org/dc/terms/"/>
    <ds:schemaRef ds:uri="33856b32-dbbd-4996-9e5d-776de7c2e4f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a8946dc4-2e98-472c-b2e6-ca9019b8dfda"/>
    <ds:schemaRef ds:uri="http://purl.org/dc/dcmitype/"/>
  </ds:schemaRefs>
</ds:datastoreItem>
</file>

<file path=customXml/itemProps2.xml><?xml version="1.0" encoding="utf-8"?>
<ds:datastoreItem xmlns:ds="http://schemas.openxmlformats.org/officeDocument/2006/customXml" ds:itemID="{95694F2B-CDB7-43C4-AEA8-D15F4CE0E5E4}">
  <ds:schemaRefs>
    <ds:schemaRef ds:uri="http://schemas.microsoft.com/sharepoint/v3/contenttype/forms"/>
  </ds:schemaRefs>
</ds:datastoreItem>
</file>

<file path=customXml/itemProps3.xml><?xml version="1.0" encoding="utf-8"?>
<ds:datastoreItem xmlns:ds="http://schemas.openxmlformats.org/officeDocument/2006/customXml" ds:itemID="{C33D3087-AC4E-4E10-AFA4-C398CAE2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D4C5A-A979-4A62-8D00-E455EFCF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26349</Words>
  <Characters>163101</Characters>
  <Application>Microsoft Office Word</Application>
  <DocSecurity>4</DocSecurity>
  <Lines>4182</Lines>
  <Paragraphs>1457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MacKenzie</dc:creator>
  <cp:lastModifiedBy>Svetlana Iazykova</cp:lastModifiedBy>
  <cp:revision>2</cp:revision>
  <cp:lastPrinted>2020-02-13T10:32:00Z</cp:lastPrinted>
  <dcterms:created xsi:type="dcterms:W3CDTF">2020-05-27T21:46:00Z</dcterms:created>
  <dcterms:modified xsi:type="dcterms:W3CDTF">2020-05-27T21:46:00Z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9159e024-2187-49e4-8bd1-fd41200f3443</vt:lpwstr>
  </property>
</Properties>
</file>