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5C687" w14:textId="52B2BB6C" w:rsidR="001A61C0" w:rsidRPr="005323D5" w:rsidRDefault="001A61C0" w:rsidP="001A61C0">
      <w:pPr>
        <w:spacing w:line="240" w:lineRule="auto"/>
        <w:jc w:val="center"/>
        <w:rPr>
          <w:rFonts w:cs="Times New Roman"/>
          <w:b/>
          <w:sz w:val="24"/>
          <w:szCs w:val="24"/>
        </w:rPr>
      </w:pPr>
      <w:r w:rsidRPr="005323D5">
        <w:rPr>
          <w:rFonts w:cs="Times New Roman"/>
          <w:b/>
          <w:sz w:val="24"/>
          <w:szCs w:val="24"/>
        </w:rPr>
        <w:t>COMMENTS ON</w:t>
      </w:r>
      <w:r w:rsidR="00435853">
        <w:rPr>
          <w:rFonts w:cs="Times New Roman"/>
          <w:b/>
          <w:sz w:val="24"/>
          <w:szCs w:val="24"/>
        </w:rPr>
        <w:t xml:space="preserve"> THE </w:t>
      </w:r>
      <w:r w:rsidRPr="005323D5">
        <w:rPr>
          <w:rFonts w:cs="Times New Roman"/>
          <w:b/>
          <w:sz w:val="24"/>
          <w:szCs w:val="24"/>
        </w:rPr>
        <w:t xml:space="preserve">DRAFT </w:t>
      </w:r>
      <w:r w:rsidR="00435853">
        <w:rPr>
          <w:rFonts w:cs="Times New Roman"/>
          <w:b/>
          <w:sz w:val="24"/>
          <w:szCs w:val="24"/>
        </w:rPr>
        <w:t xml:space="preserve">UNDP </w:t>
      </w:r>
      <w:r w:rsidRPr="005323D5">
        <w:rPr>
          <w:rFonts w:cs="Times New Roman"/>
          <w:b/>
          <w:sz w:val="24"/>
          <w:szCs w:val="24"/>
        </w:rPr>
        <w:t>COUNTRY PROGRAMME DOCUMENT</w:t>
      </w:r>
      <w:r w:rsidR="00435853">
        <w:rPr>
          <w:rFonts w:cs="Times New Roman"/>
          <w:b/>
          <w:sz w:val="24"/>
          <w:szCs w:val="24"/>
        </w:rPr>
        <w:t xml:space="preserve"> FOR TIMOR</w:t>
      </w:r>
      <w:r w:rsidR="00AD3162">
        <w:rPr>
          <w:rFonts w:cs="Times New Roman"/>
          <w:b/>
          <w:sz w:val="24"/>
          <w:szCs w:val="24"/>
        </w:rPr>
        <w:t>-</w:t>
      </w:r>
      <w:r w:rsidR="00435853">
        <w:rPr>
          <w:rFonts w:cs="Times New Roman"/>
          <w:b/>
          <w:sz w:val="24"/>
          <w:szCs w:val="24"/>
        </w:rPr>
        <w:t>LESTE</w:t>
      </w:r>
      <w:r w:rsidR="00CA1366">
        <w:rPr>
          <w:rFonts w:cs="Times New Roman"/>
          <w:b/>
          <w:sz w:val="24"/>
          <w:szCs w:val="24"/>
        </w:rPr>
        <w:t xml:space="preserve"> </w:t>
      </w:r>
      <w:r w:rsidR="00AD3162">
        <w:rPr>
          <w:rFonts w:cs="Times New Roman"/>
          <w:b/>
          <w:sz w:val="24"/>
          <w:szCs w:val="24"/>
        </w:rPr>
        <w:t>(2021-2025)</w:t>
      </w:r>
    </w:p>
    <w:p w14:paraId="5C7FBCE3" w14:textId="66A06E33" w:rsidR="001A61C0" w:rsidRDefault="001A61C0" w:rsidP="00AD3162">
      <w:pPr>
        <w:spacing w:after="0" w:line="240" w:lineRule="auto"/>
        <w:jc w:val="center"/>
        <w:rPr>
          <w:rFonts w:cs="Times New Roman"/>
          <w:i/>
          <w:sz w:val="24"/>
          <w:szCs w:val="24"/>
        </w:rPr>
      </w:pPr>
      <w:r>
        <w:rPr>
          <w:rFonts w:cs="Times New Roman"/>
          <w:i/>
          <w:sz w:val="24"/>
          <w:szCs w:val="24"/>
        </w:rPr>
        <w:t>Second regular</w:t>
      </w:r>
      <w:r w:rsidRPr="00A457DA">
        <w:rPr>
          <w:rFonts w:cs="Times New Roman"/>
          <w:i/>
          <w:sz w:val="24"/>
          <w:szCs w:val="24"/>
        </w:rPr>
        <w:t xml:space="preserve"> session 2020</w:t>
      </w:r>
    </w:p>
    <w:p w14:paraId="33B09AE1" w14:textId="77777777" w:rsidR="00435853" w:rsidRPr="00435853" w:rsidRDefault="00435853" w:rsidP="00AD3162">
      <w:pPr>
        <w:spacing w:after="0" w:line="240" w:lineRule="auto"/>
        <w:jc w:val="center"/>
        <w:rPr>
          <w:rFonts w:cs="Times New Roman"/>
          <w:i/>
          <w:sz w:val="24"/>
          <w:szCs w:val="24"/>
        </w:rPr>
      </w:pPr>
    </w:p>
    <w:tbl>
      <w:tblPr>
        <w:tblStyle w:val="TableGrid"/>
        <w:tblW w:w="5000" w:type="pct"/>
        <w:tblLook w:val="04A0" w:firstRow="1" w:lastRow="0" w:firstColumn="1" w:lastColumn="0" w:noHBand="0" w:noVBand="1"/>
      </w:tblPr>
      <w:tblGrid>
        <w:gridCol w:w="7194"/>
        <w:gridCol w:w="7240"/>
      </w:tblGrid>
      <w:tr w:rsidR="001A61C0" w:rsidRPr="005323D5" w14:paraId="4E240AE2" w14:textId="509C055E" w:rsidTr="00AD3162">
        <w:trPr>
          <w:trHeight w:val="476"/>
        </w:trPr>
        <w:tc>
          <w:tcPr>
            <w:tcW w:w="2492" w:type="pct"/>
            <w:shd w:val="clear" w:color="auto" w:fill="BFBFBF" w:themeFill="background1" w:themeFillShade="BF"/>
            <w:vAlign w:val="center"/>
          </w:tcPr>
          <w:p w14:paraId="27038C24" w14:textId="5F968631" w:rsidR="001A61C0" w:rsidRPr="00A457DA" w:rsidRDefault="001A61C0" w:rsidP="00AD3162">
            <w:pPr>
              <w:spacing w:after="0"/>
              <w:jc w:val="center"/>
              <w:rPr>
                <w:rFonts w:cs="Times New Roman"/>
                <w:b/>
                <w:sz w:val="24"/>
                <w:szCs w:val="24"/>
              </w:rPr>
            </w:pPr>
            <w:r w:rsidRPr="00534E03">
              <w:rPr>
                <w:rFonts w:cs="Times New Roman"/>
                <w:b/>
                <w:sz w:val="24"/>
                <w:szCs w:val="24"/>
              </w:rPr>
              <w:t>C</w:t>
            </w:r>
            <w:r>
              <w:rPr>
                <w:rFonts w:cs="Times New Roman"/>
                <w:b/>
                <w:sz w:val="24"/>
                <w:szCs w:val="24"/>
              </w:rPr>
              <w:t>omments</w:t>
            </w:r>
            <w:r w:rsidRPr="00534E03">
              <w:rPr>
                <w:rFonts w:cs="Times New Roman"/>
                <w:b/>
                <w:sz w:val="24"/>
                <w:szCs w:val="24"/>
              </w:rPr>
              <w:t xml:space="preserve"> </w:t>
            </w:r>
            <w:r w:rsidRPr="00A457DA">
              <w:rPr>
                <w:rFonts w:cs="Times New Roman"/>
                <w:b/>
                <w:sz w:val="24"/>
                <w:szCs w:val="24"/>
              </w:rPr>
              <w:t xml:space="preserve">by </w:t>
            </w:r>
            <w:r w:rsidR="00435853">
              <w:rPr>
                <w:rFonts w:cs="Times New Roman"/>
                <w:b/>
                <w:sz w:val="24"/>
                <w:szCs w:val="24"/>
              </w:rPr>
              <w:t>Australia</w:t>
            </w:r>
            <w:r>
              <w:rPr>
                <w:rFonts w:cs="Times New Roman"/>
                <w:b/>
                <w:sz w:val="24"/>
                <w:szCs w:val="24"/>
              </w:rPr>
              <w:t xml:space="preserve"> </w:t>
            </w:r>
          </w:p>
        </w:tc>
        <w:tc>
          <w:tcPr>
            <w:tcW w:w="2508" w:type="pct"/>
            <w:shd w:val="clear" w:color="auto" w:fill="BFBFBF" w:themeFill="background1" w:themeFillShade="BF"/>
            <w:vAlign w:val="center"/>
          </w:tcPr>
          <w:p w14:paraId="0C86B77A" w14:textId="36F8F65A" w:rsidR="001A61C0" w:rsidRPr="00534E03" w:rsidRDefault="00435853" w:rsidP="00AD3162">
            <w:pPr>
              <w:spacing w:after="0"/>
              <w:jc w:val="center"/>
              <w:rPr>
                <w:rFonts w:cs="Times New Roman"/>
                <w:b/>
                <w:sz w:val="24"/>
                <w:szCs w:val="24"/>
              </w:rPr>
            </w:pPr>
            <w:r>
              <w:rPr>
                <w:rFonts w:cs="Times New Roman"/>
                <w:b/>
                <w:sz w:val="24"/>
                <w:szCs w:val="24"/>
              </w:rPr>
              <w:t>R</w:t>
            </w:r>
            <w:r w:rsidR="001A61C0">
              <w:rPr>
                <w:rFonts w:cs="Times New Roman"/>
                <w:b/>
                <w:sz w:val="24"/>
                <w:szCs w:val="24"/>
              </w:rPr>
              <w:t>esponse</w:t>
            </w:r>
            <w:r w:rsidR="00AD3162">
              <w:rPr>
                <w:rFonts w:cs="Times New Roman"/>
                <w:b/>
                <w:sz w:val="24"/>
                <w:szCs w:val="24"/>
              </w:rPr>
              <w:t xml:space="preserve"> by the UNDP Country Office </w:t>
            </w:r>
          </w:p>
        </w:tc>
      </w:tr>
      <w:tr w:rsidR="001A61C0" w:rsidRPr="005323D5" w14:paraId="5585A9C8" w14:textId="27396C02" w:rsidTr="00AD3162">
        <w:trPr>
          <w:trHeight w:val="476"/>
        </w:trPr>
        <w:tc>
          <w:tcPr>
            <w:tcW w:w="2492" w:type="pct"/>
            <w:vAlign w:val="center"/>
          </w:tcPr>
          <w:p w14:paraId="57C256B8" w14:textId="77777777" w:rsidR="001A61C0" w:rsidRPr="00594D8F" w:rsidRDefault="001A61C0" w:rsidP="001A61C0">
            <w:pPr>
              <w:pStyle w:val="ListParagraph"/>
              <w:numPr>
                <w:ilvl w:val="0"/>
                <w:numId w:val="1"/>
              </w:numPr>
              <w:spacing w:after="0" w:line="240" w:lineRule="auto"/>
              <w:rPr>
                <w:rFonts w:cs="Times New Roman"/>
                <w:szCs w:val="24"/>
              </w:rPr>
            </w:pPr>
            <w:r w:rsidRPr="00594D8F">
              <w:rPr>
                <w:rFonts w:cs="Times New Roman"/>
                <w:szCs w:val="24"/>
              </w:rPr>
              <w:t xml:space="preserve">In general, Australia looks forward to working collaboratively with UNDP in areas of ending violence against women and children and decentralisation, in support of Government of Timor-Leste priorities and programs. </w:t>
            </w:r>
          </w:p>
        </w:tc>
        <w:tc>
          <w:tcPr>
            <w:tcW w:w="2508" w:type="pct"/>
          </w:tcPr>
          <w:p w14:paraId="60F15467" w14:textId="037A8418" w:rsidR="001A61C0" w:rsidRPr="00594D8F" w:rsidRDefault="00ED0BD0" w:rsidP="001A61C0">
            <w:pPr>
              <w:pStyle w:val="ListParagraph"/>
              <w:numPr>
                <w:ilvl w:val="0"/>
                <w:numId w:val="1"/>
              </w:numPr>
              <w:spacing w:after="0" w:line="240" w:lineRule="auto"/>
              <w:rPr>
                <w:rFonts w:cs="Times New Roman"/>
                <w:szCs w:val="24"/>
              </w:rPr>
            </w:pPr>
            <w:r>
              <w:rPr>
                <w:rFonts w:cs="Times New Roman"/>
                <w:szCs w:val="24"/>
              </w:rPr>
              <w:t xml:space="preserve">UNDP in Timor-Leste looks forward to working with Australia in these areas. </w:t>
            </w:r>
          </w:p>
        </w:tc>
      </w:tr>
      <w:tr w:rsidR="001A61C0" w:rsidRPr="005323D5" w14:paraId="430ECC97" w14:textId="253FDECB" w:rsidTr="00AD3162">
        <w:trPr>
          <w:trHeight w:val="476"/>
        </w:trPr>
        <w:tc>
          <w:tcPr>
            <w:tcW w:w="2492" w:type="pct"/>
            <w:vAlign w:val="center"/>
          </w:tcPr>
          <w:p w14:paraId="03CF4ECD" w14:textId="77777777" w:rsidR="001A61C0" w:rsidRPr="00594D8F" w:rsidRDefault="001A61C0" w:rsidP="001A61C0">
            <w:pPr>
              <w:pStyle w:val="ListParagraph"/>
              <w:numPr>
                <w:ilvl w:val="0"/>
                <w:numId w:val="1"/>
              </w:numPr>
              <w:spacing w:after="0" w:line="240" w:lineRule="auto"/>
              <w:rPr>
                <w:rFonts w:cs="Times New Roman"/>
                <w:szCs w:val="24"/>
              </w:rPr>
            </w:pPr>
            <w:r w:rsidRPr="00594D8F">
              <w:rPr>
                <w:rFonts w:cs="Times New Roman"/>
                <w:szCs w:val="24"/>
              </w:rPr>
              <w:t>Paragraph 20 refers to UNDP supporting communities and government authorities to scale up community driven design, implementation and monitoring of climate-resilient infrastructure. We suggest more specific engagement with the PNDS Secretariat (</w:t>
            </w:r>
            <w:proofErr w:type="spellStart"/>
            <w:r w:rsidRPr="00594D8F">
              <w:rPr>
                <w:rFonts w:cs="Times New Roman"/>
                <w:szCs w:val="24"/>
              </w:rPr>
              <w:t>Programa</w:t>
            </w:r>
            <w:proofErr w:type="spellEnd"/>
            <w:r w:rsidRPr="00594D8F">
              <w:rPr>
                <w:rFonts w:cs="Times New Roman"/>
                <w:szCs w:val="24"/>
              </w:rPr>
              <w:t xml:space="preserve"> </w:t>
            </w:r>
            <w:proofErr w:type="spellStart"/>
            <w:r w:rsidRPr="00594D8F">
              <w:rPr>
                <w:rFonts w:cs="Times New Roman"/>
                <w:szCs w:val="24"/>
              </w:rPr>
              <w:t>Nasionál</w:t>
            </w:r>
            <w:proofErr w:type="spellEnd"/>
            <w:r w:rsidRPr="00594D8F">
              <w:rPr>
                <w:rFonts w:cs="Times New Roman"/>
                <w:szCs w:val="24"/>
              </w:rPr>
              <w:t xml:space="preserve"> </w:t>
            </w:r>
            <w:proofErr w:type="spellStart"/>
            <w:r w:rsidRPr="00594D8F">
              <w:rPr>
                <w:rFonts w:cs="Times New Roman"/>
                <w:szCs w:val="24"/>
              </w:rPr>
              <w:t>Dezenvolvimentu</w:t>
            </w:r>
            <w:proofErr w:type="spellEnd"/>
            <w:r w:rsidRPr="00594D8F">
              <w:rPr>
                <w:rFonts w:cs="Times New Roman"/>
                <w:szCs w:val="24"/>
              </w:rPr>
              <w:t xml:space="preserve"> </w:t>
            </w:r>
            <w:proofErr w:type="spellStart"/>
            <w:r w:rsidRPr="00594D8F">
              <w:rPr>
                <w:rFonts w:cs="Times New Roman"/>
                <w:szCs w:val="24"/>
              </w:rPr>
              <w:t>Suku</w:t>
            </w:r>
            <w:proofErr w:type="spellEnd"/>
            <w:r w:rsidRPr="00594D8F">
              <w:rPr>
                <w:rFonts w:cs="Times New Roman"/>
                <w:szCs w:val="24"/>
              </w:rPr>
              <w:t xml:space="preserve">, or National Program for Village Development), which is an existing </w:t>
            </w:r>
            <w:r>
              <w:rPr>
                <w:rFonts w:cs="Times New Roman"/>
                <w:szCs w:val="24"/>
              </w:rPr>
              <w:t>Government of Timor-Leste</w:t>
            </w:r>
            <w:r w:rsidRPr="00594D8F">
              <w:rPr>
                <w:rFonts w:cs="Times New Roman"/>
                <w:szCs w:val="24"/>
              </w:rPr>
              <w:t xml:space="preserve"> program achieving the same outcomes. Systems strengthening can improve sustainability of the program. </w:t>
            </w:r>
          </w:p>
        </w:tc>
        <w:tc>
          <w:tcPr>
            <w:tcW w:w="2508" w:type="pct"/>
          </w:tcPr>
          <w:p w14:paraId="6925F0B0" w14:textId="4EA03EE6" w:rsidR="00C024C3" w:rsidRDefault="00CE1772" w:rsidP="001A61C0">
            <w:pPr>
              <w:pStyle w:val="ListParagraph"/>
              <w:numPr>
                <w:ilvl w:val="0"/>
                <w:numId w:val="1"/>
              </w:numPr>
              <w:spacing w:after="0" w:line="240" w:lineRule="auto"/>
              <w:rPr>
                <w:rFonts w:cs="Times New Roman"/>
                <w:szCs w:val="24"/>
              </w:rPr>
            </w:pPr>
            <w:r>
              <w:rPr>
                <w:rFonts w:cs="Times New Roman"/>
                <w:szCs w:val="24"/>
              </w:rPr>
              <w:t>One of the key partners for implementing this work is the Ministry of State Administration (MSA) which oversees the PN</w:t>
            </w:r>
            <w:r w:rsidR="006E0E4B">
              <w:rPr>
                <w:rFonts w:cs="Times New Roman"/>
                <w:szCs w:val="24"/>
              </w:rPr>
              <w:t>DS</w:t>
            </w:r>
            <w:r>
              <w:rPr>
                <w:rFonts w:cs="Times New Roman"/>
                <w:szCs w:val="24"/>
              </w:rPr>
              <w:t xml:space="preserve"> Secretariat and the </w:t>
            </w:r>
            <w:r w:rsidR="00475B3C">
              <w:rPr>
                <w:rFonts w:cs="Times New Roman"/>
                <w:szCs w:val="24"/>
              </w:rPr>
              <w:t>Integrated Municipal Development Planning process (</w:t>
            </w:r>
            <w:r>
              <w:rPr>
                <w:rFonts w:cs="Times New Roman"/>
                <w:szCs w:val="24"/>
              </w:rPr>
              <w:t>PDIM</w:t>
            </w:r>
            <w:r w:rsidR="00475B3C">
              <w:rPr>
                <w:rFonts w:cs="Times New Roman"/>
                <w:szCs w:val="24"/>
              </w:rPr>
              <w:t>)</w:t>
            </w:r>
            <w:r w:rsidR="00F27226">
              <w:rPr>
                <w:rFonts w:cs="Times New Roman"/>
                <w:szCs w:val="24"/>
              </w:rPr>
              <w:t>.B</w:t>
            </w:r>
            <w:r>
              <w:rPr>
                <w:rFonts w:cs="Times New Roman"/>
                <w:szCs w:val="24"/>
              </w:rPr>
              <w:t xml:space="preserve">oth will be engaged in the process of implementation of the project that focuses on </w:t>
            </w:r>
            <w:r w:rsidRPr="00594D8F">
              <w:rPr>
                <w:rFonts w:cs="Times New Roman"/>
                <w:szCs w:val="24"/>
              </w:rPr>
              <w:t>scal</w:t>
            </w:r>
            <w:r>
              <w:rPr>
                <w:rFonts w:cs="Times New Roman"/>
                <w:szCs w:val="24"/>
              </w:rPr>
              <w:t>ing</w:t>
            </w:r>
            <w:r w:rsidRPr="00594D8F">
              <w:rPr>
                <w:rFonts w:cs="Times New Roman"/>
                <w:szCs w:val="24"/>
              </w:rPr>
              <w:t xml:space="preserve"> up community driven design, implementation and monitoring of climate-resilient infrastructure</w:t>
            </w:r>
            <w:r>
              <w:rPr>
                <w:rFonts w:cs="Times New Roman"/>
                <w:szCs w:val="24"/>
              </w:rPr>
              <w:t>s</w:t>
            </w:r>
            <w:r w:rsidR="0060505D">
              <w:rPr>
                <w:rFonts w:cs="Times New Roman"/>
                <w:szCs w:val="24"/>
              </w:rPr>
              <w:t>. The work of this project is captured under CPD output</w:t>
            </w:r>
            <w:r w:rsidR="00C024C3">
              <w:rPr>
                <w:rFonts w:cs="Times New Roman"/>
                <w:szCs w:val="24"/>
              </w:rPr>
              <w:t>s</w:t>
            </w:r>
            <w:r w:rsidR="0060505D">
              <w:rPr>
                <w:rFonts w:cs="Times New Roman"/>
                <w:szCs w:val="24"/>
              </w:rPr>
              <w:t xml:space="preserve"> 2.2. and 2.3 and the stakeholders</w:t>
            </w:r>
            <w:r w:rsidR="00C024C3">
              <w:rPr>
                <w:rFonts w:cs="Times New Roman"/>
                <w:szCs w:val="24"/>
              </w:rPr>
              <w:t xml:space="preserve"> and </w:t>
            </w:r>
            <w:r w:rsidR="0060505D">
              <w:rPr>
                <w:rFonts w:cs="Times New Roman"/>
                <w:szCs w:val="24"/>
              </w:rPr>
              <w:t xml:space="preserve">partners listed </w:t>
            </w:r>
            <w:r w:rsidR="00E12ED2">
              <w:rPr>
                <w:rFonts w:cs="Times New Roman"/>
                <w:szCs w:val="24"/>
              </w:rPr>
              <w:t>for these outputs i</w:t>
            </w:r>
            <w:r w:rsidR="0060505D">
              <w:rPr>
                <w:rFonts w:cs="Times New Roman"/>
                <w:szCs w:val="24"/>
              </w:rPr>
              <w:t>nclude MSA</w:t>
            </w:r>
            <w:r w:rsidR="00C024C3">
              <w:rPr>
                <w:rFonts w:cs="Times New Roman"/>
                <w:szCs w:val="24"/>
              </w:rPr>
              <w:t>,</w:t>
            </w:r>
            <w:r w:rsidR="0060505D">
              <w:rPr>
                <w:rFonts w:cs="Times New Roman"/>
                <w:szCs w:val="24"/>
              </w:rPr>
              <w:t xml:space="preserve"> in addition to the Secretariat of State for Environment, Ministry of Agriculture and Fishery</w:t>
            </w:r>
            <w:r w:rsidR="0015244C">
              <w:rPr>
                <w:rFonts w:cs="Times New Roman"/>
                <w:szCs w:val="24"/>
              </w:rPr>
              <w:t xml:space="preserve">, </w:t>
            </w:r>
            <w:r w:rsidR="00C024C3">
              <w:rPr>
                <w:rFonts w:cs="Times New Roman"/>
                <w:szCs w:val="24"/>
              </w:rPr>
              <w:t xml:space="preserve">and </w:t>
            </w:r>
            <w:r w:rsidR="0015244C">
              <w:rPr>
                <w:rFonts w:cs="Times New Roman"/>
                <w:szCs w:val="24"/>
              </w:rPr>
              <w:t>S</w:t>
            </w:r>
            <w:r w:rsidR="00483748">
              <w:rPr>
                <w:rFonts w:cs="Times New Roman"/>
                <w:szCs w:val="24"/>
              </w:rPr>
              <w:t>ecretary of State for Civil Protection</w:t>
            </w:r>
            <w:r w:rsidR="00C024C3">
              <w:rPr>
                <w:rFonts w:cs="Times New Roman"/>
                <w:szCs w:val="24"/>
              </w:rPr>
              <w:t>.  A</w:t>
            </w:r>
            <w:r w:rsidR="00FA112E">
              <w:rPr>
                <w:rFonts w:cs="Times New Roman"/>
                <w:szCs w:val="24"/>
              </w:rPr>
              <w:t xml:space="preserve">ll of these entities are key partners for this initiative funded by the Green Climate Fund. </w:t>
            </w:r>
          </w:p>
          <w:p w14:paraId="1E52D063" w14:textId="6F8F82A6" w:rsidR="001A61C0" w:rsidRPr="00594D8F" w:rsidRDefault="002537E2" w:rsidP="001A61C0">
            <w:pPr>
              <w:pStyle w:val="ListParagraph"/>
              <w:numPr>
                <w:ilvl w:val="0"/>
                <w:numId w:val="1"/>
              </w:numPr>
              <w:spacing w:after="0" w:line="240" w:lineRule="auto"/>
              <w:rPr>
                <w:rFonts w:cs="Times New Roman"/>
                <w:szCs w:val="24"/>
              </w:rPr>
            </w:pPr>
            <w:r>
              <w:rPr>
                <w:rFonts w:cs="Times New Roman"/>
                <w:szCs w:val="24"/>
              </w:rPr>
              <w:t xml:space="preserve">This project </w:t>
            </w:r>
            <w:r w:rsidR="00E935E3">
              <w:rPr>
                <w:rFonts w:cs="Times New Roman"/>
                <w:szCs w:val="24"/>
              </w:rPr>
              <w:t>benefits from</w:t>
            </w:r>
            <w:r>
              <w:rPr>
                <w:rFonts w:cs="Times New Roman"/>
                <w:szCs w:val="24"/>
              </w:rPr>
              <w:t xml:space="preserve"> significant </w:t>
            </w:r>
            <w:r w:rsidR="00C024C3">
              <w:rPr>
                <w:rFonts w:cs="Times New Roman"/>
                <w:szCs w:val="24"/>
              </w:rPr>
              <w:t>G</w:t>
            </w:r>
            <w:r>
              <w:rPr>
                <w:rFonts w:cs="Times New Roman"/>
                <w:szCs w:val="24"/>
              </w:rPr>
              <w:t>overnment co-financing</w:t>
            </w:r>
            <w:r w:rsidR="00E935E3">
              <w:rPr>
                <w:rFonts w:cs="Times New Roman"/>
                <w:szCs w:val="24"/>
              </w:rPr>
              <w:t>. All</w:t>
            </w:r>
            <w:r>
              <w:rPr>
                <w:rFonts w:cs="Times New Roman"/>
                <w:szCs w:val="24"/>
              </w:rPr>
              <w:t xml:space="preserve"> work, especially related to climate-resilient infrastructure, will be done in close coordination with PDIM and PNDS Secretariat</w:t>
            </w:r>
            <w:r w:rsidR="00FC73F8">
              <w:rPr>
                <w:rFonts w:cs="Times New Roman"/>
                <w:szCs w:val="24"/>
              </w:rPr>
              <w:t>. The project will support system strengthening</w:t>
            </w:r>
            <w:r w:rsidR="00973CB2">
              <w:rPr>
                <w:rFonts w:cs="Times New Roman"/>
                <w:szCs w:val="24"/>
              </w:rPr>
              <w:t xml:space="preserve"> by working with key partners on guidelines</w:t>
            </w:r>
            <w:r w:rsidR="00E935E3">
              <w:rPr>
                <w:rFonts w:cs="Times New Roman"/>
                <w:szCs w:val="24"/>
              </w:rPr>
              <w:t xml:space="preserve"> and</w:t>
            </w:r>
            <w:r w:rsidR="00973CB2">
              <w:rPr>
                <w:rFonts w:cs="Times New Roman"/>
                <w:szCs w:val="24"/>
              </w:rPr>
              <w:t xml:space="preserve"> policies for climate-resilient infrastructures. </w:t>
            </w:r>
          </w:p>
        </w:tc>
      </w:tr>
      <w:tr w:rsidR="001A61C0" w:rsidRPr="005323D5" w14:paraId="7FF6F823" w14:textId="6A113A1B" w:rsidTr="00AD3162">
        <w:trPr>
          <w:trHeight w:val="476"/>
        </w:trPr>
        <w:tc>
          <w:tcPr>
            <w:tcW w:w="2492" w:type="pct"/>
            <w:vAlign w:val="center"/>
          </w:tcPr>
          <w:p w14:paraId="29CB8696" w14:textId="77777777" w:rsidR="001A61C0" w:rsidRPr="00594D8F" w:rsidRDefault="001A61C0" w:rsidP="001A61C0">
            <w:pPr>
              <w:pStyle w:val="ListParagraph"/>
              <w:numPr>
                <w:ilvl w:val="0"/>
                <w:numId w:val="1"/>
              </w:numPr>
              <w:spacing w:after="0" w:line="240" w:lineRule="auto"/>
              <w:rPr>
                <w:rFonts w:cs="Times New Roman"/>
                <w:szCs w:val="24"/>
              </w:rPr>
            </w:pPr>
            <w:r w:rsidRPr="00594D8F">
              <w:rPr>
                <w:rFonts w:cs="Times New Roman"/>
                <w:szCs w:val="24"/>
              </w:rPr>
              <w:t xml:space="preserve">Outcome 3, Indicator 6.2.3, Column 4. </w:t>
            </w:r>
            <w:r>
              <w:rPr>
                <w:rFonts w:cs="Times New Roman"/>
                <w:szCs w:val="24"/>
              </w:rPr>
              <w:t>The Department for Foreign Affairs and Trade (Australia)</w:t>
            </w:r>
            <w:r w:rsidRPr="00594D8F">
              <w:rPr>
                <w:rFonts w:cs="Times New Roman"/>
                <w:szCs w:val="24"/>
              </w:rPr>
              <w:t xml:space="preserve"> and the PNDS Secretariat are suggested stakeholders</w:t>
            </w:r>
            <w:r>
              <w:rPr>
                <w:rFonts w:cs="Times New Roman"/>
                <w:szCs w:val="24"/>
              </w:rPr>
              <w:t>. T</w:t>
            </w:r>
            <w:r w:rsidRPr="00594D8F">
              <w:rPr>
                <w:rFonts w:cs="Times New Roman"/>
                <w:szCs w:val="24"/>
              </w:rPr>
              <w:t xml:space="preserve">he </w:t>
            </w:r>
            <w:proofErr w:type="spellStart"/>
            <w:r w:rsidRPr="00594D8F">
              <w:rPr>
                <w:rFonts w:cs="Times New Roman"/>
                <w:szCs w:val="24"/>
              </w:rPr>
              <w:t>P</w:t>
            </w:r>
            <w:r>
              <w:rPr>
                <w:rFonts w:cs="Times New Roman"/>
                <w:szCs w:val="24"/>
              </w:rPr>
              <w:t>artisipa</w:t>
            </w:r>
            <w:proofErr w:type="spellEnd"/>
            <w:r w:rsidRPr="00594D8F">
              <w:rPr>
                <w:rFonts w:cs="Times New Roman"/>
                <w:szCs w:val="24"/>
              </w:rPr>
              <w:t xml:space="preserve"> program under </w:t>
            </w:r>
            <w:r>
              <w:rPr>
                <w:rFonts w:cs="Times New Roman"/>
                <w:szCs w:val="24"/>
              </w:rPr>
              <w:t>the Australian Government</w:t>
            </w:r>
            <w:r w:rsidRPr="00594D8F">
              <w:rPr>
                <w:rFonts w:cs="Times New Roman"/>
                <w:szCs w:val="24"/>
              </w:rPr>
              <w:t>, working through the PNDS Secretariat, also seeks to construct community driven, climate-resilient infrastructure units.</w:t>
            </w:r>
          </w:p>
        </w:tc>
        <w:tc>
          <w:tcPr>
            <w:tcW w:w="2508" w:type="pct"/>
          </w:tcPr>
          <w:p w14:paraId="31EF1D56" w14:textId="7F638DA1" w:rsidR="001A61C0" w:rsidRPr="00594D8F" w:rsidRDefault="00FE43FE" w:rsidP="001A61C0">
            <w:pPr>
              <w:pStyle w:val="ListParagraph"/>
              <w:numPr>
                <w:ilvl w:val="0"/>
                <w:numId w:val="1"/>
              </w:numPr>
              <w:spacing w:after="0" w:line="240" w:lineRule="auto"/>
              <w:rPr>
                <w:rFonts w:cs="Times New Roman"/>
                <w:szCs w:val="24"/>
              </w:rPr>
            </w:pPr>
            <w:r>
              <w:rPr>
                <w:rFonts w:cs="Times New Roman"/>
                <w:szCs w:val="24"/>
              </w:rPr>
              <w:t>T</w:t>
            </w:r>
            <w:r w:rsidR="00FA4A0F">
              <w:rPr>
                <w:rFonts w:cs="Times New Roman"/>
                <w:szCs w:val="24"/>
              </w:rPr>
              <w:t xml:space="preserve">he Ministry of State Administration (MSA) </w:t>
            </w:r>
            <w:r w:rsidR="00076526">
              <w:rPr>
                <w:rFonts w:cs="Times New Roman"/>
                <w:szCs w:val="24"/>
              </w:rPr>
              <w:t>is</w:t>
            </w:r>
            <w:r w:rsidR="00FA4A0F">
              <w:rPr>
                <w:rFonts w:cs="Times New Roman"/>
                <w:szCs w:val="24"/>
              </w:rPr>
              <w:t xml:space="preserve"> be </w:t>
            </w:r>
            <w:r w:rsidR="00EB5152">
              <w:rPr>
                <w:rFonts w:cs="Times New Roman"/>
                <w:szCs w:val="24"/>
              </w:rPr>
              <w:t>a key partner in the work UNDP will be doing in this area</w:t>
            </w:r>
            <w:r w:rsidR="000D2F11">
              <w:rPr>
                <w:rFonts w:cs="Times New Roman"/>
                <w:szCs w:val="24"/>
              </w:rPr>
              <w:t xml:space="preserve"> and will be</w:t>
            </w:r>
            <w:r w:rsidR="004C0584">
              <w:rPr>
                <w:rFonts w:cs="Times New Roman"/>
                <w:szCs w:val="24"/>
              </w:rPr>
              <w:t xml:space="preserve"> leading the coordination, particularly within its own ministry, to ensure</w:t>
            </w:r>
            <w:r>
              <w:rPr>
                <w:rFonts w:cs="Times New Roman"/>
                <w:szCs w:val="24"/>
              </w:rPr>
              <w:t xml:space="preserve"> there is</w:t>
            </w:r>
            <w:r w:rsidR="004C0584">
              <w:rPr>
                <w:rFonts w:cs="Times New Roman"/>
                <w:szCs w:val="24"/>
              </w:rPr>
              <w:t xml:space="preserve"> </w:t>
            </w:r>
            <w:r w:rsidR="00244861">
              <w:rPr>
                <w:rFonts w:cs="Times New Roman"/>
                <w:szCs w:val="24"/>
              </w:rPr>
              <w:t>complementarity between the</w:t>
            </w:r>
            <w:r w:rsidR="004D4EC2">
              <w:rPr>
                <w:rFonts w:cs="Times New Roman"/>
                <w:szCs w:val="24"/>
              </w:rPr>
              <w:t>s</w:t>
            </w:r>
            <w:r w:rsidR="00244861">
              <w:rPr>
                <w:rFonts w:cs="Times New Roman"/>
                <w:szCs w:val="24"/>
              </w:rPr>
              <w:t xml:space="preserve">e projects. </w:t>
            </w:r>
            <w:r w:rsidR="0073697A">
              <w:rPr>
                <w:rFonts w:cs="Times New Roman"/>
                <w:szCs w:val="24"/>
              </w:rPr>
              <w:t xml:space="preserve"> </w:t>
            </w:r>
            <w:r w:rsidR="00BA2F67">
              <w:rPr>
                <w:rFonts w:cs="Times New Roman"/>
                <w:szCs w:val="24"/>
              </w:rPr>
              <w:t>A key focus area is</w:t>
            </w:r>
            <w:r w:rsidR="00235D7D">
              <w:rPr>
                <w:rFonts w:cs="Times New Roman"/>
                <w:szCs w:val="24"/>
              </w:rPr>
              <w:t xml:space="preserve"> to strengthen the capacity of MSA and the local authorities in climate-</w:t>
            </w:r>
            <w:r w:rsidR="00235D7D">
              <w:rPr>
                <w:rFonts w:cs="Times New Roman"/>
                <w:szCs w:val="24"/>
              </w:rPr>
              <w:lastRenderedPageBreak/>
              <w:t xml:space="preserve">proofing </w:t>
            </w:r>
            <w:r w:rsidR="0051004B">
              <w:rPr>
                <w:rFonts w:cs="Times New Roman"/>
                <w:szCs w:val="24"/>
              </w:rPr>
              <w:t>rural infrastructure, and therefore PNDS Secretariat and other relevant divisions in the MSA will be engaged</w:t>
            </w:r>
            <w:r w:rsidR="00E565CE">
              <w:rPr>
                <w:rFonts w:cs="Times New Roman"/>
                <w:szCs w:val="24"/>
              </w:rPr>
              <w:t xml:space="preserve"> during implementation. </w:t>
            </w:r>
            <w:r w:rsidR="00B53683">
              <w:rPr>
                <w:rFonts w:cs="Times New Roman"/>
                <w:szCs w:val="24"/>
              </w:rPr>
              <w:t xml:space="preserve"> While constrained by the word </w:t>
            </w:r>
            <w:r w:rsidR="00C024C3">
              <w:rPr>
                <w:rFonts w:cs="Times New Roman"/>
                <w:szCs w:val="24"/>
              </w:rPr>
              <w:t>count limitation</w:t>
            </w:r>
            <w:r w:rsidR="00B53683">
              <w:rPr>
                <w:rFonts w:cs="Times New Roman"/>
                <w:szCs w:val="24"/>
              </w:rPr>
              <w:t xml:space="preserve">, we </w:t>
            </w:r>
            <w:r w:rsidR="00865D94">
              <w:rPr>
                <w:rFonts w:cs="Times New Roman"/>
                <w:szCs w:val="24"/>
              </w:rPr>
              <w:t xml:space="preserve">have now </w:t>
            </w:r>
            <w:r w:rsidR="00B53683">
              <w:rPr>
                <w:rFonts w:cs="Times New Roman"/>
                <w:szCs w:val="24"/>
              </w:rPr>
              <w:t xml:space="preserve">reflected </w:t>
            </w:r>
            <w:r w:rsidR="00865D94">
              <w:rPr>
                <w:rFonts w:cs="Times New Roman"/>
                <w:szCs w:val="24"/>
              </w:rPr>
              <w:t xml:space="preserve">DFAT </w:t>
            </w:r>
            <w:r w:rsidR="00F516C9">
              <w:rPr>
                <w:rFonts w:cs="Times New Roman"/>
                <w:szCs w:val="24"/>
              </w:rPr>
              <w:t xml:space="preserve">and </w:t>
            </w:r>
            <w:r w:rsidR="00B53683">
              <w:rPr>
                <w:rFonts w:cs="Times New Roman"/>
                <w:szCs w:val="24"/>
              </w:rPr>
              <w:t xml:space="preserve">the </w:t>
            </w:r>
            <w:r w:rsidR="00F516C9">
              <w:rPr>
                <w:rFonts w:cs="Times New Roman"/>
                <w:szCs w:val="24"/>
              </w:rPr>
              <w:t xml:space="preserve">PNDS Secretariat </w:t>
            </w:r>
            <w:r w:rsidR="00B53683">
              <w:rPr>
                <w:rFonts w:cs="Times New Roman"/>
                <w:szCs w:val="24"/>
              </w:rPr>
              <w:t xml:space="preserve">in the </w:t>
            </w:r>
            <w:r w:rsidR="00865D94">
              <w:rPr>
                <w:rFonts w:cs="Times New Roman"/>
                <w:szCs w:val="24"/>
              </w:rPr>
              <w:t>partner colum</w:t>
            </w:r>
            <w:r w:rsidR="00C76F0E">
              <w:rPr>
                <w:rFonts w:cs="Times New Roman"/>
                <w:szCs w:val="24"/>
              </w:rPr>
              <w:t xml:space="preserve">n. </w:t>
            </w:r>
          </w:p>
        </w:tc>
      </w:tr>
      <w:tr w:rsidR="009944CD" w:rsidRPr="005323D5" w14:paraId="2018D969" w14:textId="1B49C2C0" w:rsidTr="00F56155">
        <w:trPr>
          <w:trHeight w:val="476"/>
        </w:trPr>
        <w:tc>
          <w:tcPr>
            <w:tcW w:w="2492" w:type="pct"/>
            <w:shd w:val="clear" w:color="auto" w:fill="BFBFBF" w:themeFill="background1" w:themeFillShade="BF"/>
            <w:vAlign w:val="center"/>
          </w:tcPr>
          <w:p w14:paraId="087C3563" w14:textId="26D79D53" w:rsidR="009944CD" w:rsidRPr="00A457DA" w:rsidRDefault="009944CD" w:rsidP="00F56155">
            <w:pPr>
              <w:spacing w:after="0"/>
              <w:jc w:val="center"/>
              <w:rPr>
                <w:rFonts w:cs="Times New Roman"/>
                <w:b/>
                <w:sz w:val="24"/>
                <w:szCs w:val="24"/>
              </w:rPr>
            </w:pPr>
            <w:r w:rsidRPr="00534E03">
              <w:rPr>
                <w:rFonts w:cs="Times New Roman"/>
                <w:b/>
                <w:sz w:val="24"/>
                <w:szCs w:val="24"/>
              </w:rPr>
              <w:lastRenderedPageBreak/>
              <w:t>C</w:t>
            </w:r>
            <w:r>
              <w:rPr>
                <w:rFonts w:cs="Times New Roman"/>
                <w:b/>
                <w:sz w:val="24"/>
                <w:szCs w:val="24"/>
              </w:rPr>
              <w:t>omments</w:t>
            </w:r>
            <w:r w:rsidRPr="00534E03">
              <w:rPr>
                <w:rFonts w:cs="Times New Roman"/>
                <w:b/>
                <w:sz w:val="24"/>
                <w:szCs w:val="24"/>
              </w:rPr>
              <w:t xml:space="preserve"> </w:t>
            </w:r>
            <w:r w:rsidRPr="00A457DA">
              <w:rPr>
                <w:rFonts w:cs="Times New Roman"/>
                <w:b/>
                <w:sz w:val="24"/>
                <w:szCs w:val="24"/>
              </w:rPr>
              <w:t xml:space="preserve">by </w:t>
            </w:r>
            <w:r w:rsidR="00435853">
              <w:rPr>
                <w:rFonts w:cs="Times New Roman"/>
                <w:b/>
                <w:sz w:val="24"/>
                <w:szCs w:val="24"/>
              </w:rPr>
              <w:t>New Zealand</w:t>
            </w:r>
          </w:p>
        </w:tc>
        <w:tc>
          <w:tcPr>
            <w:tcW w:w="2508" w:type="pct"/>
            <w:shd w:val="clear" w:color="auto" w:fill="BFBFBF" w:themeFill="background1" w:themeFillShade="BF"/>
            <w:vAlign w:val="center"/>
          </w:tcPr>
          <w:p w14:paraId="77C0F2FF" w14:textId="79964681" w:rsidR="009944CD" w:rsidRPr="00534E03" w:rsidRDefault="00EC34B4" w:rsidP="00F56155">
            <w:pPr>
              <w:spacing w:after="0"/>
              <w:jc w:val="center"/>
              <w:rPr>
                <w:rFonts w:cs="Times New Roman"/>
                <w:b/>
                <w:sz w:val="24"/>
                <w:szCs w:val="24"/>
              </w:rPr>
            </w:pPr>
            <w:r>
              <w:rPr>
                <w:rFonts w:cs="Times New Roman"/>
                <w:b/>
                <w:sz w:val="24"/>
                <w:szCs w:val="24"/>
              </w:rPr>
              <w:t>R</w:t>
            </w:r>
            <w:r w:rsidR="009944CD">
              <w:rPr>
                <w:rFonts w:cs="Times New Roman"/>
                <w:b/>
                <w:sz w:val="24"/>
                <w:szCs w:val="24"/>
              </w:rPr>
              <w:t>esponse</w:t>
            </w:r>
            <w:r w:rsidR="00AD3162">
              <w:rPr>
                <w:rFonts w:cs="Times New Roman"/>
                <w:b/>
                <w:sz w:val="24"/>
                <w:szCs w:val="24"/>
              </w:rPr>
              <w:t xml:space="preserve"> </w:t>
            </w:r>
            <w:r w:rsidR="00F56155">
              <w:rPr>
                <w:rFonts w:cs="Times New Roman"/>
                <w:b/>
                <w:sz w:val="24"/>
                <w:szCs w:val="24"/>
              </w:rPr>
              <w:t>by</w:t>
            </w:r>
            <w:r w:rsidR="00AD3162">
              <w:rPr>
                <w:rFonts w:cs="Times New Roman"/>
                <w:b/>
                <w:sz w:val="24"/>
                <w:szCs w:val="24"/>
              </w:rPr>
              <w:t xml:space="preserve"> the UNDP Country Office</w:t>
            </w:r>
          </w:p>
        </w:tc>
      </w:tr>
      <w:tr w:rsidR="009944CD" w:rsidRPr="005323D5" w14:paraId="6EC0C45A" w14:textId="40372A21" w:rsidTr="00AD3162">
        <w:trPr>
          <w:trHeight w:val="476"/>
        </w:trPr>
        <w:tc>
          <w:tcPr>
            <w:tcW w:w="2492" w:type="pct"/>
            <w:vAlign w:val="center"/>
          </w:tcPr>
          <w:p w14:paraId="745950E3" w14:textId="77777777" w:rsidR="009944CD" w:rsidRPr="002A680D" w:rsidRDefault="009944CD" w:rsidP="009944CD">
            <w:pPr>
              <w:pStyle w:val="ListParagraph"/>
              <w:numPr>
                <w:ilvl w:val="0"/>
                <w:numId w:val="2"/>
              </w:numPr>
              <w:spacing w:after="0" w:line="240" w:lineRule="auto"/>
              <w:rPr>
                <w:color w:val="000000"/>
              </w:rPr>
            </w:pPr>
            <w:r w:rsidRPr="002A680D">
              <w:rPr>
                <w:b/>
                <w:bCs/>
                <w:i/>
                <w:iCs/>
                <w:color w:val="000000"/>
              </w:rPr>
              <w:t>In Summary:</w:t>
            </w:r>
            <w:r w:rsidRPr="002A680D">
              <w:rPr>
                <w:color w:val="000000"/>
              </w:rPr>
              <w:t xml:space="preserve"> The priorities are relevant for Timor-Leste, but the plan is big and ambitious with a large number of agencies, which may result in implementation challenges. The principles are appropriate, so the process for implementation and monitoring outcomes will be key to ensuring the participation of key stakeholders at local and national levels. </w:t>
            </w:r>
          </w:p>
          <w:p w14:paraId="21810C47" w14:textId="77777777" w:rsidR="009944CD" w:rsidRPr="00534E03" w:rsidRDefault="009944CD" w:rsidP="009C7D87">
            <w:pPr>
              <w:pStyle w:val="ListParagraph"/>
              <w:rPr>
                <w:rFonts w:cs="Times New Roman"/>
                <w:sz w:val="24"/>
                <w:szCs w:val="24"/>
              </w:rPr>
            </w:pPr>
          </w:p>
        </w:tc>
        <w:tc>
          <w:tcPr>
            <w:tcW w:w="2508" w:type="pct"/>
          </w:tcPr>
          <w:p w14:paraId="1F5819D1" w14:textId="6514B72C" w:rsidR="009944CD" w:rsidRPr="002A680D" w:rsidRDefault="009944CD" w:rsidP="46340D3B">
            <w:pPr>
              <w:pStyle w:val="ListParagraph"/>
              <w:numPr>
                <w:ilvl w:val="0"/>
                <w:numId w:val="2"/>
              </w:numPr>
              <w:spacing w:after="0" w:line="240" w:lineRule="auto"/>
              <w:rPr>
                <w:b/>
                <w:bCs/>
                <w:i/>
                <w:iCs/>
                <w:color w:val="000000"/>
              </w:rPr>
            </w:pPr>
            <w:r w:rsidRPr="46340D3B">
              <w:rPr>
                <w:color w:val="000000" w:themeColor="text1"/>
              </w:rPr>
              <w:t xml:space="preserve">Each project </w:t>
            </w:r>
            <w:r w:rsidR="00755043" w:rsidRPr="46340D3B">
              <w:rPr>
                <w:color w:val="000000" w:themeColor="text1"/>
              </w:rPr>
              <w:t>will</w:t>
            </w:r>
            <w:r w:rsidRPr="46340D3B">
              <w:rPr>
                <w:color w:val="000000" w:themeColor="text1"/>
              </w:rPr>
              <w:t xml:space="preserve"> </w:t>
            </w:r>
            <w:r w:rsidR="00353106" w:rsidRPr="46340D3B">
              <w:rPr>
                <w:color w:val="000000" w:themeColor="text1"/>
              </w:rPr>
              <w:t>involve</w:t>
            </w:r>
            <w:r w:rsidRPr="46340D3B">
              <w:rPr>
                <w:color w:val="000000" w:themeColor="text1"/>
              </w:rPr>
              <w:t xml:space="preserve"> </w:t>
            </w:r>
            <w:r w:rsidR="000E7208" w:rsidRPr="46340D3B">
              <w:rPr>
                <w:color w:val="000000" w:themeColor="text1"/>
              </w:rPr>
              <w:t xml:space="preserve">key </w:t>
            </w:r>
            <w:r w:rsidRPr="46340D3B">
              <w:rPr>
                <w:color w:val="000000" w:themeColor="text1"/>
              </w:rPr>
              <w:t>national counterpart</w:t>
            </w:r>
            <w:r w:rsidR="000E7208" w:rsidRPr="46340D3B">
              <w:rPr>
                <w:color w:val="000000" w:themeColor="text1"/>
              </w:rPr>
              <w:t>s</w:t>
            </w:r>
            <w:r w:rsidR="00353106" w:rsidRPr="46340D3B">
              <w:rPr>
                <w:color w:val="000000" w:themeColor="text1"/>
              </w:rPr>
              <w:t xml:space="preserve"> and other</w:t>
            </w:r>
            <w:r w:rsidRPr="46340D3B">
              <w:rPr>
                <w:color w:val="000000" w:themeColor="text1"/>
              </w:rPr>
              <w:t xml:space="preserve"> stakeholders including donors. UNDP engages the stakeholders through the project board that is the governing body for each project </w:t>
            </w:r>
            <w:r w:rsidR="00755043" w:rsidRPr="46340D3B">
              <w:rPr>
                <w:color w:val="000000" w:themeColor="text1"/>
              </w:rPr>
              <w:t>as well as through representation in project events, joint monitoring visits, and consultations during implementation. Given the nature of the project, stakeholders at national, sub-national and community level</w:t>
            </w:r>
            <w:r w:rsidR="000E7208" w:rsidRPr="46340D3B">
              <w:rPr>
                <w:color w:val="000000" w:themeColor="text1"/>
              </w:rPr>
              <w:t>s</w:t>
            </w:r>
            <w:r w:rsidR="00755043" w:rsidRPr="46340D3B">
              <w:rPr>
                <w:color w:val="000000" w:themeColor="text1"/>
              </w:rPr>
              <w:t xml:space="preserve"> are engaged in the project implementation. </w:t>
            </w:r>
            <w:r w:rsidR="64595EA8" w:rsidRPr="46340D3B">
              <w:rPr>
                <w:color w:val="000000" w:themeColor="text1"/>
              </w:rPr>
              <w:t xml:space="preserve"> These modalities are expected to enable the coordinated participation of stakeholders at various levels.</w:t>
            </w:r>
          </w:p>
        </w:tc>
      </w:tr>
      <w:tr w:rsidR="009944CD" w:rsidRPr="005323D5" w14:paraId="79DAD1FE" w14:textId="11E33B00" w:rsidTr="00AD3162">
        <w:trPr>
          <w:trHeight w:val="476"/>
        </w:trPr>
        <w:tc>
          <w:tcPr>
            <w:tcW w:w="2492" w:type="pct"/>
            <w:vAlign w:val="center"/>
          </w:tcPr>
          <w:p w14:paraId="74399240" w14:textId="77777777" w:rsidR="009944CD" w:rsidRDefault="009944CD" w:rsidP="009944CD">
            <w:pPr>
              <w:pStyle w:val="ListParagraph"/>
              <w:numPr>
                <w:ilvl w:val="0"/>
                <w:numId w:val="1"/>
              </w:numPr>
              <w:spacing w:after="0" w:line="240" w:lineRule="auto"/>
              <w:contextualSpacing w:val="0"/>
            </w:pPr>
            <w:r>
              <w:t>Coordination with UN agencies and donors is outlined but less so for other implementing agencies. It would be useful to clarify all key expected implementing agents, to avoid potential duplication.</w:t>
            </w:r>
          </w:p>
          <w:p w14:paraId="5FAC8E45" w14:textId="77777777" w:rsidR="009944CD" w:rsidRPr="00A457DA" w:rsidRDefault="009944CD" w:rsidP="009C7D87">
            <w:pPr>
              <w:pStyle w:val="ListParagraph"/>
              <w:rPr>
                <w:rFonts w:cs="Times New Roman"/>
                <w:sz w:val="24"/>
                <w:szCs w:val="24"/>
              </w:rPr>
            </w:pPr>
          </w:p>
        </w:tc>
        <w:tc>
          <w:tcPr>
            <w:tcW w:w="2508" w:type="pct"/>
          </w:tcPr>
          <w:p w14:paraId="555B1AD5" w14:textId="4B0CD50D" w:rsidR="009944CD" w:rsidRPr="00BE5449" w:rsidRDefault="00F269AE" w:rsidP="00353106">
            <w:pPr>
              <w:pStyle w:val="ListParagraph"/>
              <w:numPr>
                <w:ilvl w:val="0"/>
                <w:numId w:val="3"/>
              </w:numPr>
              <w:spacing w:after="0" w:line="240" w:lineRule="auto"/>
              <w:contextualSpacing w:val="0"/>
              <w:rPr>
                <w:rFonts w:eastAsia="Times New Roman"/>
                <w:lang w:val="en-GB"/>
              </w:rPr>
            </w:pPr>
            <w:r w:rsidRPr="46340D3B">
              <w:rPr>
                <w:color w:val="000000" w:themeColor="text1"/>
              </w:rPr>
              <w:t xml:space="preserve">All expected implementing agencies are mentioned in the Results and </w:t>
            </w:r>
            <w:r w:rsidR="00353106" w:rsidRPr="46340D3B">
              <w:rPr>
                <w:color w:val="000000" w:themeColor="text1"/>
              </w:rPr>
              <w:t>R</w:t>
            </w:r>
            <w:r w:rsidRPr="46340D3B">
              <w:rPr>
                <w:color w:val="000000" w:themeColor="text1"/>
              </w:rPr>
              <w:t>esources</w:t>
            </w:r>
            <w:r w:rsidR="00353106" w:rsidRPr="46340D3B">
              <w:rPr>
                <w:color w:val="000000" w:themeColor="text1"/>
              </w:rPr>
              <w:t xml:space="preserve"> F</w:t>
            </w:r>
            <w:r w:rsidRPr="46340D3B">
              <w:rPr>
                <w:color w:val="000000" w:themeColor="text1"/>
              </w:rPr>
              <w:t>ramework table under the column “</w:t>
            </w:r>
            <w:r w:rsidR="00DD1231" w:rsidRPr="46340D3B">
              <w:rPr>
                <w:color w:val="000000" w:themeColor="text1"/>
              </w:rPr>
              <w:t xml:space="preserve">Major Partners/partnerships” for each output. </w:t>
            </w:r>
            <w:r w:rsidR="7F9D2855" w:rsidRPr="46340D3B">
              <w:rPr>
                <w:color w:val="000000" w:themeColor="text1"/>
              </w:rPr>
              <w:t>The UNDP CPD is aligned to the UN Sustainable Development Cooperation Framework (UNSDCF), which further describes p</w:t>
            </w:r>
            <w:r w:rsidR="0037270A" w:rsidRPr="46340D3B">
              <w:rPr>
                <w:color w:val="000000" w:themeColor="text1"/>
              </w:rPr>
              <w:t xml:space="preserve">artnership aspects and the roles and responsibilities of individual </w:t>
            </w:r>
            <w:proofErr w:type="gramStart"/>
            <w:r w:rsidR="0037270A" w:rsidRPr="46340D3B">
              <w:rPr>
                <w:color w:val="000000" w:themeColor="text1"/>
              </w:rPr>
              <w:t>agencies .</w:t>
            </w:r>
            <w:proofErr w:type="gramEnd"/>
            <w:r w:rsidR="0037270A" w:rsidRPr="46340D3B">
              <w:rPr>
                <w:color w:val="000000" w:themeColor="text1"/>
              </w:rPr>
              <w:t xml:space="preserve"> UNDP’s </w:t>
            </w:r>
            <w:proofErr w:type="gramStart"/>
            <w:r w:rsidR="0037270A" w:rsidRPr="46340D3B">
              <w:rPr>
                <w:color w:val="000000" w:themeColor="text1"/>
              </w:rPr>
              <w:t>CPD  elaborates</w:t>
            </w:r>
            <w:proofErr w:type="gramEnd"/>
            <w:r w:rsidR="0037270A" w:rsidRPr="46340D3B">
              <w:rPr>
                <w:color w:val="000000" w:themeColor="text1"/>
              </w:rPr>
              <w:t xml:space="preserve"> on </w:t>
            </w:r>
            <w:r w:rsidR="00353106" w:rsidRPr="46340D3B">
              <w:rPr>
                <w:color w:val="000000" w:themeColor="text1"/>
              </w:rPr>
              <w:t>UNDP’s</w:t>
            </w:r>
            <w:r w:rsidR="0037270A" w:rsidRPr="46340D3B">
              <w:rPr>
                <w:color w:val="000000" w:themeColor="text1"/>
              </w:rPr>
              <w:t xml:space="preserve"> strengths and value-added as part of the UN Country Team</w:t>
            </w:r>
            <w:r w:rsidR="00FE5F89" w:rsidRPr="46340D3B">
              <w:rPr>
                <w:color w:val="000000" w:themeColor="text1"/>
              </w:rPr>
              <w:t>.</w:t>
            </w:r>
          </w:p>
        </w:tc>
      </w:tr>
      <w:tr w:rsidR="009944CD" w:rsidRPr="005323D5" w14:paraId="5C347BE1" w14:textId="2321412F" w:rsidTr="00AD3162">
        <w:trPr>
          <w:trHeight w:val="476"/>
        </w:trPr>
        <w:tc>
          <w:tcPr>
            <w:tcW w:w="2492" w:type="pct"/>
            <w:vAlign w:val="center"/>
          </w:tcPr>
          <w:p w14:paraId="5AB6F0D0" w14:textId="77777777" w:rsidR="009944CD" w:rsidRDefault="009944CD" w:rsidP="009944CD">
            <w:pPr>
              <w:pStyle w:val="ListParagraph"/>
              <w:numPr>
                <w:ilvl w:val="0"/>
                <w:numId w:val="1"/>
              </w:numPr>
              <w:spacing w:after="0" w:line="240" w:lineRule="auto"/>
              <w:contextualSpacing w:val="0"/>
            </w:pPr>
            <w:r>
              <w:t xml:space="preserve">Local ownership is critical for success, and we encourage UNDP to strengthen even further the process for consultation with affected parties, particularly youth and women’s network or groups. </w:t>
            </w:r>
          </w:p>
          <w:p w14:paraId="37413900" w14:textId="77777777" w:rsidR="009944CD" w:rsidRPr="00A457DA" w:rsidRDefault="009944CD" w:rsidP="009C7D87">
            <w:pPr>
              <w:pStyle w:val="ListParagraph"/>
              <w:rPr>
                <w:rFonts w:cs="Times New Roman"/>
                <w:sz w:val="24"/>
                <w:szCs w:val="24"/>
              </w:rPr>
            </w:pPr>
          </w:p>
        </w:tc>
        <w:tc>
          <w:tcPr>
            <w:tcW w:w="2508" w:type="pct"/>
          </w:tcPr>
          <w:p w14:paraId="4DCE7FD1" w14:textId="3C57389D" w:rsidR="009944CD" w:rsidRDefault="00CA08AB" w:rsidP="009944CD">
            <w:pPr>
              <w:pStyle w:val="ListParagraph"/>
              <w:numPr>
                <w:ilvl w:val="0"/>
                <w:numId w:val="1"/>
              </w:numPr>
              <w:spacing w:after="0" w:line="240" w:lineRule="auto"/>
              <w:contextualSpacing w:val="0"/>
            </w:pPr>
            <w:r>
              <w:t>UNDP indeed engages with local stakeholders</w:t>
            </w:r>
            <w:r w:rsidR="74EAF2F5">
              <w:t>, including youth and women’s groups,</w:t>
            </w:r>
            <w:r w:rsidR="008973D6">
              <w:t xml:space="preserve"> through its ongoing initiatives</w:t>
            </w:r>
            <w:r w:rsidR="00EC34B4">
              <w:t>,</w:t>
            </w:r>
            <w:r w:rsidR="008973D6">
              <w:t xml:space="preserve"> many of which will be continued under the new CPD cycle</w:t>
            </w:r>
            <w:r w:rsidR="00100611">
              <w:t xml:space="preserve">. UNDP also engages </w:t>
            </w:r>
            <w:r w:rsidR="00353106">
              <w:t>with</w:t>
            </w:r>
            <w:r w:rsidR="00100611">
              <w:t xml:space="preserve"> stakeholders including youth and women’s groups during </w:t>
            </w:r>
            <w:r w:rsidR="00353106">
              <w:t xml:space="preserve">the </w:t>
            </w:r>
            <w:r w:rsidR="00100611">
              <w:t>formulation</w:t>
            </w:r>
            <w:r w:rsidR="00353106">
              <w:t xml:space="preserve"> of</w:t>
            </w:r>
            <w:r w:rsidR="00100611">
              <w:t xml:space="preserve"> </w:t>
            </w:r>
            <w:r w:rsidR="00353106">
              <w:t>new projects</w:t>
            </w:r>
            <w:r w:rsidR="70FA0D76">
              <w:t xml:space="preserve"> and this will be actively pursued</w:t>
            </w:r>
            <w:r w:rsidR="00EC34B4">
              <w:t>.</w:t>
            </w:r>
          </w:p>
        </w:tc>
      </w:tr>
      <w:tr w:rsidR="009944CD" w:rsidRPr="005323D5" w14:paraId="3F95BA80" w14:textId="060A434E" w:rsidTr="00AD3162">
        <w:trPr>
          <w:trHeight w:val="476"/>
        </w:trPr>
        <w:tc>
          <w:tcPr>
            <w:tcW w:w="2492" w:type="pct"/>
            <w:vAlign w:val="center"/>
          </w:tcPr>
          <w:p w14:paraId="6481607F" w14:textId="77777777" w:rsidR="009944CD" w:rsidRDefault="009944CD" w:rsidP="009944CD">
            <w:pPr>
              <w:pStyle w:val="ListParagraph"/>
              <w:numPr>
                <w:ilvl w:val="0"/>
                <w:numId w:val="1"/>
              </w:numPr>
              <w:spacing w:after="0" w:line="240" w:lineRule="auto"/>
              <w:contextualSpacing w:val="0"/>
            </w:pPr>
            <w:r>
              <w:t>Poverty and climate change challenges are rightly noted throughout the document; we encourage more specific mention of the high rate of malnutrition that is a key result of the poverty and climate change challenges on Timorese.</w:t>
            </w:r>
          </w:p>
          <w:p w14:paraId="525FC858" w14:textId="77777777" w:rsidR="009944CD" w:rsidRPr="00A457DA" w:rsidRDefault="009944CD" w:rsidP="009C7D87">
            <w:pPr>
              <w:pStyle w:val="ListParagraph"/>
              <w:rPr>
                <w:rFonts w:cs="Times New Roman"/>
                <w:sz w:val="24"/>
                <w:szCs w:val="24"/>
              </w:rPr>
            </w:pPr>
          </w:p>
        </w:tc>
        <w:tc>
          <w:tcPr>
            <w:tcW w:w="2508" w:type="pct"/>
          </w:tcPr>
          <w:p w14:paraId="52C4BAA9" w14:textId="0FE5406D" w:rsidR="009944CD" w:rsidRDefault="00ED6E59" w:rsidP="009944CD">
            <w:pPr>
              <w:pStyle w:val="ListParagraph"/>
              <w:numPr>
                <w:ilvl w:val="0"/>
                <w:numId w:val="1"/>
              </w:numPr>
              <w:spacing w:after="0" w:line="240" w:lineRule="auto"/>
              <w:contextualSpacing w:val="0"/>
            </w:pPr>
            <w:r>
              <w:t xml:space="preserve">Malnutrition was identified as one of the </w:t>
            </w:r>
            <w:r w:rsidR="00474BF3">
              <w:t xml:space="preserve">development challenges in Timor-Leste by the Common Country Analysis (CCA) that informed the UN Sustainable Development </w:t>
            </w:r>
            <w:r w:rsidR="005F12D6">
              <w:t>Cooperation Framework (UNSDCF)</w:t>
            </w:r>
            <w:r w:rsidR="2DE44FD3">
              <w:t>,</w:t>
            </w:r>
            <w:r w:rsidR="005F12D6">
              <w:t xml:space="preserve"> which has provided the larger programmatic framing for </w:t>
            </w:r>
            <w:r w:rsidR="00EC34B4">
              <w:t>the</w:t>
            </w:r>
            <w:r w:rsidR="005F12D6">
              <w:t xml:space="preserve"> CPD formulation. UNICEF, </w:t>
            </w:r>
            <w:proofErr w:type="gramStart"/>
            <w:r w:rsidR="005F12D6">
              <w:t>WFP</w:t>
            </w:r>
            <w:proofErr w:type="gramEnd"/>
            <w:r w:rsidR="005F12D6">
              <w:t xml:space="preserve"> and other agencies work directly on </w:t>
            </w:r>
            <w:r w:rsidR="005F12D6">
              <w:lastRenderedPageBreak/>
              <w:t>mal</w:t>
            </w:r>
            <w:r w:rsidR="00EB627A">
              <w:t xml:space="preserve">nutrition issues as per the </w:t>
            </w:r>
            <w:r w:rsidR="03612214">
              <w:t xml:space="preserve">agreed </w:t>
            </w:r>
            <w:r w:rsidR="00EB627A">
              <w:t>division of labour among the UN agencies</w:t>
            </w:r>
            <w:r w:rsidR="00353106">
              <w:t>.</w:t>
            </w:r>
            <w:r w:rsidR="00EB627A">
              <w:t xml:space="preserve"> UNDP</w:t>
            </w:r>
            <w:r w:rsidR="0017781E">
              <w:t xml:space="preserve">’s contribution to addressing malnutrition is indirect through poverty reduction programmes, employment programmes </w:t>
            </w:r>
            <w:r w:rsidR="00FC1721">
              <w:t xml:space="preserve">and resilience programmes. </w:t>
            </w:r>
            <w:r w:rsidR="00EB627A">
              <w:t xml:space="preserve"> </w:t>
            </w:r>
          </w:p>
        </w:tc>
      </w:tr>
      <w:tr w:rsidR="009944CD" w:rsidRPr="005323D5" w14:paraId="4E593871" w14:textId="6039CF7E" w:rsidTr="00AD3162">
        <w:trPr>
          <w:trHeight w:val="476"/>
        </w:trPr>
        <w:tc>
          <w:tcPr>
            <w:tcW w:w="2492" w:type="pct"/>
            <w:vAlign w:val="center"/>
          </w:tcPr>
          <w:p w14:paraId="6E2094DE" w14:textId="722A52EF" w:rsidR="009944CD" w:rsidRDefault="009944CD" w:rsidP="009944CD">
            <w:pPr>
              <w:pStyle w:val="ListParagraph"/>
              <w:numPr>
                <w:ilvl w:val="0"/>
                <w:numId w:val="1"/>
              </w:numPr>
              <w:spacing w:after="0" w:line="240" w:lineRule="auto"/>
              <w:contextualSpacing w:val="0"/>
            </w:pPr>
            <w:r>
              <w:lastRenderedPageBreak/>
              <w:t xml:space="preserve">Disengaged youth challenges are also rightly mentioned, but perhaps the document could also refer to the challenges Timorese children face in their education experience before the age of 15, which are a key reason why over 20% of 15-24 year </w:t>
            </w:r>
            <w:proofErr w:type="spellStart"/>
            <w:r>
              <w:t>olds</w:t>
            </w:r>
            <w:proofErr w:type="spellEnd"/>
            <w:r>
              <w:t xml:space="preserve"> are not in any formal education/training/employment. Vocational training/decent work opportunities for youth need to be complemented by improvements in a child’s school education experience to ensure less Timorese fall into the disengaged youth group in future years.</w:t>
            </w:r>
          </w:p>
          <w:p w14:paraId="4734C43D" w14:textId="6D124D3F" w:rsidR="009944CD" w:rsidRPr="002B3ED1" w:rsidRDefault="009944CD" w:rsidP="002B3ED1">
            <w:pPr>
              <w:pStyle w:val="ListParagraph"/>
              <w:numPr>
                <w:ilvl w:val="0"/>
                <w:numId w:val="1"/>
              </w:numPr>
              <w:spacing w:after="0" w:line="240" w:lineRule="auto"/>
              <w:contextualSpacing w:val="0"/>
            </w:pPr>
            <w:r>
              <w:t>The resilience component is useful but it would be helpful if it could also address the issues of (i) systems strengthening (not only M&amp;E and innovations) and (ii) maintenance, which we know is a problem.</w:t>
            </w:r>
          </w:p>
        </w:tc>
        <w:tc>
          <w:tcPr>
            <w:tcW w:w="2508" w:type="pct"/>
          </w:tcPr>
          <w:p w14:paraId="2BB9A72F" w14:textId="0719DBFD" w:rsidR="009944CD" w:rsidRDefault="00B32DB5" w:rsidP="009944CD">
            <w:pPr>
              <w:pStyle w:val="ListParagraph"/>
              <w:numPr>
                <w:ilvl w:val="0"/>
                <w:numId w:val="1"/>
              </w:numPr>
              <w:spacing w:after="0" w:line="240" w:lineRule="auto"/>
              <w:contextualSpacing w:val="0"/>
            </w:pPr>
            <w:r>
              <w:t xml:space="preserve">We agree with the need to </w:t>
            </w:r>
            <w:r w:rsidR="002119FF">
              <w:t>complement vocational training</w:t>
            </w:r>
            <w:r w:rsidR="00B677F9">
              <w:t xml:space="preserve"> and </w:t>
            </w:r>
            <w:r w:rsidR="002119FF">
              <w:t>decent work opportunities for youth with improvements in school education</w:t>
            </w:r>
            <w:r w:rsidR="004B47FC">
              <w:t>. UNDP’s engagement in improving education is limited</w:t>
            </w:r>
            <w:r w:rsidR="00B677F9">
              <w:t>,</w:t>
            </w:r>
            <w:r w:rsidR="0034708D">
              <w:t xml:space="preserve"> as sister agencies </w:t>
            </w:r>
            <w:r w:rsidR="00353106">
              <w:t xml:space="preserve">such as </w:t>
            </w:r>
            <w:r w:rsidR="0034708D">
              <w:t>UNICEF and UNESCO are directly engaged in this area</w:t>
            </w:r>
            <w:r w:rsidR="004957B5">
              <w:t xml:space="preserve">. </w:t>
            </w:r>
            <w:r w:rsidR="006F7DC3">
              <w:t xml:space="preserve">In </w:t>
            </w:r>
            <w:r w:rsidR="00B20C39">
              <w:t xml:space="preserve">our work on improving youth employability, UNDP will look at </w:t>
            </w:r>
            <w:r w:rsidR="00152883">
              <w:t>school</w:t>
            </w:r>
            <w:r w:rsidR="00E935E3">
              <w:t>-</w:t>
            </w:r>
            <w:r w:rsidR="00152883">
              <w:t>to</w:t>
            </w:r>
            <w:r w:rsidR="00E935E3">
              <w:t>-</w:t>
            </w:r>
            <w:r w:rsidR="00152883">
              <w:t xml:space="preserve">work transition initiatives </w:t>
            </w:r>
            <w:r w:rsidR="00697F91">
              <w:t>and</w:t>
            </w:r>
            <w:r w:rsidR="00877079">
              <w:t xml:space="preserve"> will coordinate closely with UN sister agencies in this regard. </w:t>
            </w:r>
          </w:p>
          <w:p w14:paraId="13F31754" w14:textId="77777777" w:rsidR="00D8187D" w:rsidRDefault="0013058C" w:rsidP="009944CD">
            <w:pPr>
              <w:pStyle w:val="ListParagraph"/>
              <w:numPr>
                <w:ilvl w:val="0"/>
                <w:numId w:val="1"/>
              </w:numPr>
              <w:spacing w:after="0" w:line="240" w:lineRule="auto"/>
              <w:contextualSpacing w:val="0"/>
            </w:pPr>
            <w:r>
              <w:t xml:space="preserve">The work on strengthening resilience will </w:t>
            </w:r>
            <w:r w:rsidR="00AD5E74">
              <w:t>build capacities of the relevant government agencies (e.g. Ministry of State Administration and the relevant divisions</w:t>
            </w:r>
            <w:r w:rsidR="0020333D">
              <w:t xml:space="preserve"> and </w:t>
            </w:r>
            <w:r w:rsidR="00AD5E74">
              <w:t>units within it, as well as the Municipalities</w:t>
            </w:r>
            <w:r w:rsidR="002A787F">
              <w:t>, Secretariat of State for civil protection</w:t>
            </w:r>
            <w:r w:rsidR="00F61EF3">
              <w:t xml:space="preserve">) in climate proofing rural infrastructure through the development of </w:t>
            </w:r>
            <w:r w:rsidR="000A4BD6">
              <w:t xml:space="preserve">systems. The issue of maintenance </w:t>
            </w:r>
            <w:r w:rsidR="0091543A">
              <w:t>is</w:t>
            </w:r>
            <w:r w:rsidR="000A4BD6">
              <w:t xml:space="preserve"> integrated </w:t>
            </w:r>
            <w:r w:rsidR="006A5F0A">
              <w:t>in</w:t>
            </w:r>
            <w:r w:rsidR="00E935E3">
              <w:t>to</w:t>
            </w:r>
            <w:r w:rsidR="006A5F0A">
              <w:t xml:space="preserve"> the design of the </w:t>
            </w:r>
            <w:r w:rsidR="006700B0">
              <w:t>climate resilient infrastructure</w:t>
            </w:r>
            <w:r w:rsidR="007A487F">
              <w:t>:</w:t>
            </w:r>
            <w:r w:rsidR="006700B0">
              <w:t xml:space="preserve"> </w:t>
            </w:r>
            <w:r w:rsidR="008F20C1">
              <w:t>the provision of community maintenance group for each infrastructure is included in the project</w:t>
            </w:r>
            <w:r w:rsidR="007A487F">
              <w:t xml:space="preserve">, </w:t>
            </w:r>
            <w:r w:rsidR="004D4EC2">
              <w:t>and their capacity will be built by the project for maintenance. Maintenance costs are covered from the Government’s cost-sharing portion</w:t>
            </w:r>
            <w:r w:rsidR="008F20C1">
              <w:t xml:space="preserve">.  </w:t>
            </w:r>
          </w:p>
          <w:p w14:paraId="24D9F668" w14:textId="44DE01AD" w:rsidR="00D83EBA" w:rsidRDefault="00CC1DD9" w:rsidP="00D8187D">
            <w:pPr>
              <w:pStyle w:val="ListParagraph"/>
              <w:spacing w:after="0" w:line="240" w:lineRule="auto"/>
              <w:contextualSpacing w:val="0"/>
            </w:pPr>
            <w:r>
              <w:t xml:space="preserve"> </w:t>
            </w:r>
            <w:r w:rsidR="00540DF2">
              <w:t xml:space="preserve"> </w:t>
            </w:r>
          </w:p>
        </w:tc>
      </w:tr>
      <w:tr w:rsidR="009944CD" w:rsidRPr="005323D5" w14:paraId="5E9E2709" w14:textId="58CEC142" w:rsidTr="00AD3162">
        <w:trPr>
          <w:trHeight w:val="476"/>
        </w:trPr>
        <w:tc>
          <w:tcPr>
            <w:tcW w:w="2492" w:type="pct"/>
            <w:vAlign w:val="center"/>
          </w:tcPr>
          <w:p w14:paraId="4FD7308D" w14:textId="77777777" w:rsidR="009944CD" w:rsidRDefault="009944CD" w:rsidP="009944CD">
            <w:pPr>
              <w:pStyle w:val="ListParagraph"/>
              <w:numPr>
                <w:ilvl w:val="0"/>
                <w:numId w:val="1"/>
              </w:numPr>
              <w:spacing w:after="0" w:line="240" w:lineRule="auto"/>
              <w:contextualSpacing w:val="0"/>
            </w:pPr>
            <w:r>
              <w:t>Under risk management, we think it would be helpful if UNDP could consider (i) how it can advocate for the government to allocate sufficient resources to cover agencies’ operational budgets as well as staff salaries, to ensure that they can operate effectively; and (ii) the risk that key government agencies are unable to utilise even the limited funding they are allocated due to ineffective systems.</w:t>
            </w:r>
          </w:p>
          <w:p w14:paraId="0D6E6179" w14:textId="77777777" w:rsidR="009944CD" w:rsidRDefault="009944CD" w:rsidP="002B3ED1">
            <w:pPr>
              <w:spacing w:after="0" w:line="240" w:lineRule="auto"/>
              <w:ind w:left="360"/>
            </w:pPr>
          </w:p>
        </w:tc>
        <w:tc>
          <w:tcPr>
            <w:tcW w:w="2508" w:type="pct"/>
          </w:tcPr>
          <w:p w14:paraId="573D4DF1" w14:textId="40ED621A" w:rsidR="006567FD" w:rsidRPr="003A1750" w:rsidRDefault="007A487F" w:rsidP="00353106">
            <w:pPr>
              <w:pStyle w:val="ListParagraph"/>
              <w:numPr>
                <w:ilvl w:val="0"/>
                <w:numId w:val="3"/>
              </w:numPr>
              <w:spacing w:after="0" w:line="240" w:lineRule="auto"/>
              <w:contextualSpacing w:val="0"/>
              <w:rPr>
                <w:rFonts w:eastAsia="Times New Roman"/>
              </w:rPr>
            </w:pPr>
            <w:r>
              <w:rPr>
                <w:rFonts w:eastAsia="Times New Roman"/>
              </w:rPr>
              <w:t>Regarding point</w:t>
            </w:r>
            <w:r w:rsidR="007761CD" w:rsidRPr="46340D3B">
              <w:rPr>
                <w:rFonts w:eastAsia="Times New Roman"/>
              </w:rPr>
              <w:t xml:space="preserve"> </w:t>
            </w:r>
            <w:proofErr w:type="spellStart"/>
            <w:r w:rsidR="007761CD" w:rsidRPr="46340D3B">
              <w:rPr>
                <w:rFonts w:eastAsia="Times New Roman"/>
              </w:rPr>
              <w:t>i</w:t>
            </w:r>
            <w:proofErr w:type="spellEnd"/>
            <w:r w:rsidR="007761CD" w:rsidRPr="46340D3B">
              <w:rPr>
                <w:rFonts w:eastAsia="Times New Roman"/>
              </w:rPr>
              <w:t xml:space="preserve">): </w:t>
            </w:r>
            <w:r w:rsidR="00AF6153" w:rsidRPr="46340D3B">
              <w:rPr>
                <w:rFonts w:eastAsia="Times New Roman"/>
              </w:rPr>
              <w:t>Since Timor-Leste is still an LDC in addition to being a</w:t>
            </w:r>
            <w:r w:rsidR="00DC769B" w:rsidRPr="46340D3B">
              <w:rPr>
                <w:rFonts w:eastAsia="Times New Roman"/>
              </w:rPr>
              <w:t xml:space="preserve"> </w:t>
            </w:r>
            <w:r w:rsidR="00AF6153" w:rsidRPr="46340D3B">
              <w:rPr>
                <w:rFonts w:eastAsia="Times New Roman"/>
              </w:rPr>
              <w:t>SIDS, all core operating expenditures are covered through UNDP</w:t>
            </w:r>
            <w:r w:rsidR="00C1390E" w:rsidRPr="46340D3B">
              <w:rPr>
                <w:rFonts w:eastAsia="Times New Roman"/>
              </w:rPr>
              <w:t>’s</w:t>
            </w:r>
            <w:r w:rsidR="00AF6153" w:rsidRPr="46340D3B">
              <w:rPr>
                <w:rFonts w:eastAsia="Times New Roman"/>
              </w:rPr>
              <w:t xml:space="preserve"> core contributions. In MIC/upper-MIC settings</w:t>
            </w:r>
            <w:r w:rsidR="00C1390E" w:rsidRPr="46340D3B">
              <w:rPr>
                <w:rFonts w:eastAsia="Times New Roman"/>
              </w:rPr>
              <w:t>,</w:t>
            </w:r>
            <w:r w:rsidR="00AF6153" w:rsidRPr="46340D3B">
              <w:rPr>
                <w:rFonts w:eastAsia="Times New Roman"/>
              </w:rPr>
              <w:t xml:space="preserve"> </w:t>
            </w:r>
            <w:r w:rsidR="0020716C" w:rsidRPr="46340D3B">
              <w:rPr>
                <w:rFonts w:eastAsia="Times New Roman"/>
              </w:rPr>
              <w:t>UNDP</w:t>
            </w:r>
            <w:r w:rsidR="00AF6153" w:rsidRPr="46340D3B">
              <w:rPr>
                <w:rFonts w:eastAsia="Times New Roman"/>
              </w:rPr>
              <w:t xml:space="preserve"> covers staff salaries and other expenses. </w:t>
            </w:r>
            <w:r w:rsidR="002A3759" w:rsidRPr="46340D3B">
              <w:rPr>
                <w:rFonts w:eastAsia="Times New Roman"/>
              </w:rPr>
              <w:t>UNDP</w:t>
            </w:r>
            <w:r w:rsidR="00AF6153" w:rsidRPr="46340D3B">
              <w:rPr>
                <w:rFonts w:eastAsia="Times New Roman"/>
              </w:rPr>
              <w:t xml:space="preserve"> receive</w:t>
            </w:r>
            <w:r w:rsidR="002A3759" w:rsidRPr="46340D3B">
              <w:rPr>
                <w:rFonts w:eastAsia="Times New Roman"/>
              </w:rPr>
              <w:t>s</w:t>
            </w:r>
            <w:r w:rsidR="00AF6153" w:rsidRPr="46340D3B">
              <w:rPr>
                <w:rFonts w:eastAsia="Times New Roman"/>
              </w:rPr>
              <w:t xml:space="preserve"> regular </w:t>
            </w:r>
            <w:r w:rsidR="002A3759" w:rsidRPr="46340D3B">
              <w:rPr>
                <w:rFonts w:eastAsia="Times New Roman"/>
              </w:rPr>
              <w:t xml:space="preserve">annual </w:t>
            </w:r>
            <w:r w:rsidR="00F523CB" w:rsidRPr="46340D3B">
              <w:rPr>
                <w:rFonts w:eastAsia="Times New Roman"/>
              </w:rPr>
              <w:t>Government Contribution to Local Office Costs (</w:t>
            </w:r>
            <w:r w:rsidR="00AF6153" w:rsidRPr="46340D3B">
              <w:rPr>
                <w:rFonts w:eastAsia="Times New Roman"/>
              </w:rPr>
              <w:t>GLOC</w:t>
            </w:r>
            <w:r w:rsidR="00F523CB" w:rsidRPr="46340D3B">
              <w:rPr>
                <w:rFonts w:eastAsia="Times New Roman"/>
              </w:rPr>
              <w:t>)</w:t>
            </w:r>
            <w:r w:rsidR="00AF6153" w:rsidRPr="46340D3B">
              <w:rPr>
                <w:rFonts w:eastAsia="Times New Roman"/>
              </w:rPr>
              <w:t xml:space="preserve"> contributions from Timor-Leste</w:t>
            </w:r>
            <w:r w:rsidR="002A3759" w:rsidRPr="46340D3B">
              <w:rPr>
                <w:rFonts w:eastAsia="Times New Roman"/>
              </w:rPr>
              <w:t xml:space="preserve"> to cover local operating costs</w:t>
            </w:r>
            <w:r w:rsidR="00AF6153" w:rsidRPr="46340D3B">
              <w:rPr>
                <w:rFonts w:eastAsia="Times New Roman"/>
              </w:rPr>
              <w:t>.  </w:t>
            </w:r>
          </w:p>
          <w:p w14:paraId="48782987" w14:textId="77777777" w:rsidR="00AF6153" w:rsidRPr="00D8187D" w:rsidRDefault="00D8187D" w:rsidP="00353106">
            <w:pPr>
              <w:pStyle w:val="ListParagraph"/>
              <w:numPr>
                <w:ilvl w:val="0"/>
                <w:numId w:val="3"/>
              </w:numPr>
              <w:spacing w:after="0" w:line="240" w:lineRule="auto"/>
              <w:contextualSpacing w:val="0"/>
              <w:rPr>
                <w:rFonts w:eastAsia="Times New Roman"/>
                <w:lang w:val="en-GB"/>
              </w:rPr>
            </w:pPr>
            <w:r>
              <w:rPr>
                <w:rFonts w:eastAsia="Times New Roman"/>
              </w:rPr>
              <w:t>Regarding point</w:t>
            </w:r>
            <w:r w:rsidR="006567FD" w:rsidRPr="003A1750">
              <w:rPr>
                <w:rFonts w:eastAsia="Times New Roman"/>
              </w:rPr>
              <w:t xml:space="preserve"> ii): </w:t>
            </w:r>
            <w:r w:rsidR="00AF6153" w:rsidRPr="003A1750">
              <w:rPr>
                <w:rFonts w:eastAsia="Times New Roman"/>
              </w:rPr>
              <w:t xml:space="preserve">UNDP embeds intensive capacity development support into all its projects and </w:t>
            </w:r>
            <w:proofErr w:type="gramStart"/>
            <w:r w:rsidR="00AF6153" w:rsidRPr="003A1750">
              <w:rPr>
                <w:rFonts w:eastAsia="Times New Roman"/>
              </w:rPr>
              <w:t>programming</w:t>
            </w:r>
            <w:r>
              <w:rPr>
                <w:rFonts w:eastAsia="Times New Roman"/>
              </w:rPr>
              <w:t>,</w:t>
            </w:r>
            <w:r w:rsidR="00AF6153" w:rsidRPr="003A1750">
              <w:rPr>
                <w:rFonts w:eastAsia="Times New Roman"/>
              </w:rPr>
              <w:t xml:space="preserve"> and</w:t>
            </w:r>
            <w:proofErr w:type="gramEnd"/>
            <w:r w:rsidR="00AF6153" w:rsidRPr="003A1750">
              <w:rPr>
                <w:rFonts w:eastAsia="Times New Roman"/>
              </w:rPr>
              <w:t xml:space="preserve"> provide</w:t>
            </w:r>
            <w:r w:rsidR="006567FD" w:rsidRPr="003A1750">
              <w:rPr>
                <w:rFonts w:eastAsia="Times New Roman"/>
              </w:rPr>
              <w:t>s</w:t>
            </w:r>
            <w:r w:rsidR="00AF6153" w:rsidRPr="003A1750">
              <w:rPr>
                <w:rFonts w:eastAsia="Times New Roman"/>
              </w:rPr>
              <w:t xml:space="preserve"> direct </w:t>
            </w:r>
            <w:r w:rsidR="006567FD" w:rsidRPr="003A1750">
              <w:rPr>
                <w:rFonts w:eastAsia="Times New Roman"/>
              </w:rPr>
              <w:t>implementation</w:t>
            </w:r>
            <w:r w:rsidR="00AF6153" w:rsidRPr="003A1750">
              <w:rPr>
                <w:rFonts w:eastAsia="Times New Roman"/>
              </w:rPr>
              <w:t xml:space="preserve"> support to all nationally implemented projects. </w:t>
            </w:r>
          </w:p>
          <w:p w14:paraId="0ED8D3C7" w14:textId="7713AA46" w:rsidR="00D8187D" w:rsidRPr="003A1750" w:rsidRDefault="00D8187D" w:rsidP="00D8187D">
            <w:pPr>
              <w:pStyle w:val="ListParagraph"/>
              <w:spacing w:after="0" w:line="240" w:lineRule="auto"/>
              <w:contextualSpacing w:val="0"/>
              <w:rPr>
                <w:rFonts w:eastAsia="Times New Roman"/>
                <w:lang w:val="en-GB"/>
              </w:rPr>
            </w:pPr>
          </w:p>
        </w:tc>
      </w:tr>
    </w:tbl>
    <w:p w14:paraId="7C80E1A1" w14:textId="2BE58D1B" w:rsidR="00317562" w:rsidRPr="00435853" w:rsidRDefault="009944CD" w:rsidP="00435853">
      <w:pPr>
        <w:spacing w:after="0" w:line="240" w:lineRule="auto"/>
        <w:jc w:val="center"/>
        <w:rPr>
          <w:rFonts w:cs="Times New Roman"/>
          <w:sz w:val="24"/>
          <w:szCs w:val="24"/>
        </w:rPr>
      </w:pPr>
      <w:r>
        <w:rPr>
          <w:rFonts w:cs="Times New Roman"/>
          <w:sz w:val="24"/>
          <w:szCs w:val="24"/>
        </w:rPr>
        <w:t>_______</w:t>
      </w:r>
    </w:p>
    <w:sectPr w:rsidR="00317562" w:rsidRPr="00435853" w:rsidSect="009F5068">
      <w:footerReference w:type="default" r:id="rId10"/>
      <w:pgSz w:w="16838" w:h="11906" w:orient="landscape"/>
      <w:pgMar w:top="1440" w:right="864"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DED21" w14:textId="77777777" w:rsidR="00C7326B" w:rsidRDefault="00C7326B">
      <w:pPr>
        <w:spacing w:after="0" w:line="240" w:lineRule="auto"/>
      </w:pPr>
      <w:r>
        <w:separator/>
      </w:r>
    </w:p>
  </w:endnote>
  <w:endnote w:type="continuationSeparator" w:id="0">
    <w:p w14:paraId="40AFBDA0" w14:textId="77777777" w:rsidR="00C7326B" w:rsidRDefault="00C73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322901"/>
      <w:docPartObj>
        <w:docPartGallery w:val="Page Numbers (Bottom of Page)"/>
        <w:docPartUnique/>
      </w:docPartObj>
    </w:sdtPr>
    <w:sdtEndPr>
      <w:rPr>
        <w:noProof/>
      </w:rPr>
    </w:sdtEndPr>
    <w:sdtContent>
      <w:p w14:paraId="2FC2FFAA" w14:textId="77777777" w:rsidR="00F3633B" w:rsidRDefault="00F516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D6DCBF" w14:textId="77777777" w:rsidR="00F3633B" w:rsidRDefault="00F56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16830" w14:textId="77777777" w:rsidR="00C7326B" w:rsidRDefault="00C7326B">
      <w:pPr>
        <w:spacing w:after="0" w:line="240" w:lineRule="auto"/>
      </w:pPr>
      <w:r>
        <w:separator/>
      </w:r>
    </w:p>
  </w:footnote>
  <w:footnote w:type="continuationSeparator" w:id="0">
    <w:p w14:paraId="0DB01A3B" w14:textId="77777777" w:rsidR="00C7326B" w:rsidRDefault="00C73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934EA"/>
    <w:multiLevelType w:val="hybridMultilevel"/>
    <w:tmpl w:val="5F64D3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17D2D4B"/>
    <w:multiLevelType w:val="hybridMultilevel"/>
    <w:tmpl w:val="CB40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B3655B"/>
    <w:multiLevelType w:val="hybridMultilevel"/>
    <w:tmpl w:val="3F6C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1C0"/>
    <w:rsid w:val="00012711"/>
    <w:rsid w:val="00076526"/>
    <w:rsid w:val="000A4BD6"/>
    <w:rsid w:val="000A559D"/>
    <w:rsid w:val="000D2B6B"/>
    <w:rsid w:val="000D2F11"/>
    <w:rsid w:val="000E7208"/>
    <w:rsid w:val="00100611"/>
    <w:rsid w:val="0013058C"/>
    <w:rsid w:val="001460D9"/>
    <w:rsid w:val="0015244C"/>
    <w:rsid w:val="00152883"/>
    <w:rsid w:val="00176B8F"/>
    <w:rsid w:val="0017781E"/>
    <w:rsid w:val="001A61C0"/>
    <w:rsid w:val="0020333D"/>
    <w:rsid w:val="0020716C"/>
    <w:rsid w:val="002119FF"/>
    <w:rsid w:val="00222A15"/>
    <w:rsid w:val="00235D7D"/>
    <w:rsid w:val="00237D64"/>
    <w:rsid w:val="00244861"/>
    <w:rsid w:val="002537E2"/>
    <w:rsid w:val="00253E52"/>
    <w:rsid w:val="00254723"/>
    <w:rsid w:val="00287073"/>
    <w:rsid w:val="002A3759"/>
    <w:rsid w:val="002A787F"/>
    <w:rsid w:val="002B3ED1"/>
    <w:rsid w:val="00317562"/>
    <w:rsid w:val="00344125"/>
    <w:rsid w:val="0034708D"/>
    <w:rsid w:val="00353106"/>
    <w:rsid w:val="0037270A"/>
    <w:rsid w:val="003A045D"/>
    <w:rsid w:val="003A1750"/>
    <w:rsid w:val="003E454D"/>
    <w:rsid w:val="00431116"/>
    <w:rsid w:val="00435853"/>
    <w:rsid w:val="00474BF3"/>
    <w:rsid w:val="00475B3C"/>
    <w:rsid w:val="00483748"/>
    <w:rsid w:val="004957B5"/>
    <w:rsid w:val="004B47FC"/>
    <w:rsid w:val="004C0584"/>
    <w:rsid w:val="004D4EC2"/>
    <w:rsid w:val="004E0488"/>
    <w:rsid w:val="004E772E"/>
    <w:rsid w:val="004F2871"/>
    <w:rsid w:val="004F534B"/>
    <w:rsid w:val="0051004B"/>
    <w:rsid w:val="00540DF2"/>
    <w:rsid w:val="00554DC0"/>
    <w:rsid w:val="00573135"/>
    <w:rsid w:val="00577AFD"/>
    <w:rsid w:val="00594E49"/>
    <w:rsid w:val="005A5243"/>
    <w:rsid w:val="005F12D6"/>
    <w:rsid w:val="0060505D"/>
    <w:rsid w:val="006567FD"/>
    <w:rsid w:val="006700B0"/>
    <w:rsid w:val="00670575"/>
    <w:rsid w:val="00697F91"/>
    <w:rsid w:val="006A5F0A"/>
    <w:rsid w:val="006C27BF"/>
    <w:rsid w:val="006E0E4B"/>
    <w:rsid w:val="006F7DC3"/>
    <w:rsid w:val="0073697A"/>
    <w:rsid w:val="00755043"/>
    <w:rsid w:val="007761CD"/>
    <w:rsid w:val="007A487F"/>
    <w:rsid w:val="007C4F4C"/>
    <w:rsid w:val="00861E2D"/>
    <w:rsid w:val="00865D94"/>
    <w:rsid w:val="00877079"/>
    <w:rsid w:val="00887728"/>
    <w:rsid w:val="008919A3"/>
    <w:rsid w:val="008973D6"/>
    <w:rsid w:val="008A3B16"/>
    <w:rsid w:val="008A764C"/>
    <w:rsid w:val="008F20C1"/>
    <w:rsid w:val="008F4C53"/>
    <w:rsid w:val="0091543A"/>
    <w:rsid w:val="00973CB2"/>
    <w:rsid w:val="009879A5"/>
    <w:rsid w:val="009944CD"/>
    <w:rsid w:val="00A33391"/>
    <w:rsid w:val="00AA1564"/>
    <w:rsid w:val="00AA759A"/>
    <w:rsid w:val="00AD3162"/>
    <w:rsid w:val="00AD5E74"/>
    <w:rsid w:val="00AF6153"/>
    <w:rsid w:val="00B20C39"/>
    <w:rsid w:val="00B2224C"/>
    <w:rsid w:val="00B32DB5"/>
    <w:rsid w:val="00B46FAD"/>
    <w:rsid w:val="00B53683"/>
    <w:rsid w:val="00B659BD"/>
    <w:rsid w:val="00B677F9"/>
    <w:rsid w:val="00BA2F67"/>
    <w:rsid w:val="00BC6EDC"/>
    <w:rsid w:val="00BE5449"/>
    <w:rsid w:val="00C024C3"/>
    <w:rsid w:val="00C1390E"/>
    <w:rsid w:val="00C3332A"/>
    <w:rsid w:val="00C7326B"/>
    <w:rsid w:val="00C74C84"/>
    <w:rsid w:val="00C76F0E"/>
    <w:rsid w:val="00CA08AB"/>
    <w:rsid w:val="00CA1366"/>
    <w:rsid w:val="00CC1DD9"/>
    <w:rsid w:val="00CE1772"/>
    <w:rsid w:val="00D11006"/>
    <w:rsid w:val="00D31192"/>
    <w:rsid w:val="00D72FFA"/>
    <w:rsid w:val="00D8187D"/>
    <w:rsid w:val="00D83EBA"/>
    <w:rsid w:val="00DC769B"/>
    <w:rsid w:val="00DD1231"/>
    <w:rsid w:val="00DD5F6A"/>
    <w:rsid w:val="00E12ED2"/>
    <w:rsid w:val="00E37102"/>
    <w:rsid w:val="00E565CE"/>
    <w:rsid w:val="00E935E3"/>
    <w:rsid w:val="00E9404F"/>
    <w:rsid w:val="00EB4FE8"/>
    <w:rsid w:val="00EB5152"/>
    <w:rsid w:val="00EB627A"/>
    <w:rsid w:val="00EC34B4"/>
    <w:rsid w:val="00EC67E4"/>
    <w:rsid w:val="00ED0BD0"/>
    <w:rsid w:val="00ED6E59"/>
    <w:rsid w:val="00F23108"/>
    <w:rsid w:val="00F269AE"/>
    <w:rsid w:val="00F27226"/>
    <w:rsid w:val="00F516C9"/>
    <w:rsid w:val="00F523CB"/>
    <w:rsid w:val="00F56155"/>
    <w:rsid w:val="00F61EF3"/>
    <w:rsid w:val="00F87022"/>
    <w:rsid w:val="00F90DCA"/>
    <w:rsid w:val="00FA112E"/>
    <w:rsid w:val="00FA4A0F"/>
    <w:rsid w:val="00FC1721"/>
    <w:rsid w:val="00FC73F8"/>
    <w:rsid w:val="00FE43FE"/>
    <w:rsid w:val="00FE5F89"/>
    <w:rsid w:val="021CA111"/>
    <w:rsid w:val="03612214"/>
    <w:rsid w:val="07FB06A9"/>
    <w:rsid w:val="12BB093A"/>
    <w:rsid w:val="29197464"/>
    <w:rsid w:val="2C37D0C2"/>
    <w:rsid w:val="2DE44FD3"/>
    <w:rsid w:val="323C9F9A"/>
    <w:rsid w:val="3AB99AA0"/>
    <w:rsid w:val="3CC8EF48"/>
    <w:rsid w:val="3D5E7AAF"/>
    <w:rsid w:val="44371F06"/>
    <w:rsid w:val="46340D3B"/>
    <w:rsid w:val="4EE78E24"/>
    <w:rsid w:val="520FC0AF"/>
    <w:rsid w:val="56AB4352"/>
    <w:rsid w:val="5B393B61"/>
    <w:rsid w:val="5E6B6007"/>
    <w:rsid w:val="5F6D09B3"/>
    <w:rsid w:val="63E8C8A7"/>
    <w:rsid w:val="64595EA8"/>
    <w:rsid w:val="6DB89DAB"/>
    <w:rsid w:val="70FA0D76"/>
    <w:rsid w:val="74EAF2F5"/>
    <w:rsid w:val="7BC31E7D"/>
    <w:rsid w:val="7F9D2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8F24F"/>
  <w15:chartTrackingRefBased/>
  <w15:docId w15:val="{53261AA9-A1A8-48EC-AF0B-6F071F7D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1C0"/>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1C0"/>
    <w:pPr>
      <w:ind w:left="720"/>
      <w:contextualSpacing/>
    </w:pPr>
  </w:style>
  <w:style w:type="paragraph" w:styleId="Footer">
    <w:name w:val="footer"/>
    <w:basedOn w:val="Normal"/>
    <w:link w:val="FooterChar"/>
    <w:uiPriority w:val="99"/>
    <w:unhideWhenUsed/>
    <w:rsid w:val="001A6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1C0"/>
    <w:rPr>
      <w:lang w:val="en-AU"/>
    </w:rPr>
  </w:style>
  <w:style w:type="table" w:styleId="TableGrid">
    <w:name w:val="Table Grid"/>
    <w:basedOn w:val="TableNormal"/>
    <w:uiPriority w:val="59"/>
    <w:rsid w:val="001A6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043"/>
    <w:rPr>
      <w:rFonts w:ascii="Segoe UI" w:hAnsi="Segoe UI" w:cs="Segoe UI"/>
      <w:sz w:val="18"/>
      <w:szCs w:val="18"/>
      <w:lang w:val="en-AU"/>
    </w:rPr>
  </w:style>
  <w:style w:type="character" w:styleId="CommentReference">
    <w:name w:val="annotation reference"/>
    <w:basedOn w:val="DefaultParagraphFont"/>
    <w:uiPriority w:val="99"/>
    <w:semiHidden/>
    <w:unhideWhenUsed/>
    <w:rsid w:val="00D72FFA"/>
    <w:rPr>
      <w:sz w:val="16"/>
      <w:szCs w:val="16"/>
    </w:rPr>
  </w:style>
  <w:style w:type="paragraph" w:styleId="CommentText">
    <w:name w:val="annotation text"/>
    <w:basedOn w:val="Normal"/>
    <w:link w:val="CommentTextChar"/>
    <w:uiPriority w:val="99"/>
    <w:semiHidden/>
    <w:unhideWhenUsed/>
    <w:rsid w:val="00D72FFA"/>
    <w:pPr>
      <w:spacing w:line="240" w:lineRule="auto"/>
    </w:pPr>
    <w:rPr>
      <w:sz w:val="20"/>
      <w:szCs w:val="20"/>
    </w:rPr>
  </w:style>
  <w:style w:type="character" w:customStyle="1" w:styleId="CommentTextChar">
    <w:name w:val="Comment Text Char"/>
    <w:basedOn w:val="DefaultParagraphFont"/>
    <w:link w:val="CommentText"/>
    <w:uiPriority w:val="99"/>
    <w:semiHidden/>
    <w:rsid w:val="00D72FFA"/>
    <w:rPr>
      <w:sz w:val="20"/>
      <w:szCs w:val="20"/>
      <w:lang w:val="en-AU"/>
    </w:rPr>
  </w:style>
  <w:style w:type="paragraph" w:styleId="CommentSubject">
    <w:name w:val="annotation subject"/>
    <w:basedOn w:val="CommentText"/>
    <w:next w:val="CommentText"/>
    <w:link w:val="CommentSubjectChar"/>
    <w:uiPriority w:val="99"/>
    <w:semiHidden/>
    <w:unhideWhenUsed/>
    <w:rsid w:val="00D72FFA"/>
    <w:rPr>
      <w:b/>
      <w:bCs/>
    </w:rPr>
  </w:style>
  <w:style w:type="character" w:customStyle="1" w:styleId="CommentSubjectChar">
    <w:name w:val="Comment Subject Char"/>
    <w:basedOn w:val="CommentTextChar"/>
    <w:link w:val="CommentSubject"/>
    <w:uiPriority w:val="99"/>
    <w:semiHidden/>
    <w:rsid w:val="00D72FFA"/>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119674">
      <w:bodyDiv w:val="1"/>
      <w:marLeft w:val="0"/>
      <w:marRight w:val="0"/>
      <w:marTop w:val="0"/>
      <w:marBottom w:val="0"/>
      <w:divBdr>
        <w:top w:val="none" w:sz="0" w:space="0" w:color="auto"/>
        <w:left w:val="none" w:sz="0" w:space="0" w:color="auto"/>
        <w:bottom w:val="none" w:sz="0" w:space="0" w:color="auto"/>
        <w:right w:val="none" w:sz="0" w:space="0" w:color="auto"/>
      </w:divBdr>
    </w:div>
    <w:div w:id="190830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3B6E93-CB77-4853-833D-699AB61B53A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3856b32-dbbd-4996-9e5d-776de7c2e4f8"/>
    <ds:schemaRef ds:uri="http://purl.org/dc/elements/1.1/"/>
    <ds:schemaRef ds:uri="http://schemas.microsoft.com/office/2006/metadata/properties"/>
    <ds:schemaRef ds:uri="a8946dc4-2e98-472c-b2e6-ca9019b8dfda"/>
    <ds:schemaRef ds:uri="http://www.w3.org/XML/1998/namespace"/>
    <ds:schemaRef ds:uri="http://purl.org/dc/dcmitype/"/>
  </ds:schemaRefs>
</ds:datastoreItem>
</file>

<file path=customXml/itemProps2.xml><?xml version="1.0" encoding="utf-8"?>
<ds:datastoreItem xmlns:ds="http://schemas.openxmlformats.org/officeDocument/2006/customXml" ds:itemID="{161645F5-F6CF-4692-92A9-F8A191AF6617}">
  <ds:schemaRefs>
    <ds:schemaRef ds:uri="http://schemas.microsoft.com/sharepoint/v3/contenttype/forms"/>
  </ds:schemaRefs>
</ds:datastoreItem>
</file>

<file path=customXml/itemProps3.xml><?xml version="1.0" encoding="utf-8"?>
<ds:datastoreItem xmlns:ds="http://schemas.openxmlformats.org/officeDocument/2006/customXml" ds:itemID="{7A20196C-F09A-4B8E-A983-73D19347D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1297</Words>
  <Characters>7398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Lazima Onta Bhatta</dc:creator>
  <cp:keywords/>
  <dc:description/>
  <cp:lastModifiedBy>Svetlana Iazykova</cp:lastModifiedBy>
  <cp:revision>2</cp:revision>
  <dcterms:created xsi:type="dcterms:W3CDTF">2020-07-20T15:33:00Z</dcterms:created>
  <dcterms:modified xsi:type="dcterms:W3CDTF">2020-07-20T15:33:00Z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