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CACF4" w14:textId="7E891D59" w:rsidR="00B436CC" w:rsidRPr="003C26C1" w:rsidRDefault="00B436CC" w:rsidP="00B436CC">
      <w:pPr>
        <w:rPr>
          <w:b/>
          <w:i/>
          <w:color w:val="000000"/>
        </w:rPr>
      </w:pPr>
      <w:r w:rsidRPr="003C26C1">
        <w:rPr>
          <w:b/>
          <w:bCs/>
          <w:color w:val="000000"/>
        </w:rPr>
        <w:t>ANNEX</w:t>
      </w:r>
      <w:r w:rsidRPr="003C26C1">
        <w:rPr>
          <w:bCs/>
          <w:color w:val="000000"/>
        </w:rPr>
        <w:t xml:space="preserve">. </w:t>
      </w:r>
      <w:r w:rsidRPr="003C26C1">
        <w:rPr>
          <w:b/>
          <w:bCs/>
          <w:color w:val="000000"/>
        </w:rPr>
        <w:t>FULLY-</w:t>
      </w:r>
      <w:r w:rsidRPr="003C26C1">
        <w:rPr>
          <w:b/>
          <w:color w:val="000000"/>
        </w:rPr>
        <w:t xml:space="preserve">COSTED EVALUATION PLAN </w:t>
      </w:r>
      <w:r w:rsidR="00565551">
        <w:rPr>
          <w:b/>
          <w:color w:val="000000"/>
        </w:rPr>
        <w:t>SURINAME 2022-2026</w:t>
      </w:r>
    </w:p>
    <w:p w14:paraId="5C23FEE8" w14:textId="0F18DBDD" w:rsidR="00B436CC" w:rsidRDefault="00B436CC" w:rsidP="00B436CC">
      <w:pPr>
        <w:rPr>
          <w:color w:val="000000"/>
        </w:rPr>
      </w:pPr>
    </w:p>
    <w:p w14:paraId="2986FF59" w14:textId="7A893196" w:rsidR="00A337F6" w:rsidRDefault="0003530F" w:rsidP="009423C6">
      <w:pPr>
        <w:jc w:val="both"/>
        <w:rPr>
          <w:color w:val="000000"/>
        </w:rPr>
      </w:pPr>
      <w:r w:rsidRPr="0003530F">
        <w:rPr>
          <w:color w:val="000000"/>
        </w:rPr>
        <w:t xml:space="preserve">The UNDP Suriname Country Office is committed to strong monitoring and evaluation processes in order to strength the quality of the programmes and projects under implementation and to ensure compliance with donor requirements.  The Evaluation Plan for the programme cycle 2022 – 2026 includes all mandatory evaluations that would fall within the </w:t>
      </w:r>
      <w:r w:rsidRPr="009F2A32">
        <w:rPr>
          <w:color w:val="000000"/>
        </w:rPr>
        <w:t xml:space="preserve">period and that are defined in the relevant project documents. This includes Mid-Term and Final Reviews/Evaluations. If individual projects are small in scope and with a narrow timeframe, single evaluations may not be </w:t>
      </w:r>
      <w:proofErr w:type="gramStart"/>
      <w:r w:rsidRPr="009F2A32">
        <w:rPr>
          <w:color w:val="000000"/>
        </w:rPr>
        <w:t>practical</w:t>
      </w:r>
      <w:proofErr w:type="gramEnd"/>
      <w:r w:rsidRPr="009F2A32">
        <w:rPr>
          <w:color w:val="000000"/>
        </w:rPr>
        <w:t xml:space="preserve"> and Outcome Evaluations have been proposed to cover an particular Outcome area.  A Mid-Term Evaluation of the overall CPD has also been included. </w:t>
      </w:r>
      <w:r w:rsidR="009F2A32" w:rsidRPr="009F2A32">
        <w:rPr>
          <w:noProof/>
        </w:rPr>
        <w:t>All the project evaluations included in this evaluation plan are for ongoing projects or projects expected to be signed early in the CPD cycle. Specific evaluations for any new projects to be signed in the new CPD cycle can be added in a yearly evaluation plan review.</w:t>
      </w:r>
      <w:r w:rsidR="009F2A32" w:rsidRPr="0089760D">
        <w:rPr>
          <w:rFonts w:ascii="Corbel" w:hAnsi="Corbel"/>
          <w:noProof/>
        </w:rPr>
        <w:t xml:space="preserve"> </w:t>
      </w:r>
      <w:r w:rsidRPr="0003530F">
        <w:rPr>
          <w:color w:val="000000"/>
        </w:rPr>
        <w:t xml:space="preserve"> The evaluations identified will include a wide range of stakeholders including government, donors, partners, co-financiers and beneficiaries.  Where feasible, Mid-Term Reviews/ Evaluations will be used to help to guide and steer projects that may be off-track or to accelerate progress and apply adaptive management as needed.  All evaluations will include recommendations which will be recorded with management actions identified which will help to bring projects to successful </w:t>
      </w:r>
      <w:r w:rsidRPr="00DF7BDE">
        <w:rPr>
          <w:color w:val="000000"/>
        </w:rPr>
        <w:t>completion (for Mid Term Reviews/Evaluations) and to</w:t>
      </w:r>
      <w:r w:rsidR="00B84180" w:rsidRPr="00DF7BDE">
        <w:rPr>
          <w:color w:val="000000"/>
        </w:rPr>
        <w:t xml:space="preserve"> note the achievements and to</w:t>
      </w:r>
      <w:r w:rsidRPr="00DF7BDE">
        <w:rPr>
          <w:color w:val="000000"/>
        </w:rPr>
        <w:t xml:space="preserve"> inform the design of new project and programmes (Final/Terminal Evaluations). </w:t>
      </w:r>
      <w:r w:rsidR="00DF7BDE" w:rsidRPr="00DF7BDE">
        <w:rPr>
          <w:noProof/>
        </w:rPr>
        <w:t xml:space="preserve">Socioeconomic, political and environmental risks, including elections cycling, annual rainy seasons and annual holiday periods have been considered for this evaluation plan. </w:t>
      </w:r>
      <w:r w:rsidRPr="00DF7BDE">
        <w:rPr>
          <w:color w:val="000000"/>
        </w:rPr>
        <w:t>The</w:t>
      </w:r>
      <w:r w:rsidRPr="0003530F">
        <w:rPr>
          <w:color w:val="000000"/>
        </w:rPr>
        <w:t xml:space="preserve"> CO investment in quality evaluations is USD 3</w:t>
      </w:r>
      <w:r w:rsidR="00DF7BDE">
        <w:rPr>
          <w:color w:val="000000"/>
        </w:rPr>
        <w:t>18</w:t>
      </w:r>
      <w:r w:rsidRPr="0003530F">
        <w:rPr>
          <w:color w:val="000000"/>
        </w:rPr>
        <w:t>,000 for the period 2022-2026.</w:t>
      </w:r>
    </w:p>
    <w:p w14:paraId="63FFD2EF" w14:textId="77777777" w:rsidR="0003530F" w:rsidRDefault="0003530F" w:rsidP="00B436CC">
      <w:pPr>
        <w:rPr>
          <w:color w:val="000000"/>
        </w:rPr>
      </w:pPr>
    </w:p>
    <w:tbl>
      <w:tblPr>
        <w:tblpPr w:leftFromText="180" w:rightFromText="180" w:vertAnchor="text" w:horzAnchor="margin" w:tblpXSpec="center" w:tblpY="143"/>
        <w:tblW w:w="5000" w:type="pct"/>
        <w:tblBorders>
          <w:insideH w:val="single" w:sz="4" w:space="0" w:color="auto"/>
          <w:insideV w:val="single" w:sz="4" w:space="0" w:color="auto"/>
        </w:tblBorders>
        <w:tblLook w:val="01E0" w:firstRow="1" w:lastRow="1" w:firstColumn="1" w:lastColumn="1" w:noHBand="0" w:noVBand="0"/>
      </w:tblPr>
      <w:tblGrid>
        <w:gridCol w:w="1328"/>
        <w:gridCol w:w="1332"/>
        <w:gridCol w:w="2112"/>
        <w:gridCol w:w="1226"/>
        <w:gridCol w:w="1416"/>
        <w:gridCol w:w="1332"/>
        <w:gridCol w:w="1467"/>
        <w:gridCol w:w="1415"/>
        <w:gridCol w:w="1332"/>
      </w:tblGrid>
      <w:tr w:rsidR="00AC3FBB" w:rsidRPr="008D4963" w14:paraId="332C45B6" w14:textId="77777777" w:rsidTr="007A19BE">
        <w:tc>
          <w:tcPr>
            <w:tcW w:w="512" w:type="pct"/>
            <w:shd w:val="clear" w:color="auto" w:fill="D9E2F3" w:themeFill="accent1" w:themeFillTint="33"/>
            <w:vAlign w:val="center"/>
          </w:tcPr>
          <w:p w14:paraId="336D302B" w14:textId="77777777" w:rsidR="003A078B" w:rsidRPr="008D4963" w:rsidRDefault="003A078B" w:rsidP="00603DEC">
            <w:pPr>
              <w:jc w:val="center"/>
              <w:rPr>
                <w:b/>
                <w:bCs/>
              </w:rPr>
            </w:pPr>
            <w:r w:rsidRPr="008D4963">
              <w:rPr>
                <w:b/>
                <w:bCs/>
              </w:rPr>
              <w:t>UNSDCF (or equivalent)</w:t>
            </w:r>
          </w:p>
          <w:p w14:paraId="7EDD9D8F" w14:textId="77777777" w:rsidR="003A078B" w:rsidRPr="008D4963" w:rsidRDefault="003A078B" w:rsidP="00603DEC">
            <w:pPr>
              <w:jc w:val="center"/>
              <w:rPr>
                <w:b/>
                <w:bCs/>
              </w:rPr>
            </w:pPr>
            <w:r w:rsidRPr="008D4963">
              <w:rPr>
                <w:b/>
                <w:bCs/>
              </w:rPr>
              <w:t xml:space="preserve">Outcome </w:t>
            </w:r>
          </w:p>
        </w:tc>
        <w:tc>
          <w:tcPr>
            <w:tcW w:w="514" w:type="pct"/>
            <w:shd w:val="clear" w:color="auto" w:fill="D9E2F3" w:themeFill="accent1" w:themeFillTint="33"/>
            <w:vAlign w:val="center"/>
          </w:tcPr>
          <w:p w14:paraId="16F28325" w14:textId="77777777" w:rsidR="003A078B" w:rsidRPr="008D4963" w:rsidRDefault="003A078B" w:rsidP="00710AD4">
            <w:pPr>
              <w:jc w:val="center"/>
              <w:rPr>
                <w:b/>
                <w:bCs/>
              </w:rPr>
            </w:pPr>
            <w:r w:rsidRPr="008D4963">
              <w:rPr>
                <w:b/>
                <w:bCs/>
              </w:rPr>
              <w:t>UNDP Strategic Plan Outcome</w:t>
            </w:r>
          </w:p>
        </w:tc>
        <w:tc>
          <w:tcPr>
            <w:tcW w:w="815" w:type="pct"/>
            <w:shd w:val="clear" w:color="auto" w:fill="D9E2F3" w:themeFill="accent1" w:themeFillTint="33"/>
            <w:vAlign w:val="center"/>
          </w:tcPr>
          <w:p w14:paraId="709DD038" w14:textId="77777777" w:rsidR="003A078B" w:rsidRPr="008D4963" w:rsidRDefault="003A078B" w:rsidP="00603DEC">
            <w:pPr>
              <w:jc w:val="center"/>
              <w:rPr>
                <w:b/>
                <w:bCs/>
              </w:rPr>
            </w:pPr>
            <w:r w:rsidRPr="008D4963">
              <w:rPr>
                <w:b/>
                <w:bCs/>
              </w:rPr>
              <w:t>Evaluation Title</w:t>
            </w:r>
          </w:p>
        </w:tc>
        <w:tc>
          <w:tcPr>
            <w:tcW w:w="473" w:type="pct"/>
            <w:shd w:val="clear" w:color="auto" w:fill="D9E2F3" w:themeFill="accent1" w:themeFillTint="33"/>
            <w:vAlign w:val="center"/>
          </w:tcPr>
          <w:p w14:paraId="7149F3DE" w14:textId="77777777" w:rsidR="003A078B" w:rsidRPr="008D4963" w:rsidDel="00BA628C" w:rsidRDefault="003A078B" w:rsidP="00710AD4">
            <w:pPr>
              <w:jc w:val="center"/>
              <w:rPr>
                <w:b/>
                <w:bCs/>
              </w:rPr>
            </w:pPr>
            <w:r w:rsidRPr="008D4963">
              <w:rPr>
                <w:b/>
                <w:bCs/>
              </w:rPr>
              <w:t>Partners (joint evaluation)</w:t>
            </w:r>
          </w:p>
        </w:tc>
        <w:tc>
          <w:tcPr>
            <w:tcW w:w="546" w:type="pct"/>
            <w:shd w:val="clear" w:color="auto" w:fill="D9E2F3" w:themeFill="accent1" w:themeFillTint="33"/>
            <w:vAlign w:val="center"/>
          </w:tcPr>
          <w:p w14:paraId="3D1D91D8" w14:textId="77777777" w:rsidR="003A078B" w:rsidRPr="008D4963" w:rsidRDefault="003A078B" w:rsidP="00710AD4">
            <w:pPr>
              <w:jc w:val="center"/>
              <w:rPr>
                <w:b/>
                <w:bCs/>
              </w:rPr>
            </w:pPr>
            <w:r w:rsidRPr="008D4963">
              <w:rPr>
                <w:b/>
                <w:bCs/>
              </w:rPr>
              <w:t>Evaluation commissioned by (if not UNDP)</w:t>
            </w:r>
          </w:p>
        </w:tc>
        <w:tc>
          <w:tcPr>
            <w:tcW w:w="514" w:type="pct"/>
            <w:shd w:val="clear" w:color="auto" w:fill="D9E2F3" w:themeFill="accent1" w:themeFillTint="33"/>
            <w:vAlign w:val="center"/>
          </w:tcPr>
          <w:p w14:paraId="3270F199" w14:textId="77777777" w:rsidR="003A078B" w:rsidRPr="008D4963" w:rsidRDefault="003A078B" w:rsidP="00710AD4">
            <w:pPr>
              <w:jc w:val="center"/>
              <w:rPr>
                <w:b/>
                <w:bCs/>
              </w:rPr>
            </w:pPr>
            <w:r w:rsidRPr="008D4963">
              <w:rPr>
                <w:b/>
                <w:bCs/>
              </w:rPr>
              <w:t>Type of evaluation</w:t>
            </w:r>
          </w:p>
        </w:tc>
        <w:tc>
          <w:tcPr>
            <w:tcW w:w="566" w:type="pct"/>
            <w:shd w:val="clear" w:color="auto" w:fill="D9E2F3" w:themeFill="accent1" w:themeFillTint="33"/>
            <w:vAlign w:val="center"/>
          </w:tcPr>
          <w:p w14:paraId="31F1442A" w14:textId="77777777" w:rsidR="003A078B" w:rsidRPr="008D4963" w:rsidRDefault="003A078B" w:rsidP="00710AD4">
            <w:pPr>
              <w:jc w:val="center"/>
              <w:rPr>
                <w:b/>
                <w:bCs/>
              </w:rPr>
            </w:pPr>
            <w:r w:rsidRPr="008D4963">
              <w:rPr>
                <w:b/>
                <w:bCs/>
              </w:rPr>
              <w:t>Planned Evaluation Completion Date</w:t>
            </w:r>
          </w:p>
        </w:tc>
        <w:tc>
          <w:tcPr>
            <w:tcW w:w="546" w:type="pct"/>
            <w:shd w:val="clear" w:color="auto" w:fill="D9E2F3" w:themeFill="accent1" w:themeFillTint="33"/>
            <w:vAlign w:val="center"/>
          </w:tcPr>
          <w:p w14:paraId="0FD0C0F9" w14:textId="77777777" w:rsidR="003A078B" w:rsidRPr="008D4963" w:rsidRDefault="003A078B" w:rsidP="00710AD4">
            <w:pPr>
              <w:jc w:val="center"/>
              <w:rPr>
                <w:b/>
                <w:bCs/>
              </w:rPr>
            </w:pPr>
            <w:r w:rsidRPr="008D4963">
              <w:rPr>
                <w:b/>
                <w:bCs/>
              </w:rPr>
              <w:t>Estimated Cost</w:t>
            </w:r>
          </w:p>
        </w:tc>
        <w:tc>
          <w:tcPr>
            <w:tcW w:w="514" w:type="pct"/>
            <w:shd w:val="clear" w:color="auto" w:fill="D9E2F3" w:themeFill="accent1" w:themeFillTint="33"/>
            <w:vAlign w:val="center"/>
          </w:tcPr>
          <w:p w14:paraId="5687CF65" w14:textId="77777777" w:rsidR="003A078B" w:rsidRPr="008D4963" w:rsidRDefault="003A078B" w:rsidP="00710AD4">
            <w:pPr>
              <w:jc w:val="center"/>
              <w:rPr>
                <w:b/>
                <w:bCs/>
              </w:rPr>
            </w:pPr>
            <w:r w:rsidRPr="008D4963">
              <w:rPr>
                <w:b/>
                <w:bCs/>
              </w:rPr>
              <w:t>Provisional Source of Funding</w:t>
            </w:r>
          </w:p>
        </w:tc>
      </w:tr>
      <w:tr w:rsidR="007A19BE" w:rsidRPr="008D4963" w14:paraId="0EFFCB70" w14:textId="77777777" w:rsidTr="007A19BE">
        <w:tc>
          <w:tcPr>
            <w:tcW w:w="512" w:type="pct"/>
          </w:tcPr>
          <w:p w14:paraId="447B1FCC" w14:textId="77777777" w:rsidR="003A078B" w:rsidRPr="008D4963" w:rsidRDefault="003A078B" w:rsidP="00603DEC">
            <w:r w:rsidRPr="008D4963">
              <w:t>MSDCF 4, 5 and 7</w:t>
            </w:r>
          </w:p>
        </w:tc>
        <w:tc>
          <w:tcPr>
            <w:tcW w:w="514" w:type="pct"/>
          </w:tcPr>
          <w:p w14:paraId="427FB64B" w14:textId="77777777" w:rsidR="003A078B" w:rsidRPr="008D4963" w:rsidRDefault="003A078B" w:rsidP="00710AD4">
            <w:pPr>
              <w:jc w:val="center"/>
            </w:pPr>
            <w:r w:rsidRPr="008D4963">
              <w:t>Outcome 2</w:t>
            </w:r>
          </w:p>
        </w:tc>
        <w:tc>
          <w:tcPr>
            <w:tcW w:w="815" w:type="pct"/>
          </w:tcPr>
          <w:p w14:paraId="38812547" w14:textId="77777777" w:rsidR="003A078B" w:rsidRPr="008D4963" w:rsidRDefault="003A078B" w:rsidP="00603DEC">
            <w:r w:rsidRPr="008D4963">
              <w:t>CPD Mid-Term Evaluation</w:t>
            </w:r>
          </w:p>
        </w:tc>
        <w:tc>
          <w:tcPr>
            <w:tcW w:w="473" w:type="pct"/>
          </w:tcPr>
          <w:p w14:paraId="4D7FD9F4" w14:textId="77777777" w:rsidR="003A078B" w:rsidRPr="008D4963" w:rsidRDefault="003A078B" w:rsidP="00710AD4">
            <w:pPr>
              <w:jc w:val="center"/>
            </w:pPr>
            <w:r w:rsidRPr="008D4963">
              <w:t>N/A</w:t>
            </w:r>
          </w:p>
        </w:tc>
        <w:tc>
          <w:tcPr>
            <w:tcW w:w="546" w:type="pct"/>
          </w:tcPr>
          <w:p w14:paraId="3CD93238" w14:textId="77777777" w:rsidR="003A078B" w:rsidRPr="008D4963" w:rsidRDefault="003A078B" w:rsidP="00710AD4">
            <w:pPr>
              <w:jc w:val="center"/>
            </w:pPr>
            <w:r w:rsidRPr="008D4963">
              <w:t>UNDP</w:t>
            </w:r>
          </w:p>
        </w:tc>
        <w:tc>
          <w:tcPr>
            <w:tcW w:w="514" w:type="pct"/>
          </w:tcPr>
          <w:p w14:paraId="73685A3E" w14:textId="3A02E4A2" w:rsidR="003A078B" w:rsidRPr="008D4963" w:rsidRDefault="003A078B" w:rsidP="00710AD4">
            <w:pPr>
              <w:jc w:val="center"/>
            </w:pPr>
            <w:r w:rsidRPr="008D4963">
              <w:t>Other</w:t>
            </w:r>
            <w:r w:rsidR="00D516FD">
              <w:t>: CPD</w:t>
            </w:r>
          </w:p>
        </w:tc>
        <w:tc>
          <w:tcPr>
            <w:tcW w:w="566" w:type="pct"/>
          </w:tcPr>
          <w:p w14:paraId="055AFCCE" w14:textId="77777777" w:rsidR="003A078B" w:rsidRPr="008D4963" w:rsidRDefault="003A078B" w:rsidP="00710AD4">
            <w:pPr>
              <w:spacing w:before="40" w:after="40"/>
              <w:jc w:val="center"/>
            </w:pPr>
            <w:r w:rsidRPr="008D4963">
              <w:t>June 2024</w:t>
            </w:r>
          </w:p>
        </w:tc>
        <w:tc>
          <w:tcPr>
            <w:tcW w:w="546" w:type="pct"/>
          </w:tcPr>
          <w:p w14:paraId="0EA11D1E" w14:textId="77777777" w:rsidR="003A078B" w:rsidRPr="008D4963" w:rsidRDefault="003A078B" w:rsidP="00710AD4">
            <w:pPr>
              <w:jc w:val="center"/>
            </w:pPr>
            <w:r w:rsidRPr="008D4963">
              <w:t>35,000</w:t>
            </w:r>
          </w:p>
        </w:tc>
        <w:tc>
          <w:tcPr>
            <w:tcW w:w="514" w:type="pct"/>
          </w:tcPr>
          <w:p w14:paraId="55E6B6CD" w14:textId="77777777" w:rsidR="003A078B" w:rsidRPr="008D4963" w:rsidRDefault="003A078B" w:rsidP="00710AD4">
            <w:pPr>
              <w:jc w:val="center"/>
              <w:rPr>
                <w:rStyle w:val="CommentReference"/>
                <w:sz w:val="20"/>
                <w:szCs w:val="20"/>
                <w:lang w:eastAsia="uk-UA"/>
              </w:rPr>
            </w:pPr>
            <w:r w:rsidRPr="008D4963">
              <w:rPr>
                <w:rStyle w:val="CommentReference"/>
                <w:sz w:val="20"/>
                <w:szCs w:val="20"/>
                <w:lang w:eastAsia="uk-UA"/>
              </w:rPr>
              <w:t>UNDP</w:t>
            </w:r>
          </w:p>
        </w:tc>
      </w:tr>
      <w:tr w:rsidR="007A19BE" w:rsidRPr="008D4963" w14:paraId="7C23E82E" w14:textId="77777777" w:rsidTr="007A19BE">
        <w:tc>
          <w:tcPr>
            <w:tcW w:w="512" w:type="pct"/>
          </w:tcPr>
          <w:p w14:paraId="062C4FEC" w14:textId="77777777" w:rsidR="003A078B" w:rsidRPr="002F2BD4" w:rsidRDefault="003A078B" w:rsidP="00603DEC">
            <w:r w:rsidRPr="002F2BD4">
              <w:t>MSDCF 4</w:t>
            </w:r>
          </w:p>
        </w:tc>
        <w:tc>
          <w:tcPr>
            <w:tcW w:w="514" w:type="pct"/>
          </w:tcPr>
          <w:p w14:paraId="6D02C81B" w14:textId="77777777" w:rsidR="003A078B" w:rsidRPr="002F2BD4" w:rsidRDefault="003A078B" w:rsidP="00710AD4">
            <w:pPr>
              <w:jc w:val="center"/>
            </w:pPr>
            <w:r w:rsidRPr="002F2BD4">
              <w:t>Outcome 2</w:t>
            </w:r>
          </w:p>
        </w:tc>
        <w:tc>
          <w:tcPr>
            <w:tcW w:w="815" w:type="pct"/>
          </w:tcPr>
          <w:p w14:paraId="1EC39691" w14:textId="77777777" w:rsidR="003A078B" w:rsidRPr="008D4963" w:rsidRDefault="003A078B" w:rsidP="00603DEC">
            <w:r w:rsidRPr="008D4963">
              <w:t>Social Development with emphasis on vulnerable groups (PWDs, ITPs) and implementation of the SDGs</w:t>
            </w:r>
          </w:p>
        </w:tc>
        <w:tc>
          <w:tcPr>
            <w:tcW w:w="473" w:type="pct"/>
          </w:tcPr>
          <w:p w14:paraId="5073FBBC" w14:textId="77777777" w:rsidR="003A078B" w:rsidRPr="008D4963" w:rsidRDefault="003A078B" w:rsidP="00710AD4">
            <w:pPr>
              <w:jc w:val="center"/>
            </w:pPr>
            <w:r w:rsidRPr="008D4963">
              <w:t>N/A</w:t>
            </w:r>
          </w:p>
        </w:tc>
        <w:tc>
          <w:tcPr>
            <w:tcW w:w="546" w:type="pct"/>
          </w:tcPr>
          <w:p w14:paraId="0C8D4AF2" w14:textId="77777777" w:rsidR="003A078B" w:rsidRPr="008D4963" w:rsidRDefault="003A078B" w:rsidP="00710AD4">
            <w:pPr>
              <w:jc w:val="center"/>
            </w:pPr>
            <w:r w:rsidRPr="008D4963">
              <w:t>UNDP</w:t>
            </w:r>
          </w:p>
        </w:tc>
        <w:tc>
          <w:tcPr>
            <w:tcW w:w="514" w:type="pct"/>
          </w:tcPr>
          <w:p w14:paraId="2380CBC1" w14:textId="77777777" w:rsidR="003A078B" w:rsidRPr="008D4963" w:rsidRDefault="003A078B" w:rsidP="00710AD4">
            <w:pPr>
              <w:jc w:val="center"/>
            </w:pPr>
            <w:r w:rsidRPr="008D4963">
              <w:t>Outcome</w:t>
            </w:r>
          </w:p>
        </w:tc>
        <w:tc>
          <w:tcPr>
            <w:tcW w:w="566" w:type="pct"/>
          </w:tcPr>
          <w:p w14:paraId="1F157A8A" w14:textId="77777777" w:rsidR="003A078B" w:rsidRPr="008D4963" w:rsidRDefault="003A078B" w:rsidP="00710AD4">
            <w:pPr>
              <w:spacing w:before="40" w:after="40"/>
              <w:jc w:val="center"/>
            </w:pPr>
            <w:r w:rsidRPr="008D4963">
              <w:t>October 2023</w:t>
            </w:r>
          </w:p>
        </w:tc>
        <w:tc>
          <w:tcPr>
            <w:tcW w:w="546" w:type="pct"/>
          </w:tcPr>
          <w:p w14:paraId="160AC84B" w14:textId="77777777" w:rsidR="003A078B" w:rsidRPr="008D4963" w:rsidRDefault="003A078B" w:rsidP="00710AD4">
            <w:pPr>
              <w:jc w:val="center"/>
            </w:pPr>
            <w:r w:rsidRPr="008D4963">
              <w:t>30,000</w:t>
            </w:r>
          </w:p>
        </w:tc>
        <w:tc>
          <w:tcPr>
            <w:tcW w:w="514" w:type="pct"/>
          </w:tcPr>
          <w:p w14:paraId="36B295A7" w14:textId="77777777" w:rsidR="003A078B" w:rsidRPr="008D4963" w:rsidRDefault="003A078B" w:rsidP="00710AD4">
            <w:pPr>
              <w:jc w:val="center"/>
              <w:rPr>
                <w:rStyle w:val="CommentReference"/>
                <w:sz w:val="20"/>
                <w:szCs w:val="20"/>
                <w:lang w:eastAsia="uk-UA"/>
              </w:rPr>
            </w:pPr>
            <w:r w:rsidRPr="008D4963">
              <w:rPr>
                <w:rStyle w:val="CommentReference"/>
                <w:sz w:val="20"/>
                <w:szCs w:val="20"/>
                <w:lang w:eastAsia="uk-UA"/>
              </w:rPr>
              <w:t>UNDP</w:t>
            </w:r>
          </w:p>
        </w:tc>
      </w:tr>
      <w:tr w:rsidR="007A19BE" w:rsidRPr="008D4963" w14:paraId="7C644B63" w14:textId="77777777" w:rsidTr="007A19BE">
        <w:tc>
          <w:tcPr>
            <w:tcW w:w="512" w:type="pct"/>
          </w:tcPr>
          <w:p w14:paraId="088F159D" w14:textId="77777777" w:rsidR="003A078B" w:rsidRPr="008D4963" w:rsidRDefault="003A078B" w:rsidP="00603DEC">
            <w:r w:rsidRPr="008D4963">
              <w:t>MSDCF 7</w:t>
            </w:r>
          </w:p>
        </w:tc>
        <w:tc>
          <w:tcPr>
            <w:tcW w:w="514" w:type="pct"/>
          </w:tcPr>
          <w:p w14:paraId="743CE6E6" w14:textId="77777777" w:rsidR="003A078B" w:rsidRPr="008D4963" w:rsidRDefault="003A078B" w:rsidP="00710AD4">
            <w:pPr>
              <w:jc w:val="center"/>
            </w:pPr>
            <w:r w:rsidRPr="008D4963">
              <w:t>Outcome 2</w:t>
            </w:r>
          </w:p>
        </w:tc>
        <w:tc>
          <w:tcPr>
            <w:tcW w:w="815" w:type="pct"/>
          </w:tcPr>
          <w:p w14:paraId="5F72EE9A" w14:textId="77777777" w:rsidR="003A078B" w:rsidRPr="008D4963" w:rsidRDefault="003A078B" w:rsidP="00603DEC">
            <w:r w:rsidRPr="008D4963">
              <w:t>Democratic Governance</w:t>
            </w:r>
          </w:p>
        </w:tc>
        <w:tc>
          <w:tcPr>
            <w:tcW w:w="473" w:type="pct"/>
          </w:tcPr>
          <w:p w14:paraId="57387D42" w14:textId="77777777" w:rsidR="003A078B" w:rsidRPr="008D4963" w:rsidRDefault="003A078B" w:rsidP="00710AD4">
            <w:pPr>
              <w:jc w:val="center"/>
            </w:pPr>
            <w:r w:rsidRPr="008D4963">
              <w:t>N/A</w:t>
            </w:r>
          </w:p>
        </w:tc>
        <w:tc>
          <w:tcPr>
            <w:tcW w:w="546" w:type="pct"/>
          </w:tcPr>
          <w:p w14:paraId="2D2A3BB9" w14:textId="77777777" w:rsidR="003A078B" w:rsidRPr="008D4963" w:rsidRDefault="003A078B" w:rsidP="00710AD4">
            <w:pPr>
              <w:jc w:val="center"/>
            </w:pPr>
            <w:r w:rsidRPr="008D4963">
              <w:t>UNDP</w:t>
            </w:r>
          </w:p>
        </w:tc>
        <w:tc>
          <w:tcPr>
            <w:tcW w:w="514" w:type="pct"/>
          </w:tcPr>
          <w:p w14:paraId="4841ED84" w14:textId="77777777" w:rsidR="003A078B" w:rsidRPr="008D4963" w:rsidRDefault="003A078B" w:rsidP="00710AD4">
            <w:pPr>
              <w:jc w:val="center"/>
            </w:pPr>
            <w:r w:rsidRPr="008D4963">
              <w:t>Outcome</w:t>
            </w:r>
          </w:p>
        </w:tc>
        <w:tc>
          <w:tcPr>
            <w:tcW w:w="566" w:type="pct"/>
          </w:tcPr>
          <w:p w14:paraId="2441BB78" w14:textId="77777777" w:rsidR="003A078B" w:rsidRPr="008D4963" w:rsidRDefault="003A078B" w:rsidP="00710AD4">
            <w:pPr>
              <w:spacing w:before="40" w:after="40"/>
              <w:jc w:val="center"/>
            </w:pPr>
            <w:r w:rsidRPr="008D4963">
              <w:t>February 2026</w:t>
            </w:r>
          </w:p>
        </w:tc>
        <w:tc>
          <w:tcPr>
            <w:tcW w:w="546" w:type="pct"/>
          </w:tcPr>
          <w:p w14:paraId="08C1AE42" w14:textId="77777777" w:rsidR="003A078B" w:rsidRPr="008D4963" w:rsidRDefault="003A078B" w:rsidP="00710AD4">
            <w:pPr>
              <w:jc w:val="center"/>
            </w:pPr>
            <w:r w:rsidRPr="008D4963">
              <w:t>30,000</w:t>
            </w:r>
          </w:p>
        </w:tc>
        <w:tc>
          <w:tcPr>
            <w:tcW w:w="514" w:type="pct"/>
          </w:tcPr>
          <w:p w14:paraId="0946CE48" w14:textId="77777777" w:rsidR="003A078B" w:rsidRPr="008D4963" w:rsidRDefault="003A078B" w:rsidP="00710AD4">
            <w:pPr>
              <w:jc w:val="center"/>
              <w:rPr>
                <w:rStyle w:val="CommentReference"/>
                <w:sz w:val="20"/>
                <w:szCs w:val="20"/>
                <w:lang w:eastAsia="uk-UA"/>
              </w:rPr>
            </w:pPr>
            <w:r w:rsidRPr="008D4963">
              <w:rPr>
                <w:rStyle w:val="CommentReference"/>
                <w:sz w:val="20"/>
                <w:szCs w:val="20"/>
                <w:lang w:eastAsia="uk-UA"/>
              </w:rPr>
              <w:t>UNDP</w:t>
            </w:r>
          </w:p>
        </w:tc>
      </w:tr>
      <w:tr w:rsidR="007A19BE" w:rsidRPr="008D4963" w14:paraId="17D8F364" w14:textId="77777777" w:rsidTr="007A19BE">
        <w:tc>
          <w:tcPr>
            <w:tcW w:w="512" w:type="pct"/>
          </w:tcPr>
          <w:p w14:paraId="2EAD0DC0" w14:textId="77777777" w:rsidR="003A078B" w:rsidRPr="008D4963" w:rsidRDefault="003A078B" w:rsidP="00603DEC">
            <w:r w:rsidRPr="008D4963">
              <w:t>MSDCF 5</w:t>
            </w:r>
          </w:p>
        </w:tc>
        <w:tc>
          <w:tcPr>
            <w:tcW w:w="514" w:type="pct"/>
          </w:tcPr>
          <w:p w14:paraId="3FF55119" w14:textId="77777777" w:rsidR="003A078B" w:rsidRPr="008D4963" w:rsidRDefault="003A078B" w:rsidP="00710AD4">
            <w:pPr>
              <w:jc w:val="center"/>
            </w:pPr>
            <w:r w:rsidRPr="008D4963">
              <w:t>Outcome 2</w:t>
            </w:r>
          </w:p>
        </w:tc>
        <w:tc>
          <w:tcPr>
            <w:tcW w:w="815" w:type="pct"/>
          </w:tcPr>
          <w:p w14:paraId="4134F776" w14:textId="77777777" w:rsidR="003A078B" w:rsidRPr="008D4963" w:rsidRDefault="003A078B" w:rsidP="00603DEC">
            <w:r w:rsidRPr="008D4963">
              <w:t>Midterm Review GCCA+ support for Climate Change Adaptation in Suriname – Phase 2</w:t>
            </w:r>
          </w:p>
        </w:tc>
        <w:tc>
          <w:tcPr>
            <w:tcW w:w="473" w:type="pct"/>
          </w:tcPr>
          <w:p w14:paraId="2806395E" w14:textId="77777777" w:rsidR="003A078B" w:rsidRPr="008D4963" w:rsidRDefault="003A078B" w:rsidP="00710AD4">
            <w:pPr>
              <w:jc w:val="center"/>
            </w:pPr>
            <w:r w:rsidRPr="008D4963">
              <w:t>N/A</w:t>
            </w:r>
          </w:p>
        </w:tc>
        <w:tc>
          <w:tcPr>
            <w:tcW w:w="546" w:type="pct"/>
          </w:tcPr>
          <w:p w14:paraId="11D39A47" w14:textId="77777777" w:rsidR="003A078B" w:rsidRPr="008D4963" w:rsidRDefault="003A078B" w:rsidP="00710AD4">
            <w:pPr>
              <w:jc w:val="center"/>
            </w:pPr>
            <w:r w:rsidRPr="008D4963">
              <w:t>UNDP</w:t>
            </w:r>
          </w:p>
        </w:tc>
        <w:tc>
          <w:tcPr>
            <w:tcW w:w="514" w:type="pct"/>
          </w:tcPr>
          <w:p w14:paraId="7DD24212" w14:textId="214C2DC7" w:rsidR="003A078B" w:rsidRPr="008D4963" w:rsidRDefault="003A078B" w:rsidP="00710AD4">
            <w:pPr>
              <w:jc w:val="center"/>
            </w:pPr>
            <w:r w:rsidRPr="008D4963">
              <w:t>Project: Midterm</w:t>
            </w:r>
          </w:p>
        </w:tc>
        <w:tc>
          <w:tcPr>
            <w:tcW w:w="566" w:type="pct"/>
          </w:tcPr>
          <w:p w14:paraId="063DBA28" w14:textId="77777777" w:rsidR="003A078B" w:rsidRPr="008D4963" w:rsidRDefault="003A078B" w:rsidP="00710AD4">
            <w:pPr>
              <w:spacing w:before="40" w:after="40"/>
              <w:jc w:val="center"/>
            </w:pPr>
            <w:r w:rsidRPr="008D4963">
              <w:t>March 2022</w:t>
            </w:r>
          </w:p>
        </w:tc>
        <w:tc>
          <w:tcPr>
            <w:tcW w:w="546" w:type="pct"/>
          </w:tcPr>
          <w:p w14:paraId="091B4FB3" w14:textId="77777777" w:rsidR="003A078B" w:rsidRPr="008D4963" w:rsidRDefault="003A078B" w:rsidP="00710AD4">
            <w:pPr>
              <w:jc w:val="center"/>
            </w:pPr>
            <w:r w:rsidRPr="008D4963">
              <w:t>30,000</w:t>
            </w:r>
          </w:p>
        </w:tc>
        <w:tc>
          <w:tcPr>
            <w:tcW w:w="514" w:type="pct"/>
          </w:tcPr>
          <w:p w14:paraId="77CD3E38" w14:textId="77777777" w:rsidR="003A078B" w:rsidRPr="008D4963" w:rsidRDefault="003A078B" w:rsidP="00710AD4">
            <w:pPr>
              <w:jc w:val="center"/>
              <w:rPr>
                <w:rStyle w:val="CommentReference"/>
                <w:sz w:val="20"/>
                <w:szCs w:val="20"/>
                <w:lang w:eastAsia="uk-UA"/>
              </w:rPr>
            </w:pPr>
            <w:r w:rsidRPr="008D4963">
              <w:rPr>
                <w:rStyle w:val="CommentReference"/>
                <w:sz w:val="20"/>
                <w:szCs w:val="20"/>
                <w:lang w:eastAsia="uk-UA"/>
              </w:rPr>
              <w:t>Project</w:t>
            </w:r>
          </w:p>
        </w:tc>
      </w:tr>
      <w:tr w:rsidR="007A19BE" w:rsidRPr="008D4963" w14:paraId="17E53589" w14:textId="77777777" w:rsidTr="007A19BE">
        <w:tc>
          <w:tcPr>
            <w:tcW w:w="512" w:type="pct"/>
          </w:tcPr>
          <w:p w14:paraId="78FDFF58" w14:textId="77777777" w:rsidR="003A078B" w:rsidRPr="008D4963" w:rsidRDefault="003A078B" w:rsidP="00603DEC">
            <w:r w:rsidRPr="008D4963">
              <w:t>MSDCF 5</w:t>
            </w:r>
          </w:p>
        </w:tc>
        <w:tc>
          <w:tcPr>
            <w:tcW w:w="514" w:type="pct"/>
          </w:tcPr>
          <w:p w14:paraId="4339BFC4" w14:textId="77777777" w:rsidR="003A078B" w:rsidRPr="008D4963" w:rsidRDefault="003A078B" w:rsidP="00710AD4">
            <w:pPr>
              <w:jc w:val="center"/>
            </w:pPr>
            <w:r w:rsidRPr="008D4963">
              <w:t>Outcome 2</w:t>
            </w:r>
          </w:p>
        </w:tc>
        <w:tc>
          <w:tcPr>
            <w:tcW w:w="815" w:type="pct"/>
          </w:tcPr>
          <w:p w14:paraId="197E9227" w14:textId="77777777" w:rsidR="003A078B" w:rsidRPr="008D4963" w:rsidRDefault="003A078B" w:rsidP="00603DEC">
            <w:r w:rsidRPr="008D4963">
              <w:t>Terminal Evaluation GCCA+ support for Climate Change Adaptation in Suriname – Phase 2</w:t>
            </w:r>
          </w:p>
        </w:tc>
        <w:tc>
          <w:tcPr>
            <w:tcW w:w="473" w:type="pct"/>
          </w:tcPr>
          <w:p w14:paraId="27B9B4BE" w14:textId="77777777" w:rsidR="003A078B" w:rsidRPr="008D4963" w:rsidRDefault="003A078B" w:rsidP="00710AD4">
            <w:pPr>
              <w:jc w:val="center"/>
            </w:pPr>
            <w:r w:rsidRPr="008D4963">
              <w:t>N/A</w:t>
            </w:r>
          </w:p>
        </w:tc>
        <w:tc>
          <w:tcPr>
            <w:tcW w:w="546" w:type="pct"/>
          </w:tcPr>
          <w:p w14:paraId="1A5796F2" w14:textId="77777777" w:rsidR="003A078B" w:rsidRPr="008D4963" w:rsidRDefault="003A078B" w:rsidP="00710AD4">
            <w:pPr>
              <w:jc w:val="center"/>
            </w:pPr>
            <w:r w:rsidRPr="008D4963">
              <w:t>UNDP</w:t>
            </w:r>
          </w:p>
        </w:tc>
        <w:tc>
          <w:tcPr>
            <w:tcW w:w="514" w:type="pct"/>
          </w:tcPr>
          <w:p w14:paraId="2D46850D" w14:textId="0284F8C6" w:rsidR="003A078B" w:rsidRPr="008D4963" w:rsidRDefault="003A078B" w:rsidP="00710AD4">
            <w:pPr>
              <w:jc w:val="center"/>
            </w:pPr>
            <w:r w:rsidRPr="008D4963">
              <w:t>Project: Terminal</w:t>
            </w:r>
          </w:p>
        </w:tc>
        <w:tc>
          <w:tcPr>
            <w:tcW w:w="566" w:type="pct"/>
          </w:tcPr>
          <w:p w14:paraId="056B13FA" w14:textId="0FB82513" w:rsidR="003A078B" w:rsidRPr="008D4963" w:rsidRDefault="00E03BE8" w:rsidP="00710AD4">
            <w:pPr>
              <w:spacing w:before="40" w:after="40"/>
              <w:jc w:val="center"/>
            </w:pPr>
            <w:r>
              <w:t>October</w:t>
            </w:r>
            <w:r w:rsidR="004B7E38">
              <w:t xml:space="preserve"> </w:t>
            </w:r>
            <w:r w:rsidR="003A078B" w:rsidRPr="008D4963">
              <w:t>202</w:t>
            </w:r>
            <w:r w:rsidR="004B7E38">
              <w:t>3</w:t>
            </w:r>
          </w:p>
        </w:tc>
        <w:tc>
          <w:tcPr>
            <w:tcW w:w="546" w:type="pct"/>
          </w:tcPr>
          <w:p w14:paraId="77E9FF89" w14:textId="77777777" w:rsidR="003A078B" w:rsidRPr="008D4963" w:rsidRDefault="003A078B" w:rsidP="00710AD4">
            <w:pPr>
              <w:jc w:val="center"/>
            </w:pPr>
            <w:r w:rsidRPr="008D4963">
              <w:t>30,000</w:t>
            </w:r>
          </w:p>
        </w:tc>
        <w:tc>
          <w:tcPr>
            <w:tcW w:w="514" w:type="pct"/>
          </w:tcPr>
          <w:p w14:paraId="66FD20EE" w14:textId="77777777" w:rsidR="003A078B" w:rsidRPr="008D4963" w:rsidRDefault="003A078B" w:rsidP="00710AD4">
            <w:pPr>
              <w:jc w:val="center"/>
              <w:rPr>
                <w:rStyle w:val="CommentReference"/>
                <w:sz w:val="20"/>
                <w:szCs w:val="20"/>
                <w:lang w:eastAsia="uk-UA"/>
              </w:rPr>
            </w:pPr>
            <w:r w:rsidRPr="008D4963">
              <w:rPr>
                <w:rStyle w:val="CommentReference"/>
                <w:sz w:val="20"/>
                <w:szCs w:val="20"/>
                <w:lang w:eastAsia="uk-UA"/>
              </w:rPr>
              <w:t>Project</w:t>
            </w:r>
          </w:p>
        </w:tc>
      </w:tr>
      <w:tr w:rsidR="007A19BE" w:rsidRPr="008D4963" w14:paraId="721A9D02" w14:textId="77777777" w:rsidTr="007A19BE">
        <w:tc>
          <w:tcPr>
            <w:tcW w:w="512" w:type="pct"/>
          </w:tcPr>
          <w:p w14:paraId="4F4391E6" w14:textId="77777777" w:rsidR="003A078B" w:rsidRPr="008D4963" w:rsidRDefault="003A078B" w:rsidP="00603DEC">
            <w:r w:rsidRPr="008D4963">
              <w:lastRenderedPageBreak/>
              <w:t>MSDCF 5</w:t>
            </w:r>
          </w:p>
        </w:tc>
        <w:tc>
          <w:tcPr>
            <w:tcW w:w="514" w:type="pct"/>
          </w:tcPr>
          <w:p w14:paraId="6E41092E" w14:textId="77777777" w:rsidR="003A078B" w:rsidRPr="008D4963" w:rsidRDefault="003A078B" w:rsidP="00710AD4">
            <w:pPr>
              <w:jc w:val="center"/>
            </w:pPr>
            <w:r w:rsidRPr="008D4963">
              <w:t>Outcome 2</w:t>
            </w:r>
          </w:p>
        </w:tc>
        <w:tc>
          <w:tcPr>
            <w:tcW w:w="815" w:type="pct"/>
          </w:tcPr>
          <w:p w14:paraId="500A27BD" w14:textId="77777777" w:rsidR="003A078B" w:rsidRPr="008D4963" w:rsidRDefault="003A078B" w:rsidP="00603DEC">
            <w:r w:rsidRPr="008D4963">
              <w:t>Midterm Review GEF GOLD+ in Suriname</w:t>
            </w:r>
          </w:p>
        </w:tc>
        <w:tc>
          <w:tcPr>
            <w:tcW w:w="473" w:type="pct"/>
          </w:tcPr>
          <w:p w14:paraId="30A36B95" w14:textId="77777777" w:rsidR="003A078B" w:rsidRPr="008D4963" w:rsidRDefault="003A078B" w:rsidP="00710AD4">
            <w:pPr>
              <w:jc w:val="center"/>
            </w:pPr>
            <w:r w:rsidRPr="008D4963">
              <w:t>N/A</w:t>
            </w:r>
          </w:p>
        </w:tc>
        <w:tc>
          <w:tcPr>
            <w:tcW w:w="546" w:type="pct"/>
          </w:tcPr>
          <w:p w14:paraId="0862F884" w14:textId="77777777" w:rsidR="003A078B" w:rsidRPr="008D4963" w:rsidRDefault="003A078B" w:rsidP="00710AD4">
            <w:pPr>
              <w:jc w:val="center"/>
            </w:pPr>
            <w:r w:rsidRPr="008D4963">
              <w:t>UNDP</w:t>
            </w:r>
          </w:p>
        </w:tc>
        <w:tc>
          <w:tcPr>
            <w:tcW w:w="514" w:type="pct"/>
          </w:tcPr>
          <w:p w14:paraId="57E49B12" w14:textId="4248705D" w:rsidR="003A078B" w:rsidRPr="008D4963" w:rsidRDefault="003A078B" w:rsidP="00710AD4">
            <w:pPr>
              <w:jc w:val="center"/>
            </w:pPr>
            <w:r w:rsidRPr="008D4963">
              <w:t>Project: Midterm</w:t>
            </w:r>
          </w:p>
        </w:tc>
        <w:tc>
          <w:tcPr>
            <w:tcW w:w="566" w:type="pct"/>
          </w:tcPr>
          <w:p w14:paraId="781DE770" w14:textId="77777777" w:rsidR="003A078B" w:rsidRPr="008D4963" w:rsidRDefault="003A078B" w:rsidP="00710AD4">
            <w:pPr>
              <w:spacing w:before="40" w:after="40"/>
              <w:jc w:val="center"/>
            </w:pPr>
            <w:r w:rsidRPr="008D4963">
              <w:t>October 2024</w:t>
            </w:r>
          </w:p>
        </w:tc>
        <w:tc>
          <w:tcPr>
            <w:tcW w:w="546" w:type="pct"/>
          </w:tcPr>
          <w:p w14:paraId="2E44B517" w14:textId="77777777" w:rsidR="003A078B" w:rsidRPr="008D4963" w:rsidRDefault="003A078B" w:rsidP="00710AD4">
            <w:pPr>
              <w:jc w:val="center"/>
            </w:pPr>
            <w:r w:rsidRPr="008D4963">
              <w:t>30,000</w:t>
            </w:r>
          </w:p>
        </w:tc>
        <w:tc>
          <w:tcPr>
            <w:tcW w:w="514" w:type="pct"/>
          </w:tcPr>
          <w:p w14:paraId="1CE40182" w14:textId="77777777" w:rsidR="003A078B" w:rsidRPr="008D4963" w:rsidRDefault="003A078B" w:rsidP="00710AD4">
            <w:pPr>
              <w:jc w:val="center"/>
              <w:rPr>
                <w:rStyle w:val="CommentReference"/>
                <w:sz w:val="20"/>
                <w:szCs w:val="20"/>
                <w:lang w:eastAsia="uk-UA"/>
              </w:rPr>
            </w:pPr>
            <w:r w:rsidRPr="008D4963">
              <w:rPr>
                <w:rStyle w:val="CommentReference"/>
                <w:sz w:val="20"/>
                <w:szCs w:val="20"/>
                <w:lang w:eastAsia="uk-UA"/>
              </w:rPr>
              <w:t>Project</w:t>
            </w:r>
          </w:p>
        </w:tc>
      </w:tr>
      <w:tr w:rsidR="007A19BE" w:rsidRPr="008D4963" w14:paraId="08CD4782" w14:textId="77777777" w:rsidTr="007A19BE">
        <w:tc>
          <w:tcPr>
            <w:tcW w:w="512" w:type="pct"/>
          </w:tcPr>
          <w:p w14:paraId="10369AC7" w14:textId="77777777" w:rsidR="003A078B" w:rsidRPr="008D4963" w:rsidRDefault="003A078B" w:rsidP="00603DEC">
            <w:r w:rsidRPr="008D4963">
              <w:t>MSDCF 5</w:t>
            </w:r>
          </w:p>
        </w:tc>
        <w:tc>
          <w:tcPr>
            <w:tcW w:w="514" w:type="pct"/>
          </w:tcPr>
          <w:p w14:paraId="19DC7F1D" w14:textId="77777777" w:rsidR="003A078B" w:rsidRPr="008D4963" w:rsidRDefault="003A078B" w:rsidP="00710AD4">
            <w:pPr>
              <w:jc w:val="center"/>
            </w:pPr>
            <w:r w:rsidRPr="008D4963">
              <w:t>Outcome 2</w:t>
            </w:r>
          </w:p>
        </w:tc>
        <w:tc>
          <w:tcPr>
            <w:tcW w:w="815" w:type="pct"/>
          </w:tcPr>
          <w:p w14:paraId="3B054591" w14:textId="77777777" w:rsidR="003A078B" w:rsidRPr="008D4963" w:rsidRDefault="003A078B" w:rsidP="00603DEC">
            <w:r w:rsidRPr="008D4963">
              <w:t xml:space="preserve">Terminal Evaluation GEF Improving Environmental Management in the Mining Sector of Suriname, with Emphasis on Artisanal and </w:t>
            </w:r>
            <w:proofErr w:type="gramStart"/>
            <w:r w:rsidRPr="008D4963">
              <w:t>Small Scale</w:t>
            </w:r>
            <w:proofErr w:type="gramEnd"/>
            <w:r w:rsidRPr="008D4963">
              <w:t xml:space="preserve"> Gold Mining (ASGM) EMSAGS</w:t>
            </w:r>
          </w:p>
        </w:tc>
        <w:tc>
          <w:tcPr>
            <w:tcW w:w="473" w:type="pct"/>
          </w:tcPr>
          <w:p w14:paraId="544A90D5" w14:textId="77777777" w:rsidR="003A078B" w:rsidRPr="008D4963" w:rsidRDefault="003A078B" w:rsidP="00710AD4">
            <w:pPr>
              <w:jc w:val="center"/>
            </w:pPr>
            <w:r w:rsidRPr="008D4963">
              <w:t>N/A</w:t>
            </w:r>
          </w:p>
        </w:tc>
        <w:tc>
          <w:tcPr>
            <w:tcW w:w="546" w:type="pct"/>
          </w:tcPr>
          <w:p w14:paraId="4BA32E52" w14:textId="77777777" w:rsidR="003A078B" w:rsidRPr="008D4963" w:rsidRDefault="003A078B" w:rsidP="00710AD4">
            <w:pPr>
              <w:jc w:val="center"/>
            </w:pPr>
            <w:r w:rsidRPr="008D4963">
              <w:t>UNDP</w:t>
            </w:r>
          </w:p>
        </w:tc>
        <w:tc>
          <w:tcPr>
            <w:tcW w:w="514" w:type="pct"/>
          </w:tcPr>
          <w:p w14:paraId="4E34CBB1" w14:textId="019F4AD1" w:rsidR="003A078B" w:rsidRPr="008D4963" w:rsidRDefault="003A078B" w:rsidP="00710AD4">
            <w:pPr>
              <w:jc w:val="center"/>
            </w:pPr>
            <w:r w:rsidRPr="008D4963">
              <w:t>Project: Terminal</w:t>
            </w:r>
          </w:p>
        </w:tc>
        <w:tc>
          <w:tcPr>
            <w:tcW w:w="566" w:type="pct"/>
          </w:tcPr>
          <w:p w14:paraId="5A771F37" w14:textId="77777777" w:rsidR="003A078B" w:rsidRPr="008D4963" w:rsidRDefault="003A078B" w:rsidP="00710AD4">
            <w:pPr>
              <w:spacing w:before="40" w:after="40"/>
              <w:jc w:val="center"/>
            </w:pPr>
            <w:r w:rsidRPr="008D4963">
              <w:t>October 2025</w:t>
            </w:r>
          </w:p>
        </w:tc>
        <w:tc>
          <w:tcPr>
            <w:tcW w:w="546" w:type="pct"/>
          </w:tcPr>
          <w:p w14:paraId="26F5599F" w14:textId="77777777" w:rsidR="003A078B" w:rsidRPr="008D4963" w:rsidRDefault="003A078B" w:rsidP="00710AD4">
            <w:pPr>
              <w:jc w:val="center"/>
            </w:pPr>
            <w:r w:rsidRPr="008D4963">
              <w:t>40,000</w:t>
            </w:r>
          </w:p>
        </w:tc>
        <w:tc>
          <w:tcPr>
            <w:tcW w:w="514" w:type="pct"/>
          </w:tcPr>
          <w:p w14:paraId="2D7BFE08" w14:textId="77777777" w:rsidR="003A078B" w:rsidRPr="008D4963" w:rsidRDefault="003A078B" w:rsidP="00710AD4">
            <w:pPr>
              <w:jc w:val="center"/>
              <w:rPr>
                <w:rStyle w:val="CommentReference"/>
                <w:sz w:val="20"/>
                <w:szCs w:val="20"/>
                <w:lang w:eastAsia="uk-UA"/>
              </w:rPr>
            </w:pPr>
            <w:r w:rsidRPr="008D4963">
              <w:rPr>
                <w:rStyle w:val="CommentReference"/>
                <w:sz w:val="20"/>
                <w:szCs w:val="20"/>
                <w:lang w:eastAsia="uk-UA"/>
              </w:rPr>
              <w:t>Project</w:t>
            </w:r>
          </w:p>
        </w:tc>
      </w:tr>
      <w:tr w:rsidR="007A19BE" w:rsidRPr="008D4963" w14:paraId="6D443509" w14:textId="77777777" w:rsidTr="007A19BE">
        <w:tc>
          <w:tcPr>
            <w:tcW w:w="512" w:type="pct"/>
          </w:tcPr>
          <w:p w14:paraId="463D0E75" w14:textId="77777777" w:rsidR="003A078B" w:rsidRPr="008D4963" w:rsidRDefault="003A078B" w:rsidP="00603DEC">
            <w:r w:rsidRPr="008D4963">
              <w:t>MSDCF 5</w:t>
            </w:r>
          </w:p>
        </w:tc>
        <w:tc>
          <w:tcPr>
            <w:tcW w:w="514" w:type="pct"/>
          </w:tcPr>
          <w:p w14:paraId="2F607C3E" w14:textId="77777777" w:rsidR="003A078B" w:rsidRPr="008D4963" w:rsidRDefault="003A078B" w:rsidP="00710AD4">
            <w:pPr>
              <w:jc w:val="center"/>
            </w:pPr>
            <w:r w:rsidRPr="008D4963">
              <w:t>Outcome 2</w:t>
            </w:r>
          </w:p>
        </w:tc>
        <w:tc>
          <w:tcPr>
            <w:tcW w:w="815" w:type="pct"/>
          </w:tcPr>
          <w:p w14:paraId="238B12EB" w14:textId="77777777" w:rsidR="003A078B" w:rsidRPr="008D4963" w:rsidRDefault="003A078B" w:rsidP="00603DEC">
            <w:r w:rsidRPr="008D4963">
              <w:t>Midterm Review GEF Strengthening management of protected and productive landscapes in the Surinamese Amazon</w:t>
            </w:r>
          </w:p>
        </w:tc>
        <w:tc>
          <w:tcPr>
            <w:tcW w:w="473" w:type="pct"/>
          </w:tcPr>
          <w:p w14:paraId="29618449" w14:textId="77777777" w:rsidR="003A078B" w:rsidRPr="008D4963" w:rsidRDefault="003A078B" w:rsidP="00710AD4">
            <w:pPr>
              <w:jc w:val="center"/>
            </w:pPr>
            <w:r w:rsidRPr="008D4963">
              <w:t>N/A</w:t>
            </w:r>
          </w:p>
        </w:tc>
        <w:tc>
          <w:tcPr>
            <w:tcW w:w="546" w:type="pct"/>
          </w:tcPr>
          <w:p w14:paraId="1D1C9FDD" w14:textId="77777777" w:rsidR="003A078B" w:rsidRPr="008D4963" w:rsidRDefault="003A078B" w:rsidP="00710AD4">
            <w:pPr>
              <w:jc w:val="center"/>
            </w:pPr>
            <w:r w:rsidRPr="008D4963">
              <w:t>UNDP</w:t>
            </w:r>
          </w:p>
        </w:tc>
        <w:tc>
          <w:tcPr>
            <w:tcW w:w="514" w:type="pct"/>
          </w:tcPr>
          <w:p w14:paraId="6E2DB5BA" w14:textId="5705D604" w:rsidR="003A078B" w:rsidRPr="008D4963" w:rsidRDefault="003A078B" w:rsidP="00710AD4">
            <w:pPr>
              <w:jc w:val="center"/>
            </w:pPr>
            <w:r w:rsidRPr="008D4963">
              <w:t>Project: Midterm</w:t>
            </w:r>
          </w:p>
        </w:tc>
        <w:tc>
          <w:tcPr>
            <w:tcW w:w="566" w:type="pct"/>
          </w:tcPr>
          <w:p w14:paraId="6AA1959B" w14:textId="77777777" w:rsidR="003A078B" w:rsidRPr="008D4963" w:rsidRDefault="003A078B" w:rsidP="00710AD4">
            <w:pPr>
              <w:spacing w:before="40" w:after="40"/>
              <w:jc w:val="center"/>
            </w:pPr>
            <w:r w:rsidRPr="008D4963">
              <w:t>December 2023</w:t>
            </w:r>
          </w:p>
        </w:tc>
        <w:tc>
          <w:tcPr>
            <w:tcW w:w="546" w:type="pct"/>
          </w:tcPr>
          <w:p w14:paraId="53F55105" w14:textId="77777777" w:rsidR="003A078B" w:rsidRPr="008D4963" w:rsidRDefault="003A078B" w:rsidP="00710AD4">
            <w:pPr>
              <w:jc w:val="center"/>
            </w:pPr>
            <w:r w:rsidRPr="008D4963">
              <w:t>34,000</w:t>
            </w:r>
          </w:p>
        </w:tc>
        <w:tc>
          <w:tcPr>
            <w:tcW w:w="514" w:type="pct"/>
          </w:tcPr>
          <w:p w14:paraId="0532145F" w14:textId="77777777" w:rsidR="003A078B" w:rsidRPr="008D4963" w:rsidRDefault="003A078B" w:rsidP="00710AD4">
            <w:pPr>
              <w:jc w:val="center"/>
              <w:rPr>
                <w:rStyle w:val="CommentReference"/>
                <w:sz w:val="20"/>
                <w:szCs w:val="20"/>
                <w:lang w:eastAsia="uk-UA"/>
              </w:rPr>
            </w:pPr>
            <w:r w:rsidRPr="008D4963">
              <w:rPr>
                <w:rStyle w:val="CommentReference"/>
                <w:sz w:val="20"/>
                <w:szCs w:val="20"/>
                <w:lang w:eastAsia="uk-UA"/>
              </w:rPr>
              <w:t>Project</w:t>
            </w:r>
          </w:p>
        </w:tc>
      </w:tr>
      <w:tr w:rsidR="007A19BE" w:rsidRPr="008D4963" w14:paraId="364DC789" w14:textId="77777777" w:rsidTr="007A19BE">
        <w:tc>
          <w:tcPr>
            <w:tcW w:w="512" w:type="pct"/>
          </w:tcPr>
          <w:p w14:paraId="5EA24A87" w14:textId="0E948597" w:rsidR="00FA5BC3" w:rsidRPr="008D4963" w:rsidRDefault="00FA5BC3" w:rsidP="00FA5BC3">
            <w:r w:rsidRPr="008D4963">
              <w:t>MSDCF 5</w:t>
            </w:r>
          </w:p>
        </w:tc>
        <w:tc>
          <w:tcPr>
            <w:tcW w:w="514" w:type="pct"/>
          </w:tcPr>
          <w:p w14:paraId="13120A84" w14:textId="72D5B2D1" w:rsidR="00FA5BC3" w:rsidRPr="008D4963" w:rsidRDefault="00FA5BC3" w:rsidP="00710AD4">
            <w:pPr>
              <w:jc w:val="center"/>
            </w:pPr>
            <w:r w:rsidRPr="008D4963">
              <w:t>Outcome 2</w:t>
            </w:r>
          </w:p>
        </w:tc>
        <w:tc>
          <w:tcPr>
            <w:tcW w:w="815" w:type="pct"/>
          </w:tcPr>
          <w:p w14:paraId="362A2BE4" w14:textId="52ACE216" w:rsidR="00FA5BC3" w:rsidRPr="008D4963" w:rsidRDefault="00FA5BC3" w:rsidP="00FA5BC3">
            <w:r>
              <w:t>Terminal Evaluation</w:t>
            </w:r>
            <w:r w:rsidRPr="008D4963">
              <w:t xml:space="preserve"> GEF Strengthening management of protected and productive landscapes in the Surinamese Amazon</w:t>
            </w:r>
          </w:p>
        </w:tc>
        <w:tc>
          <w:tcPr>
            <w:tcW w:w="473" w:type="pct"/>
          </w:tcPr>
          <w:p w14:paraId="0AE29DAD" w14:textId="47909215" w:rsidR="00FA5BC3" w:rsidRPr="008D4963" w:rsidRDefault="00FA5BC3" w:rsidP="00710AD4">
            <w:pPr>
              <w:jc w:val="center"/>
            </w:pPr>
            <w:r w:rsidRPr="008D4963">
              <w:t>N/A</w:t>
            </w:r>
          </w:p>
        </w:tc>
        <w:tc>
          <w:tcPr>
            <w:tcW w:w="546" w:type="pct"/>
          </w:tcPr>
          <w:p w14:paraId="32C7B324" w14:textId="10410281" w:rsidR="00FA5BC3" w:rsidRPr="008D4963" w:rsidRDefault="00FA5BC3" w:rsidP="00710AD4">
            <w:pPr>
              <w:jc w:val="center"/>
            </w:pPr>
            <w:r w:rsidRPr="008D4963">
              <w:t>UNDP</w:t>
            </w:r>
          </w:p>
        </w:tc>
        <w:tc>
          <w:tcPr>
            <w:tcW w:w="514" w:type="pct"/>
          </w:tcPr>
          <w:p w14:paraId="323035E2" w14:textId="15F04A19" w:rsidR="00FA5BC3" w:rsidRPr="008D4963" w:rsidRDefault="00FA5BC3" w:rsidP="00710AD4">
            <w:pPr>
              <w:jc w:val="center"/>
            </w:pPr>
            <w:r w:rsidRPr="008D4963">
              <w:t xml:space="preserve">Project: </w:t>
            </w:r>
            <w:r w:rsidR="00EF2B4C">
              <w:t>Terminal</w:t>
            </w:r>
          </w:p>
        </w:tc>
        <w:tc>
          <w:tcPr>
            <w:tcW w:w="566" w:type="pct"/>
          </w:tcPr>
          <w:p w14:paraId="7E8FF5B7" w14:textId="2B6DA38F" w:rsidR="00FA5BC3" w:rsidRPr="008D4963" w:rsidRDefault="00FA5BC3" w:rsidP="00710AD4">
            <w:pPr>
              <w:spacing w:before="40" w:after="40"/>
              <w:jc w:val="center"/>
            </w:pPr>
            <w:r w:rsidRPr="008D4963">
              <w:t>December 202</w:t>
            </w:r>
            <w:r w:rsidR="00F3133D">
              <w:t>6</w:t>
            </w:r>
          </w:p>
        </w:tc>
        <w:tc>
          <w:tcPr>
            <w:tcW w:w="546" w:type="pct"/>
          </w:tcPr>
          <w:p w14:paraId="73D26CC8" w14:textId="32070816" w:rsidR="00FA5BC3" w:rsidRPr="008D4963" w:rsidRDefault="00FA5BC3" w:rsidP="00710AD4">
            <w:pPr>
              <w:jc w:val="center"/>
            </w:pPr>
            <w:r w:rsidRPr="008D4963">
              <w:t>34,000</w:t>
            </w:r>
          </w:p>
        </w:tc>
        <w:tc>
          <w:tcPr>
            <w:tcW w:w="514" w:type="pct"/>
          </w:tcPr>
          <w:p w14:paraId="6AA425DF" w14:textId="52CE146D" w:rsidR="00FA5BC3" w:rsidRPr="008D4963" w:rsidRDefault="00FA5BC3" w:rsidP="00710AD4">
            <w:pPr>
              <w:jc w:val="center"/>
              <w:rPr>
                <w:rStyle w:val="CommentReference"/>
                <w:sz w:val="20"/>
                <w:szCs w:val="20"/>
                <w:lang w:eastAsia="uk-UA"/>
              </w:rPr>
            </w:pPr>
            <w:r w:rsidRPr="008D4963">
              <w:rPr>
                <w:rStyle w:val="CommentReference"/>
                <w:sz w:val="20"/>
                <w:szCs w:val="20"/>
                <w:lang w:eastAsia="uk-UA"/>
              </w:rPr>
              <w:t>Project</w:t>
            </w:r>
          </w:p>
        </w:tc>
      </w:tr>
      <w:tr w:rsidR="007A19BE" w:rsidRPr="008D4963" w14:paraId="26FABF9F" w14:textId="77777777" w:rsidTr="007A19BE">
        <w:tc>
          <w:tcPr>
            <w:tcW w:w="512" w:type="pct"/>
          </w:tcPr>
          <w:p w14:paraId="44D27AE9" w14:textId="69C8EE83" w:rsidR="008677F6" w:rsidRPr="008D4963" w:rsidRDefault="002948DD" w:rsidP="00FA5BC3">
            <w:r>
              <w:t>MSDCF 4</w:t>
            </w:r>
          </w:p>
        </w:tc>
        <w:tc>
          <w:tcPr>
            <w:tcW w:w="514" w:type="pct"/>
          </w:tcPr>
          <w:p w14:paraId="59C22731" w14:textId="5CA3BA3C" w:rsidR="008677F6" w:rsidRPr="008D4963" w:rsidRDefault="002F2BD4" w:rsidP="00710AD4">
            <w:pPr>
              <w:jc w:val="center"/>
            </w:pPr>
            <w:r>
              <w:t>Outcome 2</w:t>
            </w:r>
          </w:p>
        </w:tc>
        <w:tc>
          <w:tcPr>
            <w:tcW w:w="815" w:type="pct"/>
          </w:tcPr>
          <w:p w14:paraId="086667E2" w14:textId="203E1B49" w:rsidR="008677F6" w:rsidRDefault="009077BF" w:rsidP="00FA5BC3">
            <w:r w:rsidRPr="009077BF">
              <w:t>SDG JP Roadmap for a Sustainable Financial System for Suriname</w:t>
            </w:r>
          </w:p>
        </w:tc>
        <w:tc>
          <w:tcPr>
            <w:tcW w:w="473" w:type="pct"/>
          </w:tcPr>
          <w:p w14:paraId="5BABFDDA" w14:textId="03625054" w:rsidR="008677F6" w:rsidRPr="008D4963" w:rsidRDefault="009077BF" w:rsidP="00710AD4">
            <w:pPr>
              <w:jc w:val="center"/>
            </w:pPr>
            <w:r>
              <w:t>UNEP, FAO, UNFPA</w:t>
            </w:r>
          </w:p>
        </w:tc>
        <w:tc>
          <w:tcPr>
            <w:tcW w:w="546" w:type="pct"/>
          </w:tcPr>
          <w:p w14:paraId="7036693C" w14:textId="0E51F123" w:rsidR="008677F6" w:rsidRPr="008D4963" w:rsidRDefault="009077BF" w:rsidP="00710AD4">
            <w:pPr>
              <w:jc w:val="center"/>
            </w:pPr>
            <w:r>
              <w:t>UNDP, UNEP, FAO, UNFPA</w:t>
            </w:r>
          </w:p>
        </w:tc>
        <w:tc>
          <w:tcPr>
            <w:tcW w:w="514" w:type="pct"/>
          </w:tcPr>
          <w:p w14:paraId="72702937" w14:textId="3C00D0AD" w:rsidR="008677F6" w:rsidRPr="008D4963" w:rsidRDefault="00D516FD" w:rsidP="00710AD4">
            <w:pPr>
              <w:jc w:val="center"/>
            </w:pPr>
            <w:r>
              <w:t xml:space="preserve">Other: </w:t>
            </w:r>
            <w:r w:rsidR="002F2BD4">
              <w:t>Thematic</w:t>
            </w:r>
          </w:p>
        </w:tc>
        <w:tc>
          <w:tcPr>
            <w:tcW w:w="566" w:type="pct"/>
          </w:tcPr>
          <w:p w14:paraId="53EA1E16" w14:textId="725FCCD6" w:rsidR="008677F6" w:rsidRPr="008D4963" w:rsidRDefault="002F2BD4" w:rsidP="00710AD4">
            <w:pPr>
              <w:spacing w:before="40" w:after="40"/>
              <w:jc w:val="center"/>
            </w:pPr>
            <w:r>
              <w:t>September 2022</w:t>
            </w:r>
          </w:p>
        </w:tc>
        <w:tc>
          <w:tcPr>
            <w:tcW w:w="546" w:type="pct"/>
          </w:tcPr>
          <w:p w14:paraId="57911C9D" w14:textId="43FE750D" w:rsidR="008677F6" w:rsidRPr="008D4963" w:rsidRDefault="002F2BD4" w:rsidP="00710AD4">
            <w:pPr>
              <w:jc w:val="center"/>
            </w:pPr>
            <w:r>
              <w:t>20,000</w:t>
            </w:r>
          </w:p>
        </w:tc>
        <w:tc>
          <w:tcPr>
            <w:tcW w:w="514" w:type="pct"/>
          </w:tcPr>
          <w:p w14:paraId="75039F14" w14:textId="357B5F92" w:rsidR="008677F6" w:rsidRPr="008D4963" w:rsidRDefault="009077BF" w:rsidP="00710AD4">
            <w:pPr>
              <w:jc w:val="center"/>
              <w:rPr>
                <w:rStyle w:val="CommentReference"/>
                <w:sz w:val="20"/>
                <w:szCs w:val="20"/>
                <w:lang w:eastAsia="uk-UA"/>
              </w:rPr>
            </w:pPr>
            <w:r>
              <w:t>UNDP, UNEP, FAO, UNFPA</w:t>
            </w:r>
          </w:p>
        </w:tc>
      </w:tr>
      <w:tr w:rsidR="005C751A" w:rsidRPr="008D4963" w14:paraId="1CCD3B46" w14:textId="77777777" w:rsidTr="007A19BE">
        <w:tc>
          <w:tcPr>
            <w:tcW w:w="512" w:type="pct"/>
          </w:tcPr>
          <w:p w14:paraId="59B0DF66" w14:textId="4C15AD85" w:rsidR="005C751A" w:rsidRDefault="005C751A" w:rsidP="00FA5BC3">
            <w:r>
              <w:t>All MSDCF Outcomes</w:t>
            </w:r>
          </w:p>
        </w:tc>
        <w:tc>
          <w:tcPr>
            <w:tcW w:w="514" w:type="pct"/>
          </w:tcPr>
          <w:p w14:paraId="717724B1" w14:textId="27B7AA86" w:rsidR="005C751A" w:rsidRDefault="005C751A" w:rsidP="00710AD4">
            <w:pPr>
              <w:jc w:val="center"/>
            </w:pPr>
            <w:r>
              <w:t>Outcomes 1,2,3</w:t>
            </w:r>
          </w:p>
        </w:tc>
        <w:tc>
          <w:tcPr>
            <w:tcW w:w="815" w:type="pct"/>
          </w:tcPr>
          <w:p w14:paraId="02C795F0" w14:textId="3EA067C9" w:rsidR="005C751A" w:rsidRPr="009077BF" w:rsidRDefault="005C751A" w:rsidP="00FA5BC3">
            <w:r>
              <w:t>Final Evaluation of Multi-Country Sustainable Development Cooperation Framework 2022-2026</w:t>
            </w:r>
          </w:p>
        </w:tc>
        <w:tc>
          <w:tcPr>
            <w:tcW w:w="473" w:type="pct"/>
          </w:tcPr>
          <w:p w14:paraId="3DCFC093" w14:textId="4EE4D79A" w:rsidR="005C751A" w:rsidRDefault="005C751A" w:rsidP="00710AD4">
            <w:pPr>
              <w:jc w:val="center"/>
            </w:pPr>
            <w:r>
              <w:t>UNCT</w:t>
            </w:r>
          </w:p>
        </w:tc>
        <w:tc>
          <w:tcPr>
            <w:tcW w:w="546" w:type="pct"/>
          </w:tcPr>
          <w:p w14:paraId="661B9D92" w14:textId="79872B23" w:rsidR="005C751A" w:rsidRDefault="005C751A" w:rsidP="00710AD4">
            <w:pPr>
              <w:jc w:val="center"/>
            </w:pPr>
            <w:r>
              <w:t>RCO</w:t>
            </w:r>
          </w:p>
        </w:tc>
        <w:tc>
          <w:tcPr>
            <w:tcW w:w="514" w:type="pct"/>
          </w:tcPr>
          <w:p w14:paraId="4C78D689" w14:textId="203D9316" w:rsidR="005C751A" w:rsidRDefault="005C751A" w:rsidP="00710AD4">
            <w:pPr>
              <w:jc w:val="center"/>
            </w:pPr>
            <w:r>
              <w:t>Other: MSDCF</w:t>
            </w:r>
          </w:p>
        </w:tc>
        <w:tc>
          <w:tcPr>
            <w:tcW w:w="566" w:type="pct"/>
          </w:tcPr>
          <w:p w14:paraId="52CB2035" w14:textId="509EDB30" w:rsidR="005C751A" w:rsidRDefault="009056A3" w:rsidP="00710AD4">
            <w:pPr>
              <w:spacing w:before="40" w:after="40"/>
              <w:jc w:val="center"/>
            </w:pPr>
            <w:r>
              <w:t xml:space="preserve">November </w:t>
            </w:r>
            <w:r w:rsidR="005C751A">
              <w:t>2026</w:t>
            </w:r>
          </w:p>
        </w:tc>
        <w:tc>
          <w:tcPr>
            <w:tcW w:w="546" w:type="pct"/>
          </w:tcPr>
          <w:p w14:paraId="559F744F" w14:textId="3C68C973" w:rsidR="005C751A" w:rsidRDefault="005C751A" w:rsidP="00710AD4">
            <w:pPr>
              <w:jc w:val="center"/>
            </w:pPr>
            <w:r>
              <w:t>5,000 (UNDP estimated contribution only)</w:t>
            </w:r>
          </w:p>
        </w:tc>
        <w:tc>
          <w:tcPr>
            <w:tcW w:w="514" w:type="pct"/>
          </w:tcPr>
          <w:p w14:paraId="613DD97B" w14:textId="0BBFE3FE" w:rsidR="005C751A" w:rsidRDefault="005C751A" w:rsidP="00710AD4">
            <w:pPr>
              <w:jc w:val="center"/>
            </w:pPr>
            <w:r>
              <w:t>UNCT</w:t>
            </w:r>
          </w:p>
        </w:tc>
      </w:tr>
    </w:tbl>
    <w:p w14:paraId="0D01C183" w14:textId="17697DC2" w:rsidR="003A078B" w:rsidRDefault="003A078B" w:rsidP="00B436CC">
      <w:pPr>
        <w:rPr>
          <w:color w:val="000000"/>
        </w:rPr>
      </w:pPr>
    </w:p>
    <w:sectPr w:rsidR="003A078B" w:rsidSect="00B436C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3NjIyMTQ0sjCyMDVW0lEKTi0uzszPAykwqgUAkFBxrSwAAAA="/>
  </w:docVars>
  <w:rsids>
    <w:rsidRoot w:val="00B436CC"/>
    <w:rsid w:val="0003530F"/>
    <w:rsid w:val="00122B69"/>
    <w:rsid w:val="002452CE"/>
    <w:rsid w:val="00285BF7"/>
    <w:rsid w:val="002948DD"/>
    <w:rsid w:val="002F2BD4"/>
    <w:rsid w:val="003A078B"/>
    <w:rsid w:val="003D344C"/>
    <w:rsid w:val="0040601E"/>
    <w:rsid w:val="00474A1B"/>
    <w:rsid w:val="004B7E38"/>
    <w:rsid w:val="004C5303"/>
    <w:rsid w:val="00565551"/>
    <w:rsid w:val="005C751A"/>
    <w:rsid w:val="00710AD4"/>
    <w:rsid w:val="00786CEF"/>
    <w:rsid w:val="007A19BE"/>
    <w:rsid w:val="008576CC"/>
    <w:rsid w:val="008677F6"/>
    <w:rsid w:val="008D4963"/>
    <w:rsid w:val="009056A3"/>
    <w:rsid w:val="009077BF"/>
    <w:rsid w:val="009423C6"/>
    <w:rsid w:val="009F2A32"/>
    <w:rsid w:val="00A337F6"/>
    <w:rsid w:val="00AC3FBB"/>
    <w:rsid w:val="00B436CC"/>
    <w:rsid w:val="00B84180"/>
    <w:rsid w:val="00C9634E"/>
    <w:rsid w:val="00D3768D"/>
    <w:rsid w:val="00D516FD"/>
    <w:rsid w:val="00DF7BDE"/>
    <w:rsid w:val="00E03BE8"/>
    <w:rsid w:val="00EF2B4C"/>
    <w:rsid w:val="00F3133D"/>
    <w:rsid w:val="00FA0656"/>
    <w:rsid w:val="00FA5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DCF02"/>
  <w15:chartTrackingRefBased/>
  <w15:docId w15:val="{ABAFEB39-3F48-4F92-BD00-2D280948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6C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B436CC"/>
    <w:rPr>
      <w:rFonts w:cs="Times New Roman"/>
      <w:sz w:val="6"/>
      <w:szCs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UNITOFFICE-440-2085</_dlc_DocId>
    <_dlc_DocIdUrl xmlns="5ebeba3d-fd60-4dcb-8548-a9fd3c51d9ff">
      <Url>https://intranet.undp.org/unit/office/exo/sp2014/SP201417/_layouts/15/DocIdRedir.aspx?ID=UNITOFFICE-440-2085</Url>
      <Description>UNITOFFICE-440-2085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BFDCDB6-B049-4126-B8BB-816622D3C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FF0F4C-73A3-4022-88E5-DC91C839082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5ebeba3d-fd60-4dcb-8548-a9fd3c51d9ff"/>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2E12BB9-1110-417B-AA9F-CC5E12B2C811}">
  <ds:schemaRefs>
    <ds:schemaRef ds:uri="http://schemas.microsoft.com/sharepoint/v3/contenttype/forms"/>
  </ds:schemaRefs>
</ds:datastoreItem>
</file>

<file path=customXml/itemProps4.xml><?xml version="1.0" encoding="utf-8"?>
<ds:datastoreItem xmlns:ds="http://schemas.openxmlformats.org/officeDocument/2006/customXml" ds:itemID="{2D4B89B2-8EB4-40D4-A6C0-6C01C52477F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3356</Characters>
  <Application>Microsoft Office Word</Application>
  <DocSecurity>4</DocSecurity>
  <Lines>27</Lines>
  <Paragraphs>7</Paragraphs>
  <ScaleCrop>false</ScaleCrop>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Guerra</dc:creator>
  <cp:keywords/>
  <dc:description/>
  <cp:lastModifiedBy>Svetlana Iazykova</cp:lastModifiedBy>
  <cp:revision>2</cp:revision>
  <dcterms:created xsi:type="dcterms:W3CDTF">2021-10-15T22:32:00Z</dcterms:created>
  <dcterms:modified xsi:type="dcterms:W3CDTF">2021-10-15T22:32:00Z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57719606-c908-46ce-a1ff-2022198f6ca1</vt:lpwstr>
  </property>
</Properties>
</file>