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8511B" w:rsidRDefault="002624F2">
      <w:pPr>
        <w:pStyle w:val="Heading3"/>
        <w:rPr>
          <w:rFonts w:ascii="Calibri" w:eastAsia="Calibri" w:hAnsi="Calibri" w:cs="Calibri"/>
          <w:b/>
        </w:rPr>
      </w:pPr>
      <w:r>
        <w:rPr>
          <w:rFonts w:ascii="Calibri" w:eastAsia="Calibri" w:hAnsi="Calibri" w:cs="Calibri"/>
          <w:b/>
        </w:rPr>
        <w:t>Country: Trinidad and Tobago</w:t>
      </w:r>
    </w:p>
    <w:p w14:paraId="00000002" w14:textId="77777777" w:rsidR="00C8511B" w:rsidRDefault="00C8511B">
      <w:pPr>
        <w:pStyle w:val="Heading3"/>
        <w:jc w:val="both"/>
        <w:rPr>
          <w:rFonts w:ascii="Calibri" w:eastAsia="Calibri" w:hAnsi="Calibri" w:cs="Calibri"/>
        </w:rPr>
      </w:pPr>
    </w:p>
    <w:p w14:paraId="00000003" w14:textId="77777777" w:rsidR="00C8511B" w:rsidRDefault="002624F2">
      <w:pPr>
        <w:pStyle w:val="Heading3"/>
        <w:ind w:firstLine="720"/>
        <w:rPr>
          <w:rFonts w:ascii="Calibri" w:eastAsia="Calibri" w:hAnsi="Calibri" w:cs="Calibri"/>
          <w:b/>
        </w:rPr>
      </w:pPr>
      <w:r>
        <w:rPr>
          <w:rFonts w:ascii="Calibri" w:eastAsia="Calibri" w:hAnsi="Calibri" w:cs="Calibri"/>
          <w:b/>
        </w:rPr>
        <w:t>COUNTRY PROGRAMME PERFORMANCE SUMMARY</w:t>
      </w:r>
      <w:r>
        <w:rPr>
          <w:rFonts w:ascii="Calibri" w:eastAsia="Calibri" w:hAnsi="Calibri" w:cs="Calibri"/>
          <w:b/>
          <w:vertAlign w:val="superscript"/>
        </w:rPr>
        <w:footnoteReference w:id="2"/>
      </w:r>
    </w:p>
    <w:p w14:paraId="00000004" w14:textId="77777777" w:rsidR="00C8511B" w:rsidRDefault="00C8511B">
      <w:pPr>
        <w:pStyle w:val="Heading3"/>
        <w:jc w:val="both"/>
        <w:rPr>
          <w:rFonts w:ascii="Calibri" w:eastAsia="Calibri" w:hAnsi="Calibri" w:cs="Calibri"/>
          <w:b/>
        </w:rPr>
      </w:pPr>
    </w:p>
    <w:p w14:paraId="00000005" w14:textId="0F8961C4" w:rsidR="00C8511B" w:rsidRDefault="002624F2">
      <w:pPr>
        <w:pStyle w:val="Heading3"/>
        <w:rPr>
          <w:rFonts w:ascii="Calibri" w:eastAsia="Calibri" w:hAnsi="Calibri" w:cs="Calibri"/>
        </w:rPr>
      </w:pPr>
      <w:r>
        <w:rPr>
          <w:rFonts w:ascii="Calibri" w:eastAsia="Calibri" w:hAnsi="Calibri" w:cs="Calibri"/>
        </w:rPr>
        <w:t xml:space="preserve">Reporting Period: </w:t>
      </w:r>
      <w:r>
        <w:rPr>
          <w:rFonts w:ascii="Calibri" w:eastAsia="Calibri" w:hAnsi="Calibri" w:cs="Calibri"/>
        </w:rPr>
        <w:tab/>
        <w:t>2017 to 202</w:t>
      </w:r>
      <w:r w:rsidR="0026747F">
        <w:rPr>
          <w:rFonts w:ascii="Calibri" w:eastAsia="Calibri" w:hAnsi="Calibri" w:cs="Calibri"/>
        </w:rPr>
        <w:t>0</w:t>
      </w:r>
    </w:p>
    <w:p w14:paraId="00000006" w14:textId="77777777" w:rsidR="00C8511B" w:rsidRDefault="00C8511B">
      <w:pPr>
        <w:pStyle w:val="Heading3"/>
        <w:jc w:val="both"/>
        <w:rPr>
          <w:rFonts w:ascii="Calibri" w:eastAsia="Calibri" w:hAnsi="Calibri" w:cs="Calibri"/>
        </w:rPr>
      </w:pPr>
    </w:p>
    <w:p w14:paraId="00000007" w14:textId="77777777" w:rsidR="00C8511B" w:rsidRDefault="00C8511B">
      <w:pPr>
        <w:jc w:val="both"/>
        <w:rPr>
          <w:rFonts w:ascii="Calibri" w:eastAsia="Calibri" w:hAnsi="Calibri" w:cs="Calibri"/>
        </w:rPr>
      </w:pPr>
    </w:p>
    <w:p w14:paraId="00000008" w14:textId="77777777" w:rsidR="00C8511B" w:rsidRDefault="002624F2">
      <w:pPr>
        <w:pStyle w:val="Heading3"/>
        <w:jc w:val="both"/>
        <w:rPr>
          <w:rFonts w:ascii="Calibri" w:eastAsia="Calibri" w:hAnsi="Calibri" w:cs="Calibri"/>
          <w:b/>
        </w:rPr>
      </w:pPr>
      <w:r>
        <w:rPr>
          <w:rFonts w:ascii="Calibri" w:eastAsia="Calibri" w:hAnsi="Calibri" w:cs="Calibri"/>
          <w:b/>
        </w:rPr>
        <w:t xml:space="preserve">I.  EXECUTIVE SUMMARY </w:t>
      </w:r>
    </w:p>
    <w:p w14:paraId="00000009" w14:textId="77777777" w:rsidR="00C8511B" w:rsidRDefault="00C8511B">
      <w:pPr>
        <w:widowControl/>
        <w:pBdr>
          <w:top w:val="nil"/>
          <w:left w:val="nil"/>
          <w:bottom w:val="nil"/>
          <w:right w:val="nil"/>
          <w:between w:val="nil"/>
        </w:pBdr>
        <w:jc w:val="both"/>
        <w:rPr>
          <w:rFonts w:ascii="Calibri" w:eastAsia="Calibri" w:hAnsi="Calibri" w:cs="Calibri"/>
          <w:color w:val="000000"/>
        </w:rPr>
      </w:pPr>
    </w:p>
    <w:p w14:paraId="0000000A" w14:textId="77777777" w:rsidR="00C8511B" w:rsidRDefault="002624F2">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INTRODUCTION</w:t>
      </w:r>
    </w:p>
    <w:p w14:paraId="0000000B" w14:textId="77777777" w:rsidR="00C8511B" w:rsidRDefault="00C8511B">
      <w:pPr>
        <w:widowControl/>
        <w:pBdr>
          <w:top w:val="nil"/>
          <w:left w:val="nil"/>
          <w:bottom w:val="nil"/>
          <w:right w:val="nil"/>
          <w:between w:val="nil"/>
        </w:pBdr>
        <w:jc w:val="both"/>
        <w:rPr>
          <w:rFonts w:ascii="Calibri" w:eastAsia="Calibri" w:hAnsi="Calibri" w:cs="Calibri"/>
          <w:color w:val="000000"/>
          <w:sz w:val="22"/>
          <w:szCs w:val="22"/>
        </w:rPr>
      </w:pPr>
    </w:p>
    <w:p w14:paraId="0000000F" w14:textId="5FFDBA87" w:rsidR="00C8511B" w:rsidRDefault="000B163E">
      <w:pPr>
        <w:jc w:val="both"/>
        <w:rPr>
          <w:rFonts w:ascii="Calibri" w:eastAsia="Calibri" w:hAnsi="Calibri" w:cs="Calibri"/>
          <w:sz w:val="22"/>
          <w:szCs w:val="22"/>
        </w:rPr>
      </w:pPr>
      <w:r>
        <w:rPr>
          <w:rFonts w:ascii="Calibri" w:eastAsia="Calibri" w:hAnsi="Calibri" w:cs="Calibri"/>
          <w:sz w:val="22"/>
          <w:szCs w:val="22"/>
        </w:rPr>
        <w:t xml:space="preserve">The </w:t>
      </w:r>
      <w:r w:rsidR="002624F2">
        <w:rPr>
          <w:rFonts w:ascii="Calibri" w:eastAsia="Calibri" w:hAnsi="Calibri" w:cs="Calibri"/>
          <w:sz w:val="22"/>
          <w:szCs w:val="22"/>
        </w:rPr>
        <w:t>Trinidad and Tobago</w:t>
      </w:r>
      <w:r>
        <w:rPr>
          <w:rFonts w:ascii="Calibri" w:eastAsia="Calibri" w:hAnsi="Calibri" w:cs="Calibri"/>
          <w:sz w:val="22"/>
          <w:szCs w:val="22"/>
        </w:rPr>
        <w:t xml:space="preserve"> economy has grown substantially since </w:t>
      </w:r>
      <w:r w:rsidR="002624F2">
        <w:rPr>
          <w:rFonts w:ascii="Calibri" w:eastAsia="Calibri" w:hAnsi="Calibri" w:cs="Calibri"/>
          <w:sz w:val="22"/>
          <w:szCs w:val="22"/>
        </w:rPr>
        <w:t>its independence in 1962. It has invested heavily in its human capital using the wealth generated by natural resources in oil and gas. Consequently, the country has made good progress with respect to human development</w:t>
      </w:r>
      <w:r w:rsidR="00126487">
        <w:rPr>
          <w:rFonts w:ascii="Calibri" w:eastAsia="Calibri" w:hAnsi="Calibri" w:cs="Calibri"/>
          <w:sz w:val="22"/>
          <w:szCs w:val="22"/>
        </w:rPr>
        <w:t xml:space="preserve"> as recorded in UNDP’s most recent Human Development Report which places the country i</w:t>
      </w:r>
      <w:r w:rsidR="00126487" w:rsidRPr="009A348E">
        <w:rPr>
          <w:rFonts w:ascii="Calibri" w:eastAsia="Calibri" w:hAnsi="Calibri" w:cs="Calibri"/>
          <w:sz w:val="22"/>
          <w:szCs w:val="22"/>
        </w:rPr>
        <w:t xml:space="preserve">n the high human development category—positioning it at 67 out of 189 countries and territories. The country is considered </w:t>
      </w:r>
      <w:r w:rsidR="002624F2">
        <w:rPr>
          <w:rFonts w:ascii="Calibri" w:eastAsia="Calibri" w:hAnsi="Calibri" w:cs="Calibri"/>
          <w:sz w:val="22"/>
          <w:szCs w:val="22"/>
        </w:rPr>
        <w:t xml:space="preserve">a leader in the Caribbean region in terms of its economic strength as well as </w:t>
      </w:r>
      <w:r w:rsidR="00126487">
        <w:rPr>
          <w:rFonts w:ascii="Calibri" w:eastAsia="Calibri" w:hAnsi="Calibri" w:cs="Calibri"/>
          <w:sz w:val="22"/>
          <w:szCs w:val="22"/>
        </w:rPr>
        <w:t xml:space="preserve">its </w:t>
      </w:r>
      <w:r w:rsidR="002624F2">
        <w:rPr>
          <w:rFonts w:ascii="Calibri" w:eastAsia="Calibri" w:hAnsi="Calibri" w:cs="Calibri"/>
          <w:sz w:val="22"/>
          <w:szCs w:val="22"/>
        </w:rPr>
        <w:t xml:space="preserve">levels of socioeconomic development. </w:t>
      </w:r>
      <w:r w:rsidR="00187AE8" w:rsidRPr="009A348E">
        <w:rPr>
          <w:rFonts w:ascii="Calibri" w:eastAsia="Calibri" w:hAnsi="Calibri" w:cs="Calibri"/>
          <w:sz w:val="22"/>
          <w:szCs w:val="22"/>
        </w:rPr>
        <w:t xml:space="preserve"> </w:t>
      </w:r>
    </w:p>
    <w:p w14:paraId="00000010" w14:textId="77777777" w:rsidR="00C8511B" w:rsidRDefault="00C8511B">
      <w:pPr>
        <w:jc w:val="both"/>
        <w:rPr>
          <w:rFonts w:ascii="Calibri" w:eastAsia="Calibri" w:hAnsi="Calibri" w:cs="Calibri"/>
          <w:sz w:val="22"/>
          <w:szCs w:val="22"/>
        </w:rPr>
      </w:pPr>
    </w:p>
    <w:p w14:paraId="00000011" w14:textId="7DAF85BE" w:rsidR="00C8511B" w:rsidRPr="00B64A1A" w:rsidRDefault="002624F2">
      <w:pPr>
        <w:jc w:val="both"/>
        <w:rPr>
          <w:rFonts w:ascii="Calibri" w:eastAsia="Calibri" w:hAnsi="Calibri" w:cs="Calibri"/>
          <w:sz w:val="22"/>
          <w:szCs w:val="22"/>
        </w:rPr>
      </w:pPr>
      <w:r>
        <w:rPr>
          <w:rFonts w:ascii="Calibri" w:eastAsia="Calibri" w:hAnsi="Calibri" w:cs="Calibri"/>
          <w:sz w:val="22"/>
          <w:szCs w:val="22"/>
        </w:rPr>
        <w:t xml:space="preserve">Like other resource-rich countries, the </w:t>
      </w:r>
      <w:r w:rsidR="003C3C10">
        <w:rPr>
          <w:rFonts w:ascii="Calibri" w:eastAsia="Calibri" w:hAnsi="Calibri" w:cs="Calibri"/>
          <w:sz w:val="22"/>
          <w:szCs w:val="22"/>
        </w:rPr>
        <w:t xml:space="preserve">health </w:t>
      </w:r>
      <w:r>
        <w:rPr>
          <w:rFonts w:ascii="Calibri" w:eastAsia="Calibri" w:hAnsi="Calibri" w:cs="Calibri"/>
          <w:sz w:val="22"/>
          <w:szCs w:val="22"/>
        </w:rPr>
        <w:t>of its economy has been determined by the</w:t>
      </w:r>
      <w:r w:rsidR="003C3C10">
        <w:rPr>
          <w:rFonts w:ascii="Calibri" w:eastAsia="Calibri" w:hAnsi="Calibri" w:cs="Calibri"/>
          <w:sz w:val="22"/>
          <w:szCs w:val="22"/>
        </w:rPr>
        <w:t xml:space="preserve"> volatility </w:t>
      </w:r>
      <w:r w:rsidR="00213DE3">
        <w:rPr>
          <w:rFonts w:ascii="Calibri" w:eastAsia="Calibri" w:hAnsi="Calibri" w:cs="Calibri"/>
          <w:sz w:val="22"/>
          <w:szCs w:val="22"/>
        </w:rPr>
        <w:t>of</w:t>
      </w:r>
      <w:r>
        <w:rPr>
          <w:rFonts w:ascii="Calibri" w:eastAsia="Calibri" w:hAnsi="Calibri" w:cs="Calibri"/>
          <w:sz w:val="22"/>
          <w:szCs w:val="22"/>
        </w:rPr>
        <w:t xml:space="preserve"> international market prices for oil and gas. Recent low prices for these commodities have had a deleterious </w:t>
      </w:r>
      <w:r w:rsidRPr="00B64A1A">
        <w:rPr>
          <w:rFonts w:ascii="Calibri" w:eastAsia="Calibri" w:hAnsi="Calibri" w:cs="Calibri"/>
          <w:sz w:val="22"/>
          <w:szCs w:val="22"/>
        </w:rPr>
        <w:t>effect on the country’s economy which has been further exacerbated by the impact of COVID-19 on the global economy. COVID-19 has also set back</w:t>
      </w:r>
      <w:r w:rsidR="00213DE3">
        <w:rPr>
          <w:rFonts w:ascii="Calibri" w:eastAsia="Calibri" w:hAnsi="Calibri" w:cs="Calibri"/>
          <w:sz w:val="22"/>
          <w:szCs w:val="22"/>
        </w:rPr>
        <w:t xml:space="preserve"> some</w:t>
      </w:r>
      <w:r w:rsidRPr="00B64A1A">
        <w:rPr>
          <w:rFonts w:ascii="Calibri" w:eastAsia="Calibri" w:hAnsi="Calibri" w:cs="Calibri"/>
          <w:sz w:val="22"/>
          <w:szCs w:val="22"/>
        </w:rPr>
        <w:t xml:space="preserve"> hard-won development gains.</w:t>
      </w:r>
    </w:p>
    <w:p w14:paraId="00000012" w14:textId="77777777" w:rsidR="00C8511B" w:rsidRPr="00B64A1A" w:rsidRDefault="00C8511B">
      <w:pPr>
        <w:jc w:val="both"/>
        <w:rPr>
          <w:rFonts w:ascii="Calibri" w:eastAsia="Calibri" w:hAnsi="Calibri" w:cs="Calibri"/>
          <w:sz w:val="22"/>
          <w:szCs w:val="22"/>
        </w:rPr>
      </w:pPr>
    </w:p>
    <w:p w14:paraId="00000013" w14:textId="467862E6" w:rsidR="00C8511B" w:rsidRPr="00B64A1A" w:rsidRDefault="002624F2">
      <w:pPr>
        <w:jc w:val="both"/>
        <w:rPr>
          <w:rFonts w:ascii="Calibri" w:eastAsia="Calibri" w:hAnsi="Calibri" w:cs="Calibri"/>
          <w:sz w:val="22"/>
          <w:szCs w:val="22"/>
        </w:rPr>
      </w:pPr>
      <w:r w:rsidRPr="00B64A1A">
        <w:rPr>
          <w:rFonts w:ascii="Calibri" w:eastAsia="Calibri" w:hAnsi="Calibri" w:cs="Calibri"/>
          <w:sz w:val="22"/>
          <w:szCs w:val="22"/>
        </w:rPr>
        <w:t>The Sustainable Development Goals (</w:t>
      </w:r>
      <w:r w:rsidR="00797711">
        <w:rPr>
          <w:rFonts w:ascii="Calibri" w:eastAsia="Calibri" w:hAnsi="Calibri" w:cs="Calibri"/>
          <w:sz w:val="22"/>
          <w:szCs w:val="22"/>
        </w:rPr>
        <w:t>the Goals</w:t>
      </w:r>
      <w:r w:rsidRPr="00B64A1A">
        <w:rPr>
          <w:rFonts w:ascii="Calibri" w:eastAsia="Calibri" w:hAnsi="Calibri" w:cs="Calibri"/>
          <w:sz w:val="22"/>
          <w:szCs w:val="22"/>
        </w:rPr>
        <w:t xml:space="preserve">) have been accorded a premier policy priority in Trinidad and Tobago. More specifically, the country’s National Development Strategy (Vision 2030) is </w:t>
      </w:r>
      <w:r w:rsidR="003A1B9E">
        <w:rPr>
          <w:rFonts w:ascii="Calibri" w:eastAsia="Calibri" w:hAnsi="Calibri" w:cs="Calibri"/>
          <w:sz w:val="22"/>
          <w:szCs w:val="22"/>
        </w:rPr>
        <w:t xml:space="preserve">directly </w:t>
      </w:r>
      <w:r w:rsidRPr="00B64A1A">
        <w:rPr>
          <w:rFonts w:ascii="Calibri" w:eastAsia="Calibri" w:hAnsi="Calibri" w:cs="Calibri"/>
          <w:sz w:val="22"/>
          <w:szCs w:val="22"/>
        </w:rPr>
        <w:t>aligned</w:t>
      </w:r>
      <w:r w:rsidR="003A1B9E">
        <w:rPr>
          <w:rFonts w:ascii="Calibri" w:eastAsia="Calibri" w:hAnsi="Calibri" w:cs="Calibri"/>
          <w:sz w:val="22"/>
          <w:szCs w:val="22"/>
        </w:rPr>
        <w:t xml:space="preserve"> </w:t>
      </w:r>
      <w:r w:rsidRPr="00B64A1A">
        <w:rPr>
          <w:rFonts w:ascii="Calibri" w:eastAsia="Calibri" w:hAnsi="Calibri" w:cs="Calibri"/>
          <w:sz w:val="22"/>
          <w:szCs w:val="22"/>
        </w:rPr>
        <w:t xml:space="preserve">with the </w:t>
      </w:r>
      <w:r w:rsidR="00971111">
        <w:rPr>
          <w:rFonts w:ascii="Calibri" w:eastAsia="Calibri" w:hAnsi="Calibri" w:cs="Calibri"/>
          <w:sz w:val="22"/>
          <w:szCs w:val="22"/>
        </w:rPr>
        <w:t>Goals</w:t>
      </w:r>
      <w:r w:rsidRPr="00B64A1A">
        <w:rPr>
          <w:rFonts w:ascii="Calibri" w:eastAsia="Calibri" w:hAnsi="Calibri" w:cs="Calibri"/>
          <w:sz w:val="22"/>
          <w:szCs w:val="22"/>
        </w:rPr>
        <w:t xml:space="preserve">. Critically, the monitoring, measurement, and evaluation of the progress of Vision 2030 </w:t>
      </w:r>
      <w:r w:rsidR="003C3C10">
        <w:rPr>
          <w:rFonts w:ascii="Calibri" w:eastAsia="Calibri" w:hAnsi="Calibri" w:cs="Calibri"/>
          <w:sz w:val="22"/>
          <w:szCs w:val="22"/>
        </w:rPr>
        <w:t xml:space="preserve">is also being </w:t>
      </w:r>
      <w:r w:rsidR="003A1B9E">
        <w:rPr>
          <w:rFonts w:ascii="Calibri" w:eastAsia="Calibri" w:hAnsi="Calibri" w:cs="Calibri"/>
          <w:sz w:val="22"/>
          <w:szCs w:val="22"/>
        </w:rPr>
        <w:t xml:space="preserve">conducted </w:t>
      </w:r>
      <w:r w:rsidRPr="00B64A1A">
        <w:rPr>
          <w:rFonts w:ascii="Calibri" w:eastAsia="Calibri" w:hAnsi="Calibri" w:cs="Calibri"/>
          <w:sz w:val="22"/>
          <w:szCs w:val="22"/>
        </w:rPr>
        <w:t>against SDG goals and targets as part of official government policy.</w:t>
      </w:r>
    </w:p>
    <w:p w14:paraId="00000014" w14:textId="77777777" w:rsidR="00C8511B" w:rsidRPr="00B64A1A" w:rsidRDefault="00C8511B">
      <w:pPr>
        <w:jc w:val="both"/>
        <w:rPr>
          <w:rFonts w:ascii="Calibri" w:eastAsia="Calibri" w:hAnsi="Calibri" w:cs="Calibri"/>
          <w:sz w:val="22"/>
          <w:szCs w:val="22"/>
        </w:rPr>
      </w:pPr>
    </w:p>
    <w:p w14:paraId="00000015" w14:textId="71A23314" w:rsidR="00C8511B" w:rsidRPr="00B64A1A" w:rsidRDefault="002624F2">
      <w:pPr>
        <w:jc w:val="both"/>
        <w:rPr>
          <w:rFonts w:ascii="Calibri" w:eastAsia="Calibri" w:hAnsi="Calibri" w:cs="Calibri"/>
          <w:sz w:val="22"/>
          <w:szCs w:val="22"/>
        </w:rPr>
      </w:pPr>
      <w:r w:rsidRPr="00B64A1A">
        <w:rPr>
          <w:rFonts w:ascii="Calibri" w:eastAsia="Calibri" w:hAnsi="Calibri" w:cs="Calibri"/>
          <w:sz w:val="22"/>
          <w:szCs w:val="22"/>
        </w:rPr>
        <w:t xml:space="preserve">Though Trinidad and Tobago </w:t>
      </w:r>
      <w:proofErr w:type="gramStart"/>
      <w:r w:rsidRPr="00B64A1A">
        <w:rPr>
          <w:rFonts w:ascii="Calibri" w:eastAsia="Calibri" w:hAnsi="Calibri" w:cs="Calibri"/>
          <w:sz w:val="22"/>
          <w:szCs w:val="22"/>
        </w:rPr>
        <w:t>has</w:t>
      </w:r>
      <w:proofErr w:type="gramEnd"/>
      <w:r w:rsidRPr="00B64A1A">
        <w:rPr>
          <w:rFonts w:ascii="Calibri" w:eastAsia="Calibri" w:hAnsi="Calibri" w:cs="Calibri"/>
          <w:sz w:val="22"/>
          <w:szCs w:val="22"/>
        </w:rPr>
        <w:t xml:space="preserve"> a clear agenda for achievement</w:t>
      </w:r>
      <w:r w:rsidR="00613E7C">
        <w:rPr>
          <w:rFonts w:ascii="Calibri" w:eastAsia="Calibri" w:hAnsi="Calibri" w:cs="Calibri"/>
          <w:sz w:val="22"/>
          <w:szCs w:val="22"/>
        </w:rPr>
        <w:t xml:space="preserve"> </w:t>
      </w:r>
      <w:r w:rsidR="008F164F">
        <w:rPr>
          <w:rFonts w:ascii="Calibri" w:eastAsia="Calibri" w:hAnsi="Calibri" w:cs="Calibri"/>
          <w:sz w:val="22"/>
          <w:szCs w:val="22"/>
        </w:rPr>
        <w:t xml:space="preserve">of the Goals </w:t>
      </w:r>
      <w:r w:rsidR="00613E7C">
        <w:rPr>
          <w:rFonts w:ascii="Calibri" w:eastAsia="Calibri" w:hAnsi="Calibri" w:cs="Calibri"/>
          <w:sz w:val="22"/>
          <w:szCs w:val="22"/>
        </w:rPr>
        <w:t>and a strong commitment to meet international climate obligations</w:t>
      </w:r>
      <w:r w:rsidRPr="00B64A1A">
        <w:rPr>
          <w:rFonts w:ascii="Calibri" w:eastAsia="Calibri" w:hAnsi="Calibri" w:cs="Calibri"/>
          <w:sz w:val="22"/>
          <w:szCs w:val="22"/>
        </w:rPr>
        <w:t>, the country faces challenges which are now accentuated by COVID-19.  There is the risk that its continued reliance on oil and natural gas as the mainstay of its economy may delay the transition to a green economy. This is a time of global shift to renewables that will ultimately result in reduced demand for fossil fuels</w:t>
      </w:r>
      <w:r w:rsidR="002F01EC">
        <w:rPr>
          <w:rFonts w:ascii="Calibri" w:eastAsia="Calibri" w:hAnsi="Calibri" w:cs="Calibri"/>
          <w:sz w:val="22"/>
          <w:szCs w:val="22"/>
        </w:rPr>
        <w:t>,</w:t>
      </w:r>
      <w:r w:rsidR="00C44637">
        <w:rPr>
          <w:rFonts w:ascii="Calibri" w:eastAsia="Calibri" w:hAnsi="Calibri" w:cs="Calibri"/>
          <w:sz w:val="22"/>
          <w:szCs w:val="22"/>
        </w:rPr>
        <w:t xml:space="preserve"> thus making a stronger case for a more aggressive diversification plan.  </w:t>
      </w:r>
      <w:r w:rsidR="00C44637" w:rsidRPr="00B64A1A">
        <w:rPr>
          <w:rFonts w:ascii="Calibri" w:eastAsia="Calibri" w:hAnsi="Calibri" w:cs="Calibri"/>
          <w:sz w:val="22"/>
          <w:szCs w:val="22"/>
        </w:rPr>
        <w:t xml:space="preserve">Given the limited fiscal space of government and growing debt levels, achievement </w:t>
      </w:r>
      <w:r w:rsidR="00655D2E">
        <w:rPr>
          <w:rFonts w:ascii="Calibri" w:eastAsia="Calibri" w:hAnsi="Calibri" w:cs="Calibri"/>
          <w:sz w:val="22"/>
          <w:szCs w:val="22"/>
        </w:rPr>
        <w:t xml:space="preserve">of the Goals </w:t>
      </w:r>
      <w:r w:rsidR="00C44637" w:rsidRPr="00B64A1A">
        <w:rPr>
          <w:rFonts w:ascii="Calibri" w:eastAsia="Calibri" w:hAnsi="Calibri" w:cs="Calibri"/>
          <w:sz w:val="22"/>
          <w:szCs w:val="22"/>
        </w:rPr>
        <w:t xml:space="preserve">is intricately connected to the availability of new sources of finance. </w:t>
      </w:r>
      <w:r w:rsidR="00126487">
        <w:rPr>
          <w:rFonts w:ascii="Calibri" w:eastAsia="Calibri" w:hAnsi="Calibri" w:cs="Calibri"/>
          <w:sz w:val="22"/>
          <w:szCs w:val="22"/>
        </w:rPr>
        <w:t xml:space="preserve">  As a high income country it is ineligible for Official Development Assistance (ODA) and concessional financing.</w:t>
      </w:r>
      <w:r w:rsidR="00126487" w:rsidRPr="00187AE8">
        <w:t xml:space="preserve"> </w:t>
      </w:r>
      <w:r w:rsidR="00126487">
        <w:rPr>
          <w:rFonts w:ascii="Calibri" w:eastAsia="Calibri" w:hAnsi="Calibri" w:cs="Calibri"/>
          <w:sz w:val="22"/>
          <w:szCs w:val="22"/>
        </w:rPr>
        <w:t xml:space="preserve"> </w:t>
      </w:r>
      <w:r w:rsidR="00C44637" w:rsidRPr="00B64A1A">
        <w:rPr>
          <w:rFonts w:ascii="Calibri" w:eastAsia="Calibri" w:hAnsi="Calibri" w:cs="Calibri"/>
          <w:sz w:val="22"/>
          <w:szCs w:val="22"/>
        </w:rPr>
        <w:t xml:space="preserve">Consequently, Foreign Direct Investment (FDI) is crucial going forward. Inextricably linked to this is the </w:t>
      </w:r>
      <w:r w:rsidR="00C44637" w:rsidRPr="00B64A1A">
        <w:rPr>
          <w:rFonts w:ascii="Calibri" w:eastAsia="Calibri" w:hAnsi="Calibri" w:cs="Calibri"/>
          <w:i/>
          <w:sz w:val="22"/>
          <w:szCs w:val="22"/>
        </w:rPr>
        <w:t>sine qua non</w:t>
      </w:r>
      <w:r w:rsidR="00C44637" w:rsidRPr="00B64A1A">
        <w:rPr>
          <w:rFonts w:ascii="Calibri" w:eastAsia="Calibri" w:hAnsi="Calibri" w:cs="Calibri"/>
          <w:sz w:val="22"/>
          <w:szCs w:val="22"/>
        </w:rPr>
        <w:t xml:space="preserve"> of improving the ease of doing business in Trinidad and Tobago with the implementation of the associated policy reforms.</w:t>
      </w:r>
      <w:r w:rsidR="00C44637">
        <w:rPr>
          <w:rFonts w:ascii="Calibri" w:eastAsia="Calibri" w:hAnsi="Calibri" w:cs="Calibri"/>
          <w:sz w:val="22"/>
          <w:szCs w:val="22"/>
        </w:rPr>
        <w:t xml:space="preserve"> </w:t>
      </w:r>
      <w:r w:rsidRPr="00B64A1A">
        <w:rPr>
          <w:rFonts w:ascii="Calibri" w:eastAsia="Calibri" w:hAnsi="Calibri" w:cs="Calibri"/>
          <w:sz w:val="22"/>
          <w:szCs w:val="22"/>
        </w:rPr>
        <w:t>Trinidad and Tobago, as a small island developing state (SIDS), is acutely vulnerable to shocks from natural hazards which are now increasing in intensity and frequency due to climate change. Climate change poses an existential threat and building resilience via effective climate action must be at the epicenter of policymaking and resource allocation.</w:t>
      </w:r>
    </w:p>
    <w:p w14:paraId="00000016" w14:textId="77777777" w:rsidR="00C8511B" w:rsidRPr="00B64A1A" w:rsidRDefault="00C8511B">
      <w:pPr>
        <w:jc w:val="both"/>
        <w:rPr>
          <w:rFonts w:ascii="Calibri" w:eastAsia="Calibri" w:hAnsi="Calibri" w:cs="Calibri"/>
          <w:sz w:val="22"/>
          <w:szCs w:val="22"/>
        </w:rPr>
      </w:pPr>
    </w:p>
    <w:p w14:paraId="00000019" w14:textId="4E686926" w:rsidR="00C8511B" w:rsidRPr="00B64A1A" w:rsidRDefault="002624F2">
      <w:pPr>
        <w:jc w:val="both"/>
        <w:rPr>
          <w:rFonts w:ascii="Calibri" w:eastAsia="Calibri" w:hAnsi="Calibri" w:cs="Calibri"/>
          <w:sz w:val="22"/>
          <w:szCs w:val="22"/>
        </w:rPr>
      </w:pPr>
      <w:r w:rsidRPr="00B64A1A">
        <w:rPr>
          <w:rFonts w:ascii="Calibri" w:eastAsia="Calibri" w:hAnsi="Calibri" w:cs="Calibri"/>
          <w:sz w:val="22"/>
          <w:szCs w:val="22"/>
        </w:rPr>
        <w:lastRenderedPageBreak/>
        <w:t xml:space="preserve">In terms of governance, Trinidad and Tobago has been a </w:t>
      </w:r>
      <w:r w:rsidR="00C44637">
        <w:rPr>
          <w:rFonts w:ascii="Calibri" w:eastAsia="Calibri" w:hAnsi="Calibri" w:cs="Calibri"/>
          <w:sz w:val="22"/>
          <w:szCs w:val="22"/>
        </w:rPr>
        <w:t xml:space="preserve">good example </w:t>
      </w:r>
      <w:r w:rsidRPr="00B64A1A">
        <w:rPr>
          <w:rFonts w:ascii="Calibri" w:eastAsia="Calibri" w:hAnsi="Calibri" w:cs="Calibri"/>
          <w:sz w:val="22"/>
          <w:szCs w:val="22"/>
        </w:rPr>
        <w:t xml:space="preserve">of electoral democracy convening elections as provided for in the constitution with the will of the people being respected. </w:t>
      </w:r>
      <w:r w:rsidR="00BB477E">
        <w:rPr>
          <w:rFonts w:ascii="Calibri" w:eastAsia="Calibri" w:hAnsi="Calibri" w:cs="Calibri"/>
          <w:sz w:val="22"/>
          <w:szCs w:val="22"/>
        </w:rPr>
        <w:t>E</w:t>
      </w:r>
      <w:r w:rsidRPr="00B64A1A">
        <w:rPr>
          <w:rFonts w:ascii="Calibri" w:eastAsia="Calibri" w:hAnsi="Calibri" w:cs="Calibri"/>
          <w:sz w:val="22"/>
          <w:szCs w:val="22"/>
        </w:rPr>
        <w:t>nhancing accountability and transparency; improv</w:t>
      </w:r>
      <w:r w:rsidR="00162BB5">
        <w:rPr>
          <w:rFonts w:ascii="Calibri" w:eastAsia="Calibri" w:hAnsi="Calibri" w:cs="Calibri"/>
          <w:sz w:val="22"/>
          <w:szCs w:val="22"/>
        </w:rPr>
        <w:t>ing</w:t>
      </w:r>
      <w:r w:rsidRPr="00B64A1A">
        <w:rPr>
          <w:rFonts w:ascii="Calibri" w:eastAsia="Calibri" w:hAnsi="Calibri" w:cs="Calibri"/>
          <w:sz w:val="22"/>
          <w:szCs w:val="22"/>
        </w:rPr>
        <w:t xml:space="preserve"> tax systems; improving public sector efficiency and efficacy; improving bipartisan mechanisms on matters of the highest national priority; and improving the administration of justice</w:t>
      </w:r>
      <w:r w:rsidR="00613E7C">
        <w:rPr>
          <w:rFonts w:ascii="Calibri" w:eastAsia="Calibri" w:hAnsi="Calibri" w:cs="Calibri"/>
          <w:sz w:val="22"/>
          <w:szCs w:val="22"/>
        </w:rPr>
        <w:t xml:space="preserve"> remain issues of national attention</w:t>
      </w:r>
      <w:r w:rsidRPr="00B64A1A">
        <w:rPr>
          <w:rFonts w:ascii="Calibri" w:eastAsia="Calibri" w:hAnsi="Calibri" w:cs="Calibri"/>
          <w:sz w:val="22"/>
          <w:szCs w:val="22"/>
        </w:rPr>
        <w:t>.</w:t>
      </w:r>
      <w:r w:rsidR="00C44637">
        <w:rPr>
          <w:rFonts w:ascii="Calibri" w:eastAsia="Calibri" w:hAnsi="Calibri" w:cs="Calibri"/>
          <w:sz w:val="22"/>
          <w:szCs w:val="22"/>
        </w:rPr>
        <w:t xml:space="preserve">  </w:t>
      </w:r>
      <w:r w:rsidRPr="00B64A1A">
        <w:rPr>
          <w:rFonts w:ascii="Calibri" w:eastAsia="Calibri" w:hAnsi="Calibri" w:cs="Calibri"/>
          <w:sz w:val="22"/>
          <w:szCs w:val="22"/>
        </w:rPr>
        <w:t xml:space="preserve">Crime and citizen security </w:t>
      </w:r>
      <w:r w:rsidR="00613E7C">
        <w:rPr>
          <w:rFonts w:ascii="Calibri" w:eastAsia="Calibri" w:hAnsi="Calibri" w:cs="Calibri"/>
          <w:sz w:val="22"/>
          <w:szCs w:val="22"/>
        </w:rPr>
        <w:t xml:space="preserve">is amongst one of the most pressing national concerns including an alarming rise </w:t>
      </w:r>
      <w:r w:rsidR="00E472F1">
        <w:rPr>
          <w:rFonts w:ascii="Calibri" w:eastAsia="Calibri" w:hAnsi="Calibri" w:cs="Calibri"/>
          <w:sz w:val="22"/>
          <w:szCs w:val="22"/>
        </w:rPr>
        <w:t xml:space="preserve">in </w:t>
      </w:r>
      <w:r w:rsidR="00D523CD">
        <w:rPr>
          <w:rFonts w:ascii="Calibri" w:eastAsia="Calibri" w:hAnsi="Calibri" w:cs="Calibri"/>
          <w:sz w:val="22"/>
          <w:szCs w:val="22"/>
        </w:rPr>
        <w:t>homicides</w:t>
      </w:r>
      <w:r w:rsidR="00E472F1">
        <w:rPr>
          <w:rFonts w:ascii="Calibri" w:eastAsia="Calibri" w:hAnsi="Calibri" w:cs="Calibri"/>
          <w:sz w:val="22"/>
          <w:szCs w:val="22"/>
        </w:rPr>
        <w:t xml:space="preserve"> (8.9% increase in 2019</w:t>
      </w:r>
      <w:r w:rsidR="006D7748">
        <w:rPr>
          <w:rFonts w:ascii="Calibri" w:eastAsia="Calibri" w:hAnsi="Calibri" w:cs="Calibri"/>
          <w:sz w:val="22"/>
          <w:szCs w:val="22"/>
        </w:rPr>
        <w:t>)</w:t>
      </w:r>
      <w:r w:rsidR="00613E7C">
        <w:rPr>
          <w:rFonts w:ascii="Calibri" w:eastAsia="Calibri" w:hAnsi="Calibri" w:cs="Calibri"/>
          <w:sz w:val="22"/>
          <w:szCs w:val="22"/>
        </w:rPr>
        <w:t xml:space="preserve">, </w:t>
      </w:r>
      <w:r w:rsidR="00463806">
        <w:rPr>
          <w:rFonts w:ascii="Calibri" w:eastAsia="Calibri" w:hAnsi="Calibri" w:cs="Calibri"/>
          <w:sz w:val="22"/>
          <w:szCs w:val="22"/>
        </w:rPr>
        <w:t>gender-based</w:t>
      </w:r>
      <w:r w:rsidR="00613E7C">
        <w:rPr>
          <w:rFonts w:ascii="Calibri" w:eastAsia="Calibri" w:hAnsi="Calibri" w:cs="Calibri"/>
          <w:sz w:val="22"/>
          <w:szCs w:val="22"/>
        </w:rPr>
        <w:t xml:space="preserve"> violence and gang related violence.</w:t>
      </w:r>
      <w:r w:rsidR="00C44637">
        <w:rPr>
          <w:rFonts w:ascii="Calibri" w:eastAsia="Calibri" w:hAnsi="Calibri" w:cs="Calibri"/>
          <w:sz w:val="22"/>
          <w:szCs w:val="22"/>
        </w:rPr>
        <w:t xml:space="preserve">  </w:t>
      </w:r>
    </w:p>
    <w:p w14:paraId="0000001A" w14:textId="77777777" w:rsidR="00C8511B" w:rsidRPr="00B64A1A" w:rsidRDefault="00C8511B">
      <w:pPr>
        <w:jc w:val="both"/>
        <w:rPr>
          <w:rFonts w:ascii="Calibri" w:eastAsia="Calibri" w:hAnsi="Calibri" w:cs="Calibri"/>
          <w:sz w:val="22"/>
          <w:szCs w:val="22"/>
        </w:rPr>
      </w:pPr>
    </w:p>
    <w:p w14:paraId="0000001B" w14:textId="3D5E0529" w:rsidR="00C8511B" w:rsidRDefault="002624F2">
      <w:pPr>
        <w:jc w:val="both"/>
        <w:rPr>
          <w:rFonts w:ascii="Calibri" w:eastAsia="Calibri" w:hAnsi="Calibri" w:cs="Calibri"/>
          <w:sz w:val="22"/>
          <w:szCs w:val="22"/>
        </w:rPr>
      </w:pPr>
      <w:r w:rsidRPr="00B64A1A">
        <w:rPr>
          <w:rFonts w:ascii="Calibri" w:eastAsia="Calibri" w:hAnsi="Calibri" w:cs="Calibri"/>
          <w:sz w:val="22"/>
          <w:szCs w:val="22"/>
        </w:rPr>
        <w:t xml:space="preserve">Trinidad and Tobago </w:t>
      </w:r>
      <w:proofErr w:type="gramStart"/>
      <w:r w:rsidRPr="00B64A1A">
        <w:rPr>
          <w:rFonts w:ascii="Calibri" w:eastAsia="Calibri" w:hAnsi="Calibri" w:cs="Calibri"/>
          <w:sz w:val="22"/>
          <w:szCs w:val="22"/>
        </w:rPr>
        <w:t>has</w:t>
      </w:r>
      <w:proofErr w:type="gramEnd"/>
      <w:r w:rsidRPr="00B64A1A">
        <w:rPr>
          <w:rFonts w:ascii="Calibri" w:eastAsia="Calibri" w:hAnsi="Calibri" w:cs="Calibri"/>
          <w:sz w:val="22"/>
          <w:szCs w:val="22"/>
        </w:rPr>
        <w:t xml:space="preserve"> historically </w:t>
      </w:r>
      <w:r w:rsidR="001105A3" w:rsidRPr="00B64A1A">
        <w:rPr>
          <w:rFonts w:ascii="Calibri" w:eastAsia="Calibri" w:hAnsi="Calibri" w:cs="Calibri"/>
          <w:sz w:val="22"/>
          <w:szCs w:val="22"/>
        </w:rPr>
        <w:t>prioritized</w:t>
      </w:r>
      <w:r w:rsidRPr="00B64A1A">
        <w:rPr>
          <w:rFonts w:ascii="Calibri" w:eastAsia="Calibri" w:hAnsi="Calibri" w:cs="Calibri"/>
          <w:sz w:val="22"/>
          <w:szCs w:val="22"/>
        </w:rPr>
        <w:t xml:space="preserve"> investments in </w:t>
      </w:r>
      <w:r w:rsidR="00C44637">
        <w:rPr>
          <w:rFonts w:ascii="Calibri" w:eastAsia="Calibri" w:hAnsi="Calibri" w:cs="Calibri"/>
          <w:sz w:val="22"/>
          <w:szCs w:val="22"/>
        </w:rPr>
        <w:t xml:space="preserve">its </w:t>
      </w:r>
      <w:r w:rsidRPr="00B64A1A">
        <w:rPr>
          <w:rFonts w:ascii="Calibri" w:eastAsia="Calibri" w:hAnsi="Calibri" w:cs="Calibri"/>
          <w:sz w:val="22"/>
          <w:szCs w:val="22"/>
        </w:rPr>
        <w:t xml:space="preserve">social protection system, and protecting the vulnerable has been one of the </w:t>
      </w:r>
      <w:r w:rsidR="00C44637">
        <w:rPr>
          <w:rFonts w:ascii="Calibri" w:eastAsia="Calibri" w:hAnsi="Calibri" w:cs="Calibri"/>
          <w:sz w:val="22"/>
          <w:szCs w:val="22"/>
        </w:rPr>
        <w:t xml:space="preserve">pillars </w:t>
      </w:r>
      <w:r w:rsidRPr="00B64A1A">
        <w:rPr>
          <w:rFonts w:ascii="Calibri" w:eastAsia="Calibri" w:hAnsi="Calibri" w:cs="Calibri"/>
          <w:sz w:val="22"/>
          <w:szCs w:val="22"/>
        </w:rPr>
        <w:t xml:space="preserve">of government policy. </w:t>
      </w:r>
      <w:r w:rsidR="00C44637">
        <w:rPr>
          <w:rFonts w:ascii="Calibri" w:eastAsia="Calibri" w:hAnsi="Calibri" w:cs="Calibri"/>
          <w:sz w:val="22"/>
          <w:szCs w:val="22"/>
        </w:rPr>
        <w:t xml:space="preserve">  </w:t>
      </w:r>
      <w:r w:rsidR="005B190F">
        <w:rPr>
          <w:rFonts w:ascii="Calibri" w:eastAsia="Calibri" w:hAnsi="Calibri" w:cs="Calibri"/>
          <w:sz w:val="22"/>
          <w:szCs w:val="22"/>
        </w:rPr>
        <w:t>While</w:t>
      </w:r>
      <w:r w:rsidR="009168E2">
        <w:rPr>
          <w:rFonts w:ascii="Calibri" w:eastAsia="Calibri" w:hAnsi="Calibri" w:cs="Calibri"/>
          <w:sz w:val="22"/>
          <w:szCs w:val="22"/>
        </w:rPr>
        <w:t xml:space="preserve"> the</w:t>
      </w:r>
      <w:r w:rsidR="005B190F">
        <w:rPr>
          <w:rFonts w:ascii="Calibri" w:eastAsia="Calibri" w:hAnsi="Calibri" w:cs="Calibri"/>
          <w:sz w:val="22"/>
          <w:szCs w:val="22"/>
        </w:rPr>
        <w:t xml:space="preserve"> government’s social protection system has been generous, there has been duplication in the provision of support as well as gaps in coverage. </w:t>
      </w:r>
      <w:r w:rsidR="00C44637">
        <w:rPr>
          <w:rFonts w:ascii="Calibri" w:eastAsia="Calibri" w:hAnsi="Calibri" w:cs="Calibri"/>
          <w:sz w:val="22"/>
          <w:szCs w:val="22"/>
        </w:rPr>
        <w:t xml:space="preserve">As in the case of many other countries, </w:t>
      </w:r>
      <w:r w:rsidRPr="00B64A1A">
        <w:rPr>
          <w:rFonts w:ascii="Calibri" w:eastAsia="Calibri" w:hAnsi="Calibri" w:cs="Calibri"/>
          <w:sz w:val="22"/>
          <w:szCs w:val="22"/>
        </w:rPr>
        <w:t xml:space="preserve">the fiscal impact of COVID-19 </w:t>
      </w:r>
      <w:r w:rsidR="00C44637">
        <w:rPr>
          <w:rFonts w:ascii="Calibri" w:eastAsia="Calibri" w:hAnsi="Calibri" w:cs="Calibri"/>
          <w:sz w:val="22"/>
          <w:szCs w:val="22"/>
        </w:rPr>
        <w:t xml:space="preserve">will constrain </w:t>
      </w:r>
      <w:r w:rsidR="00FB54F8">
        <w:rPr>
          <w:rFonts w:ascii="Calibri" w:eastAsia="Calibri" w:hAnsi="Calibri" w:cs="Calibri"/>
          <w:sz w:val="22"/>
          <w:szCs w:val="22"/>
        </w:rPr>
        <w:t xml:space="preserve">the </w:t>
      </w:r>
      <w:r w:rsidRPr="00B64A1A">
        <w:rPr>
          <w:rFonts w:ascii="Calibri" w:eastAsia="Calibri" w:hAnsi="Calibri" w:cs="Calibri"/>
          <w:sz w:val="22"/>
          <w:szCs w:val="22"/>
        </w:rPr>
        <w:t>government’s capacity to provide support on a scale and scope as before. In this regard, value for money and efficient models of social protection</w:t>
      </w:r>
      <w:r w:rsidR="00D265C3">
        <w:rPr>
          <w:rFonts w:ascii="Calibri" w:eastAsia="Calibri" w:hAnsi="Calibri" w:cs="Calibri"/>
          <w:sz w:val="22"/>
          <w:szCs w:val="22"/>
        </w:rPr>
        <w:t xml:space="preserve"> </w:t>
      </w:r>
      <w:r w:rsidR="00D265C3" w:rsidRPr="00B64A1A">
        <w:rPr>
          <w:rFonts w:ascii="Calibri" w:eastAsia="Calibri" w:hAnsi="Calibri" w:cs="Calibri"/>
          <w:sz w:val="22"/>
          <w:szCs w:val="22"/>
        </w:rPr>
        <w:t>are high priorities</w:t>
      </w:r>
      <w:r w:rsidRPr="00B64A1A">
        <w:rPr>
          <w:rFonts w:ascii="Calibri" w:eastAsia="Calibri" w:hAnsi="Calibri" w:cs="Calibri"/>
          <w:sz w:val="22"/>
          <w:szCs w:val="22"/>
        </w:rPr>
        <w:t>.</w:t>
      </w:r>
    </w:p>
    <w:p w14:paraId="5AF8C8FD" w14:textId="15437C9C" w:rsidR="00FB54F8" w:rsidRDefault="00FB54F8">
      <w:pPr>
        <w:jc w:val="both"/>
        <w:rPr>
          <w:rFonts w:ascii="Calibri" w:eastAsia="Calibri" w:hAnsi="Calibri" w:cs="Calibri"/>
          <w:sz w:val="22"/>
          <w:szCs w:val="22"/>
        </w:rPr>
      </w:pPr>
    </w:p>
    <w:p w14:paraId="67B93F19" w14:textId="5595C353" w:rsidR="008E617D" w:rsidRDefault="008E617D" w:rsidP="008E617D">
      <w:pPr>
        <w:jc w:val="both"/>
        <w:rPr>
          <w:rFonts w:ascii="Calibri" w:eastAsia="Calibri" w:hAnsi="Calibri" w:cs="Calibri"/>
          <w:sz w:val="22"/>
          <w:szCs w:val="22"/>
        </w:rPr>
      </w:pPr>
      <w:r>
        <w:rPr>
          <w:rFonts w:ascii="Calibri" w:eastAsia="Calibri" w:hAnsi="Calibri" w:cs="Calibri"/>
          <w:sz w:val="22"/>
          <w:szCs w:val="22"/>
        </w:rPr>
        <w:t>As a multi-country office, UNDP also has responsibilit</w:t>
      </w:r>
      <w:r w:rsidR="003B0519">
        <w:rPr>
          <w:rFonts w:ascii="Calibri" w:eastAsia="Calibri" w:hAnsi="Calibri" w:cs="Calibri"/>
          <w:sz w:val="22"/>
          <w:szCs w:val="22"/>
        </w:rPr>
        <w:t>y</w:t>
      </w:r>
      <w:r>
        <w:rPr>
          <w:rFonts w:ascii="Calibri" w:eastAsia="Calibri" w:hAnsi="Calibri" w:cs="Calibri"/>
          <w:sz w:val="22"/>
          <w:szCs w:val="22"/>
        </w:rPr>
        <w:t xml:space="preserve"> for the Dutch Islands of Aruba, Curaçao and Sint Maarten. All three economies experienced </w:t>
      </w:r>
      <w:r w:rsidR="003B0519">
        <w:rPr>
          <w:rFonts w:ascii="Calibri" w:eastAsia="Calibri" w:hAnsi="Calibri" w:cs="Calibri"/>
          <w:sz w:val="22"/>
          <w:szCs w:val="22"/>
        </w:rPr>
        <w:t xml:space="preserve">significant </w:t>
      </w:r>
      <w:r>
        <w:rPr>
          <w:rFonts w:ascii="Calibri" w:eastAsia="Calibri" w:hAnsi="Calibri" w:cs="Calibri"/>
          <w:sz w:val="22"/>
          <w:szCs w:val="22"/>
        </w:rPr>
        <w:t>decline</w:t>
      </w:r>
      <w:r w:rsidR="00BB477E">
        <w:rPr>
          <w:rFonts w:ascii="Calibri" w:eastAsia="Calibri" w:hAnsi="Calibri" w:cs="Calibri"/>
          <w:sz w:val="22"/>
          <w:szCs w:val="22"/>
        </w:rPr>
        <w:t xml:space="preserve">s </w:t>
      </w:r>
      <w:r w:rsidR="003B0519">
        <w:rPr>
          <w:rFonts w:ascii="Calibri" w:eastAsia="Calibri" w:hAnsi="Calibri" w:cs="Calibri"/>
          <w:sz w:val="22"/>
          <w:szCs w:val="22"/>
        </w:rPr>
        <w:t>(21-26%</w:t>
      </w:r>
      <w:r w:rsidR="006D7748">
        <w:rPr>
          <w:rFonts w:ascii="Calibri" w:eastAsia="Calibri" w:hAnsi="Calibri" w:cs="Calibri"/>
          <w:sz w:val="22"/>
          <w:szCs w:val="22"/>
        </w:rPr>
        <w:t xml:space="preserve"> in GDP</w:t>
      </w:r>
      <w:r w:rsidR="003B0519">
        <w:rPr>
          <w:rFonts w:ascii="Calibri" w:eastAsia="Calibri" w:hAnsi="Calibri" w:cs="Calibri"/>
          <w:sz w:val="22"/>
          <w:szCs w:val="22"/>
        </w:rPr>
        <w:t xml:space="preserve">) </w:t>
      </w:r>
      <w:r>
        <w:rPr>
          <w:rFonts w:ascii="Calibri" w:eastAsia="Calibri" w:hAnsi="Calibri" w:cs="Calibri"/>
          <w:sz w:val="22"/>
          <w:szCs w:val="22"/>
        </w:rPr>
        <w:t>in 2020, mainly due to impacts of measures mitigating the spread of COVID-19. However, prior to the pandemic, the countries were already experiencing socio-economic challenges. In 2019, Curaçao saw the highest unemployment rate in the Caribbean region due to th</w:t>
      </w:r>
      <w:r w:rsidRPr="001B313B">
        <w:rPr>
          <w:rFonts w:ascii="Calibri" w:eastAsia="Calibri" w:hAnsi="Calibri" w:cs="Calibri"/>
          <w:sz w:val="22"/>
          <w:szCs w:val="22"/>
        </w:rPr>
        <w:t xml:space="preserve">e closure of </w:t>
      </w:r>
      <w:r w:rsidR="003B0519">
        <w:rPr>
          <w:rFonts w:ascii="Calibri" w:eastAsia="Calibri" w:hAnsi="Calibri" w:cs="Calibri"/>
          <w:sz w:val="22"/>
          <w:szCs w:val="22"/>
        </w:rPr>
        <w:t>its</w:t>
      </w:r>
      <w:r w:rsidRPr="001B313B">
        <w:rPr>
          <w:rFonts w:ascii="Calibri" w:eastAsia="Calibri" w:hAnsi="Calibri" w:cs="Calibri"/>
          <w:sz w:val="22"/>
          <w:szCs w:val="22"/>
        </w:rPr>
        <w:t xml:space="preserve"> oil refinery and most recently the collapse </w:t>
      </w:r>
      <w:r>
        <w:rPr>
          <w:rFonts w:ascii="Calibri" w:eastAsia="Calibri" w:hAnsi="Calibri" w:cs="Calibri"/>
          <w:sz w:val="22"/>
          <w:szCs w:val="22"/>
        </w:rPr>
        <w:t xml:space="preserve">of </w:t>
      </w:r>
      <w:r w:rsidRPr="001B313B">
        <w:rPr>
          <w:rFonts w:ascii="Calibri" w:eastAsia="Calibri" w:hAnsi="Calibri" w:cs="Calibri"/>
          <w:sz w:val="22"/>
          <w:szCs w:val="22"/>
        </w:rPr>
        <w:t>oil</w:t>
      </w:r>
      <w:r>
        <w:rPr>
          <w:rFonts w:ascii="Calibri" w:eastAsia="Calibri" w:hAnsi="Calibri" w:cs="Calibri"/>
          <w:sz w:val="22"/>
          <w:szCs w:val="22"/>
        </w:rPr>
        <w:t xml:space="preserve"> services, </w:t>
      </w:r>
      <w:r w:rsidRPr="001B313B">
        <w:rPr>
          <w:rFonts w:ascii="Calibri" w:eastAsia="Calibri" w:hAnsi="Calibri" w:cs="Calibri"/>
          <w:sz w:val="22"/>
          <w:szCs w:val="22"/>
        </w:rPr>
        <w:t>financial services</w:t>
      </w:r>
      <w:r>
        <w:rPr>
          <w:rFonts w:ascii="Calibri" w:eastAsia="Calibri" w:hAnsi="Calibri" w:cs="Calibri"/>
          <w:sz w:val="22"/>
          <w:szCs w:val="22"/>
        </w:rPr>
        <w:t xml:space="preserve">, and </w:t>
      </w:r>
      <w:r w:rsidR="007A6000">
        <w:rPr>
          <w:rFonts w:ascii="Calibri" w:eastAsia="Calibri" w:hAnsi="Calibri" w:cs="Calibri"/>
          <w:sz w:val="22"/>
          <w:szCs w:val="22"/>
        </w:rPr>
        <w:t>a dramatic 72% decline in</w:t>
      </w:r>
      <w:r w:rsidR="007A6000" w:rsidRPr="001B313B">
        <w:rPr>
          <w:rFonts w:ascii="Calibri" w:eastAsia="Calibri" w:hAnsi="Calibri" w:cs="Calibri"/>
          <w:sz w:val="22"/>
          <w:szCs w:val="22"/>
        </w:rPr>
        <w:t xml:space="preserve"> </w:t>
      </w:r>
      <w:r w:rsidRPr="001B313B">
        <w:rPr>
          <w:rFonts w:ascii="Calibri" w:eastAsia="Calibri" w:hAnsi="Calibri" w:cs="Calibri"/>
          <w:sz w:val="22"/>
          <w:szCs w:val="22"/>
        </w:rPr>
        <w:t>tourism sector</w:t>
      </w:r>
      <w:r>
        <w:rPr>
          <w:rFonts w:ascii="Calibri" w:eastAsia="Calibri" w:hAnsi="Calibri" w:cs="Calibri"/>
          <w:sz w:val="22"/>
          <w:szCs w:val="22"/>
        </w:rPr>
        <w:t xml:space="preserve">.  Sint Maarten has been recovering since 2017 from a </w:t>
      </w:r>
      <w:r w:rsidR="003B0519">
        <w:rPr>
          <w:rFonts w:ascii="Calibri" w:eastAsia="Calibri" w:hAnsi="Calibri" w:cs="Calibri"/>
          <w:sz w:val="22"/>
          <w:szCs w:val="22"/>
        </w:rPr>
        <w:t xml:space="preserve">category 5 </w:t>
      </w:r>
      <w:r>
        <w:rPr>
          <w:rFonts w:ascii="Calibri" w:eastAsia="Calibri" w:hAnsi="Calibri" w:cs="Calibri"/>
          <w:sz w:val="22"/>
          <w:szCs w:val="22"/>
        </w:rPr>
        <w:t xml:space="preserve">catastrophic hurricane. </w:t>
      </w:r>
      <w:r w:rsidR="003B0519">
        <w:rPr>
          <w:rFonts w:ascii="Calibri" w:eastAsia="Calibri" w:hAnsi="Calibri" w:cs="Calibri"/>
          <w:sz w:val="22"/>
          <w:szCs w:val="22"/>
        </w:rPr>
        <w:t xml:space="preserve">  Aruba </w:t>
      </w:r>
      <w:r w:rsidR="005D7026">
        <w:rPr>
          <w:rFonts w:ascii="Calibri" w:eastAsia="Calibri" w:hAnsi="Calibri" w:cs="Calibri"/>
          <w:sz w:val="22"/>
          <w:szCs w:val="22"/>
        </w:rPr>
        <w:t xml:space="preserve">has been </w:t>
      </w:r>
      <w:r w:rsidR="006B1E78">
        <w:rPr>
          <w:rFonts w:ascii="Calibri" w:eastAsia="Calibri" w:hAnsi="Calibri" w:cs="Calibri"/>
          <w:sz w:val="22"/>
          <w:szCs w:val="22"/>
        </w:rPr>
        <w:t xml:space="preserve">addressing its key challenges by </w:t>
      </w:r>
      <w:r w:rsidR="005D7026">
        <w:rPr>
          <w:rFonts w:ascii="Calibri" w:eastAsia="Calibri" w:hAnsi="Calibri" w:cs="Calibri"/>
          <w:sz w:val="22"/>
          <w:szCs w:val="22"/>
        </w:rPr>
        <w:t xml:space="preserve">implementing </w:t>
      </w:r>
      <w:r w:rsidR="00ED4BB7">
        <w:rPr>
          <w:rFonts w:ascii="Calibri" w:eastAsia="Calibri" w:hAnsi="Calibri" w:cs="Calibri"/>
          <w:sz w:val="22"/>
          <w:szCs w:val="22"/>
        </w:rPr>
        <w:t>its</w:t>
      </w:r>
      <w:r w:rsidR="005D7026">
        <w:rPr>
          <w:rFonts w:ascii="Calibri" w:eastAsia="Calibri" w:hAnsi="Calibri" w:cs="Calibri"/>
          <w:sz w:val="22"/>
          <w:szCs w:val="22"/>
        </w:rPr>
        <w:t xml:space="preserve"> </w:t>
      </w:r>
      <w:r w:rsidR="00ED4BB7">
        <w:rPr>
          <w:rFonts w:ascii="Calibri" w:eastAsia="Calibri" w:hAnsi="Calibri" w:cs="Calibri"/>
          <w:sz w:val="22"/>
          <w:szCs w:val="22"/>
        </w:rPr>
        <w:t>S</w:t>
      </w:r>
      <w:r w:rsidR="005D7026">
        <w:rPr>
          <w:rFonts w:ascii="Calibri" w:eastAsia="Calibri" w:hAnsi="Calibri" w:cs="Calibri"/>
          <w:sz w:val="22"/>
          <w:szCs w:val="22"/>
        </w:rPr>
        <w:t xml:space="preserve">mart </w:t>
      </w:r>
      <w:r w:rsidR="00ED4BB7">
        <w:rPr>
          <w:rFonts w:ascii="Calibri" w:eastAsia="Calibri" w:hAnsi="Calibri" w:cs="Calibri"/>
          <w:sz w:val="22"/>
          <w:szCs w:val="22"/>
        </w:rPr>
        <w:t>I</w:t>
      </w:r>
      <w:r w:rsidR="005D7026">
        <w:rPr>
          <w:rFonts w:ascii="Calibri" w:eastAsia="Calibri" w:hAnsi="Calibri" w:cs="Calibri"/>
          <w:sz w:val="22"/>
          <w:szCs w:val="22"/>
        </w:rPr>
        <w:t xml:space="preserve">sland </w:t>
      </w:r>
      <w:r w:rsidR="00ED4BB7">
        <w:rPr>
          <w:rFonts w:ascii="Calibri" w:eastAsia="Calibri" w:hAnsi="Calibri" w:cs="Calibri"/>
          <w:sz w:val="22"/>
          <w:szCs w:val="22"/>
        </w:rPr>
        <w:t>S</w:t>
      </w:r>
      <w:r w:rsidR="005D7026">
        <w:rPr>
          <w:rFonts w:ascii="Calibri" w:eastAsia="Calibri" w:hAnsi="Calibri" w:cs="Calibri"/>
          <w:sz w:val="22"/>
          <w:szCs w:val="22"/>
        </w:rPr>
        <w:t>trategy</w:t>
      </w:r>
      <w:r w:rsidR="00F033DA">
        <w:rPr>
          <w:rFonts w:ascii="Calibri" w:eastAsia="Calibri" w:hAnsi="Calibri" w:cs="Calibri"/>
          <w:sz w:val="22"/>
          <w:szCs w:val="22"/>
        </w:rPr>
        <w:t>, which includes</w:t>
      </w:r>
      <w:r w:rsidR="005D7026">
        <w:rPr>
          <w:rFonts w:ascii="Calibri" w:eastAsia="Calibri" w:hAnsi="Calibri" w:cs="Calibri"/>
          <w:sz w:val="22"/>
          <w:szCs w:val="22"/>
        </w:rPr>
        <w:t xml:space="preserve"> the goal</w:t>
      </w:r>
      <w:r w:rsidR="00F033DA">
        <w:rPr>
          <w:rFonts w:ascii="Calibri" w:eastAsia="Calibri" w:hAnsi="Calibri" w:cs="Calibri"/>
          <w:sz w:val="22"/>
          <w:szCs w:val="22"/>
        </w:rPr>
        <w:t>s</w:t>
      </w:r>
      <w:r w:rsidR="005D7026">
        <w:rPr>
          <w:rFonts w:ascii="Calibri" w:eastAsia="Calibri" w:hAnsi="Calibri" w:cs="Calibri"/>
          <w:sz w:val="22"/>
          <w:szCs w:val="22"/>
        </w:rPr>
        <w:t xml:space="preserve"> to transition to 100% renewable energ</w:t>
      </w:r>
      <w:r w:rsidR="000B163E">
        <w:rPr>
          <w:rFonts w:ascii="Calibri" w:eastAsia="Calibri" w:hAnsi="Calibri" w:cs="Calibri"/>
          <w:sz w:val="22"/>
          <w:szCs w:val="22"/>
        </w:rPr>
        <w:t>y,</w:t>
      </w:r>
      <w:r w:rsidR="005D7026">
        <w:rPr>
          <w:rFonts w:ascii="Calibri" w:eastAsia="Calibri" w:hAnsi="Calibri" w:cs="Calibri"/>
          <w:sz w:val="22"/>
          <w:szCs w:val="22"/>
        </w:rPr>
        <w:t xml:space="preserve"> reduction in national debt, attract foreign investments</w:t>
      </w:r>
      <w:r w:rsidR="000B163E">
        <w:rPr>
          <w:rFonts w:ascii="Calibri" w:eastAsia="Calibri" w:hAnsi="Calibri" w:cs="Calibri"/>
          <w:sz w:val="22"/>
          <w:szCs w:val="22"/>
        </w:rPr>
        <w:t>,</w:t>
      </w:r>
      <w:r w:rsidR="007454A4">
        <w:rPr>
          <w:rFonts w:ascii="Calibri" w:eastAsia="Calibri" w:hAnsi="Calibri" w:cs="Calibri"/>
          <w:sz w:val="22"/>
          <w:szCs w:val="22"/>
        </w:rPr>
        <w:t xml:space="preserve"> </w:t>
      </w:r>
      <w:r w:rsidR="005D7026">
        <w:rPr>
          <w:rFonts w:ascii="Calibri" w:eastAsia="Calibri" w:hAnsi="Calibri" w:cs="Calibri"/>
          <w:sz w:val="22"/>
          <w:szCs w:val="22"/>
        </w:rPr>
        <w:t xml:space="preserve">and progress towards the </w:t>
      </w:r>
      <w:r w:rsidR="00971111">
        <w:rPr>
          <w:rFonts w:ascii="Calibri" w:eastAsia="Calibri" w:hAnsi="Calibri" w:cs="Calibri"/>
          <w:sz w:val="22"/>
          <w:szCs w:val="22"/>
        </w:rPr>
        <w:t>Goals</w:t>
      </w:r>
      <w:r w:rsidR="005D7026">
        <w:rPr>
          <w:rFonts w:ascii="Calibri" w:eastAsia="Calibri" w:hAnsi="Calibri" w:cs="Calibri"/>
          <w:sz w:val="22"/>
          <w:szCs w:val="22"/>
        </w:rPr>
        <w:t xml:space="preserve">. </w:t>
      </w:r>
      <w:r>
        <w:rPr>
          <w:rFonts w:ascii="Calibri" w:eastAsia="Calibri" w:hAnsi="Calibri" w:cs="Calibri"/>
          <w:sz w:val="22"/>
          <w:szCs w:val="22"/>
        </w:rPr>
        <w:t xml:space="preserve">The COVID-19 pandemic has exacerbated these previously existing socio-economic challenges and each government has developed </w:t>
      </w:r>
      <w:r w:rsidR="003B0519">
        <w:rPr>
          <w:rFonts w:ascii="Calibri" w:eastAsia="Calibri" w:hAnsi="Calibri" w:cs="Calibri"/>
          <w:sz w:val="22"/>
          <w:szCs w:val="22"/>
        </w:rPr>
        <w:t>far-</w:t>
      </w:r>
      <w:r>
        <w:rPr>
          <w:rFonts w:ascii="Calibri" w:eastAsia="Calibri" w:hAnsi="Calibri" w:cs="Calibri"/>
          <w:sz w:val="22"/>
          <w:szCs w:val="22"/>
        </w:rPr>
        <w:t xml:space="preserve"> reaching recovery plans that are integrating other government priorities, such as Aruba’s transition to renewable energ</w:t>
      </w:r>
      <w:r w:rsidR="003B0519">
        <w:rPr>
          <w:rFonts w:ascii="Calibri" w:eastAsia="Calibri" w:hAnsi="Calibri" w:cs="Calibri"/>
          <w:sz w:val="22"/>
          <w:szCs w:val="22"/>
        </w:rPr>
        <w:t>y,</w:t>
      </w:r>
      <w:r>
        <w:rPr>
          <w:rFonts w:ascii="Calibri" w:eastAsia="Calibri" w:hAnsi="Calibri" w:cs="Calibri"/>
          <w:sz w:val="22"/>
          <w:szCs w:val="22"/>
        </w:rPr>
        <w:t xml:space="preserve"> Curaçao’s National Export Strategy, and Sint Maarten’s drive towards sustainable recovery of vulnerable communities.</w:t>
      </w:r>
    </w:p>
    <w:p w14:paraId="18700FA9" w14:textId="5192E504" w:rsidR="00C14B51" w:rsidRDefault="00C14B51">
      <w:pPr>
        <w:jc w:val="both"/>
        <w:rPr>
          <w:rFonts w:ascii="Calibri" w:eastAsia="Calibri" w:hAnsi="Calibri" w:cs="Calibri"/>
          <w:sz w:val="22"/>
          <w:szCs w:val="22"/>
        </w:rPr>
      </w:pPr>
    </w:p>
    <w:p w14:paraId="44BF64AE" w14:textId="789C95B6" w:rsidR="004A0CA6" w:rsidRPr="003B6812" w:rsidRDefault="008E617D" w:rsidP="008E617D">
      <w:pPr>
        <w:widowControl/>
        <w:jc w:val="both"/>
        <w:rPr>
          <w:rFonts w:asciiTheme="minorHAnsi" w:hAnsiTheme="minorHAnsi" w:cstheme="minorHAnsi"/>
          <w:sz w:val="22"/>
          <w:szCs w:val="22"/>
        </w:rPr>
      </w:pPr>
      <w:r>
        <w:rPr>
          <w:rFonts w:ascii="Calibri" w:eastAsia="Calibri" w:hAnsi="Calibri" w:cs="Calibri"/>
          <w:sz w:val="22"/>
          <w:szCs w:val="22"/>
        </w:rPr>
        <w:t>A</w:t>
      </w:r>
      <w:r w:rsidR="005B190F">
        <w:rPr>
          <w:rFonts w:ascii="Calibri" w:eastAsia="Calibri" w:hAnsi="Calibri" w:cs="Calibri"/>
          <w:sz w:val="22"/>
          <w:szCs w:val="22"/>
        </w:rPr>
        <w:t>gainst this background, UN</w:t>
      </w:r>
      <w:r w:rsidR="004523AA">
        <w:rPr>
          <w:rFonts w:ascii="Calibri" w:eastAsia="Calibri" w:hAnsi="Calibri" w:cs="Calibri"/>
          <w:sz w:val="22"/>
          <w:szCs w:val="22"/>
        </w:rPr>
        <w:t>DP has strategically focused its efforts during 2017-202</w:t>
      </w:r>
      <w:r w:rsidR="00D265C3">
        <w:rPr>
          <w:rFonts w:ascii="Calibri" w:eastAsia="Calibri" w:hAnsi="Calibri" w:cs="Calibri"/>
          <w:sz w:val="22"/>
          <w:szCs w:val="22"/>
        </w:rPr>
        <w:t>0</w:t>
      </w:r>
      <w:r w:rsidR="004523AA">
        <w:rPr>
          <w:rFonts w:ascii="Calibri" w:eastAsia="Calibri" w:hAnsi="Calibri" w:cs="Calibri"/>
          <w:sz w:val="22"/>
          <w:szCs w:val="22"/>
        </w:rPr>
        <w:t xml:space="preserve"> on </w:t>
      </w:r>
      <w:r w:rsidR="000558AD" w:rsidRPr="00305508">
        <w:rPr>
          <w:rFonts w:ascii="Calibri" w:eastAsia="Calibri" w:hAnsi="Calibri" w:cs="Calibri"/>
          <w:sz w:val="22"/>
          <w:szCs w:val="22"/>
        </w:rPr>
        <w:t>strengthening relationships with national counterparts while promoting and providing support for localizing</w:t>
      </w:r>
      <w:r w:rsidR="000558AD">
        <w:rPr>
          <w:rFonts w:ascii="Calibri" w:eastAsia="Calibri" w:hAnsi="Calibri" w:cs="Calibri"/>
          <w:sz w:val="22"/>
          <w:szCs w:val="22"/>
        </w:rPr>
        <w:t xml:space="preserve"> </w:t>
      </w:r>
      <w:r w:rsidR="000558AD" w:rsidRPr="00305508">
        <w:rPr>
          <w:rFonts w:ascii="Calibri" w:eastAsia="Calibri" w:hAnsi="Calibri" w:cs="Calibri"/>
          <w:sz w:val="22"/>
          <w:szCs w:val="22"/>
        </w:rPr>
        <w:t xml:space="preserve">the </w:t>
      </w:r>
      <w:r w:rsidR="00971111">
        <w:rPr>
          <w:rFonts w:ascii="Calibri" w:eastAsia="Calibri" w:hAnsi="Calibri" w:cs="Calibri"/>
          <w:sz w:val="22"/>
          <w:szCs w:val="22"/>
        </w:rPr>
        <w:t>Goals</w:t>
      </w:r>
      <w:r w:rsidR="000558AD" w:rsidRPr="00305508">
        <w:rPr>
          <w:rFonts w:ascii="Calibri" w:eastAsia="Calibri" w:hAnsi="Calibri" w:cs="Calibri"/>
          <w:sz w:val="22"/>
          <w:szCs w:val="22"/>
        </w:rPr>
        <w:t xml:space="preserve">. This strategy has </w:t>
      </w:r>
      <w:r w:rsidR="000558AD">
        <w:rPr>
          <w:rFonts w:ascii="Calibri" w:eastAsia="Calibri" w:hAnsi="Calibri" w:cs="Calibri"/>
          <w:sz w:val="22"/>
          <w:szCs w:val="22"/>
        </w:rPr>
        <w:t xml:space="preserve">targeted four </w:t>
      </w:r>
      <w:r w:rsidR="00D265C3">
        <w:rPr>
          <w:rFonts w:ascii="Calibri" w:eastAsia="Calibri" w:hAnsi="Calibri" w:cs="Calibri"/>
          <w:sz w:val="22"/>
          <w:szCs w:val="22"/>
        </w:rPr>
        <w:t>key areas</w:t>
      </w:r>
      <w:r w:rsidR="000558AD">
        <w:rPr>
          <w:rFonts w:ascii="Calibri" w:eastAsia="Calibri" w:hAnsi="Calibri" w:cs="Calibri"/>
          <w:sz w:val="22"/>
          <w:szCs w:val="22"/>
        </w:rPr>
        <w:t>:</w:t>
      </w:r>
      <w:r w:rsidR="00D265C3">
        <w:rPr>
          <w:rFonts w:ascii="Calibri" w:eastAsia="Calibri" w:hAnsi="Calibri" w:cs="Calibri"/>
          <w:sz w:val="22"/>
          <w:szCs w:val="22"/>
        </w:rPr>
        <w:t xml:space="preserve"> </w:t>
      </w:r>
      <w:r w:rsidR="00126076">
        <w:rPr>
          <w:rFonts w:ascii="Calibri" w:eastAsia="Calibri" w:hAnsi="Calibri" w:cs="Calibri"/>
          <w:sz w:val="22"/>
          <w:szCs w:val="22"/>
        </w:rPr>
        <w:t xml:space="preserve">1) </w:t>
      </w:r>
      <w:r w:rsidR="00D265C3">
        <w:rPr>
          <w:rFonts w:ascii="Calibri" w:eastAsia="Calibri" w:hAnsi="Calibri" w:cs="Calibri"/>
          <w:sz w:val="22"/>
          <w:szCs w:val="22"/>
        </w:rPr>
        <w:t>poverty reduction policies and strategies</w:t>
      </w:r>
      <w:r w:rsidR="00126076">
        <w:rPr>
          <w:rFonts w:ascii="Calibri" w:eastAsia="Calibri" w:hAnsi="Calibri" w:cs="Calibri"/>
          <w:sz w:val="22"/>
          <w:szCs w:val="22"/>
        </w:rPr>
        <w:t xml:space="preserve">; 2) </w:t>
      </w:r>
      <w:r w:rsidR="00865C09">
        <w:rPr>
          <w:rFonts w:ascii="Calibri" w:eastAsia="Calibri" w:hAnsi="Calibri" w:cs="Calibri"/>
          <w:sz w:val="22"/>
          <w:szCs w:val="22"/>
        </w:rPr>
        <w:t>democratic governance</w:t>
      </w:r>
      <w:r w:rsidR="00126076">
        <w:rPr>
          <w:rFonts w:ascii="Calibri" w:eastAsia="Calibri" w:hAnsi="Calibri" w:cs="Calibri"/>
          <w:sz w:val="22"/>
          <w:szCs w:val="22"/>
        </w:rPr>
        <w:t xml:space="preserve">; 3) </w:t>
      </w:r>
      <w:r w:rsidR="007C2464">
        <w:rPr>
          <w:rFonts w:ascii="Calibri" w:eastAsia="Calibri" w:hAnsi="Calibri" w:cs="Calibri"/>
          <w:sz w:val="22"/>
          <w:szCs w:val="22"/>
        </w:rPr>
        <w:t xml:space="preserve">equitable access to justice and </w:t>
      </w:r>
      <w:r w:rsidR="00F33C28">
        <w:rPr>
          <w:rFonts w:ascii="Calibri" w:eastAsia="Calibri" w:hAnsi="Calibri" w:cs="Calibri"/>
          <w:sz w:val="22"/>
          <w:szCs w:val="22"/>
        </w:rPr>
        <w:t xml:space="preserve">citizen security; and </w:t>
      </w:r>
      <w:r w:rsidR="00302A8F">
        <w:rPr>
          <w:rFonts w:ascii="Calibri" w:eastAsia="Calibri" w:hAnsi="Calibri" w:cs="Calibri"/>
          <w:sz w:val="22"/>
          <w:szCs w:val="22"/>
        </w:rPr>
        <w:t xml:space="preserve">4) </w:t>
      </w:r>
      <w:r w:rsidR="002A77E2">
        <w:rPr>
          <w:rFonts w:ascii="Calibri" w:eastAsia="Calibri" w:hAnsi="Calibri" w:cs="Calibri"/>
          <w:sz w:val="22"/>
          <w:szCs w:val="22"/>
        </w:rPr>
        <w:t>climate change resilience, disaster risk reduction and access to clean and sustainable energy.</w:t>
      </w:r>
      <w:r w:rsidR="00D32641">
        <w:rPr>
          <w:rFonts w:ascii="Calibri" w:eastAsia="Calibri" w:hAnsi="Calibri" w:cs="Calibri"/>
          <w:sz w:val="22"/>
          <w:szCs w:val="22"/>
        </w:rPr>
        <w:t xml:space="preserve"> </w:t>
      </w:r>
      <w:r w:rsidR="004A0CA6">
        <w:rPr>
          <w:rFonts w:ascii="Calibri" w:eastAsia="Calibri" w:hAnsi="Calibri" w:cs="Calibri"/>
          <w:sz w:val="22"/>
          <w:szCs w:val="22"/>
        </w:rPr>
        <w:t xml:space="preserve">UNDP has adopted an </w:t>
      </w:r>
      <w:r w:rsidR="004A0CA6" w:rsidRPr="00305508">
        <w:rPr>
          <w:rFonts w:ascii="Calibri" w:eastAsia="Calibri" w:hAnsi="Calibri" w:cs="Calibri"/>
          <w:sz w:val="22"/>
          <w:szCs w:val="22"/>
        </w:rPr>
        <w:t>issues-based, multidimensional approach</w:t>
      </w:r>
      <w:r w:rsidR="004A0CA6">
        <w:rPr>
          <w:rFonts w:ascii="Calibri" w:eastAsia="Calibri" w:hAnsi="Calibri" w:cs="Calibri"/>
          <w:sz w:val="22"/>
          <w:szCs w:val="22"/>
        </w:rPr>
        <w:t xml:space="preserve"> in its </w:t>
      </w:r>
      <w:r w:rsidR="004A0CA6" w:rsidRPr="00305508">
        <w:rPr>
          <w:rFonts w:ascii="Calibri" w:eastAsia="Calibri" w:hAnsi="Calibri" w:cs="Calibri"/>
          <w:sz w:val="22"/>
          <w:szCs w:val="22"/>
        </w:rPr>
        <w:t>country program</w:t>
      </w:r>
      <w:r w:rsidR="004A0CA6">
        <w:rPr>
          <w:rFonts w:ascii="Calibri" w:eastAsia="Calibri" w:hAnsi="Calibri" w:cs="Calibri"/>
          <w:sz w:val="22"/>
          <w:szCs w:val="22"/>
        </w:rPr>
        <w:t xml:space="preserve">, recognizing the need for collaborative and complementary programming to address these complex issues. </w:t>
      </w:r>
    </w:p>
    <w:p w14:paraId="069A6D77" w14:textId="77777777" w:rsidR="004A0CA6" w:rsidRDefault="004A0CA6">
      <w:pPr>
        <w:jc w:val="both"/>
        <w:rPr>
          <w:rFonts w:ascii="Calibri" w:eastAsia="Calibri" w:hAnsi="Calibri" w:cs="Calibri"/>
          <w:sz w:val="22"/>
          <w:szCs w:val="22"/>
        </w:rPr>
      </w:pPr>
    </w:p>
    <w:p w14:paraId="0000001D" w14:textId="4B39420B" w:rsidR="00C8511B" w:rsidRPr="00B64A1A" w:rsidRDefault="00D32641">
      <w:pPr>
        <w:jc w:val="both"/>
        <w:rPr>
          <w:rFonts w:ascii="Calibri" w:eastAsia="Calibri" w:hAnsi="Calibri" w:cs="Calibri"/>
          <w:sz w:val="22"/>
          <w:szCs w:val="22"/>
        </w:rPr>
      </w:pPr>
      <w:r>
        <w:rPr>
          <w:rFonts w:ascii="Calibri" w:eastAsia="Calibri" w:hAnsi="Calibri" w:cs="Calibri"/>
          <w:sz w:val="22"/>
          <w:szCs w:val="22"/>
        </w:rPr>
        <w:t xml:space="preserve">Aligned with the </w:t>
      </w:r>
      <w:r w:rsidR="00971111">
        <w:rPr>
          <w:rFonts w:ascii="Calibri" w:eastAsia="Calibri" w:hAnsi="Calibri" w:cs="Calibri"/>
          <w:sz w:val="22"/>
          <w:szCs w:val="22"/>
        </w:rPr>
        <w:t>Goals</w:t>
      </w:r>
      <w:r>
        <w:rPr>
          <w:rFonts w:ascii="Calibri" w:eastAsia="Calibri" w:hAnsi="Calibri" w:cs="Calibri"/>
          <w:sz w:val="22"/>
          <w:szCs w:val="22"/>
        </w:rPr>
        <w:t>,</w:t>
      </w:r>
      <w:r w:rsidRPr="00B64A1A">
        <w:rPr>
          <w:rFonts w:ascii="Calibri" w:eastAsia="Calibri" w:hAnsi="Calibri" w:cs="Calibri"/>
          <w:sz w:val="22"/>
          <w:szCs w:val="22"/>
        </w:rPr>
        <w:t xml:space="preserve"> </w:t>
      </w:r>
      <w:r>
        <w:rPr>
          <w:rFonts w:ascii="Calibri" w:eastAsia="Calibri" w:hAnsi="Calibri" w:cs="Calibri"/>
          <w:sz w:val="22"/>
          <w:szCs w:val="22"/>
        </w:rPr>
        <w:t>UNDP</w:t>
      </w:r>
      <w:r w:rsidR="00033189">
        <w:rPr>
          <w:rFonts w:ascii="Calibri" w:eastAsia="Calibri" w:hAnsi="Calibri" w:cs="Calibri"/>
          <w:sz w:val="22"/>
          <w:szCs w:val="22"/>
        </w:rPr>
        <w:t xml:space="preserve"> has </w:t>
      </w:r>
      <w:r w:rsidR="004310B2">
        <w:rPr>
          <w:rFonts w:ascii="Calibri" w:eastAsia="Calibri" w:hAnsi="Calibri" w:cs="Calibri"/>
          <w:sz w:val="22"/>
          <w:szCs w:val="22"/>
        </w:rPr>
        <w:t xml:space="preserve">emphasized the </w:t>
      </w:r>
      <w:r>
        <w:rPr>
          <w:rFonts w:ascii="Calibri" w:eastAsia="Calibri" w:hAnsi="Calibri" w:cs="Calibri"/>
          <w:sz w:val="22"/>
          <w:szCs w:val="22"/>
        </w:rPr>
        <w:t>mainstream</w:t>
      </w:r>
      <w:r w:rsidR="004310B2">
        <w:rPr>
          <w:rFonts w:ascii="Calibri" w:eastAsia="Calibri" w:hAnsi="Calibri" w:cs="Calibri"/>
          <w:sz w:val="22"/>
          <w:szCs w:val="22"/>
        </w:rPr>
        <w:t>ing of</w:t>
      </w:r>
      <w:r>
        <w:rPr>
          <w:rFonts w:ascii="Calibri" w:eastAsia="Calibri" w:hAnsi="Calibri" w:cs="Calibri"/>
          <w:sz w:val="22"/>
          <w:szCs w:val="22"/>
        </w:rPr>
        <w:t xml:space="preserve"> the cross-cutting themes of equity and </w:t>
      </w:r>
      <w:r w:rsidR="002624F2" w:rsidRPr="00B64A1A">
        <w:rPr>
          <w:rFonts w:ascii="Calibri" w:eastAsia="Calibri" w:hAnsi="Calibri" w:cs="Calibri"/>
          <w:sz w:val="22"/>
          <w:szCs w:val="22"/>
        </w:rPr>
        <w:t xml:space="preserve">leaving no one behind </w:t>
      </w:r>
      <w:r>
        <w:rPr>
          <w:rFonts w:ascii="Calibri" w:eastAsia="Calibri" w:hAnsi="Calibri" w:cs="Calibri"/>
          <w:sz w:val="22"/>
          <w:szCs w:val="22"/>
        </w:rPr>
        <w:t>in</w:t>
      </w:r>
      <w:r w:rsidR="005B190F">
        <w:rPr>
          <w:rFonts w:ascii="Calibri" w:eastAsia="Calibri" w:hAnsi="Calibri" w:cs="Calibri"/>
          <w:sz w:val="22"/>
          <w:szCs w:val="22"/>
        </w:rPr>
        <w:t xml:space="preserve"> its </w:t>
      </w:r>
      <w:r>
        <w:rPr>
          <w:rFonts w:ascii="Calibri" w:eastAsia="Calibri" w:hAnsi="Calibri" w:cs="Calibri"/>
          <w:sz w:val="22"/>
          <w:szCs w:val="22"/>
        </w:rPr>
        <w:t xml:space="preserve">programing and integrated them into </w:t>
      </w:r>
      <w:r w:rsidR="002624F2" w:rsidRPr="00B64A1A">
        <w:rPr>
          <w:rFonts w:ascii="Calibri" w:eastAsia="Calibri" w:hAnsi="Calibri" w:cs="Calibri"/>
          <w:sz w:val="22"/>
          <w:szCs w:val="22"/>
        </w:rPr>
        <w:t>national policies and plans</w:t>
      </w:r>
      <w:r>
        <w:rPr>
          <w:rFonts w:ascii="Calibri" w:eastAsia="Calibri" w:hAnsi="Calibri" w:cs="Calibri"/>
          <w:sz w:val="22"/>
          <w:szCs w:val="22"/>
        </w:rPr>
        <w:t>, where possible</w:t>
      </w:r>
      <w:r w:rsidR="002624F2" w:rsidRPr="00B64A1A">
        <w:rPr>
          <w:rFonts w:ascii="Calibri" w:eastAsia="Calibri" w:hAnsi="Calibri" w:cs="Calibri"/>
          <w:sz w:val="22"/>
          <w:szCs w:val="22"/>
        </w:rPr>
        <w:t xml:space="preserve">. </w:t>
      </w:r>
      <w:r>
        <w:rPr>
          <w:rFonts w:ascii="Calibri" w:eastAsia="Calibri" w:hAnsi="Calibri" w:cs="Calibri"/>
          <w:sz w:val="22"/>
          <w:szCs w:val="22"/>
        </w:rPr>
        <w:t xml:space="preserve">Projects to </w:t>
      </w:r>
      <w:r w:rsidR="00FB39FE">
        <w:rPr>
          <w:rFonts w:ascii="Calibri" w:eastAsia="Calibri" w:hAnsi="Calibri" w:cs="Calibri"/>
          <w:sz w:val="22"/>
          <w:szCs w:val="22"/>
        </w:rPr>
        <w:t xml:space="preserve">support </w:t>
      </w:r>
      <w:r>
        <w:rPr>
          <w:rFonts w:ascii="Calibri" w:eastAsia="Calibri" w:hAnsi="Calibri" w:cs="Calibri"/>
          <w:sz w:val="22"/>
          <w:szCs w:val="22"/>
        </w:rPr>
        <w:t xml:space="preserve">the most vulnerable </w:t>
      </w:r>
      <w:r w:rsidR="002624F2" w:rsidRPr="00B64A1A">
        <w:rPr>
          <w:rFonts w:ascii="Calibri" w:eastAsia="Calibri" w:hAnsi="Calibri" w:cs="Calibri"/>
          <w:sz w:val="22"/>
          <w:szCs w:val="22"/>
        </w:rPr>
        <w:t>segments of the population</w:t>
      </w:r>
      <w:r>
        <w:rPr>
          <w:rFonts w:ascii="Calibri" w:eastAsia="Calibri" w:hAnsi="Calibri" w:cs="Calibri"/>
          <w:sz w:val="22"/>
          <w:szCs w:val="22"/>
        </w:rPr>
        <w:t>,</w:t>
      </w:r>
      <w:r w:rsidR="002624F2" w:rsidRPr="00B64A1A">
        <w:rPr>
          <w:rFonts w:ascii="Calibri" w:eastAsia="Calibri" w:hAnsi="Calibri" w:cs="Calibri"/>
          <w:sz w:val="22"/>
          <w:szCs w:val="22"/>
        </w:rPr>
        <w:t xml:space="preserve"> such as persons with disabilities</w:t>
      </w:r>
      <w:r w:rsidR="005B190F">
        <w:rPr>
          <w:rFonts w:ascii="Calibri" w:eastAsia="Calibri" w:hAnsi="Calibri" w:cs="Calibri"/>
          <w:sz w:val="22"/>
          <w:szCs w:val="22"/>
        </w:rPr>
        <w:t xml:space="preserve">, at risk youth and </w:t>
      </w:r>
      <w:r w:rsidR="002624F2" w:rsidRPr="00B64A1A">
        <w:rPr>
          <w:rFonts w:ascii="Calibri" w:eastAsia="Calibri" w:hAnsi="Calibri" w:cs="Calibri"/>
          <w:sz w:val="22"/>
          <w:szCs w:val="22"/>
        </w:rPr>
        <w:t xml:space="preserve">the socially </w:t>
      </w:r>
      <w:r w:rsidR="00D70E05" w:rsidRPr="00B64A1A">
        <w:rPr>
          <w:rFonts w:ascii="Calibri" w:eastAsia="Calibri" w:hAnsi="Calibri" w:cs="Calibri"/>
          <w:sz w:val="22"/>
          <w:szCs w:val="22"/>
        </w:rPr>
        <w:t>displaced</w:t>
      </w:r>
      <w:r w:rsidR="00D70E05">
        <w:rPr>
          <w:rFonts w:ascii="Calibri" w:eastAsia="Calibri" w:hAnsi="Calibri" w:cs="Calibri"/>
          <w:sz w:val="22"/>
          <w:szCs w:val="22"/>
        </w:rPr>
        <w:t>,</w:t>
      </w:r>
      <w:r>
        <w:rPr>
          <w:rFonts w:ascii="Calibri" w:eastAsia="Calibri" w:hAnsi="Calibri" w:cs="Calibri"/>
          <w:sz w:val="22"/>
          <w:szCs w:val="22"/>
        </w:rPr>
        <w:t xml:space="preserve"> </w:t>
      </w:r>
      <w:r w:rsidR="001269E1">
        <w:rPr>
          <w:rFonts w:ascii="Calibri" w:eastAsia="Calibri" w:hAnsi="Calibri" w:cs="Calibri"/>
          <w:sz w:val="22"/>
          <w:szCs w:val="22"/>
        </w:rPr>
        <w:t>contributed to</w:t>
      </w:r>
      <w:r>
        <w:rPr>
          <w:rFonts w:ascii="Calibri" w:eastAsia="Calibri" w:hAnsi="Calibri" w:cs="Calibri"/>
          <w:sz w:val="22"/>
          <w:szCs w:val="22"/>
        </w:rPr>
        <w:t xml:space="preserve"> the </w:t>
      </w:r>
      <w:r w:rsidR="008E5216">
        <w:rPr>
          <w:rFonts w:ascii="Calibri" w:eastAsia="Calibri" w:hAnsi="Calibri" w:cs="Calibri"/>
          <w:sz w:val="22"/>
          <w:szCs w:val="22"/>
        </w:rPr>
        <w:t>Government of the Republic of Trinidad and Tobago (</w:t>
      </w:r>
      <w:r>
        <w:rPr>
          <w:rFonts w:ascii="Calibri" w:eastAsia="Calibri" w:hAnsi="Calibri" w:cs="Calibri"/>
          <w:sz w:val="22"/>
          <w:szCs w:val="22"/>
        </w:rPr>
        <w:t>GORTT</w:t>
      </w:r>
      <w:r w:rsidR="008E5216">
        <w:rPr>
          <w:rFonts w:ascii="Calibri" w:eastAsia="Calibri" w:hAnsi="Calibri" w:cs="Calibri"/>
          <w:sz w:val="22"/>
          <w:szCs w:val="22"/>
        </w:rPr>
        <w:t>)</w:t>
      </w:r>
      <w:r>
        <w:rPr>
          <w:rFonts w:ascii="Calibri" w:eastAsia="Calibri" w:hAnsi="Calibri" w:cs="Calibri"/>
          <w:sz w:val="22"/>
          <w:szCs w:val="22"/>
        </w:rPr>
        <w:t xml:space="preserve"> in </w:t>
      </w:r>
      <w:r w:rsidR="001269E1">
        <w:rPr>
          <w:rFonts w:ascii="Calibri" w:eastAsia="Calibri" w:hAnsi="Calibri" w:cs="Calibri"/>
          <w:sz w:val="22"/>
          <w:szCs w:val="22"/>
        </w:rPr>
        <w:t xml:space="preserve">its </w:t>
      </w:r>
      <w:r>
        <w:rPr>
          <w:rFonts w:ascii="Calibri" w:eastAsia="Calibri" w:hAnsi="Calibri" w:cs="Calibri"/>
          <w:sz w:val="22"/>
          <w:szCs w:val="22"/>
        </w:rPr>
        <w:t xml:space="preserve">progress towards </w:t>
      </w:r>
      <w:r w:rsidR="002624F2" w:rsidRPr="00B64A1A">
        <w:rPr>
          <w:rFonts w:ascii="Calibri" w:eastAsia="Calibri" w:hAnsi="Calibri" w:cs="Calibri"/>
          <w:sz w:val="22"/>
          <w:szCs w:val="22"/>
        </w:rPr>
        <w:t xml:space="preserve">establishing policy coherence using a human rights-based approach and putting in place the </w:t>
      </w:r>
      <w:r w:rsidR="00BC47F5">
        <w:rPr>
          <w:rFonts w:ascii="Calibri" w:eastAsia="Calibri" w:hAnsi="Calibri" w:cs="Calibri"/>
          <w:sz w:val="22"/>
          <w:szCs w:val="22"/>
        </w:rPr>
        <w:t xml:space="preserve">required </w:t>
      </w:r>
      <w:r w:rsidR="002624F2" w:rsidRPr="00B64A1A">
        <w:rPr>
          <w:rFonts w:ascii="Calibri" w:eastAsia="Calibri" w:hAnsi="Calibri" w:cs="Calibri"/>
          <w:sz w:val="22"/>
          <w:szCs w:val="22"/>
        </w:rPr>
        <w:t xml:space="preserve">support systems. The </w:t>
      </w:r>
      <w:r w:rsidR="001105A3" w:rsidRPr="00B64A1A">
        <w:rPr>
          <w:rFonts w:ascii="Calibri" w:eastAsia="Calibri" w:hAnsi="Calibri" w:cs="Calibri"/>
          <w:sz w:val="22"/>
          <w:szCs w:val="22"/>
        </w:rPr>
        <w:t>institutionalization</w:t>
      </w:r>
      <w:r w:rsidR="002624F2" w:rsidRPr="00B64A1A">
        <w:rPr>
          <w:rFonts w:ascii="Calibri" w:eastAsia="Calibri" w:hAnsi="Calibri" w:cs="Calibri"/>
          <w:sz w:val="22"/>
          <w:szCs w:val="22"/>
        </w:rPr>
        <w:t xml:space="preserve"> of human rights capacities in an independent entity is consistent with the country’s developed</w:t>
      </w:r>
      <w:r w:rsidR="005B190F">
        <w:rPr>
          <w:rFonts w:ascii="Calibri" w:eastAsia="Calibri" w:hAnsi="Calibri" w:cs="Calibri"/>
          <w:sz w:val="22"/>
          <w:szCs w:val="22"/>
        </w:rPr>
        <w:t xml:space="preserve"> nation </w:t>
      </w:r>
      <w:r w:rsidR="002624F2" w:rsidRPr="00B64A1A">
        <w:rPr>
          <w:rFonts w:ascii="Calibri" w:eastAsia="Calibri" w:hAnsi="Calibri" w:cs="Calibri"/>
          <w:sz w:val="22"/>
          <w:szCs w:val="22"/>
        </w:rPr>
        <w:t xml:space="preserve">aspirations. </w:t>
      </w:r>
    </w:p>
    <w:p w14:paraId="0000001E" w14:textId="52E9D482" w:rsidR="00C8511B" w:rsidRDefault="00C8511B">
      <w:pPr>
        <w:jc w:val="both"/>
        <w:rPr>
          <w:rFonts w:ascii="Calibri" w:eastAsia="Calibri" w:hAnsi="Calibri" w:cs="Calibri"/>
          <w:sz w:val="22"/>
          <w:szCs w:val="22"/>
        </w:rPr>
      </w:pPr>
    </w:p>
    <w:p w14:paraId="638BF77D" w14:textId="708B8196" w:rsidR="00305508" w:rsidRPr="00305508" w:rsidRDefault="00D70B46" w:rsidP="00305508">
      <w:pPr>
        <w:jc w:val="both"/>
        <w:rPr>
          <w:rFonts w:ascii="Calibri" w:eastAsia="Calibri" w:hAnsi="Calibri" w:cs="Calibri"/>
          <w:sz w:val="22"/>
          <w:szCs w:val="22"/>
        </w:rPr>
      </w:pPr>
      <w:r>
        <w:rPr>
          <w:rFonts w:ascii="Calibri" w:eastAsia="Calibri" w:hAnsi="Calibri" w:cs="Calibri"/>
          <w:sz w:val="22"/>
          <w:szCs w:val="22"/>
        </w:rPr>
        <w:t xml:space="preserve">UNDP’s response to the </w:t>
      </w:r>
      <w:r w:rsidR="00500C8A">
        <w:rPr>
          <w:rFonts w:ascii="Calibri" w:eastAsia="Calibri" w:hAnsi="Calibri" w:cs="Calibri"/>
          <w:sz w:val="22"/>
          <w:szCs w:val="22"/>
        </w:rPr>
        <w:t xml:space="preserve">unexpected </w:t>
      </w:r>
      <w:r w:rsidR="00305508" w:rsidRPr="00305508">
        <w:rPr>
          <w:rFonts w:ascii="Calibri" w:eastAsia="Calibri" w:hAnsi="Calibri" w:cs="Calibri"/>
          <w:sz w:val="22"/>
          <w:szCs w:val="22"/>
        </w:rPr>
        <w:t xml:space="preserve">spread of COVID-19 </w:t>
      </w:r>
      <w:r>
        <w:rPr>
          <w:rFonts w:ascii="Calibri" w:eastAsia="Calibri" w:hAnsi="Calibri" w:cs="Calibri"/>
          <w:sz w:val="22"/>
          <w:szCs w:val="22"/>
        </w:rPr>
        <w:t>demonstrated</w:t>
      </w:r>
      <w:r w:rsidR="00500C8A">
        <w:rPr>
          <w:rFonts w:ascii="Calibri" w:eastAsia="Calibri" w:hAnsi="Calibri" w:cs="Calibri"/>
          <w:sz w:val="22"/>
          <w:szCs w:val="22"/>
        </w:rPr>
        <w:t xml:space="preserve"> </w:t>
      </w:r>
      <w:r>
        <w:rPr>
          <w:rFonts w:ascii="Calibri" w:eastAsia="Calibri" w:hAnsi="Calibri" w:cs="Calibri"/>
          <w:sz w:val="22"/>
          <w:szCs w:val="22"/>
        </w:rPr>
        <w:t xml:space="preserve">its ability </w:t>
      </w:r>
      <w:r w:rsidR="00500C8A">
        <w:rPr>
          <w:rFonts w:ascii="Calibri" w:eastAsia="Calibri" w:hAnsi="Calibri" w:cs="Calibri"/>
          <w:sz w:val="22"/>
          <w:szCs w:val="22"/>
        </w:rPr>
        <w:t xml:space="preserve">to respond quickly and effectively to </w:t>
      </w:r>
      <w:r>
        <w:rPr>
          <w:rFonts w:ascii="Calibri" w:eastAsia="Calibri" w:hAnsi="Calibri" w:cs="Calibri"/>
          <w:sz w:val="22"/>
          <w:szCs w:val="22"/>
        </w:rPr>
        <w:t>emergencies</w:t>
      </w:r>
      <w:r w:rsidR="00500C8A">
        <w:rPr>
          <w:rFonts w:ascii="Calibri" w:eastAsia="Calibri" w:hAnsi="Calibri" w:cs="Calibri"/>
          <w:sz w:val="22"/>
          <w:szCs w:val="22"/>
        </w:rPr>
        <w:t xml:space="preserve">. </w:t>
      </w:r>
      <w:r w:rsidR="009217B1">
        <w:rPr>
          <w:rFonts w:ascii="Calibri" w:eastAsia="Calibri" w:hAnsi="Calibri" w:cs="Calibri"/>
          <w:sz w:val="22"/>
          <w:szCs w:val="22"/>
        </w:rPr>
        <w:t>Given the longstanding relationship with the Ministry of Health</w:t>
      </w:r>
      <w:r w:rsidR="00613E7C">
        <w:rPr>
          <w:rFonts w:ascii="Calibri" w:eastAsia="Calibri" w:hAnsi="Calibri" w:cs="Calibri"/>
          <w:sz w:val="22"/>
          <w:szCs w:val="22"/>
        </w:rPr>
        <w:t xml:space="preserve"> in Trinidad and Tobago</w:t>
      </w:r>
      <w:r w:rsidR="009217B1">
        <w:rPr>
          <w:rFonts w:ascii="Calibri" w:eastAsia="Calibri" w:hAnsi="Calibri" w:cs="Calibri"/>
          <w:sz w:val="22"/>
          <w:szCs w:val="22"/>
        </w:rPr>
        <w:t xml:space="preserve">, UNDP was called upon to support the government in obtaining the necessary </w:t>
      </w:r>
      <w:r w:rsidR="00613E7C">
        <w:rPr>
          <w:rFonts w:ascii="Calibri" w:eastAsia="Calibri" w:hAnsi="Calibri" w:cs="Calibri"/>
          <w:sz w:val="22"/>
          <w:szCs w:val="22"/>
        </w:rPr>
        <w:t>protective equipment</w:t>
      </w:r>
      <w:r w:rsidR="009217B1">
        <w:rPr>
          <w:rFonts w:ascii="Calibri" w:eastAsia="Calibri" w:hAnsi="Calibri" w:cs="Calibri"/>
          <w:sz w:val="22"/>
          <w:szCs w:val="22"/>
        </w:rPr>
        <w:t xml:space="preserve"> needed to keep health workers safe, </w:t>
      </w:r>
      <w:r w:rsidR="00D60A53">
        <w:rPr>
          <w:rFonts w:ascii="Calibri" w:eastAsia="Calibri" w:hAnsi="Calibri" w:cs="Calibri"/>
          <w:sz w:val="22"/>
          <w:szCs w:val="22"/>
        </w:rPr>
        <w:t>COVID-19</w:t>
      </w:r>
      <w:r w:rsidR="00BC1FCC">
        <w:rPr>
          <w:rFonts w:ascii="Calibri" w:eastAsia="Calibri" w:hAnsi="Calibri" w:cs="Calibri"/>
          <w:sz w:val="22"/>
          <w:szCs w:val="22"/>
        </w:rPr>
        <w:t xml:space="preserve"> tests </w:t>
      </w:r>
      <w:r w:rsidR="009217B1">
        <w:rPr>
          <w:rFonts w:ascii="Calibri" w:eastAsia="Calibri" w:hAnsi="Calibri" w:cs="Calibri"/>
          <w:sz w:val="22"/>
          <w:szCs w:val="22"/>
        </w:rPr>
        <w:t xml:space="preserve">to keep the broader </w:t>
      </w:r>
      <w:r w:rsidR="009217B1">
        <w:rPr>
          <w:rFonts w:ascii="Calibri" w:eastAsia="Calibri" w:hAnsi="Calibri" w:cs="Calibri"/>
          <w:sz w:val="22"/>
          <w:szCs w:val="22"/>
        </w:rPr>
        <w:lastRenderedPageBreak/>
        <w:t xml:space="preserve">population safe, and </w:t>
      </w:r>
      <w:r w:rsidR="00BC1FCC">
        <w:rPr>
          <w:rFonts w:ascii="Calibri" w:eastAsia="Calibri" w:hAnsi="Calibri" w:cs="Calibri"/>
          <w:sz w:val="22"/>
          <w:szCs w:val="22"/>
        </w:rPr>
        <w:t xml:space="preserve">equipment and nursing staff </w:t>
      </w:r>
      <w:r w:rsidR="009217B1">
        <w:rPr>
          <w:rFonts w:ascii="Calibri" w:eastAsia="Calibri" w:hAnsi="Calibri" w:cs="Calibri"/>
          <w:sz w:val="22"/>
          <w:szCs w:val="22"/>
        </w:rPr>
        <w:t xml:space="preserve">to treat patients with COVID-19. In addition, UNDP adapted and </w:t>
      </w:r>
      <w:r w:rsidR="00BC1FCC">
        <w:rPr>
          <w:rFonts w:ascii="Calibri" w:eastAsia="Calibri" w:hAnsi="Calibri" w:cs="Calibri"/>
          <w:sz w:val="22"/>
          <w:szCs w:val="22"/>
        </w:rPr>
        <w:t xml:space="preserve">expanded </w:t>
      </w:r>
      <w:r w:rsidR="009217B1">
        <w:rPr>
          <w:rFonts w:ascii="Calibri" w:eastAsia="Calibri" w:hAnsi="Calibri" w:cs="Calibri"/>
          <w:sz w:val="22"/>
          <w:szCs w:val="22"/>
        </w:rPr>
        <w:t>its programming</w:t>
      </w:r>
      <w:r w:rsidR="00722D19">
        <w:rPr>
          <w:rFonts w:ascii="Calibri" w:eastAsia="Calibri" w:hAnsi="Calibri" w:cs="Calibri"/>
          <w:sz w:val="22"/>
          <w:szCs w:val="22"/>
        </w:rPr>
        <w:t xml:space="preserve"> </w:t>
      </w:r>
      <w:r w:rsidR="00BC1FCC">
        <w:rPr>
          <w:rFonts w:ascii="Calibri" w:eastAsia="Calibri" w:hAnsi="Calibri" w:cs="Calibri"/>
          <w:sz w:val="22"/>
          <w:szCs w:val="22"/>
        </w:rPr>
        <w:t xml:space="preserve">across the islands </w:t>
      </w:r>
      <w:r w:rsidR="009217B1">
        <w:rPr>
          <w:rFonts w:ascii="Calibri" w:eastAsia="Calibri" w:hAnsi="Calibri" w:cs="Calibri"/>
          <w:sz w:val="22"/>
          <w:szCs w:val="22"/>
        </w:rPr>
        <w:t xml:space="preserve">to support the government in </w:t>
      </w:r>
      <w:r w:rsidR="004C0D12">
        <w:rPr>
          <w:rFonts w:ascii="Calibri" w:eastAsia="Calibri" w:hAnsi="Calibri" w:cs="Calibri"/>
          <w:sz w:val="22"/>
          <w:szCs w:val="22"/>
        </w:rPr>
        <w:t xml:space="preserve">delivering </w:t>
      </w:r>
      <w:r w:rsidR="00A81D1F">
        <w:rPr>
          <w:rFonts w:ascii="Calibri" w:eastAsia="Calibri" w:hAnsi="Calibri" w:cs="Calibri"/>
          <w:sz w:val="22"/>
          <w:szCs w:val="22"/>
        </w:rPr>
        <w:t xml:space="preserve">services </w:t>
      </w:r>
      <w:r w:rsidR="004C0D12">
        <w:rPr>
          <w:rFonts w:ascii="Calibri" w:eastAsia="Calibri" w:hAnsi="Calibri" w:cs="Calibri"/>
          <w:sz w:val="22"/>
          <w:szCs w:val="22"/>
        </w:rPr>
        <w:t xml:space="preserve">that improve </w:t>
      </w:r>
      <w:r w:rsidR="00A14383">
        <w:rPr>
          <w:rFonts w:ascii="Calibri" w:eastAsia="Calibri" w:hAnsi="Calibri" w:cs="Calibri"/>
          <w:sz w:val="22"/>
          <w:szCs w:val="22"/>
        </w:rPr>
        <w:t xml:space="preserve">food </w:t>
      </w:r>
      <w:r w:rsidR="004C0D12">
        <w:rPr>
          <w:rFonts w:ascii="Calibri" w:eastAsia="Calibri" w:hAnsi="Calibri" w:cs="Calibri"/>
          <w:sz w:val="22"/>
          <w:szCs w:val="22"/>
        </w:rPr>
        <w:t xml:space="preserve">and financial </w:t>
      </w:r>
      <w:r w:rsidR="00A14383">
        <w:rPr>
          <w:rFonts w:ascii="Calibri" w:eastAsia="Calibri" w:hAnsi="Calibri" w:cs="Calibri"/>
          <w:sz w:val="22"/>
          <w:szCs w:val="22"/>
        </w:rPr>
        <w:t xml:space="preserve">security </w:t>
      </w:r>
      <w:r w:rsidR="004C0D12">
        <w:rPr>
          <w:rFonts w:ascii="Calibri" w:eastAsia="Calibri" w:hAnsi="Calibri" w:cs="Calibri"/>
          <w:sz w:val="22"/>
          <w:szCs w:val="22"/>
        </w:rPr>
        <w:t>for those vulnerable groups most impacted by the COVID-19.</w:t>
      </w:r>
      <w:r w:rsidR="00722D19">
        <w:rPr>
          <w:rFonts w:ascii="Calibri" w:eastAsia="Calibri" w:hAnsi="Calibri" w:cs="Calibri"/>
          <w:sz w:val="22"/>
          <w:szCs w:val="22"/>
        </w:rPr>
        <w:t xml:space="preserve"> Across the board, UNDP creatively adjusted its programming to ensure needs </w:t>
      </w:r>
      <w:r w:rsidR="005B190F">
        <w:rPr>
          <w:rFonts w:ascii="Calibri" w:eastAsia="Calibri" w:hAnsi="Calibri" w:cs="Calibri"/>
          <w:sz w:val="22"/>
          <w:szCs w:val="22"/>
        </w:rPr>
        <w:t xml:space="preserve">were </w:t>
      </w:r>
      <w:r w:rsidR="00722D19">
        <w:rPr>
          <w:rFonts w:ascii="Calibri" w:eastAsia="Calibri" w:hAnsi="Calibri" w:cs="Calibri"/>
          <w:sz w:val="22"/>
          <w:szCs w:val="22"/>
        </w:rPr>
        <w:t xml:space="preserve">met within the newly required parameters. </w:t>
      </w:r>
      <w:r w:rsidR="00500C8A">
        <w:rPr>
          <w:rFonts w:ascii="Calibri" w:eastAsia="Calibri" w:hAnsi="Calibri" w:cs="Calibri"/>
          <w:sz w:val="22"/>
          <w:szCs w:val="22"/>
        </w:rPr>
        <w:t xml:space="preserve">This </w:t>
      </w:r>
      <w:r w:rsidR="00305508" w:rsidRPr="00305508">
        <w:rPr>
          <w:rFonts w:ascii="Calibri" w:eastAsia="Calibri" w:hAnsi="Calibri" w:cs="Calibri"/>
          <w:sz w:val="22"/>
          <w:szCs w:val="22"/>
        </w:rPr>
        <w:t xml:space="preserve">resulted in </w:t>
      </w:r>
      <w:r w:rsidR="00722D19">
        <w:rPr>
          <w:rFonts w:ascii="Calibri" w:eastAsia="Calibri" w:hAnsi="Calibri" w:cs="Calibri"/>
          <w:sz w:val="22"/>
          <w:szCs w:val="22"/>
        </w:rPr>
        <w:t xml:space="preserve">UNDP </w:t>
      </w:r>
      <w:r w:rsidR="00305508" w:rsidRPr="00305508">
        <w:rPr>
          <w:rFonts w:ascii="Calibri" w:eastAsia="Calibri" w:hAnsi="Calibri" w:cs="Calibri"/>
          <w:sz w:val="22"/>
          <w:szCs w:val="22"/>
        </w:rPr>
        <w:t>surpass</w:t>
      </w:r>
      <w:r w:rsidR="00722D19">
        <w:rPr>
          <w:rFonts w:ascii="Calibri" w:eastAsia="Calibri" w:hAnsi="Calibri" w:cs="Calibri"/>
          <w:sz w:val="22"/>
          <w:szCs w:val="22"/>
        </w:rPr>
        <w:t>ing</w:t>
      </w:r>
      <w:r w:rsidR="00305508" w:rsidRPr="00305508">
        <w:rPr>
          <w:rFonts w:ascii="Calibri" w:eastAsia="Calibri" w:hAnsi="Calibri" w:cs="Calibri"/>
          <w:sz w:val="22"/>
          <w:szCs w:val="22"/>
        </w:rPr>
        <w:t xml:space="preserve"> its delivery target </w:t>
      </w:r>
      <w:r w:rsidR="00722D19">
        <w:rPr>
          <w:rFonts w:ascii="Calibri" w:eastAsia="Calibri" w:hAnsi="Calibri" w:cs="Calibri"/>
          <w:sz w:val="22"/>
          <w:szCs w:val="22"/>
        </w:rPr>
        <w:t xml:space="preserve">and </w:t>
      </w:r>
      <w:r w:rsidR="00305508" w:rsidRPr="00305508">
        <w:rPr>
          <w:rFonts w:ascii="Calibri" w:eastAsia="Calibri" w:hAnsi="Calibri" w:cs="Calibri"/>
          <w:sz w:val="22"/>
          <w:szCs w:val="22"/>
        </w:rPr>
        <w:t>doubling delivery from previous years.</w:t>
      </w:r>
    </w:p>
    <w:p w14:paraId="7FCA67E6" w14:textId="77777777" w:rsidR="00A14383" w:rsidRDefault="00A14383" w:rsidP="00305508">
      <w:pPr>
        <w:jc w:val="both"/>
        <w:rPr>
          <w:rFonts w:ascii="Calibri" w:eastAsia="Calibri" w:hAnsi="Calibri" w:cs="Calibri"/>
          <w:sz w:val="22"/>
          <w:szCs w:val="22"/>
        </w:rPr>
      </w:pPr>
    </w:p>
    <w:p w14:paraId="159CE043" w14:textId="4EB3D432" w:rsidR="001105A3" w:rsidRPr="00B64A1A" w:rsidRDefault="001105A3" w:rsidP="001105A3">
      <w:pPr>
        <w:jc w:val="both"/>
        <w:rPr>
          <w:rFonts w:ascii="Calibri" w:eastAsia="Calibri" w:hAnsi="Calibri" w:cs="Calibri"/>
          <w:sz w:val="22"/>
          <w:szCs w:val="22"/>
        </w:rPr>
      </w:pPr>
      <w:r w:rsidRPr="00B64A1A">
        <w:rPr>
          <w:rFonts w:ascii="Calibri" w:eastAsia="Calibri" w:hAnsi="Calibri" w:cs="Calibri"/>
          <w:sz w:val="22"/>
          <w:szCs w:val="22"/>
        </w:rPr>
        <w:t>Based on extensive consultations and its own comparative advantages, the UN</w:t>
      </w:r>
      <w:r w:rsidR="00722D19">
        <w:rPr>
          <w:rFonts w:ascii="Calibri" w:eastAsia="Calibri" w:hAnsi="Calibri" w:cs="Calibri"/>
          <w:sz w:val="22"/>
          <w:szCs w:val="22"/>
        </w:rPr>
        <w:t>DP</w:t>
      </w:r>
      <w:r w:rsidRPr="00B64A1A">
        <w:rPr>
          <w:rFonts w:ascii="Calibri" w:eastAsia="Calibri" w:hAnsi="Calibri" w:cs="Calibri"/>
          <w:sz w:val="22"/>
          <w:szCs w:val="22"/>
        </w:rPr>
        <w:t xml:space="preserve"> is convinced it can play a vital role in helping Trinidad and Tobago </w:t>
      </w:r>
      <w:r w:rsidR="00BC1FCC">
        <w:rPr>
          <w:rFonts w:ascii="Calibri" w:eastAsia="Calibri" w:hAnsi="Calibri" w:cs="Calibri"/>
          <w:sz w:val="22"/>
          <w:szCs w:val="22"/>
        </w:rPr>
        <w:t xml:space="preserve">and the other islands it serves to </w:t>
      </w:r>
      <w:r w:rsidRPr="00B64A1A">
        <w:rPr>
          <w:rFonts w:ascii="Calibri" w:eastAsia="Calibri" w:hAnsi="Calibri" w:cs="Calibri"/>
          <w:sz w:val="22"/>
          <w:szCs w:val="22"/>
        </w:rPr>
        <w:t xml:space="preserve">achieve </w:t>
      </w:r>
      <w:r w:rsidR="00BC1FCC">
        <w:rPr>
          <w:rFonts w:ascii="Calibri" w:eastAsia="Calibri" w:hAnsi="Calibri" w:cs="Calibri"/>
          <w:sz w:val="22"/>
          <w:szCs w:val="22"/>
        </w:rPr>
        <w:t xml:space="preserve">the </w:t>
      </w:r>
      <w:r w:rsidR="00971111">
        <w:rPr>
          <w:rFonts w:ascii="Calibri" w:eastAsia="Calibri" w:hAnsi="Calibri" w:cs="Calibri"/>
          <w:sz w:val="22"/>
          <w:szCs w:val="22"/>
        </w:rPr>
        <w:t>Goals</w:t>
      </w:r>
      <w:r w:rsidR="002F4747">
        <w:rPr>
          <w:rFonts w:ascii="Calibri" w:eastAsia="Calibri" w:hAnsi="Calibri" w:cs="Calibri"/>
          <w:sz w:val="22"/>
          <w:szCs w:val="22"/>
        </w:rPr>
        <w:t xml:space="preserve"> </w:t>
      </w:r>
      <w:r w:rsidRPr="00B64A1A">
        <w:rPr>
          <w:rFonts w:ascii="Calibri" w:eastAsia="Calibri" w:hAnsi="Calibri" w:cs="Calibri"/>
          <w:sz w:val="22"/>
          <w:szCs w:val="22"/>
        </w:rPr>
        <w:t xml:space="preserve">by adding demonstrable value, lending substance, bringing global experience, and leveraging its convening power. </w:t>
      </w:r>
    </w:p>
    <w:p w14:paraId="3E541640" w14:textId="77777777" w:rsidR="001105A3" w:rsidRPr="00B64A1A" w:rsidRDefault="001105A3" w:rsidP="001105A3">
      <w:pPr>
        <w:jc w:val="both"/>
        <w:rPr>
          <w:rFonts w:ascii="Calibri" w:eastAsia="Calibri" w:hAnsi="Calibri" w:cs="Calibri"/>
          <w:sz w:val="22"/>
          <w:szCs w:val="22"/>
        </w:rPr>
      </w:pPr>
    </w:p>
    <w:p w14:paraId="222F01D8" w14:textId="75B1E5DA" w:rsidR="00540CC9" w:rsidRPr="003B6812" w:rsidRDefault="00540CC9" w:rsidP="003B6812">
      <w:pPr>
        <w:jc w:val="both"/>
        <w:rPr>
          <w:rFonts w:asciiTheme="minorHAnsi" w:hAnsiTheme="minorHAnsi" w:cstheme="minorHAnsi"/>
          <w:color w:val="FFFFFF"/>
          <w:sz w:val="22"/>
          <w:szCs w:val="22"/>
        </w:rPr>
      </w:pPr>
    </w:p>
    <w:p w14:paraId="0000002C" w14:textId="099AC25B" w:rsidR="00540CC9" w:rsidRDefault="00540CC9" w:rsidP="00F01CEC">
      <w:pPr>
        <w:jc w:val="both"/>
        <w:rPr>
          <w:rFonts w:ascii="Calibri" w:eastAsia="Calibri" w:hAnsi="Calibri" w:cs="Calibri"/>
          <w:sz w:val="20"/>
          <w:szCs w:val="20"/>
          <w:u w:val="single"/>
        </w:rPr>
        <w:sectPr w:rsidR="00540CC9">
          <w:headerReference w:type="even" r:id="rId13"/>
          <w:headerReference w:type="default" r:id="rId14"/>
          <w:footerReference w:type="even" r:id="rId15"/>
          <w:footerReference w:type="default" r:id="rId16"/>
          <w:headerReference w:type="first" r:id="rId17"/>
          <w:footerReference w:type="first" r:id="rId18"/>
          <w:pgSz w:w="11907" w:h="16840"/>
          <w:pgMar w:top="1440" w:right="1440" w:bottom="1440" w:left="1440" w:header="720" w:footer="720" w:gutter="0"/>
          <w:pgNumType w:start="1"/>
          <w:cols w:space="720"/>
        </w:sectPr>
      </w:pPr>
    </w:p>
    <w:p w14:paraId="0000002D" w14:textId="77777777" w:rsidR="00C8511B" w:rsidRDefault="002624F2">
      <w:pPr>
        <w:pStyle w:val="Heading3"/>
        <w:jc w:val="both"/>
        <w:rPr>
          <w:rFonts w:ascii="Calibri" w:eastAsia="Calibri" w:hAnsi="Calibri" w:cs="Calibri"/>
          <w:b/>
        </w:rPr>
      </w:pPr>
      <w:r>
        <w:rPr>
          <w:rFonts w:ascii="Calibri" w:eastAsia="Calibri" w:hAnsi="Calibri" w:cs="Calibri"/>
          <w:b/>
        </w:rPr>
        <w:lastRenderedPageBreak/>
        <w:t>II: Country Programme Performance Summary</w:t>
      </w:r>
    </w:p>
    <w:p w14:paraId="0000002E" w14:textId="77777777" w:rsidR="00C8511B" w:rsidRDefault="00C8511B">
      <w:pPr>
        <w:widowControl/>
        <w:pBdr>
          <w:top w:val="nil"/>
          <w:left w:val="nil"/>
          <w:bottom w:val="nil"/>
          <w:right w:val="nil"/>
          <w:between w:val="nil"/>
        </w:pBdr>
        <w:jc w:val="both"/>
        <w:rPr>
          <w:rFonts w:ascii="Calibri" w:eastAsia="Calibri" w:hAnsi="Calibri" w:cs="Calibri"/>
          <w:b/>
          <w:color w:val="000000"/>
        </w:rPr>
      </w:pPr>
    </w:p>
    <w:tbl>
      <w:tblPr>
        <w:tblStyle w:val="a"/>
        <w:tblW w:w="140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90"/>
        <w:gridCol w:w="1440"/>
        <w:gridCol w:w="3960"/>
        <w:gridCol w:w="5490"/>
      </w:tblGrid>
      <w:tr w:rsidR="00987B57" w14:paraId="19E9F4B0" w14:textId="77777777" w:rsidTr="00EC257B">
        <w:tc>
          <w:tcPr>
            <w:tcW w:w="3150" w:type="dxa"/>
            <w:gridSpan w:val="2"/>
            <w:tcBorders>
              <w:right w:val="nil"/>
            </w:tcBorders>
            <w:shd w:val="clear" w:color="auto" w:fill="FFC000"/>
          </w:tcPr>
          <w:p w14:paraId="0000002F" w14:textId="77777777" w:rsidR="00C8511B" w:rsidRDefault="002624F2">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0"/>
                <w:szCs w:val="20"/>
              </w:rPr>
              <w:t>Country information</w:t>
            </w:r>
          </w:p>
        </w:tc>
        <w:tc>
          <w:tcPr>
            <w:tcW w:w="10890" w:type="dxa"/>
            <w:gridSpan w:val="3"/>
            <w:tcBorders>
              <w:left w:val="nil"/>
            </w:tcBorders>
            <w:shd w:val="clear" w:color="auto" w:fill="FFC000"/>
          </w:tcPr>
          <w:p w14:paraId="00000031" w14:textId="77777777" w:rsidR="00C8511B" w:rsidRDefault="00C8511B">
            <w:pPr>
              <w:widowControl/>
              <w:pBdr>
                <w:top w:val="nil"/>
                <w:left w:val="nil"/>
                <w:bottom w:val="nil"/>
                <w:right w:val="nil"/>
                <w:between w:val="nil"/>
              </w:pBdr>
              <w:jc w:val="both"/>
              <w:rPr>
                <w:rFonts w:ascii="Calibri" w:eastAsia="Calibri" w:hAnsi="Calibri" w:cs="Calibri"/>
                <w:b/>
                <w:color w:val="000000"/>
              </w:rPr>
            </w:pPr>
          </w:p>
        </w:tc>
      </w:tr>
      <w:tr w:rsidR="00A30080" w14:paraId="3F5CB265" w14:textId="77777777">
        <w:tc>
          <w:tcPr>
            <w:tcW w:w="14040" w:type="dxa"/>
            <w:gridSpan w:val="5"/>
          </w:tcPr>
          <w:p w14:paraId="00000034" w14:textId="77777777" w:rsidR="00C8511B" w:rsidRDefault="002624F2">
            <w:pPr>
              <w:widowControl/>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sz w:val="20"/>
                <w:szCs w:val="20"/>
              </w:rPr>
              <w:t>Country name: TRINIDAD &amp; TOBAGO</w:t>
            </w:r>
          </w:p>
        </w:tc>
      </w:tr>
      <w:tr w:rsidR="00A30080" w14:paraId="623497D8" w14:textId="77777777">
        <w:tc>
          <w:tcPr>
            <w:tcW w:w="14040" w:type="dxa"/>
            <w:gridSpan w:val="5"/>
          </w:tcPr>
          <w:p w14:paraId="00000039"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Current country programme period: 2017 - 2021</w:t>
            </w:r>
          </w:p>
        </w:tc>
      </w:tr>
      <w:tr w:rsidR="00987B57" w14:paraId="08126C8E" w14:textId="77777777" w:rsidTr="00EC257B">
        <w:tc>
          <w:tcPr>
            <w:tcW w:w="3150" w:type="dxa"/>
            <w:gridSpan w:val="2"/>
          </w:tcPr>
          <w:p w14:paraId="0000003E" w14:textId="77777777" w:rsidR="00C8511B" w:rsidRDefault="00C021D3">
            <w:pPr>
              <w:widowControl/>
              <w:pBdr>
                <w:top w:val="nil"/>
                <w:left w:val="nil"/>
                <w:bottom w:val="nil"/>
                <w:right w:val="nil"/>
                <w:between w:val="nil"/>
              </w:pBdr>
              <w:jc w:val="both"/>
              <w:rPr>
                <w:rFonts w:ascii="Calibri" w:eastAsia="Calibri" w:hAnsi="Calibri" w:cs="Calibri"/>
                <w:b/>
                <w:color w:val="000000"/>
              </w:rPr>
            </w:pPr>
            <w:sdt>
              <w:sdtPr>
                <w:tag w:val="goog_rdk_0"/>
                <w:id w:val="302978498"/>
              </w:sdtPr>
              <w:sdtEndPr/>
              <w:sdtContent/>
            </w:sdt>
            <w:r w:rsidR="002624F2">
              <w:rPr>
                <w:rFonts w:ascii="Calibri" w:eastAsia="Calibri" w:hAnsi="Calibri" w:cs="Calibri"/>
                <w:b/>
                <w:color w:val="000000"/>
              </w:rPr>
              <w:t>Outcomes</w:t>
            </w:r>
          </w:p>
        </w:tc>
        <w:tc>
          <w:tcPr>
            <w:tcW w:w="1440" w:type="dxa"/>
            <w:shd w:val="clear" w:color="auto" w:fill="auto"/>
          </w:tcPr>
          <w:p w14:paraId="00000040" w14:textId="77777777" w:rsidR="00C8511B" w:rsidRDefault="002624F2">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Total Expenditure</w:t>
            </w:r>
          </w:p>
        </w:tc>
        <w:tc>
          <w:tcPr>
            <w:tcW w:w="3960" w:type="dxa"/>
            <w:tcBorders>
              <w:left w:val="single" w:sz="4" w:space="0" w:color="000000"/>
            </w:tcBorders>
          </w:tcPr>
          <w:p w14:paraId="00000041" w14:textId="77777777" w:rsidR="00C8511B" w:rsidRDefault="002624F2">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Outcome Indicators</w:t>
            </w:r>
          </w:p>
        </w:tc>
        <w:tc>
          <w:tcPr>
            <w:tcW w:w="5490" w:type="dxa"/>
          </w:tcPr>
          <w:p w14:paraId="00000042" w14:textId="77777777" w:rsidR="00C8511B" w:rsidRDefault="002624F2">
            <w:pPr>
              <w:widowControl/>
              <w:pBdr>
                <w:top w:val="nil"/>
                <w:left w:val="nil"/>
                <w:bottom w:val="nil"/>
                <w:right w:val="nil"/>
                <w:between w:val="nil"/>
              </w:pBdr>
              <w:jc w:val="both"/>
              <w:rPr>
                <w:rFonts w:ascii="Calibri" w:eastAsia="Calibri" w:hAnsi="Calibri" w:cs="Calibri"/>
                <w:b/>
                <w:color w:val="000000"/>
                <w:sz w:val="22"/>
                <w:szCs w:val="22"/>
              </w:rPr>
            </w:pPr>
            <w:r>
              <w:rPr>
                <w:rFonts w:ascii="Calibri" w:eastAsia="Calibri" w:hAnsi="Calibri" w:cs="Calibri"/>
                <w:b/>
                <w:color w:val="000000"/>
                <w:sz w:val="22"/>
                <w:szCs w:val="22"/>
              </w:rPr>
              <w:t>Progress made against key indicators</w:t>
            </w:r>
          </w:p>
        </w:tc>
      </w:tr>
      <w:tr w:rsidR="00A30080" w14:paraId="0D9574C4" w14:textId="77777777" w:rsidTr="00F81FC8">
        <w:tc>
          <w:tcPr>
            <w:tcW w:w="3150" w:type="dxa"/>
            <w:gridSpan w:val="2"/>
            <w:tcBorders>
              <w:bottom w:val="single" w:sz="4" w:space="0" w:color="000000"/>
            </w:tcBorders>
            <w:shd w:val="clear" w:color="auto" w:fill="95B3D7"/>
          </w:tcPr>
          <w:p w14:paraId="00000043" w14:textId="77777777" w:rsidR="00C8511B" w:rsidRDefault="002624F2" w:rsidP="005F7BCF">
            <w:pPr>
              <w:widowControl/>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1. Access to equitable social protection systems, quality services and sustainable economic opportunities improved</w:t>
            </w:r>
            <w:r>
              <w:rPr>
                <w:rFonts w:ascii="Calibri" w:eastAsia="Calibri" w:hAnsi="Calibri" w:cs="Calibri"/>
                <w:b/>
                <w:i/>
                <w:color w:val="000000"/>
                <w:sz w:val="20"/>
                <w:szCs w:val="20"/>
              </w:rPr>
              <w:t>.</w:t>
            </w:r>
          </w:p>
        </w:tc>
        <w:tc>
          <w:tcPr>
            <w:tcW w:w="1440" w:type="dxa"/>
            <w:tcBorders>
              <w:bottom w:val="single" w:sz="4" w:space="0" w:color="000000"/>
            </w:tcBorders>
            <w:shd w:val="clear" w:color="auto" w:fill="auto"/>
          </w:tcPr>
          <w:p w14:paraId="00000045"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$2,892,125</w:t>
            </w:r>
          </w:p>
          <w:p w14:paraId="00000046" w14:textId="77777777" w:rsidR="00C8511B" w:rsidRDefault="00C8511B">
            <w:pPr>
              <w:widowControl/>
              <w:pBdr>
                <w:top w:val="nil"/>
                <w:left w:val="nil"/>
                <w:bottom w:val="nil"/>
                <w:right w:val="nil"/>
                <w:between w:val="nil"/>
              </w:pBdr>
              <w:jc w:val="both"/>
              <w:rPr>
                <w:rFonts w:ascii="Calibri" w:eastAsia="Calibri" w:hAnsi="Calibri" w:cs="Calibri"/>
                <w:color w:val="000000"/>
                <w:sz w:val="20"/>
                <w:szCs w:val="20"/>
              </w:rPr>
            </w:pPr>
          </w:p>
          <w:p w14:paraId="00000047" w14:textId="77777777" w:rsidR="00C8511B" w:rsidRDefault="00C8511B">
            <w:pPr>
              <w:widowControl/>
              <w:pBdr>
                <w:top w:val="nil"/>
                <w:left w:val="nil"/>
                <w:bottom w:val="nil"/>
                <w:right w:val="nil"/>
                <w:between w:val="nil"/>
              </w:pBdr>
              <w:jc w:val="both"/>
              <w:rPr>
                <w:rFonts w:ascii="Calibri" w:eastAsia="Calibri" w:hAnsi="Calibri" w:cs="Calibri"/>
                <w:color w:val="000000"/>
                <w:sz w:val="20"/>
                <w:szCs w:val="20"/>
              </w:rPr>
            </w:pPr>
          </w:p>
        </w:tc>
        <w:tc>
          <w:tcPr>
            <w:tcW w:w="3960" w:type="dxa"/>
            <w:tcBorders>
              <w:left w:val="single" w:sz="4" w:space="0" w:color="000000"/>
              <w:bottom w:val="single" w:sz="4" w:space="0" w:color="000000"/>
            </w:tcBorders>
            <w:shd w:val="clear" w:color="auto" w:fill="auto"/>
          </w:tcPr>
          <w:p w14:paraId="3D725C91" w14:textId="77777777" w:rsidR="00162DBA" w:rsidRDefault="002624F2" w:rsidP="00162DBA">
            <w:pPr>
              <w:pStyle w:val="ListParagraph"/>
              <w:widowControl/>
              <w:numPr>
                <w:ilvl w:val="0"/>
                <w:numId w:val="13"/>
              </w:numPr>
              <w:pBdr>
                <w:top w:val="nil"/>
                <w:left w:val="nil"/>
                <w:bottom w:val="nil"/>
                <w:right w:val="nil"/>
                <w:between w:val="nil"/>
              </w:pBdr>
              <w:jc w:val="both"/>
              <w:rPr>
                <w:rFonts w:ascii="Calibri" w:eastAsia="Calibri" w:hAnsi="Calibri" w:cs="Calibri"/>
                <w:color w:val="000000"/>
                <w:sz w:val="20"/>
                <w:szCs w:val="20"/>
              </w:rPr>
            </w:pPr>
            <w:r w:rsidRPr="00162DBA">
              <w:rPr>
                <w:rFonts w:ascii="Calibri" w:eastAsia="Calibri" w:hAnsi="Calibri" w:cs="Calibri"/>
                <w:color w:val="000000"/>
                <w:sz w:val="20"/>
                <w:szCs w:val="20"/>
              </w:rPr>
              <w:t>Number of monitoring and evaluation frameworks for social protection programmes in Trinidad and Tobago.</w:t>
            </w:r>
            <w:r>
              <w:rPr>
                <w:rFonts w:eastAsia="Calibri"/>
                <w:vertAlign w:val="superscript"/>
              </w:rPr>
              <w:footnoteReference w:id="3"/>
            </w:r>
            <w:r w:rsidRPr="00162DBA">
              <w:rPr>
                <w:rFonts w:ascii="Calibri" w:eastAsia="Calibri" w:hAnsi="Calibri" w:cs="Calibri"/>
                <w:color w:val="000000"/>
                <w:sz w:val="20"/>
                <w:szCs w:val="20"/>
              </w:rPr>
              <w:t xml:space="preserve"> </w:t>
            </w:r>
            <w:bookmarkStart w:id="0" w:name="_heading=h.gjdgxs" w:colFirst="0" w:colLast="0"/>
            <w:bookmarkEnd w:id="0"/>
          </w:p>
          <w:p w14:paraId="6A500EC2" w14:textId="77777777" w:rsidR="00162DBA" w:rsidRDefault="00162DBA" w:rsidP="00162DBA">
            <w:pPr>
              <w:pStyle w:val="ListParagraph"/>
              <w:widowControl/>
              <w:pBdr>
                <w:top w:val="nil"/>
                <w:left w:val="nil"/>
                <w:bottom w:val="nil"/>
                <w:right w:val="nil"/>
                <w:between w:val="nil"/>
              </w:pBdr>
              <w:ind w:left="360"/>
              <w:jc w:val="both"/>
              <w:rPr>
                <w:rFonts w:ascii="Calibri" w:eastAsia="Calibri" w:hAnsi="Calibri" w:cs="Calibri"/>
                <w:color w:val="000000"/>
                <w:sz w:val="20"/>
                <w:szCs w:val="20"/>
              </w:rPr>
            </w:pPr>
          </w:p>
          <w:p w14:paraId="0000004A" w14:textId="675606CF" w:rsidR="00C8511B" w:rsidRPr="00162DBA" w:rsidRDefault="002624F2" w:rsidP="00162DBA">
            <w:pPr>
              <w:pStyle w:val="ListParagraph"/>
              <w:widowControl/>
              <w:numPr>
                <w:ilvl w:val="0"/>
                <w:numId w:val="13"/>
              </w:numPr>
              <w:pBdr>
                <w:top w:val="nil"/>
                <w:left w:val="nil"/>
                <w:bottom w:val="nil"/>
                <w:right w:val="nil"/>
                <w:between w:val="nil"/>
              </w:pBdr>
              <w:jc w:val="both"/>
              <w:rPr>
                <w:rFonts w:ascii="Calibri" w:eastAsia="Calibri" w:hAnsi="Calibri" w:cs="Calibri"/>
                <w:color w:val="000000"/>
                <w:sz w:val="20"/>
                <w:szCs w:val="20"/>
              </w:rPr>
            </w:pPr>
            <w:proofErr w:type="spellStart"/>
            <w:r w:rsidRPr="00162DBA">
              <w:rPr>
                <w:rFonts w:ascii="Calibri" w:eastAsia="Calibri" w:hAnsi="Calibri" w:cs="Calibri"/>
                <w:color w:val="000000"/>
                <w:sz w:val="20"/>
                <w:szCs w:val="20"/>
              </w:rPr>
              <w:t>Marginalised</w:t>
            </w:r>
            <w:proofErr w:type="spellEnd"/>
            <w:r w:rsidRPr="00162DBA">
              <w:rPr>
                <w:rFonts w:ascii="Calibri" w:eastAsia="Calibri" w:hAnsi="Calibri" w:cs="Calibri"/>
                <w:color w:val="000000"/>
                <w:sz w:val="20"/>
                <w:szCs w:val="20"/>
              </w:rPr>
              <w:t xml:space="preserve"> groups, particularly the poor, women, people with disabilities and displaced are empowered to gain universal access to basic services and financial and non-financial assets to build productive capacities and benefit from sustainable livelihoods and jobs</w:t>
            </w:r>
            <w:r>
              <w:rPr>
                <w:rFonts w:eastAsia="Calibri"/>
                <w:vertAlign w:val="superscript"/>
              </w:rPr>
              <w:footnoteReference w:id="4"/>
            </w:r>
          </w:p>
          <w:p w14:paraId="0000004B" w14:textId="77777777" w:rsidR="00C8511B" w:rsidRDefault="00C8511B">
            <w:pPr>
              <w:widowControl/>
              <w:pBdr>
                <w:top w:val="nil"/>
                <w:left w:val="nil"/>
                <w:bottom w:val="nil"/>
                <w:right w:val="nil"/>
                <w:between w:val="nil"/>
              </w:pBdr>
              <w:jc w:val="both"/>
              <w:rPr>
                <w:rFonts w:ascii="Calibri" w:eastAsia="Calibri" w:hAnsi="Calibri" w:cs="Calibri"/>
                <w:color w:val="000000"/>
              </w:rPr>
            </w:pPr>
          </w:p>
        </w:tc>
        <w:tc>
          <w:tcPr>
            <w:tcW w:w="5490" w:type="dxa"/>
            <w:tcBorders>
              <w:bottom w:val="single" w:sz="4" w:space="0" w:color="000000"/>
            </w:tcBorders>
            <w:shd w:val="clear" w:color="auto" w:fill="auto"/>
          </w:tcPr>
          <w:p w14:paraId="1917F745" w14:textId="0D23C475" w:rsidR="00B94D26" w:rsidRDefault="00B94D26" w:rsidP="00FC2F13">
            <w:pPr>
              <w:numPr>
                <w:ilvl w:val="0"/>
                <w:numId w:val="4"/>
              </w:numPr>
              <w:pBdr>
                <w:top w:val="nil"/>
                <w:left w:val="nil"/>
                <w:bottom w:val="nil"/>
                <w:right w:val="nil"/>
                <w:between w:val="nil"/>
              </w:pBdr>
              <w:jc w:val="both"/>
              <w:rPr>
                <w:rFonts w:ascii="Calibri" w:eastAsia="Calibri" w:hAnsi="Calibri" w:cs="Calibri"/>
                <w:color w:val="000000"/>
                <w:sz w:val="20"/>
                <w:szCs w:val="20"/>
              </w:rPr>
            </w:pPr>
            <w:r w:rsidRPr="00B94D26">
              <w:rPr>
                <w:rFonts w:ascii="Calibri" w:eastAsia="Calibri" w:hAnsi="Calibri" w:cs="Calibri"/>
                <w:color w:val="000000"/>
                <w:sz w:val="20"/>
                <w:szCs w:val="20"/>
              </w:rPr>
              <w:t>National Social Mitigation Plan</w:t>
            </w:r>
            <w:r>
              <w:rPr>
                <w:rFonts w:ascii="Calibri" w:eastAsia="Calibri" w:hAnsi="Calibri" w:cs="Calibri"/>
                <w:color w:val="000000"/>
                <w:sz w:val="20"/>
                <w:szCs w:val="20"/>
              </w:rPr>
              <w:t xml:space="preserve"> (</w:t>
            </w:r>
            <w:r w:rsidRPr="00B94D26">
              <w:rPr>
                <w:rFonts w:ascii="Calibri" w:eastAsia="Calibri" w:hAnsi="Calibri" w:cs="Calibri"/>
                <w:color w:val="000000"/>
                <w:sz w:val="20"/>
                <w:szCs w:val="20"/>
              </w:rPr>
              <w:t>2017-2022</w:t>
            </w:r>
            <w:r>
              <w:rPr>
                <w:rFonts w:ascii="Calibri" w:eastAsia="Calibri" w:hAnsi="Calibri" w:cs="Calibri"/>
                <w:color w:val="000000"/>
                <w:sz w:val="20"/>
                <w:szCs w:val="20"/>
              </w:rPr>
              <w:t>) is address</w:t>
            </w:r>
            <w:r w:rsidR="008F152A">
              <w:rPr>
                <w:rFonts w:ascii="Calibri" w:eastAsia="Calibri" w:hAnsi="Calibri" w:cs="Calibri"/>
                <w:color w:val="000000"/>
                <w:sz w:val="20"/>
                <w:szCs w:val="20"/>
              </w:rPr>
              <w:t>ing</w:t>
            </w:r>
            <w:r>
              <w:rPr>
                <w:rFonts w:ascii="Calibri" w:eastAsia="Calibri" w:hAnsi="Calibri" w:cs="Calibri"/>
                <w:color w:val="000000"/>
                <w:sz w:val="20"/>
                <w:szCs w:val="20"/>
              </w:rPr>
              <w:t xml:space="preserve"> the complexity of poverty and support to the most </w:t>
            </w:r>
            <w:r w:rsidR="00522E18">
              <w:rPr>
                <w:rFonts w:ascii="Calibri" w:eastAsia="Calibri" w:hAnsi="Calibri" w:cs="Calibri"/>
                <w:color w:val="000000"/>
                <w:sz w:val="20"/>
                <w:szCs w:val="20"/>
              </w:rPr>
              <w:t>vulnerable through</w:t>
            </w:r>
            <w:r>
              <w:rPr>
                <w:rFonts w:ascii="Calibri" w:eastAsia="Calibri" w:hAnsi="Calibri" w:cs="Calibri"/>
                <w:color w:val="000000"/>
                <w:sz w:val="20"/>
                <w:szCs w:val="20"/>
              </w:rPr>
              <w:t xml:space="preserve"> a multi-dimensional</w:t>
            </w:r>
            <w:r w:rsidR="009D2062">
              <w:rPr>
                <w:rFonts w:ascii="Calibri" w:eastAsia="Calibri" w:hAnsi="Calibri" w:cs="Calibri"/>
                <w:color w:val="000000"/>
                <w:sz w:val="20"/>
                <w:szCs w:val="20"/>
              </w:rPr>
              <w:t>, far-reaching</w:t>
            </w:r>
            <w:r>
              <w:rPr>
                <w:rFonts w:ascii="Calibri" w:eastAsia="Calibri" w:hAnsi="Calibri" w:cs="Calibri"/>
                <w:color w:val="000000"/>
                <w:sz w:val="20"/>
                <w:szCs w:val="20"/>
              </w:rPr>
              <w:t xml:space="preserve"> plan.</w:t>
            </w:r>
          </w:p>
          <w:p w14:paraId="0000004D" w14:textId="5E7712C5" w:rsidR="00C8511B" w:rsidRPr="000375B9" w:rsidRDefault="002624F2" w:rsidP="00FC2F13">
            <w:pPr>
              <w:numPr>
                <w:ilvl w:val="0"/>
                <w:numId w:val="4"/>
              </w:numPr>
              <w:pBdr>
                <w:top w:val="nil"/>
                <w:left w:val="nil"/>
                <w:bottom w:val="nil"/>
                <w:right w:val="nil"/>
                <w:between w:val="nil"/>
              </w:pBdr>
              <w:jc w:val="both"/>
              <w:rPr>
                <w:rFonts w:ascii="Calibri" w:eastAsia="Calibri" w:hAnsi="Calibri" w:cs="Calibri"/>
                <w:color w:val="000000"/>
                <w:sz w:val="20"/>
                <w:szCs w:val="20"/>
              </w:rPr>
            </w:pPr>
            <w:r w:rsidRPr="000375B9">
              <w:rPr>
                <w:rFonts w:ascii="Calibri" w:eastAsia="Calibri" w:hAnsi="Calibri" w:cs="Calibri"/>
                <w:color w:val="000000"/>
                <w:sz w:val="20"/>
                <w:szCs w:val="20"/>
              </w:rPr>
              <w:t>Improved accessibility and timeliness to social assistance by the Ministry of Social Development and Family Services</w:t>
            </w:r>
            <w:r w:rsidR="008803E2" w:rsidRPr="000375B9">
              <w:rPr>
                <w:rFonts w:ascii="Calibri" w:eastAsia="Calibri" w:hAnsi="Calibri" w:cs="Calibri"/>
                <w:color w:val="000000"/>
                <w:sz w:val="20"/>
                <w:szCs w:val="20"/>
              </w:rPr>
              <w:t xml:space="preserve"> </w:t>
            </w:r>
            <w:r w:rsidRPr="000375B9">
              <w:rPr>
                <w:rFonts w:ascii="Calibri" w:eastAsia="Calibri" w:hAnsi="Calibri" w:cs="Calibri"/>
                <w:color w:val="000000"/>
                <w:sz w:val="20"/>
                <w:szCs w:val="20"/>
              </w:rPr>
              <w:t>(MSDFS) (201</w:t>
            </w:r>
            <w:r w:rsidRPr="000375B9">
              <w:rPr>
                <w:rFonts w:ascii="Calibri" w:eastAsia="Calibri" w:hAnsi="Calibri" w:cs="Calibri"/>
                <w:sz w:val="20"/>
                <w:szCs w:val="20"/>
              </w:rPr>
              <w:t>7-2019</w:t>
            </w:r>
            <w:r w:rsidRPr="000375B9">
              <w:rPr>
                <w:rFonts w:ascii="Calibri" w:eastAsia="Calibri" w:hAnsi="Calibri" w:cs="Calibri"/>
                <w:color w:val="000000"/>
                <w:sz w:val="20"/>
                <w:szCs w:val="20"/>
              </w:rPr>
              <w:t xml:space="preserve">) </w:t>
            </w:r>
          </w:p>
          <w:p w14:paraId="7BE17779" w14:textId="411BBABE" w:rsidR="00C65DAC" w:rsidRPr="000375B9" w:rsidRDefault="005122B8" w:rsidP="00FC2F13">
            <w:pPr>
              <w:numPr>
                <w:ilvl w:val="0"/>
                <w:numId w:val="4"/>
              </w:numPr>
              <w:jc w:val="both"/>
              <w:rPr>
                <w:rFonts w:ascii="Calibri" w:eastAsia="Calibri" w:hAnsi="Calibri" w:cs="Calibri"/>
                <w:color w:val="000000"/>
                <w:sz w:val="20"/>
                <w:szCs w:val="20"/>
              </w:rPr>
            </w:pPr>
            <w:r w:rsidRPr="000375B9">
              <w:rPr>
                <w:rFonts w:ascii="Calibri" w:eastAsia="Calibri" w:hAnsi="Calibri" w:cs="Calibri"/>
                <w:color w:val="000000"/>
                <w:sz w:val="20"/>
                <w:szCs w:val="20"/>
              </w:rPr>
              <w:t xml:space="preserve">Minimum wage increased </w:t>
            </w:r>
            <w:r w:rsidR="00040E25" w:rsidRPr="000375B9">
              <w:rPr>
                <w:rFonts w:ascii="Calibri" w:eastAsia="Calibri" w:hAnsi="Calibri" w:cs="Calibri"/>
                <w:color w:val="000000"/>
                <w:sz w:val="20"/>
                <w:szCs w:val="20"/>
              </w:rPr>
              <w:t xml:space="preserve">from $15.00 to $17.00 per hour, to </w:t>
            </w:r>
            <w:r w:rsidR="00956168" w:rsidRPr="000375B9">
              <w:rPr>
                <w:rFonts w:ascii="Calibri" w:eastAsia="Calibri" w:hAnsi="Calibri" w:cs="Calibri"/>
                <w:color w:val="000000"/>
                <w:sz w:val="20"/>
                <w:szCs w:val="20"/>
              </w:rPr>
              <w:t>improv</w:t>
            </w:r>
            <w:r w:rsidR="00956168">
              <w:rPr>
                <w:rFonts w:ascii="Calibri" w:eastAsia="Calibri" w:hAnsi="Calibri" w:cs="Calibri"/>
                <w:color w:val="000000"/>
                <w:sz w:val="20"/>
                <w:szCs w:val="20"/>
              </w:rPr>
              <w:t>e</w:t>
            </w:r>
            <w:r w:rsidR="00956168" w:rsidRPr="000375B9">
              <w:rPr>
                <w:rFonts w:ascii="Calibri" w:eastAsia="Calibri" w:hAnsi="Calibri" w:cs="Calibri"/>
                <w:color w:val="000000"/>
                <w:sz w:val="20"/>
                <w:szCs w:val="20"/>
              </w:rPr>
              <w:t xml:space="preserve"> </w:t>
            </w:r>
            <w:r w:rsidR="00040E25" w:rsidRPr="000375B9">
              <w:rPr>
                <w:rFonts w:ascii="Calibri" w:eastAsia="Calibri" w:hAnsi="Calibri" w:cs="Calibri"/>
                <w:color w:val="000000"/>
                <w:sz w:val="20"/>
                <w:szCs w:val="20"/>
              </w:rPr>
              <w:t>economic stability, decent work and fair wages for all employed persons</w:t>
            </w:r>
            <w:r w:rsidRPr="000375B9">
              <w:rPr>
                <w:rFonts w:ascii="Calibri" w:eastAsia="Calibri" w:hAnsi="Calibri" w:cs="Calibri"/>
                <w:color w:val="000000"/>
                <w:sz w:val="20"/>
                <w:szCs w:val="20"/>
              </w:rPr>
              <w:t>. (2019)</w:t>
            </w:r>
          </w:p>
          <w:p w14:paraId="6CF4B16B" w14:textId="72C2621E" w:rsidR="003916B2" w:rsidRDefault="00A80F61" w:rsidP="00FC2F13">
            <w:pPr>
              <w:numPr>
                <w:ilvl w:val="0"/>
                <w:numId w:val="4"/>
              </w:numPr>
              <w:jc w:val="both"/>
              <w:rPr>
                <w:rFonts w:ascii="Calibri" w:eastAsia="Calibri" w:hAnsi="Calibri" w:cs="Calibri"/>
                <w:color w:val="000000"/>
                <w:sz w:val="20"/>
                <w:szCs w:val="20"/>
              </w:rPr>
            </w:pPr>
            <w:r w:rsidRPr="000375B9">
              <w:rPr>
                <w:rFonts w:ascii="Calibri" w:eastAsia="Calibri" w:hAnsi="Calibri" w:cs="Calibri"/>
                <w:color w:val="000000"/>
                <w:sz w:val="20"/>
                <w:szCs w:val="20"/>
              </w:rPr>
              <w:t xml:space="preserve">200,000 persons </w:t>
            </w:r>
            <w:r w:rsidR="00956168" w:rsidRPr="000375B9">
              <w:rPr>
                <w:rFonts w:ascii="Calibri" w:eastAsia="Calibri" w:hAnsi="Calibri" w:cs="Calibri"/>
                <w:color w:val="000000"/>
                <w:sz w:val="20"/>
                <w:szCs w:val="20"/>
              </w:rPr>
              <w:t>benefitt</w:t>
            </w:r>
            <w:r w:rsidR="00956168">
              <w:rPr>
                <w:rFonts w:ascii="Calibri" w:eastAsia="Calibri" w:hAnsi="Calibri" w:cs="Calibri"/>
                <w:color w:val="000000"/>
                <w:sz w:val="20"/>
                <w:szCs w:val="20"/>
              </w:rPr>
              <w:t>ed</w:t>
            </w:r>
            <w:r w:rsidR="00956168" w:rsidRPr="000375B9">
              <w:rPr>
                <w:rFonts w:ascii="Calibri" w:eastAsia="Calibri" w:hAnsi="Calibri" w:cs="Calibri"/>
                <w:color w:val="000000"/>
                <w:sz w:val="20"/>
                <w:szCs w:val="20"/>
              </w:rPr>
              <w:t xml:space="preserve"> </w:t>
            </w:r>
            <w:r w:rsidRPr="000375B9">
              <w:rPr>
                <w:rFonts w:ascii="Calibri" w:eastAsia="Calibri" w:hAnsi="Calibri" w:cs="Calibri"/>
                <w:color w:val="000000"/>
                <w:sz w:val="20"/>
                <w:szCs w:val="20"/>
              </w:rPr>
              <w:t>from the social protection regime in 2020</w:t>
            </w:r>
          </w:p>
          <w:p w14:paraId="263AFB95" w14:textId="01A29AE1" w:rsidR="00C110EB" w:rsidRPr="00C110EB" w:rsidRDefault="00C110EB" w:rsidP="00C110EB">
            <w:pPr>
              <w:numPr>
                <w:ilvl w:val="0"/>
                <w:numId w:val="4"/>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Social protection programmes in Trinidad and Tobago conducted 3 evaluations 2017-2020; </w:t>
            </w:r>
            <w:r w:rsidRPr="00C110EB">
              <w:rPr>
                <w:rFonts w:ascii="Calibri" w:eastAsia="Calibri" w:hAnsi="Calibri" w:cs="Calibri"/>
                <w:color w:val="000000"/>
                <w:sz w:val="20"/>
                <w:szCs w:val="20"/>
              </w:rPr>
              <w:t>Geriatric Adolescent Partnership Programme (GAPP) conducted by MSDFS</w:t>
            </w:r>
            <w:r w:rsidR="00FE6993">
              <w:rPr>
                <w:rFonts w:ascii="Calibri" w:eastAsia="Calibri" w:hAnsi="Calibri" w:cs="Calibri"/>
                <w:color w:val="000000"/>
                <w:sz w:val="20"/>
                <w:szCs w:val="20"/>
              </w:rPr>
              <w:t>,</w:t>
            </w:r>
            <w:r w:rsidRPr="00C110EB">
              <w:rPr>
                <w:rFonts w:ascii="Calibri" w:eastAsia="Calibri" w:hAnsi="Calibri" w:cs="Calibri"/>
                <w:color w:val="000000"/>
                <w:sz w:val="20"/>
                <w:szCs w:val="20"/>
              </w:rPr>
              <w:t xml:space="preserve"> </w:t>
            </w:r>
            <w:r w:rsidR="00FE6993" w:rsidRPr="00C110EB">
              <w:rPr>
                <w:rFonts w:ascii="Calibri" w:eastAsia="Calibri" w:hAnsi="Calibri" w:cs="Calibri"/>
                <w:color w:val="000000"/>
                <w:sz w:val="20"/>
                <w:szCs w:val="20"/>
              </w:rPr>
              <w:t xml:space="preserve">evaluations on existing funded programmes within </w:t>
            </w:r>
            <w:r w:rsidR="00FE6993">
              <w:rPr>
                <w:rFonts w:ascii="Calibri" w:eastAsia="Calibri" w:hAnsi="Calibri" w:cs="Calibri"/>
                <w:color w:val="000000"/>
                <w:sz w:val="20"/>
                <w:szCs w:val="20"/>
              </w:rPr>
              <w:t xml:space="preserve">the </w:t>
            </w:r>
            <w:r w:rsidRPr="00C110EB">
              <w:rPr>
                <w:rFonts w:ascii="Calibri" w:eastAsia="Calibri" w:hAnsi="Calibri" w:cs="Calibri"/>
                <w:color w:val="000000"/>
                <w:sz w:val="20"/>
                <w:szCs w:val="20"/>
              </w:rPr>
              <w:t>Office of the Prime Minister Gender and Child Division</w:t>
            </w:r>
            <w:r w:rsidR="00FE6993">
              <w:rPr>
                <w:rFonts w:ascii="Calibri" w:eastAsia="Calibri" w:hAnsi="Calibri" w:cs="Calibri"/>
                <w:color w:val="000000"/>
                <w:sz w:val="20"/>
                <w:szCs w:val="20"/>
              </w:rPr>
              <w:t>,</w:t>
            </w:r>
            <w:r w:rsidRPr="00C110EB">
              <w:rPr>
                <w:rFonts w:ascii="Calibri" w:eastAsia="Calibri" w:hAnsi="Calibri" w:cs="Calibri"/>
                <w:color w:val="000000"/>
                <w:sz w:val="20"/>
                <w:szCs w:val="20"/>
              </w:rPr>
              <w:t xml:space="preserve"> and the national school nutrition programme</w:t>
            </w:r>
            <w:r w:rsidR="00FE6993">
              <w:rPr>
                <w:rFonts w:ascii="Calibri" w:eastAsia="Calibri" w:hAnsi="Calibri" w:cs="Calibri"/>
                <w:color w:val="000000"/>
                <w:sz w:val="20"/>
                <w:szCs w:val="20"/>
              </w:rPr>
              <w:t xml:space="preserve"> by the</w:t>
            </w:r>
            <w:r w:rsidR="00FE6993" w:rsidRPr="00C110EB">
              <w:rPr>
                <w:rFonts w:ascii="Calibri" w:eastAsia="Calibri" w:hAnsi="Calibri" w:cs="Calibri"/>
                <w:color w:val="000000"/>
                <w:sz w:val="20"/>
                <w:szCs w:val="20"/>
              </w:rPr>
              <w:t xml:space="preserve"> </w:t>
            </w:r>
            <w:r w:rsidR="00FE6993">
              <w:rPr>
                <w:rFonts w:ascii="Calibri" w:eastAsia="Calibri" w:hAnsi="Calibri" w:cs="Calibri"/>
                <w:color w:val="000000"/>
                <w:sz w:val="20"/>
                <w:szCs w:val="20"/>
              </w:rPr>
              <w:t>N</w:t>
            </w:r>
            <w:r w:rsidR="00FE6993" w:rsidRPr="00C110EB">
              <w:rPr>
                <w:rFonts w:ascii="Calibri" w:eastAsia="Calibri" w:hAnsi="Calibri" w:cs="Calibri"/>
                <w:color w:val="000000"/>
                <w:sz w:val="20"/>
                <w:szCs w:val="20"/>
              </w:rPr>
              <w:t xml:space="preserve">ational School Dietary Services Evaluation Committee established by the Ministry of Education </w:t>
            </w:r>
          </w:p>
          <w:p w14:paraId="053ED9E2" w14:textId="77777777" w:rsidR="00501B63" w:rsidRPr="000375B9" w:rsidRDefault="00501B63" w:rsidP="00501B63">
            <w:pPr>
              <w:jc w:val="both"/>
              <w:rPr>
                <w:rFonts w:ascii="Calibri" w:eastAsia="Calibri" w:hAnsi="Calibri" w:cs="Calibri"/>
                <w:color w:val="000000"/>
                <w:sz w:val="20"/>
                <w:szCs w:val="20"/>
              </w:rPr>
            </w:pPr>
          </w:p>
          <w:p w14:paraId="07943844" w14:textId="578E32C7" w:rsidR="0004264F" w:rsidRPr="000375B9" w:rsidRDefault="0004264F" w:rsidP="00501B63">
            <w:pPr>
              <w:jc w:val="both"/>
              <w:rPr>
                <w:rFonts w:ascii="Calibri" w:eastAsia="Calibri" w:hAnsi="Calibri" w:cs="Calibri"/>
                <w:sz w:val="20"/>
                <w:szCs w:val="20"/>
              </w:rPr>
            </w:pPr>
            <w:r w:rsidRPr="000375B9">
              <w:rPr>
                <w:rFonts w:ascii="Calibri" w:eastAsia="Calibri" w:hAnsi="Calibri" w:cs="Calibri"/>
                <w:color w:val="000000"/>
                <w:sz w:val="20"/>
                <w:szCs w:val="20"/>
              </w:rPr>
              <w:t xml:space="preserve">In response to the impact of the COVID-19 pandemic, the government accelerated, expanded and adapted its </w:t>
            </w:r>
            <w:r w:rsidR="00F94597" w:rsidRPr="000375B9">
              <w:rPr>
                <w:rFonts w:ascii="Calibri" w:eastAsia="Calibri" w:hAnsi="Calibri" w:cs="Calibri"/>
                <w:color w:val="000000"/>
                <w:sz w:val="20"/>
                <w:szCs w:val="20"/>
              </w:rPr>
              <w:t xml:space="preserve">health and </w:t>
            </w:r>
            <w:r w:rsidRPr="000375B9">
              <w:rPr>
                <w:rFonts w:ascii="Calibri" w:eastAsia="Calibri" w:hAnsi="Calibri" w:cs="Calibri"/>
                <w:color w:val="000000"/>
                <w:sz w:val="20"/>
                <w:szCs w:val="20"/>
              </w:rPr>
              <w:t>poverty alleviation efforts to quickly serve people in need.</w:t>
            </w:r>
            <w:r w:rsidR="00FD51B2" w:rsidRPr="000375B9">
              <w:rPr>
                <w:rFonts w:ascii="Calibri" w:eastAsia="Calibri" w:hAnsi="Calibri" w:cs="Calibri"/>
                <w:color w:val="000000"/>
                <w:sz w:val="20"/>
                <w:szCs w:val="20"/>
              </w:rPr>
              <w:t xml:space="preserve"> (2020-2021)</w:t>
            </w:r>
          </w:p>
          <w:p w14:paraId="204FCB26" w14:textId="77777777" w:rsidR="00F234D7" w:rsidRPr="000375B9" w:rsidRDefault="00F234D7" w:rsidP="00F234D7">
            <w:pPr>
              <w:numPr>
                <w:ilvl w:val="0"/>
                <w:numId w:val="4"/>
              </w:numPr>
              <w:jc w:val="both"/>
              <w:rPr>
                <w:rFonts w:ascii="Calibri" w:eastAsia="Calibri" w:hAnsi="Calibri" w:cs="Calibri"/>
                <w:sz w:val="20"/>
                <w:szCs w:val="20"/>
              </w:rPr>
            </w:pPr>
            <w:r w:rsidRPr="000375B9">
              <w:rPr>
                <w:rFonts w:ascii="Calibri" w:eastAsia="Calibri" w:hAnsi="Calibri" w:cs="Calibri"/>
                <w:color w:val="000000"/>
                <w:sz w:val="20"/>
                <w:szCs w:val="20"/>
              </w:rPr>
              <w:lastRenderedPageBreak/>
              <w:t>MSDFS increased online accessibility to apply for and receive services</w:t>
            </w:r>
          </w:p>
          <w:p w14:paraId="044E2AB9" w14:textId="6CB71C25" w:rsidR="00A54DA4" w:rsidRPr="000375B9" w:rsidRDefault="00C542CE" w:rsidP="00501B63">
            <w:pPr>
              <w:numPr>
                <w:ilvl w:val="0"/>
                <w:numId w:val="4"/>
              </w:numPr>
              <w:jc w:val="both"/>
              <w:rPr>
                <w:rFonts w:ascii="Calibri" w:eastAsia="Calibri" w:hAnsi="Calibri" w:cs="Calibri"/>
                <w:sz w:val="20"/>
                <w:szCs w:val="20"/>
              </w:rPr>
            </w:pPr>
            <w:r w:rsidRPr="000375B9">
              <w:rPr>
                <w:rFonts w:ascii="Calibri" w:eastAsia="Calibri" w:hAnsi="Calibri" w:cs="Calibri"/>
                <w:sz w:val="20"/>
                <w:szCs w:val="20"/>
              </w:rPr>
              <w:t xml:space="preserve">GORTT </w:t>
            </w:r>
            <w:r w:rsidR="00A53337" w:rsidRPr="000375B9">
              <w:rPr>
                <w:rFonts w:ascii="Calibri" w:eastAsia="Calibri" w:hAnsi="Calibri" w:cs="Calibri"/>
                <w:sz w:val="20"/>
                <w:szCs w:val="20"/>
              </w:rPr>
              <w:t xml:space="preserve">adapted their </w:t>
            </w:r>
            <w:r w:rsidR="002D4732" w:rsidRPr="000375B9">
              <w:rPr>
                <w:rFonts w:ascii="Calibri" w:eastAsia="Calibri" w:hAnsi="Calibri" w:cs="Calibri"/>
                <w:sz w:val="20"/>
                <w:szCs w:val="20"/>
              </w:rPr>
              <w:t>f</w:t>
            </w:r>
            <w:r w:rsidR="00562548" w:rsidRPr="000375B9">
              <w:rPr>
                <w:rFonts w:ascii="Calibri" w:eastAsia="Calibri" w:hAnsi="Calibri" w:cs="Calibri"/>
                <w:sz w:val="20"/>
                <w:szCs w:val="20"/>
              </w:rPr>
              <w:t xml:space="preserve">ood and financial support </w:t>
            </w:r>
            <w:r w:rsidR="002D4732" w:rsidRPr="000375B9">
              <w:rPr>
                <w:rFonts w:ascii="Calibri" w:eastAsia="Calibri" w:hAnsi="Calibri" w:cs="Calibri"/>
                <w:sz w:val="20"/>
                <w:szCs w:val="20"/>
              </w:rPr>
              <w:t>program</w:t>
            </w:r>
            <w:r w:rsidR="00A53337" w:rsidRPr="000375B9">
              <w:rPr>
                <w:rFonts w:ascii="Calibri" w:eastAsia="Calibri" w:hAnsi="Calibri" w:cs="Calibri"/>
                <w:sz w:val="20"/>
                <w:szCs w:val="20"/>
              </w:rPr>
              <w:t xml:space="preserve">s to </w:t>
            </w:r>
            <w:r w:rsidR="00967200" w:rsidRPr="000375B9">
              <w:rPr>
                <w:rFonts w:ascii="Calibri" w:eastAsia="Calibri" w:hAnsi="Calibri" w:cs="Calibri"/>
                <w:sz w:val="20"/>
                <w:szCs w:val="20"/>
              </w:rPr>
              <w:t xml:space="preserve">expand </w:t>
            </w:r>
            <w:r w:rsidRPr="000375B9">
              <w:rPr>
                <w:rFonts w:ascii="Calibri" w:eastAsia="Calibri" w:hAnsi="Calibri" w:cs="Calibri"/>
                <w:sz w:val="20"/>
                <w:szCs w:val="20"/>
              </w:rPr>
              <w:t xml:space="preserve">their </w:t>
            </w:r>
            <w:r w:rsidR="00967200" w:rsidRPr="000375B9">
              <w:rPr>
                <w:rFonts w:ascii="Calibri" w:eastAsia="Calibri" w:hAnsi="Calibri" w:cs="Calibri"/>
                <w:sz w:val="20"/>
                <w:szCs w:val="20"/>
              </w:rPr>
              <w:t xml:space="preserve">reach and programming </w:t>
            </w:r>
            <w:r w:rsidR="002D4732" w:rsidRPr="000375B9">
              <w:rPr>
                <w:rFonts w:ascii="Calibri" w:eastAsia="Calibri" w:hAnsi="Calibri" w:cs="Calibri"/>
                <w:sz w:val="20"/>
                <w:szCs w:val="20"/>
              </w:rPr>
              <w:t>for the most vulnerable</w:t>
            </w:r>
            <w:r w:rsidR="00AA25A5" w:rsidRPr="000375B9">
              <w:rPr>
                <w:rFonts w:ascii="Calibri" w:eastAsia="Calibri" w:hAnsi="Calibri" w:cs="Calibri"/>
                <w:sz w:val="20"/>
                <w:szCs w:val="20"/>
              </w:rPr>
              <w:t xml:space="preserve"> during the pandemic</w:t>
            </w:r>
            <w:r w:rsidR="002D4732" w:rsidRPr="000375B9">
              <w:rPr>
                <w:rFonts w:ascii="Calibri" w:eastAsia="Calibri" w:hAnsi="Calibri" w:cs="Calibri"/>
                <w:sz w:val="20"/>
                <w:szCs w:val="20"/>
              </w:rPr>
              <w:t>.</w:t>
            </w:r>
            <w:r w:rsidR="00AE73C4">
              <w:rPr>
                <w:rFonts w:ascii="Calibri" w:eastAsia="Calibri" w:hAnsi="Calibri" w:cs="Calibri"/>
                <w:sz w:val="20"/>
                <w:szCs w:val="20"/>
              </w:rPr>
              <w:t xml:space="preserve"> The following are examples of some of those efforts</w:t>
            </w:r>
            <w:r w:rsidR="005461EC">
              <w:rPr>
                <w:rFonts w:ascii="Calibri" w:eastAsia="Calibri" w:hAnsi="Calibri" w:cs="Calibri"/>
                <w:sz w:val="20"/>
                <w:szCs w:val="20"/>
              </w:rPr>
              <w:t>.</w:t>
            </w:r>
            <w:r w:rsidR="00B03C0E">
              <w:rPr>
                <w:rStyle w:val="FootnoteReference"/>
                <w:rFonts w:ascii="Calibri" w:eastAsia="Calibri" w:hAnsi="Calibri" w:cs="Calibri"/>
                <w:sz w:val="20"/>
                <w:szCs w:val="20"/>
              </w:rPr>
              <w:footnoteReference w:id="5"/>
            </w:r>
            <w:r w:rsidR="00A54DA4" w:rsidRPr="000375B9">
              <w:rPr>
                <w:rFonts w:ascii="Calibri" w:eastAsia="Calibri" w:hAnsi="Calibri" w:cs="Calibri"/>
                <w:sz w:val="20"/>
                <w:szCs w:val="20"/>
              </w:rPr>
              <w:t xml:space="preserve"> </w:t>
            </w:r>
          </w:p>
          <w:p w14:paraId="4DB57A87" w14:textId="77777777" w:rsidR="009D09D4" w:rsidRDefault="009D09D4" w:rsidP="009D09D4">
            <w:pPr>
              <w:numPr>
                <w:ilvl w:val="1"/>
                <w:numId w:val="4"/>
              </w:numPr>
              <w:jc w:val="both"/>
              <w:rPr>
                <w:rFonts w:ascii="Calibri" w:eastAsia="Calibri" w:hAnsi="Calibri" w:cs="Calibri"/>
                <w:sz w:val="20"/>
                <w:szCs w:val="20"/>
              </w:rPr>
            </w:pPr>
            <w:r w:rsidRPr="00FB6F58">
              <w:rPr>
                <w:rFonts w:ascii="Calibri" w:eastAsia="Calibri" w:hAnsi="Calibri" w:cs="Calibri"/>
                <w:sz w:val="20"/>
                <w:szCs w:val="20"/>
              </w:rPr>
              <w:t xml:space="preserve">33,813 individuals who lost their jobs or had their incomes reduced have received 81,179 grants amounting to $129.8 million in salary relief or income support grants </w:t>
            </w:r>
          </w:p>
          <w:p w14:paraId="3BEB5CEE" w14:textId="77777777" w:rsidR="0056769B" w:rsidRPr="000375B9" w:rsidRDefault="0056769B" w:rsidP="0056769B">
            <w:pPr>
              <w:numPr>
                <w:ilvl w:val="1"/>
                <w:numId w:val="4"/>
              </w:numPr>
              <w:jc w:val="both"/>
              <w:rPr>
                <w:rFonts w:ascii="Calibri" w:eastAsia="Calibri" w:hAnsi="Calibri" w:cs="Calibri"/>
                <w:sz w:val="20"/>
                <w:szCs w:val="20"/>
              </w:rPr>
            </w:pPr>
            <w:r w:rsidRPr="000375B9">
              <w:rPr>
                <w:rFonts w:ascii="Calibri" w:eastAsia="Calibri" w:hAnsi="Calibri" w:cs="Calibri"/>
                <w:sz w:val="20"/>
                <w:szCs w:val="20"/>
              </w:rPr>
              <w:t>Increased income support to 42,000 Public Assistance and Disability Assistant beneficiaries</w:t>
            </w:r>
          </w:p>
          <w:p w14:paraId="7CA710D2" w14:textId="77777777" w:rsidR="00E7028C" w:rsidRDefault="00E7028C" w:rsidP="00E7028C">
            <w:pPr>
              <w:numPr>
                <w:ilvl w:val="1"/>
                <w:numId w:val="4"/>
              </w:numPr>
              <w:jc w:val="both"/>
              <w:rPr>
                <w:rFonts w:ascii="Calibri" w:eastAsia="Calibri" w:hAnsi="Calibri" w:cs="Calibri"/>
                <w:sz w:val="20"/>
                <w:szCs w:val="20"/>
              </w:rPr>
            </w:pPr>
            <w:r w:rsidRPr="00FB6F58">
              <w:rPr>
                <w:rFonts w:ascii="Calibri" w:eastAsia="Calibri" w:hAnsi="Calibri" w:cs="Calibri"/>
                <w:sz w:val="20"/>
                <w:szCs w:val="20"/>
              </w:rPr>
              <w:t>25,101 grants have been paid under the food support programme</w:t>
            </w:r>
            <w:r w:rsidRPr="000375B9">
              <w:rPr>
                <w:rFonts w:ascii="Calibri" w:eastAsia="Calibri" w:hAnsi="Calibri" w:cs="Calibri"/>
                <w:sz w:val="20"/>
                <w:szCs w:val="20"/>
              </w:rPr>
              <w:t xml:space="preserve"> </w:t>
            </w:r>
          </w:p>
          <w:p w14:paraId="10891EEF" w14:textId="1ECC6EF4" w:rsidR="00F234D7" w:rsidRPr="000375B9" w:rsidRDefault="006F1AAD" w:rsidP="00F234D7">
            <w:pPr>
              <w:numPr>
                <w:ilvl w:val="1"/>
                <w:numId w:val="4"/>
              </w:numPr>
              <w:jc w:val="both"/>
              <w:rPr>
                <w:rFonts w:ascii="Calibri" w:eastAsia="Calibri" w:hAnsi="Calibri" w:cs="Calibri"/>
                <w:sz w:val="20"/>
                <w:szCs w:val="20"/>
              </w:rPr>
            </w:pPr>
            <w:r w:rsidRPr="000375B9">
              <w:rPr>
                <w:rFonts w:ascii="Calibri" w:eastAsia="Calibri" w:hAnsi="Calibri" w:cs="Calibri"/>
                <w:sz w:val="20"/>
                <w:szCs w:val="20"/>
              </w:rPr>
              <w:t>30,000 f</w:t>
            </w:r>
            <w:r w:rsidR="00F234D7" w:rsidRPr="000375B9">
              <w:rPr>
                <w:rFonts w:ascii="Calibri" w:eastAsia="Calibri" w:hAnsi="Calibri" w:cs="Calibri"/>
                <w:sz w:val="20"/>
                <w:szCs w:val="20"/>
              </w:rPr>
              <w:t xml:space="preserve">ood vouchers </w:t>
            </w:r>
            <w:r w:rsidRPr="000375B9">
              <w:rPr>
                <w:rFonts w:ascii="Calibri" w:eastAsia="Calibri" w:hAnsi="Calibri" w:cs="Calibri"/>
                <w:sz w:val="20"/>
                <w:szCs w:val="20"/>
              </w:rPr>
              <w:t xml:space="preserve">were distributed to </w:t>
            </w:r>
            <w:r w:rsidR="00F234D7" w:rsidRPr="000375B9">
              <w:rPr>
                <w:rFonts w:ascii="Calibri" w:eastAsia="Calibri" w:hAnsi="Calibri" w:cs="Calibri"/>
                <w:sz w:val="20"/>
                <w:szCs w:val="20"/>
              </w:rPr>
              <w:t>families</w:t>
            </w:r>
            <w:r w:rsidR="002611D8" w:rsidRPr="000375B9">
              <w:rPr>
                <w:rFonts w:ascii="Calibri" w:eastAsia="Calibri" w:hAnsi="Calibri" w:cs="Calibri"/>
                <w:sz w:val="20"/>
                <w:szCs w:val="20"/>
              </w:rPr>
              <w:t xml:space="preserve"> in direct need</w:t>
            </w:r>
          </w:p>
          <w:p w14:paraId="23C94A3A" w14:textId="68DB3D0B" w:rsidR="00621CC3" w:rsidRPr="009D09D4" w:rsidRDefault="00621CC3" w:rsidP="009D09D4">
            <w:pPr>
              <w:numPr>
                <w:ilvl w:val="1"/>
                <w:numId w:val="4"/>
              </w:numPr>
              <w:jc w:val="both"/>
              <w:rPr>
                <w:rFonts w:ascii="Calibri" w:eastAsia="Calibri" w:hAnsi="Calibri" w:cs="Calibri"/>
                <w:sz w:val="20"/>
                <w:szCs w:val="20"/>
              </w:rPr>
            </w:pPr>
            <w:r w:rsidRPr="000375B9">
              <w:rPr>
                <w:rFonts w:ascii="Calibri" w:eastAsia="Calibri" w:hAnsi="Calibri" w:cs="Calibri"/>
                <w:sz w:val="20"/>
                <w:szCs w:val="20"/>
              </w:rPr>
              <w:t>Expanded reach of food programs through collaborations with religious bodies</w:t>
            </w:r>
            <w:r w:rsidR="00337375">
              <w:rPr>
                <w:rFonts w:ascii="Calibri" w:eastAsia="Calibri" w:hAnsi="Calibri" w:cs="Calibri"/>
                <w:sz w:val="20"/>
                <w:szCs w:val="20"/>
              </w:rPr>
              <w:t xml:space="preserve">; </w:t>
            </w:r>
            <w:r w:rsidR="00337375" w:rsidRPr="00FB6F58">
              <w:rPr>
                <w:rFonts w:ascii="Calibri" w:eastAsia="Calibri" w:hAnsi="Calibri" w:cs="Calibri"/>
                <w:sz w:val="20"/>
                <w:szCs w:val="20"/>
              </w:rPr>
              <w:t>$30 million for food distribution which in turn distributed 49,330 hampers to needy persons</w:t>
            </w:r>
          </w:p>
          <w:p w14:paraId="518456ED" w14:textId="7A066181" w:rsidR="002611D8" w:rsidRPr="000375B9" w:rsidRDefault="002611D8" w:rsidP="00F234D7">
            <w:pPr>
              <w:numPr>
                <w:ilvl w:val="1"/>
                <w:numId w:val="4"/>
              </w:numPr>
              <w:jc w:val="both"/>
              <w:rPr>
                <w:rFonts w:ascii="Calibri" w:eastAsia="Calibri" w:hAnsi="Calibri" w:cs="Calibri"/>
                <w:sz w:val="20"/>
                <w:szCs w:val="20"/>
              </w:rPr>
            </w:pPr>
            <w:r w:rsidRPr="000375B9">
              <w:rPr>
                <w:rFonts w:ascii="Calibri" w:eastAsia="Calibri" w:hAnsi="Calibri" w:cs="Calibri"/>
                <w:sz w:val="20"/>
                <w:szCs w:val="20"/>
              </w:rPr>
              <w:t>Up to 10,000 families are receiving or will receive rental assistance</w:t>
            </w:r>
          </w:p>
          <w:p w14:paraId="1B2B85C1" w14:textId="55A8FF75" w:rsidR="00AA66F0" w:rsidRDefault="00AA66F0" w:rsidP="0048573E">
            <w:pPr>
              <w:numPr>
                <w:ilvl w:val="1"/>
                <w:numId w:val="4"/>
              </w:numPr>
              <w:jc w:val="both"/>
              <w:rPr>
                <w:rFonts w:ascii="Calibri" w:eastAsia="Calibri" w:hAnsi="Calibri" w:cs="Calibri"/>
                <w:sz w:val="20"/>
                <w:szCs w:val="20"/>
              </w:rPr>
            </w:pPr>
            <w:r w:rsidRPr="00FB6F58">
              <w:rPr>
                <w:rFonts w:ascii="Calibri" w:eastAsia="Calibri" w:hAnsi="Calibri" w:cs="Calibri"/>
                <w:sz w:val="20"/>
                <w:szCs w:val="20"/>
              </w:rPr>
              <w:t xml:space="preserve">small- and medium-enterprises </w:t>
            </w:r>
            <w:r w:rsidR="00D47B42">
              <w:rPr>
                <w:rFonts w:ascii="Calibri" w:eastAsia="Calibri" w:hAnsi="Calibri" w:cs="Calibri"/>
                <w:sz w:val="20"/>
                <w:szCs w:val="20"/>
              </w:rPr>
              <w:t xml:space="preserve">received relief with </w:t>
            </w:r>
            <w:r w:rsidR="00D47B42" w:rsidRPr="00FB6F58">
              <w:rPr>
                <w:rFonts w:ascii="Calibri" w:eastAsia="Calibri" w:hAnsi="Calibri" w:cs="Calibri"/>
                <w:sz w:val="20"/>
                <w:szCs w:val="20"/>
              </w:rPr>
              <w:t xml:space="preserve">5,010 </w:t>
            </w:r>
            <w:r w:rsidRPr="00FB6F58">
              <w:rPr>
                <w:rFonts w:ascii="Calibri" w:eastAsia="Calibri" w:hAnsi="Calibri" w:cs="Calibri"/>
                <w:sz w:val="20"/>
                <w:szCs w:val="20"/>
              </w:rPr>
              <w:t>receiv</w:t>
            </w:r>
            <w:r w:rsidR="00D47B42">
              <w:rPr>
                <w:rFonts w:ascii="Calibri" w:eastAsia="Calibri" w:hAnsi="Calibri" w:cs="Calibri"/>
                <w:sz w:val="20"/>
                <w:szCs w:val="20"/>
              </w:rPr>
              <w:t>ing</w:t>
            </w:r>
            <w:r w:rsidRPr="00FB6F58">
              <w:rPr>
                <w:rFonts w:ascii="Calibri" w:eastAsia="Calibri" w:hAnsi="Calibri" w:cs="Calibri"/>
                <w:sz w:val="20"/>
                <w:szCs w:val="20"/>
              </w:rPr>
              <w:t xml:space="preserve"> in cash accelerated VAT refunds</w:t>
            </w:r>
            <w:r w:rsidR="00D47B42">
              <w:rPr>
                <w:rFonts w:ascii="Calibri" w:eastAsia="Calibri" w:hAnsi="Calibri" w:cs="Calibri"/>
                <w:sz w:val="20"/>
                <w:szCs w:val="20"/>
              </w:rPr>
              <w:t xml:space="preserve"> and </w:t>
            </w:r>
            <w:r w:rsidR="00D47B42" w:rsidRPr="00FB6F58">
              <w:rPr>
                <w:rFonts w:ascii="Calibri" w:eastAsia="Calibri" w:hAnsi="Calibri" w:cs="Calibri"/>
                <w:sz w:val="20"/>
                <w:szCs w:val="20"/>
              </w:rPr>
              <w:t xml:space="preserve">142 </w:t>
            </w:r>
            <w:r w:rsidR="00D47B42">
              <w:rPr>
                <w:rFonts w:ascii="Calibri" w:eastAsia="Calibri" w:hAnsi="Calibri" w:cs="Calibri"/>
                <w:sz w:val="20"/>
                <w:szCs w:val="20"/>
              </w:rPr>
              <w:t>receiv</w:t>
            </w:r>
            <w:r w:rsidR="003B0519">
              <w:rPr>
                <w:rFonts w:ascii="Calibri" w:eastAsia="Calibri" w:hAnsi="Calibri" w:cs="Calibri"/>
                <w:sz w:val="20"/>
                <w:szCs w:val="20"/>
              </w:rPr>
              <w:t xml:space="preserve">ed </w:t>
            </w:r>
            <w:r w:rsidR="00D47B42" w:rsidRPr="00FB6F58">
              <w:rPr>
                <w:rFonts w:ascii="Calibri" w:eastAsia="Calibri" w:hAnsi="Calibri" w:cs="Calibri"/>
                <w:sz w:val="20"/>
                <w:szCs w:val="20"/>
              </w:rPr>
              <w:t>zero interest government-guaranteed loans</w:t>
            </w:r>
          </w:p>
          <w:p w14:paraId="3C65FE42" w14:textId="2FD7F9A0" w:rsidR="00D47B42" w:rsidRDefault="00D47B42" w:rsidP="0048573E">
            <w:pPr>
              <w:numPr>
                <w:ilvl w:val="1"/>
                <w:numId w:val="4"/>
              </w:numPr>
              <w:jc w:val="both"/>
              <w:rPr>
                <w:rFonts w:ascii="Calibri" w:eastAsia="Calibri" w:hAnsi="Calibri" w:cs="Calibri"/>
                <w:sz w:val="20"/>
                <w:szCs w:val="20"/>
              </w:rPr>
            </w:pPr>
            <w:r w:rsidRPr="00FB6F58">
              <w:rPr>
                <w:rFonts w:ascii="Calibri" w:eastAsia="Calibri" w:hAnsi="Calibri" w:cs="Calibri"/>
                <w:sz w:val="20"/>
                <w:szCs w:val="20"/>
              </w:rPr>
              <w:t>460 companies with up to $10 million in refunds per VAT cycle received fully tradable VAT bonds amounting to $3 billion</w:t>
            </w:r>
          </w:p>
          <w:p w14:paraId="29ABBBB6" w14:textId="1025F4C3" w:rsidR="0048573E" w:rsidRDefault="0032645D" w:rsidP="0048573E">
            <w:pPr>
              <w:numPr>
                <w:ilvl w:val="1"/>
                <w:numId w:val="4"/>
              </w:numPr>
              <w:jc w:val="both"/>
              <w:rPr>
                <w:rFonts w:ascii="Calibri" w:eastAsia="Calibri" w:hAnsi="Calibri" w:cs="Calibri"/>
                <w:sz w:val="20"/>
                <w:szCs w:val="20"/>
              </w:rPr>
            </w:pPr>
            <w:r w:rsidRPr="000375B9">
              <w:rPr>
                <w:rFonts w:ascii="Calibri" w:eastAsia="Calibri" w:hAnsi="Calibri" w:cs="Calibri"/>
                <w:sz w:val="20"/>
                <w:szCs w:val="20"/>
              </w:rPr>
              <w:t>Salary Relief Grants to 22,000 to those registered for National Insurance</w:t>
            </w:r>
            <w:r w:rsidR="00670B21" w:rsidRPr="000375B9">
              <w:rPr>
                <w:rFonts w:ascii="Calibri" w:eastAsia="Calibri" w:hAnsi="Calibri" w:cs="Calibri"/>
                <w:sz w:val="20"/>
                <w:szCs w:val="20"/>
              </w:rPr>
              <w:t xml:space="preserve"> and 25,000 Income Support Grants to those outside of the National Insurance </w:t>
            </w:r>
            <w:r w:rsidR="00670B21" w:rsidRPr="000375B9">
              <w:rPr>
                <w:rFonts w:ascii="Calibri" w:eastAsia="Calibri" w:hAnsi="Calibri" w:cs="Calibri"/>
                <w:sz w:val="20"/>
                <w:szCs w:val="20"/>
              </w:rPr>
              <w:lastRenderedPageBreak/>
              <w:t>Scheme. M</w:t>
            </w:r>
            <w:r w:rsidRPr="000375B9">
              <w:rPr>
                <w:rFonts w:ascii="Calibri" w:eastAsia="Calibri" w:hAnsi="Calibri" w:cs="Calibri"/>
                <w:sz w:val="20"/>
                <w:szCs w:val="20"/>
              </w:rPr>
              <w:t>ore are in process</w:t>
            </w:r>
            <w:r w:rsidR="00670B21" w:rsidRPr="000375B9">
              <w:rPr>
                <w:rFonts w:ascii="Calibri" w:eastAsia="Calibri" w:hAnsi="Calibri" w:cs="Calibri"/>
                <w:sz w:val="20"/>
                <w:szCs w:val="20"/>
              </w:rPr>
              <w:t xml:space="preserve"> for both programs.</w:t>
            </w:r>
          </w:p>
          <w:p w14:paraId="14701508" w14:textId="14752ABA" w:rsidR="00DC3FED" w:rsidRDefault="0048573E" w:rsidP="00FB6F58">
            <w:pPr>
              <w:numPr>
                <w:ilvl w:val="0"/>
                <w:numId w:val="4"/>
              </w:numPr>
              <w:jc w:val="both"/>
              <w:rPr>
                <w:rFonts w:ascii="Calibri" w:eastAsia="Calibri" w:hAnsi="Calibri" w:cs="Calibri"/>
                <w:sz w:val="20"/>
                <w:szCs w:val="20"/>
              </w:rPr>
            </w:pPr>
            <w:r w:rsidRPr="0048573E">
              <w:rPr>
                <w:rFonts w:ascii="Calibri" w:eastAsia="Calibri" w:hAnsi="Calibri" w:cs="Calibri"/>
                <w:sz w:val="20"/>
                <w:szCs w:val="20"/>
              </w:rPr>
              <w:t xml:space="preserve">Ministry of Health developed a parallel healthcare system, separating those working with COVID and those addressing other health issues. </w:t>
            </w:r>
          </w:p>
          <w:p w14:paraId="0000005B" w14:textId="3906A4CB" w:rsidR="00C8511B" w:rsidRPr="000375B9" w:rsidRDefault="002624F2" w:rsidP="00FC2F13">
            <w:pPr>
              <w:numPr>
                <w:ilvl w:val="0"/>
                <w:numId w:val="4"/>
              </w:numPr>
              <w:pBdr>
                <w:top w:val="nil"/>
                <w:left w:val="nil"/>
                <w:bottom w:val="nil"/>
                <w:right w:val="nil"/>
                <w:between w:val="nil"/>
              </w:pBdr>
              <w:jc w:val="both"/>
              <w:rPr>
                <w:rFonts w:ascii="Calibri" w:eastAsia="Calibri" w:hAnsi="Calibri" w:cs="Calibri"/>
                <w:color w:val="000000"/>
                <w:sz w:val="20"/>
                <w:szCs w:val="20"/>
              </w:rPr>
            </w:pPr>
            <w:r w:rsidRPr="00FB6F58">
              <w:rPr>
                <w:rFonts w:ascii="Calibri" w:eastAsia="Calibri" w:hAnsi="Calibri" w:cs="Calibri"/>
                <w:sz w:val="20"/>
                <w:szCs w:val="20"/>
              </w:rPr>
              <w:t xml:space="preserve">Increased capacity of the Statistical Office of Curacao (CBS) has improved the agency’s ability to collect, analyze, preserve and disseminate poverty data via their newly transformed data and information management systems and respective operations, enabling the CBS to examine the impact of poverty mitigation policies and providing the Government with evidenced information on the effects of COVID-19 on poverty in the territory </w:t>
            </w:r>
            <w:sdt>
              <w:sdtPr>
                <w:rPr>
                  <w:rFonts w:ascii="Calibri" w:eastAsia="Calibri" w:hAnsi="Calibri" w:cs="Calibri"/>
                  <w:sz w:val="20"/>
                  <w:szCs w:val="20"/>
                </w:rPr>
                <w:tag w:val="goog_rdk_5"/>
                <w:id w:val="1471873395"/>
              </w:sdtPr>
              <w:sdtEndPr/>
              <w:sdtContent/>
            </w:sdt>
            <w:r w:rsidRPr="00FB6F58">
              <w:rPr>
                <w:rFonts w:ascii="Calibri" w:eastAsia="Calibri" w:hAnsi="Calibri" w:cs="Calibri"/>
                <w:sz w:val="20"/>
                <w:szCs w:val="20"/>
              </w:rPr>
              <w:t>(2020)</w:t>
            </w:r>
          </w:p>
        </w:tc>
      </w:tr>
      <w:tr w:rsidR="00A30080" w14:paraId="29048F9E" w14:textId="77777777" w:rsidTr="00F81FC8">
        <w:tc>
          <w:tcPr>
            <w:tcW w:w="14040" w:type="dxa"/>
            <w:gridSpan w:val="5"/>
            <w:shd w:val="clear" w:color="auto" w:fill="auto"/>
          </w:tcPr>
          <w:p w14:paraId="0000005C" w14:textId="77777777" w:rsidR="00C8511B" w:rsidRPr="00286935" w:rsidRDefault="002624F2">
            <w:pPr>
              <w:widowControl/>
              <w:pBdr>
                <w:top w:val="nil"/>
                <w:left w:val="nil"/>
                <w:bottom w:val="nil"/>
                <w:right w:val="nil"/>
                <w:between w:val="nil"/>
              </w:pBdr>
              <w:jc w:val="both"/>
              <w:rPr>
                <w:rFonts w:asciiTheme="minorHAnsi" w:eastAsia="Calibri" w:hAnsiTheme="minorHAnsi" w:cstheme="minorHAnsi"/>
                <w:b/>
                <w:color w:val="000000"/>
                <w:sz w:val="20"/>
                <w:szCs w:val="20"/>
              </w:rPr>
            </w:pPr>
            <w:r w:rsidRPr="00286935">
              <w:rPr>
                <w:rFonts w:asciiTheme="minorHAnsi" w:eastAsia="Calibri" w:hAnsiTheme="minorHAnsi" w:cstheme="minorHAnsi"/>
                <w:b/>
                <w:color w:val="000000"/>
                <w:sz w:val="20"/>
                <w:szCs w:val="20"/>
              </w:rPr>
              <w:lastRenderedPageBreak/>
              <w:t xml:space="preserve">UNDP </w:t>
            </w:r>
            <w:sdt>
              <w:sdtPr>
                <w:rPr>
                  <w:rFonts w:asciiTheme="minorHAnsi" w:hAnsiTheme="minorHAnsi" w:cstheme="minorHAnsi"/>
                  <w:sz w:val="20"/>
                  <w:szCs w:val="20"/>
                </w:rPr>
                <w:tag w:val="goog_rdk_6"/>
                <w:id w:val="1935247539"/>
              </w:sdtPr>
              <w:sdtEndPr/>
              <w:sdtContent/>
            </w:sdt>
            <w:r w:rsidRPr="00286935">
              <w:rPr>
                <w:rFonts w:asciiTheme="minorHAnsi" w:eastAsia="Calibri" w:hAnsiTheme="minorHAnsi" w:cstheme="minorHAnsi"/>
                <w:b/>
                <w:color w:val="000000"/>
                <w:sz w:val="20"/>
                <w:szCs w:val="20"/>
              </w:rPr>
              <w:t>Contribution:</w:t>
            </w:r>
          </w:p>
          <w:p w14:paraId="0000005D" w14:textId="77777777" w:rsidR="00C8511B" w:rsidRPr="00286935" w:rsidRDefault="00C8511B">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0000005E" w14:textId="77777777" w:rsidR="00C8511B" w:rsidRPr="00286935"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286935">
              <w:rPr>
                <w:rFonts w:asciiTheme="minorHAnsi" w:eastAsia="Calibri" w:hAnsiTheme="minorHAnsi" w:cstheme="minorHAnsi"/>
                <w:color w:val="000000"/>
                <w:sz w:val="20"/>
                <w:szCs w:val="20"/>
                <w:u w:val="single"/>
              </w:rPr>
              <w:t>CP Outputs</w:t>
            </w:r>
            <w:r w:rsidRPr="00286935">
              <w:rPr>
                <w:rFonts w:asciiTheme="minorHAnsi" w:eastAsia="Calibri" w:hAnsiTheme="minorHAnsi" w:cstheme="minorHAnsi"/>
                <w:color w:val="000000"/>
                <w:sz w:val="20"/>
                <w:szCs w:val="20"/>
              </w:rPr>
              <w:t>:</w:t>
            </w:r>
          </w:p>
          <w:p w14:paraId="36682E0D" w14:textId="0B6F3E78" w:rsidR="0088609D" w:rsidRDefault="002624F2" w:rsidP="0071486F">
            <w:pPr>
              <w:pStyle w:val="ListParagraph"/>
              <w:widowControl/>
              <w:numPr>
                <w:ilvl w:val="1"/>
                <w:numId w:val="2"/>
              </w:numPr>
              <w:pBdr>
                <w:top w:val="nil"/>
                <w:left w:val="nil"/>
                <w:bottom w:val="nil"/>
                <w:right w:val="nil"/>
                <w:between w:val="nil"/>
              </w:pBdr>
              <w:jc w:val="both"/>
              <w:rPr>
                <w:rFonts w:asciiTheme="minorHAnsi" w:eastAsia="Calibri" w:hAnsiTheme="minorHAnsi" w:cstheme="minorHAnsi"/>
                <w:color w:val="000000"/>
                <w:sz w:val="20"/>
                <w:szCs w:val="20"/>
              </w:rPr>
            </w:pPr>
            <w:r w:rsidRPr="0088609D">
              <w:rPr>
                <w:rFonts w:asciiTheme="minorHAnsi" w:eastAsia="Calibri" w:hAnsiTheme="minorHAnsi" w:cstheme="minorHAnsi"/>
                <w:color w:val="000000"/>
                <w:sz w:val="20"/>
                <w:szCs w:val="20"/>
              </w:rPr>
              <w:t>Contributing to systems to make people less vulnerable to transitional poverty</w:t>
            </w:r>
            <w:r w:rsidR="003600BB">
              <w:rPr>
                <w:rFonts w:asciiTheme="minorHAnsi" w:eastAsia="Calibri" w:hAnsiTheme="minorHAnsi" w:cstheme="minorHAnsi"/>
                <w:color w:val="000000"/>
                <w:sz w:val="20"/>
                <w:szCs w:val="20"/>
              </w:rPr>
              <w:t>, including responsiveness to the impacts of the COVID-19 pandemic</w:t>
            </w:r>
          </w:p>
          <w:p w14:paraId="0000005F" w14:textId="3043EB67" w:rsidR="00C8511B" w:rsidRPr="0088609D" w:rsidRDefault="002624F2" w:rsidP="0071486F">
            <w:pPr>
              <w:pStyle w:val="ListParagraph"/>
              <w:widowControl/>
              <w:numPr>
                <w:ilvl w:val="1"/>
                <w:numId w:val="2"/>
              </w:numPr>
              <w:pBdr>
                <w:top w:val="nil"/>
                <w:left w:val="nil"/>
                <w:bottom w:val="nil"/>
                <w:right w:val="nil"/>
                <w:between w:val="nil"/>
              </w:pBdr>
              <w:jc w:val="both"/>
              <w:rPr>
                <w:rFonts w:asciiTheme="minorHAnsi" w:eastAsia="Calibri" w:hAnsiTheme="minorHAnsi" w:cstheme="minorHAnsi"/>
                <w:color w:val="000000"/>
                <w:sz w:val="20"/>
                <w:szCs w:val="20"/>
              </w:rPr>
            </w:pPr>
            <w:r w:rsidRPr="0088609D">
              <w:rPr>
                <w:rFonts w:asciiTheme="minorHAnsi" w:eastAsia="Calibri" w:hAnsiTheme="minorHAnsi" w:cstheme="minorHAnsi"/>
                <w:color w:val="000000"/>
                <w:sz w:val="20"/>
                <w:szCs w:val="20"/>
              </w:rPr>
              <w:t>Contributing to increased public participation in poverty policy dialogue</w:t>
            </w:r>
          </w:p>
          <w:p w14:paraId="00000060" w14:textId="77777777" w:rsidR="00C8511B" w:rsidRPr="00286935" w:rsidRDefault="00C8511B">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00000061" w14:textId="77777777" w:rsidR="00C8511B" w:rsidRPr="00286935"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286935">
              <w:rPr>
                <w:rFonts w:asciiTheme="minorHAnsi" w:eastAsia="Calibri" w:hAnsiTheme="minorHAnsi" w:cstheme="minorHAnsi"/>
                <w:color w:val="000000"/>
                <w:sz w:val="20"/>
                <w:szCs w:val="20"/>
                <w:u w:val="single"/>
              </w:rPr>
              <w:t>Progress and Achievements</w:t>
            </w:r>
            <w:r w:rsidRPr="00286935">
              <w:rPr>
                <w:rFonts w:asciiTheme="minorHAnsi" w:eastAsia="Calibri" w:hAnsiTheme="minorHAnsi" w:cstheme="minorHAnsi"/>
                <w:color w:val="000000"/>
                <w:sz w:val="20"/>
                <w:szCs w:val="20"/>
              </w:rPr>
              <w:t>:</w:t>
            </w:r>
          </w:p>
          <w:p w14:paraId="00000062" w14:textId="37564BA7" w:rsidR="00C8511B" w:rsidRDefault="00C8511B">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1B5E4029" w14:textId="15AD30BC" w:rsidR="001622C5" w:rsidRPr="005F40B8" w:rsidRDefault="001622C5" w:rsidP="001622C5">
            <w:pPr>
              <w:pBdr>
                <w:top w:val="nil"/>
                <w:left w:val="nil"/>
                <w:bottom w:val="nil"/>
                <w:right w:val="nil"/>
                <w:between w:val="nil"/>
              </w:pBdr>
              <w:jc w:val="both"/>
              <w:rPr>
                <w:rFonts w:asciiTheme="minorHAnsi" w:eastAsia="Calibri" w:hAnsiTheme="minorHAnsi" w:cstheme="minorHAnsi"/>
                <w:i/>
                <w:iCs/>
                <w:sz w:val="20"/>
                <w:szCs w:val="20"/>
              </w:rPr>
            </w:pPr>
            <w:r w:rsidRPr="005F40B8">
              <w:rPr>
                <w:rFonts w:asciiTheme="minorHAnsi" w:eastAsia="Calibri" w:hAnsiTheme="minorHAnsi" w:cstheme="minorHAnsi"/>
                <w:i/>
                <w:iCs/>
                <w:sz w:val="20"/>
                <w:szCs w:val="20"/>
              </w:rPr>
              <w:t>Multidimensional Poverty Support</w:t>
            </w:r>
          </w:p>
          <w:p w14:paraId="30334E6D" w14:textId="3B5472EE" w:rsidR="00946D97" w:rsidRDefault="00946D97" w:rsidP="001622C5">
            <w:pPr>
              <w:pBdr>
                <w:top w:val="nil"/>
                <w:left w:val="nil"/>
                <w:bottom w:val="nil"/>
                <w:right w:val="nil"/>
                <w:between w:val="nil"/>
              </w:pBdr>
              <w:jc w:val="both"/>
              <w:rPr>
                <w:rFonts w:asciiTheme="minorHAnsi" w:eastAsia="Calibri" w:hAnsiTheme="minorHAnsi" w:cstheme="minorHAnsi"/>
                <w:sz w:val="20"/>
                <w:szCs w:val="20"/>
              </w:rPr>
            </w:pPr>
          </w:p>
          <w:p w14:paraId="083629D6" w14:textId="7A438923" w:rsidR="00736589" w:rsidRPr="001757E7" w:rsidRDefault="006E5BCD" w:rsidP="00D00E3B">
            <w:pPr>
              <w:pStyle w:val="ListParagraph"/>
              <w:numPr>
                <w:ilvl w:val="0"/>
                <w:numId w:val="31"/>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In Trinidad and Tobago, t</w:t>
            </w:r>
            <w:r w:rsidR="00B87A9B">
              <w:rPr>
                <w:rFonts w:asciiTheme="minorHAnsi" w:eastAsia="Calibri" w:hAnsiTheme="minorHAnsi" w:cstheme="minorHAnsi"/>
                <w:color w:val="000000"/>
                <w:sz w:val="20"/>
                <w:szCs w:val="20"/>
              </w:rPr>
              <w:t xml:space="preserve">echnical support in research and analysis enhanced evidence-based planning and program design. </w:t>
            </w:r>
            <w:r>
              <w:rPr>
                <w:rFonts w:asciiTheme="minorHAnsi" w:eastAsia="Calibri" w:hAnsiTheme="minorHAnsi" w:cstheme="minorHAnsi"/>
                <w:color w:val="000000"/>
                <w:sz w:val="20"/>
                <w:szCs w:val="20"/>
              </w:rPr>
              <w:t xml:space="preserve">With support from UNDP, the Ministry of Social Development </w:t>
            </w:r>
            <w:r w:rsidR="004A124A">
              <w:rPr>
                <w:rFonts w:asciiTheme="minorHAnsi" w:eastAsia="Calibri" w:hAnsiTheme="minorHAnsi" w:cstheme="minorHAnsi"/>
                <w:color w:val="000000"/>
                <w:sz w:val="20"/>
                <w:szCs w:val="20"/>
              </w:rPr>
              <w:t>(</w:t>
            </w:r>
            <w:r w:rsidR="0047364E">
              <w:rPr>
                <w:rFonts w:asciiTheme="minorHAnsi" w:eastAsia="Calibri" w:hAnsiTheme="minorHAnsi" w:cstheme="minorHAnsi"/>
                <w:color w:val="000000"/>
                <w:sz w:val="20"/>
                <w:szCs w:val="20"/>
              </w:rPr>
              <w:t>MSDFS</w:t>
            </w:r>
            <w:r w:rsidR="004A124A">
              <w:rPr>
                <w:rFonts w:asciiTheme="minorHAnsi" w:eastAsia="Calibri" w:hAnsiTheme="minorHAnsi" w:cstheme="minorHAnsi"/>
                <w:color w:val="000000"/>
                <w:sz w:val="20"/>
                <w:szCs w:val="20"/>
              </w:rPr>
              <w:t>)</w:t>
            </w:r>
            <w:r w:rsidR="0047364E">
              <w:rPr>
                <w:rFonts w:asciiTheme="minorHAnsi" w:eastAsia="Calibri" w:hAnsiTheme="minorHAnsi" w:cstheme="minorHAnsi"/>
                <w:color w:val="000000"/>
                <w:sz w:val="20"/>
                <w:szCs w:val="20"/>
              </w:rPr>
              <w:t xml:space="preserve"> developed a comprehensive </w:t>
            </w:r>
            <w:r w:rsidR="00816CE4">
              <w:rPr>
                <w:rFonts w:asciiTheme="minorHAnsi" w:eastAsia="Calibri" w:hAnsiTheme="minorHAnsi" w:cstheme="minorHAnsi"/>
                <w:color w:val="000000"/>
                <w:sz w:val="20"/>
                <w:szCs w:val="20"/>
              </w:rPr>
              <w:t xml:space="preserve">Social Mitigation Plan </w:t>
            </w:r>
            <w:r w:rsidR="0047364E">
              <w:rPr>
                <w:rFonts w:asciiTheme="minorHAnsi" w:eastAsia="Calibri" w:hAnsiTheme="minorHAnsi" w:cstheme="minorHAnsi"/>
                <w:color w:val="000000"/>
                <w:sz w:val="20"/>
                <w:szCs w:val="20"/>
              </w:rPr>
              <w:t xml:space="preserve">with inputs from </w:t>
            </w:r>
            <w:r w:rsidR="00816CE4">
              <w:rPr>
                <w:rFonts w:asciiTheme="minorHAnsi" w:eastAsia="Calibri" w:hAnsiTheme="minorHAnsi" w:cstheme="minorHAnsi"/>
                <w:color w:val="000000"/>
                <w:sz w:val="20"/>
                <w:szCs w:val="20"/>
              </w:rPr>
              <w:t>UNDP and other key stakeholders</w:t>
            </w:r>
            <w:r w:rsidR="0047364E">
              <w:rPr>
                <w:rFonts w:asciiTheme="minorHAnsi" w:eastAsia="Calibri" w:hAnsiTheme="minorHAnsi" w:cstheme="minorHAnsi"/>
                <w:color w:val="000000"/>
                <w:sz w:val="20"/>
                <w:szCs w:val="20"/>
              </w:rPr>
              <w:t xml:space="preserve">. </w:t>
            </w:r>
            <w:r w:rsidR="00D111BF">
              <w:rPr>
                <w:rFonts w:asciiTheme="minorHAnsi" w:eastAsia="Calibri" w:hAnsiTheme="minorHAnsi" w:cstheme="minorHAnsi"/>
                <w:color w:val="000000"/>
                <w:sz w:val="20"/>
                <w:szCs w:val="20"/>
              </w:rPr>
              <w:t xml:space="preserve"> Through the development of</w:t>
            </w:r>
            <w:r w:rsidR="00EC257B">
              <w:rPr>
                <w:rFonts w:asciiTheme="minorHAnsi" w:eastAsia="Calibri" w:hAnsiTheme="minorHAnsi" w:cstheme="minorHAnsi"/>
                <w:color w:val="000000"/>
                <w:sz w:val="20"/>
                <w:szCs w:val="20"/>
              </w:rPr>
              <w:t xml:space="preserve"> a </w:t>
            </w:r>
            <w:r w:rsidR="002D6DE8" w:rsidRPr="00736589">
              <w:rPr>
                <w:rFonts w:asciiTheme="minorHAnsi" w:eastAsia="Calibri" w:hAnsiTheme="minorHAnsi" w:cstheme="minorHAnsi"/>
                <w:sz w:val="20"/>
                <w:szCs w:val="20"/>
              </w:rPr>
              <w:t xml:space="preserve">study </w:t>
            </w:r>
            <w:r w:rsidR="00B8006C">
              <w:rPr>
                <w:rFonts w:asciiTheme="minorHAnsi" w:eastAsia="Calibri" w:hAnsiTheme="minorHAnsi" w:cstheme="minorHAnsi"/>
                <w:sz w:val="20"/>
                <w:szCs w:val="20"/>
              </w:rPr>
              <w:t>analyzing people’s p</w:t>
            </w:r>
            <w:r w:rsidR="00B8006C" w:rsidRPr="00736589">
              <w:rPr>
                <w:rFonts w:asciiTheme="minorHAnsi" w:eastAsia="Calibri" w:hAnsiTheme="minorHAnsi" w:cstheme="minorHAnsi"/>
                <w:color w:val="000000"/>
                <w:sz w:val="20"/>
                <w:szCs w:val="20"/>
              </w:rPr>
              <w:t xml:space="preserve">erceptions of </w:t>
            </w:r>
            <w:r w:rsidR="00956168">
              <w:rPr>
                <w:rFonts w:asciiTheme="minorHAnsi" w:eastAsia="Calibri" w:hAnsiTheme="minorHAnsi" w:cstheme="minorHAnsi"/>
                <w:color w:val="000000"/>
                <w:sz w:val="20"/>
                <w:szCs w:val="20"/>
              </w:rPr>
              <w:t xml:space="preserve">multi-dimensional </w:t>
            </w:r>
            <w:r w:rsidR="00B8006C">
              <w:rPr>
                <w:rFonts w:asciiTheme="minorHAnsi" w:eastAsia="Calibri" w:hAnsiTheme="minorHAnsi" w:cstheme="minorHAnsi"/>
                <w:color w:val="000000"/>
                <w:sz w:val="20"/>
                <w:szCs w:val="20"/>
              </w:rPr>
              <w:t>p</w:t>
            </w:r>
            <w:r w:rsidR="00B8006C" w:rsidRPr="00736589">
              <w:rPr>
                <w:rFonts w:asciiTheme="minorHAnsi" w:eastAsia="Calibri" w:hAnsiTheme="minorHAnsi" w:cstheme="minorHAnsi"/>
                <w:color w:val="000000"/>
                <w:sz w:val="20"/>
                <w:szCs w:val="20"/>
              </w:rPr>
              <w:t>overty</w:t>
            </w:r>
            <w:r w:rsidR="00EC257B">
              <w:rPr>
                <w:rFonts w:asciiTheme="minorHAnsi" w:eastAsia="Calibri" w:hAnsiTheme="minorHAnsi" w:cstheme="minorHAnsi"/>
                <w:color w:val="000000"/>
                <w:sz w:val="20"/>
                <w:szCs w:val="20"/>
              </w:rPr>
              <w:t>,</w:t>
            </w:r>
            <w:r w:rsidR="00B8006C">
              <w:rPr>
                <w:rFonts w:asciiTheme="minorHAnsi" w:eastAsia="Calibri" w:hAnsiTheme="minorHAnsi" w:cstheme="minorHAnsi"/>
                <w:color w:val="000000"/>
                <w:sz w:val="20"/>
                <w:szCs w:val="20"/>
              </w:rPr>
              <w:t xml:space="preserve"> </w:t>
            </w:r>
            <w:r w:rsidR="002533D4">
              <w:rPr>
                <w:rFonts w:asciiTheme="minorHAnsi" w:eastAsia="Calibri" w:hAnsiTheme="minorHAnsi" w:cstheme="minorHAnsi"/>
                <w:color w:val="000000"/>
                <w:sz w:val="20"/>
                <w:szCs w:val="20"/>
              </w:rPr>
              <w:t xml:space="preserve">government officials’ </w:t>
            </w:r>
            <w:r w:rsidR="002533D4" w:rsidRPr="00736589">
              <w:rPr>
                <w:rFonts w:asciiTheme="minorHAnsi" w:eastAsia="Calibri" w:hAnsiTheme="minorHAnsi" w:cstheme="minorHAnsi"/>
                <w:color w:val="000000"/>
                <w:sz w:val="20"/>
                <w:szCs w:val="20"/>
              </w:rPr>
              <w:t xml:space="preserve">awareness </w:t>
            </w:r>
            <w:r w:rsidR="00EC257B">
              <w:rPr>
                <w:rFonts w:asciiTheme="minorHAnsi" w:eastAsia="Calibri" w:hAnsiTheme="minorHAnsi" w:cstheme="minorHAnsi"/>
                <w:color w:val="000000"/>
                <w:sz w:val="20"/>
                <w:szCs w:val="20"/>
              </w:rPr>
              <w:t xml:space="preserve">was raised on </w:t>
            </w:r>
            <w:r w:rsidR="002533D4">
              <w:rPr>
                <w:rFonts w:asciiTheme="minorHAnsi" w:eastAsia="Calibri" w:hAnsiTheme="minorHAnsi" w:cstheme="minorHAnsi"/>
                <w:color w:val="000000"/>
                <w:sz w:val="20"/>
                <w:szCs w:val="20"/>
              </w:rPr>
              <w:t xml:space="preserve">the complexity of poverty alleviation leading to a common understanding that there was a </w:t>
            </w:r>
            <w:r w:rsidR="00B8006C" w:rsidRPr="00736589">
              <w:rPr>
                <w:rFonts w:asciiTheme="minorHAnsi" w:eastAsia="Calibri" w:hAnsiTheme="minorHAnsi" w:cstheme="minorHAnsi"/>
                <w:color w:val="000000"/>
                <w:sz w:val="20"/>
                <w:szCs w:val="20"/>
              </w:rPr>
              <w:t xml:space="preserve">need </w:t>
            </w:r>
            <w:r w:rsidR="00B8006C">
              <w:rPr>
                <w:rFonts w:asciiTheme="minorHAnsi" w:eastAsia="Calibri" w:hAnsiTheme="minorHAnsi" w:cstheme="minorHAnsi"/>
                <w:color w:val="000000"/>
                <w:sz w:val="20"/>
                <w:szCs w:val="20"/>
              </w:rPr>
              <w:t xml:space="preserve">for </w:t>
            </w:r>
            <w:r w:rsidR="00B8006C" w:rsidRPr="00736589">
              <w:rPr>
                <w:rFonts w:asciiTheme="minorHAnsi" w:eastAsia="Calibri" w:hAnsiTheme="minorHAnsi" w:cstheme="minorHAnsi"/>
                <w:color w:val="000000"/>
                <w:sz w:val="20"/>
                <w:szCs w:val="20"/>
              </w:rPr>
              <w:t>a national Multi-dimensional Poverty Index (MPI) and the need for greater coordination of social protection throughout Trinidad and Tobago</w:t>
            </w:r>
            <w:r w:rsidR="00B8006C">
              <w:rPr>
                <w:rFonts w:asciiTheme="minorHAnsi" w:eastAsia="Calibri" w:hAnsiTheme="minorHAnsi" w:cstheme="minorHAnsi"/>
                <w:color w:val="000000"/>
                <w:sz w:val="20"/>
                <w:szCs w:val="20"/>
              </w:rPr>
              <w:t xml:space="preserve">. </w:t>
            </w:r>
            <w:r w:rsidR="00D111BF">
              <w:rPr>
                <w:rFonts w:asciiTheme="minorHAnsi" w:eastAsia="Calibri" w:hAnsiTheme="minorHAnsi" w:cstheme="minorHAnsi"/>
                <w:color w:val="000000"/>
                <w:sz w:val="20"/>
                <w:szCs w:val="20"/>
              </w:rPr>
              <w:t>This project remains a top priority for MSDF</w:t>
            </w:r>
            <w:r w:rsidR="00756827">
              <w:rPr>
                <w:rFonts w:asciiTheme="minorHAnsi" w:eastAsia="Calibri" w:hAnsiTheme="minorHAnsi" w:cstheme="minorHAnsi"/>
                <w:color w:val="000000"/>
                <w:sz w:val="20"/>
                <w:szCs w:val="20"/>
              </w:rPr>
              <w:t>S</w:t>
            </w:r>
            <w:r w:rsidR="00D111BF">
              <w:rPr>
                <w:rFonts w:asciiTheme="minorHAnsi" w:eastAsia="Calibri" w:hAnsiTheme="minorHAnsi" w:cstheme="minorHAnsi"/>
                <w:color w:val="000000"/>
                <w:sz w:val="20"/>
                <w:szCs w:val="20"/>
              </w:rPr>
              <w:t xml:space="preserve"> and is pending approval. </w:t>
            </w:r>
            <w:r w:rsidR="00666ADC">
              <w:rPr>
                <w:rFonts w:asciiTheme="minorHAnsi" w:eastAsia="Calibri" w:hAnsiTheme="minorHAnsi" w:cstheme="minorHAnsi"/>
                <w:color w:val="000000"/>
                <w:sz w:val="20"/>
                <w:szCs w:val="20"/>
              </w:rPr>
              <w:t xml:space="preserve">In </w:t>
            </w:r>
            <w:r w:rsidR="00666ADC" w:rsidRPr="00736589">
              <w:rPr>
                <w:rFonts w:asciiTheme="minorHAnsi" w:eastAsia="Calibri" w:hAnsiTheme="minorHAnsi" w:cstheme="minorHAnsi"/>
                <w:color w:val="000000"/>
                <w:sz w:val="20"/>
                <w:szCs w:val="20"/>
              </w:rPr>
              <w:t>Cura</w:t>
            </w:r>
            <w:r w:rsidR="00666ADC">
              <w:rPr>
                <w:rFonts w:asciiTheme="minorHAnsi" w:eastAsia="Calibri" w:hAnsiTheme="minorHAnsi" w:cstheme="minorHAnsi"/>
                <w:color w:val="000000"/>
                <w:sz w:val="20"/>
                <w:szCs w:val="20"/>
              </w:rPr>
              <w:t>ç</w:t>
            </w:r>
            <w:r w:rsidR="00666ADC" w:rsidRPr="00736589">
              <w:rPr>
                <w:rFonts w:asciiTheme="minorHAnsi" w:eastAsia="Calibri" w:hAnsiTheme="minorHAnsi" w:cstheme="minorHAnsi"/>
                <w:color w:val="000000"/>
                <w:sz w:val="20"/>
                <w:szCs w:val="20"/>
              </w:rPr>
              <w:t>ao</w:t>
            </w:r>
            <w:r w:rsidR="00666ADC">
              <w:rPr>
                <w:rFonts w:asciiTheme="minorHAnsi" w:eastAsia="Calibri" w:hAnsiTheme="minorHAnsi" w:cstheme="minorHAnsi"/>
                <w:color w:val="000000"/>
                <w:sz w:val="20"/>
                <w:szCs w:val="20"/>
              </w:rPr>
              <w:t xml:space="preserve">, </w:t>
            </w:r>
            <w:r w:rsidR="00666ADC">
              <w:rPr>
                <w:rFonts w:asciiTheme="minorHAnsi" w:eastAsia="Calibri" w:hAnsiTheme="minorHAnsi" w:cstheme="minorHAnsi"/>
                <w:sz w:val="20"/>
                <w:szCs w:val="20"/>
              </w:rPr>
              <w:t>capacity building support for the</w:t>
            </w:r>
            <w:r w:rsidR="00666ADC" w:rsidRPr="00736589">
              <w:rPr>
                <w:rFonts w:asciiTheme="minorHAnsi" w:eastAsia="Calibri" w:hAnsiTheme="minorHAnsi" w:cstheme="minorHAnsi"/>
                <w:color w:val="000000"/>
                <w:sz w:val="20"/>
                <w:szCs w:val="20"/>
              </w:rPr>
              <w:t xml:space="preserve"> National Statistical Office </w:t>
            </w:r>
            <w:r w:rsidR="00666ADC">
              <w:rPr>
                <w:rFonts w:asciiTheme="minorHAnsi" w:eastAsia="Calibri" w:hAnsiTheme="minorHAnsi" w:cstheme="minorHAnsi"/>
                <w:color w:val="000000"/>
                <w:sz w:val="20"/>
                <w:szCs w:val="20"/>
              </w:rPr>
              <w:t xml:space="preserve">in </w:t>
            </w:r>
            <w:r w:rsidR="00666ADC" w:rsidRPr="00736589">
              <w:rPr>
                <w:rFonts w:asciiTheme="minorHAnsi" w:eastAsia="Calibri" w:hAnsiTheme="minorHAnsi" w:cstheme="minorHAnsi"/>
                <w:color w:val="000000"/>
                <w:sz w:val="20"/>
                <w:szCs w:val="20"/>
              </w:rPr>
              <w:t>collect</w:t>
            </w:r>
            <w:r w:rsidR="00666ADC">
              <w:rPr>
                <w:rFonts w:asciiTheme="minorHAnsi" w:eastAsia="Calibri" w:hAnsiTheme="minorHAnsi" w:cstheme="minorHAnsi"/>
                <w:color w:val="000000"/>
                <w:sz w:val="20"/>
                <w:szCs w:val="20"/>
              </w:rPr>
              <w:t>ing</w:t>
            </w:r>
            <w:r w:rsidR="00666ADC" w:rsidRPr="00736589">
              <w:rPr>
                <w:rFonts w:asciiTheme="minorHAnsi" w:eastAsia="Calibri" w:hAnsiTheme="minorHAnsi" w:cstheme="minorHAnsi"/>
                <w:color w:val="000000"/>
                <w:sz w:val="20"/>
                <w:szCs w:val="20"/>
              </w:rPr>
              <w:t>, analyz</w:t>
            </w:r>
            <w:r w:rsidR="00666ADC">
              <w:rPr>
                <w:rFonts w:asciiTheme="minorHAnsi" w:eastAsia="Calibri" w:hAnsiTheme="minorHAnsi" w:cstheme="minorHAnsi"/>
                <w:color w:val="000000"/>
                <w:sz w:val="20"/>
                <w:szCs w:val="20"/>
              </w:rPr>
              <w:t>ing</w:t>
            </w:r>
            <w:r w:rsidR="00666ADC" w:rsidRPr="00736589">
              <w:rPr>
                <w:rFonts w:asciiTheme="minorHAnsi" w:eastAsia="Calibri" w:hAnsiTheme="minorHAnsi" w:cstheme="minorHAnsi"/>
                <w:color w:val="000000"/>
                <w:sz w:val="20"/>
                <w:szCs w:val="20"/>
              </w:rPr>
              <w:t xml:space="preserve"> and distribut</w:t>
            </w:r>
            <w:r w:rsidR="00666ADC">
              <w:rPr>
                <w:rFonts w:asciiTheme="minorHAnsi" w:eastAsia="Calibri" w:hAnsiTheme="minorHAnsi" w:cstheme="minorHAnsi"/>
                <w:color w:val="000000"/>
                <w:sz w:val="20"/>
                <w:szCs w:val="20"/>
              </w:rPr>
              <w:t>ing</w:t>
            </w:r>
            <w:r w:rsidR="00666ADC" w:rsidRPr="00736589">
              <w:rPr>
                <w:rFonts w:asciiTheme="minorHAnsi" w:eastAsia="Calibri" w:hAnsiTheme="minorHAnsi" w:cstheme="minorHAnsi"/>
                <w:color w:val="000000"/>
                <w:sz w:val="20"/>
                <w:szCs w:val="20"/>
              </w:rPr>
              <w:t xml:space="preserve"> poverty data </w:t>
            </w:r>
            <w:r w:rsidR="00666ADC">
              <w:rPr>
                <w:rFonts w:asciiTheme="minorHAnsi" w:eastAsia="Calibri" w:hAnsiTheme="minorHAnsi" w:cstheme="minorHAnsi"/>
                <w:color w:val="000000"/>
                <w:sz w:val="20"/>
                <w:szCs w:val="20"/>
              </w:rPr>
              <w:t>improved the government and other stakeholders’ ability to develop more relevant and effective programming</w:t>
            </w:r>
            <w:r w:rsidR="00666ADC" w:rsidRPr="00736589">
              <w:rPr>
                <w:rFonts w:asciiTheme="minorHAnsi" w:eastAsia="Calibri" w:hAnsiTheme="minorHAnsi" w:cstheme="minorHAnsi"/>
                <w:color w:val="000000"/>
                <w:sz w:val="20"/>
                <w:szCs w:val="20"/>
              </w:rPr>
              <w:t>.</w:t>
            </w:r>
          </w:p>
          <w:p w14:paraId="7C1A6D16" w14:textId="56FBFE2C" w:rsidR="000A5807" w:rsidRPr="00FF4BA8" w:rsidRDefault="001757E7" w:rsidP="004C1095">
            <w:pPr>
              <w:numPr>
                <w:ilvl w:val="0"/>
                <w:numId w:val="31"/>
              </w:numPr>
              <w:pBdr>
                <w:top w:val="nil"/>
                <w:left w:val="nil"/>
                <w:bottom w:val="nil"/>
                <w:right w:val="nil"/>
                <w:between w:val="nil"/>
              </w:pBdr>
              <w:jc w:val="both"/>
              <w:rPr>
                <w:rFonts w:asciiTheme="minorHAnsi" w:hAnsiTheme="minorHAnsi" w:cstheme="minorHAnsi"/>
                <w:sz w:val="20"/>
                <w:szCs w:val="20"/>
              </w:rPr>
            </w:pPr>
            <w:r>
              <w:rPr>
                <w:rFonts w:asciiTheme="minorHAnsi" w:eastAsia="Calibri" w:hAnsiTheme="minorHAnsi" w:cstheme="minorHAnsi"/>
                <w:sz w:val="20"/>
                <w:szCs w:val="20"/>
              </w:rPr>
              <w:t>Responding to</w:t>
            </w:r>
            <w:r w:rsidR="009F10A8">
              <w:rPr>
                <w:rFonts w:asciiTheme="minorHAnsi" w:eastAsia="Calibri" w:hAnsiTheme="minorHAnsi" w:cstheme="minorHAnsi"/>
                <w:sz w:val="20"/>
                <w:szCs w:val="20"/>
              </w:rPr>
              <w:t xml:space="preserve"> the impacts of</w:t>
            </w:r>
            <w:r>
              <w:rPr>
                <w:rFonts w:asciiTheme="minorHAnsi" w:eastAsia="Calibri" w:hAnsiTheme="minorHAnsi" w:cstheme="minorHAnsi"/>
                <w:sz w:val="20"/>
                <w:szCs w:val="20"/>
              </w:rPr>
              <w:t xml:space="preserve"> COVID</w:t>
            </w:r>
            <w:r w:rsidR="009F10A8">
              <w:rPr>
                <w:rFonts w:asciiTheme="minorHAnsi" w:eastAsia="Calibri" w:hAnsiTheme="minorHAnsi" w:cstheme="minorHAnsi"/>
                <w:sz w:val="20"/>
                <w:szCs w:val="20"/>
              </w:rPr>
              <w:t>-19</w:t>
            </w:r>
            <w:r>
              <w:rPr>
                <w:rFonts w:asciiTheme="minorHAnsi" w:eastAsia="Calibri" w:hAnsiTheme="minorHAnsi" w:cstheme="minorHAnsi"/>
                <w:sz w:val="20"/>
                <w:szCs w:val="20"/>
              </w:rPr>
              <w:t xml:space="preserve">, </w:t>
            </w:r>
            <w:r w:rsidR="009F10A8">
              <w:rPr>
                <w:rFonts w:asciiTheme="minorHAnsi" w:eastAsia="Calibri" w:hAnsiTheme="minorHAnsi" w:cstheme="minorHAnsi"/>
                <w:sz w:val="20"/>
                <w:szCs w:val="20"/>
              </w:rPr>
              <w:t>UNDP quickly adapted its ongoing work with the government</w:t>
            </w:r>
            <w:r w:rsidR="00FA3F8C">
              <w:rPr>
                <w:rFonts w:asciiTheme="minorHAnsi" w:eastAsia="Calibri" w:hAnsiTheme="minorHAnsi" w:cstheme="minorHAnsi"/>
                <w:sz w:val="20"/>
                <w:szCs w:val="20"/>
              </w:rPr>
              <w:t>,</w:t>
            </w:r>
            <w:r w:rsidR="009F10A8">
              <w:rPr>
                <w:rFonts w:asciiTheme="minorHAnsi" w:eastAsia="Calibri" w:hAnsiTheme="minorHAnsi" w:cstheme="minorHAnsi"/>
                <w:sz w:val="20"/>
                <w:szCs w:val="20"/>
              </w:rPr>
              <w:t xml:space="preserve"> </w:t>
            </w:r>
            <w:r w:rsidR="00FA3F8C" w:rsidRPr="00C00868">
              <w:rPr>
                <w:rFonts w:asciiTheme="minorHAnsi" w:eastAsia="Calibri" w:hAnsiTheme="minorHAnsi" w:cstheme="minorHAnsi"/>
                <w:sz w:val="20"/>
                <w:szCs w:val="20"/>
              </w:rPr>
              <w:t xml:space="preserve">supporting the identification of vulnerable groups, call centers for </w:t>
            </w:r>
            <w:r w:rsidR="00956168">
              <w:rPr>
                <w:rFonts w:asciiTheme="minorHAnsi" w:eastAsia="Calibri" w:hAnsiTheme="minorHAnsi" w:cstheme="minorHAnsi"/>
                <w:sz w:val="20"/>
                <w:szCs w:val="20"/>
              </w:rPr>
              <w:t>persons with disabilities, specifically those who are deaf or hard of hearing</w:t>
            </w:r>
            <w:r w:rsidR="00FA3F8C" w:rsidRPr="00C00868">
              <w:rPr>
                <w:rFonts w:asciiTheme="minorHAnsi" w:eastAsia="Calibri" w:hAnsiTheme="minorHAnsi" w:cstheme="minorHAnsi"/>
                <w:sz w:val="20"/>
                <w:szCs w:val="20"/>
              </w:rPr>
              <w:t xml:space="preserve"> to receive social assistance. </w:t>
            </w:r>
            <w:r w:rsidR="00956168">
              <w:rPr>
                <w:rFonts w:asciiTheme="minorHAnsi" w:eastAsia="Calibri" w:hAnsiTheme="minorHAnsi" w:cstheme="minorHAnsi"/>
                <w:sz w:val="20"/>
                <w:szCs w:val="20"/>
              </w:rPr>
              <w:t xml:space="preserve">This was done through the use of </w:t>
            </w:r>
            <w:r w:rsidR="00843D7D">
              <w:rPr>
                <w:rFonts w:asciiTheme="minorHAnsi" w:eastAsia="Calibri" w:hAnsiTheme="minorHAnsi" w:cstheme="minorHAnsi"/>
                <w:sz w:val="20"/>
                <w:szCs w:val="20"/>
              </w:rPr>
              <w:t>video relay calls to the MSDFS through the Caribbean Sign Language Centre (CSLC)</w:t>
            </w:r>
            <w:r w:rsidR="00CC70B8">
              <w:rPr>
                <w:rFonts w:asciiTheme="minorHAnsi" w:eastAsia="Calibri" w:hAnsiTheme="minorHAnsi" w:cstheme="minorHAnsi"/>
                <w:sz w:val="20"/>
                <w:szCs w:val="20"/>
              </w:rPr>
              <w:t>.  Prior to COVID-19, 32% of the respondents worked in service industry, and 63%</w:t>
            </w:r>
            <w:r w:rsidR="00FA3F8C" w:rsidRPr="00C00868">
              <w:rPr>
                <w:rFonts w:asciiTheme="minorHAnsi" w:eastAsia="Calibri" w:hAnsiTheme="minorHAnsi" w:cstheme="minorHAnsi"/>
                <w:sz w:val="20"/>
                <w:szCs w:val="20"/>
              </w:rPr>
              <w:t xml:space="preserve"> </w:t>
            </w:r>
            <w:r w:rsidR="00CC70B8">
              <w:rPr>
                <w:rFonts w:asciiTheme="minorHAnsi" w:eastAsia="Calibri" w:hAnsiTheme="minorHAnsi" w:cstheme="minorHAnsi"/>
                <w:sz w:val="20"/>
                <w:szCs w:val="20"/>
              </w:rPr>
              <w:t>of respondents indicated that their household incomes have been reduced after the COVID-19 pandemic.</w:t>
            </w:r>
            <w:r w:rsidR="00FA3F8C" w:rsidRPr="00C00868">
              <w:rPr>
                <w:rFonts w:asciiTheme="minorHAnsi" w:eastAsia="Calibri" w:hAnsiTheme="minorHAnsi" w:cstheme="minorHAnsi"/>
                <w:sz w:val="20"/>
                <w:szCs w:val="20"/>
              </w:rPr>
              <w:t xml:space="preserve">  </w:t>
            </w:r>
            <w:r w:rsidR="00FA3F8C" w:rsidRPr="00C00868">
              <w:rPr>
                <w:rFonts w:ascii="Calibri" w:eastAsia="Calibri" w:hAnsi="Calibri" w:cs="Calibri"/>
                <w:sz w:val="20"/>
                <w:szCs w:val="20"/>
              </w:rPr>
              <w:t>UNDP is also providing technical support to the national efforts led</w:t>
            </w:r>
            <w:r w:rsidR="00E41840">
              <w:rPr>
                <w:rFonts w:ascii="Calibri" w:eastAsia="Calibri" w:hAnsi="Calibri" w:cs="Calibri"/>
                <w:sz w:val="20"/>
                <w:szCs w:val="20"/>
              </w:rPr>
              <w:t xml:space="preserve"> by</w:t>
            </w:r>
            <w:r w:rsidR="00FA3F8C" w:rsidRPr="00C00868">
              <w:rPr>
                <w:rFonts w:ascii="Calibri" w:eastAsia="Calibri" w:hAnsi="Calibri" w:cs="Calibri"/>
                <w:sz w:val="20"/>
                <w:szCs w:val="20"/>
              </w:rPr>
              <w:t xml:space="preserve"> MSDFS to </w:t>
            </w:r>
            <w:r w:rsidR="00FA3F8C" w:rsidRPr="00C00868">
              <w:rPr>
                <w:rFonts w:asciiTheme="minorHAnsi" w:eastAsia="Calibri" w:hAnsiTheme="minorHAnsi" w:cstheme="minorHAnsi"/>
                <w:sz w:val="20"/>
                <w:szCs w:val="20"/>
              </w:rPr>
              <w:t xml:space="preserve">develop a unified social protection registry.  </w:t>
            </w:r>
            <w:r w:rsidR="00FA3F8C" w:rsidRPr="00C00868">
              <w:rPr>
                <w:rFonts w:ascii="Calibri" w:eastAsia="Calibri" w:hAnsi="Calibri" w:cs="Calibri"/>
                <w:color w:val="000000"/>
                <w:sz w:val="20"/>
                <w:szCs w:val="20"/>
              </w:rPr>
              <w:t xml:space="preserve"> Additionally, UNDP </w:t>
            </w:r>
            <w:r w:rsidR="00FA3F8C" w:rsidRPr="00C00868">
              <w:rPr>
                <w:rFonts w:asciiTheme="minorHAnsi" w:eastAsia="Calibri" w:hAnsiTheme="minorHAnsi" w:cstheme="minorHAnsi"/>
                <w:sz w:val="20"/>
                <w:szCs w:val="20"/>
              </w:rPr>
              <w:t>worked with a range of national partners and CSO to identify vulnerable populations and distribute food vouchers to them while supporting innovative food security programs to engage at risk youth.</w:t>
            </w:r>
            <w:r w:rsidR="00E52AAE">
              <w:rPr>
                <w:rFonts w:asciiTheme="minorHAnsi" w:eastAsia="Calibri" w:hAnsiTheme="minorHAnsi" w:cstheme="minorHAnsi"/>
                <w:sz w:val="20"/>
                <w:szCs w:val="20"/>
              </w:rPr>
              <w:t xml:space="preserve"> </w:t>
            </w:r>
          </w:p>
          <w:p w14:paraId="5F7D73CF" w14:textId="096C44C9" w:rsidR="00FF4BA8" w:rsidRPr="00351976" w:rsidRDefault="00FF4BA8" w:rsidP="004C1095">
            <w:pPr>
              <w:numPr>
                <w:ilvl w:val="0"/>
                <w:numId w:val="31"/>
              </w:numPr>
              <w:pBdr>
                <w:top w:val="nil"/>
                <w:left w:val="nil"/>
                <w:bottom w:val="nil"/>
                <w:right w:val="nil"/>
                <w:between w:val="nil"/>
              </w:pBdr>
              <w:jc w:val="both"/>
              <w:rPr>
                <w:rFonts w:asciiTheme="minorHAnsi" w:hAnsiTheme="minorHAnsi" w:cstheme="minorHAnsi"/>
                <w:sz w:val="20"/>
                <w:szCs w:val="20"/>
              </w:rPr>
            </w:pPr>
            <w:r w:rsidRPr="00C00868">
              <w:rPr>
                <w:rFonts w:asciiTheme="minorHAnsi" w:eastAsia="Calibri" w:hAnsiTheme="minorHAnsi" w:cstheme="minorHAnsi"/>
                <w:sz w:val="20"/>
                <w:szCs w:val="20"/>
              </w:rPr>
              <w:lastRenderedPageBreak/>
              <w:t>UNDP supported socio-economic studies to analyze the</w:t>
            </w:r>
            <w:r w:rsidRPr="00810399">
              <w:rPr>
                <w:rFonts w:asciiTheme="minorHAnsi" w:eastAsia="Calibri" w:hAnsiTheme="minorHAnsi" w:cstheme="minorHAnsi"/>
                <w:sz w:val="20"/>
                <w:szCs w:val="20"/>
              </w:rPr>
              <w:t xml:space="preserve"> </w:t>
            </w:r>
            <w:r w:rsidRPr="00C00868">
              <w:rPr>
                <w:rFonts w:asciiTheme="minorHAnsi" w:eastAsia="Calibri" w:hAnsiTheme="minorHAnsi" w:cstheme="minorHAnsi"/>
                <w:sz w:val="20"/>
                <w:szCs w:val="20"/>
              </w:rPr>
              <w:t>impacts of COVID 19 on the economies in Tobago and Aruba gathering insights from academia, the diplomatic community, government officials and other stakeholders to inform national policies.</w:t>
            </w:r>
          </w:p>
          <w:p w14:paraId="19979509" w14:textId="7E6A00E5" w:rsidR="00351976" w:rsidRPr="00286935" w:rsidRDefault="00351976" w:rsidP="004C1095">
            <w:pPr>
              <w:numPr>
                <w:ilvl w:val="0"/>
                <w:numId w:val="31"/>
              </w:numPr>
              <w:pBdr>
                <w:top w:val="nil"/>
                <w:left w:val="nil"/>
                <w:bottom w:val="nil"/>
                <w:right w:val="nil"/>
                <w:between w:val="nil"/>
              </w:pBdr>
              <w:jc w:val="both"/>
              <w:rPr>
                <w:rFonts w:asciiTheme="minorHAnsi" w:hAnsiTheme="minorHAnsi" w:cstheme="minorHAnsi"/>
                <w:sz w:val="20"/>
                <w:szCs w:val="20"/>
              </w:rPr>
            </w:pPr>
            <w:r w:rsidRPr="00C00868">
              <w:rPr>
                <w:rFonts w:asciiTheme="minorHAnsi" w:eastAsia="Calibri" w:hAnsiTheme="minorHAnsi" w:cstheme="minorHAnsi"/>
                <w:sz w:val="20"/>
                <w:szCs w:val="20"/>
              </w:rPr>
              <w:t>Together with FAO, UNDP studied the impact of COVID 19 on food security with recommendation</w:t>
            </w:r>
            <w:r w:rsidR="00750A86">
              <w:rPr>
                <w:rFonts w:asciiTheme="minorHAnsi" w:eastAsia="Calibri" w:hAnsiTheme="minorHAnsi" w:cstheme="minorHAnsi"/>
                <w:sz w:val="20"/>
                <w:szCs w:val="20"/>
              </w:rPr>
              <w:t>s</w:t>
            </w:r>
            <w:r w:rsidRPr="00C00868">
              <w:rPr>
                <w:rFonts w:asciiTheme="minorHAnsi" w:eastAsia="Calibri" w:hAnsiTheme="minorHAnsi" w:cstheme="minorHAnsi"/>
                <w:sz w:val="20"/>
                <w:szCs w:val="20"/>
              </w:rPr>
              <w:t xml:space="preserve"> for strengthening the agricultural sector and int</w:t>
            </w:r>
            <w:r w:rsidR="00750A86">
              <w:rPr>
                <w:rFonts w:asciiTheme="minorHAnsi" w:eastAsia="Calibri" w:hAnsiTheme="minorHAnsi" w:cstheme="minorHAnsi"/>
                <w:sz w:val="20"/>
                <w:szCs w:val="20"/>
              </w:rPr>
              <w:t>e</w:t>
            </w:r>
            <w:r w:rsidRPr="00C00868">
              <w:rPr>
                <w:rFonts w:asciiTheme="minorHAnsi" w:eastAsia="Calibri" w:hAnsiTheme="minorHAnsi" w:cstheme="minorHAnsi"/>
                <w:sz w:val="20"/>
                <w:szCs w:val="20"/>
              </w:rPr>
              <w:t>r-</w:t>
            </w:r>
            <w:r w:rsidR="00750A86" w:rsidRPr="00810399">
              <w:rPr>
                <w:rFonts w:asciiTheme="minorHAnsi" w:eastAsia="Calibri" w:hAnsiTheme="minorHAnsi" w:cstheme="minorHAnsi"/>
                <w:sz w:val="20"/>
                <w:szCs w:val="20"/>
              </w:rPr>
              <w:t>Caribbean</w:t>
            </w:r>
            <w:r w:rsidRPr="00810399">
              <w:rPr>
                <w:rFonts w:asciiTheme="minorHAnsi" w:eastAsia="Calibri" w:hAnsiTheme="minorHAnsi" w:cstheme="minorHAnsi"/>
                <w:sz w:val="20"/>
                <w:szCs w:val="20"/>
              </w:rPr>
              <w:t xml:space="preserve"> trade</w:t>
            </w:r>
            <w:r w:rsidRPr="00456AE8">
              <w:rPr>
                <w:rFonts w:asciiTheme="minorHAnsi" w:eastAsia="Calibri" w:hAnsiTheme="minorHAnsi" w:cstheme="minorHAnsi"/>
                <w:sz w:val="20"/>
                <w:szCs w:val="20"/>
              </w:rPr>
              <w:t xml:space="preserve"> which is providing the basis for a national s</w:t>
            </w:r>
            <w:r w:rsidRPr="00C00868">
              <w:rPr>
                <w:rFonts w:asciiTheme="minorHAnsi" w:eastAsia="Calibri" w:hAnsiTheme="minorHAnsi" w:cstheme="minorHAnsi"/>
                <w:sz w:val="20"/>
                <w:szCs w:val="20"/>
              </w:rPr>
              <w:t xml:space="preserve">ummit leading into the Food Systems Summit of the United Nations.  </w:t>
            </w:r>
            <w:r>
              <w:rPr>
                <w:rFonts w:asciiTheme="minorHAnsi" w:eastAsia="Calibri" w:hAnsiTheme="minorHAnsi" w:cstheme="minorHAnsi"/>
                <w:sz w:val="20"/>
                <w:szCs w:val="20"/>
              </w:rPr>
              <w:t xml:space="preserve">In Sint Maarten, a </w:t>
            </w:r>
            <w:r w:rsidRPr="00C00868">
              <w:rPr>
                <w:rFonts w:asciiTheme="minorHAnsi" w:hAnsiTheme="minorHAnsi" w:cstheme="minorHAnsi"/>
                <w:sz w:val="20"/>
                <w:szCs w:val="20"/>
              </w:rPr>
              <w:t xml:space="preserve">pilot food security initiative </w:t>
            </w:r>
            <w:r>
              <w:rPr>
                <w:rFonts w:asciiTheme="minorHAnsi" w:hAnsiTheme="minorHAnsi" w:cstheme="minorHAnsi"/>
                <w:sz w:val="20"/>
                <w:szCs w:val="20"/>
              </w:rPr>
              <w:t>in</w:t>
            </w:r>
            <w:r w:rsidRPr="00C00868">
              <w:rPr>
                <w:rFonts w:asciiTheme="minorHAnsi" w:hAnsiTheme="minorHAnsi" w:cstheme="minorHAnsi"/>
                <w:sz w:val="20"/>
                <w:szCs w:val="20"/>
              </w:rPr>
              <w:t xml:space="preserve"> contributed to improved economic opportunities and food security through the more efficient use of urban environments, giving citizens the ability to grow produce in inner city settings</w:t>
            </w:r>
            <w:r>
              <w:rPr>
                <w:rFonts w:asciiTheme="minorHAnsi" w:hAnsiTheme="minorHAnsi" w:cstheme="minorHAnsi"/>
                <w:sz w:val="20"/>
                <w:szCs w:val="20"/>
              </w:rPr>
              <w:t>.  In response to COVID 19, UNDP is supporting the establishment of a national food bank system built on principals of a circular economy.</w:t>
            </w:r>
          </w:p>
          <w:p w14:paraId="5D04CA48" w14:textId="77777777" w:rsidR="00040722" w:rsidRDefault="00040722" w:rsidP="001622C5">
            <w:pPr>
              <w:pBdr>
                <w:top w:val="nil"/>
                <w:left w:val="nil"/>
                <w:bottom w:val="nil"/>
                <w:right w:val="nil"/>
                <w:between w:val="nil"/>
              </w:pBdr>
              <w:jc w:val="both"/>
              <w:rPr>
                <w:rFonts w:asciiTheme="minorHAnsi" w:eastAsia="Calibri" w:hAnsiTheme="minorHAnsi" w:cstheme="minorHAnsi"/>
                <w:i/>
                <w:iCs/>
                <w:sz w:val="20"/>
                <w:szCs w:val="20"/>
              </w:rPr>
            </w:pPr>
          </w:p>
          <w:p w14:paraId="00000069" w14:textId="5F766B71" w:rsidR="00C8511B" w:rsidRPr="00DD6FD8" w:rsidRDefault="001622C5" w:rsidP="001622C5">
            <w:pPr>
              <w:pBdr>
                <w:top w:val="nil"/>
                <w:left w:val="nil"/>
                <w:bottom w:val="nil"/>
                <w:right w:val="nil"/>
                <w:between w:val="nil"/>
              </w:pBdr>
              <w:jc w:val="both"/>
              <w:rPr>
                <w:rFonts w:asciiTheme="minorHAnsi" w:eastAsia="Calibri" w:hAnsiTheme="minorHAnsi" w:cstheme="minorHAnsi"/>
                <w:i/>
                <w:iCs/>
                <w:sz w:val="20"/>
                <w:szCs w:val="20"/>
              </w:rPr>
            </w:pPr>
            <w:r w:rsidRPr="00DD6FD8">
              <w:rPr>
                <w:rFonts w:asciiTheme="minorHAnsi" w:eastAsia="Calibri" w:hAnsiTheme="minorHAnsi" w:cstheme="minorHAnsi"/>
                <w:i/>
                <w:iCs/>
                <w:sz w:val="20"/>
                <w:szCs w:val="20"/>
              </w:rPr>
              <w:t>M</w:t>
            </w:r>
            <w:r w:rsidR="002624F2" w:rsidRPr="00DD6FD8">
              <w:rPr>
                <w:rFonts w:asciiTheme="minorHAnsi" w:eastAsia="Calibri" w:hAnsiTheme="minorHAnsi" w:cstheme="minorHAnsi"/>
                <w:i/>
                <w:iCs/>
                <w:sz w:val="20"/>
                <w:szCs w:val="20"/>
              </w:rPr>
              <w:t xml:space="preserve">ultidimensional </w:t>
            </w:r>
            <w:r w:rsidR="006E50EA" w:rsidRPr="00DD6FD8">
              <w:rPr>
                <w:rFonts w:asciiTheme="minorHAnsi" w:eastAsia="Calibri" w:hAnsiTheme="minorHAnsi" w:cstheme="minorHAnsi"/>
                <w:i/>
                <w:iCs/>
                <w:sz w:val="20"/>
                <w:szCs w:val="20"/>
              </w:rPr>
              <w:t>H</w:t>
            </w:r>
            <w:r w:rsidR="002624F2" w:rsidRPr="00DD6FD8">
              <w:rPr>
                <w:rFonts w:asciiTheme="minorHAnsi" w:eastAsia="Calibri" w:hAnsiTheme="minorHAnsi" w:cstheme="minorHAnsi"/>
                <w:i/>
                <w:iCs/>
                <w:sz w:val="20"/>
                <w:szCs w:val="20"/>
              </w:rPr>
              <w:t xml:space="preserve">ealth </w:t>
            </w:r>
            <w:r w:rsidR="00F854DD" w:rsidRPr="00DD6FD8">
              <w:rPr>
                <w:rFonts w:asciiTheme="minorHAnsi" w:eastAsia="Calibri" w:hAnsiTheme="minorHAnsi" w:cstheme="minorHAnsi"/>
                <w:i/>
                <w:iCs/>
                <w:sz w:val="20"/>
                <w:szCs w:val="20"/>
              </w:rPr>
              <w:t>S</w:t>
            </w:r>
            <w:r w:rsidR="002624F2" w:rsidRPr="00DD6FD8">
              <w:rPr>
                <w:rFonts w:asciiTheme="minorHAnsi" w:eastAsia="Calibri" w:hAnsiTheme="minorHAnsi" w:cstheme="minorHAnsi"/>
                <w:i/>
                <w:iCs/>
                <w:sz w:val="20"/>
                <w:szCs w:val="20"/>
              </w:rPr>
              <w:t xml:space="preserve">ector </w:t>
            </w:r>
            <w:r w:rsidR="00F854DD" w:rsidRPr="00DD6FD8">
              <w:rPr>
                <w:rFonts w:asciiTheme="minorHAnsi" w:eastAsia="Calibri" w:hAnsiTheme="minorHAnsi" w:cstheme="minorHAnsi"/>
                <w:i/>
                <w:iCs/>
                <w:sz w:val="20"/>
                <w:szCs w:val="20"/>
              </w:rPr>
              <w:t>S</w:t>
            </w:r>
            <w:r w:rsidR="002624F2" w:rsidRPr="00DD6FD8">
              <w:rPr>
                <w:rFonts w:asciiTheme="minorHAnsi" w:eastAsia="Calibri" w:hAnsiTheme="minorHAnsi" w:cstheme="minorHAnsi"/>
                <w:i/>
                <w:iCs/>
                <w:sz w:val="20"/>
                <w:szCs w:val="20"/>
              </w:rPr>
              <w:t>upport</w:t>
            </w:r>
          </w:p>
          <w:p w14:paraId="0480DF4C" w14:textId="5F031A88" w:rsidR="00B34DE6" w:rsidRDefault="00B34DE6" w:rsidP="001622C5">
            <w:pPr>
              <w:pBdr>
                <w:top w:val="nil"/>
                <w:left w:val="nil"/>
                <w:bottom w:val="nil"/>
                <w:right w:val="nil"/>
                <w:between w:val="nil"/>
              </w:pBdr>
              <w:jc w:val="both"/>
              <w:rPr>
                <w:rFonts w:asciiTheme="minorHAnsi" w:eastAsia="Calibri" w:hAnsiTheme="minorHAnsi" w:cstheme="minorHAnsi"/>
                <w:b/>
                <w:bCs/>
                <w:sz w:val="20"/>
                <w:szCs w:val="20"/>
              </w:rPr>
            </w:pPr>
          </w:p>
          <w:p w14:paraId="35806557" w14:textId="30F1DDAD" w:rsidR="00D90543" w:rsidRPr="00D90543" w:rsidRDefault="00204C83" w:rsidP="00E95C2C">
            <w:pPr>
              <w:pStyle w:val="ListParagraph"/>
              <w:numPr>
                <w:ilvl w:val="0"/>
                <w:numId w:val="31"/>
              </w:numPr>
              <w:pBdr>
                <w:top w:val="nil"/>
                <w:left w:val="nil"/>
                <w:bottom w:val="nil"/>
                <w:right w:val="nil"/>
                <w:between w:val="nil"/>
              </w:pBdr>
              <w:jc w:val="both"/>
              <w:rPr>
                <w:rFonts w:asciiTheme="minorHAnsi" w:eastAsia="Calibri" w:hAnsiTheme="minorHAnsi" w:cstheme="minorHAnsi"/>
                <w:b/>
                <w:bCs/>
                <w:sz w:val="20"/>
                <w:szCs w:val="20"/>
              </w:rPr>
            </w:pPr>
            <w:r>
              <w:rPr>
                <w:rFonts w:ascii="Calibri" w:eastAsia="Calibri" w:hAnsi="Calibri" w:cs="Calibri"/>
                <w:sz w:val="20"/>
                <w:szCs w:val="20"/>
              </w:rPr>
              <w:t>The Primary Healthcare Initiative (PHCI)</w:t>
            </w:r>
            <w:r w:rsidR="00073128">
              <w:rPr>
                <w:rFonts w:ascii="Calibri" w:eastAsia="Calibri" w:hAnsi="Calibri" w:cs="Calibri"/>
                <w:sz w:val="20"/>
                <w:szCs w:val="20"/>
              </w:rPr>
              <w:t xml:space="preserve"> project with </w:t>
            </w:r>
            <w:r w:rsidR="00846F74" w:rsidRPr="00427903">
              <w:rPr>
                <w:rFonts w:ascii="Calibri" w:eastAsia="Calibri" w:hAnsi="Calibri" w:cs="Calibri"/>
                <w:sz w:val="20"/>
                <w:szCs w:val="20"/>
              </w:rPr>
              <w:t xml:space="preserve">the </w:t>
            </w:r>
            <w:r w:rsidR="00AF3409" w:rsidRPr="00427903">
              <w:rPr>
                <w:rFonts w:ascii="Calibri" w:eastAsia="Calibri" w:hAnsi="Calibri" w:cs="Calibri"/>
                <w:sz w:val="20"/>
                <w:szCs w:val="20"/>
              </w:rPr>
              <w:t xml:space="preserve">Ministry of Health </w:t>
            </w:r>
            <w:r w:rsidR="00E95C2C">
              <w:rPr>
                <w:rFonts w:ascii="Calibri" w:eastAsia="Calibri" w:hAnsi="Calibri" w:cs="Calibri"/>
                <w:sz w:val="20"/>
                <w:szCs w:val="20"/>
              </w:rPr>
              <w:t>(</w:t>
            </w:r>
            <w:proofErr w:type="spellStart"/>
            <w:r w:rsidR="00E95C2C">
              <w:rPr>
                <w:rFonts w:ascii="Calibri" w:eastAsia="Calibri" w:hAnsi="Calibri" w:cs="Calibri"/>
                <w:sz w:val="20"/>
                <w:szCs w:val="20"/>
              </w:rPr>
              <w:t>M</w:t>
            </w:r>
            <w:r w:rsidR="00D90543">
              <w:rPr>
                <w:rFonts w:ascii="Calibri" w:eastAsia="Calibri" w:hAnsi="Calibri" w:cs="Calibri"/>
                <w:sz w:val="20"/>
                <w:szCs w:val="20"/>
              </w:rPr>
              <w:t>o</w:t>
            </w:r>
            <w:r w:rsidR="00E95C2C">
              <w:rPr>
                <w:rFonts w:ascii="Calibri" w:eastAsia="Calibri" w:hAnsi="Calibri" w:cs="Calibri"/>
                <w:sz w:val="20"/>
                <w:szCs w:val="20"/>
              </w:rPr>
              <w:t>H</w:t>
            </w:r>
            <w:proofErr w:type="spellEnd"/>
            <w:r w:rsidR="00E95C2C">
              <w:rPr>
                <w:rFonts w:ascii="Calibri" w:eastAsia="Calibri" w:hAnsi="Calibri" w:cs="Calibri"/>
                <w:sz w:val="20"/>
                <w:szCs w:val="20"/>
              </w:rPr>
              <w:t xml:space="preserve">) </w:t>
            </w:r>
            <w:r w:rsidR="00846F74" w:rsidRPr="00427903">
              <w:rPr>
                <w:rFonts w:ascii="Calibri" w:eastAsia="Calibri" w:hAnsi="Calibri" w:cs="Calibri"/>
                <w:sz w:val="20"/>
                <w:szCs w:val="20"/>
              </w:rPr>
              <w:t>strengthen</w:t>
            </w:r>
            <w:r w:rsidR="00073128">
              <w:rPr>
                <w:rFonts w:ascii="Calibri" w:eastAsia="Calibri" w:hAnsi="Calibri" w:cs="Calibri"/>
                <w:sz w:val="20"/>
                <w:szCs w:val="20"/>
              </w:rPr>
              <w:t>ed</w:t>
            </w:r>
            <w:r w:rsidR="00846F74" w:rsidRPr="00427903">
              <w:rPr>
                <w:rFonts w:ascii="Calibri" w:eastAsia="Calibri" w:hAnsi="Calibri" w:cs="Calibri"/>
                <w:sz w:val="20"/>
                <w:szCs w:val="20"/>
              </w:rPr>
              <w:t xml:space="preserve"> primary health care delivery in underserved rural communities. </w:t>
            </w:r>
            <w:r w:rsidR="00073128">
              <w:rPr>
                <w:rFonts w:ascii="Calibri" w:eastAsia="Calibri" w:hAnsi="Calibri" w:cs="Calibri"/>
                <w:sz w:val="20"/>
                <w:szCs w:val="20"/>
              </w:rPr>
              <w:t>Twenty-six</w:t>
            </w:r>
            <w:r w:rsidR="00B001E7">
              <w:rPr>
                <w:rFonts w:ascii="Calibri" w:eastAsia="Calibri" w:hAnsi="Calibri" w:cs="Calibri"/>
                <w:sz w:val="20"/>
                <w:szCs w:val="20"/>
              </w:rPr>
              <w:t xml:space="preserve"> UNV health professionals were deployed to health cent</w:t>
            </w:r>
            <w:r w:rsidR="002F4747">
              <w:rPr>
                <w:rFonts w:ascii="Calibri" w:eastAsia="Calibri" w:hAnsi="Calibri" w:cs="Calibri"/>
                <w:sz w:val="20"/>
                <w:szCs w:val="20"/>
              </w:rPr>
              <w:t>er</w:t>
            </w:r>
            <w:r w:rsidR="00B001E7">
              <w:rPr>
                <w:rFonts w:ascii="Calibri" w:eastAsia="Calibri" w:hAnsi="Calibri" w:cs="Calibri"/>
                <w:sz w:val="20"/>
                <w:szCs w:val="20"/>
              </w:rPr>
              <w:t>s serving rural populations across the country, backstopping local practitioners</w:t>
            </w:r>
            <w:r w:rsidR="00073128">
              <w:rPr>
                <w:rFonts w:ascii="Calibri" w:eastAsia="Calibri" w:hAnsi="Calibri" w:cs="Calibri"/>
                <w:sz w:val="20"/>
                <w:szCs w:val="20"/>
              </w:rPr>
              <w:t xml:space="preserve"> and collaborating with the MoH and NGOs</w:t>
            </w:r>
            <w:r w:rsidR="00B001E7">
              <w:rPr>
                <w:rFonts w:ascii="Calibri" w:eastAsia="Calibri" w:hAnsi="Calibri" w:cs="Calibri"/>
                <w:sz w:val="20"/>
                <w:szCs w:val="20"/>
              </w:rPr>
              <w:t xml:space="preserve">. </w:t>
            </w:r>
            <w:r w:rsidR="00363762">
              <w:rPr>
                <w:rFonts w:ascii="Calibri" w:eastAsia="Calibri" w:hAnsi="Calibri" w:cs="Calibri"/>
                <w:sz w:val="20"/>
                <w:szCs w:val="20"/>
              </w:rPr>
              <w:t xml:space="preserve">In 2 locations, UNV medical professionals </w:t>
            </w:r>
            <w:r w:rsidR="00F51EDC">
              <w:rPr>
                <w:rFonts w:ascii="Calibri" w:eastAsia="Calibri" w:hAnsi="Calibri" w:cs="Calibri"/>
                <w:sz w:val="20"/>
                <w:szCs w:val="20"/>
              </w:rPr>
              <w:t xml:space="preserve">facilitated a more </w:t>
            </w:r>
            <w:r w:rsidR="00F51EDC" w:rsidRPr="00C574B9">
              <w:rPr>
                <w:rFonts w:asciiTheme="minorHAnsi" w:hAnsiTheme="minorHAnsi" w:cstheme="minorHAnsi"/>
                <w:sz w:val="20"/>
                <w:szCs w:val="20"/>
              </w:rPr>
              <w:t xml:space="preserve">human </w:t>
            </w:r>
            <w:r w:rsidR="007E766C" w:rsidRPr="00C574B9">
              <w:rPr>
                <w:rFonts w:asciiTheme="minorHAnsi" w:hAnsiTheme="minorHAnsi" w:cstheme="minorHAnsi"/>
                <w:sz w:val="20"/>
                <w:szCs w:val="20"/>
              </w:rPr>
              <w:t>rights-based</w:t>
            </w:r>
            <w:r w:rsidR="00F51EDC" w:rsidRPr="00C574B9">
              <w:rPr>
                <w:rFonts w:asciiTheme="minorHAnsi" w:hAnsiTheme="minorHAnsi" w:cstheme="minorHAnsi"/>
                <w:sz w:val="20"/>
                <w:szCs w:val="20"/>
              </w:rPr>
              <w:t xml:space="preserve"> approach (HRBA)</w:t>
            </w:r>
            <w:r w:rsidR="00F51EDC">
              <w:rPr>
                <w:rFonts w:asciiTheme="minorHAnsi" w:hAnsiTheme="minorHAnsi" w:cstheme="minorHAnsi"/>
                <w:sz w:val="20"/>
                <w:szCs w:val="20"/>
              </w:rPr>
              <w:t xml:space="preserve"> in their treatment</w:t>
            </w:r>
            <w:r w:rsidR="000C58F7">
              <w:rPr>
                <w:rFonts w:asciiTheme="minorHAnsi" w:hAnsiTheme="minorHAnsi" w:cstheme="minorHAnsi"/>
                <w:sz w:val="20"/>
                <w:szCs w:val="20"/>
              </w:rPr>
              <w:t xml:space="preserve"> of </w:t>
            </w:r>
            <w:r w:rsidR="000C58F7">
              <w:rPr>
                <w:rFonts w:ascii="Calibri" w:eastAsia="Calibri" w:hAnsi="Calibri" w:cs="Calibri"/>
                <w:sz w:val="20"/>
                <w:szCs w:val="20"/>
              </w:rPr>
              <w:t>persons diagnosed with HIV/AIDS</w:t>
            </w:r>
            <w:r w:rsidR="00F51EDC">
              <w:rPr>
                <w:rFonts w:asciiTheme="minorHAnsi" w:hAnsiTheme="minorHAnsi" w:cstheme="minorHAnsi"/>
                <w:sz w:val="20"/>
                <w:szCs w:val="20"/>
              </w:rPr>
              <w:t>.</w:t>
            </w:r>
            <w:r w:rsidR="00E95C2C">
              <w:rPr>
                <w:rFonts w:asciiTheme="minorHAnsi" w:hAnsiTheme="minorHAnsi" w:cstheme="minorHAnsi"/>
                <w:sz w:val="20"/>
                <w:szCs w:val="20"/>
              </w:rPr>
              <w:t xml:space="preserve"> </w:t>
            </w:r>
          </w:p>
          <w:p w14:paraId="4F1A4621" w14:textId="661FFA88" w:rsidR="00C77A86" w:rsidRPr="00967862" w:rsidRDefault="00C77A86" w:rsidP="00C77A86">
            <w:pPr>
              <w:pStyle w:val="ListParagraph"/>
              <w:numPr>
                <w:ilvl w:val="0"/>
                <w:numId w:val="31"/>
              </w:numPr>
              <w:pBdr>
                <w:top w:val="nil"/>
                <w:left w:val="nil"/>
                <w:bottom w:val="nil"/>
                <w:right w:val="nil"/>
                <w:between w:val="nil"/>
              </w:pBdr>
              <w:jc w:val="both"/>
              <w:rPr>
                <w:rFonts w:asciiTheme="minorHAnsi" w:eastAsia="Calibri" w:hAnsiTheme="minorHAnsi" w:cstheme="minorHAnsi"/>
                <w:b/>
                <w:bCs/>
                <w:sz w:val="20"/>
                <w:szCs w:val="20"/>
              </w:rPr>
            </w:pPr>
            <w:r w:rsidRPr="00E95C2C">
              <w:rPr>
                <w:rFonts w:asciiTheme="minorHAnsi" w:eastAsia="Calibri" w:hAnsiTheme="minorHAnsi" w:cstheme="minorHAnsi"/>
                <w:sz w:val="20"/>
                <w:szCs w:val="20"/>
              </w:rPr>
              <w:t>Under the PHCI project</w:t>
            </w:r>
            <w:r>
              <w:rPr>
                <w:rFonts w:asciiTheme="minorHAnsi" w:eastAsia="Calibri" w:hAnsiTheme="minorHAnsi" w:cstheme="minorHAnsi"/>
                <w:sz w:val="20"/>
                <w:szCs w:val="20"/>
              </w:rPr>
              <w:t>,</w:t>
            </w:r>
            <w:r w:rsidRPr="00E95C2C">
              <w:rPr>
                <w:rFonts w:asciiTheme="minorHAnsi" w:eastAsia="Calibri" w:hAnsiTheme="minorHAnsi" w:cstheme="minorHAnsi"/>
                <w:sz w:val="20"/>
                <w:szCs w:val="20"/>
              </w:rPr>
              <w:t xml:space="preserve"> UNDP supported the </w:t>
            </w:r>
            <w:proofErr w:type="spellStart"/>
            <w:r>
              <w:rPr>
                <w:rFonts w:asciiTheme="minorHAnsi" w:eastAsia="Calibri" w:hAnsiTheme="minorHAnsi" w:cstheme="minorHAnsi"/>
                <w:sz w:val="20"/>
                <w:szCs w:val="20"/>
              </w:rPr>
              <w:t>MoH’s</w:t>
            </w:r>
            <w:proofErr w:type="spellEnd"/>
            <w:r>
              <w:rPr>
                <w:rFonts w:asciiTheme="minorHAnsi" w:eastAsia="Calibri" w:hAnsiTheme="minorHAnsi" w:cstheme="minorHAnsi"/>
                <w:sz w:val="20"/>
                <w:szCs w:val="20"/>
              </w:rPr>
              <w:t xml:space="preserve"> response</w:t>
            </w:r>
            <w:r w:rsidRPr="00E95C2C">
              <w:rPr>
                <w:rFonts w:asciiTheme="minorHAnsi" w:eastAsia="Calibri" w:hAnsiTheme="minorHAnsi" w:cstheme="minorHAnsi"/>
                <w:sz w:val="20"/>
                <w:szCs w:val="20"/>
              </w:rPr>
              <w:t xml:space="preserve"> to the COVID-19 pandemic </w:t>
            </w:r>
            <w:r>
              <w:rPr>
                <w:rFonts w:asciiTheme="minorHAnsi" w:eastAsia="Calibri" w:hAnsiTheme="minorHAnsi" w:cstheme="minorHAnsi"/>
                <w:sz w:val="20"/>
                <w:szCs w:val="20"/>
              </w:rPr>
              <w:t>by</w:t>
            </w:r>
            <w:r w:rsidRPr="00E95C2C">
              <w:rPr>
                <w:rFonts w:asciiTheme="minorHAnsi" w:eastAsia="Calibri" w:hAnsiTheme="minorHAnsi" w:cstheme="minorHAnsi"/>
                <w:sz w:val="20"/>
                <w:szCs w:val="20"/>
              </w:rPr>
              <w:t xml:space="preserve"> supply</w:t>
            </w:r>
            <w:r>
              <w:rPr>
                <w:rFonts w:asciiTheme="minorHAnsi" w:eastAsia="Calibri" w:hAnsiTheme="minorHAnsi" w:cstheme="minorHAnsi"/>
                <w:sz w:val="20"/>
                <w:szCs w:val="20"/>
              </w:rPr>
              <w:t>ing</w:t>
            </w:r>
            <w:r w:rsidRPr="00E95C2C">
              <w:rPr>
                <w:rFonts w:asciiTheme="minorHAnsi" w:eastAsia="Calibri" w:hAnsiTheme="minorHAnsi" w:cstheme="minorHAnsi"/>
                <w:sz w:val="20"/>
                <w:szCs w:val="20"/>
              </w:rPr>
              <w:t xml:space="preserve"> medical equipment</w:t>
            </w:r>
            <w:r>
              <w:rPr>
                <w:rFonts w:asciiTheme="minorHAnsi" w:eastAsia="Calibri" w:hAnsiTheme="minorHAnsi" w:cstheme="minorHAnsi"/>
                <w:sz w:val="20"/>
                <w:szCs w:val="20"/>
              </w:rPr>
              <w:t xml:space="preserve">, including </w:t>
            </w:r>
            <w:r w:rsidRPr="00E95C2C">
              <w:rPr>
                <w:rFonts w:asciiTheme="minorHAnsi" w:eastAsia="Calibri" w:hAnsiTheme="minorHAnsi" w:cstheme="minorHAnsi"/>
                <w:sz w:val="20"/>
                <w:szCs w:val="20"/>
              </w:rPr>
              <w:t xml:space="preserve">PPE and COVID-19 test kits, </w:t>
            </w:r>
            <w:r>
              <w:rPr>
                <w:rFonts w:asciiTheme="minorHAnsi" w:eastAsia="Calibri" w:hAnsiTheme="minorHAnsi" w:cstheme="minorHAnsi"/>
                <w:sz w:val="20"/>
                <w:szCs w:val="20"/>
              </w:rPr>
              <w:t xml:space="preserve">as well as </w:t>
            </w:r>
            <w:r w:rsidRPr="00E95C2C">
              <w:rPr>
                <w:rFonts w:asciiTheme="minorHAnsi" w:eastAsia="Calibri" w:hAnsiTheme="minorHAnsi" w:cstheme="minorHAnsi"/>
                <w:sz w:val="20"/>
                <w:szCs w:val="20"/>
              </w:rPr>
              <w:t>recruit</w:t>
            </w:r>
            <w:r>
              <w:rPr>
                <w:rFonts w:asciiTheme="minorHAnsi" w:eastAsia="Calibri" w:hAnsiTheme="minorHAnsi" w:cstheme="minorHAnsi"/>
                <w:sz w:val="20"/>
                <w:szCs w:val="20"/>
              </w:rPr>
              <w:t>ing</w:t>
            </w:r>
            <w:r w:rsidRPr="00E95C2C">
              <w:rPr>
                <w:rFonts w:asciiTheme="minorHAnsi" w:eastAsia="Calibri" w:hAnsiTheme="minorHAnsi" w:cstheme="minorHAnsi"/>
                <w:sz w:val="20"/>
                <w:szCs w:val="20"/>
              </w:rPr>
              <w:t xml:space="preserve"> 50 nurses</w:t>
            </w:r>
            <w:r>
              <w:rPr>
                <w:rFonts w:asciiTheme="minorHAnsi" w:eastAsia="Calibri" w:hAnsiTheme="minorHAnsi" w:cstheme="minorHAnsi"/>
                <w:sz w:val="20"/>
                <w:szCs w:val="20"/>
              </w:rPr>
              <w:t xml:space="preserve"> to work </w:t>
            </w:r>
            <w:r w:rsidRPr="00E95C2C">
              <w:rPr>
                <w:rFonts w:asciiTheme="minorHAnsi" w:eastAsia="Calibri" w:hAnsiTheme="minorHAnsi" w:cstheme="minorHAnsi"/>
                <w:sz w:val="20"/>
                <w:szCs w:val="20"/>
              </w:rPr>
              <w:t xml:space="preserve">under the parallel medical system established by the </w:t>
            </w:r>
            <w:proofErr w:type="spellStart"/>
            <w:r>
              <w:rPr>
                <w:rFonts w:asciiTheme="minorHAnsi" w:eastAsia="Calibri" w:hAnsiTheme="minorHAnsi" w:cstheme="minorHAnsi"/>
                <w:sz w:val="20"/>
                <w:szCs w:val="20"/>
              </w:rPr>
              <w:t>MoH</w:t>
            </w:r>
            <w:proofErr w:type="spellEnd"/>
            <w:r>
              <w:rPr>
                <w:rFonts w:asciiTheme="minorHAnsi" w:eastAsia="Calibri" w:hAnsiTheme="minorHAnsi" w:cstheme="minorHAnsi"/>
                <w:sz w:val="20"/>
                <w:szCs w:val="20"/>
              </w:rPr>
              <w:t xml:space="preserve"> specifically for COVID patients</w:t>
            </w:r>
            <w:r w:rsidRPr="00E95C2C">
              <w:rPr>
                <w:rFonts w:asciiTheme="minorHAnsi" w:eastAsia="Calibri" w:hAnsiTheme="minorHAnsi" w:cstheme="minorHAnsi"/>
                <w:sz w:val="20"/>
                <w:szCs w:val="20"/>
              </w:rPr>
              <w:t xml:space="preserve">. Additionally, </w:t>
            </w:r>
            <w:r>
              <w:rPr>
                <w:rFonts w:asciiTheme="minorHAnsi" w:eastAsia="Calibri" w:hAnsiTheme="minorHAnsi" w:cstheme="minorHAnsi"/>
                <w:sz w:val="20"/>
                <w:szCs w:val="20"/>
              </w:rPr>
              <w:t>p</w:t>
            </w:r>
            <w:r w:rsidRPr="00E95C2C">
              <w:rPr>
                <w:rFonts w:asciiTheme="minorHAnsi" w:eastAsia="Calibri" w:hAnsiTheme="minorHAnsi" w:cstheme="minorHAnsi"/>
                <w:sz w:val="20"/>
                <w:szCs w:val="20"/>
              </w:rPr>
              <w:t xml:space="preserve">rior to the pandemic UNDP conducted a needs assessment of the emergency rooms throughout the health system and also helped to build cooperation among health departments and facilities from various countries to strengthen leadership development and health management, both of which </w:t>
            </w:r>
            <w:r>
              <w:rPr>
                <w:rFonts w:asciiTheme="minorHAnsi" w:eastAsia="Calibri" w:hAnsiTheme="minorHAnsi" w:cstheme="minorHAnsi"/>
                <w:sz w:val="20"/>
                <w:szCs w:val="20"/>
              </w:rPr>
              <w:t xml:space="preserve">contributed to improved </w:t>
            </w:r>
            <w:r w:rsidRPr="00E95C2C">
              <w:rPr>
                <w:rFonts w:asciiTheme="minorHAnsi" w:eastAsia="Calibri" w:hAnsiTheme="minorHAnsi" w:cstheme="minorHAnsi"/>
                <w:sz w:val="20"/>
                <w:szCs w:val="20"/>
              </w:rPr>
              <w:t xml:space="preserve">management </w:t>
            </w:r>
            <w:r>
              <w:rPr>
                <w:rFonts w:asciiTheme="minorHAnsi" w:eastAsia="Calibri" w:hAnsiTheme="minorHAnsi" w:cstheme="minorHAnsi"/>
                <w:sz w:val="20"/>
                <w:szCs w:val="20"/>
              </w:rPr>
              <w:t xml:space="preserve">during </w:t>
            </w:r>
            <w:r w:rsidRPr="00E95C2C">
              <w:rPr>
                <w:rFonts w:asciiTheme="minorHAnsi" w:eastAsia="Calibri" w:hAnsiTheme="minorHAnsi" w:cstheme="minorHAnsi"/>
                <w:sz w:val="20"/>
                <w:szCs w:val="20"/>
              </w:rPr>
              <w:t>the pandemic.</w:t>
            </w:r>
          </w:p>
          <w:p w14:paraId="135E579E" w14:textId="014AED81" w:rsidR="00AC009B" w:rsidRPr="00596C74" w:rsidRDefault="00060762" w:rsidP="004A3A68">
            <w:pPr>
              <w:numPr>
                <w:ilvl w:val="0"/>
                <w:numId w:val="31"/>
              </w:numPr>
              <w:pBdr>
                <w:top w:val="nil"/>
                <w:left w:val="nil"/>
                <w:bottom w:val="nil"/>
                <w:right w:val="nil"/>
                <w:between w:val="nil"/>
              </w:pBdr>
              <w:jc w:val="both"/>
              <w:rPr>
                <w:rFonts w:asciiTheme="minorHAnsi" w:eastAsia="Calibri" w:hAnsiTheme="minorHAnsi" w:cstheme="minorHAnsi"/>
                <w:sz w:val="20"/>
                <w:szCs w:val="20"/>
              </w:rPr>
            </w:pPr>
            <w:r>
              <w:rPr>
                <w:rFonts w:asciiTheme="minorHAnsi" w:eastAsia="Calibri" w:hAnsiTheme="minorHAnsi" w:cstheme="minorHAnsi"/>
                <w:sz w:val="20"/>
                <w:szCs w:val="20"/>
              </w:rPr>
              <w:t>UNDP also provided health support</w:t>
            </w:r>
            <w:r w:rsidR="006D4B90">
              <w:rPr>
                <w:rFonts w:asciiTheme="minorHAnsi" w:eastAsia="Calibri" w:hAnsiTheme="minorHAnsi" w:cstheme="minorHAnsi"/>
                <w:sz w:val="20"/>
                <w:szCs w:val="20"/>
              </w:rPr>
              <w:t xml:space="preserve"> in Aruba by procuring </w:t>
            </w:r>
            <w:r>
              <w:rPr>
                <w:rFonts w:asciiTheme="minorHAnsi" w:eastAsia="Calibri" w:hAnsiTheme="minorHAnsi" w:cstheme="minorHAnsi"/>
                <w:sz w:val="20"/>
                <w:szCs w:val="20"/>
              </w:rPr>
              <w:t>PPE</w:t>
            </w:r>
            <w:r w:rsidR="00A1734B">
              <w:rPr>
                <w:rFonts w:asciiTheme="minorHAnsi" w:eastAsia="Calibri" w:hAnsiTheme="minorHAnsi" w:cstheme="minorHAnsi"/>
                <w:sz w:val="20"/>
                <w:szCs w:val="20"/>
              </w:rPr>
              <w:t>, face shields,</w:t>
            </w:r>
            <w:r w:rsidR="006D4B90">
              <w:rPr>
                <w:rFonts w:asciiTheme="minorHAnsi" w:eastAsia="Calibri" w:hAnsiTheme="minorHAnsi" w:cstheme="minorHAnsi"/>
                <w:sz w:val="20"/>
                <w:szCs w:val="20"/>
              </w:rPr>
              <w:t xml:space="preserve"> </w:t>
            </w:r>
            <w:r w:rsidR="00A1734B">
              <w:rPr>
                <w:rFonts w:asciiTheme="minorHAnsi" w:eastAsia="Calibri" w:hAnsiTheme="minorHAnsi" w:cstheme="minorHAnsi"/>
                <w:sz w:val="20"/>
                <w:szCs w:val="20"/>
              </w:rPr>
              <w:t>goggles, examination gloves and medical gowns,</w:t>
            </w:r>
            <w:r>
              <w:rPr>
                <w:rFonts w:asciiTheme="minorHAnsi" w:eastAsia="Calibri" w:hAnsiTheme="minorHAnsi" w:cstheme="minorHAnsi"/>
                <w:sz w:val="20"/>
                <w:szCs w:val="20"/>
              </w:rPr>
              <w:t xml:space="preserve"> in response to the COVID-19 pandemi</w:t>
            </w:r>
            <w:r w:rsidR="006D4B90">
              <w:rPr>
                <w:rFonts w:asciiTheme="minorHAnsi" w:eastAsia="Calibri" w:hAnsiTheme="minorHAnsi" w:cstheme="minorHAnsi"/>
                <w:sz w:val="20"/>
                <w:szCs w:val="20"/>
              </w:rPr>
              <w:t>c</w:t>
            </w:r>
            <w:r>
              <w:rPr>
                <w:rFonts w:asciiTheme="minorHAnsi" w:eastAsia="Calibri" w:hAnsiTheme="minorHAnsi" w:cstheme="minorHAnsi"/>
                <w:sz w:val="20"/>
                <w:szCs w:val="20"/>
              </w:rPr>
              <w:t>.</w:t>
            </w:r>
          </w:p>
          <w:p w14:paraId="00000081" w14:textId="11F934DB" w:rsidR="00E81991" w:rsidRPr="00A544A9" w:rsidRDefault="00E81991" w:rsidP="00A544A9">
            <w:pPr>
              <w:rPr>
                <w:rFonts w:asciiTheme="minorHAnsi" w:eastAsia="Calibri" w:hAnsiTheme="minorHAnsi" w:cstheme="minorHAnsi"/>
                <w:color w:val="000000"/>
                <w:sz w:val="20"/>
                <w:szCs w:val="20"/>
              </w:rPr>
            </w:pPr>
          </w:p>
        </w:tc>
      </w:tr>
      <w:tr w:rsidR="00987B57" w14:paraId="45044D8F" w14:textId="77777777" w:rsidTr="00C77A86">
        <w:tc>
          <w:tcPr>
            <w:tcW w:w="3060" w:type="dxa"/>
            <w:shd w:val="clear" w:color="auto" w:fill="95B3D7"/>
          </w:tcPr>
          <w:p w14:paraId="00000086" w14:textId="77777777" w:rsidR="00C8511B" w:rsidRDefault="002624F2" w:rsidP="005F7BCF">
            <w:pPr>
              <w:widowControl/>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lastRenderedPageBreak/>
              <w:t>2. Capacity of public policy and rule of law institutions and civil society organizations strengthened.</w:t>
            </w:r>
          </w:p>
        </w:tc>
        <w:tc>
          <w:tcPr>
            <w:tcW w:w="1530" w:type="dxa"/>
            <w:gridSpan w:val="2"/>
            <w:shd w:val="clear" w:color="auto" w:fill="auto"/>
          </w:tcPr>
          <w:p w14:paraId="00000087" w14:textId="77777777" w:rsidR="00C8511B" w:rsidRPr="001B313B"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1B313B">
              <w:rPr>
                <w:rFonts w:asciiTheme="minorHAnsi" w:eastAsia="Calibri" w:hAnsiTheme="minorHAnsi" w:cstheme="minorHAnsi"/>
                <w:color w:val="000000"/>
                <w:sz w:val="20"/>
                <w:szCs w:val="20"/>
              </w:rPr>
              <w:t>$868,838</w:t>
            </w:r>
          </w:p>
        </w:tc>
        <w:tc>
          <w:tcPr>
            <w:tcW w:w="3960" w:type="dxa"/>
            <w:tcBorders>
              <w:left w:val="single" w:sz="4" w:space="0" w:color="000000"/>
            </w:tcBorders>
            <w:shd w:val="clear" w:color="auto" w:fill="auto"/>
          </w:tcPr>
          <w:p w14:paraId="139100C9" w14:textId="5570542C" w:rsidR="00D7680E" w:rsidRPr="007D3586" w:rsidRDefault="00D7680E" w:rsidP="007D3586">
            <w:pPr>
              <w:pStyle w:val="ListParagraph"/>
              <w:widowControl/>
              <w:numPr>
                <w:ilvl w:val="0"/>
                <w:numId w:val="14"/>
              </w:numPr>
              <w:rPr>
                <w:rFonts w:asciiTheme="minorHAnsi" w:hAnsiTheme="minorHAnsi" w:cstheme="minorHAnsi"/>
              </w:rPr>
            </w:pPr>
            <w:r w:rsidRPr="007D3586">
              <w:rPr>
                <w:rFonts w:asciiTheme="minorHAnsi" w:hAnsiTheme="minorHAnsi" w:cstheme="minorHAnsi"/>
                <w:color w:val="000000"/>
                <w:sz w:val="20"/>
                <w:szCs w:val="20"/>
              </w:rPr>
              <w:t xml:space="preserve">Capacities, functions and financing of rule of law and national human rights institutions and systems strengthened to expand access to justice and combat discrimination, with a focus on women and other </w:t>
            </w:r>
            <w:r w:rsidR="00060762" w:rsidRPr="007D3586">
              <w:rPr>
                <w:rFonts w:asciiTheme="minorHAnsi" w:hAnsiTheme="minorHAnsi" w:cstheme="minorHAnsi"/>
                <w:color w:val="000000"/>
                <w:sz w:val="20"/>
                <w:szCs w:val="20"/>
              </w:rPr>
              <w:t>marginalized</w:t>
            </w:r>
            <w:r w:rsidRPr="007D3586">
              <w:rPr>
                <w:rFonts w:asciiTheme="minorHAnsi" w:hAnsiTheme="minorHAnsi" w:cstheme="minorHAnsi"/>
                <w:color w:val="000000"/>
                <w:sz w:val="20"/>
                <w:szCs w:val="20"/>
              </w:rPr>
              <w:t xml:space="preserve"> groups</w:t>
            </w:r>
            <w:r w:rsidRPr="001B313B">
              <w:rPr>
                <w:rStyle w:val="FootnoteReference"/>
                <w:rFonts w:asciiTheme="minorHAnsi" w:hAnsiTheme="minorHAnsi" w:cstheme="minorHAnsi"/>
                <w:color w:val="000000"/>
                <w:sz w:val="20"/>
              </w:rPr>
              <w:footnoteReference w:id="6"/>
            </w:r>
          </w:p>
          <w:p w14:paraId="3CD7CCCD" w14:textId="77777777" w:rsidR="00D7680E" w:rsidRPr="001B313B" w:rsidRDefault="00D7680E" w:rsidP="00D7680E">
            <w:pPr>
              <w:pStyle w:val="Default"/>
              <w:jc w:val="both"/>
              <w:rPr>
                <w:rFonts w:asciiTheme="minorHAnsi" w:hAnsiTheme="minorHAnsi" w:cstheme="minorHAnsi"/>
                <w:color w:val="000000" w:themeColor="text1"/>
                <w:sz w:val="20"/>
                <w:szCs w:val="20"/>
              </w:rPr>
            </w:pPr>
          </w:p>
          <w:p w14:paraId="00000089" w14:textId="1A785E39" w:rsidR="00C8511B" w:rsidRPr="003A7341" w:rsidRDefault="00D7680E" w:rsidP="003A7341">
            <w:pPr>
              <w:pStyle w:val="ListParagraph"/>
              <w:widowControl/>
              <w:numPr>
                <w:ilvl w:val="0"/>
                <w:numId w:val="14"/>
              </w:numPr>
              <w:pBdr>
                <w:top w:val="nil"/>
                <w:left w:val="nil"/>
                <w:bottom w:val="nil"/>
                <w:right w:val="nil"/>
                <w:between w:val="nil"/>
              </w:pBdr>
              <w:jc w:val="both"/>
              <w:rPr>
                <w:rFonts w:asciiTheme="minorHAnsi" w:eastAsia="Calibri" w:hAnsiTheme="minorHAnsi" w:cstheme="minorHAnsi"/>
                <w:color w:val="000000"/>
              </w:rPr>
            </w:pPr>
            <w:r w:rsidRPr="003A7341">
              <w:rPr>
                <w:rFonts w:asciiTheme="minorHAnsi" w:hAnsiTheme="minorHAnsi" w:cstheme="minorHAnsi"/>
                <w:color w:val="000000" w:themeColor="text1"/>
                <w:sz w:val="20"/>
                <w:szCs w:val="20"/>
              </w:rPr>
              <w:t xml:space="preserve">National and local systems </w:t>
            </w:r>
            <w:proofErr w:type="gramStart"/>
            <w:r w:rsidRPr="003A7341">
              <w:rPr>
                <w:rFonts w:asciiTheme="minorHAnsi" w:hAnsiTheme="minorHAnsi" w:cstheme="minorHAnsi"/>
                <w:color w:val="000000" w:themeColor="text1"/>
                <w:sz w:val="20"/>
                <w:szCs w:val="20"/>
              </w:rPr>
              <w:t>enabled</w:t>
            </w:r>
            <w:proofErr w:type="gramEnd"/>
            <w:r w:rsidRPr="003A7341">
              <w:rPr>
                <w:rFonts w:asciiTheme="minorHAnsi" w:hAnsiTheme="minorHAnsi" w:cstheme="minorHAnsi"/>
                <w:color w:val="000000" w:themeColor="text1"/>
                <w:sz w:val="20"/>
                <w:szCs w:val="20"/>
              </w:rPr>
              <w:t xml:space="preserve"> and communities empowered to ensure the restoration of justice institutions, redress mechanisms and community security</w:t>
            </w:r>
            <w:r w:rsidR="002624F2" w:rsidRPr="001B313B">
              <w:rPr>
                <w:rFonts w:eastAsia="Calibri"/>
                <w:color w:val="000000"/>
                <w:vertAlign w:val="superscript"/>
              </w:rPr>
              <w:footnoteReference w:id="7"/>
            </w:r>
            <w:r w:rsidR="002624F2" w:rsidRPr="003A7341">
              <w:rPr>
                <w:rFonts w:asciiTheme="minorHAnsi" w:eastAsia="Calibri" w:hAnsiTheme="minorHAnsi" w:cstheme="minorHAnsi"/>
                <w:color w:val="000000"/>
                <w:sz w:val="20"/>
                <w:szCs w:val="20"/>
              </w:rPr>
              <w:t xml:space="preserve"> </w:t>
            </w:r>
          </w:p>
        </w:tc>
        <w:tc>
          <w:tcPr>
            <w:tcW w:w="5490" w:type="dxa"/>
            <w:shd w:val="clear" w:color="auto" w:fill="auto"/>
          </w:tcPr>
          <w:p w14:paraId="2416C0A0" w14:textId="183D9073" w:rsidR="004175A9" w:rsidRDefault="00B879F5" w:rsidP="00A443AF">
            <w:pPr>
              <w:numPr>
                <w:ilvl w:val="0"/>
                <w:numId w:val="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The GORTT passed two major efforts in support of women’s rights: </w:t>
            </w:r>
            <w:r w:rsidR="00103D31">
              <w:rPr>
                <w:rFonts w:ascii="Calibri" w:eastAsia="Calibri" w:hAnsi="Calibri" w:cs="Calibri"/>
                <w:color w:val="000000"/>
                <w:sz w:val="20"/>
                <w:szCs w:val="20"/>
              </w:rPr>
              <w:t>t</w:t>
            </w:r>
            <w:r w:rsidR="00732422">
              <w:rPr>
                <w:rFonts w:ascii="Calibri" w:eastAsia="Calibri" w:hAnsi="Calibri" w:cs="Calibri"/>
                <w:color w:val="000000"/>
                <w:sz w:val="20"/>
                <w:szCs w:val="20"/>
              </w:rPr>
              <w:t xml:space="preserve">he </w:t>
            </w:r>
            <w:r w:rsidR="004175A9" w:rsidRPr="00B20A01">
              <w:rPr>
                <w:rFonts w:ascii="Calibri" w:eastAsia="Calibri" w:hAnsi="Calibri" w:cs="Calibri"/>
                <w:color w:val="000000"/>
                <w:sz w:val="20"/>
                <w:szCs w:val="20"/>
              </w:rPr>
              <w:t>Marriage Act</w:t>
            </w:r>
            <w:r w:rsidR="00103D31">
              <w:rPr>
                <w:rFonts w:ascii="Calibri" w:eastAsia="Calibri" w:hAnsi="Calibri" w:cs="Calibri"/>
                <w:color w:val="000000"/>
                <w:sz w:val="20"/>
                <w:szCs w:val="20"/>
              </w:rPr>
              <w:t xml:space="preserve"> </w:t>
            </w:r>
            <w:r w:rsidR="004175A9" w:rsidRPr="00B20A01">
              <w:rPr>
                <w:rFonts w:ascii="Calibri" w:eastAsia="Calibri" w:hAnsi="Calibri" w:cs="Calibri"/>
                <w:color w:val="000000"/>
                <w:sz w:val="20"/>
                <w:szCs w:val="20"/>
              </w:rPr>
              <w:t xml:space="preserve">abolished child marriages and the National Workplace Policy </w:t>
            </w:r>
            <w:r w:rsidR="00103D31">
              <w:rPr>
                <w:rFonts w:ascii="Calibri" w:eastAsia="Calibri" w:hAnsi="Calibri" w:cs="Calibri"/>
                <w:color w:val="000000"/>
                <w:sz w:val="20"/>
                <w:szCs w:val="20"/>
              </w:rPr>
              <w:t xml:space="preserve">addressed </w:t>
            </w:r>
            <w:r w:rsidR="004175A9" w:rsidRPr="00B20A01">
              <w:rPr>
                <w:rFonts w:ascii="Calibri" w:eastAsia="Calibri" w:hAnsi="Calibri" w:cs="Calibri"/>
                <w:color w:val="000000"/>
                <w:sz w:val="20"/>
                <w:szCs w:val="20"/>
              </w:rPr>
              <w:t>Sexual Harassment.</w:t>
            </w:r>
          </w:p>
          <w:p w14:paraId="27D8EF12" w14:textId="31098C28" w:rsidR="00DB6C93" w:rsidRDefault="00DB6C93" w:rsidP="00DB6C93">
            <w:pPr>
              <w:numPr>
                <w:ilvl w:val="0"/>
                <w:numId w:val="6"/>
              </w:numPr>
              <w:pBdr>
                <w:top w:val="nil"/>
                <w:left w:val="nil"/>
                <w:bottom w:val="nil"/>
                <w:right w:val="nil"/>
                <w:between w:val="nil"/>
              </w:pBdr>
              <w:jc w:val="both"/>
              <w:rPr>
                <w:rFonts w:ascii="Calibri" w:eastAsia="Calibri" w:hAnsi="Calibri" w:cs="Calibri"/>
                <w:color w:val="000000"/>
                <w:sz w:val="20"/>
                <w:szCs w:val="20"/>
              </w:rPr>
            </w:pPr>
            <w:r w:rsidRPr="00DB6C93">
              <w:rPr>
                <w:rFonts w:ascii="Calibri" w:eastAsia="Calibri" w:hAnsi="Calibri" w:cs="Calibri"/>
                <w:color w:val="000000"/>
                <w:sz w:val="20"/>
                <w:szCs w:val="20"/>
              </w:rPr>
              <w:t>There has been a downward decline in women elected to Parliament in 2020 as compared to 2015, from 29% to 26%</w:t>
            </w:r>
            <w:r w:rsidR="00EB7EC1">
              <w:rPr>
                <w:rFonts w:ascii="Calibri" w:eastAsia="Calibri" w:hAnsi="Calibri" w:cs="Calibri"/>
                <w:color w:val="000000"/>
                <w:sz w:val="20"/>
                <w:szCs w:val="20"/>
              </w:rPr>
              <w:t>;</w:t>
            </w:r>
            <w:r w:rsidRPr="00DB6C93">
              <w:rPr>
                <w:rFonts w:ascii="Calibri" w:eastAsia="Calibri" w:hAnsi="Calibri" w:cs="Calibri"/>
                <w:color w:val="000000"/>
                <w:sz w:val="20"/>
                <w:szCs w:val="20"/>
              </w:rPr>
              <w:t xml:space="preserve"> still significantly below the minimum threshold level </w:t>
            </w:r>
            <w:r w:rsidR="00EB7EC1" w:rsidRPr="00DB6C93">
              <w:rPr>
                <w:rFonts w:ascii="Calibri" w:eastAsia="Calibri" w:hAnsi="Calibri" w:cs="Calibri"/>
                <w:color w:val="000000"/>
                <w:sz w:val="20"/>
                <w:szCs w:val="20"/>
              </w:rPr>
              <w:t>of 30%</w:t>
            </w:r>
            <w:r w:rsidR="00EB7EC1">
              <w:rPr>
                <w:rFonts w:ascii="Calibri" w:eastAsia="Calibri" w:hAnsi="Calibri" w:cs="Calibri"/>
                <w:color w:val="000000"/>
                <w:sz w:val="20"/>
                <w:szCs w:val="20"/>
              </w:rPr>
              <w:t xml:space="preserve"> </w:t>
            </w:r>
            <w:r w:rsidRPr="00DB6C93">
              <w:rPr>
                <w:rFonts w:ascii="Calibri" w:eastAsia="Calibri" w:hAnsi="Calibri" w:cs="Calibri"/>
                <w:color w:val="000000"/>
                <w:sz w:val="20"/>
                <w:szCs w:val="20"/>
              </w:rPr>
              <w:t>for leadership and political participation.</w:t>
            </w:r>
          </w:p>
          <w:p w14:paraId="0000008B" w14:textId="2F0DD18B" w:rsidR="00C8511B" w:rsidRDefault="005B0C9B" w:rsidP="00A443AF">
            <w:pPr>
              <w:numPr>
                <w:ilvl w:val="0"/>
                <w:numId w:val="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Implementation of CEDAW recommendations was strengthened by increasing NGO capacity </w:t>
            </w:r>
            <w:r w:rsidR="002624F2">
              <w:rPr>
                <w:rFonts w:ascii="Calibri" w:eastAsia="Calibri" w:hAnsi="Calibri" w:cs="Calibri"/>
                <w:color w:val="000000"/>
                <w:sz w:val="20"/>
                <w:szCs w:val="20"/>
              </w:rPr>
              <w:t>in gender policy and by ongoing dialogue between NGOs and the Gender Affairs Division of the Office of the Prime Minister (2017-2020)</w:t>
            </w:r>
            <w:r w:rsidR="00D97E0B">
              <w:rPr>
                <w:rFonts w:ascii="Calibri" w:eastAsia="Calibri" w:hAnsi="Calibri" w:cs="Calibri"/>
                <w:color w:val="000000"/>
                <w:sz w:val="20"/>
                <w:szCs w:val="20"/>
              </w:rPr>
              <w:t>.</w:t>
            </w:r>
            <w:r w:rsidR="002624F2">
              <w:rPr>
                <w:rFonts w:ascii="Calibri" w:eastAsia="Calibri" w:hAnsi="Calibri" w:cs="Calibri"/>
                <w:color w:val="000000"/>
                <w:sz w:val="20"/>
                <w:szCs w:val="20"/>
              </w:rPr>
              <w:t xml:space="preserve"> </w:t>
            </w:r>
          </w:p>
          <w:p w14:paraId="0000008C" w14:textId="4D116126" w:rsidR="00C8511B" w:rsidRDefault="00F910C8" w:rsidP="00B23323">
            <w:pPr>
              <w:numPr>
                <w:ilvl w:val="0"/>
                <w:numId w:val="6"/>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The establishment of a Central Registry on Domestic </w:t>
            </w:r>
            <w:r>
              <w:rPr>
                <w:rFonts w:ascii="Calibri" w:eastAsia="Calibri" w:hAnsi="Calibri" w:cs="Calibri"/>
                <w:color w:val="000000"/>
                <w:sz w:val="20"/>
                <w:szCs w:val="20"/>
              </w:rPr>
              <w:lastRenderedPageBreak/>
              <w:t xml:space="preserve">Violence at the Office of the Prime Minister provides critical data on survivors and perpetrators of domestic violence, informing government efforts related to DV </w:t>
            </w:r>
            <w:r w:rsidR="004E410A">
              <w:rPr>
                <w:rFonts w:ascii="Calibri" w:eastAsia="Calibri" w:hAnsi="Calibri" w:cs="Calibri"/>
                <w:color w:val="000000"/>
                <w:sz w:val="20"/>
                <w:szCs w:val="20"/>
              </w:rPr>
              <w:t xml:space="preserve">and </w:t>
            </w:r>
            <w:r>
              <w:rPr>
                <w:rFonts w:ascii="Calibri" w:eastAsia="Calibri" w:hAnsi="Calibri" w:cs="Calibri"/>
                <w:color w:val="000000"/>
                <w:sz w:val="20"/>
                <w:szCs w:val="20"/>
              </w:rPr>
              <w:t>contributes to government data on poverty</w:t>
            </w:r>
            <w:r w:rsidR="00945E8D">
              <w:rPr>
                <w:rFonts w:ascii="Calibri" w:eastAsia="Calibri" w:hAnsi="Calibri" w:cs="Calibri"/>
                <w:color w:val="000000"/>
                <w:sz w:val="20"/>
                <w:szCs w:val="20"/>
              </w:rPr>
              <w:t xml:space="preserve">. </w:t>
            </w:r>
          </w:p>
          <w:p w14:paraId="00000095" w14:textId="37D21BB6" w:rsidR="00C8511B" w:rsidRPr="00790C8D" w:rsidRDefault="00145794" w:rsidP="00790C8D">
            <w:pPr>
              <w:numPr>
                <w:ilvl w:val="0"/>
                <w:numId w:val="4"/>
              </w:numPr>
              <w:jc w:val="both"/>
              <w:rPr>
                <w:rFonts w:ascii="Calibri" w:eastAsia="Calibri" w:hAnsi="Calibri" w:cs="Calibri"/>
                <w:color w:val="000000"/>
                <w:sz w:val="20"/>
                <w:szCs w:val="20"/>
              </w:rPr>
            </w:pPr>
            <w:r>
              <w:rPr>
                <w:rFonts w:ascii="Calibri" w:eastAsia="Calibri" w:hAnsi="Calibri" w:cs="Calibri"/>
                <w:color w:val="000000"/>
                <w:sz w:val="20"/>
                <w:szCs w:val="20"/>
              </w:rPr>
              <w:t xml:space="preserve">VNR </w:t>
            </w:r>
            <w:r w:rsidR="003913B5">
              <w:rPr>
                <w:rFonts w:ascii="Calibri" w:eastAsia="Calibri" w:hAnsi="Calibri" w:cs="Calibri"/>
                <w:color w:val="000000"/>
                <w:sz w:val="20"/>
                <w:szCs w:val="20"/>
              </w:rPr>
              <w:t xml:space="preserve">published </w:t>
            </w:r>
            <w:r>
              <w:rPr>
                <w:rFonts w:ascii="Calibri" w:eastAsia="Calibri" w:hAnsi="Calibri" w:cs="Calibri"/>
                <w:color w:val="000000"/>
                <w:sz w:val="20"/>
                <w:szCs w:val="20"/>
              </w:rPr>
              <w:t>for first time</w:t>
            </w:r>
            <w:r w:rsidR="003913B5">
              <w:rPr>
                <w:rFonts w:ascii="Calibri" w:eastAsia="Calibri" w:hAnsi="Calibri" w:cs="Calibri"/>
                <w:color w:val="000000"/>
                <w:sz w:val="20"/>
                <w:szCs w:val="20"/>
              </w:rPr>
              <w:t xml:space="preserve"> in 2020.  </w:t>
            </w:r>
          </w:p>
        </w:tc>
      </w:tr>
      <w:tr w:rsidR="00A30080" w14:paraId="512048BB" w14:textId="77777777" w:rsidTr="00F81FC8">
        <w:tc>
          <w:tcPr>
            <w:tcW w:w="14040" w:type="dxa"/>
            <w:gridSpan w:val="5"/>
            <w:shd w:val="clear" w:color="auto" w:fill="auto"/>
          </w:tcPr>
          <w:p w14:paraId="00000096" w14:textId="2D40B826" w:rsidR="00C8511B" w:rsidRDefault="002624F2">
            <w:pPr>
              <w:widowControl/>
              <w:pBdr>
                <w:top w:val="nil"/>
                <w:left w:val="nil"/>
                <w:bottom w:val="nil"/>
                <w:right w:val="nil"/>
                <w:between w:val="nil"/>
              </w:pBdr>
              <w:jc w:val="both"/>
              <w:rPr>
                <w:rFonts w:asciiTheme="minorHAnsi" w:eastAsia="Calibri" w:hAnsiTheme="minorHAnsi" w:cstheme="minorHAnsi"/>
                <w:b/>
                <w:color w:val="000000"/>
                <w:sz w:val="20"/>
                <w:szCs w:val="20"/>
              </w:rPr>
            </w:pPr>
            <w:r w:rsidRPr="004C0BC0">
              <w:rPr>
                <w:rFonts w:asciiTheme="minorHAnsi" w:eastAsia="Calibri" w:hAnsiTheme="minorHAnsi" w:cstheme="minorHAnsi"/>
                <w:b/>
                <w:color w:val="000000"/>
                <w:sz w:val="20"/>
                <w:szCs w:val="20"/>
              </w:rPr>
              <w:lastRenderedPageBreak/>
              <w:t>UNDP Contribution:</w:t>
            </w:r>
          </w:p>
          <w:p w14:paraId="17B6349C" w14:textId="77777777" w:rsidR="00CD0B12" w:rsidRDefault="00CD0B12" w:rsidP="00CD0B12">
            <w:pPr>
              <w:widowControl/>
              <w:pBdr>
                <w:top w:val="nil"/>
                <w:left w:val="nil"/>
                <w:bottom w:val="nil"/>
                <w:right w:val="nil"/>
                <w:between w:val="nil"/>
              </w:pBdr>
              <w:jc w:val="both"/>
              <w:rPr>
                <w:rFonts w:asciiTheme="minorHAnsi" w:eastAsia="Calibri" w:hAnsiTheme="minorHAnsi" w:cstheme="minorHAnsi"/>
                <w:color w:val="000000"/>
                <w:sz w:val="20"/>
                <w:szCs w:val="20"/>
                <w:u w:val="single"/>
              </w:rPr>
            </w:pPr>
          </w:p>
          <w:p w14:paraId="491B4364" w14:textId="35F51F15" w:rsidR="00CD0B12" w:rsidRPr="00286935" w:rsidRDefault="00CD0B12" w:rsidP="00CD0B12">
            <w:pPr>
              <w:widowControl/>
              <w:pBdr>
                <w:top w:val="nil"/>
                <w:left w:val="nil"/>
                <w:bottom w:val="nil"/>
                <w:right w:val="nil"/>
                <w:between w:val="nil"/>
              </w:pBdr>
              <w:jc w:val="both"/>
              <w:rPr>
                <w:rFonts w:asciiTheme="minorHAnsi" w:eastAsia="Calibri" w:hAnsiTheme="minorHAnsi" w:cstheme="minorHAnsi"/>
                <w:color w:val="000000"/>
                <w:sz w:val="20"/>
                <w:szCs w:val="20"/>
              </w:rPr>
            </w:pPr>
            <w:r w:rsidRPr="00286935">
              <w:rPr>
                <w:rFonts w:asciiTheme="minorHAnsi" w:eastAsia="Calibri" w:hAnsiTheme="minorHAnsi" w:cstheme="minorHAnsi"/>
                <w:color w:val="000000"/>
                <w:sz w:val="20"/>
                <w:szCs w:val="20"/>
                <w:u w:val="single"/>
              </w:rPr>
              <w:t>CP Outputs</w:t>
            </w:r>
            <w:r w:rsidRPr="00286935">
              <w:rPr>
                <w:rFonts w:asciiTheme="minorHAnsi" w:eastAsia="Calibri" w:hAnsiTheme="minorHAnsi" w:cstheme="minorHAnsi"/>
                <w:color w:val="000000"/>
                <w:sz w:val="20"/>
                <w:szCs w:val="20"/>
              </w:rPr>
              <w:t>:</w:t>
            </w:r>
          </w:p>
          <w:p w14:paraId="2EF1450E" w14:textId="77777777" w:rsidR="00835A82" w:rsidRDefault="002624F2" w:rsidP="00835A82">
            <w:pPr>
              <w:pStyle w:val="ListParagraph"/>
              <w:widowControl/>
              <w:numPr>
                <w:ilvl w:val="1"/>
                <w:numId w:val="14"/>
              </w:numPr>
              <w:pBdr>
                <w:top w:val="nil"/>
                <w:left w:val="nil"/>
                <w:bottom w:val="nil"/>
                <w:right w:val="nil"/>
                <w:between w:val="nil"/>
              </w:pBdr>
              <w:jc w:val="both"/>
              <w:rPr>
                <w:rFonts w:asciiTheme="minorHAnsi" w:eastAsia="Calibri" w:hAnsiTheme="minorHAnsi" w:cstheme="minorHAnsi"/>
                <w:color w:val="000000"/>
                <w:sz w:val="20"/>
                <w:szCs w:val="20"/>
              </w:rPr>
            </w:pPr>
            <w:r w:rsidRPr="00835A82">
              <w:rPr>
                <w:rFonts w:asciiTheme="minorHAnsi" w:eastAsia="Calibri" w:hAnsiTheme="minorHAnsi" w:cstheme="minorHAnsi"/>
                <w:color w:val="000000"/>
                <w:sz w:val="20"/>
                <w:szCs w:val="20"/>
              </w:rPr>
              <w:t>Assisting in the development of policies to strengthen transparency and accountability for various Government Institutions</w:t>
            </w:r>
          </w:p>
          <w:p w14:paraId="00000098" w14:textId="279C36DB" w:rsidR="00C8511B" w:rsidRPr="00835A82" w:rsidRDefault="002624F2" w:rsidP="00835A82">
            <w:pPr>
              <w:pStyle w:val="ListParagraph"/>
              <w:widowControl/>
              <w:numPr>
                <w:ilvl w:val="1"/>
                <w:numId w:val="14"/>
              </w:numPr>
              <w:pBdr>
                <w:top w:val="nil"/>
                <w:left w:val="nil"/>
                <w:bottom w:val="nil"/>
                <w:right w:val="nil"/>
                <w:between w:val="nil"/>
              </w:pBdr>
              <w:jc w:val="both"/>
              <w:rPr>
                <w:rFonts w:asciiTheme="minorHAnsi" w:eastAsia="Calibri" w:hAnsiTheme="minorHAnsi" w:cstheme="minorHAnsi"/>
                <w:color w:val="000000"/>
                <w:sz w:val="20"/>
                <w:szCs w:val="20"/>
              </w:rPr>
            </w:pPr>
            <w:r w:rsidRPr="00835A82">
              <w:rPr>
                <w:rFonts w:asciiTheme="minorHAnsi" w:eastAsia="Calibri" w:hAnsiTheme="minorHAnsi" w:cstheme="minorHAnsi"/>
                <w:color w:val="000000"/>
                <w:sz w:val="20"/>
                <w:szCs w:val="20"/>
              </w:rPr>
              <w:t>Facilitating citizen participation in democratic governance.</w:t>
            </w:r>
          </w:p>
          <w:p w14:paraId="00000099" w14:textId="77777777" w:rsidR="00C8511B" w:rsidRPr="004C0BC0" w:rsidRDefault="00C8511B">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0000009A" w14:textId="77777777" w:rsidR="00C8511B" w:rsidRPr="004C0BC0"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4C0BC0">
              <w:rPr>
                <w:rFonts w:asciiTheme="minorHAnsi" w:eastAsia="Calibri" w:hAnsiTheme="minorHAnsi" w:cstheme="minorHAnsi"/>
                <w:color w:val="000000"/>
                <w:sz w:val="20"/>
                <w:szCs w:val="20"/>
                <w:u w:val="single"/>
              </w:rPr>
              <w:t>Progress and Achievements</w:t>
            </w:r>
            <w:r w:rsidRPr="004C0BC0">
              <w:rPr>
                <w:rFonts w:asciiTheme="minorHAnsi" w:eastAsia="Calibri" w:hAnsiTheme="minorHAnsi" w:cstheme="minorHAnsi"/>
                <w:color w:val="000000"/>
                <w:sz w:val="20"/>
                <w:szCs w:val="20"/>
              </w:rPr>
              <w:t>:</w:t>
            </w:r>
          </w:p>
          <w:p w14:paraId="0000009B" w14:textId="77777777" w:rsidR="00C8511B" w:rsidRPr="004C0BC0" w:rsidRDefault="00C8511B">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20EBFAE2" w14:textId="2A577AF4" w:rsidR="00525266" w:rsidRPr="00601EF6" w:rsidRDefault="002051CC" w:rsidP="003913B5">
            <w:pPr>
              <w:pStyle w:val="ListParagraph"/>
              <w:numPr>
                <w:ilvl w:val="0"/>
                <w:numId w:val="33"/>
              </w:numPr>
              <w:pBdr>
                <w:top w:val="nil"/>
                <w:left w:val="nil"/>
                <w:bottom w:val="nil"/>
                <w:right w:val="nil"/>
                <w:between w:val="nil"/>
              </w:pBdr>
              <w:rPr>
                <w:rFonts w:ascii="Calibri" w:eastAsia="Calibri" w:hAnsi="Calibri" w:cs="Calibri"/>
                <w:color w:val="000000"/>
                <w:sz w:val="20"/>
                <w:szCs w:val="20"/>
              </w:rPr>
            </w:pPr>
            <w:r>
              <w:rPr>
                <w:rFonts w:asciiTheme="minorHAnsi" w:eastAsia="Calibri" w:hAnsiTheme="minorHAnsi" w:cstheme="minorHAnsi"/>
                <w:color w:val="000000"/>
                <w:sz w:val="20"/>
                <w:szCs w:val="20"/>
              </w:rPr>
              <w:t xml:space="preserve">UNDP facilitated a </w:t>
            </w:r>
            <w:r w:rsidR="005607B8" w:rsidRPr="00601EF6">
              <w:rPr>
                <w:rFonts w:asciiTheme="minorHAnsi" w:eastAsia="Calibri" w:hAnsiTheme="minorHAnsi" w:cstheme="minorHAnsi"/>
                <w:color w:val="000000"/>
                <w:sz w:val="20"/>
                <w:szCs w:val="20"/>
              </w:rPr>
              <w:t xml:space="preserve">review </w:t>
            </w:r>
            <w:r w:rsidR="002624F2" w:rsidRPr="00601EF6">
              <w:rPr>
                <w:rFonts w:asciiTheme="minorHAnsi" w:eastAsia="Calibri" w:hAnsiTheme="minorHAnsi" w:cstheme="minorHAnsi"/>
                <w:color w:val="000000"/>
                <w:sz w:val="20"/>
                <w:szCs w:val="20"/>
              </w:rPr>
              <w:t>of 2013-2018 Parliament of the Republic of Trinidad and Tobago Strategic Plan</w:t>
            </w:r>
            <w:r>
              <w:rPr>
                <w:rFonts w:asciiTheme="minorHAnsi" w:eastAsia="Calibri" w:hAnsiTheme="minorHAnsi" w:cstheme="minorHAnsi"/>
                <w:color w:val="000000"/>
                <w:sz w:val="20"/>
                <w:szCs w:val="20"/>
              </w:rPr>
              <w:t>. The</w:t>
            </w:r>
            <w:r w:rsidR="00110078">
              <w:rPr>
                <w:rFonts w:asciiTheme="minorHAnsi" w:eastAsia="Calibri" w:hAnsiTheme="minorHAnsi" w:cstheme="minorHAnsi"/>
                <w:color w:val="000000"/>
                <w:sz w:val="20"/>
                <w:szCs w:val="20"/>
              </w:rPr>
              <w:t xml:space="preserve"> recommendations</w:t>
            </w:r>
            <w:r w:rsidR="00390352" w:rsidRPr="00601EF6">
              <w:rPr>
                <w:rFonts w:asciiTheme="minorHAnsi" w:eastAsia="Calibri" w:hAnsiTheme="minorHAnsi" w:cstheme="minorHAnsi"/>
                <w:color w:val="000000"/>
                <w:sz w:val="20"/>
                <w:szCs w:val="20"/>
              </w:rPr>
              <w:t xml:space="preserve"> </w:t>
            </w:r>
            <w:r>
              <w:rPr>
                <w:rFonts w:asciiTheme="minorHAnsi" w:eastAsia="Calibri" w:hAnsiTheme="minorHAnsi" w:cstheme="minorHAnsi"/>
                <w:color w:val="000000"/>
                <w:sz w:val="20"/>
                <w:szCs w:val="20"/>
              </w:rPr>
              <w:t xml:space="preserve">from that review </w:t>
            </w:r>
            <w:r w:rsidR="009266BB">
              <w:rPr>
                <w:rFonts w:asciiTheme="minorHAnsi" w:hAnsiTheme="minorHAnsi" w:cstheme="minorHAnsi"/>
                <w:sz w:val="20"/>
                <w:szCs w:val="20"/>
              </w:rPr>
              <w:t xml:space="preserve">informed </w:t>
            </w:r>
            <w:r w:rsidR="00110078">
              <w:rPr>
                <w:rFonts w:asciiTheme="minorHAnsi" w:hAnsiTheme="minorHAnsi" w:cstheme="minorHAnsi"/>
                <w:sz w:val="20"/>
                <w:szCs w:val="20"/>
              </w:rPr>
              <w:t xml:space="preserve">the </w:t>
            </w:r>
            <w:r w:rsidR="001B7BB0">
              <w:rPr>
                <w:rFonts w:asciiTheme="minorHAnsi" w:hAnsiTheme="minorHAnsi" w:cstheme="minorHAnsi"/>
                <w:sz w:val="20"/>
                <w:szCs w:val="20"/>
              </w:rPr>
              <w:t>government</w:t>
            </w:r>
            <w:r w:rsidR="004F4F07">
              <w:rPr>
                <w:rFonts w:asciiTheme="minorHAnsi" w:hAnsiTheme="minorHAnsi" w:cstheme="minorHAnsi"/>
                <w:sz w:val="20"/>
                <w:szCs w:val="20"/>
              </w:rPr>
              <w:t>’s</w:t>
            </w:r>
            <w:r w:rsidR="001B7BB0">
              <w:rPr>
                <w:rFonts w:asciiTheme="minorHAnsi" w:hAnsiTheme="minorHAnsi" w:cstheme="minorHAnsi"/>
                <w:sz w:val="20"/>
                <w:szCs w:val="20"/>
              </w:rPr>
              <w:t xml:space="preserve"> </w:t>
            </w:r>
            <w:r w:rsidR="00390352" w:rsidRPr="00601EF6">
              <w:rPr>
                <w:rFonts w:asciiTheme="minorHAnsi" w:hAnsiTheme="minorHAnsi" w:cstheme="minorHAnsi"/>
                <w:sz w:val="20"/>
                <w:szCs w:val="20"/>
              </w:rPr>
              <w:t xml:space="preserve">Action Plan </w:t>
            </w:r>
            <w:r w:rsidR="00CF75E0" w:rsidRPr="00601EF6">
              <w:rPr>
                <w:rFonts w:asciiTheme="minorHAnsi" w:hAnsiTheme="minorHAnsi" w:cstheme="minorHAnsi"/>
                <w:sz w:val="20"/>
                <w:szCs w:val="20"/>
              </w:rPr>
              <w:t>(</w:t>
            </w:r>
            <w:r w:rsidR="00390352" w:rsidRPr="00601EF6">
              <w:rPr>
                <w:rFonts w:asciiTheme="minorHAnsi" w:hAnsiTheme="minorHAnsi" w:cstheme="minorHAnsi"/>
                <w:sz w:val="20"/>
                <w:szCs w:val="20"/>
              </w:rPr>
              <w:t xml:space="preserve">2020 </w:t>
            </w:r>
            <w:r w:rsidR="00CF75E0" w:rsidRPr="00601EF6">
              <w:rPr>
                <w:rFonts w:asciiTheme="minorHAnsi" w:hAnsiTheme="minorHAnsi" w:cstheme="minorHAnsi"/>
                <w:sz w:val="20"/>
                <w:szCs w:val="20"/>
              </w:rPr>
              <w:t>–</w:t>
            </w:r>
            <w:r w:rsidR="00390352" w:rsidRPr="00601EF6">
              <w:rPr>
                <w:rFonts w:asciiTheme="minorHAnsi" w:hAnsiTheme="minorHAnsi" w:cstheme="minorHAnsi"/>
                <w:sz w:val="20"/>
                <w:szCs w:val="20"/>
              </w:rPr>
              <w:t xml:space="preserve"> 2022</w:t>
            </w:r>
            <w:r w:rsidR="00CF75E0" w:rsidRPr="00601EF6">
              <w:rPr>
                <w:rFonts w:asciiTheme="minorHAnsi" w:hAnsiTheme="minorHAnsi" w:cstheme="minorHAnsi"/>
                <w:sz w:val="20"/>
                <w:szCs w:val="20"/>
              </w:rPr>
              <w:t>)</w:t>
            </w:r>
            <w:r>
              <w:rPr>
                <w:rFonts w:asciiTheme="minorHAnsi" w:hAnsiTheme="minorHAnsi" w:cstheme="minorHAnsi"/>
                <w:sz w:val="20"/>
                <w:szCs w:val="20"/>
              </w:rPr>
              <w:t xml:space="preserve"> that outlines concrete steps for </w:t>
            </w:r>
            <w:r w:rsidR="00AB2874">
              <w:rPr>
                <w:rFonts w:asciiTheme="minorHAnsi" w:hAnsiTheme="minorHAnsi" w:cstheme="minorHAnsi"/>
                <w:sz w:val="20"/>
                <w:szCs w:val="20"/>
              </w:rPr>
              <w:t>continu</w:t>
            </w:r>
            <w:r>
              <w:rPr>
                <w:rFonts w:asciiTheme="minorHAnsi" w:hAnsiTheme="minorHAnsi" w:cstheme="minorHAnsi"/>
                <w:sz w:val="20"/>
                <w:szCs w:val="20"/>
              </w:rPr>
              <w:t>ing to address components of</w:t>
            </w:r>
            <w:r w:rsidR="00AB2874">
              <w:rPr>
                <w:rFonts w:asciiTheme="minorHAnsi" w:hAnsiTheme="minorHAnsi" w:cstheme="minorHAnsi"/>
                <w:sz w:val="20"/>
                <w:szCs w:val="20"/>
              </w:rPr>
              <w:t xml:space="preserve"> the </w:t>
            </w:r>
            <w:r>
              <w:rPr>
                <w:rFonts w:asciiTheme="minorHAnsi" w:hAnsiTheme="minorHAnsi" w:cstheme="minorHAnsi"/>
                <w:sz w:val="20"/>
                <w:szCs w:val="20"/>
              </w:rPr>
              <w:t>Strategic Plan, namely</w:t>
            </w:r>
            <w:r w:rsidR="00525266" w:rsidRPr="00601EF6">
              <w:rPr>
                <w:rFonts w:asciiTheme="minorHAnsi" w:hAnsiTheme="minorHAnsi" w:cstheme="minorHAnsi"/>
                <w:sz w:val="20"/>
                <w:szCs w:val="20"/>
              </w:rPr>
              <w:t xml:space="preserve"> </w:t>
            </w:r>
            <w:r w:rsidR="009F473B">
              <w:rPr>
                <w:rFonts w:asciiTheme="minorHAnsi" w:hAnsiTheme="minorHAnsi" w:cstheme="minorHAnsi"/>
                <w:sz w:val="20"/>
                <w:szCs w:val="20"/>
              </w:rPr>
              <w:t xml:space="preserve">in the areas of </w:t>
            </w:r>
            <w:r w:rsidR="00525266" w:rsidRPr="00601EF6">
              <w:rPr>
                <w:rFonts w:asciiTheme="minorHAnsi" w:hAnsiTheme="minorHAnsi" w:cstheme="minorHAnsi"/>
                <w:sz w:val="20"/>
                <w:szCs w:val="20"/>
              </w:rPr>
              <w:t>Institutional Capacity</w:t>
            </w:r>
            <w:r w:rsidR="001B7BB0">
              <w:rPr>
                <w:rFonts w:asciiTheme="minorHAnsi" w:hAnsiTheme="minorHAnsi" w:cstheme="minorHAnsi"/>
                <w:sz w:val="20"/>
                <w:szCs w:val="20"/>
              </w:rPr>
              <w:t>,</w:t>
            </w:r>
            <w:r w:rsidR="00525266" w:rsidRPr="00601EF6">
              <w:rPr>
                <w:rFonts w:asciiTheme="minorHAnsi" w:hAnsiTheme="minorHAnsi" w:cstheme="minorHAnsi"/>
                <w:sz w:val="20"/>
                <w:szCs w:val="20"/>
              </w:rPr>
              <w:t xml:space="preserve"> Legislative Processes</w:t>
            </w:r>
            <w:r w:rsidR="001B7BB0">
              <w:rPr>
                <w:rFonts w:asciiTheme="minorHAnsi" w:hAnsiTheme="minorHAnsi" w:cstheme="minorHAnsi"/>
                <w:sz w:val="20"/>
                <w:szCs w:val="20"/>
              </w:rPr>
              <w:t>,</w:t>
            </w:r>
            <w:r w:rsidR="00525266" w:rsidRPr="00601EF6">
              <w:rPr>
                <w:rFonts w:asciiTheme="minorHAnsi" w:hAnsiTheme="minorHAnsi" w:cstheme="minorHAnsi"/>
                <w:sz w:val="20"/>
                <w:szCs w:val="20"/>
              </w:rPr>
              <w:t xml:space="preserve"> Parliamentary Oversight and the Outreach and Representative Role of MPs.</w:t>
            </w:r>
            <w:r w:rsidRPr="00601EF6">
              <w:rPr>
                <w:rFonts w:ascii="Calibri" w:eastAsia="Calibri" w:hAnsi="Calibri" w:cs="Calibri"/>
                <w:color w:val="000000"/>
                <w:sz w:val="20"/>
                <w:szCs w:val="20"/>
              </w:rPr>
              <w:t xml:space="preserve"> </w:t>
            </w:r>
          </w:p>
          <w:p w14:paraId="0000009F" w14:textId="745D8D05" w:rsidR="00C8511B" w:rsidRPr="004C0BC0" w:rsidRDefault="00230C72" w:rsidP="003913B5">
            <w:pPr>
              <w:numPr>
                <w:ilvl w:val="0"/>
                <w:numId w:val="33"/>
              </w:numPr>
              <w:pBdr>
                <w:top w:val="nil"/>
                <w:left w:val="nil"/>
                <w:bottom w:val="nil"/>
                <w:right w:val="nil"/>
                <w:between w:val="nil"/>
              </w:pBdr>
              <w:jc w:val="both"/>
              <w:rPr>
                <w:rFonts w:asciiTheme="minorHAnsi" w:eastAsia="Calibri" w:hAnsiTheme="minorHAnsi" w:cstheme="minorHAnsi"/>
                <w:sz w:val="20"/>
                <w:szCs w:val="20"/>
              </w:rPr>
            </w:pPr>
            <w:r>
              <w:rPr>
                <w:rFonts w:asciiTheme="minorHAnsi" w:eastAsia="Calibri" w:hAnsiTheme="minorHAnsi" w:cstheme="minorHAnsi"/>
                <w:sz w:val="20"/>
                <w:szCs w:val="20"/>
              </w:rPr>
              <w:t xml:space="preserve">The Minister of Rural Development and Local Government was strengthened by </w:t>
            </w:r>
            <w:r w:rsidR="004C0E94">
              <w:rPr>
                <w:rFonts w:asciiTheme="minorHAnsi" w:eastAsia="Calibri" w:hAnsiTheme="minorHAnsi" w:cstheme="minorHAnsi"/>
                <w:sz w:val="20"/>
                <w:szCs w:val="20"/>
              </w:rPr>
              <w:t xml:space="preserve">UNDP’s </w:t>
            </w:r>
            <w:r>
              <w:rPr>
                <w:rFonts w:asciiTheme="minorHAnsi" w:eastAsia="Calibri" w:hAnsiTheme="minorHAnsi" w:cstheme="minorHAnsi"/>
                <w:sz w:val="20"/>
                <w:szCs w:val="20"/>
              </w:rPr>
              <w:t xml:space="preserve">support </w:t>
            </w:r>
            <w:r w:rsidR="004C0E94">
              <w:rPr>
                <w:rFonts w:asciiTheme="minorHAnsi" w:eastAsia="Calibri" w:hAnsiTheme="minorHAnsi" w:cstheme="minorHAnsi"/>
                <w:sz w:val="20"/>
                <w:szCs w:val="20"/>
              </w:rPr>
              <w:t xml:space="preserve">in </w:t>
            </w:r>
            <w:r>
              <w:rPr>
                <w:rFonts w:asciiTheme="minorHAnsi" w:eastAsia="Calibri" w:hAnsiTheme="minorHAnsi" w:cstheme="minorHAnsi"/>
                <w:sz w:val="20"/>
                <w:szCs w:val="20"/>
              </w:rPr>
              <w:t xml:space="preserve">digitizing </w:t>
            </w:r>
            <w:r w:rsidR="002624F2" w:rsidRPr="004C0BC0">
              <w:rPr>
                <w:rFonts w:asciiTheme="minorHAnsi" w:eastAsia="Calibri" w:hAnsiTheme="minorHAnsi" w:cstheme="minorHAnsi"/>
                <w:sz w:val="20"/>
                <w:szCs w:val="20"/>
              </w:rPr>
              <w:t xml:space="preserve">materials in various </w:t>
            </w:r>
            <w:r w:rsidR="004C0E94">
              <w:rPr>
                <w:rFonts w:asciiTheme="minorHAnsi" w:eastAsia="Calibri" w:hAnsiTheme="minorHAnsi" w:cstheme="minorHAnsi"/>
                <w:sz w:val="20"/>
                <w:szCs w:val="20"/>
              </w:rPr>
              <w:t>d</w:t>
            </w:r>
            <w:r>
              <w:rPr>
                <w:rFonts w:asciiTheme="minorHAnsi" w:eastAsia="Calibri" w:hAnsiTheme="minorHAnsi" w:cstheme="minorHAnsi"/>
                <w:sz w:val="20"/>
                <w:szCs w:val="20"/>
              </w:rPr>
              <w:t>epartments</w:t>
            </w:r>
            <w:r w:rsidR="004C0E94">
              <w:rPr>
                <w:rFonts w:asciiTheme="minorHAnsi" w:eastAsia="Calibri" w:hAnsiTheme="minorHAnsi" w:cstheme="minorHAnsi"/>
                <w:sz w:val="20"/>
                <w:szCs w:val="20"/>
              </w:rPr>
              <w:t>, which led to</w:t>
            </w:r>
            <w:r w:rsidR="00686D06">
              <w:rPr>
                <w:rFonts w:asciiTheme="minorHAnsi" w:eastAsia="Calibri" w:hAnsiTheme="minorHAnsi" w:cstheme="minorHAnsi"/>
                <w:sz w:val="20"/>
                <w:szCs w:val="20"/>
              </w:rPr>
              <w:t xml:space="preserve"> </w:t>
            </w:r>
            <w:r w:rsidR="00686D06" w:rsidRPr="004C0BC0">
              <w:rPr>
                <w:rFonts w:asciiTheme="minorHAnsi" w:eastAsia="Calibri" w:hAnsiTheme="minorHAnsi" w:cstheme="minorHAnsi"/>
                <w:sz w:val="20"/>
                <w:szCs w:val="20"/>
              </w:rPr>
              <w:t>improved availability of data</w:t>
            </w:r>
            <w:r w:rsidR="00686D06">
              <w:rPr>
                <w:rFonts w:asciiTheme="minorHAnsi" w:eastAsia="Calibri" w:hAnsiTheme="minorHAnsi" w:cstheme="minorHAnsi"/>
                <w:sz w:val="20"/>
                <w:szCs w:val="20"/>
              </w:rPr>
              <w:t xml:space="preserve"> and increased </w:t>
            </w:r>
            <w:r w:rsidR="00686D06" w:rsidRPr="004C0BC0">
              <w:rPr>
                <w:rFonts w:asciiTheme="minorHAnsi" w:eastAsia="Calibri" w:hAnsiTheme="minorHAnsi" w:cstheme="minorHAnsi"/>
                <w:sz w:val="20"/>
                <w:szCs w:val="20"/>
              </w:rPr>
              <w:t xml:space="preserve">processing time </w:t>
            </w:r>
            <w:r w:rsidR="00686D06">
              <w:rPr>
                <w:rFonts w:asciiTheme="minorHAnsi" w:eastAsia="Calibri" w:hAnsiTheme="minorHAnsi" w:cstheme="minorHAnsi"/>
                <w:sz w:val="20"/>
                <w:szCs w:val="20"/>
              </w:rPr>
              <w:t xml:space="preserve">in </w:t>
            </w:r>
            <w:r w:rsidR="00686D06" w:rsidRPr="004C0BC0">
              <w:rPr>
                <w:rFonts w:asciiTheme="minorHAnsi" w:eastAsia="Calibri" w:hAnsiTheme="minorHAnsi" w:cstheme="minorHAnsi"/>
                <w:sz w:val="20"/>
                <w:szCs w:val="20"/>
              </w:rPr>
              <w:t>municipal regions</w:t>
            </w:r>
            <w:r>
              <w:rPr>
                <w:rFonts w:asciiTheme="minorHAnsi" w:eastAsia="Calibri" w:hAnsiTheme="minorHAnsi" w:cstheme="minorHAnsi"/>
                <w:sz w:val="20"/>
                <w:szCs w:val="20"/>
              </w:rPr>
              <w:t>. Th</w:t>
            </w:r>
            <w:r w:rsidR="004C0E94">
              <w:rPr>
                <w:rFonts w:asciiTheme="minorHAnsi" w:eastAsia="Calibri" w:hAnsiTheme="minorHAnsi" w:cstheme="minorHAnsi"/>
                <w:sz w:val="20"/>
                <w:szCs w:val="20"/>
              </w:rPr>
              <w:t>is</w:t>
            </w:r>
            <w:r>
              <w:rPr>
                <w:rFonts w:asciiTheme="minorHAnsi" w:eastAsia="Calibri" w:hAnsiTheme="minorHAnsi" w:cstheme="minorHAnsi"/>
                <w:sz w:val="20"/>
                <w:szCs w:val="20"/>
              </w:rPr>
              <w:t xml:space="preserve"> process utilized the same technologies as </w:t>
            </w:r>
            <w:r w:rsidR="002624F2" w:rsidRPr="004C0BC0">
              <w:rPr>
                <w:rFonts w:asciiTheme="minorHAnsi" w:eastAsia="Calibri" w:hAnsiTheme="minorHAnsi" w:cstheme="minorHAnsi"/>
                <w:sz w:val="20"/>
                <w:szCs w:val="20"/>
              </w:rPr>
              <w:t>the</w:t>
            </w:r>
            <w:r>
              <w:rPr>
                <w:rFonts w:asciiTheme="minorHAnsi" w:eastAsia="Calibri" w:hAnsiTheme="minorHAnsi" w:cstheme="minorHAnsi"/>
                <w:sz w:val="20"/>
                <w:szCs w:val="20"/>
              </w:rPr>
              <w:t xml:space="preserve"> O</w:t>
            </w:r>
            <w:r w:rsidR="002624F2" w:rsidRPr="004C0BC0">
              <w:rPr>
                <w:rFonts w:asciiTheme="minorHAnsi" w:eastAsia="Calibri" w:hAnsiTheme="minorHAnsi" w:cstheme="minorHAnsi"/>
                <w:sz w:val="20"/>
                <w:szCs w:val="20"/>
              </w:rPr>
              <w:t xml:space="preserve">ffice of the </w:t>
            </w:r>
            <w:r>
              <w:rPr>
                <w:rFonts w:asciiTheme="minorHAnsi" w:eastAsia="Calibri" w:hAnsiTheme="minorHAnsi" w:cstheme="minorHAnsi"/>
                <w:sz w:val="20"/>
                <w:szCs w:val="20"/>
              </w:rPr>
              <w:t>P</w:t>
            </w:r>
            <w:r w:rsidR="002624F2" w:rsidRPr="004C0BC0">
              <w:rPr>
                <w:rFonts w:asciiTheme="minorHAnsi" w:eastAsia="Calibri" w:hAnsiTheme="minorHAnsi" w:cstheme="minorHAnsi"/>
                <w:sz w:val="20"/>
                <w:szCs w:val="20"/>
              </w:rPr>
              <w:t xml:space="preserve">rime </w:t>
            </w:r>
            <w:r>
              <w:rPr>
                <w:rFonts w:asciiTheme="minorHAnsi" w:eastAsia="Calibri" w:hAnsiTheme="minorHAnsi" w:cstheme="minorHAnsi"/>
                <w:sz w:val="20"/>
                <w:szCs w:val="20"/>
              </w:rPr>
              <w:t>M</w:t>
            </w:r>
            <w:r w:rsidR="002624F2" w:rsidRPr="004C0BC0">
              <w:rPr>
                <w:rFonts w:asciiTheme="minorHAnsi" w:eastAsia="Calibri" w:hAnsiTheme="minorHAnsi" w:cstheme="minorHAnsi"/>
                <w:sz w:val="20"/>
                <w:szCs w:val="20"/>
              </w:rPr>
              <w:t>inister</w:t>
            </w:r>
            <w:r w:rsidR="005607B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to </w:t>
            </w:r>
            <w:r w:rsidR="005607B8">
              <w:rPr>
                <w:rFonts w:asciiTheme="minorHAnsi" w:eastAsia="Calibri" w:hAnsiTheme="minorHAnsi" w:cstheme="minorHAnsi"/>
                <w:sz w:val="20"/>
                <w:szCs w:val="20"/>
              </w:rPr>
              <w:t xml:space="preserve">encourage </w:t>
            </w:r>
            <w:r w:rsidR="002624F2" w:rsidRPr="004C0BC0">
              <w:rPr>
                <w:rFonts w:asciiTheme="minorHAnsi" w:eastAsia="Calibri" w:hAnsiTheme="minorHAnsi" w:cstheme="minorHAnsi"/>
                <w:sz w:val="20"/>
                <w:szCs w:val="20"/>
              </w:rPr>
              <w:t>synerg</w:t>
            </w:r>
            <w:r w:rsidR="005607B8">
              <w:rPr>
                <w:rFonts w:asciiTheme="minorHAnsi" w:eastAsia="Calibri" w:hAnsiTheme="minorHAnsi" w:cstheme="minorHAnsi"/>
                <w:sz w:val="20"/>
                <w:szCs w:val="20"/>
              </w:rPr>
              <w:t>y</w:t>
            </w:r>
            <w:r w:rsidR="002624F2" w:rsidRPr="004C0BC0">
              <w:rPr>
                <w:rFonts w:asciiTheme="minorHAnsi" w:eastAsia="Calibri" w:hAnsiTheme="minorHAnsi" w:cstheme="minorHAnsi"/>
                <w:sz w:val="20"/>
                <w:szCs w:val="20"/>
              </w:rPr>
              <w:t xml:space="preserve"> of data management across </w:t>
            </w:r>
            <w:r>
              <w:rPr>
                <w:rFonts w:asciiTheme="minorHAnsi" w:eastAsia="Calibri" w:hAnsiTheme="minorHAnsi" w:cstheme="minorHAnsi"/>
                <w:sz w:val="20"/>
                <w:szCs w:val="20"/>
              </w:rPr>
              <w:t xml:space="preserve">the two </w:t>
            </w:r>
            <w:r w:rsidR="002624F2" w:rsidRPr="004C0BC0">
              <w:rPr>
                <w:rFonts w:asciiTheme="minorHAnsi" w:eastAsia="Calibri" w:hAnsiTheme="minorHAnsi" w:cstheme="minorHAnsi"/>
                <w:sz w:val="20"/>
                <w:szCs w:val="20"/>
              </w:rPr>
              <w:t xml:space="preserve">ministries. </w:t>
            </w:r>
          </w:p>
          <w:p w14:paraId="0CB06265" w14:textId="6DA6FA8B" w:rsidR="003913B5" w:rsidRPr="00945E8D" w:rsidRDefault="004C0E94" w:rsidP="003913B5">
            <w:pPr>
              <w:numPr>
                <w:ilvl w:val="0"/>
                <w:numId w:val="33"/>
              </w:numPr>
              <w:rPr>
                <w:rFonts w:ascii="Calibri" w:eastAsia="Calibri" w:hAnsi="Calibri" w:cs="Calibri"/>
                <w:color w:val="000000"/>
                <w:sz w:val="20"/>
                <w:szCs w:val="20"/>
              </w:rPr>
            </w:pPr>
            <w:r>
              <w:rPr>
                <w:rFonts w:ascii="Calibri" w:eastAsia="Calibri" w:hAnsi="Calibri" w:cs="Calibri"/>
                <w:color w:val="000000"/>
                <w:sz w:val="20"/>
                <w:szCs w:val="20"/>
              </w:rPr>
              <w:t>UNDP supported</w:t>
            </w:r>
            <w:r w:rsidR="006518B8">
              <w:rPr>
                <w:rFonts w:ascii="Calibri" w:eastAsia="Calibri" w:hAnsi="Calibri" w:cs="Calibri"/>
                <w:color w:val="000000"/>
                <w:sz w:val="20"/>
                <w:szCs w:val="20"/>
              </w:rPr>
              <w:t xml:space="preserve"> the government on achieving the </w:t>
            </w:r>
            <w:r w:rsidR="00971111">
              <w:rPr>
                <w:rFonts w:ascii="Calibri" w:eastAsia="Calibri" w:hAnsi="Calibri" w:cs="Calibri"/>
                <w:color w:val="000000"/>
                <w:sz w:val="20"/>
                <w:szCs w:val="20"/>
              </w:rPr>
              <w:t>Goals</w:t>
            </w:r>
            <w:r w:rsidR="006518B8">
              <w:rPr>
                <w:rFonts w:ascii="Calibri" w:eastAsia="Calibri" w:hAnsi="Calibri" w:cs="Calibri"/>
                <w:color w:val="000000"/>
                <w:sz w:val="20"/>
                <w:szCs w:val="20"/>
              </w:rPr>
              <w:t xml:space="preserve"> and their reporting in the VNR by facilitating a MAPS mission</w:t>
            </w:r>
            <w:r>
              <w:rPr>
                <w:rFonts w:ascii="Calibri" w:eastAsia="Calibri" w:hAnsi="Calibri" w:cs="Calibri"/>
                <w:color w:val="000000"/>
                <w:sz w:val="20"/>
                <w:szCs w:val="20"/>
              </w:rPr>
              <w:t xml:space="preserve"> </w:t>
            </w:r>
            <w:r w:rsidR="001568B8">
              <w:rPr>
                <w:rFonts w:ascii="Calibri" w:eastAsia="Calibri" w:hAnsi="Calibri" w:cs="Calibri"/>
                <w:color w:val="000000"/>
                <w:sz w:val="20"/>
                <w:szCs w:val="20"/>
              </w:rPr>
              <w:t>to</w:t>
            </w:r>
            <w:r>
              <w:rPr>
                <w:rFonts w:ascii="Calibri" w:eastAsia="Calibri" w:hAnsi="Calibri" w:cs="Calibri"/>
                <w:color w:val="000000"/>
                <w:sz w:val="20"/>
                <w:szCs w:val="20"/>
              </w:rPr>
              <w:t xml:space="preserve"> </w:t>
            </w:r>
            <w:r w:rsidR="003913B5" w:rsidRPr="00945E8D">
              <w:rPr>
                <w:rFonts w:ascii="Calibri" w:eastAsia="Calibri" w:hAnsi="Calibri" w:cs="Calibri"/>
                <w:color w:val="000000"/>
                <w:sz w:val="20"/>
                <w:szCs w:val="20"/>
              </w:rPr>
              <w:t xml:space="preserve">develop </w:t>
            </w:r>
            <w:r w:rsidR="006518B8">
              <w:rPr>
                <w:rFonts w:ascii="Calibri" w:eastAsia="Calibri" w:hAnsi="Calibri" w:cs="Calibri"/>
                <w:color w:val="000000"/>
                <w:sz w:val="20"/>
                <w:szCs w:val="20"/>
              </w:rPr>
              <w:t xml:space="preserve">a </w:t>
            </w:r>
            <w:r w:rsidR="003913B5" w:rsidRPr="00945E8D">
              <w:rPr>
                <w:rFonts w:ascii="Calibri" w:eastAsia="Calibri" w:hAnsi="Calibri" w:cs="Calibri"/>
                <w:color w:val="000000"/>
                <w:sz w:val="20"/>
                <w:szCs w:val="20"/>
              </w:rPr>
              <w:t>roadmap</w:t>
            </w:r>
            <w:r>
              <w:rPr>
                <w:rFonts w:ascii="Calibri" w:eastAsia="Calibri" w:hAnsi="Calibri" w:cs="Calibri"/>
                <w:color w:val="000000"/>
                <w:sz w:val="20"/>
                <w:szCs w:val="20"/>
              </w:rPr>
              <w:t xml:space="preserve"> for </w:t>
            </w:r>
            <w:r w:rsidR="003913B5" w:rsidRPr="00945E8D">
              <w:rPr>
                <w:rFonts w:ascii="Calibri" w:eastAsia="Calibri" w:hAnsi="Calibri" w:cs="Calibri"/>
                <w:color w:val="000000"/>
                <w:sz w:val="20"/>
                <w:szCs w:val="20"/>
              </w:rPr>
              <w:t>fast-track</w:t>
            </w:r>
            <w:r>
              <w:rPr>
                <w:rFonts w:ascii="Calibri" w:eastAsia="Calibri" w:hAnsi="Calibri" w:cs="Calibri"/>
                <w:color w:val="000000"/>
                <w:sz w:val="20"/>
                <w:szCs w:val="20"/>
              </w:rPr>
              <w:t>ing</w:t>
            </w:r>
            <w:r w:rsidR="003913B5" w:rsidRPr="00945E8D">
              <w:rPr>
                <w:rFonts w:ascii="Calibri" w:eastAsia="Calibri" w:hAnsi="Calibri" w:cs="Calibri"/>
                <w:color w:val="000000"/>
                <w:sz w:val="20"/>
                <w:szCs w:val="20"/>
              </w:rPr>
              <w:t xml:space="preserve"> </w:t>
            </w:r>
            <w:r w:rsidR="001568B8">
              <w:rPr>
                <w:rFonts w:ascii="Calibri" w:eastAsia="Calibri" w:hAnsi="Calibri" w:cs="Calibri"/>
                <w:color w:val="000000"/>
                <w:sz w:val="20"/>
                <w:szCs w:val="20"/>
              </w:rPr>
              <w:t xml:space="preserve">the achievement of the </w:t>
            </w:r>
            <w:r w:rsidR="00971111">
              <w:rPr>
                <w:rFonts w:ascii="Calibri" w:eastAsia="Calibri" w:hAnsi="Calibri" w:cs="Calibri"/>
                <w:color w:val="000000"/>
                <w:sz w:val="20"/>
                <w:szCs w:val="20"/>
              </w:rPr>
              <w:t>Goals</w:t>
            </w:r>
            <w:r w:rsidR="00001B38">
              <w:rPr>
                <w:rFonts w:ascii="Calibri" w:eastAsia="Calibri" w:hAnsi="Calibri" w:cs="Calibri"/>
                <w:color w:val="000000"/>
                <w:sz w:val="20"/>
                <w:szCs w:val="20"/>
              </w:rPr>
              <w:t xml:space="preserve">, inform </w:t>
            </w:r>
            <w:r w:rsidR="003913B5" w:rsidRPr="00945E8D">
              <w:rPr>
                <w:rFonts w:ascii="Calibri" w:eastAsia="Calibri" w:hAnsi="Calibri" w:cs="Calibri"/>
                <w:color w:val="000000"/>
                <w:sz w:val="20"/>
                <w:szCs w:val="20"/>
              </w:rPr>
              <w:t>government plan</w:t>
            </w:r>
            <w:r w:rsidR="001568B8">
              <w:rPr>
                <w:rFonts w:ascii="Calibri" w:eastAsia="Calibri" w:hAnsi="Calibri" w:cs="Calibri"/>
                <w:color w:val="000000"/>
                <w:sz w:val="20"/>
                <w:szCs w:val="20"/>
              </w:rPr>
              <w:t xml:space="preserve">ning, </w:t>
            </w:r>
            <w:r w:rsidR="00001B38">
              <w:rPr>
                <w:rFonts w:ascii="Calibri" w:eastAsia="Calibri" w:hAnsi="Calibri" w:cs="Calibri"/>
                <w:color w:val="000000"/>
                <w:sz w:val="20"/>
                <w:szCs w:val="20"/>
              </w:rPr>
              <w:t xml:space="preserve">and </w:t>
            </w:r>
            <w:r w:rsidR="001568B8">
              <w:rPr>
                <w:rFonts w:ascii="Calibri" w:eastAsia="Calibri" w:hAnsi="Calibri" w:cs="Calibri"/>
                <w:color w:val="000000"/>
                <w:sz w:val="20"/>
                <w:szCs w:val="20"/>
              </w:rPr>
              <w:t>alig</w:t>
            </w:r>
            <w:r w:rsidR="00001B38">
              <w:rPr>
                <w:rFonts w:ascii="Calibri" w:eastAsia="Calibri" w:hAnsi="Calibri" w:cs="Calibri"/>
                <w:color w:val="000000"/>
                <w:sz w:val="20"/>
                <w:szCs w:val="20"/>
              </w:rPr>
              <w:t>n</w:t>
            </w:r>
            <w:r w:rsidR="001568B8">
              <w:rPr>
                <w:rFonts w:ascii="Calibri" w:eastAsia="Calibri" w:hAnsi="Calibri" w:cs="Calibri"/>
                <w:color w:val="000000"/>
                <w:sz w:val="20"/>
                <w:szCs w:val="20"/>
              </w:rPr>
              <w:t xml:space="preserve"> </w:t>
            </w:r>
            <w:r w:rsidR="003913B5" w:rsidRPr="00945E8D">
              <w:rPr>
                <w:rFonts w:ascii="Calibri" w:eastAsia="Calibri" w:hAnsi="Calibri" w:cs="Calibri"/>
                <w:color w:val="000000"/>
                <w:sz w:val="20"/>
                <w:szCs w:val="20"/>
              </w:rPr>
              <w:t xml:space="preserve">the </w:t>
            </w:r>
            <w:r w:rsidR="00971111">
              <w:rPr>
                <w:rFonts w:ascii="Calibri" w:eastAsia="Calibri" w:hAnsi="Calibri" w:cs="Calibri"/>
                <w:color w:val="000000"/>
                <w:sz w:val="20"/>
                <w:szCs w:val="20"/>
              </w:rPr>
              <w:t>Goals</w:t>
            </w:r>
            <w:r w:rsidR="003913B5" w:rsidRPr="00945E8D">
              <w:rPr>
                <w:rFonts w:ascii="Calibri" w:eastAsia="Calibri" w:hAnsi="Calibri" w:cs="Calibri"/>
                <w:color w:val="000000"/>
                <w:sz w:val="20"/>
                <w:szCs w:val="20"/>
              </w:rPr>
              <w:t xml:space="preserve"> with government priorities. </w:t>
            </w:r>
          </w:p>
          <w:p w14:paraId="6EE49745" w14:textId="48DCA6F6" w:rsidR="005A1831" w:rsidRDefault="00001B38" w:rsidP="009F1A52">
            <w:pPr>
              <w:numPr>
                <w:ilvl w:val="0"/>
                <w:numId w:val="33"/>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eastAsia="Calibri" w:hAnsiTheme="minorHAnsi" w:cstheme="minorHAnsi"/>
                <w:sz w:val="20"/>
                <w:szCs w:val="20"/>
              </w:rPr>
              <w:t xml:space="preserve">A separate </w:t>
            </w:r>
            <w:r w:rsidR="00842CC0">
              <w:rPr>
                <w:rFonts w:asciiTheme="minorHAnsi" w:eastAsia="Calibri" w:hAnsiTheme="minorHAnsi" w:cstheme="minorHAnsi"/>
                <w:sz w:val="20"/>
                <w:szCs w:val="20"/>
              </w:rPr>
              <w:t xml:space="preserve">MAPS </w:t>
            </w:r>
            <w:r>
              <w:rPr>
                <w:rFonts w:asciiTheme="minorHAnsi" w:eastAsia="Calibri" w:hAnsiTheme="minorHAnsi" w:cstheme="minorHAnsi"/>
                <w:sz w:val="20"/>
                <w:szCs w:val="20"/>
              </w:rPr>
              <w:t>mission</w:t>
            </w:r>
            <w:r>
              <w:rPr>
                <w:rFonts w:asciiTheme="minorHAnsi" w:eastAsia="Calibri" w:hAnsiTheme="minorHAnsi" w:cstheme="minorHAnsi"/>
                <w:color w:val="000000"/>
                <w:sz w:val="20"/>
                <w:szCs w:val="20"/>
              </w:rPr>
              <w:t xml:space="preserve">, </w:t>
            </w:r>
            <w:r w:rsidR="00DC0483">
              <w:rPr>
                <w:rFonts w:asciiTheme="minorHAnsi" w:eastAsia="Calibri" w:hAnsiTheme="minorHAnsi" w:cstheme="minorHAnsi"/>
                <w:color w:val="000000"/>
                <w:sz w:val="20"/>
                <w:szCs w:val="20"/>
              </w:rPr>
              <w:t>coordinated by UNDP and supported by UN Agencies</w:t>
            </w:r>
            <w:r w:rsidR="00BF3D87">
              <w:rPr>
                <w:rFonts w:asciiTheme="minorHAnsi" w:eastAsia="Calibri" w:hAnsiTheme="minorHAnsi" w:cstheme="minorHAnsi"/>
                <w:color w:val="000000"/>
                <w:sz w:val="20"/>
                <w:szCs w:val="20"/>
              </w:rPr>
              <w:t>,</w:t>
            </w:r>
            <w:r w:rsidR="00267934">
              <w:rPr>
                <w:rFonts w:asciiTheme="minorHAnsi" w:eastAsia="Calibri" w:hAnsiTheme="minorHAnsi" w:cstheme="minorHAnsi"/>
                <w:color w:val="000000"/>
                <w:sz w:val="20"/>
                <w:szCs w:val="20"/>
              </w:rPr>
              <w:t xml:space="preserve"> identified poverty reduction as a priority and one of the five Accelerators for Curaçao,</w:t>
            </w:r>
            <w:r w:rsidR="00BF3D87">
              <w:rPr>
                <w:rFonts w:asciiTheme="minorHAnsi" w:eastAsia="Calibri" w:hAnsiTheme="minorHAnsi" w:cstheme="minorHAnsi"/>
                <w:color w:val="000000"/>
                <w:sz w:val="20"/>
                <w:szCs w:val="20"/>
              </w:rPr>
              <w:t xml:space="preserve"> which led </w:t>
            </w:r>
            <w:r w:rsidR="00267934">
              <w:rPr>
                <w:rFonts w:asciiTheme="minorHAnsi" w:eastAsia="Calibri" w:hAnsiTheme="minorHAnsi" w:cstheme="minorHAnsi"/>
                <w:color w:val="000000"/>
                <w:sz w:val="20"/>
                <w:szCs w:val="20"/>
              </w:rPr>
              <w:t xml:space="preserve">to the </w:t>
            </w:r>
            <w:proofErr w:type="spellStart"/>
            <w:r>
              <w:rPr>
                <w:rFonts w:asciiTheme="minorHAnsi" w:eastAsia="Calibri" w:hAnsiTheme="minorHAnsi" w:cstheme="minorHAnsi"/>
                <w:color w:val="000000"/>
                <w:sz w:val="20"/>
                <w:szCs w:val="20"/>
              </w:rPr>
              <w:t>PovRisk</w:t>
            </w:r>
            <w:proofErr w:type="spellEnd"/>
            <w:r>
              <w:rPr>
                <w:rFonts w:asciiTheme="minorHAnsi" w:eastAsia="Calibri" w:hAnsiTheme="minorHAnsi" w:cstheme="minorHAnsi"/>
                <w:color w:val="000000"/>
                <w:sz w:val="20"/>
                <w:szCs w:val="20"/>
              </w:rPr>
              <w:t xml:space="preserve"> analysis </w:t>
            </w:r>
            <w:r w:rsidR="00267934">
              <w:rPr>
                <w:rFonts w:asciiTheme="minorHAnsi" w:eastAsia="Calibri" w:hAnsiTheme="minorHAnsi" w:cstheme="minorHAnsi"/>
                <w:color w:val="000000"/>
                <w:sz w:val="20"/>
                <w:szCs w:val="20"/>
              </w:rPr>
              <w:t>also supported by UNDP</w:t>
            </w:r>
            <w:r w:rsidR="00BF3D87">
              <w:rPr>
                <w:rFonts w:asciiTheme="minorHAnsi" w:eastAsia="Calibri" w:hAnsiTheme="minorHAnsi" w:cstheme="minorHAnsi"/>
                <w:color w:val="000000"/>
                <w:sz w:val="20"/>
                <w:szCs w:val="20"/>
              </w:rPr>
              <w:t xml:space="preserve"> and funded by UN Agencies</w:t>
            </w:r>
            <w:r w:rsidR="009F1A52">
              <w:rPr>
                <w:rFonts w:asciiTheme="minorHAnsi" w:eastAsia="Calibri" w:hAnsiTheme="minorHAnsi" w:cstheme="minorHAnsi"/>
                <w:color w:val="000000"/>
                <w:sz w:val="20"/>
                <w:szCs w:val="20"/>
              </w:rPr>
              <w:t>. UNDP drew upon local facilitators trained prior to 2017 by the earlier Democratic Dialogue project to support consultation with stakeholders</w:t>
            </w:r>
            <w:r w:rsidR="009B2B4C">
              <w:rPr>
                <w:rFonts w:asciiTheme="minorHAnsi" w:eastAsia="Calibri" w:hAnsiTheme="minorHAnsi" w:cstheme="minorHAnsi"/>
                <w:color w:val="000000"/>
                <w:sz w:val="20"/>
                <w:szCs w:val="20"/>
              </w:rPr>
              <w:t xml:space="preserve">, building on past efforts and utilizing local expertise. </w:t>
            </w:r>
          </w:p>
          <w:p w14:paraId="78CE4CB5" w14:textId="65FB3C57" w:rsidR="00024450" w:rsidRPr="009C117C" w:rsidRDefault="00024450" w:rsidP="000B42D1">
            <w:pPr>
              <w:numPr>
                <w:ilvl w:val="0"/>
                <w:numId w:val="33"/>
              </w:numPr>
              <w:pBdr>
                <w:top w:val="nil"/>
                <w:left w:val="nil"/>
                <w:bottom w:val="nil"/>
                <w:right w:val="nil"/>
                <w:between w:val="nil"/>
              </w:pBdr>
              <w:jc w:val="both"/>
              <w:rPr>
                <w:rFonts w:asciiTheme="minorHAnsi" w:eastAsia="Calibri" w:hAnsiTheme="minorHAnsi" w:cstheme="minorHAnsi"/>
                <w:color w:val="000000"/>
                <w:sz w:val="20"/>
                <w:szCs w:val="20"/>
              </w:rPr>
            </w:pPr>
            <w:r w:rsidRPr="009C117C">
              <w:rPr>
                <w:rFonts w:asciiTheme="minorHAnsi" w:hAnsiTheme="minorHAnsi" w:cstheme="minorHAnsi"/>
                <w:sz w:val="20"/>
                <w:szCs w:val="20"/>
              </w:rPr>
              <w:t xml:space="preserve">UNDP contributed to increased resilience, transparency and improved governance through </w:t>
            </w:r>
            <w:r w:rsidR="00214608" w:rsidRPr="009C117C">
              <w:rPr>
                <w:rFonts w:asciiTheme="minorHAnsi" w:eastAsia="Calibri" w:hAnsiTheme="minorHAnsi" w:cstheme="minorHAnsi"/>
                <w:sz w:val="20"/>
                <w:szCs w:val="20"/>
              </w:rPr>
              <w:t xml:space="preserve">continued capacity building and institutional strengthening with </w:t>
            </w:r>
            <w:r w:rsidR="00214608" w:rsidRPr="009C117C">
              <w:rPr>
                <w:rFonts w:asciiTheme="minorHAnsi" w:hAnsiTheme="minorHAnsi" w:cstheme="minorHAnsi"/>
                <w:sz w:val="20"/>
                <w:szCs w:val="20"/>
              </w:rPr>
              <w:t>various Joint Select Committees (JSCs) of the Parliament</w:t>
            </w:r>
            <w:r w:rsidR="00214608">
              <w:rPr>
                <w:rFonts w:asciiTheme="minorHAnsi" w:hAnsiTheme="minorHAnsi" w:cstheme="minorHAnsi"/>
                <w:sz w:val="20"/>
                <w:szCs w:val="20"/>
              </w:rPr>
              <w:t xml:space="preserve"> </w:t>
            </w:r>
            <w:r w:rsidR="008A521C">
              <w:rPr>
                <w:rFonts w:asciiTheme="minorHAnsi" w:hAnsiTheme="minorHAnsi" w:cstheme="minorHAnsi"/>
                <w:sz w:val="20"/>
                <w:szCs w:val="20"/>
              </w:rPr>
              <w:t xml:space="preserve">of Trinidad and Tobago, such as supporting the policy, legislation and establishment of the Office of the Procurement Regulator, including consultations with other stakeholders. Another example is UNDP’s support for the development of a policy paper on campaign finance reform. </w:t>
            </w:r>
            <w:r w:rsidR="000B42D1">
              <w:rPr>
                <w:rFonts w:asciiTheme="minorHAnsi" w:hAnsiTheme="minorHAnsi" w:cstheme="minorHAnsi"/>
                <w:sz w:val="20"/>
                <w:szCs w:val="20"/>
              </w:rPr>
              <w:t xml:space="preserve">And at a broader level, UNDP convened a </w:t>
            </w:r>
            <w:r w:rsidRPr="009C117C">
              <w:rPr>
                <w:rFonts w:asciiTheme="minorHAnsi" w:hAnsiTheme="minorHAnsi" w:cstheme="minorHAnsi"/>
                <w:sz w:val="20"/>
                <w:szCs w:val="20"/>
              </w:rPr>
              <w:t xml:space="preserve">regional retreat on building Caribbean resilience for local and regional </w:t>
            </w:r>
            <w:r w:rsidR="00981F52" w:rsidRPr="009C117C">
              <w:rPr>
                <w:rFonts w:asciiTheme="minorHAnsi" w:hAnsiTheme="minorHAnsi" w:cstheme="minorHAnsi"/>
                <w:sz w:val="20"/>
                <w:szCs w:val="20"/>
              </w:rPr>
              <w:t>parliamentarians</w:t>
            </w:r>
            <w:r w:rsidRPr="009C117C">
              <w:rPr>
                <w:rFonts w:asciiTheme="minorHAnsi" w:hAnsiTheme="minorHAnsi" w:cstheme="minorHAnsi"/>
                <w:sz w:val="20"/>
                <w:szCs w:val="20"/>
              </w:rPr>
              <w:t xml:space="preserve"> from 15 countries, focus</w:t>
            </w:r>
            <w:r w:rsidR="000B42D1">
              <w:rPr>
                <w:rFonts w:asciiTheme="minorHAnsi" w:hAnsiTheme="minorHAnsi" w:cstheme="minorHAnsi"/>
                <w:sz w:val="20"/>
                <w:szCs w:val="20"/>
              </w:rPr>
              <w:t>ing</w:t>
            </w:r>
            <w:r w:rsidRPr="009C117C">
              <w:rPr>
                <w:rFonts w:asciiTheme="minorHAnsi" w:hAnsiTheme="minorHAnsi" w:cstheme="minorHAnsi"/>
                <w:sz w:val="20"/>
                <w:szCs w:val="20"/>
              </w:rPr>
              <w:t xml:space="preserve"> on policies, strategies and guidelines necessary for building resilience</w:t>
            </w:r>
            <w:r w:rsidR="00214608">
              <w:rPr>
                <w:rFonts w:asciiTheme="minorHAnsi" w:hAnsiTheme="minorHAnsi" w:cstheme="minorHAnsi"/>
                <w:sz w:val="20"/>
                <w:szCs w:val="20"/>
              </w:rPr>
              <w:t>.</w:t>
            </w:r>
          </w:p>
          <w:p w14:paraId="000000B1" w14:textId="3E7C234C" w:rsidR="00C8511B" w:rsidRPr="00C75E42" w:rsidRDefault="003F1BFA" w:rsidP="00C75E42">
            <w:pPr>
              <w:numPr>
                <w:ilvl w:val="0"/>
                <w:numId w:val="33"/>
              </w:numPr>
              <w:pBdr>
                <w:top w:val="nil"/>
                <w:left w:val="nil"/>
                <w:bottom w:val="nil"/>
                <w:right w:val="nil"/>
                <w:between w:val="nil"/>
              </w:pBdr>
              <w:jc w:val="both"/>
              <w:rPr>
                <w:rFonts w:asciiTheme="minorHAnsi" w:eastAsia="Calibri" w:hAnsiTheme="minorHAnsi" w:cstheme="minorHAnsi"/>
                <w:sz w:val="20"/>
                <w:szCs w:val="20"/>
              </w:rPr>
            </w:pPr>
            <w:r w:rsidRPr="00452B29">
              <w:rPr>
                <w:rFonts w:asciiTheme="minorHAnsi" w:hAnsiTheme="minorHAnsi" w:cstheme="minorHAnsi"/>
                <w:sz w:val="20"/>
                <w:szCs w:val="20"/>
              </w:rPr>
              <w:t>The work in this area has contributed to the attainment of improved equitable access</w:t>
            </w:r>
            <w:r w:rsidR="000B42D1">
              <w:rPr>
                <w:rFonts w:asciiTheme="minorHAnsi" w:hAnsiTheme="minorHAnsi" w:cstheme="minorHAnsi"/>
                <w:sz w:val="20"/>
                <w:szCs w:val="20"/>
              </w:rPr>
              <w:t xml:space="preserve"> </w:t>
            </w:r>
            <w:r w:rsidR="00076F33">
              <w:rPr>
                <w:rFonts w:asciiTheme="minorHAnsi" w:hAnsiTheme="minorHAnsi" w:cstheme="minorHAnsi"/>
                <w:sz w:val="20"/>
                <w:szCs w:val="20"/>
              </w:rPr>
              <w:t xml:space="preserve">to employment </w:t>
            </w:r>
            <w:r w:rsidR="000B42D1">
              <w:rPr>
                <w:rFonts w:asciiTheme="minorHAnsi" w:hAnsiTheme="minorHAnsi" w:cstheme="minorHAnsi"/>
                <w:sz w:val="20"/>
                <w:szCs w:val="20"/>
              </w:rPr>
              <w:t>by building capacity through knowledge sharing among stakeholders within two</w:t>
            </w:r>
            <w:r w:rsidRPr="00452B29">
              <w:rPr>
                <w:rFonts w:asciiTheme="minorHAnsi" w:hAnsiTheme="minorHAnsi" w:cstheme="minorHAnsi"/>
                <w:sz w:val="20"/>
                <w:szCs w:val="20"/>
              </w:rPr>
              <w:t xml:space="preserve"> communities of practice </w:t>
            </w:r>
            <w:r w:rsidR="000B42D1">
              <w:rPr>
                <w:rFonts w:asciiTheme="minorHAnsi" w:hAnsiTheme="minorHAnsi" w:cstheme="minorHAnsi"/>
                <w:sz w:val="20"/>
                <w:szCs w:val="20"/>
              </w:rPr>
              <w:t xml:space="preserve">facilitated by UNDP </w:t>
            </w:r>
            <w:r w:rsidRPr="00452B29">
              <w:rPr>
                <w:rFonts w:asciiTheme="minorHAnsi" w:hAnsiTheme="minorHAnsi" w:cstheme="minorHAnsi"/>
                <w:sz w:val="20"/>
                <w:szCs w:val="20"/>
              </w:rPr>
              <w:t xml:space="preserve">on </w:t>
            </w:r>
            <w:r w:rsidR="000B42D1">
              <w:rPr>
                <w:rFonts w:asciiTheme="minorHAnsi" w:hAnsiTheme="minorHAnsi" w:cstheme="minorHAnsi"/>
                <w:sz w:val="20"/>
                <w:szCs w:val="20"/>
              </w:rPr>
              <w:t xml:space="preserve">1) </w:t>
            </w:r>
            <w:r w:rsidRPr="00452B29">
              <w:rPr>
                <w:rFonts w:asciiTheme="minorHAnsi" w:hAnsiTheme="minorHAnsi" w:cstheme="minorHAnsi"/>
                <w:sz w:val="20"/>
                <w:szCs w:val="20"/>
              </w:rPr>
              <w:t>the implementation of the Convention for the elimination of discrimination Against Women (CEDAW) recommendations</w:t>
            </w:r>
            <w:r w:rsidR="000B42D1">
              <w:rPr>
                <w:rFonts w:asciiTheme="minorHAnsi" w:hAnsiTheme="minorHAnsi" w:cstheme="minorHAnsi"/>
                <w:sz w:val="20"/>
                <w:szCs w:val="20"/>
              </w:rPr>
              <w:t>;</w:t>
            </w:r>
            <w:r w:rsidRPr="00452B29">
              <w:rPr>
                <w:rFonts w:asciiTheme="minorHAnsi" w:hAnsiTheme="minorHAnsi" w:cstheme="minorHAnsi"/>
                <w:sz w:val="20"/>
                <w:szCs w:val="20"/>
              </w:rPr>
              <w:t xml:space="preserve"> and </w:t>
            </w:r>
            <w:r w:rsidR="000B42D1">
              <w:rPr>
                <w:rFonts w:asciiTheme="minorHAnsi" w:hAnsiTheme="minorHAnsi" w:cstheme="minorHAnsi"/>
                <w:sz w:val="20"/>
                <w:szCs w:val="20"/>
              </w:rPr>
              <w:t xml:space="preserve">2) </w:t>
            </w:r>
            <w:r w:rsidRPr="00452B29">
              <w:rPr>
                <w:rFonts w:asciiTheme="minorHAnsi" w:hAnsiTheme="minorHAnsi" w:cstheme="minorHAnsi"/>
                <w:sz w:val="20"/>
                <w:szCs w:val="20"/>
              </w:rPr>
              <w:t xml:space="preserve">on the National Gender Policy.  </w:t>
            </w:r>
          </w:p>
        </w:tc>
      </w:tr>
      <w:tr w:rsidR="00987B57" w14:paraId="5A83850A" w14:textId="77777777" w:rsidTr="00C75E42">
        <w:tc>
          <w:tcPr>
            <w:tcW w:w="3060" w:type="dxa"/>
            <w:shd w:val="clear" w:color="auto" w:fill="95B3D7"/>
          </w:tcPr>
          <w:p w14:paraId="000000B6" w14:textId="77777777" w:rsidR="00C8511B" w:rsidRDefault="002624F2" w:rsidP="005F7BCF">
            <w:pPr>
              <w:widowControl/>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lastRenderedPageBreak/>
              <w:t>3. Equitable access to justice, protection, citizens security and safety reinforced.</w:t>
            </w:r>
          </w:p>
        </w:tc>
        <w:tc>
          <w:tcPr>
            <w:tcW w:w="1530" w:type="dxa"/>
            <w:gridSpan w:val="2"/>
            <w:shd w:val="clear" w:color="auto" w:fill="auto"/>
          </w:tcPr>
          <w:p w14:paraId="000000B7"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$4,768,651</w:t>
            </w:r>
          </w:p>
        </w:tc>
        <w:tc>
          <w:tcPr>
            <w:tcW w:w="3960" w:type="dxa"/>
            <w:tcBorders>
              <w:left w:val="single" w:sz="4" w:space="0" w:color="000000"/>
            </w:tcBorders>
            <w:shd w:val="clear" w:color="auto" w:fill="auto"/>
          </w:tcPr>
          <w:p w14:paraId="000000B9" w14:textId="527D9066" w:rsidR="00C8511B" w:rsidRPr="00CB6621" w:rsidRDefault="002624F2" w:rsidP="00CB6621">
            <w:pPr>
              <w:pStyle w:val="ListParagraph"/>
              <w:widowControl/>
              <w:numPr>
                <w:ilvl w:val="0"/>
                <w:numId w:val="15"/>
              </w:numPr>
              <w:pBdr>
                <w:top w:val="nil"/>
                <w:left w:val="nil"/>
                <w:bottom w:val="nil"/>
                <w:right w:val="nil"/>
                <w:between w:val="nil"/>
              </w:pBdr>
              <w:ind w:left="360"/>
              <w:jc w:val="both"/>
              <w:rPr>
                <w:rFonts w:ascii="Calibri" w:eastAsia="Calibri" w:hAnsi="Calibri" w:cs="Calibri"/>
                <w:color w:val="000000"/>
                <w:sz w:val="20"/>
                <w:szCs w:val="20"/>
              </w:rPr>
            </w:pPr>
            <w:r w:rsidRPr="00CB6621">
              <w:rPr>
                <w:rFonts w:ascii="Calibri" w:eastAsia="Calibri" w:hAnsi="Calibri" w:cs="Calibri"/>
                <w:color w:val="000000"/>
                <w:sz w:val="20"/>
                <w:szCs w:val="20"/>
              </w:rPr>
              <w:t>Country has national plans of action for prevention of violent extremism under implementation</w:t>
            </w:r>
            <w:r>
              <w:rPr>
                <w:rFonts w:eastAsia="Calibri"/>
                <w:vertAlign w:val="superscript"/>
              </w:rPr>
              <w:footnoteReference w:id="8"/>
            </w:r>
          </w:p>
          <w:p w14:paraId="000000BA" w14:textId="77777777" w:rsidR="00C8511B" w:rsidRDefault="00C8511B" w:rsidP="00CB6621">
            <w:pPr>
              <w:widowControl/>
              <w:pBdr>
                <w:top w:val="nil"/>
                <w:left w:val="nil"/>
                <w:bottom w:val="nil"/>
                <w:right w:val="nil"/>
                <w:between w:val="nil"/>
              </w:pBdr>
              <w:jc w:val="both"/>
              <w:rPr>
                <w:rFonts w:ascii="Calibri" w:eastAsia="Calibri" w:hAnsi="Calibri" w:cs="Calibri"/>
                <w:color w:val="000000"/>
                <w:sz w:val="20"/>
                <w:szCs w:val="20"/>
              </w:rPr>
            </w:pPr>
          </w:p>
          <w:p w14:paraId="000000BB" w14:textId="296295E2" w:rsidR="00C8511B" w:rsidRPr="00CB6621" w:rsidRDefault="002624F2" w:rsidP="00CB6621">
            <w:pPr>
              <w:pStyle w:val="ListParagraph"/>
              <w:widowControl/>
              <w:numPr>
                <w:ilvl w:val="0"/>
                <w:numId w:val="15"/>
              </w:numPr>
              <w:pBdr>
                <w:top w:val="nil"/>
                <w:left w:val="nil"/>
                <w:bottom w:val="nil"/>
                <w:right w:val="nil"/>
                <w:between w:val="nil"/>
              </w:pBdr>
              <w:ind w:left="360"/>
              <w:jc w:val="both"/>
              <w:rPr>
                <w:rFonts w:ascii="Calibri" w:eastAsia="Calibri" w:hAnsi="Calibri" w:cs="Calibri"/>
                <w:color w:val="000000"/>
                <w:sz w:val="20"/>
                <w:szCs w:val="20"/>
              </w:rPr>
            </w:pPr>
            <w:r w:rsidRPr="00CB6621">
              <w:rPr>
                <w:rFonts w:ascii="Calibri" w:eastAsia="Calibri" w:hAnsi="Calibri" w:cs="Calibri"/>
                <w:color w:val="000000"/>
                <w:sz w:val="20"/>
                <w:szCs w:val="20"/>
              </w:rPr>
              <w:t>Country has strengthened institutions and systems supporting fulfilment of nationally and internationally ratified human rights obligations.</w:t>
            </w:r>
            <w:r>
              <w:rPr>
                <w:rFonts w:eastAsia="Calibri"/>
                <w:vertAlign w:val="superscript"/>
              </w:rPr>
              <w:footnoteReference w:id="9"/>
            </w:r>
          </w:p>
        </w:tc>
        <w:tc>
          <w:tcPr>
            <w:tcW w:w="5490" w:type="dxa"/>
            <w:shd w:val="clear" w:color="auto" w:fill="auto"/>
          </w:tcPr>
          <w:p w14:paraId="000000BD" w14:textId="402C884E" w:rsidR="00C8511B" w:rsidRDefault="00317FB7" w:rsidP="00A443AF">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First </w:t>
            </w:r>
            <w:r w:rsidR="002624F2">
              <w:rPr>
                <w:rFonts w:ascii="Calibri" w:eastAsia="Calibri" w:hAnsi="Calibri" w:cs="Calibri"/>
                <w:color w:val="000000"/>
                <w:sz w:val="20"/>
                <w:szCs w:val="20"/>
              </w:rPr>
              <w:t xml:space="preserve">National Plan of Action for Preventing and Countering Violent Extremism was drafted (2018), approved by the </w:t>
            </w:r>
            <w:r w:rsidR="00C428E2">
              <w:rPr>
                <w:rFonts w:ascii="Calibri" w:eastAsia="Calibri" w:hAnsi="Calibri" w:cs="Calibri"/>
                <w:color w:val="000000"/>
                <w:sz w:val="20"/>
                <w:szCs w:val="20"/>
              </w:rPr>
              <w:t>I</w:t>
            </w:r>
            <w:r w:rsidR="002624F2">
              <w:rPr>
                <w:rFonts w:ascii="Calibri" w:eastAsia="Calibri" w:hAnsi="Calibri" w:cs="Calibri"/>
                <w:color w:val="000000"/>
                <w:sz w:val="20"/>
                <w:szCs w:val="20"/>
              </w:rPr>
              <w:t>nter-</w:t>
            </w:r>
            <w:r w:rsidR="00C428E2">
              <w:rPr>
                <w:rFonts w:ascii="Calibri" w:eastAsia="Calibri" w:hAnsi="Calibri" w:cs="Calibri"/>
                <w:color w:val="000000"/>
                <w:sz w:val="20"/>
                <w:szCs w:val="20"/>
              </w:rPr>
              <w:t>M</w:t>
            </w:r>
            <w:r w:rsidR="002624F2">
              <w:rPr>
                <w:rFonts w:ascii="Calibri" w:eastAsia="Calibri" w:hAnsi="Calibri" w:cs="Calibri"/>
                <w:color w:val="000000"/>
                <w:sz w:val="20"/>
                <w:szCs w:val="20"/>
              </w:rPr>
              <w:t xml:space="preserve">inisterial </w:t>
            </w:r>
            <w:r w:rsidR="001C3266" w:rsidRPr="00F51484">
              <w:rPr>
                <w:rFonts w:asciiTheme="minorHAnsi" w:hAnsiTheme="minorHAnsi" w:cstheme="minorHAnsi"/>
                <w:sz w:val="20"/>
                <w:szCs w:val="20"/>
              </w:rPr>
              <w:t>Implementation Committee for Counter-Terrorism</w:t>
            </w:r>
            <w:r w:rsidR="002624F2">
              <w:rPr>
                <w:rFonts w:ascii="Calibri" w:eastAsia="Calibri" w:hAnsi="Calibri" w:cs="Calibri"/>
                <w:color w:val="000000"/>
                <w:sz w:val="20"/>
                <w:szCs w:val="20"/>
              </w:rPr>
              <w:t xml:space="preserve"> (2019), and </w:t>
            </w:r>
            <w:r w:rsidR="00CA50C0">
              <w:rPr>
                <w:rFonts w:ascii="Calibri" w:eastAsia="Calibri" w:hAnsi="Calibri" w:cs="Calibri"/>
                <w:color w:val="000000"/>
                <w:sz w:val="20"/>
                <w:szCs w:val="20"/>
              </w:rPr>
              <w:t xml:space="preserve">is currently </w:t>
            </w:r>
            <w:r w:rsidR="002624F2">
              <w:rPr>
                <w:rFonts w:ascii="Calibri" w:eastAsia="Calibri" w:hAnsi="Calibri" w:cs="Calibri"/>
                <w:color w:val="000000"/>
                <w:sz w:val="20"/>
                <w:szCs w:val="20"/>
              </w:rPr>
              <w:t xml:space="preserve">pending </w:t>
            </w:r>
            <w:r w:rsidR="002624F2">
              <w:rPr>
                <w:rFonts w:ascii="Calibri" w:eastAsia="Calibri" w:hAnsi="Calibri" w:cs="Calibri"/>
                <w:sz w:val="20"/>
                <w:szCs w:val="20"/>
              </w:rPr>
              <w:t xml:space="preserve">National Security Council </w:t>
            </w:r>
            <w:r w:rsidR="002624F2">
              <w:rPr>
                <w:rFonts w:ascii="Calibri" w:eastAsia="Calibri" w:hAnsi="Calibri" w:cs="Calibri"/>
                <w:color w:val="000000"/>
                <w:sz w:val="20"/>
                <w:szCs w:val="20"/>
              </w:rPr>
              <w:t>approval</w:t>
            </w:r>
            <w:r w:rsidR="00D97E0B">
              <w:rPr>
                <w:rFonts w:ascii="Calibri" w:eastAsia="Calibri" w:hAnsi="Calibri" w:cs="Calibri"/>
                <w:color w:val="000000"/>
                <w:sz w:val="20"/>
                <w:szCs w:val="20"/>
              </w:rPr>
              <w:t>.</w:t>
            </w:r>
          </w:p>
          <w:p w14:paraId="000000BE" w14:textId="0775E4C4" w:rsidR="00C8511B" w:rsidRDefault="00CA50C0" w:rsidP="00A443AF">
            <w:pPr>
              <w:numPr>
                <w:ilvl w:val="0"/>
                <w:numId w:val="3"/>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w:t>
            </w:r>
            <w:r w:rsidR="002624F2">
              <w:rPr>
                <w:rFonts w:ascii="Calibri" w:eastAsia="Calibri" w:hAnsi="Calibri" w:cs="Calibri"/>
                <w:color w:val="000000"/>
                <w:sz w:val="20"/>
                <w:szCs w:val="20"/>
              </w:rPr>
              <w:t xml:space="preserve">pening the first </w:t>
            </w:r>
            <w:r w:rsidR="00250CAB">
              <w:rPr>
                <w:rFonts w:ascii="Calibri" w:eastAsia="Calibri" w:hAnsi="Calibri" w:cs="Calibri"/>
                <w:color w:val="000000"/>
                <w:sz w:val="20"/>
                <w:szCs w:val="20"/>
              </w:rPr>
              <w:t>two</w:t>
            </w:r>
            <w:r w:rsidR="002624F2">
              <w:rPr>
                <w:rFonts w:ascii="Calibri" w:eastAsia="Calibri" w:hAnsi="Calibri" w:cs="Calibri"/>
                <w:color w:val="000000"/>
                <w:sz w:val="20"/>
                <w:szCs w:val="20"/>
              </w:rPr>
              <w:t xml:space="preserve"> Children’s Courts in the English-speaking Caribbean</w:t>
            </w:r>
            <w:r>
              <w:rPr>
                <w:rFonts w:ascii="Calibri" w:eastAsia="Calibri" w:hAnsi="Calibri" w:cs="Calibri"/>
                <w:color w:val="000000"/>
                <w:sz w:val="20"/>
                <w:szCs w:val="20"/>
              </w:rPr>
              <w:t xml:space="preserve"> increased Judiciary institutional capacity </w:t>
            </w:r>
            <w:r w:rsidR="002624F2">
              <w:rPr>
                <w:rFonts w:ascii="Calibri" w:eastAsia="Calibri" w:hAnsi="Calibri" w:cs="Calibri"/>
                <w:color w:val="000000"/>
                <w:sz w:val="20"/>
                <w:szCs w:val="20"/>
              </w:rPr>
              <w:t xml:space="preserve">and </w:t>
            </w:r>
            <w:r>
              <w:rPr>
                <w:rFonts w:ascii="Calibri" w:eastAsia="Calibri" w:hAnsi="Calibri" w:cs="Calibri"/>
                <w:color w:val="000000"/>
                <w:sz w:val="20"/>
                <w:szCs w:val="20"/>
              </w:rPr>
              <w:t xml:space="preserve">are </w:t>
            </w:r>
            <w:r w:rsidR="002624F2">
              <w:rPr>
                <w:rFonts w:ascii="Calibri" w:eastAsia="Calibri" w:hAnsi="Calibri" w:cs="Calibri"/>
                <w:color w:val="000000"/>
                <w:sz w:val="20"/>
                <w:szCs w:val="20"/>
              </w:rPr>
              <w:t>in accordance with the principles of restorative justice (2018-2019)</w:t>
            </w:r>
            <w:r w:rsidR="00D97E0B">
              <w:rPr>
                <w:rFonts w:ascii="Calibri" w:eastAsia="Calibri" w:hAnsi="Calibri" w:cs="Calibri"/>
                <w:color w:val="000000"/>
                <w:sz w:val="20"/>
                <w:szCs w:val="20"/>
              </w:rPr>
              <w:t>.</w:t>
            </w:r>
            <w:r w:rsidR="002624F2">
              <w:rPr>
                <w:rFonts w:ascii="Calibri" w:eastAsia="Calibri" w:hAnsi="Calibri" w:cs="Calibri"/>
                <w:color w:val="000000"/>
                <w:sz w:val="20"/>
                <w:szCs w:val="20"/>
              </w:rPr>
              <w:t xml:space="preserve"> </w:t>
            </w:r>
          </w:p>
          <w:p w14:paraId="58CFB511" w14:textId="77777777" w:rsidR="00836EFA" w:rsidRPr="00D83D43" w:rsidRDefault="00836EFA" w:rsidP="00836EFA">
            <w:pPr>
              <w:numPr>
                <w:ilvl w:val="0"/>
                <w:numId w:val="3"/>
              </w:numPr>
              <w:pBdr>
                <w:top w:val="nil"/>
                <w:left w:val="nil"/>
                <w:bottom w:val="nil"/>
                <w:right w:val="nil"/>
                <w:between w:val="nil"/>
              </w:pBdr>
              <w:jc w:val="both"/>
              <w:rPr>
                <w:rFonts w:ascii="Calibri" w:eastAsia="Calibri" w:hAnsi="Calibri" w:cs="Calibri"/>
                <w:sz w:val="20"/>
                <w:szCs w:val="20"/>
              </w:rPr>
            </w:pPr>
            <w:r w:rsidRPr="00D83D43">
              <w:rPr>
                <w:rFonts w:ascii="Calibri" w:eastAsia="Calibri" w:hAnsi="Calibri" w:cs="Calibri"/>
                <w:color w:val="000000"/>
                <w:sz w:val="20"/>
                <w:szCs w:val="20"/>
              </w:rPr>
              <w:t>The Youth Training and Rehabilitation center implement</w:t>
            </w:r>
            <w:r w:rsidRPr="00723622">
              <w:rPr>
                <w:rFonts w:ascii="Calibri" w:eastAsia="Calibri" w:hAnsi="Calibri" w:cs="Calibri"/>
                <w:color w:val="000000"/>
                <w:sz w:val="20"/>
                <w:szCs w:val="20"/>
              </w:rPr>
              <w:t xml:space="preserve">ed a rehabilitative programme which included psycho-social and educational support for </w:t>
            </w:r>
            <w:r w:rsidRPr="009B64A8">
              <w:rPr>
                <w:rFonts w:ascii="Calibri" w:eastAsia="Calibri" w:hAnsi="Calibri" w:cs="Calibri"/>
                <w:color w:val="000000"/>
                <w:sz w:val="20"/>
                <w:szCs w:val="20"/>
              </w:rPr>
              <w:t xml:space="preserve">their community.  In </w:t>
            </w:r>
            <w:r w:rsidRPr="00D83D43">
              <w:rPr>
                <w:rFonts w:ascii="Calibri" w:eastAsia="Calibri" w:hAnsi="Calibri" w:cs="Calibri"/>
                <w:sz w:val="20"/>
                <w:szCs w:val="20"/>
              </w:rPr>
              <w:t>response to COVID, the first online programming in a Trinidadian prison</w:t>
            </w:r>
            <w:r>
              <w:rPr>
                <w:rFonts w:ascii="Calibri" w:eastAsia="Calibri" w:hAnsi="Calibri" w:cs="Calibri"/>
                <w:sz w:val="20"/>
                <w:szCs w:val="20"/>
              </w:rPr>
              <w:t xml:space="preserve"> was established</w:t>
            </w:r>
            <w:r w:rsidRPr="00D83D43">
              <w:rPr>
                <w:rFonts w:ascii="Calibri" w:eastAsia="Calibri" w:hAnsi="Calibri" w:cs="Calibri"/>
                <w:sz w:val="20"/>
                <w:szCs w:val="20"/>
              </w:rPr>
              <w:t xml:space="preserve"> which paved the way for virtual learning to become institutionalized based on the success of this initial program.</w:t>
            </w:r>
          </w:p>
          <w:p w14:paraId="000000C1" w14:textId="50D5F12B" w:rsidR="00C8511B" w:rsidRDefault="005A2207" w:rsidP="00A443AF">
            <w:pPr>
              <w:numPr>
                <w:ilvl w:val="0"/>
                <w:numId w:val="3"/>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 xml:space="preserve">The </w:t>
            </w:r>
            <w:r w:rsidR="002624F2">
              <w:rPr>
                <w:rFonts w:ascii="Calibri" w:eastAsia="Calibri" w:hAnsi="Calibri" w:cs="Calibri"/>
                <w:sz w:val="20"/>
                <w:szCs w:val="20"/>
              </w:rPr>
              <w:t xml:space="preserve">International Partners </w:t>
            </w:r>
            <w:r w:rsidR="002624F2" w:rsidRPr="007650A6">
              <w:rPr>
                <w:rFonts w:ascii="Calibri" w:eastAsia="Calibri" w:hAnsi="Calibri" w:cs="Calibri"/>
                <w:sz w:val="20"/>
                <w:szCs w:val="20"/>
              </w:rPr>
              <w:t xml:space="preserve">Group </w:t>
            </w:r>
            <w:r w:rsidR="00EC4F14" w:rsidRPr="007650A6">
              <w:rPr>
                <w:rFonts w:ascii="Calibri" w:eastAsia="Calibri" w:hAnsi="Calibri" w:cs="Calibri"/>
                <w:sz w:val="20"/>
                <w:szCs w:val="20"/>
              </w:rPr>
              <w:t>comprising development partners working in the PVE space</w:t>
            </w:r>
            <w:r w:rsidR="00EC4F14">
              <w:rPr>
                <w:rFonts w:ascii="Calibri" w:eastAsia="Calibri" w:hAnsi="Calibri" w:cs="Calibri"/>
                <w:sz w:val="20"/>
                <w:szCs w:val="20"/>
              </w:rPr>
              <w:t xml:space="preserve"> </w:t>
            </w:r>
            <w:r>
              <w:rPr>
                <w:rFonts w:ascii="Calibri" w:eastAsia="Calibri" w:hAnsi="Calibri" w:cs="Calibri"/>
                <w:sz w:val="20"/>
                <w:szCs w:val="20"/>
              </w:rPr>
              <w:t xml:space="preserve">improved coordination and streamlining of donor support </w:t>
            </w:r>
            <w:r w:rsidR="002624F2">
              <w:rPr>
                <w:rFonts w:ascii="Calibri" w:eastAsia="Calibri" w:hAnsi="Calibri" w:cs="Calibri"/>
                <w:sz w:val="20"/>
                <w:szCs w:val="20"/>
              </w:rPr>
              <w:t xml:space="preserve">by developing and utilizing </w:t>
            </w:r>
            <w:r>
              <w:rPr>
                <w:rFonts w:ascii="Calibri" w:eastAsia="Calibri" w:hAnsi="Calibri" w:cs="Calibri"/>
                <w:sz w:val="20"/>
                <w:szCs w:val="20"/>
              </w:rPr>
              <w:t xml:space="preserve">a </w:t>
            </w:r>
            <w:r w:rsidR="002624F2">
              <w:rPr>
                <w:rFonts w:ascii="Calibri" w:eastAsia="Calibri" w:hAnsi="Calibri" w:cs="Calibri"/>
                <w:sz w:val="20"/>
                <w:szCs w:val="20"/>
              </w:rPr>
              <w:t xml:space="preserve">framework for reporting </w:t>
            </w:r>
            <w:r>
              <w:rPr>
                <w:rFonts w:ascii="Calibri" w:eastAsia="Calibri" w:hAnsi="Calibri" w:cs="Calibri"/>
                <w:sz w:val="20"/>
                <w:szCs w:val="20"/>
              </w:rPr>
              <w:t xml:space="preserve">that </w:t>
            </w:r>
            <w:r w:rsidR="002624F2">
              <w:rPr>
                <w:rFonts w:ascii="Calibri" w:eastAsia="Calibri" w:hAnsi="Calibri" w:cs="Calibri"/>
                <w:sz w:val="20"/>
                <w:szCs w:val="20"/>
              </w:rPr>
              <w:t>align</w:t>
            </w:r>
            <w:r>
              <w:rPr>
                <w:rFonts w:ascii="Calibri" w:eastAsia="Calibri" w:hAnsi="Calibri" w:cs="Calibri"/>
                <w:sz w:val="20"/>
                <w:szCs w:val="20"/>
              </w:rPr>
              <w:t>s</w:t>
            </w:r>
            <w:r w:rsidR="002624F2">
              <w:rPr>
                <w:rFonts w:ascii="Calibri" w:eastAsia="Calibri" w:hAnsi="Calibri" w:cs="Calibri"/>
                <w:sz w:val="20"/>
                <w:szCs w:val="20"/>
              </w:rPr>
              <w:t xml:space="preserve"> with government priorities</w:t>
            </w:r>
            <w:r w:rsidR="00D97E0B">
              <w:rPr>
                <w:rFonts w:ascii="Calibri" w:eastAsia="Calibri" w:hAnsi="Calibri" w:cs="Calibri"/>
                <w:sz w:val="20"/>
                <w:szCs w:val="20"/>
              </w:rPr>
              <w:t>.</w:t>
            </w:r>
            <w:r w:rsidR="002624F2">
              <w:rPr>
                <w:rFonts w:ascii="Calibri" w:eastAsia="Calibri" w:hAnsi="Calibri" w:cs="Calibri"/>
                <w:sz w:val="20"/>
                <w:szCs w:val="20"/>
              </w:rPr>
              <w:t xml:space="preserve"> </w:t>
            </w:r>
          </w:p>
          <w:p w14:paraId="000000C2" w14:textId="52F1BDE0" w:rsidR="00156170" w:rsidRPr="00F1692F" w:rsidRDefault="00156170" w:rsidP="00A443AF">
            <w:pPr>
              <w:numPr>
                <w:ilvl w:val="0"/>
                <w:numId w:val="3"/>
              </w:numPr>
              <w:pBdr>
                <w:top w:val="nil"/>
                <w:left w:val="nil"/>
                <w:bottom w:val="nil"/>
                <w:right w:val="nil"/>
                <w:between w:val="nil"/>
              </w:pBdr>
              <w:jc w:val="both"/>
              <w:rPr>
                <w:rFonts w:ascii="Calibri" w:eastAsia="Calibri" w:hAnsi="Calibri" w:cs="Calibri"/>
                <w:sz w:val="20"/>
                <w:szCs w:val="20"/>
              </w:rPr>
            </w:pPr>
            <w:r>
              <w:rPr>
                <w:rFonts w:ascii="Calibri" w:eastAsia="Calibri" w:hAnsi="Calibri" w:cs="Calibri"/>
                <w:sz w:val="20"/>
                <w:szCs w:val="20"/>
              </w:rPr>
              <w:t>A network of community mediators and youth mediators established</w:t>
            </w:r>
            <w:r w:rsidR="004D63D9">
              <w:rPr>
                <w:rFonts w:ascii="Calibri" w:eastAsia="Calibri" w:hAnsi="Calibri" w:cs="Calibri"/>
                <w:sz w:val="20"/>
                <w:szCs w:val="20"/>
              </w:rPr>
              <w:t xml:space="preserve"> </w:t>
            </w:r>
            <w:r w:rsidR="00EC4F14" w:rsidRPr="005A68BA">
              <w:rPr>
                <w:rFonts w:ascii="Calibri" w:eastAsia="Calibri" w:hAnsi="Calibri" w:cs="Calibri"/>
                <w:sz w:val="20"/>
                <w:szCs w:val="20"/>
              </w:rPr>
              <w:t>across Trinidad and Tobago allowing for more enhanced peacebuilding intervention in community spaces.</w:t>
            </w:r>
            <w:r w:rsidR="00EC4F14">
              <w:rPr>
                <w:rFonts w:ascii="Calibri" w:eastAsia="Calibri" w:hAnsi="Calibri" w:cs="Calibri"/>
                <w:sz w:val="20"/>
                <w:szCs w:val="20"/>
                <w:highlight w:val="yellow"/>
              </w:rPr>
              <w:t xml:space="preserve"> </w:t>
            </w:r>
            <w:r w:rsidR="00EC4F14" w:rsidRPr="00EC4F14" w:rsidDel="00EC4F14">
              <w:rPr>
                <w:rFonts w:ascii="Calibri" w:eastAsia="Calibri" w:hAnsi="Calibri" w:cs="Calibri"/>
                <w:sz w:val="20"/>
                <w:szCs w:val="20"/>
                <w:highlight w:val="yellow"/>
              </w:rPr>
              <w:t xml:space="preserve"> </w:t>
            </w:r>
          </w:p>
        </w:tc>
      </w:tr>
      <w:tr w:rsidR="00A30080" w14:paraId="0293A6BB" w14:textId="77777777" w:rsidTr="00F81FC8">
        <w:tc>
          <w:tcPr>
            <w:tcW w:w="14040" w:type="dxa"/>
            <w:gridSpan w:val="5"/>
            <w:shd w:val="clear" w:color="auto" w:fill="auto"/>
          </w:tcPr>
          <w:p w14:paraId="000000C3" w14:textId="77777777" w:rsidR="00C8511B" w:rsidRPr="00F51484" w:rsidRDefault="00C8511B">
            <w:pPr>
              <w:widowControl/>
              <w:pBdr>
                <w:top w:val="nil"/>
                <w:left w:val="nil"/>
                <w:bottom w:val="nil"/>
                <w:right w:val="nil"/>
                <w:between w:val="nil"/>
              </w:pBdr>
              <w:jc w:val="both"/>
              <w:rPr>
                <w:rFonts w:asciiTheme="minorHAnsi" w:eastAsia="Calibri" w:hAnsiTheme="minorHAnsi" w:cstheme="minorHAnsi"/>
                <w:b/>
                <w:color w:val="000000"/>
                <w:sz w:val="20"/>
                <w:szCs w:val="20"/>
              </w:rPr>
            </w:pPr>
          </w:p>
          <w:p w14:paraId="000000C4" w14:textId="77777777" w:rsidR="00C8511B" w:rsidRPr="00F51484"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F51484">
              <w:rPr>
                <w:rFonts w:asciiTheme="minorHAnsi" w:eastAsia="Calibri" w:hAnsiTheme="minorHAnsi" w:cstheme="minorHAnsi"/>
                <w:b/>
                <w:color w:val="000000"/>
                <w:sz w:val="20"/>
                <w:szCs w:val="20"/>
              </w:rPr>
              <w:t>UNDP Contribution:</w:t>
            </w:r>
            <w:r w:rsidRPr="00F51484">
              <w:rPr>
                <w:rFonts w:asciiTheme="minorHAnsi" w:eastAsia="Calibri" w:hAnsiTheme="minorHAnsi" w:cstheme="minorHAnsi"/>
                <w:color w:val="000000"/>
                <w:sz w:val="20"/>
                <w:szCs w:val="20"/>
              </w:rPr>
              <w:t xml:space="preserve"> </w:t>
            </w:r>
          </w:p>
          <w:p w14:paraId="000000C5" w14:textId="77777777" w:rsidR="00C8511B" w:rsidRPr="00F51484" w:rsidRDefault="00C8511B">
            <w:pPr>
              <w:widowControl/>
              <w:pBdr>
                <w:top w:val="nil"/>
                <w:left w:val="nil"/>
                <w:bottom w:val="nil"/>
                <w:right w:val="nil"/>
                <w:between w:val="nil"/>
              </w:pBdr>
              <w:jc w:val="both"/>
              <w:rPr>
                <w:rFonts w:asciiTheme="minorHAnsi" w:eastAsia="Calibri" w:hAnsiTheme="minorHAnsi" w:cstheme="minorHAnsi"/>
                <w:color w:val="000000"/>
                <w:sz w:val="20"/>
                <w:szCs w:val="20"/>
                <w:u w:val="single"/>
              </w:rPr>
            </w:pPr>
          </w:p>
          <w:p w14:paraId="000000C6" w14:textId="77777777" w:rsidR="00C8511B" w:rsidRPr="00F51484"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F51484">
              <w:rPr>
                <w:rFonts w:asciiTheme="minorHAnsi" w:eastAsia="Calibri" w:hAnsiTheme="minorHAnsi" w:cstheme="minorHAnsi"/>
                <w:color w:val="000000"/>
                <w:sz w:val="20"/>
                <w:szCs w:val="20"/>
                <w:u w:val="single"/>
              </w:rPr>
              <w:t>CP Outputs</w:t>
            </w:r>
            <w:r w:rsidRPr="00F51484">
              <w:rPr>
                <w:rFonts w:asciiTheme="minorHAnsi" w:eastAsia="Calibri" w:hAnsiTheme="minorHAnsi" w:cstheme="minorHAnsi"/>
                <w:color w:val="000000"/>
                <w:sz w:val="20"/>
                <w:szCs w:val="20"/>
              </w:rPr>
              <w:t>:</w:t>
            </w:r>
          </w:p>
          <w:p w14:paraId="785ECA3F" w14:textId="03B652E9" w:rsidR="006E4D66" w:rsidRPr="00F51484" w:rsidRDefault="002624F2" w:rsidP="003E46D0">
            <w:pPr>
              <w:pStyle w:val="ListParagraph"/>
              <w:widowControl/>
              <w:numPr>
                <w:ilvl w:val="0"/>
                <w:numId w:val="9"/>
              </w:numPr>
              <w:pBdr>
                <w:top w:val="nil"/>
                <w:left w:val="nil"/>
                <w:bottom w:val="nil"/>
                <w:right w:val="nil"/>
                <w:between w:val="nil"/>
              </w:pBdr>
              <w:jc w:val="both"/>
              <w:rPr>
                <w:rFonts w:asciiTheme="minorHAnsi" w:eastAsia="Calibri" w:hAnsiTheme="minorHAnsi" w:cstheme="minorHAnsi"/>
                <w:color w:val="000000"/>
                <w:sz w:val="20"/>
                <w:szCs w:val="20"/>
              </w:rPr>
            </w:pPr>
            <w:r w:rsidRPr="00F51484">
              <w:rPr>
                <w:rFonts w:asciiTheme="minorHAnsi" w:eastAsia="Calibri" w:hAnsiTheme="minorHAnsi" w:cstheme="minorHAnsi"/>
                <w:color w:val="000000"/>
                <w:sz w:val="20"/>
                <w:szCs w:val="20"/>
              </w:rPr>
              <w:t>Building capacity in the Judiciary of Trinidad and Tobago to effectively deal with cases involving children and to introduce the concept of restorative justice into the criminal justice system</w:t>
            </w:r>
          </w:p>
          <w:p w14:paraId="79557911" w14:textId="71D60529" w:rsidR="006E4D66" w:rsidRPr="00F51484" w:rsidRDefault="002624F2" w:rsidP="003E46D0">
            <w:pPr>
              <w:pStyle w:val="ListParagraph"/>
              <w:widowControl/>
              <w:numPr>
                <w:ilvl w:val="0"/>
                <w:numId w:val="9"/>
              </w:numPr>
              <w:pBdr>
                <w:top w:val="nil"/>
                <w:left w:val="nil"/>
                <w:bottom w:val="nil"/>
                <w:right w:val="nil"/>
                <w:between w:val="nil"/>
              </w:pBdr>
              <w:jc w:val="both"/>
              <w:rPr>
                <w:rFonts w:asciiTheme="minorHAnsi" w:eastAsia="Calibri" w:hAnsiTheme="minorHAnsi" w:cstheme="minorHAnsi"/>
                <w:color w:val="000000"/>
                <w:sz w:val="20"/>
                <w:szCs w:val="20"/>
              </w:rPr>
            </w:pPr>
            <w:r w:rsidRPr="00F51484">
              <w:rPr>
                <w:rFonts w:asciiTheme="minorHAnsi" w:eastAsia="Calibri" w:hAnsiTheme="minorHAnsi" w:cstheme="minorHAnsi"/>
                <w:color w:val="000000"/>
                <w:sz w:val="20"/>
                <w:szCs w:val="20"/>
              </w:rPr>
              <w:t>Building capacity amongst civil society organizations to assist in crime prevention and response, specifically gender-based violence</w:t>
            </w:r>
          </w:p>
          <w:p w14:paraId="000000C7" w14:textId="4F155D6E" w:rsidR="00C8511B" w:rsidRPr="00F51484" w:rsidRDefault="002624F2" w:rsidP="003E46D0">
            <w:pPr>
              <w:pStyle w:val="ListParagraph"/>
              <w:widowControl/>
              <w:numPr>
                <w:ilvl w:val="0"/>
                <w:numId w:val="9"/>
              </w:numPr>
              <w:pBdr>
                <w:top w:val="nil"/>
                <w:left w:val="nil"/>
                <w:bottom w:val="nil"/>
                <w:right w:val="nil"/>
                <w:between w:val="nil"/>
              </w:pBdr>
              <w:jc w:val="both"/>
              <w:rPr>
                <w:rFonts w:asciiTheme="minorHAnsi" w:eastAsia="Calibri" w:hAnsiTheme="minorHAnsi" w:cstheme="minorHAnsi"/>
                <w:color w:val="000000"/>
                <w:sz w:val="20"/>
                <w:szCs w:val="20"/>
              </w:rPr>
            </w:pPr>
            <w:r w:rsidRPr="00F51484">
              <w:rPr>
                <w:rFonts w:asciiTheme="minorHAnsi" w:eastAsia="Calibri" w:hAnsiTheme="minorHAnsi" w:cstheme="minorHAnsi"/>
                <w:color w:val="000000"/>
                <w:sz w:val="20"/>
                <w:szCs w:val="20"/>
              </w:rPr>
              <w:t>Reducing the rate of recidivism amongst youth offenders.</w:t>
            </w:r>
          </w:p>
          <w:p w14:paraId="000000C8" w14:textId="77777777" w:rsidR="00C8511B" w:rsidRPr="00F51484" w:rsidRDefault="00C8511B">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000000CA" w14:textId="77777777" w:rsidR="00C8511B" w:rsidRPr="00F51484" w:rsidRDefault="002624F2">
            <w:pPr>
              <w:widowControl/>
              <w:pBdr>
                <w:top w:val="nil"/>
                <w:left w:val="nil"/>
                <w:bottom w:val="nil"/>
                <w:right w:val="nil"/>
                <w:between w:val="nil"/>
              </w:pBdr>
              <w:jc w:val="both"/>
              <w:rPr>
                <w:rFonts w:asciiTheme="minorHAnsi" w:eastAsia="Calibri" w:hAnsiTheme="minorHAnsi" w:cstheme="minorHAnsi"/>
                <w:color w:val="000000"/>
                <w:sz w:val="20"/>
                <w:szCs w:val="20"/>
              </w:rPr>
            </w:pPr>
            <w:r w:rsidRPr="00F51484">
              <w:rPr>
                <w:rFonts w:asciiTheme="minorHAnsi" w:eastAsia="Calibri" w:hAnsiTheme="minorHAnsi" w:cstheme="minorHAnsi"/>
                <w:color w:val="000000"/>
                <w:sz w:val="20"/>
                <w:szCs w:val="20"/>
                <w:u w:val="single"/>
              </w:rPr>
              <w:t>Progress and Achievements</w:t>
            </w:r>
            <w:r w:rsidRPr="00F51484">
              <w:rPr>
                <w:rFonts w:asciiTheme="minorHAnsi" w:eastAsia="Calibri" w:hAnsiTheme="minorHAnsi" w:cstheme="minorHAnsi"/>
                <w:color w:val="000000"/>
                <w:sz w:val="20"/>
                <w:szCs w:val="20"/>
              </w:rPr>
              <w:t>:</w:t>
            </w:r>
          </w:p>
          <w:p w14:paraId="064EA752" w14:textId="77777777" w:rsidR="00D52AF3" w:rsidRDefault="00D52AF3" w:rsidP="00853F69">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1681F354" w14:textId="292DBC28" w:rsidR="00772E77" w:rsidRDefault="00147C96" w:rsidP="00853F69">
            <w:pPr>
              <w:widowControl/>
              <w:pBdr>
                <w:top w:val="nil"/>
                <w:left w:val="nil"/>
                <w:bottom w:val="nil"/>
                <w:right w:val="nil"/>
                <w:between w:val="nil"/>
              </w:pBdr>
              <w:jc w:val="both"/>
              <w:rPr>
                <w:rFonts w:asciiTheme="minorHAnsi" w:eastAsia="Calibri" w:hAnsiTheme="minorHAnsi" w:cstheme="minorHAnsi"/>
                <w:color w:val="000000"/>
                <w:sz w:val="20"/>
                <w:szCs w:val="20"/>
              </w:rPr>
            </w:pPr>
            <w:r w:rsidRPr="00853F69">
              <w:rPr>
                <w:rFonts w:asciiTheme="minorHAnsi" w:eastAsia="Calibri" w:hAnsiTheme="minorHAnsi" w:cstheme="minorHAnsi"/>
                <w:color w:val="000000"/>
                <w:sz w:val="20"/>
                <w:szCs w:val="20"/>
              </w:rPr>
              <w:t>UNDP took a holistic approach to addressing the criminal justice system</w:t>
            </w:r>
            <w:r w:rsidR="00540012">
              <w:rPr>
                <w:rFonts w:asciiTheme="minorHAnsi" w:eastAsia="Calibri" w:hAnsiTheme="minorHAnsi" w:cstheme="minorHAnsi"/>
                <w:color w:val="000000"/>
                <w:sz w:val="20"/>
                <w:szCs w:val="20"/>
              </w:rPr>
              <w:t xml:space="preserve"> and </w:t>
            </w:r>
            <w:r w:rsidR="000B63E6">
              <w:rPr>
                <w:rFonts w:asciiTheme="minorHAnsi" w:eastAsia="Calibri" w:hAnsiTheme="minorHAnsi" w:cstheme="minorHAnsi"/>
                <w:color w:val="000000"/>
                <w:sz w:val="20"/>
                <w:szCs w:val="20"/>
              </w:rPr>
              <w:t>preventing violent extremism (PVE)</w:t>
            </w:r>
            <w:r w:rsidR="00A614F0">
              <w:rPr>
                <w:rFonts w:asciiTheme="minorHAnsi" w:eastAsia="Calibri" w:hAnsiTheme="minorHAnsi" w:cstheme="minorHAnsi"/>
                <w:color w:val="000000"/>
                <w:sz w:val="20"/>
                <w:szCs w:val="20"/>
              </w:rPr>
              <w:t xml:space="preserve"> by</w:t>
            </w:r>
            <w:r w:rsidRPr="00853F69">
              <w:rPr>
                <w:rFonts w:asciiTheme="minorHAnsi" w:eastAsia="Calibri" w:hAnsiTheme="minorHAnsi" w:cstheme="minorHAnsi"/>
                <w:color w:val="000000"/>
                <w:sz w:val="20"/>
                <w:szCs w:val="20"/>
              </w:rPr>
              <w:t xml:space="preserve"> focus</w:t>
            </w:r>
            <w:r w:rsidR="000A0B11">
              <w:rPr>
                <w:rFonts w:asciiTheme="minorHAnsi" w:eastAsia="Calibri" w:hAnsiTheme="minorHAnsi" w:cstheme="minorHAnsi"/>
                <w:color w:val="000000"/>
                <w:sz w:val="20"/>
                <w:szCs w:val="20"/>
              </w:rPr>
              <w:t>ing</w:t>
            </w:r>
            <w:r w:rsidRPr="00853F69">
              <w:rPr>
                <w:rFonts w:asciiTheme="minorHAnsi" w:eastAsia="Calibri" w:hAnsiTheme="minorHAnsi" w:cstheme="minorHAnsi"/>
                <w:color w:val="000000"/>
                <w:sz w:val="20"/>
                <w:szCs w:val="20"/>
              </w:rPr>
              <w:t xml:space="preserve"> on psycho-social issues </w:t>
            </w:r>
            <w:r w:rsidR="000A0B11">
              <w:rPr>
                <w:rFonts w:asciiTheme="minorHAnsi" w:eastAsia="Calibri" w:hAnsiTheme="minorHAnsi" w:cstheme="minorHAnsi"/>
                <w:color w:val="000000"/>
                <w:sz w:val="20"/>
                <w:szCs w:val="20"/>
              </w:rPr>
              <w:t xml:space="preserve">and applying a </w:t>
            </w:r>
            <w:r w:rsidR="000A0B11" w:rsidRPr="00853F69">
              <w:rPr>
                <w:rFonts w:asciiTheme="minorHAnsi" w:eastAsia="Calibri" w:hAnsiTheme="minorHAnsi" w:cstheme="minorHAnsi"/>
                <w:color w:val="000000"/>
                <w:sz w:val="20"/>
                <w:szCs w:val="20"/>
              </w:rPr>
              <w:t>restorative justice lens</w:t>
            </w:r>
            <w:r w:rsidR="000A0B11">
              <w:rPr>
                <w:rFonts w:asciiTheme="minorHAnsi" w:eastAsia="Calibri" w:hAnsiTheme="minorHAnsi" w:cstheme="minorHAnsi"/>
                <w:color w:val="000000"/>
                <w:sz w:val="20"/>
                <w:szCs w:val="20"/>
              </w:rPr>
              <w:t>.</w:t>
            </w:r>
          </w:p>
          <w:p w14:paraId="36E3C9A4" w14:textId="77777777" w:rsidR="00540012" w:rsidRPr="00853F69" w:rsidRDefault="00540012" w:rsidP="00853F69">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4A525C9E" w14:textId="0DA364E6" w:rsidR="00033025" w:rsidRPr="00A55E49" w:rsidRDefault="00033025" w:rsidP="003E46D0">
            <w:pPr>
              <w:pStyle w:val="ListParagraph"/>
              <w:widowControl/>
              <w:numPr>
                <w:ilvl w:val="0"/>
                <w:numId w:val="9"/>
              </w:numPr>
              <w:pBdr>
                <w:top w:val="nil"/>
                <w:left w:val="nil"/>
                <w:bottom w:val="nil"/>
                <w:right w:val="nil"/>
                <w:between w:val="nil"/>
              </w:pBdr>
              <w:jc w:val="both"/>
              <w:rPr>
                <w:rFonts w:asciiTheme="minorHAnsi" w:hAnsiTheme="minorHAnsi" w:cstheme="minorHAnsi"/>
                <w:sz w:val="20"/>
                <w:szCs w:val="20"/>
              </w:rPr>
            </w:pPr>
            <w:r>
              <w:rPr>
                <w:rFonts w:asciiTheme="minorHAnsi" w:eastAsia="Calibri" w:hAnsiTheme="minorHAnsi" w:cstheme="minorHAnsi"/>
                <w:sz w:val="20"/>
                <w:szCs w:val="20"/>
              </w:rPr>
              <w:t xml:space="preserve">UNDP was closely involved in the </w:t>
            </w:r>
            <w:r w:rsidR="00C91D3C" w:rsidRPr="00A55E49">
              <w:rPr>
                <w:rFonts w:asciiTheme="minorHAnsi" w:hAnsiTheme="minorHAnsi" w:cstheme="minorHAnsi"/>
                <w:sz w:val="20"/>
                <w:szCs w:val="20"/>
              </w:rPr>
              <w:t>e</w:t>
            </w:r>
            <w:r w:rsidR="002624F2" w:rsidRPr="00A55E49">
              <w:rPr>
                <w:rFonts w:asciiTheme="minorHAnsi" w:hAnsiTheme="minorHAnsi" w:cstheme="minorHAnsi"/>
                <w:sz w:val="20"/>
                <w:szCs w:val="20"/>
              </w:rPr>
              <w:t xml:space="preserve">stablishment of </w:t>
            </w:r>
            <w:r w:rsidR="00DC0483">
              <w:rPr>
                <w:rFonts w:asciiTheme="minorHAnsi" w:hAnsiTheme="minorHAnsi" w:cstheme="minorHAnsi"/>
                <w:sz w:val="20"/>
                <w:szCs w:val="20"/>
              </w:rPr>
              <w:t xml:space="preserve">the </w:t>
            </w:r>
            <w:r w:rsidRPr="00A55E49">
              <w:rPr>
                <w:rFonts w:asciiTheme="minorHAnsi" w:hAnsiTheme="minorHAnsi" w:cstheme="minorHAnsi"/>
                <w:sz w:val="20"/>
                <w:szCs w:val="20"/>
              </w:rPr>
              <w:t>Children Court of Trinidad and Tobago, which was the first children’s court</w:t>
            </w:r>
            <w:r w:rsidR="00DC0483">
              <w:rPr>
                <w:rFonts w:asciiTheme="minorHAnsi" w:hAnsiTheme="minorHAnsi" w:cstheme="minorHAnsi"/>
                <w:sz w:val="20"/>
                <w:szCs w:val="20"/>
              </w:rPr>
              <w:t>s</w:t>
            </w:r>
            <w:r w:rsidRPr="00A55E49">
              <w:rPr>
                <w:rFonts w:asciiTheme="minorHAnsi" w:hAnsiTheme="minorHAnsi" w:cstheme="minorHAnsi"/>
                <w:sz w:val="20"/>
                <w:szCs w:val="20"/>
              </w:rPr>
              <w:t xml:space="preserve"> in the country and designed to strengthen the capacity of the Judiciary system when dealing with children’s matters consistent with international rules and guidelines. UNDP </w:t>
            </w:r>
            <w:r w:rsidR="00DE0B62" w:rsidRPr="00A55E49">
              <w:rPr>
                <w:rFonts w:asciiTheme="minorHAnsi" w:hAnsiTheme="minorHAnsi" w:cstheme="minorHAnsi"/>
                <w:sz w:val="20"/>
                <w:szCs w:val="20"/>
              </w:rPr>
              <w:t xml:space="preserve">provided </w:t>
            </w:r>
            <w:r w:rsidRPr="00A55E49">
              <w:rPr>
                <w:rFonts w:asciiTheme="minorHAnsi" w:hAnsiTheme="minorHAnsi" w:cstheme="minorHAnsi"/>
                <w:sz w:val="20"/>
                <w:szCs w:val="20"/>
              </w:rPr>
              <w:t xml:space="preserve">probation services training on child justice administration to strengthen the system’s capacities. A key feature of the Court is </w:t>
            </w:r>
            <w:r w:rsidRPr="00F51484">
              <w:rPr>
                <w:rFonts w:asciiTheme="minorHAnsi" w:hAnsiTheme="minorHAnsi" w:cstheme="minorHAnsi"/>
                <w:sz w:val="20"/>
                <w:szCs w:val="20"/>
              </w:rPr>
              <w:t>the application of risk assessments for child offenders and Children in Need of Supervision to assist in judicial decision making and the development of appropriate Treatment Plans that provide the pathway toward rehabilitation</w:t>
            </w:r>
            <w:r w:rsidR="00DE0B62">
              <w:rPr>
                <w:rFonts w:asciiTheme="minorHAnsi" w:hAnsiTheme="minorHAnsi" w:cstheme="minorHAnsi"/>
                <w:sz w:val="20"/>
                <w:szCs w:val="20"/>
              </w:rPr>
              <w:t>, as well as a Children Drug Treatment Court Process. UNDP has also provided capacity building to strengthen restorative just</w:t>
            </w:r>
            <w:r w:rsidR="00B92042">
              <w:rPr>
                <w:rFonts w:asciiTheme="minorHAnsi" w:hAnsiTheme="minorHAnsi" w:cstheme="minorHAnsi"/>
                <w:sz w:val="20"/>
                <w:szCs w:val="20"/>
              </w:rPr>
              <w:t>i</w:t>
            </w:r>
            <w:r w:rsidR="00DE0B62">
              <w:rPr>
                <w:rFonts w:asciiTheme="minorHAnsi" w:hAnsiTheme="minorHAnsi" w:cstheme="minorHAnsi"/>
                <w:sz w:val="20"/>
                <w:szCs w:val="20"/>
              </w:rPr>
              <w:t xml:space="preserve">ce approaches </w:t>
            </w:r>
            <w:r w:rsidR="00B92042">
              <w:rPr>
                <w:rFonts w:asciiTheme="minorHAnsi" w:hAnsiTheme="minorHAnsi" w:cstheme="minorHAnsi"/>
                <w:sz w:val="20"/>
                <w:szCs w:val="20"/>
              </w:rPr>
              <w:t xml:space="preserve">by </w:t>
            </w:r>
            <w:r w:rsidR="00DE0B62">
              <w:rPr>
                <w:rFonts w:asciiTheme="minorHAnsi" w:hAnsiTheme="minorHAnsi" w:cstheme="minorHAnsi"/>
                <w:sz w:val="20"/>
                <w:szCs w:val="20"/>
              </w:rPr>
              <w:t>conduct</w:t>
            </w:r>
            <w:r w:rsidR="00B92042">
              <w:rPr>
                <w:rFonts w:asciiTheme="minorHAnsi" w:hAnsiTheme="minorHAnsi" w:cstheme="minorHAnsi"/>
                <w:sz w:val="20"/>
                <w:szCs w:val="20"/>
              </w:rPr>
              <w:t>ing</w:t>
            </w:r>
            <w:r w:rsidR="00DE0B62">
              <w:rPr>
                <w:rFonts w:asciiTheme="minorHAnsi" w:hAnsiTheme="minorHAnsi" w:cstheme="minorHAnsi"/>
                <w:sz w:val="20"/>
                <w:szCs w:val="20"/>
              </w:rPr>
              <w:t xml:space="preserve"> </w:t>
            </w:r>
            <w:r w:rsidR="00B92042">
              <w:rPr>
                <w:rFonts w:asciiTheme="minorHAnsi" w:hAnsiTheme="minorHAnsi" w:cstheme="minorHAnsi"/>
                <w:sz w:val="20"/>
                <w:szCs w:val="20"/>
              </w:rPr>
              <w:t xml:space="preserve">1) </w:t>
            </w:r>
            <w:r w:rsidR="00DE0B62">
              <w:rPr>
                <w:rFonts w:asciiTheme="minorHAnsi" w:hAnsiTheme="minorHAnsi" w:cstheme="minorHAnsi"/>
                <w:sz w:val="20"/>
                <w:szCs w:val="20"/>
              </w:rPr>
              <w:t xml:space="preserve">trainings </w:t>
            </w:r>
            <w:r w:rsidR="00B92042">
              <w:rPr>
                <w:rFonts w:asciiTheme="minorHAnsi" w:hAnsiTheme="minorHAnsi" w:cstheme="minorHAnsi"/>
                <w:sz w:val="20"/>
                <w:szCs w:val="20"/>
              </w:rPr>
              <w:t xml:space="preserve">with </w:t>
            </w:r>
            <w:r w:rsidR="00DE0B62">
              <w:rPr>
                <w:rFonts w:asciiTheme="minorHAnsi" w:hAnsiTheme="minorHAnsi" w:cstheme="minorHAnsi"/>
                <w:sz w:val="20"/>
                <w:szCs w:val="20"/>
              </w:rPr>
              <w:t xml:space="preserve">Child Probation Officers </w:t>
            </w:r>
            <w:r w:rsidR="00B92042" w:rsidRPr="00A55E49">
              <w:rPr>
                <w:rFonts w:asciiTheme="minorHAnsi" w:hAnsiTheme="minorHAnsi" w:cstheme="minorHAnsi"/>
                <w:sz w:val="20"/>
                <w:szCs w:val="20"/>
              </w:rPr>
              <w:t>result</w:t>
            </w:r>
            <w:r w:rsidR="00A55E49">
              <w:rPr>
                <w:rFonts w:asciiTheme="minorHAnsi" w:hAnsiTheme="minorHAnsi" w:cstheme="minorHAnsi"/>
                <w:sz w:val="20"/>
                <w:szCs w:val="20"/>
              </w:rPr>
              <w:t xml:space="preserve">ing in </w:t>
            </w:r>
            <w:r w:rsidR="00B92042" w:rsidRPr="00A55E49">
              <w:rPr>
                <w:rFonts w:asciiTheme="minorHAnsi" w:hAnsiTheme="minorHAnsi" w:cstheme="minorHAnsi"/>
                <w:sz w:val="20"/>
                <w:szCs w:val="20"/>
              </w:rPr>
              <w:t xml:space="preserve">a more cohesive and comprehensive process of child justice administration; </w:t>
            </w:r>
            <w:r w:rsidR="00DE0B62">
              <w:rPr>
                <w:rFonts w:asciiTheme="minorHAnsi" w:hAnsiTheme="minorHAnsi" w:cstheme="minorHAnsi"/>
                <w:sz w:val="20"/>
                <w:szCs w:val="20"/>
              </w:rPr>
              <w:t>and</w:t>
            </w:r>
            <w:r w:rsidR="00B92042">
              <w:rPr>
                <w:rFonts w:asciiTheme="minorHAnsi" w:hAnsiTheme="minorHAnsi" w:cstheme="minorHAnsi"/>
                <w:sz w:val="20"/>
                <w:szCs w:val="20"/>
              </w:rPr>
              <w:t xml:space="preserve"> 2) </w:t>
            </w:r>
            <w:r w:rsidR="004541A8">
              <w:rPr>
                <w:rFonts w:asciiTheme="minorHAnsi" w:hAnsiTheme="minorHAnsi" w:cstheme="minorHAnsi"/>
                <w:sz w:val="20"/>
                <w:szCs w:val="20"/>
              </w:rPr>
              <w:t xml:space="preserve">study tour </w:t>
            </w:r>
            <w:r w:rsidR="00A55E49">
              <w:rPr>
                <w:rFonts w:asciiTheme="minorHAnsi" w:hAnsiTheme="minorHAnsi" w:cstheme="minorHAnsi"/>
                <w:sz w:val="20"/>
                <w:szCs w:val="20"/>
              </w:rPr>
              <w:t>with</w:t>
            </w:r>
            <w:r w:rsidR="00DE0B62">
              <w:rPr>
                <w:rFonts w:asciiTheme="minorHAnsi" w:hAnsiTheme="minorHAnsi" w:cstheme="minorHAnsi"/>
                <w:sz w:val="20"/>
                <w:szCs w:val="20"/>
              </w:rPr>
              <w:t xml:space="preserve"> </w:t>
            </w:r>
            <w:r w:rsidR="004541A8">
              <w:rPr>
                <w:rFonts w:asciiTheme="minorHAnsi" w:hAnsiTheme="minorHAnsi" w:cstheme="minorHAnsi"/>
                <w:sz w:val="20"/>
                <w:szCs w:val="20"/>
              </w:rPr>
              <w:t xml:space="preserve">four </w:t>
            </w:r>
            <w:r w:rsidR="00A249E2">
              <w:rPr>
                <w:rFonts w:asciiTheme="minorHAnsi" w:hAnsiTheme="minorHAnsi" w:cstheme="minorHAnsi"/>
                <w:sz w:val="20"/>
                <w:szCs w:val="20"/>
              </w:rPr>
              <w:t xml:space="preserve">senior Children Court officers to the </w:t>
            </w:r>
            <w:r w:rsidR="00DE0B62">
              <w:rPr>
                <w:rFonts w:asciiTheme="minorHAnsi" w:hAnsiTheme="minorHAnsi" w:cstheme="minorHAnsi"/>
                <w:sz w:val="20"/>
                <w:szCs w:val="20"/>
              </w:rPr>
              <w:t xml:space="preserve">Drug Treatment </w:t>
            </w:r>
            <w:r w:rsidR="004541A8">
              <w:rPr>
                <w:rFonts w:asciiTheme="minorHAnsi" w:hAnsiTheme="minorHAnsi" w:cstheme="minorHAnsi"/>
                <w:sz w:val="20"/>
                <w:szCs w:val="20"/>
              </w:rPr>
              <w:t xml:space="preserve">Court </w:t>
            </w:r>
            <w:r w:rsidR="00DE0B62">
              <w:rPr>
                <w:rFonts w:asciiTheme="minorHAnsi" w:hAnsiTheme="minorHAnsi" w:cstheme="minorHAnsi"/>
                <w:sz w:val="20"/>
                <w:szCs w:val="20"/>
              </w:rPr>
              <w:t>Officers</w:t>
            </w:r>
            <w:r w:rsidR="00B92042">
              <w:rPr>
                <w:rFonts w:asciiTheme="minorHAnsi" w:hAnsiTheme="minorHAnsi" w:cstheme="minorHAnsi"/>
                <w:sz w:val="20"/>
                <w:szCs w:val="20"/>
              </w:rPr>
              <w:t xml:space="preserve"> </w:t>
            </w:r>
            <w:r w:rsidR="004541A8">
              <w:rPr>
                <w:rFonts w:asciiTheme="minorHAnsi" w:hAnsiTheme="minorHAnsi" w:cstheme="minorHAnsi"/>
                <w:sz w:val="20"/>
                <w:szCs w:val="20"/>
              </w:rPr>
              <w:t xml:space="preserve">in Atlanta, CA to </w:t>
            </w:r>
            <w:r w:rsidR="004541A8" w:rsidRPr="00F51484">
              <w:rPr>
                <w:rFonts w:asciiTheme="minorHAnsi" w:hAnsiTheme="minorHAnsi" w:cstheme="minorHAnsi"/>
                <w:sz w:val="20"/>
                <w:szCs w:val="20"/>
              </w:rPr>
              <w:t>learn from their processes and best practice, with specific focus on the operations and procedures of the Rebound Programme</w:t>
            </w:r>
            <w:r w:rsidR="005E4B32">
              <w:rPr>
                <w:rFonts w:asciiTheme="minorHAnsi" w:hAnsiTheme="minorHAnsi" w:cstheme="minorHAnsi"/>
                <w:sz w:val="20"/>
                <w:szCs w:val="20"/>
              </w:rPr>
              <w:t xml:space="preserve"> at </w:t>
            </w:r>
            <w:r w:rsidR="004541A8" w:rsidRPr="00F51484">
              <w:rPr>
                <w:rFonts w:asciiTheme="minorHAnsi" w:hAnsiTheme="minorHAnsi" w:cstheme="minorHAnsi"/>
                <w:sz w:val="20"/>
                <w:szCs w:val="20"/>
              </w:rPr>
              <w:t>DeKalb County’s successful Juvenile Court Drug Treatment Programme</w:t>
            </w:r>
            <w:r w:rsidR="00A249E2">
              <w:rPr>
                <w:rFonts w:asciiTheme="minorHAnsi" w:hAnsiTheme="minorHAnsi" w:cstheme="minorHAnsi"/>
                <w:sz w:val="20"/>
                <w:szCs w:val="20"/>
              </w:rPr>
              <w:t>.  The purpose was to</w:t>
            </w:r>
            <w:r w:rsidR="005E4B32">
              <w:rPr>
                <w:rFonts w:asciiTheme="minorHAnsi" w:hAnsiTheme="minorHAnsi" w:cstheme="minorHAnsi"/>
                <w:sz w:val="20"/>
                <w:szCs w:val="20"/>
              </w:rPr>
              <w:t xml:space="preserve"> inform the </w:t>
            </w:r>
            <w:r w:rsidR="005E4B32" w:rsidRPr="005E4B32">
              <w:rPr>
                <w:rFonts w:asciiTheme="minorHAnsi" w:hAnsiTheme="minorHAnsi" w:cstheme="minorHAnsi"/>
                <w:sz w:val="20"/>
                <w:szCs w:val="20"/>
              </w:rPr>
              <w:t>strategic and operational directions of a Drug Treatment Juvenile Court Pilot in Trinidad and Tobago</w:t>
            </w:r>
          </w:p>
          <w:p w14:paraId="03822E21" w14:textId="44985243" w:rsidR="00327D9F" w:rsidRDefault="00327D9F" w:rsidP="003E46D0">
            <w:pPr>
              <w:numPr>
                <w:ilvl w:val="0"/>
                <w:numId w:val="9"/>
              </w:numPr>
              <w:jc w:val="both"/>
              <w:rPr>
                <w:rFonts w:asciiTheme="minorHAnsi" w:eastAsia="Calibri" w:hAnsiTheme="minorHAnsi" w:cstheme="minorHAnsi"/>
                <w:sz w:val="20"/>
                <w:szCs w:val="20"/>
              </w:rPr>
            </w:pPr>
            <w:r>
              <w:rPr>
                <w:rFonts w:asciiTheme="minorHAnsi" w:eastAsia="Calibri" w:hAnsiTheme="minorHAnsi" w:cstheme="minorHAnsi"/>
                <w:sz w:val="20"/>
                <w:szCs w:val="20"/>
              </w:rPr>
              <w:t>The Positive Deviance Pilot Project targeted youth in high-risk communities by employing psycho-social interventions, counternarratives and skills-building that offer youth productive options and attracting them away from gangs, radicalization and violence. Participants enrolled in technical and vocational programs, demonstrated improvement in psycho-social well-being and resilience, and increased employability (prior to COVID-19)</w:t>
            </w:r>
            <w:r w:rsidR="001F71A5">
              <w:rPr>
                <w:rFonts w:asciiTheme="minorHAnsi" w:eastAsia="Calibri" w:hAnsiTheme="minorHAnsi" w:cstheme="minorHAnsi"/>
                <w:sz w:val="20"/>
                <w:szCs w:val="20"/>
              </w:rPr>
              <w:t xml:space="preserve">. This project </w:t>
            </w:r>
            <w:r w:rsidR="00EF0FE3">
              <w:rPr>
                <w:rFonts w:asciiTheme="minorHAnsi" w:eastAsia="Calibri" w:hAnsiTheme="minorHAnsi" w:cstheme="minorHAnsi"/>
                <w:sz w:val="20"/>
                <w:szCs w:val="20"/>
              </w:rPr>
              <w:t xml:space="preserve">led to </w:t>
            </w:r>
            <w:r w:rsidR="001F71A5">
              <w:rPr>
                <w:rFonts w:asciiTheme="minorHAnsi" w:eastAsia="Calibri" w:hAnsiTheme="minorHAnsi" w:cstheme="minorHAnsi"/>
                <w:sz w:val="20"/>
                <w:szCs w:val="20"/>
              </w:rPr>
              <w:t>the Youth Ambassadors project</w:t>
            </w:r>
            <w:r w:rsidR="003E46D0">
              <w:rPr>
                <w:rFonts w:asciiTheme="minorHAnsi" w:eastAsia="Calibri" w:hAnsiTheme="minorHAnsi" w:cstheme="minorHAnsi"/>
                <w:sz w:val="20"/>
                <w:szCs w:val="20"/>
              </w:rPr>
              <w:t>, which was launched at YTRC in 2019 with 17 participants. The programme aimed to reduce recidivism and equip young offenders with the skills needed to become role models and agents of positive change within their environments. Participants became certified in CPR and First Aid, Leadership, and basic yoga. The participants were also trained as Peace Ambassadors. Noting positive behavioral changes with the project’s participants, prison officers requested the trainings be extended to the full YTRC population</w:t>
            </w:r>
            <w:r w:rsidR="00C9571F">
              <w:rPr>
                <w:rFonts w:asciiTheme="minorHAnsi" w:eastAsia="Calibri" w:hAnsiTheme="minorHAnsi" w:cstheme="minorHAnsi"/>
                <w:sz w:val="20"/>
                <w:szCs w:val="20"/>
              </w:rPr>
              <w:t>.</w:t>
            </w:r>
            <w:r w:rsidR="00006C0D">
              <w:rPr>
                <w:rFonts w:asciiTheme="minorHAnsi" w:eastAsia="Calibri" w:hAnsiTheme="minorHAnsi" w:cstheme="minorHAnsi"/>
                <w:sz w:val="20"/>
                <w:szCs w:val="20"/>
              </w:rPr>
              <w:t xml:space="preserve"> </w:t>
            </w:r>
          </w:p>
          <w:p w14:paraId="3D2EB00D" w14:textId="63DEB034" w:rsidR="00BB352D" w:rsidRPr="004E2791" w:rsidRDefault="00A52953" w:rsidP="003E46D0">
            <w:pPr>
              <w:pStyle w:val="ListParagraph"/>
              <w:widowControl/>
              <w:numPr>
                <w:ilvl w:val="0"/>
                <w:numId w:val="9"/>
              </w:numPr>
              <w:pBdr>
                <w:top w:val="nil"/>
                <w:left w:val="nil"/>
                <w:bottom w:val="nil"/>
                <w:right w:val="nil"/>
                <w:between w:val="nil"/>
              </w:pBdr>
              <w:jc w:val="both"/>
              <w:rPr>
                <w:rFonts w:asciiTheme="minorHAnsi" w:eastAsia="Calibri" w:hAnsiTheme="minorHAnsi" w:cstheme="minorHAnsi"/>
                <w:color w:val="000000"/>
                <w:sz w:val="20"/>
                <w:szCs w:val="20"/>
              </w:rPr>
            </w:pPr>
            <w:r w:rsidRPr="006745D8">
              <w:rPr>
                <w:rFonts w:asciiTheme="minorHAnsi" w:eastAsia="Calibri" w:hAnsiTheme="minorHAnsi" w:cstheme="minorHAnsi"/>
                <w:sz w:val="20"/>
                <w:szCs w:val="20"/>
              </w:rPr>
              <w:t>UNDP d</w:t>
            </w:r>
            <w:r w:rsidR="002624F2" w:rsidRPr="006745D8">
              <w:rPr>
                <w:rFonts w:asciiTheme="minorHAnsi" w:eastAsia="Calibri" w:hAnsiTheme="minorHAnsi" w:cstheme="minorHAnsi"/>
                <w:sz w:val="20"/>
                <w:szCs w:val="20"/>
              </w:rPr>
              <w:t xml:space="preserve">eveloped and implemented </w:t>
            </w:r>
            <w:r w:rsidR="00BB1EFC" w:rsidRPr="006745D8">
              <w:rPr>
                <w:rFonts w:asciiTheme="minorHAnsi" w:eastAsia="Calibri" w:hAnsiTheme="minorHAnsi" w:cstheme="minorHAnsi"/>
                <w:sz w:val="20"/>
                <w:szCs w:val="20"/>
              </w:rPr>
              <w:t xml:space="preserve">pioneering </w:t>
            </w:r>
            <w:r w:rsidR="002624F2" w:rsidRPr="006745D8">
              <w:rPr>
                <w:rFonts w:asciiTheme="minorHAnsi" w:eastAsia="Calibri" w:hAnsiTheme="minorHAnsi" w:cstheme="minorHAnsi"/>
                <w:sz w:val="20"/>
                <w:szCs w:val="20"/>
              </w:rPr>
              <w:t xml:space="preserve">psychosocial and resilience building interventions </w:t>
            </w:r>
            <w:r w:rsidR="00630727">
              <w:rPr>
                <w:rFonts w:asciiTheme="minorHAnsi" w:eastAsia="Calibri" w:hAnsiTheme="minorHAnsi" w:cstheme="minorHAnsi"/>
                <w:sz w:val="20"/>
                <w:szCs w:val="20"/>
              </w:rPr>
              <w:t xml:space="preserve">intended </w:t>
            </w:r>
            <w:r w:rsidR="002624F2" w:rsidRPr="006745D8">
              <w:rPr>
                <w:rFonts w:asciiTheme="minorHAnsi" w:eastAsia="Calibri" w:hAnsiTheme="minorHAnsi" w:cstheme="minorHAnsi"/>
                <w:sz w:val="20"/>
                <w:szCs w:val="20"/>
              </w:rPr>
              <w:t>to reduce the high rate of recidivism at the Youth Training and Rehabilitation Centre</w:t>
            </w:r>
            <w:r w:rsidR="00B5174E">
              <w:rPr>
                <w:rFonts w:asciiTheme="minorHAnsi" w:eastAsia="Calibri" w:hAnsiTheme="minorHAnsi" w:cstheme="minorHAnsi"/>
                <w:sz w:val="20"/>
                <w:szCs w:val="20"/>
              </w:rPr>
              <w:t xml:space="preserve"> (YTRC)</w:t>
            </w:r>
            <w:r w:rsidR="00630727">
              <w:rPr>
                <w:rFonts w:asciiTheme="minorHAnsi" w:eastAsia="Calibri" w:hAnsiTheme="minorHAnsi" w:cstheme="minorHAnsi"/>
                <w:sz w:val="20"/>
                <w:szCs w:val="20"/>
              </w:rPr>
              <w:t xml:space="preserve"> and </w:t>
            </w:r>
            <w:r w:rsidR="00630727" w:rsidRPr="00630727">
              <w:rPr>
                <w:rFonts w:asciiTheme="minorHAnsi" w:eastAsia="Calibri" w:hAnsiTheme="minorHAnsi" w:cstheme="minorHAnsi"/>
                <w:sz w:val="20"/>
                <w:szCs w:val="20"/>
              </w:rPr>
              <w:t>equip young offenders with skills to become role models and agents of positive change within their environment</w:t>
            </w:r>
            <w:r w:rsidR="002624F2" w:rsidRPr="006745D8">
              <w:rPr>
                <w:rFonts w:asciiTheme="minorHAnsi" w:eastAsia="Calibri" w:hAnsiTheme="minorHAnsi" w:cstheme="minorHAnsi"/>
                <w:sz w:val="20"/>
                <w:szCs w:val="20"/>
              </w:rPr>
              <w:t>.</w:t>
            </w:r>
            <w:r w:rsidRPr="006745D8">
              <w:rPr>
                <w:rFonts w:asciiTheme="minorHAnsi" w:eastAsia="Calibri" w:hAnsiTheme="minorHAnsi" w:cstheme="minorHAnsi"/>
                <w:sz w:val="20"/>
                <w:szCs w:val="20"/>
              </w:rPr>
              <w:t xml:space="preserve"> The Youth Peace Ambassadors </w:t>
            </w:r>
            <w:r w:rsidR="00EF0FE3">
              <w:rPr>
                <w:rFonts w:asciiTheme="minorHAnsi" w:eastAsia="Calibri" w:hAnsiTheme="minorHAnsi" w:cstheme="minorHAnsi"/>
                <w:sz w:val="20"/>
                <w:szCs w:val="20"/>
              </w:rPr>
              <w:t>program was developed from the Positive Deviance Pilot Project to support youth within YTRC</w:t>
            </w:r>
            <w:r w:rsidR="00B54253" w:rsidRPr="006745D8">
              <w:rPr>
                <w:rFonts w:asciiTheme="minorHAnsi" w:eastAsia="Calibri" w:hAnsiTheme="minorHAnsi" w:cstheme="minorHAnsi"/>
                <w:sz w:val="20"/>
                <w:szCs w:val="20"/>
              </w:rPr>
              <w:t>.</w:t>
            </w:r>
            <w:r w:rsidR="006745D8" w:rsidRPr="006745D8">
              <w:rPr>
                <w:rFonts w:asciiTheme="minorHAnsi" w:eastAsia="Calibri" w:hAnsiTheme="minorHAnsi" w:cstheme="minorHAnsi"/>
                <w:sz w:val="20"/>
                <w:szCs w:val="20"/>
              </w:rPr>
              <w:t xml:space="preserve"> When the COVID-19 pandemic restricted in-person interactions, the program quickly </w:t>
            </w:r>
            <w:r w:rsidR="001A6FDB">
              <w:rPr>
                <w:rFonts w:asciiTheme="minorHAnsi" w:eastAsia="Calibri" w:hAnsiTheme="minorHAnsi" w:cstheme="minorHAnsi"/>
                <w:sz w:val="20"/>
                <w:szCs w:val="20"/>
              </w:rPr>
              <w:t xml:space="preserve">created </w:t>
            </w:r>
            <w:r w:rsidR="00B5174E">
              <w:rPr>
                <w:rFonts w:asciiTheme="minorHAnsi" w:eastAsia="Calibri" w:hAnsiTheme="minorHAnsi" w:cstheme="minorHAnsi"/>
                <w:sz w:val="20"/>
                <w:szCs w:val="20"/>
              </w:rPr>
              <w:t xml:space="preserve">a first ever </w:t>
            </w:r>
            <w:r w:rsidR="006745D8" w:rsidRPr="006745D8">
              <w:rPr>
                <w:rFonts w:asciiTheme="minorHAnsi" w:hAnsiTheme="minorHAnsi" w:cstheme="minorHAnsi"/>
                <w:sz w:val="20"/>
                <w:szCs w:val="20"/>
              </w:rPr>
              <w:t xml:space="preserve">online programme </w:t>
            </w:r>
            <w:r w:rsidR="00B5174E">
              <w:rPr>
                <w:rFonts w:asciiTheme="minorHAnsi" w:hAnsiTheme="minorHAnsi" w:cstheme="minorHAnsi"/>
                <w:sz w:val="20"/>
                <w:szCs w:val="20"/>
              </w:rPr>
              <w:t xml:space="preserve">within prisons and </w:t>
            </w:r>
            <w:r w:rsidR="007877EC">
              <w:rPr>
                <w:rFonts w:asciiTheme="minorHAnsi" w:hAnsiTheme="minorHAnsi" w:cstheme="minorHAnsi"/>
                <w:sz w:val="20"/>
                <w:szCs w:val="20"/>
              </w:rPr>
              <w:t xml:space="preserve">expanded </w:t>
            </w:r>
            <w:r w:rsidR="00006C0D">
              <w:rPr>
                <w:rFonts w:asciiTheme="minorHAnsi" w:hAnsiTheme="minorHAnsi" w:cstheme="minorHAnsi"/>
                <w:sz w:val="20"/>
                <w:szCs w:val="20"/>
              </w:rPr>
              <w:t>capacity building</w:t>
            </w:r>
            <w:r w:rsidR="00B5174E">
              <w:rPr>
                <w:rFonts w:asciiTheme="minorHAnsi" w:hAnsiTheme="minorHAnsi" w:cstheme="minorHAnsi"/>
                <w:sz w:val="20"/>
                <w:szCs w:val="20"/>
              </w:rPr>
              <w:t xml:space="preserve"> program </w:t>
            </w:r>
            <w:r w:rsidR="007877EC">
              <w:rPr>
                <w:rFonts w:asciiTheme="minorHAnsi" w:hAnsiTheme="minorHAnsi" w:cstheme="minorHAnsi"/>
                <w:sz w:val="20"/>
                <w:szCs w:val="20"/>
              </w:rPr>
              <w:t xml:space="preserve">from </w:t>
            </w:r>
            <w:r w:rsidR="006745D8" w:rsidRPr="006745D8">
              <w:rPr>
                <w:rFonts w:asciiTheme="minorHAnsi" w:hAnsiTheme="minorHAnsi" w:cstheme="minorHAnsi"/>
                <w:sz w:val="20"/>
                <w:szCs w:val="20"/>
              </w:rPr>
              <w:t>to the</w:t>
            </w:r>
            <w:r w:rsidR="007877EC">
              <w:rPr>
                <w:rFonts w:asciiTheme="minorHAnsi" w:hAnsiTheme="minorHAnsi" w:cstheme="minorHAnsi"/>
                <w:sz w:val="20"/>
                <w:szCs w:val="20"/>
              </w:rPr>
              <w:t xml:space="preserve"> initial 17 participants in the pilot to the </w:t>
            </w:r>
            <w:r w:rsidR="006745D8" w:rsidRPr="006745D8">
              <w:rPr>
                <w:rFonts w:asciiTheme="minorHAnsi" w:hAnsiTheme="minorHAnsi" w:cstheme="minorHAnsi"/>
                <w:sz w:val="20"/>
                <w:szCs w:val="20"/>
              </w:rPr>
              <w:t xml:space="preserve">full </w:t>
            </w:r>
            <w:r w:rsidR="007877EC">
              <w:rPr>
                <w:rFonts w:asciiTheme="minorHAnsi" w:hAnsiTheme="minorHAnsi" w:cstheme="minorHAnsi"/>
                <w:sz w:val="20"/>
                <w:szCs w:val="20"/>
              </w:rPr>
              <w:t xml:space="preserve">100+ </w:t>
            </w:r>
            <w:r w:rsidR="006745D8" w:rsidRPr="006745D8">
              <w:rPr>
                <w:rFonts w:asciiTheme="minorHAnsi" w:hAnsiTheme="minorHAnsi" w:cstheme="minorHAnsi"/>
                <w:sz w:val="20"/>
                <w:szCs w:val="20"/>
              </w:rPr>
              <w:t xml:space="preserve">YTRC population. </w:t>
            </w:r>
            <w:r w:rsidRPr="00630727">
              <w:rPr>
                <w:rFonts w:asciiTheme="minorHAnsi" w:eastAsia="Calibri" w:hAnsiTheme="minorHAnsi" w:cstheme="minorHAnsi"/>
                <w:sz w:val="20"/>
                <w:szCs w:val="20"/>
              </w:rPr>
              <w:t xml:space="preserve">UNDP HQ </w:t>
            </w:r>
            <w:r w:rsidR="00B54253" w:rsidRPr="00630727">
              <w:rPr>
                <w:rFonts w:asciiTheme="minorHAnsi" w:eastAsia="Calibri" w:hAnsiTheme="minorHAnsi" w:cstheme="minorHAnsi"/>
                <w:sz w:val="20"/>
                <w:szCs w:val="20"/>
              </w:rPr>
              <w:t xml:space="preserve">has shown interest in </w:t>
            </w:r>
            <w:r w:rsidR="007B2FFF" w:rsidRPr="00630727">
              <w:rPr>
                <w:rFonts w:asciiTheme="minorHAnsi" w:eastAsia="Calibri" w:hAnsiTheme="minorHAnsi" w:cstheme="minorHAnsi"/>
                <w:sz w:val="20"/>
                <w:szCs w:val="20"/>
              </w:rPr>
              <w:t xml:space="preserve">the program and invited UNDP CO </w:t>
            </w:r>
            <w:r w:rsidR="00630727">
              <w:rPr>
                <w:rFonts w:asciiTheme="minorHAnsi" w:eastAsia="Calibri" w:hAnsiTheme="minorHAnsi" w:cstheme="minorHAnsi"/>
                <w:sz w:val="20"/>
                <w:szCs w:val="20"/>
              </w:rPr>
              <w:t xml:space="preserve">staff </w:t>
            </w:r>
            <w:r w:rsidR="007B2FFF" w:rsidRPr="00630727">
              <w:rPr>
                <w:rFonts w:asciiTheme="minorHAnsi" w:eastAsia="Calibri" w:hAnsiTheme="minorHAnsi" w:cstheme="minorHAnsi"/>
                <w:sz w:val="20"/>
                <w:szCs w:val="20"/>
              </w:rPr>
              <w:t xml:space="preserve">to share their experiences </w:t>
            </w:r>
            <w:r w:rsidR="00B54253" w:rsidRPr="00630727">
              <w:rPr>
                <w:rFonts w:asciiTheme="minorHAnsi" w:eastAsia="Calibri" w:hAnsiTheme="minorHAnsi" w:cstheme="minorHAnsi"/>
                <w:sz w:val="20"/>
                <w:szCs w:val="20"/>
              </w:rPr>
              <w:t xml:space="preserve">from this program through webinars and </w:t>
            </w:r>
            <w:r w:rsidR="007B2FFF" w:rsidRPr="00630727">
              <w:rPr>
                <w:rFonts w:asciiTheme="minorHAnsi" w:eastAsia="Calibri" w:hAnsiTheme="minorHAnsi" w:cstheme="minorHAnsi"/>
                <w:sz w:val="20"/>
                <w:szCs w:val="20"/>
              </w:rPr>
              <w:t xml:space="preserve">provide inputs into </w:t>
            </w:r>
            <w:r w:rsidR="00B54253" w:rsidRPr="00630727">
              <w:rPr>
                <w:rFonts w:asciiTheme="minorHAnsi" w:eastAsia="Calibri" w:hAnsiTheme="minorHAnsi" w:cstheme="minorHAnsi"/>
                <w:sz w:val="20"/>
                <w:szCs w:val="20"/>
              </w:rPr>
              <w:t xml:space="preserve">the development of a toolkit </w:t>
            </w:r>
            <w:r w:rsidRPr="00630727">
              <w:rPr>
                <w:rFonts w:asciiTheme="minorHAnsi" w:eastAsia="Calibri" w:hAnsiTheme="minorHAnsi" w:cstheme="minorHAnsi"/>
                <w:sz w:val="20"/>
                <w:szCs w:val="20"/>
              </w:rPr>
              <w:t>for others.</w:t>
            </w:r>
          </w:p>
          <w:p w14:paraId="3819004F" w14:textId="3EA7B1C6" w:rsidR="001676A7" w:rsidRPr="00445702" w:rsidRDefault="001676A7" w:rsidP="003E46D0">
            <w:pPr>
              <w:pStyle w:val="ListParagraph"/>
              <w:widowControl/>
              <w:numPr>
                <w:ilvl w:val="0"/>
                <w:numId w:val="9"/>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UNDP drew from its network of experts to provide policy advice and technical guidance on </w:t>
            </w:r>
            <w:r>
              <w:rPr>
                <w:rFonts w:ascii="Calibri" w:eastAsia="Calibri" w:hAnsi="Calibri" w:cs="Calibri"/>
                <w:color w:val="000000"/>
                <w:sz w:val="20"/>
                <w:szCs w:val="20"/>
              </w:rPr>
              <w:t xml:space="preserve">Preventing and Countering Violent Extremism (P/CVE). UNDP worked closely with the </w:t>
            </w:r>
            <w:r w:rsidRPr="00F51484">
              <w:rPr>
                <w:rFonts w:asciiTheme="minorHAnsi" w:hAnsiTheme="minorHAnsi" w:cstheme="minorHAnsi"/>
                <w:sz w:val="20"/>
                <w:szCs w:val="20"/>
              </w:rPr>
              <w:t>Implementation Committee for Counter-Terrorism</w:t>
            </w:r>
            <w:r>
              <w:rPr>
                <w:rFonts w:asciiTheme="minorHAnsi" w:hAnsiTheme="minorHAnsi" w:cstheme="minorHAnsi"/>
                <w:sz w:val="20"/>
                <w:szCs w:val="20"/>
              </w:rPr>
              <w:t xml:space="preserve"> to conduct a comprehensive review of the draft National Plan for P/CVE resulting in the Plan’s realignment and refocus on more urgent Priority Areas, such as harnessing youth energy, girls and women’s empowerment, building resilient communities, promoting inclusive governance, and rehabilitating persons from conflict zones. </w:t>
            </w:r>
            <w:r w:rsidR="00D25D4B">
              <w:rPr>
                <w:rFonts w:asciiTheme="minorHAnsi" w:hAnsiTheme="minorHAnsi" w:cstheme="minorHAnsi"/>
                <w:sz w:val="20"/>
                <w:szCs w:val="20"/>
              </w:rPr>
              <w:t xml:space="preserve">UNDP then offered its expertise to </w:t>
            </w:r>
            <w:r w:rsidR="00575A25">
              <w:rPr>
                <w:rFonts w:asciiTheme="minorHAnsi" w:hAnsiTheme="minorHAnsi" w:cstheme="minorHAnsi"/>
                <w:sz w:val="20"/>
                <w:szCs w:val="20"/>
              </w:rPr>
              <w:t>streamline and align efforts with the National Plan for P/CVE</w:t>
            </w:r>
            <w:r w:rsidR="00C40A74">
              <w:rPr>
                <w:rFonts w:asciiTheme="minorHAnsi" w:hAnsiTheme="minorHAnsi" w:cstheme="minorHAnsi"/>
                <w:sz w:val="20"/>
                <w:szCs w:val="20"/>
              </w:rPr>
              <w:t xml:space="preserve"> through policy advice with </w:t>
            </w:r>
            <w:r w:rsidR="00D25D4B">
              <w:rPr>
                <w:rFonts w:asciiTheme="minorHAnsi" w:hAnsiTheme="minorHAnsi" w:cstheme="minorHAnsi"/>
                <w:sz w:val="20"/>
                <w:szCs w:val="20"/>
              </w:rPr>
              <w:t>the Nightingale Committee</w:t>
            </w:r>
            <w:r w:rsidR="00C40A74">
              <w:rPr>
                <w:rFonts w:asciiTheme="minorHAnsi" w:hAnsiTheme="minorHAnsi" w:cstheme="minorHAnsi"/>
                <w:sz w:val="20"/>
                <w:szCs w:val="20"/>
              </w:rPr>
              <w:t xml:space="preserve"> responsible </w:t>
            </w:r>
            <w:r w:rsidR="00D25D4B">
              <w:rPr>
                <w:rFonts w:asciiTheme="minorHAnsi" w:hAnsiTheme="minorHAnsi" w:cstheme="minorHAnsi"/>
                <w:sz w:val="20"/>
                <w:szCs w:val="20"/>
              </w:rPr>
              <w:t>for women and children returning from conflict zones</w:t>
            </w:r>
            <w:r w:rsidR="00DC0A4B">
              <w:rPr>
                <w:rFonts w:asciiTheme="minorHAnsi" w:hAnsiTheme="minorHAnsi" w:cstheme="minorHAnsi"/>
                <w:sz w:val="20"/>
                <w:szCs w:val="20"/>
              </w:rPr>
              <w:t xml:space="preserve"> </w:t>
            </w:r>
            <w:r w:rsidR="00C40A74">
              <w:rPr>
                <w:rFonts w:asciiTheme="minorHAnsi" w:hAnsiTheme="minorHAnsi" w:cstheme="minorHAnsi"/>
                <w:sz w:val="20"/>
                <w:szCs w:val="20"/>
              </w:rPr>
              <w:t xml:space="preserve">and </w:t>
            </w:r>
            <w:r w:rsidR="00575A25">
              <w:rPr>
                <w:rFonts w:asciiTheme="minorHAnsi" w:hAnsiTheme="minorHAnsi" w:cstheme="minorHAnsi"/>
                <w:sz w:val="20"/>
                <w:szCs w:val="20"/>
              </w:rPr>
              <w:t>technical guidance for the role and framework of the International Partners Group</w:t>
            </w:r>
            <w:r w:rsidR="00C40A74">
              <w:rPr>
                <w:rFonts w:asciiTheme="minorHAnsi" w:hAnsiTheme="minorHAnsi" w:cstheme="minorHAnsi"/>
                <w:sz w:val="20"/>
                <w:szCs w:val="20"/>
              </w:rPr>
              <w:t>.</w:t>
            </w:r>
          </w:p>
          <w:p w14:paraId="000000E1" w14:textId="51C320A6" w:rsidR="00887EED" w:rsidRPr="00E253BB" w:rsidRDefault="00C7505F" w:rsidP="00E253BB">
            <w:pPr>
              <w:pStyle w:val="ListParagraph"/>
              <w:widowControl/>
              <w:numPr>
                <w:ilvl w:val="0"/>
                <w:numId w:val="9"/>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hAnsiTheme="minorHAnsi" w:cstheme="minorHAnsi"/>
                <w:sz w:val="20"/>
                <w:szCs w:val="20"/>
              </w:rPr>
              <w:lastRenderedPageBreak/>
              <w:t xml:space="preserve">The </w:t>
            </w:r>
            <w:r w:rsidRPr="00E253BB">
              <w:rPr>
                <w:rFonts w:asciiTheme="minorHAnsi" w:hAnsiTheme="minorHAnsi" w:cstheme="minorHAnsi"/>
                <w:sz w:val="20"/>
                <w:szCs w:val="20"/>
              </w:rPr>
              <w:t xml:space="preserve">Community Inclusive Mediation Initiative was conceptualized by Community Mediation Services Division (CMSD) of the Ministry of Community Development, Culture and the Arts and supported by </w:t>
            </w:r>
            <w:r>
              <w:rPr>
                <w:rFonts w:asciiTheme="minorHAnsi" w:hAnsiTheme="minorHAnsi" w:cstheme="minorHAnsi"/>
                <w:sz w:val="20"/>
                <w:szCs w:val="20"/>
              </w:rPr>
              <w:t>a UNDP</w:t>
            </w:r>
            <w:r w:rsidRPr="00E253BB">
              <w:rPr>
                <w:rFonts w:asciiTheme="minorHAnsi" w:hAnsiTheme="minorHAnsi" w:cstheme="minorHAnsi"/>
                <w:sz w:val="20"/>
                <w:szCs w:val="20"/>
              </w:rPr>
              <w:t xml:space="preserve">-DPPA Joint Programme </w:t>
            </w:r>
            <w:r>
              <w:rPr>
                <w:rFonts w:asciiTheme="minorHAnsi" w:hAnsiTheme="minorHAnsi" w:cstheme="minorHAnsi"/>
                <w:sz w:val="20"/>
                <w:szCs w:val="20"/>
              </w:rPr>
              <w:t xml:space="preserve">intended to </w:t>
            </w:r>
            <w:r w:rsidRPr="00E253BB">
              <w:rPr>
                <w:rFonts w:asciiTheme="minorHAnsi" w:hAnsiTheme="minorHAnsi" w:cstheme="minorHAnsi"/>
                <w:sz w:val="20"/>
                <w:szCs w:val="20"/>
              </w:rPr>
              <w:t xml:space="preserve">effectively </w:t>
            </w:r>
            <w:r>
              <w:rPr>
                <w:rFonts w:asciiTheme="minorHAnsi" w:hAnsiTheme="minorHAnsi" w:cstheme="minorHAnsi"/>
                <w:sz w:val="20"/>
                <w:szCs w:val="20"/>
              </w:rPr>
              <w:t xml:space="preserve">address </w:t>
            </w:r>
            <w:r w:rsidRPr="00E253BB">
              <w:rPr>
                <w:rFonts w:asciiTheme="minorHAnsi" w:hAnsiTheme="minorHAnsi" w:cstheme="minorHAnsi"/>
                <w:sz w:val="20"/>
                <w:szCs w:val="20"/>
              </w:rPr>
              <w:t>the increased level of community conflict in Trinidad and Tobago. The project empowered 25 participants within 3 communities to become providers of mediation services in a manner that promotes a culture of peace building, peaceful co-existence, and social cohesion. Forty contact hours during a five-day residential training program was facilitated by expert consultants. Additionally, for the mentorship component and in light of COVID-19 restrictions, 5 “live” sessions were organized by CMSD and these were mediated by the consultants on-line</w:t>
            </w:r>
            <w:r w:rsidR="00A61319" w:rsidRPr="00E253BB">
              <w:rPr>
                <w:rFonts w:asciiTheme="minorHAnsi" w:hAnsiTheme="minorHAnsi" w:cstheme="minorHAnsi"/>
                <w:sz w:val="20"/>
                <w:szCs w:val="20"/>
              </w:rPr>
              <w:t xml:space="preserve">. </w:t>
            </w:r>
          </w:p>
        </w:tc>
      </w:tr>
      <w:tr w:rsidR="00987B57" w14:paraId="7FA99F91" w14:textId="77777777" w:rsidTr="00E253BB">
        <w:tc>
          <w:tcPr>
            <w:tcW w:w="3060" w:type="dxa"/>
            <w:shd w:val="clear" w:color="auto" w:fill="95B3D7"/>
          </w:tcPr>
          <w:p w14:paraId="000000E6" w14:textId="77777777" w:rsidR="00C8511B" w:rsidRDefault="002624F2" w:rsidP="005F7BCF">
            <w:pPr>
              <w:widowControl/>
              <w:pBdr>
                <w:top w:val="nil"/>
                <w:left w:val="nil"/>
                <w:bottom w:val="nil"/>
                <w:right w:val="nil"/>
                <w:between w:val="nil"/>
              </w:pBdr>
              <w:rPr>
                <w:rFonts w:ascii="Calibri" w:eastAsia="Calibri" w:hAnsi="Calibri" w:cs="Calibri"/>
                <w:color w:val="000000"/>
                <w:sz w:val="20"/>
                <w:szCs w:val="20"/>
              </w:rPr>
            </w:pPr>
            <w:bookmarkStart w:id="1" w:name="_Hlk68809581"/>
            <w:r>
              <w:rPr>
                <w:rFonts w:ascii="Calibri" w:eastAsia="Calibri" w:hAnsi="Calibri" w:cs="Calibri"/>
                <w:b/>
                <w:color w:val="000000"/>
                <w:sz w:val="20"/>
                <w:szCs w:val="20"/>
              </w:rPr>
              <w:lastRenderedPageBreak/>
              <w:t>4. Policies and programmes for climate change resilience, disaster risk reduction and universal access to clean and sustainable energy.</w:t>
            </w:r>
          </w:p>
          <w:p w14:paraId="000000E7" w14:textId="77777777" w:rsidR="00C8511B" w:rsidRDefault="00C8511B">
            <w:pPr>
              <w:widowControl/>
              <w:pBdr>
                <w:top w:val="nil"/>
                <w:left w:val="nil"/>
                <w:bottom w:val="nil"/>
                <w:right w:val="nil"/>
                <w:between w:val="nil"/>
              </w:pBdr>
              <w:jc w:val="both"/>
              <w:rPr>
                <w:rFonts w:ascii="Calibri" w:eastAsia="Calibri" w:hAnsi="Calibri" w:cs="Calibri"/>
                <w:b/>
                <w:color w:val="000000"/>
                <w:sz w:val="20"/>
                <w:szCs w:val="20"/>
              </w:rPr>
            </w:pPr>
          </w:p>
        </w:tc>
        <w:tc>
          <w:tcPr>
            <w:tcW w:w="1530" w:type="dxa"/>
            <w:gridSpan w:val="2"/>
            <w:shd w:val="clear" w:color="auto" w:fill="auto"/>
          </w:tcPr>
          <w:p w14:paraId="000000E8"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$3,608,847</w:t>
            </w:r>
          </w:p>
        </w:tc>
        <w:tc>
          <w:tcPr>
            <w:tcW w:w="3960" w:type="dxa"/>
            <w:tcBorders>
              <w:left w:val="single" w:sz="4" w:space="0" w:color="000000"/>
            </w:tcBorders>
            <w:shd w:val="clear" w:color="auto" w:fill="auto"/>
          </w:tcPr>
          <w:p w14:paraId="000000EA" w14:textId="1B0222C4" w:rsidR="00C8511B" w:rsidRPr="001B13C0" w:rsidRDefault="002624F2" w:rsidP="001B13C0">
            <w:pPr>
              <w:pStyle w:val="ListParagraph"/>
              <w:widowControl/>
              <w:numPr>
                <w:ilvl w:val="0"/>
                <w:numId w:val="16"/>
              </w:numPr>
              <w:pBdr>
                <w:top w:val="nil"/>
                <w:left w:val="nil"/>
                <w:bottom w:val="nil"/>
                <w:right w:val="nil"/>
                <w:between w:val="nil"/>
              </w:pBdr>
              <w:jc w:val="both"/>
              <w:rPr>
                <w:rFonts w:ascii="Calibri" w:eastAsia="Calibri" w:hAnsi="Calibri" w:cs="Calibri"/>
                <w:color w:val="000000"/>
                <w:sz w:val="20"/>
                <w:szCs w:val="20"/>
              </w:rPr>
            </w:pPr>
            <w:r w:rsidRPr="001B13C0">
              <w:rPr>
                <w:rFonts w:ascii="Calibri" w:eastAsia="Calibri" w:hAnsi="Calibri" w:cs="Calibri"/>
                <w:color w:val="000000"/>
                <w:sz w:val="20"/>
                <w:szCs w:val="20"/>
              </w:rPr>
              <w:t xml:space="preserve">Number of national </w:t>
            </w:r>
            <w:proofErr w:type="gramStart"/>
            <w:r w:rsidRPr="001B13C0">
              <w:rPr>
                <w:rFonts w:ascii="Calibri" w:eastAsia="Calibri" w:hAnsi="Calibri" w:cs="Calibri"/>
                <w:color w:val="000000"/>
                <w:sz w:val="20"/>
                <w:szCs w:val="20"/>
              </w:rPr>
              <w:t>adaptation</w:t>
            </w:r>
            <w:proofErr w:type="gramEnd"/>
            <w:r w:rsidRPr="001B13C0">
              <w:rPr>
                <w:rFonts w:ascii="Calibri" w:eastAsia="Calibri" w:hAnsi="Calibri" w:cs="Calibri"/>
                <w:color w:val="000000"/>
                <w:sz w:val="20"/>
                <w:szCs w:val="20"/>
              </w:rPr>
              <w:t xml:space="preserve"> plans or disaster risk reduction and climate-resilient strategies under implementation.</w:t>
            </w:r>
            <w:r>
              <w:rPr>
                <w:rFonts w:eastAsia="Calibri"/>
                <w:vertAlign w:val="superscript"/>
              </w:rPr>
              <w:footnoteReference w:id="10"/>
            </w:r>
          </w:p>
          <w:p w14:paraId="000000ED" w14:textId="34945E3D" w:rsidR="00C8511B" w:rsidRPr="001B13C0" w:rsidRDefault="002624F2" w:rsidP="001B13C0">
            <w:pPr>
              <w:pStyle w:val="ListParagraph"/>
              <w:widowControl/>
              <w:numPr>
                <w:ilvl w:val="0"/>
                <w:numId w:val="16"/>
              </w:numPr>
              <w:pBdr>
                <w:top w:val="nil"/>
                <w:left w:val="nil"/>
                <w:bottom w:val="nil"/>
                <w:right w:val="nil"/>
                <w:between w:val="nil"/>
              </w:pBdr>
              <w:jc w:val="both"/>
              <w:rPr>
                <w:rFonts w:ascii="Calibri" w:eastAsia="Calibri" w:hAnsi="Calibri" w:cs="Calibri"/>
                <w:color w:val="000000"/>
                <w:sz w:val="20"/>
                <w:szCs w:val="20"/>
              </w:rPr>
            </w:pPr>
            <w:r w:rsidRPr="001B13C0">
              <w:rPr>
                <w:rFonts w:ascii="Calibri" w:eastAsia="Calibri" w:hAnsi="Calibri" w:cs="Calibri"/>
                <w:color w:val="000000"/>
                <w:sz w:val="20"/>
                <w:szCs w:val="20"/>
              </w:rPr>
              <w:t>Number of strategies that address climate change in relevant planning documents and processes.</w:t>
            </w:r>
            <w:r>
              <w:rPr>
                <w:rFonts w:eastAsia="Calibri"/>
                <w:vertAlign w:val="superscript"/>
              </w:rPr>
              <w:footnoteReference w:id="11"/>
            </w:r>
            <w:r w:rsidRPr="001B13C0">
              <w:rPr>
                <w:rFonts w:ascii="Calibri" w:eastAsia="Calibri" w:hAnsi="Calibri" w:cs="Calibri"/>
                <w:color w:val="000000"/>
                <w:sz w:val="20"/>
                <w:szCs w:val="20"/>
              </w:rPr>
              <w:t xml:space="preserve"> </w:t>
            </w:r>
          </w:p>
          <w:p w14:paraId="000000EE"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 </w:t>
            </w:r>
          </w:p>
        </w:tc>
        <w:tc>
          <w:tcPr>
            <w:tcW w:w="5490" w:type="dxa"/>
            <w:shd w:val="clear" w:color="auto" w:fill="auto"/>
          </w:tcPr>
          <w:p w14:paraId="388F9627" w14:textId="77FD8F49" w:rsidR="00A7080E" w:rsidRPr="00961385" w:rsidRDefault="0043278A" w:rsidP="00961385">
            <w:pPr>
              <w:numPr>
                <w:ilvl w:val="0"/>
                <w:numId w:val="3"/>
              </w:numPr>
              <w:jc w:val="both"/>
              <w:rPr>
                <w:rFonts w:asciiTheme="minorHAnsi" w:eastAsia="Calibri" w:hAnsiTheme="minorHAnsi" w:cstheme="minorHAnsi"/>
                <w:color w:val="000000"/>
                <w:sz w:val="20"/>
                <w:szCs w:val="20"/>
              </w:rPr>
            </w:pPr>
            <w:r>
              <w:rPr>
                <w:rFonts w:asciiTheme="minorHAnsi" w:hAnsiTheme="minorHAnsi" w:cstheme="minorHAnsi"/>
                <w:sz w:val="20"/>
                <w:szCs w:val="20"/>
              </w:rPr>
              <w:t xml:space="preserve">Met national targets </w:t>
            </w:r>
            <w:r w:rsidRPr="0037367B">
              <w:rPr>
                <w:rFonts w:asciiTheme="minorHAnsi" w:hAnsiTheme="minorHAnsi" w:cstheme="minorHAnsi"/>
                <w:sz w:val="20"/>
                <w:szCs w:val="20"/>
              </w:rPr>
              <w:t>for</w:t>
            </w:r>
            <w:r w:rsidR="00850107">
              <w:rPr>
                <w:rFonts w:asciiTheme="minorHAnsi" w:hAnsiTheme="minorHAnsi" w:cstheme="minorHAnsi"/>
                <w:sz w:val="20"/>
                <w:szCs w:val="20"/>
              </w:rPr>
              <w:t xml:space="preserve"> 35% </w:t>
            </w:r>
            <w:r w:rsidRPr="0037367B">
              <w:rPr>
                <w:rFonts w:asciiTheme="minorHAnsi" w:hAnsiTheme="minorHAnsi" w:cstheme="minorHAnsi"/>
                <w:sz w:val="20"/>
                <w:szCs w:val="20"/>
              </w:rPr>
              <w:t>reduction of O</w:t>
            </w:r>
            <w:r w:rsidR="00AE3048">
              <w:rPr>
                <w:rFonts w:asciiTheme="minorHAnsi" w:hAnsiTheme="minorHAnsi" w:cstheme="minorHAnsi"/>
                <w:sz w:val="20"/>
                <w:szCs w:val="20"/>
              </w:rPr>
              <w:t>zone Depleting Substances</w:t>
            </w:r>
            <w:r w:rsidRPr="0037367B">
              <w:rPr>
                <w:rFonts w:asciiTheme="minorHAnsi" w:hAnsiTheme="minorHAnsi" w:cstheme="minorHAnsi"/>
                <w:sz w:val="20"/>
                <w:szCs w:val="20"/>
              </w:rPr>
              <w:t xml:space="preserve"> by 2</w:t>
            </w:r>
            <w:r w:rsidR="00850107">
              <w:rPr>
                <w:rFonts w:asciiTheme="minorHAnsi" w:hAnsiTheme="minorHAnsi" w:cstheme="minorHAnsi"/>
                <w:sz w:val="20"/>
                <w:szCs w:val="20"/>
              </w:rPr>
              <w:t>020</w:t>
            </w:r>
            <w:r w:rsidRPr="0037367B">
              <w:rPr>
                <w:rFonts w:asciiTheme="minorHAnsi" w:hAnsiTheme="minorHAnsi" w:cstheme="minorHAnsi"/>
                <w:sz w:val="20"/>
                <w:szCs w:val="20"/>
              </w:rPr>
              <w:t xml:space="preserve"> </w:t>
            </w:r>
            <w:r>
              <w:rPr>
                <w:rFonts w:asciiTheme="minorHAnsi" w:hAnsiTheme="minorHAnsi" w:cstheme="minorHAnsi"/>
                <w:sz w:val="20"/>
                <w:szCs w:val="20"/>
              </w:rPr>
              <w:t xml:space="preserve">under the </w:t>
            </w:r>
            <w:r w:rsidRPr="0037367B">
              <w:rPr>
                <w:rFonts w:asciiTheme="minorHAnsi" w:hAnsiTheme="minorHAnsi" w:cstheme="minorHAnsi"/>
                <w:sz w:val="20"/>
                <w:szCs w:val="20"/>
              </w:rPr>
              <w:t xml:space="preserve">terms of obligation under the Montreal Protocol </w:t>
            </w:r>
            <w:r>
              <w:rPr>
                <w:rFonts w:asciiTheme="minorHAnsi" w:hAnsiTheme="minorHAnsi" w:cstheme="minorHAnsi"/>
                <w:sz w:val="20"/>
                <w:szCs w:val="20"/>
              </w:rPr>
              <w:t xml:space="preserve">and on track to </w:t>
            </w:r>
            <w:r w:rsidRPr="0037367B">
              <w:rPr>
                <w:rFonts w:asciiTheme="minorHAnsi" w:hAnsiTheme="minorHAnsi" w:cstheme="minorHAnsi"/>
                <w:sz w:val="20"/>
                <w:szCs w:val="20"/>
              </w:rPr>
              <w:t>further reduc</w:t>
            </w:r>
            <w:r>
              <w:rPr>
                <w:rFonts w:asciiTheme="minorHAnsi" w:hAnsiTheme="minorHAnsi" w:cstheme="minorHAnsi"/>
                <w:sz w:val="20"/>
                <w:szCs w:val="20"/>
              </w:rPr>
              <w:t>e</w:t>
            </w:r>
            <w:r w:rsidRPr="0037367B">
              <w:rPr>
                <w:rFonts w:asciiTheme="minorHAnsi" w:hAnsiTheme="minorHAnsi" w:cstheme="minorHAnsi"/>
                <w:sz w:val="20"/>
                <w:szCs w:val="20"/>
              </w:rPr>
              <w:t xml:space="preserve"> </w:t>
            </w:r>
            <w:r w:rsidR="00AE3048" w:rsidRPr="0037367B">
              <w:rPr>
                <w:rFonts w:asciiTheme="minorHAnsi" w:hAnsiTheme="minorHAnsi" w:cstheme="minorHAnsi"/>
                <w:sz w:val="20"/>
                <w:szCs w:val="20"/>
              </w:rPr>
              <w:t>O</w:t>
            </w:r>
            <w:r w:rsidR="00AE3048">
              <w:rPr>
                <w:rFonts w:asciiTheme="minorHAnsi" w:hAnsiTheme="minorHAnsi" w:cstheme="minorHAnsi"/>
                <w:sz w:val="20"/>
                <w:szCs w:val="20"/>
              </w:rPr>
              <w:t>zone Depleting Substances</w:t>
            </w:r>
            <w:r w:rsidR="005C0210">
              <w:rPr>
                <w:rFonts w:asciiTheme="minorHAnsi" w:hAnsiTheme="minorHAnsi" w:cstheme="minorHAnsi"/>
                <w:sz w:val="20"/>
                <w:szCs w:val="20"/>
              </w:rPr>
              <w:t xml:space="preserve"> </w:t>
            </w:r>
            <w:r w:rsidRPr="0037367B">
              <w:rPr>
                <w:rFonts w:asciiTheme="minorHAnsi" w:hAnsiTheme="minorHAnsi" w:cstheme="minorHAnsi"/>
                <w:sz w:val="20"/>
                <w:szCs w:val="20"/>
              </w:rPr>
              <w:t>by 2030</w:t>
            </w:r>
            <w:r>
              <w:rPr>
                <w:rFonts w:asciiTheme="minorHAnsi" w:hAnsiTheme="minorHAnsi" w:cstheme="minorHAnsi"/>
                <w:sz w:val="20"/>
                <w:szCs w:val="20"/>
              </w:rPr>
              <w:t xml:space="preserve"> for </w:t>
            </w:r>
            <w:r w:rsidRPr="0037367B">
              <w:rPr>
                <w:rFonts w:asciiTheme="minorHAnsi" w:hAnsiTheme="minorHAnsi" w:cstheme="minorHAnsi"/>
                <w:sz w:val="20"/>
                <w:szCs w:val="20"/>
              </w:rPr>
              <w:t xml:space="preserve">those </w:t>
            </w:r>
            <w:r>
              <w:rPr>
                <w:rFonts w:asciiTheme="minorHAnsi" w:hAnsiTheme="minorHAnsi" w:cstheme="minorHAnsi"/>
                <w:sz w:val="20"/>
                <w:szCs w:val="20"/>
              </w:rPr>
              <w:t xml:space="preserve">both </w:t>
            </w:r>
            <w:r w:rsidRPr="0037367B">
              <w:rPr>
                <w:rFonts w:asciiTheme="minorHAnsi" w:hAnsiTheme="minorHAnsi" w:cstheme="minorHAnsi"/>
                <w:sz w:val="20"/>
                <w:szCs w:val="20"/>
              </w:rPr>
              <w:t>with and without high Global Warming Potential</w:t>
            </w:r>
            <w:r w:rsidR="002F4747">
              <w:rPr>
                <w:rFonts w:asciiTheme="minorHAnsi" w:hAnsiTheme="minorHAnsi" w:cstheme="minorHAnsi"/>
                <w:sz w:val="20"/>
                <w:szCs w:val="20"/>
              </w:rPr>
              <w:t xml:space="preserve">. </w:t>
            </w:r>
          </w:p>
          <w:p w14:paraId="6B889F73" w14:textId="3A91E0C7" w:rsidR="008818F8" w:rsidRPr="002F4747" w:rsidRDefault="00683B3D" w:rsidP="008818F8">
            <w:pPr>
              <w:numPr>
                <w:ilvl w:val="0"/>
                <w:numId w:val="3"/>
              </w:numPr>
              <w:jc w:val="both"/>
              <w:rPr>
                <w:rFonts w:asciiTheme="minorHAnsi" w:eastAsia="Calibri" w:hAnsiTheme="minorHAnsi" w:cstheme="minorHAnsi"/>
                <w:color w:val="000000"/>
                <w:sz w:val="20"/>
                <w:szCs w:val="20"/>
              </w:rPr>
            </w:pPr>
            <w:r>
              <w:rPr>
                <w:rFonts w:asciiTheme="minorHAnsi" w:hAnsiTheme="minorHAnsi" w:cstheme="minorHAnsi"/>
                <w:sz w:val="20"/>
                <w:szCs w:val="20"/>
              </w:rPr>
              <w:t>Progressed on meeting</w:t>
            </w:r>
            <w:r w:rsidR="00A30080">
              <w:rPr>
                <w:rFonts w:asciiTheme="minorHAnsi" w:hAnsiTheme="minorHAnsi" w:cstheme="minorHAnsi"/>
                <w:sz w:val="20"/>
                <w:szCs w:val="20"/>
              </w:rPr>
              <w:t xml:space="preserve"> the</w:t>
            </w:r>
            <w:r w:rsidR="008818F8">
              <w:rPr>
                <w:rFonts w:asciiTheme="minorHAnsi" w:hAnsiTheme="minorHAnsi" w:cstheme="minorHAnsi"/>
                <w:sz w:val="20"/>
                <w:szCs w:val="20"/>
              </w:rPr>
              <w:t xml:space="preserve"> national carbon emissions obligations with UNFCC</w:t>
            </w:r>
            <w:r w:rsidR="00D97E0B">
              <w:rPr>
                <w:rFonts w:asciiTheme="minorHAnsi" w:hAnsiTheme="minorHAnsi" w:cstheme="minorHAnsi"/>
                <w:sz w:val="20"/>
                <w:szCs w:val="20"/>
              </w:rPr>
              <w:t>.</w:t>
            </w:r>
          </w:p>
          <w:p w14:paraId="7359E640" w14:textId="77777777" w:rsidR="008818F8" w:rsidRPr="002F4747" w:rsidRDefault="008818F8" w:rsidP="008818F8">
            <w:pPr>
              <w:numPr>
                <w:ilvl w:val="1"/>
                <w:numId w:val="3"/>
              </w:numPr>
              <w:jc w:val="both"/>
              <w:rPr>
                <w:rFonts w:asciiTheme="minorHAnsi" w:eastAsia="Calibri" w:hAnsiTheme="minorHAnsi" w:cstheme="minorHAnsi"/>
                <w:color w:val="000000"/>
                <w:sz w:val="20"/>
                <w:szCs w:val="20"/>
              </w:rPr>
            </w:pPr>
            <w:r>
              <w:rPr>
                <w:rFonts w:asciiTheme="minorHAnsi" w:hAnsiTheme="minorHAnsi" w:cstheme="minorHAnsi"/>
                <w:sz w:val="20"/>
                <w:szCs w:val="20"/>
              </w:rPr>
              <w:t xml:space="preserve">Transportation produced 21% reduction </w:t>
            </w:r>
          </w:p>
          <w:p w14:paraId="5AE31F9B" w14:textId="77777777" w:rsidR="008818F8" w:rsidRPr="002F4747" w:rsidRDefault="008818F8" w:rsidP="008818F8">
            <w:pPr>
              <w:numPr>
                <w:ilvl w:val="1"/>
                <w:numId w:val="3"/>
              </w:numPr>
              <w:jc w:val="both"/>
              <w:rPr>
                <w:rFonts w:asciiTheme="minorHAnsi" w:eastAsia="Calibri" w:hAnsiTheme="minorHAnsi" w:cstheme="minorHAnsi"/>
                <w:color w:val="000000"/>
                <w:sz w:val="20"/>
                <w:szCs w:val="20"/>
              </w:rPr>
            </w:pPr>
            <w:r>
              <w:rPr>
                <w:rFonts w:asciiTheme="minorHAnsi" w:hAnsiTheme="minorHAnsi" w:cstheme="minorHAnsi"/>
                <w:sz w:val="20"/>
                <w:szCs w:val="20"/>
              </w:rPr>
              <w:t>Industry produced 5% reduction</w:t>
            </w:r>
          </w:p>
          <w:p w14:paraId="56406EF9" w14:textId="77777777" w:rsidR="008818F8" w:rsidRPr="002F4747" w:rsidRDefault="008818F8" w:rsidP="008818F8">
            <w:pPr>
              <w:numPr>
                <w:ilvl w:val="1"/>
                <w:numId w:val="3"/>
              </w:num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Power generation produced 2% reduction</w:t>
            </w:r>
          </w:p>
          <w:p w14:paraId="339D79E3" w14:textId="476984CE" w:rsidR="0043278A" w:rsidRPr="004074DE" w:rsidRDefault="0043278A" w:rsidP="0043278A">
            <w:pPr>
              <w:numPr>
                <w:ilvl w:val="0"/>
                <w:numId w:val="3"/>
              </w:numPr>
              <w:jc w:val="both"/>
              <w:rPr>
                <w:rFonts w:asciiTheme="minorHAnsi" w:eastAsia="Calibri" w:hAnsiTheme="minorHAnsi" w:cstheme="minorHAnsi"/>
                <w:color w:val="000000"/>
                <w:sz w:val="20"/>
                <w:szCs w:val="20"/>
              </w:rPr>
            </w:pPr>
            <w:r>
              <w:rPr>
                <w:rFonts w:asciiTheme="minorHAnsi" w:hAnsiTheme="minorHAnsi" w:cstheme="minorHAnsi"/>
                <w:sz w:val="20"/>
                <w:szCs w:val="20"/>
              </w:rPr>
              <w:t>T</w:t>
            </w:r>
            <w:r w:rsidRPr="0037367B">
              <w:rPr>
                <w:rFonts w:asciiTheme="minorHAnsi" w:hAnsiTheme="minorHAnsi" w:cstheme="minorHAnsi"/>
                <w:sz w:val="20"/>
                <w:szCs w:val="20"/>
              </w:rPr>
              <w:t>he Sendai Framework for Disaster Risk Reduction 2015-</w:t>
            </w:r>
            <w:r w:rsidRPr="00AC5479">
              <w:rPr>
                <w:rFonts w:asciiTheme="minorHAnsi" w:hAnsiTheme="minorHAnsi" w:cstheme="minorHAnsi"/>
                <w:sz w:val="20"/>
                <w:szCs w:val="20"/>
              </w:rPr>
              <w:t>2030 was ratified</w:t>
            </w:r>
            <w:r w:rsidR="00D97E0B">
              <w:rPr>
                <w:rFonts w:asciiTheme="minorHAnsi" w:hAnsiTheme="minorHAnsi" w:cstheme="minorHAnsi"/>
                <w:sz w:val="20"/>
                <w:szCs w:val="20"/>
              </w:rPr>
              <w:t>.</w:t>
            </w:r>
          </w:p>
          <w:p w14:paraId="3618A15D" w14:textId="20965101" w:rsidR="004074DE" w:rsidRPr="00AC5479" w:rsidRDefault="00874975" w:rsidP="0043278A">
            <w:pPr>
              <w:numPr>
                <w:ilvl w:val="0"/>
                <w:numId w:val="3"/>
              </w:numPr>
              <w:jc w:val="both"/>
              <w:rPr>
                <w:rFonts w:asciiTheme="minorHAnsi" w:eastAsia="Calibri" w:hAnsiTheme="minorHAnsi" w:cstheme="minorHAnsi"/>
                <w:color w:val="000000"/>
                <w:sz w:val="20"/>
                <w:szCs w:val="20"/>
              </w:rPr>
            </w:pPr>
            <w:r>
              <w:rPr>
                <w:rFonts w:asciiTheme="minorHAnsi" w:hAnsiTheme="minorHAnsi" w:cstheme="minorHAnsi"/>
                <w:sz w:val="20"/>
                <w:szCs w:val="20"/>
              </w:rPr>
              <w:t xml:space="preserve">The </w:t>
            </w:r>
            <w:r w:rsidR="004074DE">
              <w:rPr>
                <w:rFonts w:asciiTheme="minorHAnsi" w:hAnsiTheme="minorHAnsi" w:cstheme="minorHAnsi"/>
                <w:sz w:val="20"/>
                <w:szCs w:val="20"/>
              </w:rPr>
              <w:t>Climate Change Agenda for the Environmental Management A</w:t>
            </w:r>
            <w:r>
              <w:rPr>
                <w:rFonts w:asciiTheme="minorHAnsi" w:hAnsiTheme="minorHAnsi" w:cstheme="minorHAnsi"/>
                <w:sz w:val="20"/>
                <w:szCs w:val="20"/>
              </w:rPr>
              <w:t>uthority</w:t>
            </w:r>
            <w:r w:rsidR="004074DE">
              <w:rPr>
                <w:rFonts w:asciiTheme="minorHAnsi" w:hAnsiTheme="minorHAnsi" w:cstheme="minorHAnsi"/>
                <w:sz w:val="20"/>
                <w:szCs w:val="20"/>
              </w:rPr>
              <w:t xml:space="preserve"> started to be developed in 2018</w:t>
            </w:r>
            <w:r>
              <w:rPr>
                <w:rFonts w:asciiTheme="minorHAnsi" w:hAnsiTheme="minorHAnsi" w:cstheme="minorHAnsi"/>
                <w:sz w:val="20"/>
                <w:szCs w:val="20"/>
              </w:rPr>
              <w:t>. N</w:t>
            </w:r>
            <w:r w:rsidR="004074DE">
              <w:rPr>
                <w:rFonts w:asciiTheme="minorHAnsi" w:hAnsiTheme="minorHAnsi" w:cstheme="minorHAnsi"/>
                <w:sz w:val="20"/>
                <w:szCs w:val="20"/>
              </w:rPr>
              <w:t>o official reporting has occurred since</w:t>
            </w:r>
            <w:r>
              <w:rPr>
                <w:rFonts w:asciiTheme="minorHAnsi" w:hAnsiTheme="minorHAnsi" w:cstheme="minorHAnsi"/>
                <w:sz w:val="20"/>
                <w:szCs w:val="20"/>
              </w:rPr>
              <w:t xml:space="preserve">, regarding </w:t>
            </w:r>
            <w:r w:rsidR="001A52DF">
              <w:rPr>
                <w:rFonts w:asciiTheme="minorHAnsi" w:hAnsiTheme="minorHAnsi" w:cstheme="minorHAnsi"/>
                <w:sz w:val="20"/>
                <w:szCs w:val="20"/>
              </w:rPr>
              <w:t xml:space="preserve">plans, </w:t>
            </w:r>
            <w:r>
              <w:rPr>
                <w:rFonts w:asciiTheme="minorHAnsi" w:hAnsiTheme="minorHAnsi" w:cstheme="minorHAnsi"/>
                <w:sz w:val="20"/>
                <w:szCs w:val="20"/>
              </w:rPr>
              <w:t>strategies and policies</w:t>
            </w:r>
            <w:r w:rsidR="001A52DF">
              <w:rPr>
                <w:rFonts w:asciiTheme="minorHAnsi" w:hAnsiTheme="minorHAnsi" w:cstheme="minorHAnsi"/>
                <w:sz w:val="20"/>
                <w:szCs w:val="20"/>
              </w:rPr>
              <w:t xml:space="preserve"> addressing disaster risk reduction and climate resilience</w:t>
            </w:r>
            <w:r>
              <w:rPr>
                <w:rFonts w:asciiTheme="minorHAnsi" w:hAnsiTheme="minorHAnsi" w:cstheme="minorHAnsi"/>
                <w:sz w:val="20"/>
                <w:szCs w:val="20"/>
              </w:rPr>
              <w:t>.</w:t>
            </w:r>
          </w:p>
          <w:p w14:paraId="0730A1D0" w14:textId="0F468128" w:rsidR="00C8511B" w:rsidRPr="00A73302" w:rsidRDefault="0043278A" w:rsidP="00A443AF">
            <w:pPr>
              <w:numPr>
                <w:ilvl w:val="0"/>
                <w:numId w:val="3"/>
              </w:numPr>
              <w:jc w:val="both"/>
              <w:rPr>
                <w:rFonts w:asciiTheme="minorHAnsi" w:eastAsia="Calibri" w:hAnsiTheme="minorHAnsi" w:cstheme="minorHAnsi"/>
                <w:color w:val="000000"/>
                <w:sz w:val="20"/>
                <w:szCs w:val="20"/>
              </w:rPr>
            </w:pPr>
            <w:r>
              <w:rPr>
                <w:rFonts w:ascii="Calibri" w:eastAsia="Calibri" w:hAnsi="Calibri" w:cs="Calibri"/>
                <w:color w:val="000000"/>
                <w:sz w:val="20"/>
                <w:szCs w:val="20"/>
              </w:rPr>
              <w:t xml:space="preserve">GORTT committed </w:t>
            </w:r>
            <w:r w:rsidR="00F81511">
              <w:rPr>
                <w:rFonts w:ascii="Calibri" w:eastAsia="Calibri" w:hAnsi="Calibri" w:cs="Calibri"/>
                <w:color w:val="000000"/>
                <w:sz w:val="20"/>
                <w:szCs w:val="20"/>
              </w:rPr>
              <w:t xml:space="preserve">to </w:t>
            </w:r>
            <w:r w:rsidR="00C523A3">
              <w:rPr>
                <w:rFonts w:ascii="Calibri" w:eastAsia="Calibri" w:hAnsi="Calibri" w:cs="Calibri"/>
                <w:color w:val="000000"/>
                <w:sz w:val="20"/>
                <w:szCs w:val="20"/>
              </w:rPr>
              <w:t>achiev</w:t>
            </w:r>
            <w:r>
              <w:rPr>
                <w:rFonts w:ascii="Calibri" w:eastAsia="Calibri" w:hAnsi="Calibri" w:cs="Calibri"/>
                <w:color w:val="000000"/>
                <w:sz w:val="20"/>
                <w:szCs w:val="20"/>
              </w:rPr>
              <w:t>ing</w:t>
            </w:r>
            <w:r w:rsidR="00C523A3">
              <w:rPr>
                <w:rFonts w:ascii="Calibri" w:eastAsia="Calibri" w:hAnsi="Calibri" w:cs="Calibri"/>
                <w:color w:val="000000"/>
                <w:sz w:val="20"/>
                <w:szCs w:val="20"/>
              </w:rPr>
              <w:t xml:space="preserve"> by 2030</w:t>
            </w:r>
            <w:r w:rsidR="00F81511">
              <w:rPr>
                <w:rFonts w:ascii="Calibri" w:eastAsia="Calibri" w:hAnsi="Calibri" w:cs="Calibri"/>
                <w:color w:val="000000"/>
                <w:sz w:val="20"/>
                <w:szCs w:val="20"/>
              </w:rPr>
              <w:t xml:space="preserve"> </w:t>
            </w:r>
            <w:r w:rsidR="000F30C2" w:rsidRPr="00807B06">
              <w:rPr>
                <w:rFonts w:ascii="Calibri" w:eastAsia="Calibri" w:hAnsi="Calibri" w:cs="Calibri"/>
                <w:color w:val="000000"/>
                <w:sz w:val="20"/>
                <w:szCs w:val="20"/>
              </w:rPr>
              <w:t>a reduction in emissions from three sectors (electricity generation, industry and transportation) by 15% from business as usual (BAU) and an unconditional reduction in public transportation emissions by 30% compared to 2013.</w:t>
            </w:r>
          </w:p>
          <w:p w14:paraId="79729BEF" w14:textId="6A6B65EA" w:rsidR="00C9366A" w:rsidRPr="009523D3" w:rsidRDefault="0043278A" w:rsidP="00327BCE">
            <w:pPr>
              <w:numPr>
                <w:ilvl w:val="1"/>
                <w:numId w:val="3"/>
              </w:numPr>
              <w:jc w:val="both"/>
              <w:rPr>
                <w:rFonts w:asciiTheme="minorHAnsi" w:eastAsia="Calibri" w:hAnsiTheme="minorHAnsi" w:cstheme="minorHAnsi"/>
                <w:color w:val="000000"/>
                <w:sz w:val="20"/>
                <w:szCs w:val="20"/>
              </w:rPr>
            </w:pPr>
            <w:r w:rsidRPr="0043278A">
              <w:rPr>
                <w:rFonts w:asciiTheme="minorHAnsi" w:hAnsiTheme="minorHAnsi" w:cstheme="minorHAnsi"/>
                <w:sz w:val="20"/>
                <w:szCs w:val="20"/>
              </w:rPr>
              <w:t>Currently, h</w:t>
            </w:r>
            <w:r w:rsidR="00AC5479" w:rsidRPr="0043278A">
              <w:rPr>
                <w:rFonts w:asciiTheme="minorHAnsi" w:hAnsiTheme="minorHAnsi" w:cstheme="minorHAnsi"/>
                <w:sz w:val="20"/>
                <w:szCs w:val="20"/>
              </w:rPr>
              <w:t>ighest value per capita of Greenhouse Gas emissions in the region</w:t>
            </w:r>
            <w:r w:rsidRPr="0043278A">
              <w:rPr>
                <w:rFonts w:asciiTheme="minorHAnsi" w:hAnsiTheme="minorHAnsi" w:cstheme="minorHAnsi"/>
                <w:sz w:val="20"/>
                <w:szCs w:val="20"/>
              </w:rPr>
              <w:t xml:space="preserve"> and </w:t>
            </w:r>
            <w:r>
              <w:rPr>
                <w:rFonts w:asciiTheme="minorHAnsi" w:hAnsiTheme="minorHAnsi" w:cstheme="minorHAnsi"/>
                <w:sz w:val="20"/>
                <w:szCs w:val="20"/>
              </w:rPr>
              <w:t>r</w:t>
            </w:r>
            <w:r w:rsidR="00C9366A" w:rsidRPr="0043278A">
              <w:rPr>
                <w:rFonts w:asciiTheme="minorHAnsi" w:hAnsiTheme="minorHAnsi" w:cstheme="minorHAnsi"/>
                <w:sz w:val="20"/>
                <w:szCs w:val="20"/>
              </w:rPr>
              <w:t>anked 2</w:t>
            </w:r>
            <w:r w:rsidR="00C9366A" w:rsidRPr="0043278A">
              <w:rPr>
                <w:rFonts w:asciiTheme="minorHAnsi" w:hAnsiTheme="minorHAnsi" w:cstheme="minorHAnsi"/>
                <w:sz w:val="20"/>
                <w:szCs w:val="20"/>
                <w:vertAlign w:val="superscript"/>
              </w:rPr>
              <w:t>nd</w:t>
            </w:r>
            <w:r w:rsidR="00C9366A" w:rsidRPr="0043278A">
              <w:rPr>
                <w:rFonts w:asciiTheme="minorHAnsi" w:hAnsiTheme="minorHAnsi" w:cstheme="minorHAnsi"/>
                <w:sz w:val="20"/>
                <w:szCs w:val="20"/>
              </w:rPr>
              <w:t xml:space="preserve"> globally for highest CO2 emissions per capita</w:t>
            </w:r>
          </w:p>
          <w:p w14:paraId="13B2FDC3" w14:textId="77777777" w:rsidR="00955D68" w:rsidRPr="00984EE7" w:rsidRDefault="00955D68" w:rsidP="00955D68">
            <w:pPr>
              <w:numPr>
                <w:ilvl w:val="0"/>
                <w:numId w:val="3"/>
              </w:numPr>
              <w:jc w:val="both"/>
              <w:rPr>
                <w:rFonts w:asciiTheme="minorHAnsi" w:eastAsia="Calibri" w:hAnsiTheme="minorHAnsi" w:cstheme="minorHAnsi"/>
                <w:color w:val="000000"/>
                <w:sz w:val="20"/>
                <w:szCs w:val="20"/>
              </w:rPr>
            </w:pPr>
            <w:r w:rsidRPr="00984EE7">
              <w:rPr>
                <w:rFonts w:ascii="Calibri" w:eastAsia="Calibri" w:hAnsi="Calibri" w:cs="Calibri"/>
                <w:color w:val="000000"/>
                <w:sz w:val="20"/>
                <w:szCs w:val="20"/>
              </w:rPr>
              <w:t xml:space="preserve">The national State of the Environment Report has not been updated within the period of the CPD.  Therefore, no official </w:t>
            </w:r>
            <w:r w:rsidRPr="00984EE7">
              <w:rPr>
                <w:rFonts w:ascii="Calibri" w:eastAsia="Calibri" w:hAnsi="Calibri" w:cs="Calibri"/>
                <w:color w:val="000000"/>
                <w:sz w:val="20"/>
                <w:szCs w:val="20"/>
              </w:rPr>
              <w:lastRenderedPageBreak/>
              <w:t>reporting concerning national numbers of plans, strategies and policies addressing disaster risk reduction and climate resilience currently exists.</w:t>
            </w:r>
          </w:p>
          <w:p w14:paraId="02ECA254" w14:textId="1842AB07" w:rsidR="009523D3" w:rsidRPr="009523D3" w:rsidRDefault="005C0210" w:rsidP="009523D3">
            <w:pPr>
              <w:numPr>
                <w:ilvl w:val="0"/>
                <w:numId w:val="3"/>
              </w:num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P</w:t>
            </w:r>
            <w:r w:rsidR="009523D3">
              <w:rPr>
                <w:rFonts w:asciiTheme="minorHAnsi" w:eastAsia="Calibri" w:hAnsiTheme="minorHAnsi" w:cstheme="minorHAnsi"/>
                <w:color w:val="000000"/>
                <w:sz w:val="20"/>
                <w:szCs w:val="20"/>
              </w:rPr>
              <w:t>artnerships with the private sector are being established in areas such as solar energy</w:t>
            </w:r>
            <w:r w:rsidR="00895E0B">
              <w:rPr>
                <w:rFonts w:asciiTheme="minorHAnsi" w:eastAsia="Calibri" w:hAnsiTheme="minorHAnsi" w:cstheme="minorHAnsi"/>
                <w:color w:val="000000"/>
                <w:sz w:val="20"/>
                <w:szCs w:val="20"/>
              </w:rPr>
              <w:t xml:space="preserve">; </w:t>
            </w:r>
            <w:r w:rsidR="00083D50">
              <w:rPr>
                <w:rFonts w:asciiTheme="minorHAnsi" w:eastAsia="Calibri" w:hAnsiTheme="minorHAnsi" w:cstheme="minorHAnsi"/>
                <w:color w:val="000000"/>
                <w:sz w:val="20"/>
                <w:szCs w:val="20"/>
              </w:rPr>
              <w:t xml:space="preserve">currently </w:t>
            </w:r>
            <w:r w:rsidR="009523D3">
              <w:rPr>
                <w:rFonts w:asciiTheme="minorHAnsi" w:eastAsia="Calibri" w:hAnsiTheme="minorHAnsi" w:cstheme="minorHAnsi"/>
                <w:color w:val="000000"/>
                <w:sz w:val="20"/>
                <w:szCs w:val="20"/>
              </w:rPr>
              <w:t>only a quasi-zero fraction of the country’s energy comes from renewable sources</w:t>
            </w:r>
            <w:r w:rsidR="00A22EBC">
              <w:rPr>
                <w:rFonts w:asciiTheme="minorHAnsi" w:eastAsia="Calibri" w:hAnsiTheme="minorHAnsi" w:cstheme="minorHAnsi"/>
                <w:color w:val="000000"/>
                <w:sz w:val="20"/>
                <w:szCs w:val="20"/>
              </w:rPr>
              <w:t>.</w:t>
            </w:r>
          </w:p>
          <w:p w14:paraId="376BC54A" w14:textId="77777777" w:rsidR="00F46350" w:rsidRPr="009523D3" w:rsidRDefault="00F46350" w:rsidP="00F46350">
            <w:pPr>
              <w:numPr>
                <w:ilvl w:val="0"/>
                <w:numId w:val="3"/>
              </w:num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National capacity was built to understand and implement obligations of Trinidad and Tobago as signatories to the Multilateral Environmental Agreements. </w:t>
            </w:r>
          </w:p>
          <w:p w14:paraId="3C7C7D60" w14:textId="77777777" w:rsidR="00F46350" w:rsidRDefault="00F46350" w:rsidP="00F46350">
            <w:pPr>
              <w:numPr>
                <w:ilvl w:val="0"/>
                <w:numId w:val="3"/>
              </w:num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 national Monitoring, Reporting and Verification system for Carbon Emissions was designed, established and piloted over the period.</w:t>
            </w:r>
          </w:p>
          <w:p w14:paraId="0EE2AF62" w14:textId="77777777" w:rsidR="00F46350" w:rsidRDefault="00F46350" w:rsidP="00F46350">
            <w:pPr>
              <w:numPr>
                <w:ilvl w:val="0"/>
                <w:numId w:val="3"/>
              </w:num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 Greenhouse Gas Certification Programme was created to build national capability to undertake GHG Inventories among key stakeholders was designed and will be piloted in 2021.</w:t>
            </w:r>
          </w:p>
          <w:p w14:paraId="000000F5" w14:textId="51C2667E" w:rsidR="00B66957" w:rsidRPr="00874975" w:rsidRDefault="00F46350" w:rsidP="00874975">
            <w:pPr>
              <w:numPr>
                <w:ilvl w:val="0"/>
                <w:numId w:val="3"/>
              </w:numP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An NDC Financial investment plan was created, which allowed for an assessment of available financing streams necessary to meet national carbon emissions reduction targets.</w:t>
            </w:r>
          </w:p>
        </w:tc>
      </w:tr>
      <w:bookmarkEnd w:id="1"/>
      <w:tr w:rsidR="00A30080" w14:paraId="295B7A49" w14:textId="77777777" w:rsidTr="00D87ACC">
        <w:tc>
          <w:tcPr>
            <w:tcW w:w="14040" w:type="dxa"/>
            <w:gridSpan w:val="5"/>
            <w:shd w:val="clear" w:color="auto" w:fill="auto"/>
          </w:tcPr>
          <w:p w14:paraId="000000F6" w14:textId="77777777" w:rsidR="00C8511B" w:rsidRPr="00270B49" w:rsidRDefault="00C8511B" w:rsidP="00455B41">
            <w:pPr>
              <w:widowControl/>
              <w:pBdr>
                <w:top w:val="nil"/>
                <w:left w:val="nil"/>
                <w:bottom w:val="nil"/>
                <w:right w:val="nil"/>
                <w:between w:val="nil"/>
              </w:pBdr>
              <w:jc w:val="both"/>
              <w:rPr>
                <w:rFonts w:asciiTheme="minorHAnsi" w:eastAsia="Calibri" w:hAnsiTheme="minorHAnsi" w:cstheme="minorHAnsi"/>
                <w:b/>
                <w:color w:val="000000"/>
                <w:sz w:val="20"/>
                <w:szCs w:val="20"/>
              </w:rPr>
            </w:pPr>
          </w:p>
          <w:p w14:paraId="000000F7" w14:textId="77777777" w:rsidR="00C8511B" w:rsidRPr="00270B49" w:rsidRDefault="002624F2" w:rsidP="00455B41">
            <w:pPr>
              <w:widowControl/>
              <w:pBdr>
                <w:top w:val="nil"/>
                <w:left w:val="nil"/>
                <w:bottom w:val="nil"/>
                <w:right w:val="nil"/>
                <w:between w:val="nil"/>
              </w:pBdr>
              <w:jc w:val="both"/>
              <w:rPr>
                <w:rFonts w:asciiTheme="minorHAnsi" w:eastAsia="Calibri" w:hAnsiTheme="minorHAnsi" w:cstheme="minorHAnsi"/>
                <w:b/>
                <w:color w:val="000000"/>
                <w:sz w:val="20"/>
                <w:szCs w:val="20"/>
              </w:rPr>
            </w:pPr>
            <w:r w:rsidRPr="00270B49">
              <w:rPr>
                <w:rFonts w:asciiTheme="minorHAnsi" w:eastAsia="Calibri" w:hAnsiTheme="minorHAnsi" w:cstheme="minorHAnsi"/>
                <w:b/>
                <w:color w:val="000000"/>
                <w:sz w:val="20"/>
                <w:szCs w:val="20"/>
              </w:rPr>
              <w:t xml:space="preserve">UNDP Contribution: </w:t>
            </w:r>
          </w:p>
          <w:p w14:paraId="000000F8" w14:textId="77777777" w:rsidR="00C8511B" w:rsidRPr="00270B49" w:rsidRDefault="00C8511B" w:rsidP="00455B41">
            <w:pPr>
              <w:widowControl/>
              <w:pBdr>
                <w:top w:val="nil"/>
                <w:left w:val="nil"/>
                <w:bottom w:val="nil"/>
                <w:right w:val="nil"/>
                <w:between w:val="nil"/>
              </w:pBdr>
              <w:jc w:val="both"/>
              <w:rPr>
                <w:rFonts w:asciiTheme="minorHAnsi" w:eastAsia="Calibri" w:hAnsiTheme="minorHAnsi" w:cstheme="minorHAnsi"/>
                <w:color w:val="000000"/>
                <w:sz w:val="20"/>
                <w:szCs w:val="20"/>
                <w:u w:val="single"/>
              </w:rPr>
            </w:pPr>
          </w:p>
          <w:p w14:paraId="000000F9" w14:textId="77777777" w:rsidR="00C8511B" w:rsidRPr="00270B49" w:rsidRDefault="002624F2" w:rsidP="00455B41">
            <w:pPr>
              <w:widowControl/>
              <w:pBdr>
                <w:top w:val="nil"/>
                <w:left w:val="nil"/>
                <w:bottom w:val="nil"/>
                <w:right w:val="nil"/>
                <w:between w:val="nil"/>
              </w:pBdr>
              <w:jc w:val="both"/>
              <w:rPr>
                <w:rFonts w:asciiTheme="minorHAnsi" w:eastAsia="Calibri" w:hAnsiTheme="minorHAnsi" w:cstheme="minorHAnsi"/>
                <w:color w:val="000000"/>
                <w:sz w:val="20"/>
                <w:szCs w:val="20"/>
              </w:rPr>
            </w:pPr>
            <w:r w:rsidRPr="00270B49">
              <w:rPr>
                <w:rFonts w:asciiTheme="minorHAnsi" w:eastAsia="Calibri" w:hAnsiTheme="minorHAnsi" w:cstheme="minorHAnsi"/>
                <w:color w:val="000000"/>
                <w:sz w:val="20"/>
                <w:szCs w:val="20"/>
                <w:u w:val="single"/>
              </w:rPr>
              <w:t>CP Outputs</w:t>
            </w:r>
            <w:r w:rsidRPr="00270B49">
              <w:rPr>
                <w:rFonts w:asciiTheme="minorHAnsi" w:eastAsia="Calibri" w:hAnsiTheme="minorHAnsi" w:cstheme="minorHAnsi"/>
                <w:color w:val="000000"/>
                <w:sz w:val="20"/>
                <w:szCs w:val="20"/>
              </w:rPr>
              <w:t>:</w:t>
            </w:r>
          </w:p>
          <w:p w14:paraId="624AD96E" w14:textId="77777777" w:rsidR="00D564A5" w:rsidRPr="00D564A5" w:rsidRDefault="002624F2" w:rsidP="00455B41">
            <w:pPr>
              <w:pStyle w:val="ListParagraph"/>
              <w:widowControl/>
              <w:numPr>
                <w:ilvl w:val="1"/>
                <w:numId w:val="36"/>
              </w:numPr>
              <w:pBdr>
                <w:top w:val="nil"/>
                <w:left w:val="nil"/>
                <w:bottom w:val="nil"/>
                <w:right w:val="nil"/>
                <w:between w:val="nil"/>
              </w:pBdr>
              <w:jc w:val="both"/>
              <w:rPr>
                <w:rFonts w:asciiTheme="minorHAnsi" w:eastAsia="Calibri" w:hAnsiTheme="minorHAnsi" w:cstheme="minorHAnsi"/>
                <w:i/>
                <w:color w:val="000000"/>
                <w:sz w:val="20"/>
                <w:szCs w:val="20"/>
              </w:rPr>
            </w:pPr>
            <w:r w:rsidRPr="00D564A5">
              <w:rPr>
                <w:rFonts w:asciiTheme="minorHAnsi" w:eastAsia="Calibri" w:hAnsiTheme="minorHAnsi" w:cstheme="minorHAnsi"/>
                <w:color w:val="000000"/>
                <w:sz w:val="20"/>
                <w:szCs w:val="20"/>
              </w:rPr>
              <w:t>Building national capacity in climate mitigation through policy, strategy and piloting of renewable energy and energy efficiency technologies</w:t>
            </w:r>
          </w:p>
          <w:p w14:paraId="7485AF7B" w14:textId="77777777" w:rsidR="00D564A5" w:rsidRPr="00D564A5" w:rsidRDefault="002624F2" w:rsidP="00455B41">
            <w:pPr>
              <w:pStyle w:val="ListParagraph"/>
              <w:widowControl/>
              <w:numPr>
                <w:ilvl w:val="1"/>
                <w:numId w:val="36"/>
              </w:numPr>
              <w:pBdr>
                <w:top w:val="nil"/>
                <w:left w:val="nil"/>
                <w:bottom w:val="nil"/>
                <w:right w:val="nil"/>
                <w:between w:val="nil"/>
              </w:pBdr>
              <w:jc w:val="both"/>
              <w:rPr>
                <w:rFonts w:asciiTheme="minorHAnsi" w:eastAsia="Calibri" w:hAnsiTheme="minorHAnsi" w:cstheme="minorHAnsi"/>
                <w:i/>
                <w:color w:val="000000"/>
                <w:sz w:val="20"/>
                <w:szCs w:val="20"/>
              </w:rPr>
            </w:pPr>
            <w:r w:rsidRPr="00D564A5">
              <w:rPr>
                <w:rFonts w:asciiTheme="minorHAnsi" w:eastAsia="Calibri" w:hAnsiTheme="minorHAnsi" w:cstheme="minorHAnsi"/>
                <w:color w:val="000000"/>
                <w:sz w:val="20"/>
                <w:szCs w:val="20"/>
              </w:rPr>
              <w:t>Addressing national implementation of MEA obligations</w:t>
            </w:r>
          </w:p>
          <w:p w14:paraId="000000FA" w14:textId="4AFA0459" w:rsidR="00C8511B" w:rsidRPr="00D564A5" w:rsidRDefault="002624F2" w:rsidP="00455B41">
            <w:pPr>
              <w:pStyle w:val="ListParagraph"/>
              <w:widowControl/>
              <w:numPr>
                <w:ilvl w:val="1"/>
                <w:numId w:val="36"/>
              </w:numPr>
              <w:pBdr>
                <w:top w:val="nil"/>
                <w:left w:val="nil"/>
                <w:bottom w:val="nil"/>
                <w:right w:val="nil"/>
                <w:between w:val="nil"/>
              </w:pBdr>
              <w:jc w:val="both"/>
              <w:rPr>
                <w:rFonts w:asciiTheme="minorHAnsi" w:eastAsia="Calibri" w:hAnsiTheme="minorHAnsi" w:cstheme="minorHAnsi"/>
                <w:i/>
                <w:color w:val="000000"/>
                <w:sz w:val="20"/>
                <w:szCs w:val="20"/>
              </w:rPr>
            </w:pPr>
            <w:r w:rsidRPr="00D564A5">
              <w:rPr>
                <w:rFonts w:asciiTheme="minorHAnsi" w:eastAsia="Calibri" w:hAnsiTheme="minorHAnsi" w:cstheme="minorHAnsi"/>
                <w:color w:val="000000"/>
                <w:sz w:val="20"/>
                <w:szCs w:val="20"/>
              </w:rPr>
              <w:t>Strengthening availability of data for monitoring reporting and verification (MRV) of carbon emissions</w:t>
            </w:r>
          </w:p>
          <w:p w14:paraId="000000FB" w14:textId="77777777" w:rsidR="00C8511B" w:rsidRPr="00270B49" w:rsidRDefault="00C8511B" w:rsidP="00455B41">
            <w:pPr>
              <w:widowControl/>
              <w:pBdr>
                <w:top w:val="nil"/>
                <w:left w:val="nil"/>
                <w:bottom w:val="nil"/>
                <w:right w:val="nil"/>
                <w:between w:val="nil"/>
              </w:pBdr>
              <w:jc w:val="both"/>
              <w:rPr>
                <w:rFonts w:asciiTheme="minorHAnsi" w:eastAsia="Calibri" w:hAnsiTheme="minorHAnsi" w:cstheme="minorHAnsi"/>
                <w:color w:val="000000"/>
                <w:sz w:val="20"/>
                <w:szCs w:val="20"/>
                <w:u w:val="single"/>
              </w:rPr>
            </w:pPr>
          </w:p>
          <w:p w14:paraId="000000FD" w14:textId="77777777" w:rsidR="00C8511B" w:rsidRPr="00270B49" w:rsidRDefault="002624F2" w:rsidP="00455B41">
            <w:pPr>
              <w:widowControl/>
              <w:pBdr>
                <w:top w:val="nil"/>
                <w:left w:val="nil"/>
                <w:bottom w:val="nil"/>
                <w:right w:val="nil"/>
                <w:between w:val="nil"/>
              </w:pBdr>
              <w:jc w:val="both"/>
              <w:rPr>
                <w:rFonts w:asciiTheme="minorHAnsi" w:eastAsia="Calibri" w:hAnsiTheme="minorHAnsi" w:cstheme="minorHAnsi"/>
                <w:color w:val="000000"/>
                <w:sz w:val="20"/>
                <w:szCs w:val="20"/>
              </w:rPr>
            </w:pPr>
            <w:r w:rsidRPr="00270B49">
              <w:rPr>
                <w:rFonts w:asciiTheme="minorHAnsi" w:eastAsia="Calibri" w:hAnsiTheme="minorHAnsi" w:cstheme="minorHAnsi"/>
                <w:color w:val="000000"/>
                <w:sz w:val="20"/>
                <w:szCs w:val="20"/>
                <w:u w:val="single"/>
              </w:rPr>
              <w:t>Progress and Achievements</w:t>
            </w:r>
            <w:r w:rsidRPr="00270B49">
              <w:rPr>
                <w:rFonts w:asciiTheme="minorHAnsi" w:eastAsia="Calibri" w:hAnsiTheme="minorHAnsi" w:cstheme="minorHAnsi"/>
                <w:color w:val="000000"/>
                <w:sz w:val="20"/>
                <w:szCs w:val="20"/>
              </w:rPr>
              <w:t>:</w:t>
            </w:r>
          </w:p>
          <w:p w14:paraId="57184727" w14:textId="77777777" w:rsidR="00362AEE" w:rsidRPr="00270B49" w:rsidRDefault="00362AEE" w:rsidP="00455B41">
            <w:pPr>
              <w:widowControl/>
              <w:pBdr>
                <w:top w:val="nil"/>
                <w:left w:val="nil"/>
                <w:bottom w:val="nil"/>
                <w:right w:val="nil"/>
                <w:between w:val="nil"/>
              </w:pBdr>
              <w:jc w:val="both"/>
              <w:rPr>
                <w:rFonts w:asciiTheme="minorHAnsi" w:eastAsia="Calibri" w:hAnsiTheme="minorHAnsi" w:cstheme="minorHAnsi"/>
                <w:color w:val="000000"/>
                <w:sz w:val="20"/>
                <w:szCs w:val="20"/>
              </w:rPr>
            </w:pPr>
          </w:p>
          <w:p w14:paraId="519D3AFB" w14:textId="45A322D6" w:rsidR="003F5DDD" w:rsidRDefault="000B0314" w:rsidP="00455B41">
            <w:pPr>
              <w:pStyle w:val="ListParagraph"/>
              <w:widowControl/>
              <w:numPr>
                <w:ilvl w:val="0"/>
                <w:numId w:val="37"/>
              </w:numPr>
              <w:pBdr>
                <w:top w:val="nil"/>
                <w:left w:val="nil"/>
                <w:bottom w:val="nil"/>
                <w:right w:val="nil"/>
                <w:between w:val="nil"/>
              </w:pBdr>
              <w:jc w:val="both"/>
              <w:rPr>
                <w:rFonts w:asciiTheme="minorHAnsi" w:eastAsia="Calibri" w:hAnsiTheme="minorHAnsi" w:cstheme="minorHAnsi"/>
                <w:color w:val="000000"/>
                <w:sz w:val="20"/>
                <w:szCs w:val="20"/>
              </w:rPr>
            </w:pPr>
            <w:r w:rsidRPr="000B0314">
              <w:rPr>
                <w:rFonts w:asciiTheme="minorHAnsi" w:eastAsia="Calibri" w:hAnsiTheme="minorHAnsi" w:cstheme="minorHAnsi"/>
                <w:color w:val="000000"/>
                <w:sz w:val="20"/>
                <w:szCs w:val="20"/>
              </w:rPr>
              <w:t xml:space="preserve">UNDP partnered with </w:t>
            </w:r>
            <w:r w:rsidR="004A779D">
              <w:rPr>
                <w:rFonts w:asciiTheme="minorHAnsi" w:eastAsia="Calibri" w:hAnsiTheme="minorHAnsi" w:cstheme="minorHAnsi"/>
                <w:color w:val="000000"/>
                <w:sz w:val="20"/>
                <w:szCs w:val="20"/>
              </w:rPr>
              <w:t xml:space="preserve">GORTT </w:t>
            </w:r>
            <w:r w:rsidRPr="000B0314">
              <w:rPr>
                <w:rFonts w:asciiTheme="minorHAnsi" w:eastAsia="Calibri" w:hAnsiTheme="minorHAnsi" w:cstheme="minorHAnsi"/>
                <w:color w:val="000000"/>
                <w:sz w:val="20"/>
                <w:szCs w:val="20"/>
              </w:rPr>
              <w:t xml:space="preserve">to advance the climate change mitigation agenda through a number of plans, strategies and policies. These included a </w:t>
            </w:r>
            <w:r w:rsidR="00787D90" w:rsidRPr="00221075">
              <w:rPr>
                <w:rFonts w:asciiTheme="minorHAnsi" w:eastAsia="Calibri" w:hAnsiTheme="minorHAnsi" w:cstheme="minorHAnsi"/>
                <w:color w:val="000000"/>
                <w:sz w:val="20"/>
                <w:szCs w:val="20"/>
              </w:rPr>
              <w:t>Nationally Determined Contributions (NDC</w:t>
            </w:r>
            <w:r w:rsidR="00787D90">
              <w:rPr>
                <w:rFonts w:asciiTheme="minorHAnsi" w:eastAsia="Calibri" w:hAnsiTheme="minorHAnsi" w:cstheme="minorHAnsi"/>
                <w:color w:val="000000"/>
                <w:sz w:val="20"/>
                <w:szCs w:val="20"/>
              </w:rPr>
              <w:t>)</w:t>
            </w:r>
            <w:r w:rsidR="00787D90" w:rsidRPr="00221075">
              <w:rPr>
                <w:rFonts w:asciiTheme="minorHAnsi" w:eastAsia="Calibri" w:hAnsiTheme="minorHAnsi" w:cstheme="minorHAnsi"/>
                <w:color w:val="000000"/>
                <w:sz w:val="20"/>
                <w:szCs w:val="20"/>
              </w:rPr>
              <w:t xml:space="preserve"> </w:t>
            </w:r>
            <w:r w:rsidRPr="000B0314">
              <w:rPr>
                <w:rFonts w:asciiTheme="minorHAnsi" w:eastAsia="Calibri" w:hAnsiTheme="minorHAnsi" w:cstheme="minorHAnsi"/>
                <w:color w:val="000000"/>
                <w:sz w:val="20"/>
                <w:szCs w:val="20"/>
              </w:rPr>
              <w:t xml:space="preserve">implementation plan, the design and piloting of a </w:t>
            </w:r>
            <w:r w:rsidR="004A779D" w:rsidRPr="0037367B">
              <w:rPr>
                <w:rFonts w:asciiTheme="minorHAnsi" w:hAnsiTheme="minorHAnsi" w:cstheme="minorHAnsi"/>
                <w:sz w:val="20"/>
                <w:szCs w:val="20"/>
              </w:rPr>
              <w:t xml:space="preserve">robust policy, strategy and planning framework </w:t>
            </w:r>
            <w:r w:rsidRPr="000B0314">
              <w:rPr>
                <w:rFonts w:asciiTheme="minorHAnsi" w:eastAsia="Calibri" w:hAnsiTheme="minorHAnsi" w:cstheme="minorHAnsi"/>
                <w:color w:val="000000"/>
                <w:sz w:val="20"/>
                <w:szCs w:val="20"/>
              </w:rPr>
              <w:t>(</w:t>
            </w:r>
            <w:r w:rsidR="004A779D" w:rsidRPr="0037367B">
              <w:rPr>
                <w:rFonts w:asciiTheme="minorHAnsi" w:hAnsiTheme="minorHAnsi" w:cstheme="minorHAnsi"/>
                <w:sz w:val="20"/>
                <w:szCs w:val="20"/>
              </w:rPr>
              <w:t>Monitoring, Reporting and Verification</w:t>
            </w:r>
            <w:r w:rsidR="004A779D">
              <w:rPr>
                <w:rFonts w:asciiTheme="minorHAnsi" w:hAnsiTheme="minorHAnsi" w:cstheme="minorHAnsi"/>
                <w:sz w:val="20"/>
                <w:szCs w:val="20"/>
              </w:rPr>
              <w:t xml:space="preserve"> system</w:t>
            </w:r>
            <w:r w:rsidRPr="000B0314">
              <w:rPr>
                <w:rFonts w:asciiTheme="minorHAnsi" w:eastAsia="Calibri" w:hAnsiTheme="minorHAnsi" w:cstheme="minorHAnsi"/>
                <w:color w:val="000000"/>
                <w:sz w:val="20"/>
                <w:szCs w:val="20"/>
              </w:rPr>
              <w:t>)</w:t>
            </w:r>
            <w:r w:rsidR="004A779D">
              <w:rPr>
                <w:rFonts w:asciiTheme="minorHAnsi" w:eastAsia="Calibri" w:hAnsiTheme="minorHAnsi" w:cstheme="minorHAnsi"/>
                <w:color w:val="000000"/>
                <w:sz w:val="20"/>
                <w:szCs w:val="20"/>
              </w:rPr>
              <w:t xml:space="preserve">, </w:t>
            </w:r>
            <w:r w:rsidRPr="000B0314">
              <w:rPr>
                <w:rFonts w:asciiTheme="minorHAnsi" w:eastAsia="Calibri" w:hAnsiTheme="minorHAnsi" w:cstheme="minorHAnsi"/>
                <w:color w:val="000000"/>
                <w:sz w:val="20"/>
                <w:szCs w:val="20"/>
              </w:rPr>
              <w:t xml:space="preserve">and </w:t>
            </w:r>
            <w:r w:rsidR="004A779D" w:rsidRPr="0037367B">
              <w:rPr>
                <w:rFonts w:asciiTheme="minorHAnsi" w:hAnsiTheme="minorHAnsi" w:cstheme="minorHAnsi"/>
                <w:sz w:val="20"/>
                <w:szCs w:val="20"/>
              </w:rPr>
              <w:t xml:space="preserve">a national data collection and management system </w:t>
            </w:r>
            <w:r w:rsidR="004A779D">
              <w:rPr>
                <w:rFonts w:asciiTheme="minorHAnsi" w:hAnsiTheme="minorHAnsi" w:cstheme="minorHAnsi"/>
                <w:sz w:val="20"/>
                <w:szCs w:val="20"/>
              </w:rPr>
              <w:t>(</w:t>
            </w:r>
            <w:r w:rsidR="004A779D" w:rsidRPr="0037367B">
              <w:rPr>
                <w:rFonts w:asciiTheme="minorHAnsi" w:hAnsiTheme="minorHAnsi" w:cstheme="minorHAnsi"/>
                <w:sz w:val="20"/>
                <w:szCs w:val="20"/>
              </w:rPr>
              <w:t>Knowledge Management System</w:t>
            </w:r>
            <w:r w:rsidR="004A779D">
              <w:rPr>
                <w:rFonts w:asciiTheme="minorHAnsi" w:hAnsiTheme="minorHAnsi" w:cstheme="minorHAnsi"/>
                <w:sz w:val="20"/>
                <w:szCs w:val="20"/>
              </w:rPr>
              <w:t>)</w:t>
            </w:r>
            <w:r w:rsidR="004A779D" w:rsidRPr="000B0314">
              <w:rPr>
                <w:rFonts w:asciiTheme="minorHAnsi" w:eastAsia="Calibri" w:hAnsiTheme="minorHAnsi" w:cstheme="minorHAnsi"/>
                <w:color w:val="000000"/>
                <w:sz w:val="20"/>
                <w:szCs w:val="20"/>
              </w:rPr>
              <w:t xml:space="preserve"> </w:t>
            </w:r>
            <w:r w:rsidRPr="000B0314">
              <w:rPr>
                <w:rFonts w:asciiTheme="minorHAnsi" w:eastAsia="Calibri" w:hAnsiTheme="minorHAnsi" w:cstheme="minorHAnsi"/>
                <w:color w:val="000000"/>
                <w:sz w:val="20"/>
                <w:szCs w:val="20"/>
              </w:rPr>
              <w:t xml:space="preserve">to house and analyze greenhouse gas (GHG) data. </w:t>
            </w:r>
            <w:r w:rsidR="00221075" w:rsidRPr="00221075">
              <w:rPr>
                <w:rFonts w:asciiTheme="minorHAnsi" w:eastAsia="Calibri" w:hAnsiTheme="minorHAnsi" w:cstheme="minorHAnsi"/>
                <w:color w:val="000000"/>
                <w:sz w:val="20"/>
                <w:szCs w:val="20"/>
              </w:rPr>
              <w:t xml:space="preserve">UNDP contributed to the </w:t>
            </w:r>
            <w:r w:rsidRPr="00221075">
              <w:rPr>
                <w:rFonts w:asciiTheme="minorHAnsi" w:eastAsia="Calibri" w:hAnsiTheme="minorHAnsi" w:cstheme="minorHAnsi"/>
                <w:color w:val="000000"/>
                <w:sz w:val="20"/>
                <w:szCs w:val="20"/>
              </w:rPr>
              <w:t xml:space="preserve">development of a financial investment plan for </w:t>
            </w:r>
            <w:r w:rsidR="00787D90">
              <w:rPr>
                <w:rFonts w:asciiTheme="minorHAnsi" w:eastAsia="Calibri" w:hAnsiTheme="minorHAnsi" w:cstheme="minorHAnsi"/>
                <w:color w:val="000000"/>
                <w:sz w:val="20"/>
                <w:szCs w:val="20"/>
              </w:rPr>
              <w:t xml:space="preserve">NDC </w:t>
            </w:r>
            <w:r w:rsidRPr="00221075">
              <w:rPr>
                <w:rFonts w:asciiTheme="minorHAnsi" w:eastAsia="Calibri" w:hAnsiTheme="minorHAnsi" w:cstheme="minorHAnsi"/>
                <w:color w:val="000000"/>
                <w:sz w:val="20"/>
                <w:szCs w:val="20"/>
              </w:rPr>
              <w:t xml:space="preserve">implementation and a gender analysis and action plan for incorporating gender </w:t>
            </w:r>
            <w:r w:rsidRPr="00221075">
              <w:rPr>
                <w:rFonts w:asciiTheme="minorHAnsi" w:eastAsia="Calibri" w:hAnsiTheme="minorHAnsi" w:cstheme="minorHAnsi"/>
                <w:color w:val="000000"/>
                <w:sz w:val="20"/>
                <w:szCs w:val="20"/>
              </w:rPr>
              <w:lastRenderedPageBreak/>
              <w:t>considerations into NDC planning. UNDP facilitated the revision and update of the national climate change policy</w:t>
            </w:r>
            <w:r w:rsidR="00221075">
              <w:rPr>
                <w:rFonts w:asciiTheme="minorHAnsi" w:eastAsia="Calibri" w:hAnsiTheme="minorHAnsi" w:cstheme="minorHAnsi"/>
                <w:color w:val="000000"/>
                <w:sz w:val="20"/>
                <w:szCs w:val="20"/>
              </w:rPr>
              <w:t xml:space="preserve">, as well as </w:t>
            </w:r>
            <w:r w:rsidRPr="00221075">
              <w:rPr>
                <w:rFonts w:asciiTheme="minorHAnsi" w:eastAsia="Calibri" w:hAnsiTheme="minorHAnsi" w:cstheme="minorHAnsi"/>
                <w:color w:val="000000"/>
                <w:sz w:val="20"/>
                <w:szCs w:val="20"/>
              </w:rPr>
              <w:t xml:space="preserve">supported the development of a national climate change code, recommendations for the legal framework to support the national MRV system and draft climate change legislation. These key outputs formed essential building blocks for </w:t>
            </w:r>
            <w:r w:rsidR="00221075">
              <w:rPr>
                <w:rFonts w:asciiTheme="minorHAnsi" w:eastAsia="Calibri" w:hAnsiTheme="minorHAnsi" w:cstheme="minorHAnsi"/>
                <w:color w:val="000000"/>
                <w:sz w:val="20"/>
                <w:szCs w:val="20"/>
              </w:rPr>
              <w:t xml:space="preserve">GORTT </w:t>
            </w:r>
            <w:r w:rsidRPr="00221075">
              <w:rPr>
                <w:rFonts w:asciiTheme="minorHAnsi" w:eastAsia="Calibri" w:hAnsiTheme="minorHAnsi" w:cstheme="minorHAnsi"/>
                <w:color w:val="000000"/>
                <w:sz w:val="20"/>
                <w:szCs w:val="20"/>
              </w:rPr>
              <w:t>to meet its carbon emissions reduction obligations and indeed to upscale ambition in its next NDC submission.</w:t>
            </w:r>
          </w:p>
          <w:p w14:paraId="3CEBF446" w14:textId="4F9EF972" w:rsidR="00671099" w:rsidRDefault="00671099" w:rsidP="00671099">
            <w:pPr>
              <w:pStyle w:val="ListParagraph"/>
              <w:widowControl/>
              <w:numPr>
                <w:ilvl w:val="0"/>
                <w:numId w:val="37"/>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eastAsia="Calibri" w:hAnsiTheme="minorHAnsi" w:cstheme="minorHAnsi"/>
                <w:color w:val="000000"/>
                <w:sz w:val="20"/>
                <w:szCs w:val="20"/>
              </w:rPr>
              <w:t xml:space="preserve">A UNDP </w:t>
            </w:r>
            <w:r w:rsidRPr="00270B49">
              <w:rPr>
                <w:rFonts w:asciiTheme="minorHAnsi" w:eastAsia="Calibri" w:hAnsiTheme="minorHAnsi" w:cstheme="minorHAnsi"/>
                <w:color w:val="000000"/>
                <w:sz w:val="20"/>
                <w:szCs w:val="20"/>
              </w:rPr>
              <w:t xml:space="preserve">intervention </w:t>
            </w:r>
            <w:r>
              <w:rPr>
                <w:rFonts w:asciiTheme="minorHAnsi" w:eastAsia="Calibri" w:hAnsiTheme="minorHAnsi" w:cstheme="minorHAnsi"/>
                <w:color w:val="000000"/>
                <w:sz w:val="20"/>
                <w:szCs w:val="20"/>
              </w:rPr>
              <w:t>began a programme for the</w:t>
            </w:r>
            <w:r w:rsidRPr="00270B49">
              <w:rPr>
                <w:rFonts w:asciiTheme="minorHAnsi" w:eastAsia="Calibri" w:hAnsiTheme="minorHAnsi" w:cstheme="minorHAnsi"/>
                <w:color w:val="000000"/>
                <w:sz w:val="20"/>
                <w:szCs w:val="20"/>
              </w:rPr>
              <w:t xml:space="preserve"> implementation of </w:t>
            </w:r>
            <w:r>
              <w:rPr>
                <w:rFonts w:asciiTheme="minorHAnsi" w:eastAsia="Calibri" w:hAnsiTheme="minorHAnsi" w:cstheme="minorHAnsi"/>
                <w:color w:val="000000"/>
                <w:sz w:val="20"/>
                <w:szCs w:val="20"/>
              </w:rPr>
              <w:t xml:space="preserve">the </w:t>
            </w:r>
            <w:r w:rsidRPr="00270B49">
              <w:rPr>
                <w:rFonts w:asciiTheme="minorHAnsi" w:eastAsia="Calibri" w:hAnsiTheme="minorHAnsi" w:cstheme="minorHAnsi"/>
                <w:color w:val="000000"/>
                <w:sz w:val="20"/>
                <w:szCs w:val="20"/>
              </w:rPr>
              <w:t xml:space="preserve">NDC through the installation of twelve small scale solar systems at public utilities and at remote and vulnerable communities throughout </w:t>
            </w:r>
            <w:r>
              <w:rPr>
                <w:rFonts w:asciiTheme="minorHAnsi" w:eastAsia="Calibri" w:hAnsiTheme="minorHAnsi" w:cstheme="minorHAnsi"/>
                <w:color w:val="000000"/>
                <w:sz w:val="20"/>
                <w:szCs w:val="20"/>
              </w:rPr>
              <w:t xml:space="preserve">the country, as well as provide </w:t>
            </w:r>
            <w:r w:rsidRPr="00270B49">
              <w:rPr>
                <w:rFonts w:asciiTheme="minorHAnsi" w:eastAsia="Calibri" w:hAnsiTheme="minorHAnsi" w:cstheme="minorHAnsi"/>
                <w:color w:val="000000"/>
                <w:sz w:val="20"/>
                <w:szCs w:val="20"/>
              </w:rPr>
              <w:t xml:space="preserve">technical assistance to the Ministry of Energy and Energy Industries for the operationalization of renewable energy (RE)/energy efficiency (EE)-conducive policies and legislative frameworks. </w:t>
            </w:r>
          </w:p>
          <w:p w14:paraId="4306FDF7" w14:textId="1A3037E9" w:rsidR="00671099" w:rsidRDefault="00671099" w:rsidP="00671099">
            <w:pPr>
              <w:pStyle w:val="ListParagraph"/>
              <w:widowControl/>
              <w:numPr>
                <w:ilvl w:val="0"/>
                <w:numId w:val="37"/>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hAnsiTheme="minorHAnsi" w:cstheme="minorHAnsi"/>
                <w:sz w:val="20"/>
                <w:szCs w:val="20"/>
              </w:rPr>
              <w:t>C</w:t>
            </w:r>
            <w:r w:rsidRPr="003F5DDD">
              <w:rPr>
                <w:rFonts w:asciiTheme="minorHAnsi" w:hAnsiTheme="minorHAnsi" w:cstheme="minorHAnsi"/>
                <w:sz w:val="20"/>
                <w:szCs w:val="20"/>
              </w:rPr>
              <w:t xml:space="preserve">apacity </w:t>
            </w:r>
            <w:r>
              <w:rPr>
                <w:rFonts w:asciiTheme="minorHAnsi" w:hAnsiTheme="minorHAnsi" w:cstheme="minorHAnsi"/>
                <w:sz w:val="20"/>
                <w:szCs w:val="20"/>
              </w:rPr>
              <w:t xml:space="preserve">among stakeholders strengthened with the intention of supporting the government’s mitigation efforts through the development of a </w:t>
            </w:r>
            <w:r w:rsidRPr="003F5DDD">
              <w:rPr>
                <w:rFonts w:asciiTheme="minorHAnsi" w:eastAsia="Calibri" w:hAnsiTheme="minorHAnsi" w:cstheme="minorHAnsi"/>
                <w:color w:val="000000"/>
                <w:sz w:val="20"/>
                <w:szCs w:val="20"/>
              </w:rPr>
              <w:t>certification programme for GHG inventorying</w:t>
            </w:r>
            <w:r>
              <w:rPr>
                <w:rFonts w:asciiTheme="minorHAnsi" w:eastAsia="Calibri" w:hAnsiTheme="minorHAnsi" w:cstheme="minorHAnsi"/>
                <w:color w:val="000000"/>
                <w:sz w:val="20"/>
                <w:szCs w:val="20"/>
              </w:rPr>
              <w:t>,</w:t>
            </w:r>
            <w:r w:rsidRPr="003F5DDD">
              <w:rPr>
                <w:rFonts w:asciiTheme="minorHAnsi" w:eastAsia="Calibri" w:hAnsiTheme="minorHAnsi" w:cstheme="minorHAnsi"/>
                <w:color w:val="000000"/>
                <w:sz w:val="20"/>
                <w:szCs w:val="20"/>
              </w:rPr>
              <w:t xml:space="preserve"> quality assurance and control, trainings in key obligations under MEAs, a mapping and capacity assessment of CSOs, </w:t>
            </w:r>
            <w:r>
              <w:rPr>
                <w:rFonts w:asciiTheme="minorHAnsi" w:eastAsia="Calibri" w:hAnsiTheme="minorHAnsi" w:cstheme="minorHAnsi"/>
                <w:color w:val="000000"/>
                <w:sz w:val="20"/>
                <w:szCs w:val="20"/>
              </w:rPr>
              <w:t xml:space="preserve">and </w:t>
            </w:r>
            <w:r w:rsidRPr="003F5DDD">
              <w:rPr>
                <w:rFonts w:asciiTheme="minorHAnsi" w:eastAsia="Calibri" w:hAnsiTheme="minorHAnsi" w:cstheme="minorHAnsi"/>
                <w:color w:val="000000"/>
                <w:sz w:val="20"/>
                <w:szCs w:val="20"/>
              </w:rPr>
              <w:t>training on climate models</w:t>
            </w:r>
            <w:r>
              <w:rPr>
                <w:rFonts w:asciiTheme="minorHAnsi" w:eastAsia="Calibri" w:hAnsiTheme="minorHAnsi" w:cstheme="minorHAnsi"/>
                <w:color w:val="000000"/>
                <w:sz w:val="20"/>
                <w:szCs w:val="20"/>
              </w:rPr>
              <w:t xml:space="preserve"> and</w:t>
            </w:r>
            <w:r w:rsidRPr="003F5DDD">
              <w:rPr>
                <w:rFonts w:asciiTheme="minorHAnsi" w:eastAsia="Calibri" w:hAnsiTheme="minorHAnsi" w:cstheme="minorHAnsi"/>
                <w:color w:val="000000"/>
                <w:sz w:val="20"/>
                <w:szCs w:val="20"/>
              </w:rPr>
              <w:t xml:space="preserve"> climate change projections. </w:t>
            </w:r>
          </w:p>
          <w:p w14:paraId="7E49D314" w14:textId="20D46468" w:rsidR="00671099" w:rsidRPr="00F31CA3" w:rsidRDefault="00671099" w:rsidP="00671099">
            <w:pPr>
              <w:pStyle w:val="ListParagraph"/>
              <w:widowControl/>
              <w:numPr>
                <w:ilvl w:val="0"/>
                <w:numId w:val="37"/>
              </w:numPr>
              <w:pBdr>
                <w:top w:val="nil"/>
                <w:left w:val="nil"/>
                <w:bottom w:val="nil"/>
                <w:right w:val="nil"/>
                <w:between w:val="nil"/>
              </w:pBdr>
              <w:jc w:val="both"/>
              <w:rPr>
                <w:rFonts w:asciiTheme="minorHAnsi" w:eastAsia="Calibri" w:hAnsiTheme="minorHAnsi" w:cstheme="minorHAnsi"/>
                <w:color w:val="000000"/>
                <w:sz w:val="20"/>
                <w:szCs w:val="20"/>
              </w:rPr>
            </w:pPr>
            <w:r w:rsidRPr="003F5DDD">
              <w:rPr>
                <w:rFonts w:asciiTheme="minorHAnsi" w:eastAsia="Calibri" w:hAnsiTheme="minorHAnsi" w:cstheme="minorHAnsi"/>
                <w:color w:val="000000"/>
                <w:sz w:val="20"/>
                <w:szCs w:val="20"/>
              </w:rPr>
              <w:t xml:space="preserve">UNDP </w:t>
            </w:r>
            <w:r>
              <w:rPr>
                <w:rFonts w:asciiTheme="minorHAnsi" w:eastAsia="Calibri" w:hAnsiTheme="minorHAnsi" w:cstheme="minorHAnsi"/>
                <w:color w:val="000000"/>
                <w:sz w:val="20"/>
                <w:szCs w:val="20"/>
              </w:rPr>
              <w:t xml:space="preserve">supported national implementation of </w:t>
            </w:r>
            <w:r w:rsidRPr="003F5DDD">
              <w:rPr>
                <w:rFonts w:asciiTheme="minorHAnsi" w:eastAsia="Calibri" w:hAnsiTheme="minorHAnsi" w:cstheme="minorHAnsi"/>
                <w:color w:val="000000"/>
                <w:sz w:val="20"/>
                <w:szCs w:val="20"/>
              </w:rPr>
              <w:t xml:space="preserve">Low-carbon </w:t>
            </w:r>
            <w:r>
              <w:rPr>
                <w:rFonts w:asciiTheme="minorHAnsi" w:eastAsia="Calibri" w:hAnsiTheme="minorHAnsi" w:cstheme="minorHAnsi"/>
                <w:color w:val="000000"/>
                <w:sz w:val="20"/>
                <w:szCs w:val="20"/>
              </w:rPr>
              <w:t>Refrigeration and Air Conditioning (</w:t>
            </w:r>
            <w:r w:rsidRPr="003F5DDD">
              <w:rPr>
                <w:rFonts w:asciiTheme="minorHAnsi" w:eastAsia="Calibri" w:hAnsiTheme="minorHAnsi" w:cstheme="minorHAnsi"/>
                <w:color w:val="000000"/>
                <w:sz w:val="20"/>
                <w:szCs w:val="20"/>
              </w:rPr>
              <w:t>RAC</w:t>
            </w:r>
            <w:r>
              <w:rPr>
                <w:rFonts w:asciiTheme="minorHAnsi" w:eastAsia="Calibri" w:hAnsiTheme="minorHAnsi" w:cstheme="minorHAnsi"/>
                <w:color w:val="000000"/>
                <w:sz w:val="20"/>
                <w:szCs w:val="20"/>
              </w:rPr>
              <w:t>)</w:t>
            </w:r>
            <w:r w:rsidRPr="003F5DDD">
              <w:rPr>
                <w:rFonts w:asciiTheme="minorHAnsi" w:eastAsia="Calibri" w:hAnsiTheme="minorHAnsi" w:cstheme="minorHAnsi"/>
                <w:color w:val="000000"/>
                <w:sz w:val="20"/>
                <w:szCs w:val="20"/>
              </w:rPr>
              <w:t xml:space="preserve"> Technologies </w:t>
            </w:r>
            <w:r>
              <w:rPr>
                <w:rFonts w:asciiTheme="minorHAnsi" w:eastAsia="Calibri" w:hAnsiTheme="minorHAnsi" w:cstheme="minorHAnsi"/>
                <w:color w:val="000000"/>
                <w:sz w:val="20"/>
                <w:szCs w:val="20"/>
              </w:rPr>
              <w:t>through a GEF project which aims to</w:t>
            </w:r>
            <w:r w:rsidRPr="003F5DDD">
              <w:rPr>
                <w:rFonts w:asciiTheme="minorHAnsi" w:eastAsia="Calibri" w:hAnsiTheme="minorHAnsi" w:cstheme="minorHAnsi"/>
                <w:color w:val="000000"/>
                <w:sz w:val="20"/>
                <w:szCs w:val="20"/>
              </w:rPr>
              <w:t xml:space="preserve"> reduce greenhouse gas emissions, in support of the country’s international commitments to combat climate change. The </w:t>
            </w:r>
            <w:r>
              <w:rPr>
                <w:rFonts w:asciiTheme="minorHAnsi" w:eastAsia="Calibri" w:hAnsiTheme="minorHAnsi" w:cstheme="minorHAnsi"/>
                <w:color w:val="000000"/>
                <w:sz w:val="20"/>
                <w:szCs w:val="20"/>
              </w:rPr>
              <w:t xml:space="preserve">project, although still in progress, intends to </w:t>
            </w:r>
            <w:r w:rsidRPr="003F5DDD">
              <w:rPr>
                <w:rFonts w:asciiTheme="minorHAnsi" w:eastAsia="Calibri" w:hAnsiTheme="minorHAnsi" w:cstheme="minorHAnsi"/>
                <w:color w:val="000000"/>
                <w:sz w:val="20"/>
                <w:szCs w:val="20"/>
              </w:rPr>
              <w:t xml:space="preserve">address the use of ozone depleting substances within the refrigeration and air conditioning (RAC) </w:t>
            </w:r>
            <w:r>
              <w:rPr>
                <w:rFonts w:asciiTheme="minorHAnsi" w:eastAsia="Calibri" w:hAnsiTheme="minorHAnsi" w:cstheme="minorHAnsi"/>
                <w:color w:val="000000"/>
                <w:sz w:val="20"/>
                <w:szCs w:val="20"/>
              </w:rPr>
              <w:t xml:space="preserve">in the public and private </w:t>
            </w:r>
            <w:r w:rsidRPr="003F5DDD">
              <w:rPr>
                <w:rFonts w:asciiTheme="minorHAnsi" w:eastAsia="Calibri" w:hAnsiTheme="minorHAnsi" w:cstheme="minorHAnsi"/>
                <w:color w:val="000000"/>
                <w:sz w:val="20"/>
                <w:szCs w:val="20"/>
              </w:rPr>
              <w:t>sectors</w:t>
            </w:r>
            <w:r>
              <w:rPr>
                <w:rFonts w:asciiTheme="minorHAnsi" w:eastAsia="Calibri" w:hAnsiTheme="minorHAnsi" w:cstheme="minorHAnsi"/>
                <w:color w:val="000000"/>
                <w:sz w:val="20"/>
                <w:szCs w:val="20"/>
              </w:rPr>
              <w:t xml:space="preserve">, </w:t>
            </w:r>
            <w:r w:rsidRPr="003F5DDD">
              <w:rPr>
                <w:rFonts w:asciiTheme="minorHAnsi" w:eastAsia="Calibri" w:hAnsiTheme="minorHAnsi" w:cstheme="minorHAnsi"/>
                <w:color w:val="000000"/>
                <w:sz w:val="20"/>
                <w:szCs w:val="20"/>
              </w:rPr>
              <w:t>and to contribute to the national goal of a 15% reduction in greenhouse gas (GHG) emissions by 2030.</w:t>
            </w:r>
          </w:p>
          <w:p w14:paraId="7133AB1C" w14:textId="3C8B85F6" w:rsidR="00671099" w:rsidRPr="00F31CA3" w:rsidRDefault="00671099" w:rsidP="00671099">
            <w:pPr>
              <w:pStyle w:val="ListParagraph"/>
              <w:widowControl/>
              <w:numPr>
                <w:ilvl w:val="0"/>
                <w:numId w:val="37"/>
              </w:numPr>
              <w:pBdr>
                <w:top w:val="nil"/>
                <w:left w:val="nil"/>
                <w:bottom w:val="nil"/>
                <w:right w:val="nil"/>
                <w:between w:val="nil"/>
              </w:pBdr>
              <w:jc w:val="both"/>
              <w:rPr>
                <w:rFonts w:asciiTheme="minorHAnsi" w:eastAsia="Calibri" w:hAnsiTheme="minorHAnsi" w:cstheme="minorHAnsi"/>
                <w:color w:val="000000"/>
                <w:sz w:val="20"/>
                <w:szCs w:val="20"/>
              </w:rPr>
            </w:pPr>
            <w:r>
              <w:rPr>
                <w:rFonts w:asciiTheme="minorHAnsi" w:hAnsiTheme="minorHAnsi" w:cstheme="minorHAnsi"/>
                <w:sz w:val="20"/>
                <w:szCs w:val="20"/>
              </w:rPr>
              <w:t xml:space="preserve">Capacity building </w:t>
            </w:r>
            <w:r w:rsidRPr="003F5DDD">
              <w:rPr>
                <w:rFonts w:asciiTheme="minorHAnsi" w:hAnsiTheme="minorHAnsi" w:cstheme="minorHAnsi"/>
                <w:sz w:val="20"/>
                <w:szCs w:val="20"/>
              </w:rPr>
              <w:t xml:space="preserve">and </w:t>
            </w:r>
            <w:r>
              <w:rPr>
                <w:rFonts w:asciiTheme="minorHAnsi" w:hAnsiTheme="minorHAnsi" w:cstheme="minorHAnsi"/>
                <w:sz w:val="20"/>
                <w:szCs w:val="20"/>
              </w:rPr>
              <w:t xml:space="preserve">increased </w:t>
            </w:r>
            <w:r w:rsidRPr="003F5DDD">
              <w:rPr>
                <w:rFonts w:asciiTheme="minorHAnsi" w:hAnsiTheme="minorHAnsi" w:cstheme="minorHAnsi"/>
                <w:sz w:val="20"/>
                <w:szCs w:val="20"/>
              </w:rPr>
              <w:t>public awareness</w:t>
            </w:r>
            <w:r>
              <w:rPr>
                <w:rFonts w:asciiTheme="minorHAnsi" w:hAnsiTheme="minorHAnsi" w:cstheme="minorHAnsi"/>
                <w:sz w:val="20"/>
                <w:szCs w:val="20"/>
              </w:rPr>
              <w:t xml:space="preserve"> efforts by UNDP</w:t>
            </w:r>
            <w:r w:rsidRPr="003F5DDD">
              <w:rPr>
                <w:rFonts w:asciiTheme="minorHAnsi" w:hAnsiTheme="minorHAnsi" w:cstheme="minorHAnsi"/>
                <w:sz w:val="20"/>
                <w:szCs w:val="20"/>
              </w:rPr>
              <w:t xml:space="preserve"> </w:t>
            </w:r>
            <w:r>
              <w:rPr>
                <w:rFonts w:asciiTheme="minorHAnsi" w:hAnsiTheme="minorHAnsi" w:cstheme="minorHAnsi"/>
                <w:sz w:val="20"/>
                <w:szCs w:val="20"/>
              </w:rPr>
              <w:t>supported the</w:t>
            </w:r>
            <w:r w:rsidRPr="003F5DDD">
              <w:rPr>
                <w:rFonts w:asciiTheme="minorHAnsi" w:hAnsiTheme="minorHAnsi" w:cstheme="minorHAnsi"/>
                <w:sz w:val="20"/>
                <w:szCs w:val="20"/>
              </w:rPr>
              <w:t xml:space="preserve"> development and ratification in 2020 of the Sendai Framework for Disaster Risk Reduction 2015-2030, a comprehensive framework for government actions and community approach towards disaster reduction as an integral part of the advances in keeping with the 2030 Agenda. </w:t>
            </w:r>
          </w:p>
          <w:p w14:paraId="6A536164" w14:textId="3F3F4A3D" w:rsidR="00F31B47" w:rsidRDefault="00A14544" w:rsidP="00455B41">
            <w:pPr>
              <w:pStyle w:val="ListParagraph"/>
              <w:numPr>
                <w:ilvl w:val="0"/>
                <w:numId w:val="37"/>
              </w:numPr>
              <w:jc w:val="both"/>
              <w:rPr>
                <w:rFonts w:asciiTheme="minorHAnsi" w:hAnsiTheme="minorHAnsi" w:cstheme="minorHAnsi"/>
                <w:sz w:val="20"/>
                <w:szCs w:val="20"/>
              </w:rPr>
            </w:pPr>
            <w:r w:rsidRPr="0037367B">
              <w:rPr>
                <w:rFonts w:asciiTheme="minorHAnsi" w:hAnsiTheme="minorHAnsi" w:cstheme="minorHAnsi"/>
                <w:sz w:val="20"/>
                <w:szCs w:val="20"/>
              </w:rPr>
              <w:t xml:space="preserve">UNDP provided emergency preparedness and response </w:t>
            </w:r>
            <w:r w:rsidR="00F31B47">
              <w:rPr>
                <w:rFonts w:asciiTheme="minorHAnsi" w:hAnsiTheme="minorHAnsi" w:cstheme="minorHAnsi"/>
                <w:sz w:val="20"/>
                <w:szCs w:val="20"/>
              </w:rPr>
              <w:t xml:space="preserve">support in </w:t>
            </w:r>
            <w:r w:rsidRPr="0037367B">
              <w:rPr>
                <w:rFonts w:asciiTheme="minorHAnsi" w:hAnsiTheme="minorHAnsi" w:cstheme="minorHAnsi"/>
                <w:sz w:val="20"/>
                <w:szCs w:val="20"/>
              </w:rPr>
              <w:t>early warning system situation analysis</w:t>
            </w:r>
            <w:r w:rsidR="00F31B47">
              <w:rPr>
                <w:rFonts w:asciiTheme="minorHAnsi" w:hAnsiTheme="minorHAnsi" w:cstheme="minorHAnsi"/>
                <w:sz w:val="20"/>
                <w:szCs w:val="20"/>
              </w:rPr>
              <w:t xml:space="preserve"> and </w:t>
            </w:r>
            <w:r w:rsidRPr="0037367B">
              <w:rPr>
                <w:rFonts w:asciiTheme="minorHAnsi" w:hAnsiTheme="minorHAnsi" w:cstheme="minorHAnsi"/>
                <w:sz w:val="20"/>
                <w:szCs w:val="20"/>
              </w:rPr>
              <w:t>upgrading of national alert system</w:t>
            </w:r>
            <w:r w:rsidR="00F31B47">
              <w:rPr>
                <w:rFonts w:asciiTheme="minorHAnsi" w:hAnsiTheme="minorHAnsi" w:cstheme="minorHAnsi"/>
                <w:sz w:val="20"/>
                <w:szCs w:val="20"/>
              </w:rPr>
              <w:t xml:space="preserve">, as well as </w:t>
            </w:r>
            <w:r w:rsidRPr="0037367B">
              <w:rPr>
                <w:rFonts w:asciiTheme="minorHAnsi" w:hAnsiTheme="minorHAnsi" w:cstheme="minorHAnsi"/>
                <w:sz w:val="20"/>
                <w:szCs w:val="20"/>
              </w:rPr>
              <w:t>capacity building for mainstreaming of disaster risk reduction.</w:t>
            </w:r>
            <w:r w:rsidR="0037367B" w:rsidRPr="0037367B">
              <w:rPr>
                <w:rFonts w:asciiTheme="minorHAnsi" w:hAnsiTheme="minorHAnsi" w:cstheme="minorHAnsi"/>
                <w:sz w:val="20"/>
                <w:szCs w:val="20"/>
              </w:rPr>
              <w:t xml:space="preserve"> </w:t>
            </w:r>
            <w:r w:rsidR="009F4F6C" w:rsidRPr="00270B49">
              <w:rPr>
                <w:rFonts w:asciiTheme="minorHAnsi" w:eastAsia="Calibri" w:hAnsiTheme="minorHAnsi" w:cstheme="minorHAnsi"/>
                <w:color w:val="000000"/>
                <w:sz w:val="20"/>
                <w:szCs w:val="20"/>
              </w:rPr>
              <w:t>UNDP “Preparing you!” a Disaster Preparedness and Emergency Evacuation programme for Persons with Intellectual Disabilities, pioneered the inclusion of people with disabilities as well as their guardians and caregivers into government programs and services for persons with disabilities. This project partnered with the Office of Disaster Preparedness and Management (ODPM) and provided a series of training workshops for disaster preparedness and emergency evacuation. Best practices have been integrated into the National Emergency Special Needs Handbook.</w:t>
            </w:r>
          </w:p>
          <w:p w14:paraId="186410A6" w14:textId="5D192C0F" w:rsidR="00A14544" w:rsidRPr="00D11682" w:rsidRDefault="001C7736" w:rsidP="00455B41">
            <w:pPr>
              <w:pStyle w:val="ListParagraph"/>
              <w:numPr>
                <w:ilvl w:val="0"/>
                <w:numId w:val="37"/>
              </w:numPr>
              <w:jc w:val="both"/>
              <w:rPr>
                <w:rFonts w:asciiTheme="minorHAnsi" w:hAnsiTheme="minorHAnsi" w:cstheme="minorHAnsi"/>
                <w:sz w:val="20"/>
                <w:szCs w:val="20"/>
              </w:rPr>
            </w:pPr>
            <w:r>
              <w:rPr>
                <w:rFonts w:asciiTheme="minorHAnsi" w:hAnsiTheme="minorHAnsi" w:cstheme="minorHAnsi"/>
                <w:sz w:val="20"/>
                <w:szCs w:val="20"/>
              </w:rPr>
              <w:t xml:space="preserve">UNDP </w:t>
            </w:r>
            <w:r w:rsidR="00C47CAF">
              <w:rPr>
                <w:rFonts w:asciiTheme="minorHAnsi" w:hAnsiTheme="minorHAnsi" w:cstheme="minorHAnsi"/>
                <w:sz w:val="20"/>
                <w:szCs w:val="20"/>
              </w:rPr>
              <w:t>assisted the government of Aruba to create the Centre of Excellence</w:t>
            </w:r>
            <w:r w:rsidR="00F83CE8" w:rsidRPr="00270B49">
              <w:rPr>
                <w:rFonts w:asciiTheme="minorHAnsi" w:eastAsia="Calibri" w:hAnsiTheme="minorHAnsi" w:cstheme="minorHAnsi"/>
                <w:color w:val="000000"/>
                <w:sz w:val="20"/>
                <w:szCs w:val="20"/>
              </w:rPr>
              <w:t xml:space="preserve"> for Small Island Developing States (SIDS)</w:t>
            </w:r>
            <w:r w:rsidR="00F83CE8">
              <w:rPr>
                <w:rFonts w:asciiTheme="minorHAnsi" w:eastAsia="Calibri" w:hAnsiTheme="minorHAnsi" w:cstheme="minorHAnsi"/>
                <w:color w:val="000000"/>
                <w:sz w:val="20"/>
                <w:szCs w:val="20"/>
              </w:rPr>
              <w:t xml:space="preserve"> to strengthen </w:t>
            </w:r>
            <w:r w:rsidR="00601818" w:rsidRPr="00270B49">
              <w:rPr>
                <w:rFonts w:asciiTheme="minorHAnsi" w:eastAsia="Calibri" w:hAnsiTheme="minorHAnsi" w:cstheme="minorHAnsi"/>
                <w:color w:val="000000"/>
                <w:sz w:val="20"/>
                <w:szCs w:val="20"/>
              </w:rPr>
              <w:t xml:space="preserve">the capacity of </w:t>
            </w:r>
            <w:r w:rsidR="00C47CAF">
              <w:rPr>
                <w:rFonts w:asciiTheme="minorHAnsi" w:hAnsiTheme="minorHAnsi" w:cstheme="minorHAnsi"/>
                <w:sz w:val="20"/>
                <w:szCs w:val="20"/>
              </w:rPr>
              <w:t>SIDS</w:t>
            </w:r>
            <w:r w:rsidR="00601818" w:rsidRPr="00270B49">
              <w:rPr>
                <w:rFonts w:asciiTheme="minorHAnsi" w:eastAsia="Calibri" w:hAnsiTheme="minorHAnsi" w:cstheme="minorHAnsi"/>
                <w:color w:val="000000"/>
                <w:sz w:val="20"/>
                <w:szCs w:val="20"/>
              </w:rPr>
              <w:t xml:space="preserve"> to realize sustainable development solutions through training in the establishment of country specific roadmaps, the development and launch of a virtual platform to facilitate technical support and knowledge exchange, in-country technical assistance and the development of knowledge products and learning tools. </w:t>
            </w:r>
          </w:p>
          <w:p w14:paraId="29BC2E17" w14:textId="0431B51F" w:rsidR="00D11682" w:rsidRPr="00D11682" w:rsidRDefault="00D11682" w:rsidP="00D11682">
            <w:pPr>
              <w:pStyle w:val="ListParagraph"/>
              <w:numPr>
                <w:ilvl w:val="0"/>
                <w:numId w:val="37"/>
              </w:numPr>
              <w:jc w:val="both"/>
              <w:rPr>
                <w:rFonts w:asciiTheme="minorHAnsi" w:hAnsiTheme="minorHAnsi" w:cstheme="minorHAnsi"/>
                <w:sz w:val="20"/>
                <w:szCs w:val="20"/>
              </w:rPr>
            </w:pPr>
            <w:r>
              <w:rPr>
                <w:rFonts w:asciiTheme="minorHAnsi" w:hAnsiTheme="minorHAnsi" w:cstheme="minorHAnsi"/>
                <w:sz w:val="20"/>
                <w:szCs w:val="20"/>
              </w:rPr>
              <w:t>UNDP is supporting an assessment of the institutional capacities for Disaster Risk Reduction and Management in Sint Maarten as well as a comprehensive review of the food bank systems.</w:t>
            </w:r>
          </w:p>
          <w:p w14:paraId="0000010F" w14:textId="26C22268" w:rsidR="00C8511B" w:rsidRPr="00ED6A78" w:rsidRDefault="00C8511B" w:rsidP="00455B41">
            <w:pPr>
              <w:jc w:val="both"/>
              <w:rPr>
                <w:rFonts w:asciiTheme="minorHAnsi" w:hAnsiTheme="minorHAnsi" w:cstheme="minorHAnsi"/>
                <w:sz w:val="20"/>
                <w:szCs w:val="20"/>
              </w:rPr>
            </w:pPr>
          </w:p>
        </w:tc>
      </w:tr>
    </w:tbl>
    <w:p w14:paraId="00000114" w14:textId="77777777" w:rsidR="00C8511B" w:rsidRDefault="00C8511B">
      <w:pPr>
        <w:jc w:val="both"/>
        <w:rPr>
          <w:rFonts w:ascii="Calibri" w:eastAsia="Calibri" w:hAnsi="Calibri" w:cs="Calibri"/>
        </w:rPr>
      </w:pPr>
    </w:p>
    <w:p w14:paraId="00000115" w14:textId="77777777" w:rsidR="00C8511B" w:rsidRDefault="00C8511B">
      <w:pPr>
        <w:jc w:val="both"/>
        <w:rPr>
          <w:rFonts w:ascii="Calibri" w:eastAsia="Calibri" w:hAnsi="Calibri" w:cs="Calibri"/>
        </w:rPr>
      </w:pPr>
    </w:p>
    <w:tbl>
      <w:tblPr>
        <w:tblStyle w:val="a0"/>
        <w:tblW w:w="140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040"/>
      </w:tblGrid>
      <w:tr w:rsidR="00A30080" w14:paraId="3D6F88F5" w14:textId="77777777">
        <w:tc>
          <w:tcPr>
            <w:tcW w:w="14040" w:type="dxa"/>
          </w:tcPr>
          <w:p w14:paraId="00000118" w14:textId="77777777" w:rsidR="00C8511B" w:rsidRDefault="002624F2">
            <w:pPr>
              <w:jc w:val="both"/>
              <w:rPr>
                <w:rFonts w:ascii="Calibri" w:eastAsia="Calibri" w:hAnsi="Calibri" w:cs="Calibri"/>
                <w:sz w:val="20"/>
                <w:szCs w:val="20"/>
                <w:u w:val="single"/>
              </w:rPr>
            </w:pPr>
            <w:r w:rsidRPr="00586044">
              <w:rPr>
                <w:rFonts w:ascii="Calibri" w:eastAsia="Calibri" w:hAnsi="Calibri" w:cs="Calibri"/>
                <w:sz w:val="20"/>
                <w:szCs w:val="20"/>
                <w:u w:val="single"/>
              </w:rPr>
              <w:t xml:space="preserve">Summary of evaluation findings (e.g. from outcome and project evaluations, UNDAF reviews, and other </w:t>
            </w:r>
            <w:sdt>
              <w:sdtPr>
                <w:tag w:val="goog_rdk_12"/>
                <w:id w:val="1792932494"/>
              </w:sdtPr>
              <w:sdtEndPr/>
              <w:sdtContent/>
            </w:sdt>
            <w:r w:rsidRPr="00586044">
              <w:rPr>
                <w:rFonts w:ascii="Calibri" w:eastAsia="Calibri" w:hAnsi="Calibri" w:cs="Calibri"/>
                <w:sz w:val="20"/>
                <w:szCs w:val="20"/>
                <w:u w:val="single"/>
              </w:rPr>
              <w:t>assessments)</w:t>
            </w:r>
          </w:p>
          <w:p w14:paraId="0000011A" w14:textId="77777777" w:rsidR="00C8511B" w:rsidRDefault="00C8511B">
            <w:pPr>
              <w:jc w:val="both"/>
              <w:rPr>
                <w:rFonts w:ascii="Calibri" w:eastAsia="Calibri" w:hAnsi="Calibri" w:cs="Calibri"/>
                <w:sz w:val="20"/>
                <w:szCs w:val="20"/>
              </w:rPr>
            </w:pPr>
          </w:p>
          <w:p w14:paraId="0000011B" w14:textId="0C849BBB"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u w:val="single"/>
              </w:rPr>
              <w:lastRenderedPageBreak/>
              <w:t>Major Lessons Learnt</w:t>
            </w:r>
            <w:r>
              <w:rPr>
                <w:rFonts w:ascii="Calibri" w:eastAsia="Calibri" w:hAnsi="Calibri" w:cs="Calibri"/>
                <w:b/>
                <w:color w:val="000000"/>
                <w:sz w:val="20"/>
                <w:szCs w:val="20"/>
              </w:rPr>
              <w:t>:</w:t>
            </w:r>
            <w:r w:rsidR="00A85571">
              <w:rPr>
                <w:rStyle w:val="FootnoteReference"/>
                <w:rFonts w:ascii="Calibri" w:eastAsia="Calibri" w:hAnsi="Calibri" w:cs="Calibri"/>
                <w:b/>
                <w:color w:val="000000"/>
                <w:sz w:val="20"/>
                <w:szCs w:val="20"/>
              </w:rPr>
              <w:footnoteReference w:id="12"/>
            </w:r>
          </w:p>
          <w:p w14:paraId="2ED99082" w14:textId="3C4D7BF2" w:rsidR="00577C48" w:rsidRDefault="00E85AB6" w:rsidP="00841B56">
            <w:pPr>
              <w:widowControl/>
              <w:numPr>
                <w:ilvl w:val="0"/>
                <w:numId w:val="1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multi-dimensional, holistic approach to programming increases effectiveness and impact by addressing these complex issues with a range of complementary, layered projects.</w:t>
            </w:r>
            <w:r w:rsidR="002C5D7E">
              <w:rPr>
                <w:rFonts w:ascii="Calibri" w:eastAsia="Calibri" w:hAnsi="Calibri" w:cs="Calibri"/>
                <w:color w:val="000000"/>
                <w:sz w:val="20"/>
                <w:szCs w:val="20"/>
              </w:rPr>
              <w:t xml:space="preserve"> Ongoing monitoring and assessments of these projects, both individually as well as their collective impact, should continue to inform future programming to ensure key components of an issue are being addressed and complementary projects are leveraging each other’s efforts.</w:t>
            </w:r>
          </w:p>
          <w:p w14:paraId="7F80FBD9" w14:textId="58104CF8" w:rsidR="00486346" w:rsidRDefault="00486346" w:rsidP="00486346">
            <w:pPr>
              <w:widowControl/>
              <w:numPr>
                <w:ilvl w:val="0"/>
                <w:numId w:val="1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Aligned with the UN goals to streamline and coordinate efforts among UN entities, UNDP’s coordination with other UN entities has strengthened the UN’s response to country needs</w:t>
            </w:r>
            <w:r w:rsidR="00E6543B">
              <w:rPr>
                <w:rFonts w:ascii="Calibri" w:eastAsia="Calibri" w:hAnsi="Calibri" w:cs="Calibri"/>
                <w:color w:val="000000"/>
                <w:sz w:val="20"/>
                <w:szCs w:val="20"/>
              </w:rPr>
              <w:t xml:space="preserve"> especially in response to COVID</w:t>
            </w:r>
            <w:r w:rsidR="00787D90">
              <w:rPr>
                <w:rFonts w:ascii="Calibri" w:eastAsia="Calibri" w:hAnsi="Calibri" w:cs="Calibri"/>
                <w:color w:val="000000"/>
                <w:sz w:val="20"/>
                <w:szCs w:val="20"/>
              </w:rPr>
              <w:t>-19</w:t>
            </w:r>
            <w:r>
              <w:rPr>
                <w:rFonts w:ascii="Calibri" w:eastAsia="Calibri" w:hAnsi="Calibri" w:cs="Calibri"/>
                <w:color w:val="000000"/>
                <w:sz w:val="20"/>
                <w:szCs w:val="20"/>
              </w:rPr>
              <w:t>.</w:t>
            </w:r>
            <w:r w:rsidR="007454A4">
              <w:rPr>
                <w:rFonts w:ascii="Calibri" w:eastAsia="Calibri" w:hAnsi="Calibri" w:cs="Calibri"/>
                <w:color w:val="000000"/>
                <w:sz w:val="20"/>
                <w:szCs w:val="20"/>
              </w:rPr>
              <w:t xml:space="preserve"> This included the timely market research and communications campaign targeting adolescent mental health</w:t>
            </w:r>
            <w:r w:rsidR="002B79CC">
              <w:rPr>
                <w:rFonts w:ascii="Calibri" w:eastAsia="Calibri" w:hAnsi="Calibri" w:cs="Calibri"/>
                <w:color w:val="000000"/>
                <w:sz w:val="20"/>
                <w:szCs w:val="20"/>
              </w:rPr>
              <w:t>,</w:t>
            </w:r>
            <w:r w:rsidR="007454A4">
              <w:rPr>
                <w:rFonts w:ascii="Calibri" w:eastAsia="Calibri" w:hAnsi="Calibri" w:cs="Calibri"/>
                <w:color w:val="000000"/>
                <w:sz w:val="20"/>
                <w:szCs w:val="20"/>
              </w:rPr>
              <w:t xml:space="preserve"> which began with PAHO and UNICEF on mental health</w:t>
            </w:r>
            <w:r w:rsidR="00B4213B">
              <w:rPr>
                <w:rFonts w:ascii="Calibri" w:eastAsia="Calibri" w:hAnsi="Calibri" w:cs="Calibri"/>
                <w:color w:val="000000"/>
                <w:sz w:val="20"/>
                <w:szCs w:val="20"/>
              </w:rPr>
              <w:t xml:space="preserve"> and the expansion of UNDP’s Joint Programme </w:t>
            </w:r>
            <w:r w:rsidR="007454A4">
              <w:rPr>
                <w:rFonts w:ascii="Calibri" w:eastAsia="Calibri" w:hAnsi="Calibri" w:cs="Calibri"/>
                <w:color w:val="000000"/>
                <w:sz w:val="20"/>
                <w:szCs w:val="20"/>
              </w:rPr>
              <w:t xml:space="preserve">with UNICEF on support for social </w:t>
            </w:r>
            <w:r w:rsidR="00B4213B">
              <w:rPr>
                <w:rFonts w:ascii="Calibri" w:eastAsia="Calibri" w:hAnsi="Calibri" w:cs="Calibri"/>
                <w:color w:val="000000"/>
                <w:sz w:val="20"/>
                <w:szCs w:val="20"/>
              </w:rPr>
              <w:t xml:space="preserve">protection, </w:t>
            </w:r>
            <w:r w:rsidR="000D7448">
              <w:rPr>
                <w:rFonts w:ascii="Calibri" w:eastAsia="Calibri" w:hAnsi="Calibri" w:cs="Calibri"/>
                <w:color w:val="000000"/>
                <w:sz w:val="20"/>
                <w:szCs w:val="20"/>
              </w:rPr>
              <w:t>particularly</w:t>
            </w:r>
            <w:r w:rsidR="002B79CC">
              <w:rPr>
                <w:rFonts w:ascii="Calibri" w:eastAsia="Calibri" w:hAnsi="Calibri" w:cs="Calibri"/>
                <w:color w:val="000000"/>
                <w:sz w:val="20"/>
                <w:szCs w:val="20"/>
              </w:rPr>
              <w:t xml:space="preserve"> the</w:t>
            </w:r>
            <w:r w:rsidR="00B4213B">
              <w:rPr>
                <w:rFonts w:ascii="Calibri" w:eastAsia="Calibri" w:hAnsi="Calibri" w:cs="Calibri"/>
                <w:color w:val="000000"/>
                <w:sz w:val="20"/>
                <w:szCs w:val="20"/>
              </w:rPr>
              <w:t xml:space="preserve"> development of a social registry.  </w:t>
            </w:r>
            <w:r w:rsidR="00C07D96">
              <w:rPr>
                <w:rFonts w:ascii="Calibri" w:eastAsia="Calibri" w:hAnsi="Calibri" w:cs="Calibri"/>
                <w:color w:val="000000"/>
                <w:sz w:val="20"/>
                <w:szCs w:val="20"/>
              </w:rPr>
              <w:t>Further coordination and collaboration will improve delivery for both UNDP and the UN system</w:t>
            </w:r>
            <w:r w:rsidR="00661050">
              <w:rPr>
                <w:rFonts w:ascii="Calibri" w:eastAsia="Calibri" w:hAnsi="Calibri" w:cs="Calibri"/>
                <w:color w:val="000000"/>
                <w:sz w:val="20"/>
                <w:szCs w:val="20"/>
              </w:rPr>
              <w:t xml:space="preserve"> as a whole</w:t>
            </w:r>
            <w:r w:rsidR="00EA4D37">
              <w:rPr>
                <w:rFonts w:ascii="Calibri" w:eastAsia="Calibri" w:hAnsi="Calibri" w:cs="Calibri"/>
                <w:color w:val="000000"/>
                <w:sz w:val="20"/>
                <w:szCs w:val="20"/>
              </w:rPr>
              <w:t xml:space="preserve"> and ultimately increasing impact for those in need</w:t>
            </w:r>
            <w:r w:rsidR="00C07D96">
              <w:rPr>
                <w:rFonts w:ascii="Calibri" w:eastAsia="Calibri" w:hAnsi="Calibri" w:cs="Calibri"/>
                <w:color w:val="000000"/>
                <w:sz w:val="20"/>
                <w:szCs w:val="20"/>
              </w:rPr>
              <w:t>.</w:t>
            </w:r>
          </w:p>
          <w:p w14:paraId="68B686DA" w14:textId="25B254EC" w:rsidR="00AD55A4" w:rsidRDefault="007B2FE2" w:rsidP="00841B56">
            <w:pPr>
              <w:widowControl/>
              <w:numPr>
                <w:ilvl w:val="0"/>
                <w:numId w:val="1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Having developed a strong and trusted relationship with the government over many years, UNDP </w:t>
            </w:r>
            <w:r w:rsidR="00AD55A4">
              <w:rPr>
                <w:rFonts w:ascii="Calibri" w:eastAsia="Calibri" w:hAnsi="Calibri" w:cs="Calibri"/>
                <w:color w:val="000000"/>
                <w:sz w:val="20"/>
                <w:szCs w:val="20"/>
              </w:rPr>
              <w:t xml:space="preserve">has </w:t>
            </w:r>
            <w:r>
              <w:rPr>
                <w:rFonts w:ascii="Calibri" w:eastAsia="Calibri" w:hAnsi="Calibri" w:cs="Calibri"/>
                <w:color w:val="000000"/>
                <w:sz w:val="20"/>
                <w:szCs w:val="20"/>
              </w:rPr>
              <w:t xml:space="preserve">the </w:t>
            </w:r>
            <w:r w:rsidR="00D36322">
              <w:rPr>
                <w:rFonts w:ascii="Calibri" w:eastAsia="Calibri" w:hAnsi="Calibri" w:cs="Calibri"/>
                <w:color w:val="000000"/>
                <w:sz w:val="20"/>
                <w:szCs w:val="20"/>
              </w:rPr>
              <w:t xml:space="preserve">unique and </w:t>
            </w:r>
            <w:r w:rsidR="00AD55A4">
              <w:rPr>
                <w:rFonts w:ascii="Calibri" w:eastAsia="Calibri" w:hAnsi="Calibri" w:cs="Calibri"/>
                <w:color w:val="000000"/>
                <w:sz w:val="20"/>
                <w:szCs w:val="20"/>
              </w:rPr>
              <w:t>privileged position of work</w:t>
            </w:r>
            <w:r>
              <w:rPr>
                <w:rFonts w:ascii="Calibri" w:eastAsia="Calibri" w:hAnsi="Calibri" w:cs="Calibri"/>
                <w:color w:val="000000"/>
                <w:sz w:val="20"/>
                <w:szCs w:val="20"/>
              </w:rPr>
              <w:t>ing</w:t>
            </w:r>
            <w:r w:rsidR="00AD55A4">
              <w:rPr>
                <w:rFonts w:ascii="Calibri" w:eastAsia="Calibri" w:hAnsi="Calibri" w:cs="Calibri"/>
                <w:color w:val="000000"/>
                <w:sz w:val="20"/>
                <w:szCs w:val="20"/>
              </w:rPr>
              <w:t xml:space="preserve"> on sensitive</w:t>
            </w:r>
            <w:r>
              <w:rPr>
                <w:rFonts w:ascii="Calibri" w:eastAsia="Calibri" w:hAnsi="Calibri" w:cs="Calibri"/>
                <w:color w:val="000000"/>
                <w:sz w:val="20"/>
                <w:szCs w:val="20"/>
              </w:rPr>
              <w:t xml:space="preserve"> and </w:t>
            </w:r>
            <w:r w:rsidR="00AD55A4">
              <w:rPr>
                <w:rFonts w:ascii="Calibri" w:eastAsia="Calibri" w:hAnsi="Calibri" w:cs="Calibri"/>
                <w:color w:val="000000"/>
                <w:sz w:val="20"/>
                <w:szCs w:val="20"/>
              </w:rPr>
              <w:t>strategic topics</w:t>
            </w:r>
            <w:r>
              <w:rPr>
                <w:rFonts w:ascii="Calibri" w:eastAsia="Calibri" w:hAnsi="Calibri" w:cs="Calibri"/>
                <w:color w:val="000000"/>
                <w:sz w:val="20"/>
                <w:szCs w:val="20"/>
              </w:rPr>
              <w:t xml:space="preserve"> – such as, </w:t>
            </w:r>
            <w:r w:rsidR="00AD55A4">
              <w:rPr>
                <w:rFonts w:ascii="Calibri" w:eastAsia="Calibri" w:hAnsi="Calibri" w:cs="Calibri"/>
                <w:color w:val="000000"/>
                <w:sz w:val="20"/>
                <w:szCs w:val="20"/>
              </w:rPr>
              <w:t>national security</w:t>
            </w:r>
            <w:r>
              <w:rPr>
                <w:rFonts w:ascii="Calibri" w:eastAsia="Calibri" w:hAnsi="Calibri" w:cs="Calibri"/>
                <w:color w:val="000000"/>
                <w:sz w:val="20"/>
                <w:szCs w:val="20"/>
              </w:rPr>
              <w:t xml:space="preserve"> and</w:t>
            </w:r>
            <w:r w:rsidR="00AD55A4">
              <w:rPr>
                <w:rFonts w:ascii="Calibri" w:eastAsia="Calibri" w:hAnsi="Calibri" w:cs="Calibri"/>
                <w:color w:val="000000"/>
                <w:sz w:val="20"/>
                <w:szCs w:val="20"/>
              </w:rPr>
              <w:t xml:space="preserve"> crime prevention</w:t>
            </w:r>
            <w:r>
              <w:rPr>
                <w:rFonts w:ascii="Calibri" w:eastAsia="Calibri" w:hAnsi="Calibri" w:cs="Calibri"/>
                <w:color w:val="000000"/>
                <w:sz w:val="20"/>
                <w:szCs w:val="20"/>
              </w:rPr>
              <w:t xml:space="preserve"> – </w:t>
            </w:r>
            <w:r w:rsidR="00AD55A4">
              <w:rPr>
                <w:rFonts w:ascii="Calibri" w:eastAsia="Calibri" w:hAnsi="Calibri" w:cs="Calibri"/>
                <w:color w:val="000000"/>
                <w:sz w:val="20"/>
                <w:szCs w:val="20"/>
              </w:rPr>
              <w:t>with parliament on pieces of strategic legislation</w:t>
            </w:r>
            <w:r w:rsidR="00D36322">
              <w:rPr>
                <w:rFonts w:ascii="Calibri" w:eastAsia="Calibri" w:hAnsi="Calibri" w:cs="Calibri"/>
                <w:color w:val="000000"/>
                <w:sz w:val="20"/>
                <w:szCs w:val="20"/>
              </w:rPr>
              <w:t>.</w:t>
            </w:r>
            <w:r w:rsidR="002C5D7E">
              <w:rPr>
                <w:rFonts w:ascii="Calibri" w:eastAsia="Calibri" w:hAnsi="Calibri" w:cs="Calibri"/>
                <w:color w:val="000000"/>
                <w:sz w:val="20"/>
                <w:szCs w:val="20"/>
              </w:rPr>
              <w:t xml:space="preserve"> UNDP should continue to work closely with the government on sensitive and strategic issues. </w:t>
            </w:r>
            <w:r w:rsidR="00F66E94">
              <w:rPr>
                <w:rFonts w:ascii="Calibri" w:eastAsia="Calibri" w:hAnsi="Calibri" w:cs="Calibri"/>
                <w:color w:val="000000"/>
                <w:sz w:val="20"/>
                <w:szCs w:val="20"/>
              </w:rPr>
              <w:t xml:space="preserve"> </w:t>
            </w:r>
          </w:p>
          <w:p w14:paraId="049367A2" w14:textId="2BC92390" w:rsidR="00FA4E1E" w:rsidRDefault="00FA4E1E" w:rsidP="00FA4E1E">
            <w:pPr>
              <w:widowControl/>
              <w:numPr>
                <w:ilvl w:val="0"/>
                <w:numId w:val="1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Response to the COVID-19 pandemic was also more efficient and effective because of UNDP’s long-term relationship with the GORTT and UNDP’s ability to adapt and respond quickly to provide the services and equipment needed to help the country address the crisis.</w:t>
            </w:r>
            <w:r w:rsidR="004A236B">
              <w:rPr>
                <w:rFonts w:ascii="Calibri" w:eastAsia="Calibri" w:hAnsi="Calibri" w:cs="Calibri"/>
                <w:color w:val="000000"/>
                <w:sz w:val="20"/>
                <w:szCs w:val="20"/>
              </w:rPr>
              <w:t xml:space="preserve"> As a result of its efforts, UNDP boosted productivity, expanded programming and profile, and more than doubled delivery.</w:t>
            </w:r>
            <w:r>
              <w:rPr>
                <w:rFonts w:ascii="Calibri" w:eastAsia="Calibri" w:hAnsi="Calibri" w:cs="Calibri"/>
                <w:color w:val="000000"/>
                <w:sz w:val="20"/>
                <w:szCs w:val="20"/>
              </w:rPr>
              <w:t xml:space="preserve"> These relationships</w:t>
            </w:r>
            <w:r w:rsidR="003E5F26">
              <w:rPr>
                <w:rFonts w:ascii="Calibri" w:eastAsia="Calibri" w:hAnsi="Calibri" w:cs="Calibri"/>
                <w:color w:val="000000"/>
                <w:sz w:val="20"/>
                <w:szCs w:val="20"/>
              </w:rPr>
              <w:t xml:space="preserve"> and capacity for </w:t>
            </w:r>
            <w:r>
              <w:rPr>
                <w:rFonts w:ascii="Calibri" w:eastAsia="Calibri" w:hAnsi="Calibri" w:cs="Calibri"/>
                <w:color w:val="000000"/>
                <w:sz w:val="20"/>
                <w:szCs w:val="20"/>
              </w:rPr>
              <w:t xml:space="preserve">quick, </w:t>
            </w:r>
            <w:r w:rsidR="00EB5262">
              <w:rPr>
                <w:rFonts w:ascii="Calibri" w:eastAsia="Calibri" w:hAnsi="Calibri" w:cs="Calibri"/>
                <w:color w:val="000000"/>
                <w:sz w:val="20"/>
                <w:szCs w:val="20"/>
              </w:rPr>
              <w:t>agile</w:t>
            </w:r>
            <w:r>
              <w:rPr>
                <w:rFonts w:ascii="Calibri" w:eastAsia="Calibri" w:hAnsi="Calibri" w:cs="Calibri"/>
                <w:color w:val="000000"/>
                <w:sz w:val="20"/>
                <w:szCs w:val="20"/>
              </w:rPr>
              <w:t xml:space="preserve"> responses should continue to be utilized during future</w:t>
            </w:r>
            <w:r w:rsidR="00FF2D75">
              <w:rPr>
                <w:rFonts w:ascii="Calibri" w:eastAsia="Calibri" w:hAnsi="Calibri" w:cs="Calibri"/>
                <w:color w:val="000000"/>
                <w:sz w:val="20"/>
                <w:szCs w:val="20"/>
              </w:rPr>
              <w:t xml:space="preserve"> </w:t>
            </w:r>
            <w:r w:rsidR="00486346">
              <w:rPr>
                <w:rFonts w:ascii="Calibri" w:eastAsia="Calibri" w:hAnsi="Calibri" w:cs="Calibri"/>
                <w:color w:val="000000"/>
                <w:sz w:val="20"/>
                <w:szCs w:val="20"/>
              </w:rPr>
              <w:t>unforeseen</w:t>
            </w:r>
            <w:r>
              <w:rPr>
                <w:rFonts w:ascii="Calibri" w:eastAsia="Calibri" w:hAnsi="Calibri" w:cs="Calibri"/>
                <w:color w:val="000000"/>
                <w:sz w:val="20"/>
                <w:szCs w:val="20"/>
              </w:rPr>
              <w:t xml:space="preserve"> crises.</w:t>
            </w:r>
          </w:p>
          <w:p w14:paraId="00000120" w14:textId="492BC825" w:rsidR="00841B56" w:rsidRPr="00E322D4" w:rsidRDefault="00D53E68" w:rsidP="0058716F">
            <w:pPr>
              <w:widowControl/>
              <w:numPr>
                <w:ilvl w:val="0"/>
                <w:numId w:val="1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UNDP has been a key </w:t>
            </w:r>
            <w:r w:rsidR="003E4013">
              <w:rPr>
                <w:rFonts w:ascii="Calibri" w:eastAsia="Calibri" w:hAnsi="Calibri" w:cs="Calibri"/>
                <w:color w:val="000000"/>
                <w:sz w:val="20"/>
                <w:szCs w:val="20"/>
              </w:rPr>
              <w:t xml:space="preserve">partner </w:t>
            </w:r>
            <w:r w:rsidR="00387C03">
              <w:rPr>
                <w:rFonts w:ascii="Calibri" w:eastAsia="Calibri" w:hAnsi="Calibri" w:cs="Calibri"/>
                <w:color w:val="000000"/>
                <w:sz w:val="20"/>
                <w:szCs w:val="20"/>
              </w:rPr>
              <w:t xml:space="preserve">with </w:t>
            </w:r>
            <w:r w:rsidR="00DA6682">
              <w:rPr>
                <w:rFonts w:ascii="Calibri" w:eastAsia="Calibri" w:hAnsi="Calibri" w:cs="Calibri"/>
                <w:color w:val="000000"/>
                <w:sz w:val="20"/>
                <w:szCs w:val="20"/>
              </w:rPr>
              <w:t xml:space="preserve">GORTT </w:t>
            </w:r>
            <w:r w:rsidR="00387C03">
              <w:rPr>
                <w:rFonts w:ascii="Calibri" w:eastAsia="Calibri" w:hAnsi="Calibri" w:cs="Calibri"/>
                <w:color w:val="000000"/>
                <w:sz w:val="20"/>
                <w:szCs w:val="20"/>
              </w:rPr>
              <w:t xml:space="preserve">and local organizations </w:t>
            </w:r>
            <w:r w:rsidR="003E4013">
              <w:rPr>
                <w:rFonts w:ascii="Calibri" w:eastAsia="Calibri" w:hAnsi="Calibri" w:cs="Calibri"/>
                <w:color w:val="000000"/>
                <w:sz w:val="20"/>
                <w:szCs w:val="20"/>
              </w:rPr>
              <w:t xml:space="preserve">in climate change and </w:t>
            </w:r>
            <w:r>
              <w:rPr>
                <w:rFonts w:ascii="Calibri" w:eastAsia="Calibri" w:hAnsi="Calibri" w:cs="Calibri"/>
                <w:color w:val="000000"/>
                <w:sz w:val="20"/>
                <w:szCs w:val="20"/>
              </w:rPr>
              <w:t>Disaster Risk Reduction</w:t>
            </w:r>
            <w:r w:rsidR="00387C03">
              <w:rPr>
                <w:rFonts w:ascii="Calibri" w:eastAsia="Calibri" w:hAnsi="Calibri" w:cs="Calibri"/>
                <w:color w:val="000000"/>
                <w:sz w:val="20"/>
                <w:szCs w:val="20"/>
              </w:rPr>
              <w:t xml:space="preserve">. </w:t>
            </w:r>
            <w:r w:rsidR="001532F5">
              <w:rPr>
                <w:rFonts w:ascii="Calibri" w:eastAsia="Calibri" w:hAnsi="Calibri" w:cs="Calibri"/>
                <w:color w:val="000000"/>
                <w:sz w:val="20"/>
                <w:szCs w:val="20"/>
              </w:rPr>
              <w:t xml:space="preserve">As the globe continues to accelerate its efforts towards a carbon neutral green economy and each country meeting their climate commitments, </w:t>
            </w:r>
            <w:r w:rsidR="00387C03">
              <w:rPr>
                <w:rFonts w:ascii="Calibri" w:eastAsia="Calibri" w:hAnsi="Calibri" w:cs="Calibri"/>
                <w:color w:val="000000"/>
                <w:sz w:val="20"/>
                <w:szCs w:val="20"/>
              </w:rPr>
              <w:t>UNDP should continue to l</w:t>
            </w:r>
            <w:r w:rsidR="00FD65B5">
              <w:rPr>
                <w:rFonts w:ascii="Calibri" w:eastAsia="Calibri" w:hAnsi="Calibri" w:cs="Calibri"/>
                <w:color w:val="000000"/>
                <w:sz w:val="20"/>
                <w:szCs w:val="20"/>
              </w:rPr>
              <w:t xml:space="preserve">everage </w:t>
            </w:r>
            <w:r w:rsidR="00387C03">
              <w:rPr>
                <w:rFonts w:ascii="Calibri" w:eastAsia="Calibri" w:hAnsi="Calibri" w:cs="Calibri"/>
                <w:color w:val="000000"/>
                <w:sz w:val="20"/>
                <w:szCs w:val="20"/>
              </w:rPr>
              <w:t xml:space="preserve">its </w:t>
            </w:r>
            <w:r w:rsidR="00FD65B5">
              <w:rPr>
                <w:rFonts w:ascii="Calibri" w:eastAsia="Calibri" w:hAnsi="Calibri" w:cs="Calibri"/>
                <w:color w:val="000000"/>
                <w:sz w:val="20"/>
                <w:szCs w:val="20"/>
              </w:rPr>
              <w:t xml:space="preserve">global </w:t>
            </w:r>
            <w:r w:rsidR="00387C03">
              <w:rPr>
                <w:rFonts w:ascii="Calibri" w:eastAsia="Calibri" w:hAnsi="Calibri" w:cs="Calibri"/>
                <w:color w:val="000000"/>
                <w:sz w:val="20"/>
                <w:szCs w:val="20"/>
              </w:rPr>
              <w:t xml:space="preserve">network of </w:t>
            </w:r>
            <w:r w:rsidR="00FD65B5">
              <w:rPr>
                <w:rFonts w:ascii="Calibri" w:eastAsia="Calibri" w:hAnsi="Calibri" w:cs="Calibri"/>
                <w:color w:val="000000"/>
                <w:sz w:val="20"/>
                <w:szCs w:val="20"/>
              </w:rPr>
              <w:t>expert</w:t>
            </w:r>
            <w:r w:rsidR="00387C03">
              <w:rPr>
                <w:rFonts w:ascii="Calibri" w:eastAsia="Calibri" w:hAnsi="Calibri" w:cs="Calibri"/>
                <w:color w:val="000000"/>
                <w:sz w:val="20"/>
                <w:szCs w:val="20"/>
              </w:rPr>
              <w:t>s</w:t>
            </w:r>
            <w:r w:rsidR="00FD65B5">
              <w:rPr>
                <w:rFonts w:ascii="Calibri" w:eastAsia="Calibri" w:hAnsi="Calibri" w:cs="Calibri"/>
                <w:color w:val="000000"/>
                <w:sz w:val="20"/>
                <w:szCs w:val="20"/>
              </w:rPr>
              <w:t xml:space="preserve"> to support </w:t>
            </w:r>
            <w:r w:rsidR="00A33CCC">
              <w:rPr>
                <w:rFonts w:ascii="Calibri" w:eastAsia="Calibri" w:hAnsi="Calibri" w:cs="Calibri"/>
                <w:color w:val="000000"/>
                <w:sz w:val="20"/>
                <w:szCs w:val="20"/>
              </w:rPr>
              <w:t xml:space="preserve">the </w:t>
            </w:r>
            <w:r w:rsidR="00387C03">
              <w:rPr>
                <w:rFonts w:ascii="Calibri" w:eastAsia="Calibri" w:hAnsi="Calibri" w:cs="Calibri"/>
                <w:color w:val="000000"/>
                <w:sz w:val="20"/>
                <w:szCs w:val="20"/>
              </w:rPr>
              <w:t xml:space="preserve">GORTT in achieving its </w:t>
            </w:r>
            <w:r w:rsidR="001532F5">
              <w:rPr>
                <w:rFonts w:ascii="Calibri" w:eastAsia="Calibri" w:hAnsi="Calibri" w:cs="Calibri"/>
                <w:color w:val="000000"/>
                <w:sz w:val="20"/>
                <w:szCs w:val="20"/>
              </w:rPr>
              <w:t>goals</w:t>
            </w:r>
            <w:r w:rsidR="00FD65B5">
              <w:rPr>
                <w:rFonts w:ascii="Calibri" w:eastAsia="Calibri" w:hAnsi="Calibri" w:cs="Calibri"/>
                <w:color w:val="000000"/>
                <w:sz w:val="20"/>
                <w:szCs w:val="20"/>
              </w:rPr>
              <w:t xml:space="preserve">. </w:t>
            </w:r>
          </w:p>
        </w:tc>
      </w:tr>
    </w:tbl>
    <w:p w14:paraId="00000121" w14:textId="77777777" w:rsidR="00C8511B" w:rsidRDefault="00C8511B">
      <w:pPr>
        <w:widowControl/>
        <w:pBdr>
          <w:top w:val="nil"/>
          <w:left w:val="nil"/>
          <w:bottom w:val="nil"/>
          <w:right w:val="nil"/>
          <w:between w:val="nil"/>
        </w:pBdr>
        <w:jc w:val="both"/>
        <w:rPr>
          <w:rFonts w:ascii="Calibri" w:eastAsia="Calibri" w:hAnsi="Calibri" w:cs="Calibri"/>
          <w:color w:val="000000"/>
        </w:rPr>
      </w:pPr>
    </w:p>
    <w:p w14:paraId="00000122" w14:textId="77777777" w:rsidR="00C8511B" w:rsidRDefault="00C8511B">
      <w:pPr>
        <w:widowControl/>
        <w:pBdr>
          <w:top w:val="nil"/>
          <w:left w:val="nil"/>
          <w:bottom w:val="nil"/>
          <w:right w:val="nil"/>
          <w:between w:val="nil"/>
        </w:pBdr>
        <w:jc w:val="both"/>
        <w:rPr>
          <w:rFonts w:ascii="Calibri" w:eastAsia="Calibri" w:hAnsi="Calibri" w:cs="Calibri"/>
          <w:color w:val="000000"/>
        </w:rPr>
      </w:pPr>
    </w:p>
    <w:p w14:paraId="00000123" w14:textId="77777777" w:rsidR="00C8511B" w:rsidRDefault="002624F2">
      <w:pPr>
        <w:widowControl/>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000000"/>
        </w:rPr>
        <w:t>III. Country Programme Resources</w:t>
      </w:r>
    </w:p>
    <w:tbl>
      <w:tblPr>
        <w:tblStyle w:val="a1"/>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01"/>
        <w:gridCol w:w="1867"/>
        <w:gridCol w:w="2049"/>
        <w:gridCol w:w="1958"/>
        <w:gridCol w:w="1975"/>
      </w:tblGrid>
      <w:tr w:rsidR="00987B57" w:rsidRPr="00787E0D" w14:paraId="60B6C89A" w14:textId="77777777" w:rsidTr="000D7448">
        <w:tc>
          <w:tcPr>
            <w:tcW w:w="6101" w:type="dxa"/>
            <w:shd w:val="clear" w:color="auto" w:fill="000000"/>
          </w:tcPr>
          <w:p w14:paraId="00000124" w14:textId="0E610FF1" w:rsidR="00C8511B" w:rsidRPr="00787E0D" w:rsidRDefault="002624F2">
            <w:pPr>
              <w:widowControl/>
              <w:pBdr>
                <w:top w:val="nil"/>
                <w:left w:val="nil"/>
                <w:bottom w:val="nil"/>
                <w:right w:val="nil"/>
                <w:between w:val="nil"/>
              </w:pBdr>
              <w:jc w:val="both"/>
              <w:rPr>
                <w:rFonts w:ascii="Calibri" w:eastAsia="Calibri" w:hAnsi="Calibri" w:cs="Calibri"/>
                <w:b/>
              </w:rPr>
            </w:pPr>
            <w:r w:rsidRPr="00787E0D">
              <w:rPr>
                <w:rFonts w:ascii="Calibri" w:eastAsia="Calibri" w:hAnsi="Calibri" w:cs="Calibri"/>
                <w:b/>
              </w:rPr>
              <w:t>Focus Area</w:t>
            </w:r>
          </w:p>
        </w:tc>
        <w:tc>
          <w:tcPr>
            <w:tcW w:w="5874" w:type="dxa"/>
            <w:gridSpan w:val="3"/>
            <w:shd w:val="clear" w:color="auto" w:fill="000000"/>
          </w:tcPr>
          <w:p w14:paraId="00000125" w14:textId="77777777" w:rsidR="00C8511B" w:rsidRPr="00787E0D" w:rsidRDefault="002624F2">
            <w:pPr>
              <w:widowControl/>
              <w:pBdr>
                <w:top w:val="nil"/>
                <w:left w:val="nil"/>
                <w:bottom w:val="nil"/>
                <w:right w:val="nil"/>
                <w:between w:val="nil"/>
              </w:pBdr>
              <w:jc w:val="both"/>
              <w:rPr>
                <w:rFonts w:ascii="Calibri" w:eastAsia="Calibri" w:hAnsi="Calibri" w:cs="Calibri"/>
                <w:b/>
              </w:rPr>
            </w:pPr>
            <w:r w:rsidRPr="00787E0D">
              <w:rPr>
                <w:rFonts w:ascii="Calibri" w:eastAsia="Calibri" w:hAnsi="Calibri" w:cs="Calibri"/>
                <w:b/>
              </w:rPr>
              <w:t>Programme Expenditure ($)</w:t>
            </w:r>
          </w:p>
        </w:tc>
        <w:tc>
          <w:tcPr>
            <w:tcW w:w="1975" w:type="dxa"/>
            <w:shd w:val="clear" w:color="auto" w:fill="000000"/>
          </w:tcPr>
          <w:p w14:paraId="00000128" w14:textId="77777777" w:rsidR="00C8511B" w:rsidRPr="00787E0D" w:rsidRDefault="002624F2">
            <w:pPr>
              <w:widowControl/>
              <w:pBdr>
                <w:top w:val="nil"/>
                <w:left w:val="nil"/>
                <w:bottom w:val="nil"/>
                <w:right w:val="nil"/>
                <w:between w:val="nil"/>
              </w:pBdr>
              <w:jc w:val="both"/>
              <w:rPr>
                <w:rFonts w:ascii="Calibri" w:eastAsia="Calibri" w:hAnsi="Calibri" w:cs="Calibri"/>
                <w:b/>
              </w:rPr>
            </w:pPr>
            <w:r w:rsidRPr="00787E0D">
              <w:rPr>
                <w:rFonts w:ascii="Calibri" w:eastAsia="Calibri" w:hAnsi="Calibri" w:cs="Calibri"/>
                <w:b/>
              </w:rPr>
              <w:t>% of Total</w:t>
            </w:r>
          </w:p>
        </w:tc>
      </w:tr>
      <w:tr w:rsidR="00A30080" w14:paraId="5F3A93FC" w14:textId="77777777">
        <w:tc>
          <w:tcPr>
            <w:tcW w:w="6101" w:type="dxa"/>
          </w:tcPr>
          <w:p w14:paraId="00000129" w14:textId="77777777" w:rsidR="00C8511B" w:rsidRDefault="00C8511B">
            <w:pPr>
              <w:widowControl/>
              <w:pBdr>
                <w:top w:val="nil"/>
                <w:left w:val="nil"/>
                <w:bottom w:val="nil"/>
                <w:right w:val="nil"/>
                <w:between w:val="nil"/>
              </w:pBdr>
              <w:jc w:val="both"/>
              <w:rPr>
                <w:rFonts w:ascii="Calibri" w:eastAsia="Calibri" w:hAnsi="Calibri" w:cs="Calibri"/>
                <w:color w:val="000000"/>
                <w:sz w:val="20"/>
                <w:szCs w:val="20"/>
              </w:rPr>
            </w:pPr>
          </w:p>
        </w:tc>
        <w:tc>
          <w:tcPr>
            <w:tcW w:w="1867" w:type="dxa"/>
          </w:tcPr>
          <w:p w14:paraId="0000012A"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Regular (TRAC)</w:t>
            </w:r>
          </w:p>
        </w:tc>
        <w:tc>
          <w:tcPr>
            <w:tcW w:w="2049" w:type="dxa"/>
          </w:tcPr>
          <w:p w14:paraId="0000012B"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Other</w:t>
            </w:r>
          </w:p>
        </w:tc>
        <w:tc>
          <w:tcPr>
            <w:tcW w:w="1958" w:type="dxa"/>
          </w:tcPr>
          <w:p w14:paraId="0000012C"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Total</w:t>
            </w:r>
          </w:p>
        </w:tc>
        <w:tc>
          <w:tcPr>
            <w:tcW w:w="1975" w:type="dxa"/>
          </w:tcPr>
          <w:p w14:paraId="0000012D" w14:textId="77777777" w:rsidR="00C8511B" w:rsidRDefault="00C8511B">
            <w:pPr>
              <w:widowControl/>
              <w:pBdr>
                <w:top w:val="nil"/>
                <w:left w:val="nil"/>
                <w:bottom w:val="nil"/>
                <w:right w:val="nil"/>
                <w:between w:val="nil"/>
              </w:pBdr>
              <w:jc w:val="both"/>
              <w:rPr>
                <w:rFonts w:ascii="Calibri" w:eastAsia="Calibri" w:hAnsi="Calibri" w:cs="Calibri"/>
                <w:color w:val="000000"/>
                <w:sz w:val="20"/>
                <w:szCs w:val="20"/>
              </w:rPr>
            </w:pPr>
          </w:p>
        </w:tc>
      </w:tr>
      <w:tr w:rsidR="00A30080" w14:paraId="654C14CB" w14:textId="77777777">
        <w:tc>
          <w:tcPr>
            <w:tcW w:w="6101" w:type="dxa"/>
          </w:tcPr>
          <w:p w14:paraId="0000012E"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Poverty Policy and Strategy</w:t>
            </w:r>
          </w:p>
        </w:tc>
        <w:tc>
          <w:tcPr>
            <w:tcW w:w="1867" w:type="dxa"/>
          </w:tcPr>
          <w:p w14:paraId="0000012F"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$0</w:t>
            </w:r>
          </w:p>
        </w:tc>
        <w:tc>
          <w:tcPr>
            <w:tcW w:w="2049" w:type="dxa"/>
          </w:tcPr>
          <w:p w14:paraId="00000130"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$2,892,125</w:t>
            </w:r>
          </w:p>
        </w:tc>
        <w:tc>
          <w:tcPr>
            <w:tcW w:w="1958" w:type="dxa"/>
          </w:tcPr>
          <w:p w14:paraId="00000131"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$2,892,125</w:t>
            </w:r>
          </w:p>
        </w:tc>
        <w:tc>
          <w:tcPr>
            <w:tcW w:w="1975" w:type="dxa"/>
          </w:tcPr>
          <w:p w14:paraId="00000132"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23.8%</w:t>
            </w:r>
          </w:p>
        </w:tc>
      </w:tr>
      <w:tr w:rsidR="00A30080" w14:paraId="32C69F51" w14:textId="77777777">
        <w:tc>
          <w:tcPr>
            <w:tcW w:w="6101" w:type="dxa"/>
          </w:tcPr>
          <w:p w14:paraId="00000133"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Open and Participatory Governance</w:t>
            </w:r>
          </w:p>
        </w:tc>
        <w:tc>
          <w:tcPr>
            <w:tcW w:w="1867" w:type="dxa"/>
          </w:tcPr>
          <w:p w14:paraId="00000134"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$0</w:t>
            </w:r>
          </w:p>
        </w:tc>
        <w:tc>
          <w:tcPr>
            <w:tcW w:w="2049" w:type="dxa"/>
          </w:tcPr>
          <w:p w14:paraId="00000135"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$868,838</w:t>
            </w:r>
          </w:p>
        </w:tc>
        <w:tc>
          <w:tcPr>
            <w:tcW w:w="1958" w:type="dxa"/>
          </w:tcPr>
          <w:p w14:paraId="00000136"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$868,838</w:t>
            </w:r>
          </w:p>
        </w:tc>
        <w:tc>
          <w:tcPr>
            <w:tcW w:w="1975" w:type="dxa"/>
          </w:tcPr>
          <w:p w14:paraId="00000137"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7.2%</w:t>
            </w:r>
          </w:p>
        </w:tc>
      </w:tr>
      <w:tr w:rsidR="00A30080" w14:paraId="08DAABAA" w14:textId="77777777">
        <w:tc>
          <w:tcPr>
            <w:tcW w:w="6101" w:type="dxa"/>
          </w:tcPr>
          <w:p w14:paraId="00000138"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Citizens Security</w:t>
            </w:r>
          </w:p>
        </w:tc>
        <w:tc>
          <w:tcPr>
            <w:tcW w:w="1867" w:type="dxa"/>
          </w:tcPr>
          <w:p w14:paraId="00000139"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$273,055</w:t>
            </w:r>
          </w:p>
        </w:tc>
        <w:tc>
          <w:tcPr>
            <w:tcW w:w="2049" w:type="dxa"/>
          </w:tcPr>
          <w:p w14:paraId="0000013A"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$4,495,596</w:t>
            </w:r>
          </w:p>
        </w:tc>
        <w:tc>
          <w:tcPr>
            <w:tcW w:w="1958" w:type="dxa"/>
          </w:tcPr>
          <w:p w14:paraId="0000013B"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$4,768,651</w:t>
            </w:r>
          </w:p>
        </w:tc>
        <w:tc>
          <w:tcPr>
            <w:tcW w:w="1975" w:type="dxa"/>
          </w:tcPr>
          <w:p w14:paraId="0000013C"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39.3%</w:t>
            </w:r>
          </w:p>
        </w:tc>
      </w:tr>
      <w:tr w:rsidR="00A30080" w14:paraId="47F845F0" w14:textId="77777777">
        <w:tc>
          <w:tcPr>
            <w:tcW w:w="6101" w:type="dxa"/>
          </w:tcPr>
          <w:p w14:paraId="0000013D"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Climate Change and Disaster Resilience</w:t>
            </w:r>
          </w:p>
        </w:tc>
        <w:tc>
          <w:tcPr>
            <w:tcW w:w="1867" w:type="dxa"/>
          </w:tcPr>
          <w:p w14:paraId="0000013E"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$0</w:t>
            </w:r>
          </w:p>
        </w:tc>
        <w:tc>
          <w:tcPr>
            <w:tcW w:w="2049" w:type="dxa"/>
          </w:tcPr>
          <w:p w14:paraId="0000013F"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$3,608,847</w:t>
            </w:r>
          </w:p>
        </w:tc>
        <w:tc>
          <w:tcPr>
            <w:tcW w:w="1958" w:type="dxa"/>
          </w:tcPr>
          <w:p w14:paraId="00000140"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$3,608,847</w:t>
            </w:r>
          </w:p>
        </w:tc>
        <w:tc>
          <w:tcPr>
            <w:tcW w:w="1975" w:type="dxa"/>
          </w:tcPr>
          <w:p w14:paraId="00000141" w14:textId="77777777" w:rsidR="00C8511B" w:rsidRDefault="002624F2">
            <w:pPr>
              <w:widowControl/>
              <w:pBdr>
                <w:top w:val="nil"/>
                <w:left w:val="nil"/>
                <w:bottom w:val="nil"/>
                <w:right w:val="nil"/>
                <w:between w:val="nil"/>
              </w:pBdr>
              <w:jc w:val="both"/>
              <w:rPr>
                <w:rFonts w:ascii="Calibri" w:eastAsia="Calibri" w:hAnsi="Calibri" w:cs="Calibri"/>
                <w:color w:val="000000"/>
                <w:sz w:val="20"/>
                <w:szCs w:val="20"/>
                <w:highlight w:val="yellow"/>
              </w:rPr>
            </w:pPr>
            <w:r>
              <w:rPr>
                <w:rFonts w:ascii="Calibri" w:eastAsia="Calibri" w:hAnsi="Calibri" w:cs="Calibri"/>
                <w:color w:val="000000"/>
                <w:sz w:val="20"/>
                <w:szCs w:val="20"/>
              </w:rPr>
              <w:t>29.7%</w:t>
            </w:r>
          </w:p>
        </w:tc>
      </w:tr>
      <w:tr w:rsidR="00A30080" w14:paraId="1A9FF656" w14:textId="77777777">
        <w:tc>
          <w:tcPr>
            <w:tcW w:w="6101" w:type="dxa"/>
            <w:shd w:val="clear" w:color="auto" w:fill="00B0F0"/>
          </w:tcPr>
          <w:p w14:paraId="00000142"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Total</w:t>
            </w:r>
          </w:p>
        </w:tc>
        <w:tc>
          <w:tcPr>
            <w:tcW w:w="1867" w:type="dxa"/>
            <w:shd w:val="clear" w:color="auto" w:fill="00B0F0"/>
          </w:tcPr>
          <w:p w14:paraId="00000143"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$273,055</w:t>
            </w:r>
          </w:p>
        </w:tc>
        <w:tc>
          <w:tcPr>
            <w:tcW w:w="2049" w:type="dxa"/>
            <w:shd w:val="clear" w:color="auto" w:fill="00B0F0"/>
          </w:tcPr>
          <w:p w14:paraId="00000144"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$11,865,406</w:t>
            </w:r>
          </w:p>
        </w:tc>
        <w:tc>
          <w:tcPr>
            <w:tcW w:w="1958" w:type="dxa"/>
            <w:shd w:val="clear" w:color="auto" w:fill="00B0F0"/>
          </w:tcPr>
          <w:p w14:paraId="00000145"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12,138,461</w:t>
            </w:r>
          </w:p>
        </w:tc>
        <w:tc>
          <w:tcPr>
            <w:tcW w:w="1975" w:type="dxa"/>
            <w:shd w:val="clear" w:color="auto" w:fill="00B0F0"/>
          </w:tcPr>
          <w:p w14:paraId="00000146"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100%</w:t>
            </w:r>
          </w:p>
        </w:tc>
      </w:tr>
    </w:tbl>
    <w:p w14:paraId="00000147" w14:textId="77777777" w:rsidR="00C8511B" w:rsidRDefault="00C8511B">
      <w:pPr>
        <w:widowControl/>
        <w:pBdr>
          <w:top w:val="nil"/>
          <w:left w:val="nil"/>
          <w:bottom w:val="nil"/>
          <w:right w:val="nil"/>
          <w:between w:val="nil"/>
        </w:pBdr>
        <w:jc w:val="both"/>
        <w:rPr>
          <w:rFonts w:ascii="Calibri" w:eastAsia="Calibri" w:hAnsi="Calibri" w:cs="Calibri"/>
          <w:color w:val="000000"/>
        </w:rPr>
      </w:pP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A30080" w14:paraId="05B9F52C" w14:textId="77777777">
        <w:tc>
          <w:tcPr>
            <w:tcW w:w="13950" w:type="dxa"/>
          </w:tcPr>
          <w:p w14:paraId="00000148" w14:textId="77777777" w:rsidR="00C8511B" w:rsidRDefault="002624F2">
            <w:pPr>
              <w:widowControl/>
              <w:pBdr>
                <w:top w:val="nil"/>
                <w:left w:val="nil"/>
                <w:bottom w:val="nil"/>
                <w:right w:val="nil"/>
                <w:between w:val="nil"/>
              </w:pBdr>
              <w:jc w:val="both"/>
              <w:rPr>
                <w:rFonts w:ascii="Calibri" w:eastAsia="Calibri" w:hAnsi="Calibri" w:cs="Calibri"/>
                <w:b/>
                <w:color w:val="000000"/>
                <w:sz w:val="20"/>
                <w:szCs w:val="20"/>
              </w:rPr>
            </w:pPr>
            <w:r>
              <w:rPr>
                <w:rFonts w:ascii="Calibri" w:eastAsia="Calibri" w:hAnsi="Calibri" w:cs="Calibri"/>
                <w:b/>
                <w:color w:val="000000"/>
                <w:sz w:val="20"/>
                <w:szCs w:val="20"/>
              </w:rPr>
              <w:t xml:space="preserve">Data sources:  (please indicate the main sources from which data were obtained for this report.) </w:t>
            </w:r>
          </w:p>
        </w:tc>
      </w:tr>
      <w:tr w:rsidR="00A30080" w14:paraId="79602D21" w14:textId="77777777">
        <w:tc>
          <w:tcPr>
            <w:tcW w:w="13950" w:type="dxa"/>
          </w:tcPr>
          <w:p w14:paraId="00000149" w14:textId="77777777" w:rsidR="00C8511B" w:rsidRDefault="00C8511B">
            <w:pPr>
              <w:widowControl/>
              <w:pBdr>
                <w:top w:val="nil"/>
                <w:left w:val="nil"/>
                <w:bottom w:val="nil"/>
                <w:right w:val="nil"/>
                <w:between w:val="nil"/>
              </w:pBdr>
              <w:ind w:left="720"/>
              <w:jc w:val="both"/>
              <w:rPr>
                <w:rFonts w:ascii="Calibri" w:eastAsia="Calibri" w:hAnsi="Calibri" w:cs="Calibri"/>
                <w:color w:val="000000"/>
                <w:sz w:val="20"/>
                <w:szCs w:val="20"/>
              </w:rPr>
            </w:pPr>
          </w:p>
          <w:p w14:paraId="0000014A" w14:textId="77777777"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Results Oriented Annual Report (2017, 2018, 2019)</w:t>
            </w:r>
          </w:p>
          <w:p w14:paraId="0000014B" w14:textId="2C4D2B10"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Country Programme Document 2017-2021</w:t>
            </w:r>
          </w:p>
          <w:p w14:paraId="2779DC68" w14:textId="604A7AFC" w:rsidR="005240B5" w:rsidRDefault="005240B5">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Common Country Analysis in Trinidad and Tobago</w:t>
            </w:r>
            <w:r w:rsidR="006103AF">
              <w:rPr>
                <w:rFonts w:ascii="Calibri" w:eastAsia="Calibri" w:hAnsi="Calibri" w:cs="Calibri"/>
                <w:color w:val="000000"/>
                <w:sz w:val="20"/>
                <w:szCs w:val="20"/>
              </w:rPr>
              <w:t>, draft</w:t>
            </w:r>
            <w:r>
              <w:rPr>
                <w:rFonts w:ascii="Calibri" w:eastAsia="Calibri" w:hAnsi="Calibri" w:cs="Calibri"/>
                <w:color w:val="000000"/>
                <w:sz w:val="20"/>
                <w:szCs w:val="20"/>
              </w:rPr>
              <w:t xml:space="preserve"> (2021)</w:t>
            </w:r>
          </w:p>
          <w:p w14:paraId="0000014C" w14:textId="068EE786"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Primary Health Care Initiative Evaluation Report</w:t>
            </w:r>
            <w:r w:rsidR="00933926">
              <w:rPr>
                <w:rFonts w:ascii="Calibri" w:eastAsia="Calibri" w:hAnsi="Calibri" w:cs="Calibri"/>
                <w:color w:val="000000"/>
                <w:sz w:val="20"/>
                <w:szCs w:val="20"/>
              </w:rPr>
              <w:t xml:space="preserve"> (2017)</w:t>
            </w:r>
          </w:p>
          <w:p w14:paraId="0000014D" w14:textId="7B953562"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Consultation Report on Multi-Dimensional Poverty Trinidad</w:t>
            </w:r>
            <w:r w:rsidR="00933926">
              <w:rPr>
                <w:rFonts w:ascii="Calibri" w:eastAsia="Calibri" w:hAnsi="Calibri" w:cs="Calibri"/>
                <w:color w:val="000000"/>
                <w:sz w:val="20"/>
                <w:szCs w:val="20"/>
              </w:rPr>
              <w:t xml:space="preserve"> (201</w:t>
            </w:r>
            <w:r w:rsidR="00854B58">
              <w:rPr>
                <w:rFonts w:ascii="Calibri" w:eastAsia="Calibri" w:hAnsi="Calibri" w:cs="Calibri"/>
                <w:color w:val="000000"/>
                <w:sz w:val="20"/>
                <w:szCs w:val="20"/>
              </w:rPr>
              <w:t>8</w:t>
            </w:r>
            <w:r w:rsidR="00933926">
              <w:rPr>
                <w:rFonts w:ascii="Calibri" w:eastAsia="Calibri" w:hAnsi="Calibri" w:cs="Calibri"/>
                <w:color w:val="000000"/>
                <w:sz w:val="20"/>
                <w:szCs w:val="20"/>
              </w:rPr>
              <w:t>)</w:t>
            </w:r>
          </w:p>
          <w:p w14:paraId="0000014E" w14:textId="4D088EBC"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Voices of Children on Poverty in Trinidad, Consultation Report on Multi-Dimensional Poverty</w:t>
            </w:r>
            <w:r w:rsidR="00933926">
              <w:rPr>
                <w:rFonts w:ascii="Calibri" w:eastAsia="Calibri" w:hAnsi="Calibri" w:cs="Calibri"/>
                <w:color w:val="000000"/>
                <w:sz w:val="20"/>
                <w:szCs w:val="20"/>
              </w:rPr>
              <w:t xml:space="preserve"> (201</w:t>
            </w:r>
            <w:r w:rsidR="00854B58">
              <w:rPr>
                <w:rFonts w:ascii="Calibri" w:eastAsia="Calibri" w:hAnsi="Calibri" w:cs="Calibri"/>
                <w:color w:val="000000"/>
                <w:sz w:val="20"/>
                <w:szCs w:val="20"/>
              </w:rPr>
              <w:t>8</w:t>
            </w:r>
            <w:r w:rsidR="00933926">
              <w:rPr>
                <w:rFonts w:ascii="Calibri" w:eastAsia="Calibri" w:hAnsi="Calibri" w:cs="Calibri"/>
                <w:color w:val="000000"/>
                <w:sz w:val="20"/>
                <w:szCs w:val="20"/>
              </w:rPr>
              <w:t>)</w:t>
            </w:r>
          </w:p>
          <w:p w14:paraId="0000014F" w14:textId="0B24A733"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 xml:space="preserve">National Social Mitigation Plan </w:t>
            </w:r>
            <w:r w:rsidR="00933926">
              <w:rPr>
                <w:rFonts w:ascii="Calibri" w:eastAsia="Calibri" w:hAnsi="Calibri" w:cs="Calibri"/>
                <w:color w:val="000000"/>
                <w:sz w:val="20"/>
                <w:szCs w:val="20"/>
              </w:rPr>
              <w:t xml:space="preserve">2017-2022 </w:t>
            </w:r>
            <w:r>
              <w:rPr>
                <w:rFonts w:ascii="Calibri" w:eastAsia="Calibri" w:hAnsi="Calibri" w:cs="Calibri"/>
                <w:color w:val="000000"/>
                <w:sz w:val="20"/>
                <w:szCs w:val="20"/>
              </w:rPr>
              <w:t>(Trinidad and Tobago)</w:t>
            </w:r>
          </w:p>
          <w:p w14:paraId="00000150" w14:textId="1E92C496"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SDG Implementation Mission Curacao</w:t>
            </w:r>
            <w:r w:rsidR="00854B58">
              <w:rPr>
                <w:rFonts w:ascii="Calibri" w:eastAsia="Calibri" w:hAnsi="Calibri" w:cs="Calibri"/>
                <w:color w:val="000000"/>
                <w:sz w:val="20"/>
                <w:szCs w:val="20"/>
              </w:rPr>
              <w:t xml:space="preserve"> 2018</w:t>
            </w:r>
            <w:r>
              <w:rPr>
                <w:rFonts w:ascii="Calibri" w:eastAsia="Calibri" w:hAnsi="Calibri" w:cs="Calibri"/>
                <w:color w:val="000000"/>
                <w:sz w:val="20"/>
                <w:szCs w:val="20"/>
              </w:rPr>
              <w:t>; Preliminary Findings (MAPS mission);</w:t>
            </w:r>
          </w:p>
          <w:p w14:paraId="00000151" w14:textId="77777777"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Strategic Plan of the Parliament of the Republic of Trinidad and Tobago (2013-2018);</w:t>
            </w:r>
          </w:p>
          <w:p w14:paraId="00000152" w14:textId="77777777" w:rsidR="00C8511B" w:rsidRDefault="00C021D3">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sdt>
              <w:sdtPr>
                <w:tag w:val="goog_rdk_13"/>
                <w:id w:val="-1812086049"/>
              </w:sdtPr>
              <w:sdtEndPr/>
              <w:sdtContent/>
            </w:sdt>
            <w:r w:rsidR="002624F2">
              <w:rPr>
                <w:rFonts w:ascii="Calibri" w:eastAsia="Calibri" w:hAnsi="Calibri" w:cs="Calibri"/>
                <w:color w:val="000000"/>
                <w:sz w:val="20"/>
                <w:szCs w:val="20"/>
              </w:rPr>
              <w:t>Report on the review of the 2013-2018 Strategic Plan of the Republic of Trinidad and Tobago;</w:t>
            </w:r>
          </w:p>
          <w:p w14:paraId="00000153" w14:textId="1D7883B1"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National GHG Inventory Report</w:t>
            </w:r>
            <w:r w:rsidR="00154C82">
              <w:rPr>
                <w:rFonts w:ascii="Calibri" w:eastAsia="Calibri" w:hAnsi="Calibri" w:cs="Calibri"/>
                <w:color w:val="000000"/>
                <w:sz w:val="20"/>
                <w:szCs w:val="20"/>
              </w:rPr>
              <w:t xml:space="preserve"> (2018)</w:t>
            </w:r>
            <w:r>
              <w:rPr>
                <w:rFonts w:ascii="Calibri" w:eastAsia="Calibri" w:hAnsi="Calibri" w:cs="Calibri"/>
                <w:color w:val="000000"/>
                <w:sz w:val="20"/>
                <w:szCs w:val="20"/>
              </w:rPr>
              <w:t>;</w:t>
            </w:r>
          </w:p>
          <w:p w14:paraId="00000154" w14:textId="77777777"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National Climate Change Projection Report (2019);</w:t>
            </w:r>
          </w:p>
          <w:p w14:paraId="00000155" w14:textId="3360E528"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MEA Stakeholder Mapping Assessment</w:t>
            </w:r>
            <w:r w:rsidR="004F3378">
              <w:rPr>
                <w:rFonts w:ascii="Calibri" w:eastAsia="Calibri" w:hAnsi="Calibri" w:cs="Calibri"/>
                <w:color w:val="000000"/>
                <w:sz w:val="20"/>
                <w:szCs w:val="20"/>
              </w:rPr>
              <w:t xml:space="preserve"> (2019)</w:t>
            </w:r>
            <w:r>
              <w:rPr>
                <w:rFonts w:ascii="Calibri" w:eastAsia="Calibri" w:hAnsi="Calibri" w:cs="Calibri"/>
                <w:color w:val="000000"/>
                <w:sz w:val="20"/>
                <w:szCs w:val="20"/>
              </w:rPr>
              <w:t xml:space="preserve"> and Training Reports</w:t>
            </w:r>
            <w:r w:rsidR="004F3378">
              <w:rPr>
                <w:rFonts w:ascii="Calibri" w:eastAsia="Calibri" w:hAnsi="Calibri" w:cs="Calibri"/>
                <w:color w:val="000000"/>
                <w:sz w:val="20"/>
                <w:szCs w:val="20"/>
              </w:rPr>
              <w:t xml:space="preserve"> (2020)</w:t>
            </w:r>
            <w:r>
              <w:rPr>
                <w:rFonts w:ascii="Calibri" w:eastAsia="Calibri" w:hAnsi="Calibri" w:cs="Calibri"/>
                <w:color w:val="000000"/>
                <w:sz w:val="20"/>
                <w:szCs w:val="20"/>
              </w:rPr>
              <w:t>;</w:t>
            </w:r>
          </w:p>
          <w:p w14:paraId="00000156" w14:textId="77777777"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Financial Investment Plan for NDC Implementation;</w:t>
            </w:r>
          </w:p>
          <w:p w14:paraId="00000157" w14:textId="77777777"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The Judiciary of the Republic of Trinidad and Tobago Annual Report 2018-2019</w:t>
            </w:r>
          </w:p>
          <w:p w14:paraId="00000158" w14:textId="274410CA"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Gender Analysis and Action Plan for Incorporating Gender Considerations into NDC Planning</w:t>
            </w:r>
            <w:r w:rsidR="00E064A2">
              <w:rPr>
                <w:rFonts w:ascii="Calibri" w:eastAsia="Calibri" w:hAnsi="Calibri" w:cs="Calibri"/>
                <w:color w:val="000000"/>
                <w:sz w:val="20"/>
                <w:szCs w:val="20"/>
              </w:rPr>
              <w:t xml:space="preserve"> (2019)</w:t>
            </w:r>
            <w:r>
              <w:rPr>
                <w:rFonts w:ascii="Calibri" w:eastAsia="Calibri" w:hAnsi="Calibri" w:cs="Calibri"/>
                <w:color w:val="000000"/>
                <w:sz w:val="20"/>
                <w:szCs w:val="20"/>
              </w:rPr>
              <w:t>;</w:t>
            </w:r>
          </w:p>
          <w:p w14:paraId="15044800" w14:textId="77777777" w:rsidR="00C8511B" w:rsidRDefault="002624F2">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color w:val="000000"/>
                <w:sz w:val="20"/>
                <w:szCs w:val="20"/>
              </w:rPr>
              <w:t>Disability Inclusive Development in UNDP Guidance and entry points 03 December 2018</w:t>
            </w:r>
          </w:p>
          <w:p w14:paraId="00000159" w14:textId="0A0405B5" w:rsidR="00C70D29" w:rsidRDefault="00C70D29">
            <w:pPr>
              <w:widowControl/>
              <w:numPr>
                <w:ilvl w:val="0"/>
                <w:numId w:val="1"/>
              </w:numPr>
              <w:pBdr>
                <w:top w:val="nil"/>
                <w:left w:val="nil"/>
                <w:bottom w:val="nil"/>
                <w:right w:val="nil"/>
                <w:between w:val="nil"/>
              </w:pBdr>
              <w:jc w:val="both"/>
              <w:rPr>
                <w:rFonts w:ascii="Calibri" w:eastAsia="Calibri" w:hAnsi="Calibri" w:cs="Calibri"/>
                <w:color w:val="000000"/>
                <w:sz w:val="20"/>
                <w:szCs w:val="20"/>
              </w:rPr>
            </w:pPr>
            <w:r w:rsidRPr="00A3136F">
              <w:rPr>
                <w:rFonts w:ascii="Calibri" w:eastAsia="Calibri" w:hAnsi="Calibri" w:cs="Calibri"/>
                <w:color w:val="000000"/>
                <w:sz w:val="20"/>
                <w:szCs w:val="20"/>
              </w:rPr>
              <w:t>2020 S</w:t>
            </w:r>
            <w:r w:rsidR="00997741">
              <w:rPr>
                <w:rFonts w:ascii="Calibri" w:eastAsia="Calibri" w:hAnsi="Calibri" w:cs="Calibri"/>
                <w:color w:val="000000"/>
                <w:sz w:val="20"/>
                <w:szCs w:val="20"/>
              </w:rPr>
              <w:t>upplementary Appropriation and Mid-Year Review Statement by the Minister of Finance, Honorable Colm Imbert, MP House of Representatives</w:t>
            </w:r>
            <w:r w:rsidR="00B967EA">
              <w:rPr>
                <w:rFonts w:ascii="Calibri" w:eastAsia="Calibri" w:hAnsi="Calibri" w:cs="Calibri"/>
                <w:color w:val="000000"/>
                <w:sz w:val="20"/>
                <w:szCs w:val="20"/>
              </w:rPr>
              <w:t xml:space="preserve"> (</w:t>
            </w:r>
            <w:r w:rsidR="00997741">
              <w:rPr>
                <w:rFonts w:ascii="Calibri" w:eastAsia="Calibri" w:hAnsi="Calibri" w:cs="Calibri"/>
                <w:color w:val="000000"/>
                <w:sz w:val="20"/>
                <w:szCs w:val="20"/>
              </w:rPr>
              <w:t>June 12, 2020</w:t>
            </w:r>
            <w:r w:rsidR="00B967EA">
              <w:rPr>
                <w:rFonts w:ascii="Calibri" w:eastAsia="Calibri" w:hAnsi="Calibri" w:cs="Calibri"/>
                <w:color w:val="000000"/>
                <w:sz w:val="20"/>
                <w:szCs w:val="20"/>
              </w:rPr>
              <w:t>)</w:t>
            </w:r>
          </w:p>
        </w:tc>
      </w:tr>
    </w:tbl>
    <w:p w14:paraId="0000015A" w14:textId="77777777" w:rsidR="00C8511B" w:rsidRDefault="00C8511B">
      <w:pPr>
        <w:widowControl/>
        <w:pBdr>
          <w:top w:val="nil"/>
          <w:left w:val="nil"/>
          <w:bottom w:val="nil"/>
          <w:right w:val="nil"/>
          <w:between w:val="nil"/>
        </w:pBdr>
        <w:jc w:val="both"/>
        <w:rPr>
          <w:rFonts w:ascii="Calibri" w:eastAsia="Calibri" w:hAnsi="Calibri" w:cs="Calibri"/>
          <w:color w:val="000000"/>
        </w:rPr>
      </w:pPr>
    </w:p>
    <w:sectPr w:rsidR="00C8511B">
      <w:pgSz w:w="16840" w:h="11907"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03847" w14:textId="77777777" w:rsidR="00BD3B55" w:rsidRDefault="00BD3B55">
      <w:r>
        <w:separator/>
      </w:r>
    </w:p>
  </w:endnote>
  <w:endnote w:type="continuationSeparator" w:id="0">
    <w:p w14:paraId="4DBEF8E4" w14:textId="77777777" w:rsidR="00BD3B55" w:rsidRDefault="00BD3B55">
      <w:r>
        <w:continuationSeparator/>
      </w:r>
    </w:p>
  </w:endnote>
  <w:endnote w:type="continuationNotice" w:id="1">
    <w:p w14:paraId="0973746A" w14:textId="77777777" w:rsidR="00BD3B55" w:rsidRDefault="00BD3B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Segoe UI">
    <w:altName w:val="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9618D" w14:textId="77777777" w:rsidR="008F164F" w:rsidRDefault="008F16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64" w14:textId="77777777" w:rsidR="00520C5B" w:rsidRDefault="00520C5B">
    <w:pPr>
      <w:pBdr>
        <w:top w:val="nil"/>
        <w:left w:val="nil"/>
        <w:bottom w:val="nil"/>
        <w:right w:val="nil"/>
        <w:between w:val="nil"/>
      </w:pBdr>
      <w:spacing w:line="276" w:lineRule="auto"/>
      <w:rPr>
        <w:color w:val="000000"/>
        <w:sz w:val="20"/>
        <w:szCs w:val="20"/>
      </w:rPr>
    </w:pPr>
  </w:p>
  <w:tbl>
    <w:tblPr>
      <w:tblStyle w:val="a3"/>
      <w:tblW w:w="9027" w:type="dxa"/>
      <w:jc w:val="right"/>
      <w:tblLayout w:type="fixed"/>
      <w:tblLook w:val="0400" w:firstRow="0" w:lastRow="0" w:firstColumn="0" w:lastColumn="0" w:noHBand="0" w:noVBand="1"/>
    </w:tblPr>
    <w:tblGrid>
      <w:gridCol w:w="8576"/>
      <w:gridCol w:w="451"/>
    </w:tblGrid>
    <w:tr w:rsidR="00A30080" w14:paraId="2E80AFED" w14:textId="77777777">
      <w:trPr>
        <w:jc w:val="right"/>
      </w:trPr>
      <w:tc>
        <w:tcPr>
          <w:tcW w:w="8576" w:type="dxa"/>
          <w:vAlign w:val="center"/>
        </w:tcPr>
        <w:p w14:paraId="00000165" w14:textId="5853FE73" w:rsidR="00520C5B" w:rsidRPr="009B73DF" w:rsidRDefault="00520C5B">
          <w:pPr>
            <w:pBdr>
              <w:top w:val="nil"/>
              <w:left w:val="nil"/>
              <w:bottom w:val="nil"/>
              <w:right w:val="nil"/>
              <w:between w:val="nil"/>
            </w:pBdr>
            <w:tabs>
              <w:tab w:val="center" w:pos="4320"/>
              <w:tab w:val="right" w:pos="8640"/>
            </w:tabs>
            <w:jc w:val="right"/>
            <w:rPr>
              <w:rFonts w:asciiTheme="minorHAnsi" w:hAnsiTheme="minorHAnsi" w:cstheme="minorHAnsi"/>
              <w:smallCaps/>
              <w:color w:val="000000"/>
              <w:sz w:val="20"/>
              <w:szCs w:val="20"/>
            </w:rPr>
          </w:pPr>
        </w:p>
      </w:tc>
      <w:tc>
        <w:tcPr>
          <w:tcW w:w="451" w:type="dxa"/>
          <w:shd w:val="clear" w:color="auto" w:fill="1F497D"/>
          <w:vAlign w:val="center"/>
        </w:tcPr>
        <w:p w14:paraId="00000166" w14:textId="5CA12EE0" w:rsidR="00520C5B" w:rsidRPr="00941078" w:rsidRDefault="00520C5B">
          <w:pPr>
            <w:pBdr>
              <w:top w:val="nil"/>
              <w:left w:val="nil"/>
              <w:bottom w:val="nil"/>
              <w:right w:val="nil"/>
              <w:between w:val="nil"/>
            </w:pBdr>
            <w:tabs>
              <w:tab w:val="center" w:pos="4320"/>
              <w:tab w:val="right" w:pos="8640"/>
            </w:tabs>
            <w:jc w:val="center"/>
            <w:rPr>
              <w:rFonts w:asciiTheme="minorHAnsi" w:hAnsiTheme="minorHAnsi" w:cstheme="minorHAnsi"/>
              <w:color w:val="FFFFFF"/>
              <w:sz w:val="22"/>
              <w:szCs w:val="22"/>
            </w:rPr>
          </w:pPr>
          <w:r w:rsidRPr="00941078">
            <w:rPr>
              <w:rFonts w:asciiTheme="minorHAnsi" w:hAnsiTheme="minorHAnsi" w:cstheme="minorHAnsi"/>
              <w:color w:val="FFFFFF"/>
              <w:sz w:val="22"/>
              <w:szCs w:val="22"/>
            </w:rPr>
            <w:fldChar w:fldCharType="begin"/>
          </w:r>
          <w:r w:rsidRPr="00941078">
            <w:rPr>
              <w:rFonts w:asciiTheme="minorHAnsi" w:hAnsiTheme="minorHAnsi" w:cstheme="minorHAnsi"/>
              <w:color w:val="FFFFFF"/>
              <w:sz w:val="22"/>
              <w:szCs w:val="22"/>
            </w:rPr>
            <w:instrText>PAGE</w:instrText>
          </w:r>
          <w:r w:rsidRPr="00941078">
            <w:rPr>
              <w:rFonts w:asciiTheme="minorHAnsi" w:hAnsiTheme="minorHAnsi" w:cstheme="minorHAnsi"/>
              <w:color w:val="FFFFFF"/>
              <w:sz w:val="22"/>
              <w:szCs w:val="22"/>
            </w:rPr>
            <w:fldChar w:fldCharType="separate"/>
          </w:r>
          <w:r w:rsidRPr="00941078">
            <w:rPr>
              <w:rFonts w:asciiTheme="minorHAnsi" w:hAnsiTheme="minorHAnsi" w:cstheme="minorHAnsi"/>
              <w:noProof/>
              <w:color w:val="FFFFFF"/>
              <w:sz w:val="22"/>
              <w:szCs w:val="22"/>
            </w:rPr>
            <w:t>1</w:t>
          </w:r>
          <w:r w:rsidRPr="00941078">
            <w:rPr>
              <w:rFonts w:asciiTheme="minorHAnsi" w:hAnsiTheme="minorHAnsi" w:cstheme="minorHAnsi"/>
              <w:color w:val="FFFFFF"/>
              <w:sz w:val="22"/>
              <w:szCs w:val="22"/>
            </w:rPr>
            <w:fldChar w:fldCharType="end"/>
          </w:r>
        </w:p>
      </w:tc>
    </w:tr>
  </w:tbl>
  <w:p w14:paraId="00000167" w14:textId="77777777" w:rsidR="00520C5B" w:rsidRDefault="00520C5B">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B514B" w14:textId="77777777" w:rsidR="008F164F" w:rsidRDefault="008F16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CBB1E" w14:textId="77777777" w:rsidR="00BD3B55" w:rsidRDefault="00BD3B55">
      <w:r>
        <w:separator/>
      </w:r>
    </w:p>
  </w:footnote>
  <w:footnote w:type="continuationSeparator" w:id="0">
    <w:p w14:paraId="16F10F77" w14:textId="77777777" w:rsidR="00BD3B55" w:rsidRDefault="00BD3B55">
      <w:r>
        <w:continuationSeparator/>
      </w:r>
    </w:p>
  </w:footnote>
  <w:footnote w:type="continuationNotice" w:id="1">
    <w:p w14:paraId="2A56D9F6" w14:textId="77777777" w:rsidR="00BD3B55" w:rsidRDefault="00BD3B55"/>
  </w:footnote>
  <w:footnote w:id="2">
    <w:p w14:paraId="0000015B" w14:textId="77777777" w:rsidR="00520C5B" w:rsidRDefault="00520C5B">
      <w:pPr>
        <w:pBdr>
          <w:top w:val="nil"/>
          <w:left w:val="nil"/>
          <w:bottom w:val="nil"/>
          <w:right w:val="nil"/>
          <w:between w:val="nil"/>
        </w:pBdr>
        <w:rPr>
          <w:rFonts w:ascii="Calibri" w:eastAsia="Calibri" w:hAnsi="Calibri" w:cs="Calibri"/>
          <w:color w:val="000000"/>
          <w:sz w:val="20"/>
          <w:szCs w:val="20"/>
        </w:rPr>
      </w:pPr>
      <w:r>
        <w:rPr>
          <w:rStyle w:val="FootnoteReference"/>
        </w:rPr>
        <w:footnoteRef/>
      </w:r>
      <w:r>
        <w:rPr>
          <w:rFonts w:ascii="Calibri" w:eastAsia="Calibri" w:hAnsi="Calibri" w:cs="Calibri"/>
          <w:color w:val="000000"/>
          <w:sz w:val="20"/>
          <w:szCs w:val="20"/>
        </w:rPr>
        <w:t xml:space="preserve"> This assessment of results is to be prepared only in the absence of a completed Independent Country Programme Evaluation (ICPE) for the cycle.</w:t>
      </w:r>
    </w:p>
  </w:footnote>
  <w:footnote w:id="3">
    <w:p w14:paraId="0000015C" w14:textId="77777777" w:rsidR="00520C5B" w:rsidRDefault="00520C5B">
      <w:pPr>
        <w:pBdr>
          <w:top w:val="nil"/>
          <w:left w:val="nil"/>
          <w:bottom w:val="nil"/>
          <w:right w:val="nil"/>
          <w:between w:val="nil"/>
        </w:pBdr>
        <w:rPr>
          <w:color w:val="000000"/>
          <w:sz w:val="20"/>
          <w:szCs w:val="20"/>
        </w:rPr>
      </w:pPr>
      <w:r w:rsidRPr="00CF48EE">
        <w:rPr>
          <w:rStyle w:val="FootnoteReference"/>
          <w:sz w:val="20"/>
          <w:szCs w:val="20"/>
        </w:rPr>
        <w:footnoteRef/>
      </w:r>
      <w:r w:rsidRPr="00CF48EE">
        <w:rPr>
          <w:rFonts w:ascii="Calibri" w:eastAsia="Calibri" w:hAnsi="Calibri" w:cs="Calibri"/>
          <w:color w:val="000000"/>
          <w:sz w:val="20"/>
          <w:szCs w:val="20"/>
        </w:rPr>
        <w:t xml:space="preserve"> </w:t>
      </w:r>
      <w:r>
        <w:rPr>
          <w:rFonts w:ascii="Calibri" w:eastAsia="Calibri" w:hAnsi="Calibri" w:cs="Calibri"/>
          <w:color w:val="000000"/>
          <w:sz w:val="20"/>
          <w:szCs w:val="20"/>
        </w:rPr>
        <w:t>CPD</w:t>
      </w:r>
    </w:p>
  </w:footnote>
  <w:footnote w:id="4">
    <w:p w14:paraId="0000015D" w14:textId="3562AFB8" w:rsidR="00520C5B" w:rsidRDefault="00520C5B">
      <w:pPr>
        <w:pBdr>
          <w:top w:val="nil"/>
          <w:left w:val="nil"/>
          <w:bottom w:val="nil"/>
          <w:right w:val="nil"/>
          <w:between w:val="nil"/>
        </w:pBdr>
        <w:rPr>
          <w:color w:val="000000"/>
          <w:sz w:val="20"/>
          <w:szCs w:val="20"/>
        </w:rPr>
      </w:pPr>
      <w:r w:rsidRPr="00CF48EE">
        <w:rPr>
          <w:rStyle w:val="FootnoteReference"/>
          <w:sz w:val="20"/>
          <w:szCs w:val="20"/>
        </w:rPr>
        <w:footnoteRef/>
      </w:r>
      <w:r>
        <w:rPr>
          <w:rFonts w:ascii="Calibri" w:eastAsia="Calibri" w:hAnsi="Calibri" w:cs="Calibri"/>
          <w:color w:val="000000"/>
          <w:sz w:val="20"/>
          <w:szCs w:val="20"/>
        </w:rPr>
        <w:t xml:space="preserve"> IRRF Indicator 1.1.2 </w:t>
      </w:r>
    </w:p>
  </w:footnote>
  <w:footnote w:id="5">
    <w:p w14:paraId="7706A1BC" w14:textId="1839849E" w:rsidR="00B03C0E" w:rsidRPr="00B03C0E" w:rsidRDefault="00B03C0E">
      <w:pPr>
        <w:pStyle w:val="FootnoteText"/>
        <w:rPr>
          <w:rFonts w:ascii="Calibri" w:eastAsia="Calibri" w:hAnsi="Calibri" w:cs="Calibri"/>
          <w:color w:val="000000"/>
          <w:szCs w:val="20"/>
        </w:rPr>
      </w:pPr>
      <w:r>
        <w:rPr>
          <w:rStyle w:val="FootnoteReference"/>
        </w:rPr>
        <w:footnoteRef/>
      </w:r>
      <w:r>
        <w:t xml:space="preserve"> </w:t>
      </w:r>
      <w:r w:rsidRPr="00B03C0E">
        <w:rPr>
          <w:rFonts w:ascii="Calibri" w:eastAsia="Calibri" w:hAnsi="Calibri" w:cs="Calibri"/>
          <w:color w:val="000000"/>
          <w:szCs w:val="20"/>
        </w:rPr>
        <w:t>This is based on the most recent available data, which was July 2020. The government has continued to offer significant support to those in need throughout the ongoing pandemic.</w:t>
      </w:r>
    </w:p>
  </w:footnote>
  <w:footnote w:id="6">
    <w:p w14:paraId="3C8A25E6" w14:textId="14A300BC" w:rsidR="00520C5B" w:rsidRPr="00402B81" w:rsidRDefault="00520C5B" w:rsidP="00D7680E">
      <w:pPr>
        <w:widowControl/>
      </w:pPr>
      <w:r w:rsidRPr="00402B81">
        <w:rPr>
          <w:rStyle w:val="FootnoteReference"/>
          <w:sz w:val="20"/>
        </w:rPr>
        <w:footnoteRef/>
      </w:r>
      <w:r>
        <w:t xml:space="preserve"> </w:t>
      </w:r>
      <w:r w:rsidRPr="007D3586">
        <w:rPr>
          <w:rFonts w:asciiTheme="minorHAnsi" w:hAnsiTheme="minorHAnsi" w:cstheme="minorHAnsi"/>
          <w:sz w:val="20"/>
          <w:szCs w:val="20"/>
        </w:rPr>
        <w:t xml:space="preserve">IRRF Indicator </w:t>
      </w:r>
      <w:r w:rsidRPr="007D3586">
        <w:rPr>
          <w:rFonts w:asciiTheme="minorHAnsi" w:hAnsiTheme="minorHAnsi" w:cstheme="minorHAnsi"/>
          <w:color w:val="000000"/>
          <w:sz w:val="20"/>
          <w:szCs w:val="20"/>
        </w:rPr>
        <w:t xml:space="preserve">2.2.3: Includes youth, people with disabilities, people living with HIV and other traditionally </w:t>
      </w:r>
      <w:r w:rsidR="002F4747" w:rsidRPr="007D3586">
        <w:rPr>
          <w:rFonts w:asciiTheme="minorHAnsi" w:hAnsiTheme="minorHAnsi" w:cstheme="minorHAnsi"/>
          <w:color w:val="000000"/>
          <w:sz w:val="20"/>
          <w:szCs w:val="20"/>
        </w:rPr>
        <w:t>marginalized</w:t>
      </w:r>
      <w:r w:rsidRPr="007D3586">
        <w:rPr>
          <w:rFonts w:asciiTheme="minorHAnsi" w:hAnsiTheme="minorHAnsi" w:cstheme="minorHAnsi"/>
          <w:color w:val="000000"/>
          <w:sz w:val="20"/>
          <w:szCs w:val="20"/>
        </w:rPr>
        <w:t xml:space="preserve"> groups, as relevant in each national context.</w:t>
      </w:r>
    </w:p>
  </w:footnote>
  <w:footnote w:id="7">
    <w:p w14:paraId="0000015E" w14:textId="3FC5C029" w:rsidR="00520C5B" w:rsidRDefault="00520C5B">
      <w:pPr>
        <w:pBdr>
          <w:top w:val="nil"/>
          <w:left w:val="nil"/>
          <w:bottom w:val="nil"/>
          <w:right w:val="nil"/>
          <w:between w:val="nil"/>
        </w:pBdr>
        <w:rPr>
          <w:color w:val="000000"/>
          <w:sz w:val="20"/>
          <w:szCs w:val="20"/>
        </w:rPr>
      </w:pPr>
      <w:r w:rsidRPr="003A3F9C">
        <w:rPr>
          <w:rStyle w:val="FootnoteReference"/>
          <w:sz w:val="20"/>
        </w:rPr>
        <w:footnoteRef/>
      </w:r>
      <w:r w:rsidRPr="003A3F9C">
        <w:rPr>
          <w:rStyle w:val="FootnoteReference"/>
        </w:rPr>
        <w:t xml:space="preserve"> </w:t>
      </w:r>
      <w:r w:rsidRPr="003A3F9C">
        <w:rPr>
          <w:rFonts w:asciiTheme="minorHAnsi" w:eastAsia="Calibri" w:hAnsiTheme="minorHAnsi" w:cstheme="minorHAnsi"/>
          <w:sz w:val="20"/>
          <w:szCs w:val="20"/>
        </w:rPr>
        <w:t>IRRF</w:t>
      </w:r>
      <w:r>
        <w:rPr>
          <w:rFonts w:ascii="Calibri" w:eastAsia="Calibri" w:hAnsi="Calibri" w:cs="Calibri"/>
          <w:color w:val="000000"/>
          <w:sz w:val="20"/>
          <w:szCs w:val="20"/>
        </w:rPr>
        <w:t xml:space="preserve"> indicator </w:t>
      </w:r>
      <w:r w:rsidRPr="001B313B">
        <w:rPr>
          <w:rFonts w:asciiTheme="minorHAnsi" w:hAnsiTheme="minorHAnsi" w:cstheme="minorHAnsi"/>
          <w:color w:val="000000" w:themeColor="text1"/>
          <w:sz w:val="20"/>
          <w:szCs w:val="20"/>
        </w:rPr>
        <w:t>3.2.2</w:t>
      </w:r>
    </w:p>
  </w:footnote>
  <w:footnote w:id="8">
    <w:p w14:paraId="0000015F" w14:textId="037ABB2E" w:rsidR="00520C5B" w:rsidRDefault="00520C5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IRRF indicator 3.2.1.1</w:t>
      </w:r>
    </w:p>
  </w:footnote>
  <w:footnote w:id="9">
    <w:p w14:paraId="00000160" w14:textId="68AFE492" w:rsidR="00520C5B" w:rsidRDefault="00520C5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IRRF indicator 2.2.3.1</w:t>
      </w:r>
    </w:p>
  </w:footnote>
  <w:footnote w:id="10">
    <w:p w14:paraId="00000161" w14:textId="77777777" w:rsidR="00520C5B" w:rsidRDefault="00520C5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CPD</w:t>
      </w:r>
    </w:p>
  </w:footnote>
  <w:footnote w:id="11">
    <w:p w14:paraId="00000162" w14:textId="77777777" w:rsidR="00520C5B" w:rsidRDefault="00520C5B">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eastAsia="Calibri" w:hAnsi="Calibri" w:cs="Calibri"/>
          <w:color w:val="000000"/>
          <w:sz w:val="20"/>
          <w:szCs w:val="20"/>
        </w:rPr>
        <w:t>CPD</w:t>
      </w:r>
    </w:p>
  </w:footnote>
  <w:footnote w:id="12">
    <w:p w14:paraId="56570629" w14:textId="793E29FC" w:rsidR="00520C5B" w:rsidRDefault="00520C5B">
      <w:pPr>
        <w:pStyle w:val="FootnoteText"/>
      </w:pPr>
      <w:r>
        <w:rPr>
          <w:rStyle w:val="FootnoteReference"/>
        </w:rPr>
        <w:footnoteRef/>
      </w:r>
      <w:r>
        <w:t xml:space="preserve"> </w:t>
      </w:r>
      <w:r w:rsidRPr="00290243">
        <w:rPr>
          <w:rFonts w:asciiTheme="minorHAnsi" w:hAnsiTheme="minorHAnsi" w:cstheme="minorHAnsi"/>
        </w:rPr>
        <w:t xml:space="preserve">As no </w:t>
      </w:r>
      <w:proofErr w:type="gramStart"/>
      <w:r w:rsidRPr="00290243">
        <w:rPr>
          <w:rFonts w:asciiTheme="minorHAnsi" w:hAnsiTheme="minorHAnsi" w:cstheme="minorHAnsi"/>
        </w:rPr>
        <w:t>high level</w:t>
      </w:r>
      <w:proofErr w:type="gramEnd"/>
      <w:r w:rsidRPr="00290243">
        <w:rPr>
          <w:rFonts w:asciiTheme="minorHAnsi" w:hAnsiTheme="minorHAnsi" w:cstheme="minorHAnsi"/>
        </w:rPr>
        <w:t xml:space="preserve"> evaluations or reviews of UNDP’s efforts were conducted during this period, these lessons learnt were developed for the purposes of this assessment, based on project evaluations and evidence-based internal reflections.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B90D" w14:textId="743F4FEC" w:rsidR="003C1619" w:rsidRDefault="003C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FBDDE" w14:textId="3BE9F909" w:rsidR="003C1619" w:rsidRDefault="003C1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62977" w14:textId="002A5D06" w:rsidR="003C1619" w:rsidRDefault="003C16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F1E"/>
    <w:multiLevelType w:val="multilevel"/>
    <w:tmpl w:val="810E8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0A44811"/>
    <w:multiLevelType w:val="multilevel"/>
    <w:tmpl w:val="9E8CDE9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4171B5"/>
    <w:multiLevelType w:val="hybridMultilevel"/>
    <w:tmpl w:val="F0F2F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73ED5"/>
    <w:multiLevelType w:val="hybridMultilevel"/>
    <w:tmpl w:val="7102F4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220A6B"/>
    <w:multiLevelType w:val="multilevel"/>
    <w:tmpl w:val="F0604B92"/>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Wingdings" w:hAnsi="Wingdings"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06675230"/>
    <w:multiLevelType w:val="hybridMultilevel"/>
    <w:tmpl w:val="D4B0FD96"/>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0D45489D"/>
    <w:multiLevelType w:val="multilevel"/>
    <w:tmpl w:val="0B7E38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1032F2A"/>
    <w:multiLevelType w:val="hybridMultilevel"/>
    <w:tmpl w:val="5B682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47C25"/>
    <w:multiLevelType w:val="multilevel"/>
    <w:tmpl w:val="F600EC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66A6B73"/>
    <w:multiLevelType w:val="multilevel"/>
    <w:tmpl w:val="D43203D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F2D0EA2"/>
    <w:multiLevelType w:val="multilevel"/>
    <w:tmpl w:val="169CCD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05205CB"/>
    <w:multiLevelType w:val="multilevel"/>
    <w:tmpl w:val="F3D0F7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0C6495B"/>
    <w:multiLevelType w:val="multilevel"/>
    <w:tmpl w:val="4630EBA0"/>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Wingdings" w:hAnsi="Wingdings"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36B75C2D"/>
    <w:multiLevelType w:val="multilevel"/>
    <w:tmpl w:val="D0F2764C"/>
    <w:lvl w:ilvl="0">
      <w:start w:val="1"/>
      <w:numFmt w:val="decimal"/>
      <w:lvlText w:val="%1."/>
      <w:lvlJc w:val="left"/>
      <w:pPr>
        <w:ind w:left="360" w:hanging="360"/>
      </w:pPr>
    </w:lvl>
    <w:lvl w:ilvl="1">
      <w:start w:val="1"/>
      <w:numFmt w:val="lowerLetter"/>
      <w:lvlText w:val="%2."/>
      <w:lvlJc w:val="left"/>
      <w:pPr>
        <w:ind w:left="1080" w:hanging="360"/>
      </w:pPr>
      <w:rPr>
        <w:i w:val="0"/>
        <w:i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76845BC"/>
    <w:multiLevelType w:val="multilevel"/>
    <w:tmpl w:val="4630EBA0"/>
    <w:lvl w:ilvl="0">
      <w:start w:val="1"/>
      <w:numFmt w:val="decimal"/>
      <w:lvlText w:val="%1."/>
      <w:lvlJc w:val="left"/>
      <w:pPr>
        <w:ind w:left="360" w:hanging="360"/>
      </w:pPr>
      <w:rPr>
        <w:b w:val="0"/>
        <w:bCs w:val="0"/>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Wingdings" w:hAnsi="Wingdings"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5" w15:restartNumberingAfterBreak="0">
    <w:nsid w:val="37A73944"/>
    <w:multiLevelType w:val="multilevel"/>
    <w:tmpl w:val="7896AD7E"/>
    <w:lvl w:ilvl="0">
      <w:start w:val="1"/>
      <w:numFmt w:val="decimal"/>
      <w:lvlText w:val="%1."/>
      <w:lvlJc w:val="left"/>
      <w:pPr>
        <w:ind w:left="360" w:hanging="360"/>
      </w:pPr>
      <w:rPr>
        <w:u w:val="none"/>
      </w:rPr>
    </w:lvl>
    <w:lvl w:ilvl="1">
      <w:start w:val="1"/>
      <w:numFmt w:val="lowerLetter"/>
      <w:lvlText w:val="%2."/>
      <w:lvlJc w:val="left"/>
      <w:pPr>
        <w:ind w:left="1080" w:hanging="360"/>
      </w:pPr>
      <w:rPr>
        <w:rFonts w:hint="default"/>
        <w:u w:val="none"/>
      </w:rPr>
    </w:lvl>
    <w:lvl w:ilvl="2">
      <w:start w:val="1"/>
      <w:numFmt w:val="bullet"/>
      <w:lvlText w:val=""/>
      <w:lvlJc w:val="left"/>
      <w:pPr>
        <w:ind w:left="1800" w:hanging="360"/>
      </w:pPr>
      <w:rPr>
        <w:rFonts w:ascii="Wingdings" w:hAnsi="Wingdings" w:hint="default"/>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AEF29B5"/>
    <w:multiLevelType w:val="multilevel"/>
    <w:tmpl w:val="AEAA3244"/>
    <w:lvl w:ilvl="0">
      <w:start w:val="1"/>
      <w:numFmt w:val="lowerLetter"/>
      <w:lvlText w:val="%1."/>
      <w:lvlJc w:val="left"/>
      <w:pPr>
        <w:ind w:left="360" w:hanging="360"/>
      </w:pPr>
    </w:lvl>
    <w:lvl w:ilvl="1">
      <w:start w:val="1"/>
      <w:numFmt w:val="lowerLetter"/>
      <w:lvlText w:val="%2."/>
      <w:lvlJc w:val="left"/>
      <w:pPr>
        <w:ind w:left="1080" w:hanging="360"/>
      </w:pPr>
      <w:rPr>
        <w:i w:val="0"/>
        <w:i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B5D2536"/>
    <w:multiLevelType w:val="hybridMultilevel"/>
    <w:tmpl w:val="5FD62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0C7489"/>
    <w:multiLevelType w:val="multilevel"/>
    <w:tmpl w:val="DA243758"/>
    <w:lvl w:ilvl="0">
      <w:start w:val="5"/>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D2A10F6"/>
    <w:multiLevelType w:val="multilevel"/>
    <w:tmpl w:val="CFEC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C15A18"/>
    <w:multiLevelType w:val="multilevel"/>
    <w:tmpl w:val="30521CEC"/>
    <w:lvl w:ilvl="0">
      <w:start w:val="1"/>
      <w:numFmt w:val="lowerLetter"/>
      <w:lvlText w:val="%1."/>
      <w:lvlJc w:val="left"/>
      <w:pPr>
        <w:ind w:left="360" w:hanging="360"/>
      </w:pPr>
      <w:rPr>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18367A6"/>
    <w:multiLevelType w:val="multilevel"/>
    <w:tmpl w:val="12466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26D785F"/>
    <w:multiLevelType w:val="multilevel"/>
    <w:tmpl w:val="D0F2764C"/>
    <w:lvl w:ilvl="0">
      <w:start w:val="1"/>
      <w:numFmt w:val="decimal"/>
      <w:lvlText w:val="%1."/>
      <w:lvlJc w:val="left"/>
      <w:pPr>
        <w:ind w:left="360" w:hanging="360"/>
      </w:pPr>
    </w:lvl>
    <w:lvl w:ilvl="1">
      <w:start w:val="1"/>
      <w:numFmt w:val="lowerLetter"/>
      <w:lvlText w:val="%2."/>
      <w:lvlJc w:val="left"/>
      <w:pPr>
        <w:ind w:left="1080" w:hanging="360"/>
      </w:pPr>
      <w:rPr>
        <w:i w:val="0"/>
        <w:iC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36F19CC"/>
    <w:multiLevelType w:val="hybridMultilevel"/>
    <w:tmpl w:val="F462EF62"/>
    <w:lvl w:ilvl="0" w:tplc="2C09000F">
      <w:start w:val="1"/>
      <w:numFmt w:val="decimal"/>
      <w:lvlText w:val="%1."/>
      <w:lvlJc w:val="left"/>
      <w:pPr>
        <w:ind w:left="720" w:hanging="360"/>
      </w:pPr>
      <w:rPr>
        <w:rFonts w:hint="default"/>
      </w:rPr>
    </w:lvl>
    <w:lvl w:ilvl="1" w:tplc="2C090019" w:tentative="1">
      <w:start w:val="1"/>
      <w:numFmt w:val="lowerLetter"/>
      <w:lvlText w:val="%2."/>
      <w:lvlJc w:val="left"/>
      <w:pPr>
        <w:ind w:left="1440" w:hanging="360"/>
      </w:pPr>
    </w:lvl>
    <w:lvl w:ilvl="2" w:tplc="2C09001B" w:tentative="1">
      <w:start w:val="1"/>
      <w:numFmt w:val="lowerRoman"/>
      <w:lvlText w:val="%3."/>
      <w:lvlJc w:val="right"/>
      <w:pPr>
        <w:ind w:left="2160" w:hanging="180"/>
      </w:pPr>
    </w:lvl>
    <w:lvl w:ilvl="3" w:tplc="2C09000F" w:tentative="1">
      <w:start w:val="1"/>
      <w:numFmt w:val="decimal"/>
      <w:lvlText w:val="%4."/>
      <w:lvlJc w:val="left"/>
      <w:pPr>
        <w:ind w:left="2880" w:hanging="360"/>
      </w:pPr>
    </w:lvl>
    <w:lvl w:ilvl="4" w:tplc="2C090019" w:tentative="1">
      <w:start w:val="1"/>
      <w:numFmt w:val="lowerLetter"/>
      <w:lvlText w:val="%5."/>
      <w:lvlJc w:val="left"/>
      <w:pPr>
        <w:ind w:left="3600" w:hanging="360"/>
      </w:pPr>
    </w:lvl>
    <w:lvl w:ilvl="5" w:tplc="2C09001B" w:tentative="1">
      <w:start w:val="1"/>
      <w:numFmt w:val="lowerRoman"/>
      <w:lvlText w:val="%6."/>
      <w:lvlJc w:val="right"/>
      <w:pPr>
        <w:ind w:left="4320" w:hanging="180"/>
      </w:pPr>
    </w:lvl>
    <w:lvl w:ilvl="6" w:tplc="2C09000F" w:tentative="1">
      <w:start w:val="1"/>
      <w:numFmt w:val="decimal"/>
      <w:lvlText w:val="%7."/>
      <w:lvlJc w:val="left"/>
      <w:pPr>
        <w:ind w:left="5040" w:hanging="360"/>
      </w:pPr>
    </w:lvl>
    <w:lvl w:ilvl="7" w:tplc="2C090019" w:tentative="1">
      <w:start w:val="1"/>
      <w:numFmt w:val="lowerLetter"/>
      <w:lvlText w:val="%8."/>
      <w:lvlJc w:val="left"/>
      <w:pPr>
        <w:ind w:left="5760" w:hanging="360"/>
      </w:pPr>
    </w:lvl>
    <w:lvl w:ilvl="8" w:tplc="2C09001B" w:tentative="1">
      <w:start w:val="1"/>
      <w:numFmt w:val="lowerRoman"/>
      <w:lvlText w:val="%9."/>
      <w:lvlJc w:val="right"/>
      <w:pPr>
        <w:ind w:left="6480" w:hanging="180"/>
      </w:pPr>
    </w:lvl>
  </w:abstractNum>
  <w:abstractNum w:abstractNumId="24" w15:restartNumberingAfterBreak="0">
    <w:nsid w:val="548233E6"/>
    <w:multiLevelType w:val="hybridMultilevel"/>
    <w:tmpl w:val="88BE5B0E"/>
    <w:lvl w:ilvl="0" w:tplc="774E809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A27B1A"/>
    <w:multiLevelType w:val="hybridMultilevel"/>
    <w:tmpl w:val="3C22470C"/>
    <w:lvl w:ilvl="0" w:tplc="774E809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76E08"/>
    <w:multiLevelType w:val="hybridMultilevel"/>
    <w:tmpl w:val="D2D24B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B4DC8"/>
    <w:multiLevelType w:val="multilevel"/>
    <w:tmpl w:val="84D0B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CA72BEC"/>
    <w:multiLevelType w:val="multilevel"/>
    <w:tmpl w:val="72EE8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9E3311"/>
    <w:multiLevelType w:val="hybridMultilevel"/>
    <w:tmpl w:val="4CC20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216108"/>
    <w:multiLevelType w:val="multilevel"/>
    <w:tmpl w:val="84D0BC2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686E04CE"/>
    <w:multiLevelType w:val="multilevel"/>
    <w:tmpl w:val="C15A4288"/>
    <w:lvl w:ilvl="0">
      <w:start w:val="1"/>
      <w:numFmt w:val="decimal"/>
      <w:lvlText w:val="%1."/>
      <w:lvlJc w:val="left"/>
      <w:pPr>
        <w:ind w:left="360" w:hanging="360"/>
      </w:pPr>
      <w:rPr>
        <w:b w:val="0"/>
        <w:b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8EF6047"/>
    <w:multiLevelType w:val="hybridMultilevel"/>
    <w:tmpl w:val="B3623818"/>
    <w:lvl w:ilvl="0" w:tplc="774E809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2729FA"/>
    <w:multiLevelType w:val="multilevel"/>
    <w:tmpl w:val="C7D855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4" w15:restartNumberingAfterBreak="0">
    <w:nsid w:val="6E870111"/>
    <w:multiLevelType w:val="hybridMultilevel"/>
    <w:tmpl w:val="7E2CD006"/>
    <w:lvl w:ilvl="0" w:tplc="C030746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7F08A3"/>
    <w:multiLevelType w:val="multilevel"/>
    <w:tmpl w:val="1158C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4D14FD5"/>
    <w:multiLevelType w:val="hybridMultilevel"/>
    <w:tmpl w:val="C526E486"/>
    <w:lvl w:ilvl="0" w:tplc="6A00F7F2">
      <w:start w:val="16"/>
      <w:numFmt w:val="bullet"/>
      <w:lvlText w:val=""/>
      <w:lvlJc w:val="left"/>
      <w:pPr>
        <w:tabs>
          <w:tab w:val="num" w:pos="1472"/>
        </w:tabs>
        <w:ind w:left="1472" w:hanging="720"/>
      </w:pPr>
      <w:rPr>
        <w:rFonts w:ascii="Symbol" w:eastAsia="Times New Roman" w:hAnsi="Symbol" w:cs="Times New Roman"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7" w15:restartNumberingAfterBreak="0">
    <w:nsid w:val="766D0079"/>
    <w:multiLevelType w:val="multilevel"/>
    <w:tmpl w:val="A3160E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D5E99"/>
    <w:multiLevelType w:val="multilevel"/>
    <w:tmpl w:val="C7D855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9" w15:restartNumberingAfterBreak="0">
    <w:nsid w:val="78F40B5C"/>
    <w:multiLevelType w:val="hybridMultilevel"/>
    <w:tmpl w:val="F5323A7C"/>
    <w:lvl w:ilvl="0" w:tplc="2C09000F">
      <w:start w:val="1"/>
      <w:numFmt w:val="decimal"/>
      <w:lvlText w:val="%1."/>
      <w:lvlJc w:val="left"/>
      <w:pPr>
        <w:ind w:left="1440" w:hanging="360"/>
      </w:pPr>
    </w:lvl>
    <w:lvl w:ilvl="1" w:tplc="2C090019" w:tentative="1">
      <w:start w:val="1"/>
      <w:numFmt w:val="lowerLetter"/>
      <w:lvlText w:val="%2."/>
      <w:lvlJc w:val="left"/>
      <w:pPr>
        <w:ind w:left="2160" w:hanging="360"/>
      </w:pPr>
    </w:lvl>
    <w:lvl w:ilvl="2" w:tplc="2C09001B" w:tentative="1">
      <w:start w:val="1"/>
      <w:numFmt w:val="lowerRoman"/>
      <w:lvlText w:val="%3."/>
      <w:lvlJc w:val="right"/>
      <w:pPr>
        <w:ind w:left="2880" w:hanging="180"/>
      </w:pPr>
    </w:lvl>
    <w:lvl w:ilvl="3" w:tplc="2C09000F" w:tentative="1">
      <w:start w:val="1"/>
      <w:numFmt w:val="decimal"/>
      <w:lvlText w:val="%4."/>
      <w:lvlJc w:val="left"/>
      <w:pPr>
        <w:ind w:left="3600" w:hanging="360"/>
      </w:pPr>
    </w:lvl>
    <w:lvl w:ilvl="4" w:tplc="2C090019" w:tentative="1">
      <w:start w:val="1"/>
      <w:numFmt w:val="lowerLetter"/>
      <w:lvlText w:val="%5."/>
      <w:lvlJc w:val="left"/>
      <w:pPr>
        <w:ind w:left="4320" w:hanging="360"/>
      </w:pPr>
    </w:lvl>
    <w:lvl w:ilvl="5" w:tplc="2C09001B" w:tentative="1">
      <w:start w:val="1"/>
      <w:numFmt w:val="lowerRoman"/>
      <w:lvlText w:val="%6."/>
      <w:lvlJc w:val="right"/>
      <w:pPr>
        <w:ind w:left="5040" w:hanging="180"/>
      </w:pPr>
    </w:lvl>
    <w:lvl w:ilvl="6" w:tplc="2C09000F" w:tentative="1">
      <w:start w:val="1"/>
      <w:numFmt w:val="decimal"/>
      <w:lvlText w:val="%7."/>
      <w:lvlJc w:val="left"/>
      <w:pPr>
        <w:ind w:left="5760" w:hanging="360"/>
      </w:pPr>
    </w:lvl>
    <w:lvl w:ilvl="7" w:tplc="2C090019" w:tentative="1">
      <w:start w:val="1"/>
      <w:numFmt w:val="lowerLetter"/>
      <w:lvlText w:val="%8."/>
      <w:lvlJc w:val="left"/>
      <w:pPr>
        <w:ind w:left="6480" w:hanging="360"/>
      </w:pPr>
    </w:lvl>
    <w:lvl w:ilvl="8" w:tplc="2C09001B" w:tentative="1">
      <w:start w:val="1"/>
      <w:numFmt w:val="lowerRoman"/>
      <w:lvlText w:val="%9."/>
      <w:lvlJc w:val="right"/>
      <w:pPr>
        <w:ind w:left="7200" w:hanging="180"/>
      </w:pPr>
    </w:lvl>
  </w:abstractNum>
  <w:num w:numId="1">
    <w:abstractNumId w:val="35"/>
  </w:num>
  <w:num w:numId="2">
    <w:abstractNumId w:val="15"/>
  </w:num>
  <w:num w:numId="3">
    <w:abstractNumId w:val="10"/>
  </w:num>
  <w:num w:numId="4">
    <w:abstractNumId w:val="11"/>
  </w:num>
  <w:num w:numId="5">
    <w:abstractNumId w:val="37"/>
  </w:num>
  <w:num w:numId="6">
    <w:abstractNumId w:val="9"/>
  </w:num>
  <w:num w:numId="7">
    <w:abstractNumId w:val="18"/>
  </w:num>
  <w:num w:numId="8">
    <w:abstractNumId w:val="27"/>
  </w:num>
  <w:num w:numId="9">
    <w:abstractNumId w:val="8"/>
  </w:num>
  <w:num w:numId="10">
    <w:abstractNumId w:val="38"/>
  </w:num>
  <w:num w:numId="11">
    <w:abstractNumId w:val="0"/>
  </w:num>
  <w:num w:numId="12">
    <w:abstractNumId w:val="19"/>
  </w:num>
  <w:num w:numId="13">
    <w:abstractNumId w:val="30"/>
  </w:num>
  <w:num w:numId="14">
    <w:abstractNumId w:val="20"/>
  </w:num>
  <w:num w:numId="15">
    <w:abstractNumId w:val="26"/>
  </w:num>
  <w:num w:numId="16">
    <w:abstractNumId w:val="16"/>
  </w:num>
  <w:num w:numId="17">
    <w:abstractNumId w:val="7"/>
  </w:num>
  <w:num w:numId="18">
    <w:abstractNumId w:val="17"/>
  </w:num>
  <w:num w:numId="19">
    <w:abstractNumId w:val="25"/>
  </w:num>
  <w:num w:numId="20">
    <w:abstractNumId w:val="32"/>
  </w:num>
  <w:num w:numId="21">
    <w:abstractNumId w:val="29"/>
  </w:num>
  <w:num w:numId="22">
    <w:abstractNumId w:val="1"/>
  </w:num>
  <w:num w:numId="23">
    <w:abstractNumId w:val="24"/>
  </w:num>
  <w:num w:numId="24">
    <w:abstractNumId w:val="36"/>
  </w:num>
  <w:num w:numId="25">
    <w:abstractNumId w:val="23"/>
  </w:num>
  <w:num w:numId="26">
    <w:abstractNumId w:val="21"/>
  </w:num>
  <w:num w:numId="27">
    <w:abstractNumId w:val="2"/>
  </w:num>
  <w:num w:numId="28">
    <w:abstractNumId w:val="3"/>
  </w:num>
  <w:num w:numId="29">
    <w:abstractNumId w:val="6"/>
  </w:num>
  <w:num w:numId="30">
    <w:abstractNumId w:val="31"/>
  </w:num>
  <w:num w:numId="31">
    <w:abstractNumId w:val="14"/>
  </w:num>
  <w:num w:numId="32">
    <w:abstractNumId w:val="4"/>
  </w:num>
  <w:num w:numId="33">
    <w:abstractNumId w:val="12"/>
  </w:num>
  <w:num w:numId="34">
    <w:abstractNumId w:val="34"/>
  </w:num>
  <w:num w:numId="35">
    <w:abstractNumId w:val="33"/>
  </w:num>
  <w:num w:numId="36">
    <w:abstractNumId w:val="13"/>
  </w:num>
  <w:num w:numId="37">
    <w:abstractNumId w:val="22"/>
  </w:num>
  <w:num w:numId="38">
    <w:abstractNumId w:val="28"/>
  </w:num>
  <w:num w:numId="39">
    <w:abstractNumId w:val="3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yNjOzMDM3NrYwMzZW0lEKTi0uzszPAykwrAUA9EZGsSwAAAA="/>
  </w:docVars>
  <w:rsids>
    <w:rsidRoot w:val="00C8511B"/>
    <w:rsid w:val="00000E6E"/>
    <w:rsid w:val="00001B38"/>
    <w:rsid w:val="0000313B"/>
    <w:rsid w:val="00003B75"/>
    <w:rsid w:val="00005F01"/>
    <w:rsid w:val="00006C0D"/>
    <w:rsid w:val="000128D4"/>
    <w:rsid w:val="00014C82"/>
    <w:rsid w:val="00024450"/>
    <w:rsid w:val="0002675D"/>
    <w:rsid w:val="00032D82"/>
    <w:rsid w:val="00033025"/>
    <w:rsid w:val="00033189"/>
    <w:rsid w:val="00034F11"/>
    <w:rsid w:val="00036E19"/>
    <w:rsid w:val="000375B9"/>
    <w:rsid w:val="00040722"/>
    <w:rsid w:val="00040E25"/>
    <w:rsid w:val="0004264F"/>
    <w:rsid w:val="000434C8"/>
    <w:rsid w:val="00046DF7"/>
    <w:rsid w:val="00047088"/>
    <w:rsid w:val="00047532"/>
    <w:rsid w:val="00052ACA"/>
    <w:rsid w:val="000558AD"/>
    <w:rsid w:val="000575BB"/>
    <w:rsid w:val="00060762"/>
    <w:rsid w:val="000649FE"/>
    <w:rsid w:val="00070CCC"/>
    <w:rsid w:val="00070D7E"/>
    <w:rsid w:val="00073128"/>
    <w:rsid w:val="00076F33"/>
    <w:rsid w:val="00083D50"/>
    <w:rsid w:val="00084C3F"/>
    <w:rsid w:val="00095974"/>
    <w:rsid w:val="000A0B11"/>
    <w:rsid w:val="000A38E5"/>
    <w:rsid w:val="000A5807"/>
    <w:rsid w:val="000A5CFF"/>
    <w:rsid w:val="000A6A8A"/>
    <w:rsid w:val="000B0314"/>
    <w:rsid w:val="000B163E"/>
    <w:rsid w:val="000B1E65"/>
    <w:rsid w:val="000B2BD4"/>
    <w:rsid w:val="000B42D1"/>
    <w:rsid w:val="000B63E6"/>
    <w:rsid w:val="000C31AF"/>
    <w:rsid w:val="000C5489"/>
    <w:rsid w:val="000C58F7"/>
    <w:rsid w:val="000C5B75"/>
    <w:rsid w:val="000D3DAF"/>
    <w:rsid w:val="000D3E67"/>
    <w:rsid w:val="000D69AA"/>
    <w:rsid w:val="000D7448"/>
    <w:rsid w:val="000E1429"/>
    <w:rsid w:val="000E7D93"/>
    <w:rsid w:val="000F099F"/>
    <w:rsid w:val="000F30C2"/>
    <w:rsid w:val="000F3B26"/>
    <w:rsid w:val="00103D31"/>
    <w:rsid w:val="00105A73"/>
    <w:rsid w:val="00110078"/>
    <w:rsid w:val="001105A3"/>
    <w:rsid w:val="00110F3D"/>
    <w:rsid w:val="0011193F"/>
    <w:rsid w:val="0011585D"/>
    <w:rsid w:val="00126076"/>
    <w:rsid w:val="00126487"/>
    <w:rsid w:val="001269E1"/>
    <w:rsid w:val="001322A6"/>
    <w:rsid w:val="0013348E"/>
    <w:rsid w:val="001335B4"/>
    <w:rsid w:val="0014223F"/>
    <w:rsid w:val="00143CB0"/>
    <w:rsid w:val="00145794"/>
    <w:rsid w:val="00146E3E"/>
    <w:rsid w:val="00146EB8"/>
    <w:rsid w:val="00147558"/>
    <w:rsid w:val="00147C96"/>
    <w:rsid w:val="001520FD"/>
    <w:rsid w:val="001532F5"/>
    <w:rsid w:val="001544C6"/>
    <w:rsid w:val="00154C82"/>
    <w:rsid w:val="001557F9"/>
    <w:rsid w:val="00156170"/>
    <w:rsid w:val="001568B8"/>
    <w:rsid w:val="00161F2A"/>
    <w:rsid w:val="001622C5"/>
    <w:rsid w:val="00162BB5"/>
    <w:rsid w:val="00162DBA"/>
    <w:rsid w:val="001676A7"/>
    <w:rsid w:val="00172FEA"/>
    <w:rsid w:val="001747D7"/>
    <w:rsid w:val="0017568F"/>
    <w:rsid w:val="001757E7"/>
    <w:rsid w:val="00175B91"/>
    <w:rsid w:val="001803F0"/>
    <w:rsid w:val="001810B5"/>
    <w:rsid w:val="00186CBA"/>
    <w:rsid w:val="0018745A"/>
    <w:rsid w:val="00187A8C"/>
    <w:rsid w:val="00187AE8"/>
    <w:rsid w:val="001932E3"/>
    <w:rsid w:val="001945B2"/>
    <w:rsid w:val="00196099"/>
    <w:rsid w:val="001978B7"/>
    <w:rsid w:val="001A1411"/>
    <w:rsid w:val="001A398D"/>
    <w:rsid w:val="001A52DF"/>
    <w:rsid w:val="001A6FDB"/>
    <w:rsid w:val="001B08AA"/>
    <w:rsid w:val="001B13C0"/>
    <w:rsid w:val="001B2C27"/>
    <w:rsid w:val="001B313B"/>
    <w:rsid w:val="001B466C"/>
    <w:rsid w:val="001B7AC1"/>
    <w:rsid w:val="001B7BB0"/>
    <w:rsid w:val="001C1190"/>
    <w:rsid w:val="001C3266"/>
    <w:rsid w:val="001C3C36"/>
    <w:rsid w:val="001C4D2A"/>
    <w:rsid w:val="001C4DE0"/>
    <w:rsid w:val="001C7736"/>
    <w:rsid w:val="001D1F0D"/>
    <w:rsid w:val="001E09B9"/>
    <w:rsid w:val="001E65B8"/>
    <w:rsid w:val="001E6A2F"/>
    <w:rsid w:val="001F0EBB"/>
    <w:rsid w:val="001F2ADC"/>
    <w:rsid w:val="001F34CD"/>
    <w:rsid w:val="001F4A91"/>
    <w:rsid w:val="001F548D"/>
    <w:rsid w:val="001F71A5"/>
    <w:rsid w:val="001F7799"/>
    <w:rsid w:val="001F789A"/>
    <w:rsid w:val="001F792D"/>
    <w:rsid w:val="00201561"/>
    <w:rsid w:val="00204C83"/>
    <w:rsid w:val="002051CC"/>
    <w:rsid w:val="00205323"/>
    <w:rsid w:val="002067BF"/>
    <w:rsid w:val="00212F69"/>
    <w:rsid w:val="00213DE3"/>
    <w:rsid w:val="00214608"/>
    <w:rsid w:val="00216791"/>
    <w:rsid w:val="0022057C"/>
    <w:rsid w:val="00221075"/>
    <w:rsid w:val="00221CA8"/>
    <w:rsid w:val="00230C72"/>
    <w:rsid w:val="00232B6E"/>
    <w:rsid w:val="00234BE7"/>
    <w:rsid w:val="00241A7C"/>
    <w:rsid w:val="00243201"/>
    <w:rsid w:val="00250CAB"/>
    <w:rsid w:val="00251876"/>
    <w:rsid w:val="002533D4"/>
    <w:rsid w:val="002551C0"/>
    <w:rsid w:val="00256F1F"/>
    <w:rsid w:val="00257AE2"/>
    <w:rsid w:val="002611D8"/>
    <w:rsid w:val="002624F2"/>
    <w:rsid w:val="00262B30"/>
    <w:rsid w:val="0026447F"/>
    <w:rsid w:val="00265C2F"/>
    <w:rsid w:val="0026747F"/>
    <w:rsid w:val="00267934"/>
    <w:rsid w:val="00270B49"/>
    <w:rsid w:val="0027167A"/>
    <w:rsid w:val="002751AA"/>
    <w:rsid w:val="0027560F"/>
    <w:rsid w:val="00284362"/>
    <w:rsid w:val="0028662D"/>
    <w:rsid w:val="00286935"/>
    <w:rsid w:val="00290243"/>
    <w:rsid w:val="002911F3"/>
    <w:rsid w:val="00292E79"/>
    <w:rsid w:val="00292F6F"/>
    <w:rsid w:val="00296AA3"/>
    <w:rsid w:val="002A07AC"/>
    <w:rsid w:val="002A77E2"/>
    <w:rsid w:val="002B0583"/>
    <w:rsid w:val="002B1131"/>
    <w:rsid w:val="002B1527"/>
    <w:rsid w:val="002B79CC"/>
    <w:rsid w:val="002C1509"/>
    <w:rsid w:val="002C5D7E"/>
    <w:rsid w:val="002C72AD"/>
    <w:rsid w:val="002D110F"/>
    <w:rsid w:val="002D2D90"/>
    <w:rsid w:val="002D4732"/>
    <w:rsid w:val="002D55C5"/>
    <w:rsid w:val="002D582C"/>
    <w:rsid w:val="002D6DE8"/>
    <w:rsid w:val="002E30B9"/>
    <w:rsid w:val="002F01EC"/>
    <w:rsid w:val="002F0BAF"/>
    <w:rsid w:val="002F4747"/>
    <w:rsid w:val="002F5B7F"/>
    <w:rsid w:val="002F687D"/>
    <w:rsid w:val="002F7F3D"/>
    <w:rsid w:val="00302A8F"/>
    <w:rsid w:val="00305508"/>
    <w:rsid w:val="00310F03"/>
    <w:rsid w:val="00311071"/>
    <w:rsid w:val="00316B6D"/>
    <w:rsid w:val="003178E6"/>
    <w:rsid w:val="00317AC6"/>
    <w:rsid w:val="00317FB7"/>
    <w:rsid w:val="0032235E"/>
    <w:rsid w:val="0032277A"/>
    <w:rsid w:val="0032645D"/>
    <w:rsid w:val="00327D9F"/>
    <w:rsid w:val="0033029E"/>
    <w:rsid w:val="00337375"/>
    <w:rsid w:val="0034148F"/>
    <w:rsid w:val="00341D04"/>
    <w:rsid w:val="00343EEC"/>
    <w:rsid w:val="00345453"/>
    <w:rsid w:val="00346A25"/>
    <w:rsid w:val="00346B1A"/>
    <w:rsid w:val="00351976"/>
    <w:rsid w:val="00357AF3"/>
    <w:rsid w:val="003600BB"/>
    <w:rsid w:val="00361033"/>
    <w:rsid w:val="00362AEE"/>
    <w:rsid w:val="00363762"/>
    <w:rsid w:val="00363F3D"/>
    <w:rsid w:val="00372ECA"/>
    <w:rsid w:val="0037367B"/>
    <w:rsid w:val="003750CD"/>
    <w:rsid w:val="00380C19"/>
    <w:rsid w:val="003814E5"/>
    <w:rsid w:val="00381950"/>
    <w:rsid w:val="00384D4A"/>
    <w:rsid w:val="00387265"/>
    <w:rsid w:val="00387848"/>
    <w:rsid w:val="00387C03"/>
    <w:rsid w:val="00390352"/>
    <w:rsid w:val="003913B5"/>
    <w:rsid w:val="003916B2"/>
    <w:rsid w:val="00392F7E"/>
    <w:rsid w:val="003A1B9E"/>
    <w:rsid w:val="003A3F9C"/>
    <w:rsid w:val="003A4943"/>
    <w:rsid w:val="003A5BC5"/>
    <w:rsid w:val="003A7341"/>
    <w:rsid w:val="003B0519"/>
    <w:rsid w:val="003B6812"/>
    <w:rsid w:val="003C1619"/>
    <w:rsid w:val="003C3C10"/>
    <w:rsid w:val="003C57B2"/>
    <w:rsid w:val="003C5832"/>
    <w:rsid w:val="003C59F9"/>
    <w:rsid w:val="003D3C88"/>
    <w:rsid w:val="003D64BF"/>
    <w:rsid w:val="003D7669"/>
    <w:rsid w:val="003E2E08"/>
    <w:rsid w:val="003E2ED8"/>
    <w:rsid w:val="003E4013"/>
    <w:rsid w:val="003E46D0"/>
    <w:rsid w:val="003E4EE1"/>
    <w:rsid w:val="003E5F26"/>
    <w:rsid w:val="003E7085"/>
    <w:rsid w:val="003F1BFA"/>
    <w:rsid w:val="003F2A6C"/>
    <w:rsid w:val="003F5DDD"/>
    <w:rsid w:val="00407423"/>
    <w:rsid w:val="004074DE"/>
    <w:rsid w:val="00410DCE"/>
    <w:rsid w:val="00415F8D"/>
    <w:rsid w:val="00416AFC"/>
    <w:rsid w:val="004175A9"/>
    <w:rsid w:val="00417827"/>
    <w:rsid w:val="004200EC"/>
    <w:rsid w:val="0042478E"/>
    <w:rsid w:val="00424F8B"/>
    <w:rsid w:val="004265A4"/>
    <w:rsid w:val="00427903"/>
    <w:rsid w:val="004310B2"/>
    <w:rsid w:val="004324E9"/>
    <w:rsid w:val="0043278A"/>
    <w:rsid w:val="00433EB5"/>
    <w:rsid w:val="0043706E"/>
    <w:rsid w:val="00442002"/>
    <w:rsid w:val="00444712"/>
    <w:rsid w:val="00445702"/>
    <w:rsid w:val="0045001A"/>
    <w:rsid w:val="004508EA"/>
    <w:rsid w:val="004514ED"/>
    <w:rsid w:val="004523AA"/>
    <w:rsid w:val="00452B29"/>
    <w:rsid w:val="004541A8"/>
    <w:rsid w:val="00454E7C"/>
    <w:rsid w:val="0045508D"/>
    <w:rsid w:val="00455B41"/>
    <w:rsid w:val="00461F9A"/>
    <w:rsid w:val="00463806"/>
    <w:rsid w:val="0047161A"/>
    <w:rsid w:val="00471F3D"/>
    <w:rsid w:val="0047364E"/>
    <w:rsid w:val="0048573E"/>
    <w:rsid w:val="00486346"/>
    <w:rsid w:val="00494B13"/>
    <w:rsid w:val="00494CF6"/>
    <w:rsid w:val="00495435"/>
    <w:rsid w:val="004A0CA6"/>
    <w:rsid w:val="004A124A"/>
    <w:rsid w:val="004A236B"/>
    <w:rsid w:val="004A3A68"/>
    <w:rsid w:val="004A779D"/>
    <w:rsid w:val="004B299B"/>
    <w:rsid w:val="004B3078"/>
    <w:rsid w:val="004B42B1"/>
    <w:rsid w:val="004B4E6D"/>
    <w:rsid w:val="004B6B65"/>
    <w:rsid w:val="004B72B1"/>
    <w:rsid w:val="004C0BC0"/>
    <w:rsid w:val="004C0D12"/>
    <w:rsid w:val="004C0E94"/>
    <w:rsid w:val="004C1095"/>
    <w:rsid w:val="004C2969"/>
    <w:rsid w:val="004D63D9"/>
    <w:rsid w:val="004D6F47"/>
    <w:rsid w:val="004D790B"/>
    <w:rsid w:val="004E1C62"/>
    <w:rsid w:val="004E2791"/>
    <w:rsid w:val="004E410A"/>
    <w:rsid w:val="004F3378"/>
    <w:rsid w:val="004F4F07"/>
    <w:rsid w:val="004F78AA"/>
    <w:rsid w:val="00500C8A"/>
    <w:rsid w:val="00501B63"/>
    <w:rsid w:val="005053CC"/>
    <w:rsid w:val="00506737"/>
    <w:rsid w:val="00511233"/>
    <w:rsid w:val="005122B8"/>
    <w:rsid w:val="00512407"/>
    <w:rsid w:val="00512F12"/>
    <w:rsid w:val="00513579"/>
    <w:rsid w:val="005135F5"/>
    <w:rsid w:val="00514220"/>
    <w:rsid w:val="00516485"/>
    <w:rsid w:val="00520C5B"/>
    <w:rsid w:val="00521B11"/>
    <w:rsid w:val="00522E18"/>
    <w:rsid w:val="005240B5"/>
    <w:rsid w:val="00525266"/>
    <w:rsid w:val="005319AC"/>
    <w:rsid w:val="00534E5A"/>
    <w:rsid w:val="00536A9B"/>
    <w:rsid w:val="00540012"/>
    <w:rsid w:val="00540858"/>
    <w:rsid w:val="00540CC9"/>
    <w:rsid w:val="00545A88"/>
    <w:rsid w:val="005461EC"/>
    <w:rsid w:val="0054781C"/>
    <w:rsid w:val="00550CE0"/>
    <w:rsid w:val="00557620"/>
    <w:rsid w:val="005607B8"/>
    <w:rsid w:val="00562548"/>
    <w:rsid w:val="00564C02"/>
    <w:rsid w:val="0056769B"/>
    <w:rsid w:val="00572D82"/>
    <w:rsid w:val="00573E49"/>
    <w:rsid w:val="00575A25"/>
    <w:rsid w:val="00576063"/>
    <w:rsid w:val="00577C48"/>
    <w:rsid w:val="00577CE4"/>
    <w:rsid w:val="00584562"/>
    <w:rsid w:val="00584EAB"/>
    <w:rsid w:val="00586044"/>
    <w:rsid w:val="0058716F"/>
    <w:rsid w:val="0059098E"/>
    <w:rsid w:val="00591101"/>
    <w:rsid w:val="00592BBB"/>
    <w:rsid w:val="00596C74"/>
    <w:rsid w:val="00597BAB"/>
    <w:rsid w:val="00597F33"/>
    <w:rsid w:val="005A1831"/>
    <w:rsid w:val="005A1FB9"/>
    <w:rsid w:val="005A2207"/>
    <w:rsid w:val="005A68BA"/>
    <w:rsid w:val="005B0C9B"/>
    <w:rsid w:val="005B1645"/>
    <w:rsid w:val="005B190F"/>
    <w:rsid w:val="005C0210"/>
    <w:rsid w:val="005C0574"/>
    <w:rsid w:val="005C6EA6"/>
    <w:rsid w:val="005D05C2"/>
    <w:rsid w:val="005D7026"/>
    <w:rsid w:val="005E42DD"/>
    <w:rsid w:val="005E43D2"/>
    <w:rsid w:val="005E4B32"/>
    <w:rsid w:val="005E4E1D"/>
    <w:rsid w:val="005F1FC9"/>
    <w:rsid w:val="005F35AF"/>
    <w:rsid w:val="005F40B8"/>
    <w:rsid w:val="005F65AE"/>
    <w:rsid w:val="005F7BCF"/>
    <w:rsid w:val="00601818"/>
    <w:rsid w:val="00601EF6"/>
    <w:rsid w:val="00602B98"/>
    <w:rsid w:val="00604227"/>
    <w:rsid w:val="0060736C"/>
    <w:rsid w:val="006103AF"/>
    <w:rsid w:val="00613E7C"/>
    <w:rsid w:val="00616226"/>
    <w:rsid w:val="00621CC3"/>
    <w:rsid w:val="00626780"/>
    <w:rsid w:val="00627C6B"/>
    <w:rsid w:val="00630727"/>
    <w:rsid w:val="00636738"/>
    <w:rsid w:val="0063708C"/>
    <w:rsid w:val="0064230D"/>
    <w:rsid w:val="006500A5"/>
    <w:rsid w:val="00650B68"/>
    <w:rsid w:val="006518B8"/>
    <w:rsid w:val="00652981"/>
    <w:rsid w:val="0065332E"/>
    <w:rsid w:val="00653C8F"/>
    <w:rsid w:val="00655D2E"/>
    <w:rsid w:val="00656505"/>
    <w:rsid w:val="0065652C"/>
    <w:rsid w:val="00661050"/>
    <w:rsid w:val="00666738"/>
    <w:rsid w:val="00666ADC"/>
    <w:rsid w:val="00670B21"/>
    <w:rsid w:val="00671099"/>
    <w:rsid w:val="006745D8"/>
    <w:rsid w:val="006764EF"/>
    <w:rsid w:val="00677114"/>
    <w:rsid w:val="00677989"/>
    <w:rsid w:val="00677D1C"/>
    <w:rsid w:val="00681411"/>
    <w:rsid w:val="00683222"/>
    <w:rsid w:val="00683B3D"/>
    <w:rsid w:val="00684567"/>
    <w:rsid w:val="00685C74"/>
    <w:rsid w:val="00686D06"/>
    <w:rsid w:val="00691B4F"/>
    <w:rsid w:val="006B1E78"/>
    <w:rsid w:val="006B5437"/>
    <w:rsid w:val="006C4474"/>
    <w:rsid w:val="006C5675"/>
    <w:rsid w:val="006D1278"/>
    <w:rsid w:val="006D2D95"/>
    <w:rsid w:val="006D3B72"/>
    <w:rsid w:val="006D4B90"/>
    <w:rsid w:val="006D5B5B"/>
    <w:rsid w:val="006D7748"/>
    <w:rsid w:val="006E3AF7"/>
    <w:rsid w:val="006E4D66"/>
    <w:rsid w:val="006E50EA"/>
    <w:rsid w:val="006E54DB"/>
    <w:rsid w:val="006E5BCD"/>
    <w:rsid w:val="006F01D1"/>
    <w:rsid w:val="006F0F3E"/>
    <w:rsid w:val="006F1AAD"/>
    <w:rsid w:val="006F1F6A"/>
    <w:rsid w:val="006F378A"/>
    <w:rsid w:val="006F41D2"/>
    <w:rsid w:val="007037FE"/>
    <w:rsid w:val="00704BF3"/>
    <w:rsid w:val="00706462"/>
    <w:rsid w:val="00712DB9"/>
    <w:rsid w:val="0071486F"/>
    <w:rsid w:val="00722D19"/>
    <w:rsid w:val="00722FBB"/>
    <w:rsid w:val="007231D3"/>
    <w:rsid w:val="0073185F"/>
    <w:rsid w:val="00732422"/>
    <w:rsid w:val="00732BA8"/>
    <w:rsid w:val="007333E3"/>
    <w:rsid w:val="00736589"/>
    <w:rsid w:val="0074100C"/>
    <w:rsid w:val="007454A4"/>
    <w:rsid w:val="00745F14"/>
    <w:rsid w:val="00750A86"/>
    <w:rsid w:val="007512DF"/>
    <w:rsid w:val="00756827"/>
    <w:rsid w:val="007628F3"/>
    <w:rsid w:val="00762E41"/>
    <w:rsid w:val="007650A6"/>
    <w:rsid w:val="00765198"/>
    <w:rsid w:val="0076547B"/>
    <w:rsid w:val="00771361"/>
    <w:rsid w:val="00771371"/>
    <w:rsid w:val="00772E77"/>
    <w:rsid w:val="00774D25"/>
    <w:rsid w:val="007807F1"/>
    <w:rsid w:val="00781C75"/>
    <w:rsid w:val="007835D4"/>
    <w:rsid w:val="0078443B"/>
    <w:rsid w:val="00784443"/>
    <w:rsid w:val="007877EC"/>
    <w:rsid w:val="00787D90"/>
    <w:rsid w:val="00787E0D"/>
    <w:rsid w:val="00790C8D"/>
    <w:rsid w:val="00793DB0"/>
    <w:rsid w:val="00797711"/>
    <w:rsid w:val="007A454A"/>
    <w:rsid w:val="007A5ECE"/>
    <w:rsid w:val="007A6000"/>
    <w:rsid w:val="007A78E9"/>
    <w:rsid w:val="007B2FE2"/>
    <w:rsid w:val="007B2FFF"/>
    <w:rsid w:val="007B5E6B"/>
    <w:rsid w:val="007C0541"/>
    <w:rsid w:val="007C2464"/>
    <w:rsid w:val="007C2ABF"/>
    <w:rsid w:val="007C5390"/>
    <w:rsid w:val="007C6724"/>
    <w:rsid w:val="007D1852"/>
    <w:rsid w:val="007D26D7"/>
    <w:rsid w:val="007D3586"/>
    <w:rsid w:val="007D439F"/>
    <w:rsid w:val="007D559C"/>
    <w:rsid w:val="007D5FEE"/>
    <w:rsid w:val="007D6B91"/>
    <w:rsid w:val="007D6FCE"/>
    <w:rsid w:val="007E643C"/>
    <w:rsid w:val="007E766C"/>
    <w:rsid w:val="007E7B19"/>
    <w:rsid w:val="007F06D2"/>
    <w:rsid w:val="007F29F3"/>
    <w:rsid w:val="007F52B7"/>
    <w:rsid w:val="007F7CF7"/>
    <w:rsid w:val="00802BEE"/>
    <w:rsid w:val="008043A3"/>
    <w:rsid w:val="008062EE"/>
    <w:rsid w:val="00807B06"/>
    <w:rsid w:val="008148BF"/>
    <w:rsid w:val="00815E04"/>
    <w:rsid w:val="00816C2F"/>
    <w:rsid w:val="00816CE4"/>
    <w:rsid w:val="00821A16"/>
    <w:rsid w:val="00825BC8"/>
    <w:rsid w:val="0083384F"/>
    <w:rsid w:val="008345A5"/>
    <w:rsid w:val="00834980"/>
    <w:rsid w:val="00835A82"/>
    <w:rsid w:val="00836EFA"/>
    <w:rsid w:val="008412A7"/>
    <w:rsid w:val="00841B56"/>
    <w:rsid w:val="00842144"/>
    <w:rsid w:val="00842CC0"/>
    <w:rsid w:val="00843D7D"/>
    <w:rsid w:val="0084490D"/>
    <w:rsid w:val="00846F74"/>
    <w:rsid w:val="00850107"/>
    <w:rsid w:val="008527A3"/>
    <w:rsid w:val="00853F69"/>
    <w:rsid w:val="00854771"/>
    <w:rsid w:val="00854B58"/>
    <w:rsid w:val="008565EA"/>
    <w:rsid w:val="00857638"/>
    <w:rsid w:val="00860DFD"/>
    <w:rsid w:val="00862FDB"/>
    <w:rsid w:val="00864568"/>
    <w:rsid w:val="0086495B"/>
    <w:rsid w:val="00865097"/>
    <w:rsid w:val="00865C09"/>
    <w:rsid w:val="00865C16"/>
    <w:rsid w:val="00866B6C"/>
    <w:rsid w:val="00874975"/>
    <w:rsid w:val="008803E2"/>
    <w:rsid w:val="00880F5F"/>
    <w:rsid w:val="008818F8"/>
    <w:rsid w:val="0088296E"/>
    <w:rsid w:val="00884B4E"/>
    <w:rsid w:val="0088609D"/>
    <w:rsid w:val="008874B6"/>
    <w:rsid w:val="00887EED"/>
    <w:rsid w:val="00892542"/>
    <w:rsid w:val="0089264A"/>
    <w:rsid w:val="00894F59"/>
    <w:rsid w:val="00895E0B"/>
    <w:rsid w:val="00897FF7"/>
    <w:rsid w:val="008A282E"/>
    <w:rsid w:val="008A521C"/>
    <w:rsid w:val="008B387A"/>
    <w:rsid w:val="008B5786"/>
    <w:rsid w:val="008C5F6B"/>
    <w:rsid w:val="008D63F2"/>
    <w:rsid w:val="008E2343"/>
    <w:rsid w:val="008E49EE"/>
    <w:rsid w:val="008E5216"/>
    <w:rsid w:val="008E617D"/>
    <w:rsid w:val="008E6D73"/>
    <w:rsid w:val="008E74BD"/>
    <w:rsid w:val="008F1026"/>
    <w:rsid w:val="008F152A"/>
    <w:rsid w:val="008F164F"/>
    <w:rsid w:val="008F7C8C"/>
    <w:rsid w:val="00906AAD"/>
    <w:rsid w:val="009070EB"/>
    <w:rsid w:val="00912C9B"/>
    <w:rsid w:val="00913378"/>
    <w:rsid w:val="009168E2"/>
    <w:rsid w:val="00916D45"/>
    <w:rsid w:val="009217B1"/>
    <w:rsid w:val="00922819"/>
    <w:rsid w:val="0092495B"/>
    <w:rsid w:val="009266BB"/>
    <w:rsid w:val="009310C5"/>
    <w:rsid w:val="00933926"/>
    <w:rsid w:val="00936398"/>
    <w:rsid w:val="00941078"/>
    <w:rsid w:val="00941121"/>
    <w:rsid w:val="00941782"/>
    <w:rsid w:val="00944450"/>
    <w:rsid w:val="00945E8D"/>
    <w:rsid w:val="00946D97"/>
    <w:rsid w:val="009523D3"/>
    <w:rsid w:val="0095297B"/>
    <w:rsid w:val="00955258"/>
    <w:rsid w:val="00955D68"/>
    <w:rsid w:val="00956168"/>
    <w:rsid w:val="00956CC5"/>
    <w:rsid w:val="00960B43"/>
    <w:rsid w:val="00961385"/>
    <w:rsid w:val="0096276B"/>
    <w:rsid w:val="00967200"/>
    <w:rsid w:val="00967862"/>
    <w:rsid w:val="00970D9C"/>
    <w:rsid w:val="00971111"/>
    <w:rsid w:val="00971D40"/>
    <w:rsid w:val="00981455"/>
    <w:rsid w:val="009814CF"/>
    <w:rsid w:val="00981F52"/>
    <w:rsid w:val="00983016"/>
    <w:rsid w:val="00983611"/>
    <w:rsid w:val="00984801"/>
    <w:rsid w:val="00987B57"/>
    <w:rsid w:val="0099282F"/>
    <w:rsid w:val="00997741"/>
    <w:rsid w:val="0099787D"/>
    <w:rsid w:val="009A21EB"/>
    <w:rsid w:val="009A348E"/>
    <w:rsid w:val="009A4DD6"/>
    <w:rsid w:val="009A4E65"/>
    <w:rsid w:val="009A7E29"/>
    <w:rsid w:val="009B2B4C"/>
    <w:rsid w:val="009B5071"/>
    <w:rsid w:val="009B73DF"/>
    <w:rsid w:val="009C0226"/>
    <w:rsid w:val="009C117C"/>
    <w:rsid w:val="009D09D4"/>
    <w:rsid w:val="009D170B"/>
    <w:rsid w:val="009D1B3A"/>
    <w:rsid w:val="009D1F8A"/>
    <w:rsid w:val="009D2062"/>
    <w:rsid w:val="009D41AA"/>
    <w:rsid w:val="009D5C39"/>
    <w:rsid w:val="009D7342"/>
    <w:rsid w:val="009D7E2D"/>
    <w:rsid w:val="009E1031"/>
    <w:rsid w:val="009E2278"/>
    <w:rsid w:val="009E395A"/>
    <w:rsid w:val="009E3F1E"/>
    <w:rsid w:val="009E4517"/>
    <w:rsid w:val="009F10A8"/>
    <w:rsid w:val="009F1A52"/>
    <w:rsid w:val="009F383E"/>
    <w:rsid w:val="009F473B"/>
    <w:rsid w:val="009F4F6C"/>
    <w:rsid w:val="009F5AF7"/>
    <w:rsid w:val="009F739E"/>
    <w:rsid w:val="00A066E9"/>
    <w:rsid w:val="00A105DA"/>
    <w:rsid w:val="00A133AB"/>
    <w:rsid w:val="00A14383"/>
    <w:rsid w:val="00A14544"/>
    <w:rsid w:val="00A154CB"/>
    <w:rsid w:val="00A1734B"/>
    <w:rsid w:val="00A20452"/>
    <w:rsid w:val="00A22EBC"/>
    <w:rsid w:val="00A23978"/>
    <w:rsid w:val="00A249E2"/>
    <w:rsid w:val="00A30080"/>
    <w:rsid w:val="00A3136F"/>
    <w:rsid w:val="00A31B1B"/>
    <w:rsid w:val="00A31BAF"/>
    <w:rsid w:val="00A33CCC"/>
    <w:rsid w:val="00A34496"/>
    <w:rsid w:val="00A35D27"/>
    <w:rsid w:val="00A362E8"/>
    <w:rsid w:val="00A373CF"/>
    <w:rsid w:val="00A37959"/>
    <w:rsid w:val="00A37EC9"/>
    <w:rsid w:val="00A443AF"/>
    <w:rsid w:val="00A45AC4"/>
    <w:rsid w:val="00A46EED"/>
    <w:rsid w:val="00A47416"/>
    <w:rsid w:val="00A47825"/>
    <w:rsid w:val="00A513BC"/>
    <w:rsid w:val="00A51E38"/>
    <w:rsid w:val="00A52953"/>
    <w:rsid w:val="00A52C17"/>
    <w:rsid w:val="00A53337"/>
    <w:rsid w:val="00A53A9E"/>
    <w:rsid w:val="00A544A9"/>
    <w:rsid w:val="00A54DA4"/>
    <w:rsid w:val="00A55E49"/>
    <w:rsid w:val="00A61319"/>
    <w:rsid w:val="00A614F0"/>
    <w:rsid w:val="00A6540F"/>
    <w:rsid w:val="00A7080E"/>
    <w:rsid w:val="00A73302"/>
    <w:rsid w:val="00A7650D"/>
    <w:rsid w:val="00A76E37"/>
    <w:rsid w:val="00A80F31"/>
    <w:rsid w:val="00A80F61"/>
    <w:rsid w:val="00A81D1F"/>
    <w:rsid w:val="00A85571"/>
    <w:rsid w:val="00A867F9"/>
    <w:rsid w:val="00A86D76"/>
    <w:rsid w:val="00A87C82"/>
    <w:rsid w:val="00A90958"/>
    <w:rsid w:val="00A97090"/>
    <w:rsid w:val="00AA25A5"/>
    <w:rsid w:val="00AA3475"/>
    <w:rsid w:val="00AA42A7"/>
    <w:rsid w:val="00AA66F0"/>
    <w:rsid w:val="00AB11BA"/>
    <w:rsid w:val="00AB2874"/>
    <w:rsid w:val="00AB5973"/>
    <w:rsid w:val="00AB71BD"/>
    <w:rsid w:val="00AC009B"/>
    <w:rsid w:val="00AC2DA3"/>
    <w:rsid w:val="00AC455F"/>
    <w:rsid w:val="00AC5479"/>
    <w:rsid w:val="00AC7B63"/>
    <w:rsid w:val="00AD0949"/>
    <w:rsid w:val="00AD0C82"/>
    <w:rsid w:val="00AD32D4"/>
    <w:rsid w:val="00AD4F96"/>
    <w:rsid w:val="00AD5464"/>
    <w:rsid w:val="00AD55A4"/>
    <w:rsid w:val="00AD5DF3"/>
    <w:rsid w:val="00AD7DF0"/>
    <w:rsid w:val="00AE3048"/>
    <w:rsid w:val="00AE5E6D"/>
    <w:rsid w:val="00AE6EB8"/>
    <w:rsid w:val="00AE73C4"/>
    <w:rsid w:val="00AE7734"/>
    <w:rsid w:val="00AF202A"/>
    <w:rsid w:val="00AF2A77"/>
    <w:rsid w:val="00AF3409"/>
    <w:rsid w:val="00AF77E4"/>
    <w:rsid w:val="00B001E7"/>
    <w:rsid w:val="00B03C0E"/>
    <w:rsid w:val="00B0466C"/>
    <w:rsid w:val="00B05DAD"/>
    <w:rsid w:val="00B12A06"/>
    <w:rsid w:val="00B15005"/>
    <w:rsid w:val="00B160AE"/>
    <w:rsid w:val="00B17F64"/>
    <w:rsid w:val="00B20A01"/>
    <w:rsid w:val="00B23323"/>
    <w:rsid w:val="00B34DE6"/>
    <w:rsid w:val="00B3725F"/>
    <w:rsid w:val="00B4135D"/>
    <w:rsid w:val="00B4213B"/>
    <w:rsid w:val="00B45087"/>
    <w:rsid w:val="00B4508A"/>
    <w:rsid w:val="00B500C2"/>
    <w:rsid w:val="00B5174E"/>
    <w:rsid w:val="00B53606"/>
    <w:rsid w:val="00B54253"/>
    <w:rsid w:val="00B544B2"/>
    <w:rsid w:val="00B55DD4"/>
    <w:rsid w:val="00B55E25"/>
    <w:rsid w:val="00B61E49"/>
    <w:rsid w:val="00B626B4"/>
    <w:rsid w:val="00B64A1A"/>
    <w:rsid w:val="00B66957"/>
    <w:rsid w:val="00B67F8D"/>
    <w:rsid w:val="00B7106A"/>
    <w:rsid w:val="00B7161F"/>
    <w:rsid w:val="00B73F23"/>
    <w:rsid w:val="00B7446D"/>
    <w:rsid w:val="00B8006C"/>
    <w:rsid w:val="00B812DE"/>
    <w:rsid w:val="00B8196C"/>
    <w:rsid w:val="00B84C5B"/>
    <w:rsid w:val="00B86EE4"/>
    <w:rsid w:val="00B87488"/>
    <w:rsid w:val="00B879F5"/>
    <w:rsid w:val="00B87A9B"/>
    <w:rsid w:val="00B87E87"/>
    <w:rsid w:val="00B91A86"/>
    <w:rsid w:val="00B92042"/>
    <w:rsid w:val="00B925B8"/>
    <w:rsid w:val="00B94D26"/>
    <w:rsid w:val="00B95F47"/>
    <w:rsid w:val="00B967EA"/>
    <w:rsid w:val="00B96BC1"/>
    <w:rsid w:val="00BA02F6"/>
    <w:rsid w:val="00BB1EFC"/>
    <w:rsid w:val="00BB2FFC"/>
    <w:rsid w:val="00BB352D"/>
    <w:rsid w:val="00BB477E"/>
    <w:rsid w:val="00BB51C2"/>
    <w:rsid w:val="00BC1FCC"/>
    <w:rsid w:val="00BC2D98"/>
    <w:rsid w:val="00BC47F5"/>
    <w:rsid w:val="00BD110D"/>
    <w:rsid w:val="00BD3B55"/>
    <w:rsid w:val="00BD7188"/>
    <w:rsid w:val="00BD7B89"/>
    <w:rsid w:val="00BE1178"/>
    <w:rsid w:val="00BE1519"/>
    <w:rsid w:val="00BE24FB"/>
    <w:rsid w:val="00BE44F3"/>
    <w:rsid w:val="00BE707C"/>
    <w:rsid w:val="00BE761B"/>
    <w:rsid w:val="00BF3D87"/>
    <w:rsid w:val="00BF43D1"/>
    <w:rsid w:val="00C013F8"/>
    <w:rsid w:val="00C021D3"/>
    <w:rsid w:val="00C02E12"/>
    <w:rsid w:val="00C05907"/>
    <w:rsid w:val="00C07D96"/>
    <w:rsid w:val="00C10D83"/>
    <w:rsid w:val="00C110EB"/>
    <w:rsid w:val="00C1184D"/>
    <w:rsid w:val="00C11F41"/>
    <w:rsid w:val="00C124A2"/>
    <w:rsid w:val="00C13611"/>
    <w:rsid w:val="00C14B51"/>
    <w:rsid w:val="00C14C63"/>
    <w:rsid w:val="00C155CD"/>
    <w:rsid w:val="00C16406"/>
    <w:rsid w:val="00C20196"/>
    <w:rsid w:val="00C20323"/>
    <w:rsid w:val="00C25155"/>
    <w:rsid w:val="00C27044"/>
    <w:rsid w:val="00C2752F"/>
    <w:rsid w:val="00C3071B"/>
    <w:rsid w:val="00C319CE"/>
    <w:rsid w:val="00C338DC"/>
    <w:rsid w:val="00C33D9D"/>
    <w:rsid w:val="00C34FAA"/>
    <w:rsid w:val="00C40A74"/>
    <w:rsid w:val="00C422F6"/>
    <w:rsid w:val="00C428E2"/>
    <w:rsid w:val="00C43F4B"/>
    <w:rsid w:val="00C44637"/>
    <w:rsid w:val="00C47041"/>
    <w:rsid w:val="00C47CAF"/>
    <w:rsid w:val="00C512E4"/>
    <w:rsid w:val="00C523A3"/>
    <w:rsid w:val="00C53D1D"/>
    <w:rsid w:val="00C542CE"/>
    <w:rsid w:val="00C574B9"/>
    <w:rsid w:val="00C60506"/>
    <w:rsid w:val="00C61E3E"/>
    <w:rsid w:val="00C6292F"/>
    <w:rsid w:val="00C63E6C"/>
    <w:rsid w:val="00C6403D"/>
    <w:rsid w:val="00C65DAC"/>
    <w:rsid w:val="00C65E67"/>
    <w:rsid w:val="00C70D29"/>
    <w:rsid w:val="00C73A3B"/>
    <w:rsid w:val="00C73D2B"/>
    <w:rsid w:val="00C7505F"/>
    <w:rsid w:val="00C750A8"/>
    <w:rsid w:val="00C75E42"/>
    <w:rsid w:val="00C777A7"/>
    <w:rsid w:val="00C77A86"/>
    <w:rsid w:val="00C84EF9"/>
    <w:rsid w:val="00C8511B"/>
    <w:rsid w:val="00C855EE"/>
    <w:rsid w:val="00C85A82"/>
    <w:rsid w:val="00C85AC0"/>
    <w:rsid w:val="00C86AF5"/>
    <w:rsid w:val="00C86D49"/>
    <w:rsid w:val="00C917BA"/>
    <w:rsid w:val="00C91D3C"/>
    <w:rsid w:val="00C92A9F"/>
    <w:rsid w:val="00C9366A"/>
    <w:rsid w:val="00C94F69"/>
    <w:rsid w:val="00C9571F"/>
    <w:rsid w:val="00CA2515"/>
    <w:rsid w:val="00CA2783"/>
    <w:rsid w:val="00CA3E1A"/>
    <w:rsid w:val="00CA50C0"/>
    <w:rsid w:val="00CA5E0C"/>
    <w:rsid w:val="00CA6E61"/>
    <w:rsid w:val="00CA723D"/>
    <w:rsid w:val="00CB6621"/>
    <w:rsid w:val="00CC5365"/>
    <w:rsid w:val="00CC6532"/>
    <w:rsid w:val="00CC70B8"/>
    <w:rsid w:val="00CD0B12"/>
    <w:rsid w:val="00CD48C8"/>
    <w:rsid w:val="00CD7BE9"/>
    <w:rsid w:val="00CE0403"/>
    <w:rsid w:val="00CE078A"/>
    <w:rsid w:val="00CE732E"/>
    <w:rsid w:val="00CF48EE"/>
    <w:rsid w:val="00CF5FA9"/>
    <w:rsid w:val="00CF75E0"/>
    <w:rsid w:val="00D00E3B"/>
    <w:rsid w:val="00D06ED0"/>
    <w:rsid w:val="00D0717B"/>
    <w:rsid w:val="00D111BF"/>
    <w:rsid w:val="00D11682"/>
    <w:rsid w:val="00D12566"/>
    <w:rsid w:val="00D14B0F"/>
    <w:rsid w:val="00D15EC6"/>
    <w:rsid w:val="00D17CF0"/>
    <w:rsid w:val="00D25D4B"/>
    <w:rsid w:val="00D26214"/>
    <w:rsid w:val="00D265C3"/>
    <w:rsid w:val="00D32641"/>
    <w:rsid w:val="00D33A59"/>
    <w:rsid w:val="00D36322"/>
    <w:rsid w:val="00D4117A"/>
    <w:rsid w:val="00D47B42"/>
    <w:rsid w:val="00D5014D"/>
    <w:rsid w:val="00D50182"/>
    <w:rsid w:val="00D523CD"/>
    <w:rsid w:val="00D52AF3"/>
    <w:rsid w:val="00D53779"/>
    <w:rsid w:val="00D53825"/>
    <w:rsid w:val="00D53E68"/>
    <w:rsid w:val="00D55F9D"/>
    <w:rsid w:val="00D564A5"/>
    <w:rsid w:val="00D60A53"/>
    <w:rsid w:val="00D62DD3"/>
    <w:rsid w:val="00D63F6C"/>
    <w:rsid w:val="00D648CE"/>
    <w:rsid w:val="00D665AB"/>
    <w:rsid w:val="00D67A1A"/>
    <w:rsid w:val="00D70B46"/>
    <w:rsid w:val="00D70BDA"/>
    <w:rsid w:val="00D70E05"/>
    <w:rsid w:val="00D74F30"/>
    <w:rsid w:val="00D76371"/>
    <w:rsid w:val="00D7680E"/>
    <w:rsid w:val="00D77BD3"/>
    <w:rsid w:val="00D77E9F"/>
    <w:rsid w:val="00D87ACC"/>
    <w:rsid w:val="00D90543"/>
    <w:rsid w:val="00D96D96"/>
    <w:rsid w:val="00D97486"/>
    <w:rsid w:val="00D97E0B"/>
    <w:rsid w:val="00DA43A2"/>
    <w:rsid w:val="00DA542F"/>
    <w:rsid w:val="00DA6682"/>
    <w:rsid w:val="00DB5108"/>
    <w:rsid w:val="00DB6C93"/>
    <w:rsid w:val="00DB7B97"/>
    <w:rsid w:val="00DC0483"/>
    <w:rsid w:val="00DC0A4B"/>
    <w:rsid w:val="00DC2362"/>
    <w:rsid w:val="00DC3AAE"/>
    <w:rsid w:val="00DC3FED"/>
    <w:rsid w:val="00DC564D"/>
    <w:rsid w:val="00DC6DC7"/>
    <w:rsid w:val="00DD05E1"/>
    <w:rsid w:val="00DD54B9"/>
    <w:rsid w:val="00DD5C84"/>
    <w:rsid w:val="00DD6FD8"/>
    <w:rsid w:val="00DE0B62"/>
    <w:rsid w:val="00DE391B"/>
    <w:rsid w:val="00DF2608"/>
    <w:rsid w:val="00DF4FC3"/>
    <w:rsid w:val="00DF536E"/>
    <w:rsid w:val="00E01A02"/>
    <w:rsid w:val="00E04F4D"/>
    <w:rsid w:val="00E064A2"/>
    <w:rsid w:val="00E144D2"/>
    <w:rsid w:val="00E253BB"/>
    <w:rsid w:val="00E26F31"/>
    <w:rsid w:val="00E30046"/>
    <w:rsid w:val="00E322D4"/>
    <w:rsid w:val="00E404B4"/>
    <w:rsid w:val="00E4158E"/>
    <w:rsid w:val="00E41840"/>
    <w:rsid w:val="00E45AE8"/>
    <w:rsid w:val="00E46B17"/>
    <w:rsid w:val="00E472F1"/>
    <w:rsid w:val="00E52AAE"/>
    <w:rsid w:val="00E53B7F"/>
    <w:rsid w:val="00E5540D"/>
    <w:rsid w:val="00E57B45"/>
    <w:rsid w:val="00E57D83"/>
    <w:rsid w:val="00E610AA"/>
    <w:rsid w:val="00E61B0B"/>
    <w:rsid w:val="00E63791"/>
    <w:rsid w:val="00E63830"/>
    <w:rsid w:val="00E64831"/>
    <w:rsid w:val="00E6543B"/>
    <w:rsid w:val="00E7028C"/>
    <w:rsid w:val="00E80C57"/>
    <w:rsid w:val="00E81991"/>
    <w:rsid w:val="00E8355D"/>
    <w:rsid w:val="00E846B3"/>
    <w:rsid w:val="00E84DA3"/>
    <w:rsid w:val="00E85AB6"/>
    <w:rsid w:val="00E85E89"/>
    <w:rsid w:val="00E861B8"/>
    <w:rsid w:val="00E90543"/>
    <w:rsid w:val="00E94A7F"/>
    <w:rsid w:val="00E95C2C"/>
    <w:rsid w:val="00EA1952"/>
    <w:rsid w:val="00EA4D37"/>
    <w:rsid w:val="00EA620B"/>
    <w:rsid w:val="00EA7BE3"/>
    <w:rsid w:val="00EB0ACD"/>
    <w:rsid w:val="00EB141C"/>
    <w:rsid w:val="00EB2D97"/>
    <w:rsid w:val="00EB3772"/>
    <w:rsid w:val="00EB5262"/>
    <w:rsid w:val="00EB583D"/>
    <w:rsid w:val="00EB7EC1"/>
    <w:rsid w:val="00EC23FF"/>
    <w:rsid w:val="00EC257B"/>
    <w:rsid w:val="00EC4F14"/>
    <w:rsid w:val="00ED4BB7"/>
    <w:rsid w:val="00ED6A78"/>
    <w:rsid w:val="00ED6BDB"/>
    <w:rsid w:val="00EE1DDA"/>
    <w:rsid w:val="00EF0FE3"/>
    <w:rsid w:val="00EF207F"/>
    <w:rsid w:val="00EF493F"/>
    <w:rsid w:val="00F01CEC"/>
    <w:rsid w:val="00F033DA"/>
    <w:rsid w:val="00F0566A"/>
    <w:rsid w:val="00F142A5"/>
    <w:rsid w:val="00F15BB7"/>
    <w:rsid w:val="00F16155"/>
    <w:rsid w:val="00F1692F"/>
    <w:rsid w:val="00F17920"/>
    <w:rsid w:val="00F212F2"/>
    <w:rsid w:val="00F234D7"/>
    <w:rsid w:val="00F24A9B"/>
    <w:rsid w:val="00F24F6C"/>
    <w:rsid w:val="00F273D6"/>
    <w:rsid w:val="00F27BCB"/>
    <w:rsid w:val="00F31B47"/>
    <w:rsid w:val="00F31CA3"/>
    <w:rsid w:val="00F33C28"/>
    <w:rsid w:val="00F33E7F"/>
    <w:rsid w:val="00F40805"/>
    <w:rsid w:val="00F43D00"/>
    <w:rsid w:val="00F44B5E"/>
    <w:rsid w:val="00F46350"/>
    <w:rsid w:val="00F4640C"/>
    <w:rsid w:val="00F51484"/>
    <w:rsid w:val="00F51EDC"/>
    <w:rsid w:val="00F579C6"/>
    <w:rsid w:val="00F6238B"/>
    <w:rsid w:val="00F62D20"/>
    <w:rsid w:val="00F66E94"/>
    <w:rsid w:val="00F67A45"/>
    <w:rsid w:val="00F7125C"/>
    <w:rsid w:val="00F7169D"/>
    <w:rsid w:val="00F744DB"/>
    <w:rsid w:val="00F748C2"/>
    <w:rsid w:val="00F77998"/>
    <w:rsid w:val="00F81511"/>
    <w:rsid w:val="00F8194F"/>
    <w:rsid w:val="00F81FC8"/>
    <w:rsid w:val="00F83C39"/>
    <w:rsid w:val="00F83CE8"/>
    <w:rsid w:val="00F854DD"/>
    <w:rsid w:val="00F86AA0"/>
    <w:rsid w:val="00F910C8"/>
    <w:rsid w:val="00F9302D"/>
    <w:rsid w:val="00F94597"/>
    <w:rsid w:val="00FA0160"/>
    <w:rsid w:val="00FA1D0B"/>
    <w:rsid w:val="00FA1FE0"/>
    <w:rsid w:val="00FA2138"/>
    <w:rsid w:val="00FA3F8C"/>
    <w:rsid w:val="00FA4CE8"/>
    <w:rsid w:val="00FA4E1E"/>
    <w:rsid w:val="00FB39FE"/>
    <w:rsid w:val="00FB54F8"/>
    <w:rsid w:val="00FB6F58"/>
    <w:rsid w:val="00FC1CD5"/>
    <w:rsid w:val="00FC2E88"/>
    <w:rsid w:val="00FC2F13"/>
    <w:rsid w:val="00FC4575"/>
    <w:rsid w:val="00FC5BAB"/>
    <w:rsid w:val="00FD0E8A"/>
    <w:rsid w:val="00FD27EC"/>
    <w:rsid w:val="00FD51B2"/>
    <w:rsid w:val="00FD65B5"/>
    <w:rsid w:val="00FD7591"/>
    <w:rsid w:val="00FE37D8"/>
    <w:rsid w:val="00FE6993"/>
    <w:rsid w:val="00FE6FF1"/>
    <w:rsid w:val="00FF0251"/>
    <w:rsid w:val="00FF0807"/>
    <w:rsid w:val="00FF0926"/>
    <w:rsid w:val="00FF2D75"/>
    <w:rsid w:val="00FF2EDF"/>
    <w:rsid w:val="00FF4835"/>
    <w:rsid w:val="00FF4BA8"/>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02714"/>
  <w15:docId w15:val="{DA8ADE1D-2189-5C4C-8517-2E2D6334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BC4"/>
  </w:style>
  <w:style w:type="paragraph" w:styleId="Heading1">
    <w:name w:val="heading 1"/>
    <w:basedOn w:val="Normal"/>
    <w:next w:val="Normal"/>
    <w:link w:val="Heading1Char"/>
    <w:uiPriority w:val="9"/>
    <w:qFormat/>
    <w:rsid w:val="00DC7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FF5BC4"/>
    <w:pPr>
      <w:keepNext/>
      <w:shd w:val="pct15" w:color="auto" w:fill="FFFFFF"/>
      <w:jc w:val="center"/>
      <w:outlineLvl w:val="2"/>
    </w:pPr>
    <w:rPr>
      <w:rFonts w:ascii="Arial" w:hAnsi="Arial"/>
      <w:bCs/>
    </w:rPr>
  </w:style>
  <w:style w:type="paragraph" w:styleId="Heading4">
    <w:name w:val="heading 4"/>
    <w:basedOn w:val="Normal"/>
    <w:next w:val="Normal"/>
    <w:uiPriority w:val="9"/>
    <w:semiHidden/>
    <w:unhideWhenUsed/>
    <w:qFormat/>
    <w:rsid w:val="00FF5BC4"/>
    <w:pPr>
      <w:keepNext/>
      <w:jc w:val="center"/>
      <w:outlineLvl w:val="3"/>
    </w:pPr>
    <w:rPr>
      <w:sz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rsid w:val="00FF5BC4"/>
    <w:pPr>
      <w:widowControl/>
    </w:pPr>
    <w:rPr>
      <w:rFonts w:ascii="Univers" w:hAnsi="Univers"/>
      <w:sz w:val="22"/>
    </w:rPr>
  </w:style>
  <w:style w:type="paragraph" w:styleId="BodyText2">
    <w:name w:val="Body Text 2"/>
    <w:basedOn w:val="Normal"/>
    <w:link w:val="BodyText2Char"/>
    <w:rsid w:val="00FF5BC4"/>
    <w:pPr>
      <w:widowControl/>
    </w:pPr>
    <w:rPr>
      <w:rFonts w:ascii="Arial" w:hAnsi="Arial"/>
      <w:sz w:val="20"/>
    </w:rPr>
  </w:style>
  <w:style w:type="paragraph" w:styleId="BodyText3">
    <w:name w:val="Body Text 3"/>
    <w:basedOn w:val="Normal"/>
    <w:rsid w:val="00FF5BC4"/>
    <w:pPr>
      <w:jc w:val="both"/>
    </w:pPr>
  </w:style>
  <w:style w:type="paragraph" w:styleId="Header">
    <w:name w:val="header"/>
    <w:basedOn w:val="Normal"/>
    <w:link w:val="HeaderChar"/>
    <w:uiPriority w:val="99"/>
    <w:rsid w:val="00FF5BC4"/>
    <w:pPr>
      <w:tabs>
        <w:tab w:val="center" w:pos="4320"/>
        <w:tab w:val="right" w:pos="8640"/>
      </w:tabs>
    </w:pPr>
  </w:style>
  <w:style w:type="paragraph" w:styleId="Footer">
    <w:name w:val="footer"/>
    <w:basedOn w:val="Normal"/>
    <w:link w:val="FooterChar"/>
    <w:uiPriority w:val="99"/>
    <w:rsid w:val="00FF5BC4"/>
    <w:pPr>
      <w:tabs>
        <w:tab w:val="center" w:pos="4320"/>
        <w:tab w:val="right" w:pos="8640"/>
      </w:tabs>
    </w:pPr>
  </w:style>
  <w:style w:type="table" w:styleId="TableGrid">
    <w:name w:val="Table Grid"/>
    <w:basedOn w:val="TableNormal"/>
    <w:rsid w:val="00801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C7354"/>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A210CD"/>
    <w:rPr>
      <w:sz w:val="24"/>
    </w:rPr>
  </w:style>
  <w:style w:type="paragraph" w:styleId="FootnoteText">
    <w:name w:val="footnote text"/>
    <w:basedOn w:val="Normal"/>
    <w:link w:val="FootnoteTextChar"/>
    <w:rsid w:val="001F3524"/>
    <w:rPr>
      <w:sz w:val="20"/>
    </w:rPr>
  </w:style>
  <w:style w:type="character" w:customStyle="1" w:styleId="FootnoteTextChar">
    <w:name w:val="Footnote Text Char"/>
    <w:basedOn w:val="DefaultParagraphFont"/>
    <w:link w:val="FootnoteText"/>
    <w:rsid w:val="001F3524"/>
  </w:style>
  <w:style w:type="character" w:styleId="FootnoteReference">
    <w:name w:val="footnote reference"/>
    <w:basedOn w:val="DefaultParagraphFont"/>
    <w:uiPriority w:val="99"/>
    <w:rsid w:val="001F3524"/>
    <w:rPr>
      <w:vertAlign w:val="superscript"/>
    </w:rPr>
  </w:style>
  <w:style w:type="paragraph" w:customStyle="1" w:styleId="Default">
    <w:name w:val="Default"/>
    <w:rsid w:val="00AF5C2E"/>
    <w:pPr>
      <w:autoSpaceDE w:val="0"/>
      <w:autoSpaceDN w:val="0"/>
      <w:adjustRightInd w:val="0"/>
    </w:pPr>
    <w:rPr>
      <w:color w:val="000000"/>
      <w:lang w:val="en-TT"/>
    </w:rPr>
  </w:style>
  <w:style w:type="paragraph" w:styleId="ListParagraph">
    <w:name w:val="List Paragraph"/>
    <w:basedOn w:val="Normal"/>
    <w:uiPriority w:val="34"/>
    <w:qFormat/>
    <w:rsid w:val="000C71E0"/>
    <w:pPr>
      <w:ind w:left="720"/>
      <w:contextualSpacing/>
    </w:pPr>
  </w:style>
  <w:style w:type="paragraph" w:styleId="BalloonText">
    <w:name w:val="Balloon Text"/>
    <w:basedOn w:val="Normal"/>
    <w:link w:val="BalloonTextChar"/>
    <w:rsid w:val="00E46048"/>
    <w:rPr>
      <w:rFonts w:ascii="Segoe UI" w:hAnsi="Segoe UI" w:cs="Segoe UI"/>
      <w:sz w:val="18"/>
      <w:szCs w:val="18"/>
    </w:rPr>
  </w:style>
  <w:style w:type="character" w:customStyle="1" w:styleId="BalloonTextChar">
    <w:name w:val="Balloon Text Char"/>
    <w:basedOn w:val="DefaultParagraphFont"/>
    <w:link w:val="BalloonText"/>
    <w:rsid w:val="00E46048"/>
    <w:rPr>
      <w:rFonts w:ascii="Segoe UI" w:hAnsi="Segoe UI" w:cs="Segoe UI"/>
      <w:sz w:val="18"/>
      <w:szCs w:val="18"/>
    </w:rPr>
  </w:style>
  <w:style w:type="character" w:customStyle="1" w:styleId="BodyText2Char">
    <w:name w:val="Body Text 2 Char"/>
    <w:basedOn w:val="DefaultParagraphFont"/>
    <w:link w:val="BodyText2"/>
    <w:rsid w:val="00784DB5"/>
    <w:rPr>
      <w:rFonts w:ascii="Arial" w:hAnsi="Arial"/>
    </w:rPr>
  </w:style>
  <w:style w:type="character" w:customStyle="1" w:styleId="HeaderChar">
    <w:name w:val="Header Char"/>
    <w:basedOn w:val="DefaultParagraphFont"/>
    <w:link w:val="Header"/>
    <w:uiPriority w:val="99"/>
    <w:rsid w:val="00A97B00"/>
    <w:rPr>
      <w:sz w:val="24"/>
    </w:rPr>
  </w:style>
  <w:style w:type="character" w:customStyle="1" w:styleId="apple-converted-space">
    <w:name w:val="apple-converted-space"/>
    <w:basedOn w:val="DefaultParagraphFont"/>
    <w:rsid w:val="00FD6A8E"/>
  </w:style>
  <w:style w:type="character" w:styleId="Hyperlink">
    <w:name w:val="Hyperlink"/>
    <w:basedOn w:val="DefaultParagraphFont"/>
    <w:uiPriority w:val="99"/>
    <w:unhideWhenUsed/>
    <w:rsid w:val="00A30080"/>
    <w:rPr>
      <w:color w:val="0000FF"/>
      <w:u w:val="single"/>
    </w:rPr>
  </w:style>
  <w:style w:type="character" w:styleId="CommentReference">
    <w:name w:val="annotation reference"/>
    <w:basedOn w:val="DefaultParagraphFont"/>
    <w:uiPriority w:val="99"/>
    <w:semiHidden/>
    <w:unhideWhenUsed/>
    <w:rsid w:val="002E7497"/>
    <w:rPr>
      <w:sz w:val="16"/>
      <w:szCs w:val="16"/>
    </w:rPr>
  </w:style>
  <w:style w:type="paragraph" w:styleId="CommentText">
    <w:name w:val="annotation text"/>
    <w:basedOn w:val="Normal"/>
    <w:link w:val="CommentTextChar"/>
    <w:uiPriority w:val="99"/>
    <w:unhideWhenUsed/>
    <w:rsid w:val="00A30080"/>
    <w:rPr>
      <w:sz w:val="20"/>
    </w:rPr>
  </w:style>
  <w:style w:type="character" w:customStyle="1" w:styleId="CommentTextChar">
    <w:name w:val="Comment Text Char"/>
    <w:basedOn w:val="DefaultParagraphFont"/>
    <w:link w:val="CommentText"/>
    <w:uiPriority w:val="99"/>
    <w:rsid w:val="002E7497"/>
    <w:rPr>
      <w:sz w:val="20"/>
    </w:rPr>
  </w:style>
  <w:style w:type="paragraph" w:styleId="CommentSubject">
    <w:name w:val="annotation subject"/>
    <w:basedOn w:val="CommentText"/>
    <w:next w:val="CommentText"/>
    <w:link w:val="CommentSubjectChar"/>
    <w:semiHidden/>
    <w:unhideWhenUsed/>
    <w:rsid w:val="002E7497"/>
    <w:rPr>
      <w:b/>
      <w:bCs/>
    </w:rPr>
  </w:style>
  <w:style w:type="character" w:customStyle="1" w:styleId="CommentSubjectChar">
    <w:name w:val="Comment Subject Char"/>
    <w:basedOn w:val="CommentTextChar"/>
    <w:link w:val="CommentSubject"/>
    <w:semiHidden/>
    <w:rsid w:val="002E7497"/>
    <w:rPr>
      <w:b/>
      <w:bCs/>
      <w:sz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top w:w="115" w:type="dxa"/>
        <w:left w:w="115" w:type="dxa"/>
        <w:bottom w:w="115" w:type="dxa"/>
        <w:right w:w="115" w:type="dxa"/>
      </w:tblCellMar>
    </w:tblPr>
  </w:style>
  <w:style w:type="character" w:styleId="UnresolvedMention">
    <w:name w:val="Unresolved Mention"/>
    <w:basedOn w:val="DefaultParagraphFont"/>
    <w:uiPriority w:val="99"/>
    <w:semiHidden/>
    <w:unhideWhenUsed/>
    <w:rsid w:val="001978B7"/>
    <w:rPr>
      <w:color w:val="605E5C"/>
      <w:shd w:val="clear" w:color="auto" w:fill="E1DFDD"/>
    </w:rPr>
  </w:style>
  <w:style w:type="paragraph" w:styleId="Revision">
    <w:name w:val="Revision"/>
    <w:hidden/>
    <w:uiPriority w:val="99"/>
    <w:semiHidden/>
    <w:rsid w:val="00771371"/>
    <w:pPr>
      <w:widowControl/>
    </w:pPr>
  </w:style>
  <w:style w:type="character" w:styleId="FollowedHyperlink">
    <w:name w:val="FollowedHyperlink"/>
    <w:basedOn w:val="DefaultParagraphFont"/>
    <w:uiPriority w:val="99"/>
    <w:semiHidden/>
    <w:unhideWhenUsed/>
    <w:rsid w:val="00F27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631217">
      <w:bodyDiv w:val="1"/>
      <w:marLeft w:val="0"/>
      <w:marRight w:val="0"/>
      <w:marTop w:val="0"/>
      <w:marBottom w:val="0"/>
      <w:divBdr>
        <w:top w:val="none" w:sz="0" w:space="0" w:color="auto"/>
        <w:left w:val="none" w:sz="0" w:space="0" w:color="auto"/>
        <w:bottom w:val="none" w:sz="0" w:space="0" w:color="auto"/>
        <w:right w:val="none" w:sz="0" w:space="0" w:color="auto"/>
      </w:divBdr>
    </w:div>
    <w:div w:id="729421325">
      <w:bodyDiv w:val="1"/>
      <w:marLeft w:val="0"/>
      <w:marRight w:val="0"/>
      <w:marTop w:val="0"/>
      <w:marBottom w:val="0"/>
      <w:divBdr>
        <w:top w:val="none" w:sz="0" w:space="0" w:color="auto"/>
        <w:left w:val="none" w:sz="0" w:space="0" w:color="auto"/>
        <w:bottom w:val="none" w:sz="0" w:space="0" w:color="auto"/>
        <w:right w:val="none" w:sz="0" w:space="0" w:color="auto"/>
      </w:divBdr>
    </w:div>
    <w:div w:id="1255745269">
      <w:bodyDiv w:val="1"/>
      <w:marLeft w:val="0"/>
      <w:marRight w:val="0"/>
      <w:marTop w:val="0"/>
      <w:marBottom w:val="0"/>
      <w:divBdr>
        <w:top w:val="none" w:sz="0" w:space="0" w:color="auto"/>
        <w:left w:val="none" w:sz="0" w:space="0" w:color="auto"/>
        <w:bottom w:val="none" w:sz="0" w:space="0" w:color="auto"/>
        <w:right w:val="none" w:sz="0" w:space="0" w:color="auto"/>
      </w:divBdr>
      <w:divsChild>
        <w:div w:id="1381588521">
          <w:marLeft w:val="0"/>
          <w:marRight w:val="0"/>
          <w:marTop w:val="0"/>
          <w:marBottom w:val="0"/>
          <w:divBdr>
            <w:top w:val="none" w:sz="0" w:space="0" w:color="auto"/>
            <w:left w:val="none" w:sz="0" w:space="0" w:color="auto"/>
            <w:bottom w:val="none" w:sz="0" w:space="0" w:color="auto"/>
            <w:right w:val="none" w:sz="0" w:space="0" w:color="auto"/>
          </w:divBdr>
        </w:div>
        <w:div w:id="1786730958">
          <w:marLeft w:val="0"/>
          <w:marRight w:val="0"/>
          <w:marTop w:val="0"/>
          <w:marBottom w:val="0"/>
          <w:divBdr>
            <w:top w:val="none" w:sz="0" w:space="0" w:color="auto"/>
            <w:left w:val="none" w:sz="0" w:space="0" w:color="auto"/>
            <w:bottom w:val="none" w:sz="0" w:space="0" w:color="auto"/>
            <w:right w:val="none" w:sz="0" w:space="0" w:color="auto"/>
          </w:divBdr>
        </w:div>
        <w:div w:id="1700550268">
          <w:marLeft w:val="0"/>
          <w:marRight w:val="0"/>
          <w:marTop w:val="0"/>
          <w:marBottom w:val="0"/>
          <w:divBdr>
            <w:top w:val="none" w:sz="0" w:space="0" w:color="auto"/>
            <w:left w:val="none" w:sz="0" w:space="0" w:color="auto"/>
            <w:bottom w:val="none" w:sz="0" w:space="0" w:color="auto"/>
            <w:right w:val="none" w:sz="0" w:space="0" w:color="auto"/>
          </w:divBdr>
        </w:div>
        <w:div w:id="1315723649">
          <w:marLeft w:val="0"/>
          <w:marRight w:val="0"/>
          <w:marTop w:val="0"/>
          <w:marBottom w:val="0"/>
          <w:divBdr>
            <w:top w:val="none" w:sz="0" w:space="0" w:color="auto"/>
            <w:left w:val="none" w:sz="0" w:space="0" w:color="auto"/>
            <w:bottom w:val="none" w:sz="0" w:space="0" w:color="auto"/>
            <w:right w:val="none" w:sz="0" w:space="0" w:color="auto"/>
          </w:divBdr>
          <w:divsChild>
            <w:div w:id="1790390489">
              <w:marLeft w:val="0"/>
              <w:marRight w:val="0"/>
              <w:marTop w:val="0"/>
              <w:marBottom w:val="0"/>
              <w:divBdr>
                <w:top w:val="none" w:sz="0" w:space="0" w:color="auto"/>
                <w:left w:val="none" w:sz="0" w:space="0" w:color="auto"/>
                <w:bottom w:val="none" w:sz="0" w:space="0" w:color="auto"/>
                <w:right w:val="none" w:sz="0" w:space="0" w:color="auto"/>
              </w:divBdr>
            </w:div>
            <w:div w:id="382874666">
              <w:marLeft w:val="0"/>
              <w:marRight w:val="0"/>
              <w:marTop w:val="0"/>
              <w:marBottom w:val="0"/>
              <w:divBdr>
                <w:top w:val="none" w:sz="0" w:space="0" w:color="auto"/>
                <w:left w:val="none" w:sz="0" w:space="0" w:color="auto"/>
                <w:bottom w:val="none" w:sz="0" w:space="0" w:color="auto"/>
                <w:right w:val="none" w:sz="0" w:space="0" w:color="auto"/>
              </w:divBdr>
            </w:div>
            <w:div w:id="12810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2764">
      <w:bodyDiv w:val="1"/>
      <w:marLeft w:val="0"/>
      <w:marRight w:val="0"/>
      <w:marTop w:val="0"/>
      <w:marBottom w:val="0"/>
      <w:divBdr>
        <w:top w:val="none" w:sz="0" w:space="0" w:color="auto"/>
        <w:left w:val="none" w:sz="0" w:space="0" w:color="auto"/>
        <w:bottom w:val="none" w:sz="0" w:space="0" w:color="auto"/>
        <w:right w:val="none" w:sz="0" w:space="0" w:color="auto"/>
      </w:divBdr>
    </w:div>
    <w:div w:id="21013718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Cmt0KUI595+i1nSVBm+fdO9ZCLQ==">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</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UNITOFFICE-440-2123</_dlc_DocId>
    <_dlc_DocIdUrl xmlns="5ebeba3d-fd60-4dcb-8548-a9fd3c51d9ff">
      <Url>https://intranet.undp.org/unit/office/exo/sp2014/SP201417/_layouts/15/DocIdRedir.aspx?ID=UNITOFFICE-440-2123</Url>
      <Description>UNITOFFICE-440-2123</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D1F2A05-BF1B-4A43-93AD-E855C240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C8F4408-6EF5-4368-A8F7-03E1CD5680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5ebeba3d-fd60-4dcb-8548-a9fd3c51d9f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A604AFD-1FF7-44CE-92B3-94A61C459275}">
  <ds:schemaRefs>
    <ds:schemaRef ds:uri="http://schemas.openxmlformats.org/officeDocument/2006/bibliography"/>
  </ds:schemaRefs>
</ds:datastoreItem>
</file>

<file path=customXml/itemProps5.xml><?xml version="1.0" encoding="utf-8"?>
<ds:datastoreItem xmlns:ds="http://schemas.openxmlformats.org/officeDocument/2006/customXml" ds:itemID="{ABCC379B-3906-4201-8480-83B1DCFD5A3D}">
  <ds:schemaRefs>
    <ds:schemaRef ds:uri="http://schemas.microsoft.com/sharepoint/v3/contenttype/forms"/>
  </ds:schemaRefs>
</ds:datastoreItem>
</file>

<file path=customXml/itemProps6.xml><?xml version="1.0" encoding="utf-8"?>
<ds:datastoreItem xmlns:ds="http://schemas.openxmlformats.org/officeDocument/2006/customXml" ds:itemID="{68F2F804-DD72-4F9F-BB2F-5C58D02A7A3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5380</Words>
  <Characters>33846</Characters>
  <Application>Microsoft Office Word</Application>
  <DocSecurity>4</DocSecurity>
  <Lines>825</Lines>
  <Paragraphs>335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draft 3.24.21</dc:creator>
  <cp:lastModifiedBy>Svetlana Iazykova</cp:lastModifiedBy>
  <cp:revision>2</cp:revision>
  <dcterms:created xsi:type="dcterms:W3CDTF">2021-11-08T18:29:00Z</dcterms:created>
  <dcterms:modified xsi:type="dcterms:W3CDTF">2021-11-08T18:29:00Z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f9f71ff2-6cb8-4127-b3e8-8eee7714d9c8</vt:lpwstr>
  </property>
  <property fmtid="{D5CDD505-2E9C-101B-9397-08002B2CF9AE}" pid="4" name="UNDPPOPPKeywords">
    <vt:lpwstr/>
  </property>
  <property fmtid="{D5CDD505-2E9C-101B-9397-08002B2CF9AE}" pid="5" name="TaxCatchAll">
    <vt:lpwstr/>
  </property>
  <property fmtid="{D5CDD505-2E9C-101B-9397-08002B2CF9AE}" pid="6" name="UNDPAuthor">
    <vt:lpwstr/>
  </property>
  <property fmtid="{D5CDD505-2E9C-101B-9397-08002B2CF9AE}" pid="7" name="Order">
    <vt:r8>9200</vt:r8>
  </property>
  <property fmtid="{D5CDD505-2E9C-101B-9397-08002B2CF9AE}" pid="8" name="_dlc_DocId">
    <vt:lpwstr>UNDPGBL-229-92</vt:lpwstr>
  </property>
  <property fmtid="{D5CDD505-2E9C-101B-9397-08002B2CF9AE}" pid="9" name="_dlc_DocIdUrl">
    <vt:lpwstr>https://intranet.undp.org/global/documents/_layouts/DocIdRedir.aspx?ID=UNDPGBL-229-92, UNDPGBL-229-92</vt:lpwstr>
  </property>
</Properties>
</file>