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49EA" w14:textId="03875C50" w:rsidR="00143829" w:rsidRPr="00143829" w:rsidRDefault="00143829" w:rsidP="001438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143829">
        <w:rPr>
          <w:b/>
          <w:color w:val="000000"/>
          <w:lang w:val="en-GB"/>
        </w:rPr>
        <w:t>Second regular session 2015</w:t>
      </w:r>
    </w:p>
    <w:p w14:paraId="3B838E0B" w14:textId="43CB96F5" w:rsidR="00143829" w:rsidRPr="00143829" w:rsidRDefault="00143829" w:rsidP="001438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43829">
        <w:rPr>
          <w:color w:val="000000"/>
          <w:lang w:val="en-GB"/>
        </w:rPr>
        <w:t xml:space="preserve">1 </w:t>
      </w:r>
      <w:r w:rsidR="009C4C7B">
        <w:rPr>
          <w:color w:val="000000"/>
          <w:lang w:val="en-GB"/>
        </w:rPr>
        <w:t>-</w:t>
      </w:r>
      <w:r w:rsidRPr="00143829">
        <w:rPr>
          <w:color w:val="000000"/>
          <w:lang w:val="en-GB"/>
        </w:rPr>
        <w:t xml:space="preserve"> 4 September 2015, New York</w:t>
      </w:r>
    </w:p>
    <w:p w14:paraId="40ED1589" w14:textId="77777777" w:rsidR="00143829" w:rsidRPr="00143829" w:rsidRDefault="00143829" w:rsidP="001438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43829">
        <w:rPr>
          <w:color w:val="000000"/>
          <w:lang w:val="en-GB"/>
        </w:rPr>
        <w:t>Item 6 of the provisional agenda</w:t>
      </w:r>
    </w:p>
    <w:p w14:paraId="626004EE" w14:textId="77777777" w:rsidR="00143829" w:rsidRPr="00143829" w:rsidRDefault="00143829" w:rsidP="00143829">
      <w:pPr>
        <w:ind w:right="1260"/>
        <w:rPr>
          <w:b/>
          <w:color w:val="000000"/>
          <w:lang w:val="en-GB"/>
        </w:rPr>
      </w:pPr>
      <w:r w:rsidRPr="00143829">
        <w:rPr>
          <w:b/>
          <w:color w:val="000000"/>
          <w:lang w:val="en-GB"/>
        </w:rPr>
        <w:t>Country programmes and related matters</w:t>
      </w:r>
    </w:p>
    <w:p w14:paraId="18AA0856"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E0E97F8"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0E8DEEF"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0BD4880"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8930987"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14:paraId="5BE14E44"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14:paraId="6D8478D1"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14:paraId="0E1BDC45" w14:textId="77777777" w:rsidR="00143829" w:rsidRPr="00143829" w:rsidRDefault="00143829" w:rsidP="001438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14:paraId="285BF7C1" w14:textId="513BD668" w:rsidR="00143829" w:rsidRPr="00143829" w:rsidRDefault="00143829" w:rsidP="00DA4C36">
      <w:pPr>
        <w:keepNext/>
        <w:keepLines/>
        <w:suppressAutoHyphens/>
        <w:spacing w:line="300" w:lineRule="exact"/>
        <w:ind w:right="-25"/>
        <w:outlineLvl w:val="0"/>
        <w:rPr>
          <w:b/>
          <w:color w:val="000000"/>
          <w:spacing w:val="-2"/>
          <w:w w:val="103"/>
          <w:kern w:val="14"/>
          <w:sz w:val="32"/>
          <w:lang w:val="en-GB"/>
        </w:rPr>
      </w:pPr>
      <w:r w:rsidRPr="00143829">
        <w:rPr>
          <w:b/>
          <w:color w:val="000000"/>
          <w:spacing w:val="-2"/>
          <w:w w:val="103"/>
          <w:kern w:val="14"/>
          <w:sz w:val="32"/>
          <w:lang w:val="en-GB"/>
        </w:rPr>
        <w:t xml:space="preserve">Draft country programme document for </w:t>
      </w:r>
      <w:r>
        <w:rPr>
          <w:b/>
          <w:color w:val="000000"/>
          <w:spacing w:val="-2"/>
          <w:w w:val="103"/>
          <w:kern w:val="14"/>
          <w:sz w:val="32"/>
          <w:lang w:val="en-GB"/>
        </w:rPr>
        <w:t>Indonesia</w:t>
      </w:r>
      <w:r w:rsidRPr="00143829">
        <w:rPr>
          <w:b/>
          <w:color w:val="000000"/>
          <w:spacing w:val="-2"/>
          <w:w w:val="103"/>
          <w:kern w:val="14"/>
          <w:sz w:val="32"/>
          <w:lang w:val="en-GB"/>
        </w:rPr>
        <w:t xml:space="preserve"> (2016-2020)</w:t>
      </w:r>
    </w:p>
    <w:p w14:paraId="6B3C7483" w14:textId="77777777" w:rsidR="00143829" w:rsidRPr="00143829" w:rsidRDefault="00143829" w:rsidP="00143829">
      <w:pPr>
        <w:rPr>
          <w:lang w:val="en-GB"/>
        </w:rPr>
      </w:pPr>
    </w:p>
    <w:p w14:paraId="094EB7C9" w14:textId="77777777" w:rsidR="00143829" w:rsidRPr="00143829" w:rsidRDefault="00143829" w:rsidP="00143829">
      <w:pPr>
        <w:rPr>
          <w:lang w:val="en-GB"/>
        </w:rPr>
      </w:pPr>
    </w:p>
    <w:p w14:paraId="2BED469A" w14:textId="77777777" w:rsidR="00143829" w:rsidRPr="00143829" w:rsidRDefault="00143829" w:rsidP="00143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143829">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43829" w:rsidRPr="00143829" w14:paraId="6CD1466E" w14:textId="77777777" w:rsidTr="004F31EC">
        <w:tc>
          <w:tcPr>
            <w:tcW w:w="1060" w:type="dxa"/>
            <w:shd w:val="clear" w:color="auto" w:fill="auto"/>
          </w:tcPr>
          <w:p w14:paraId="48BA5EB5" w14:textId="77777777" w:rsidR="00143829" w:rsidRPr="00143829" w:rsidRDefault="00143829" w:rsidP="00143829">
            <w:pPr>
              <w:suppressAutoHyphens/>
              <w:spacing w:after="120"/>
              <w:jc w:val="right"/>
              <w:rPr>
                <w:i/>
                <w:spacing w:val="4"/>
                <w:w w:val="103"/>
                <w:kern w:val="14"/>
                <w:sz w:val="14"/>
                <w:lang w:val="en-GB"/>
              </w:rPr>
            </w:pPr>
          </w:p>
        </w:tc>
        <w:tc>
          <w:tcPr>
            <w:tcW w:w="7315" w:type="dxa"/>
            <w:shd w:val="clear" w:color="auto" w:fill="auto"/>
          </w:tcPr>
          <w:p w14:paraId="30D01AA6" w14:textId="77777777" w:rsidR="00143829" w:rsidRPr="00143829" w:rsidRDefault="00143829" w:rsidP="00143829">
            <w:pPr>
              <w:suppressAutoHyphens/>
              <w:spacing w:after="120"/>
              <w:rPr>
                <w:i/>
                <w:spacing w:val="4"/>
                <w:w w:val="103"/>
                <w:kern w:val="14"/>
                <w:sz w:val="14"/>
                <w:lang w:val="en-GB"/>
              </w:rPr>
            </w:pPr>
          </w:p>
        </w:tc>
        <w:tc>
          <w:tcPr>
            <w:tcW w:w="1527" w:type="dxa"/>
            <w:gridSpan w:val="2"/>
            <w:shd w:val="clear" w:color="auto" w:fill="auto"/>
          </w:tcPr>
          <w:p w14:paraId="3A9B246D" w14:textId="77777777" w:rsidR="00143829" w:rsidRPr="00143829" w:rsidRDefault="00143829" w:rsidP="00143829">
            <w:pPr>
              <w:suppressAutoHyphens/>
              <w:spacing w:after="120"/>
              <w:jc w:val="right"/>
              <w:rPr>
                <w:i/>
                <w:spacing w:val="4"/>
                <w:w w:val="103"/>
                <w:kern w:val="14"/>
                <w:sz w:val="14"/>
                <w:lang w:val="en-GB"/>
              </w:rPr>
            </w:pPr>
            <w:r w:rsidRPr="00143829">
              <w:rPr>
                <w:i/>
                <w:spacing w:val="4"/>
                <w:w w:val="103"/>
                <w:kern w:val="14"/>
                <w:sz w:val="14"/>
                <w:lang w:val="en-GB"/>
              </w:rPr>
              <w:t>Page</w:t>
            </w:r>
          </w:p>
        </w:tc>
      </w:tr>
      <w:tr w:rsidR="00143829" w:rsidRPr="00143829" w14:paraId="34FCE7AE" w14:textId="77777777" w:rsidTr="004F31EC">
        <w:tc>
          <w:tcPr>
            <w:tcW w:w="8375" w:type="dxa"/>
            <w:gridSpan w:val="2"/>
            <w:shd w:val="clear" w:color="auto" w:fill="auto"/>
          </w:tcPr>
          <w:p w14:paraId="3387EC30" w14:textId="77777777" w:rsidR="00143829" w:rsidRPr="00143829" w:rsidRDefault="00143829" w:rsidP="00143829">
            <w:pPr>
              <w:numPr>
                <w:ilvl w:val="0"/>
                <w:numId w:val="36"/>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143829">
              <w:rPr>
                <w:spacing w:val="4"/>
                <w:w w:val="103"/>
                <w:kern w:val="14"/>
                <w:lang w:val="en-GB"/>
              </w:rPr>
              <w:tab/>
              <w:t>Programme rationale</w:t>
            </w:r>
            <w:r w:rsidRPr="00143829">
              <w:rPr>
                <w:spacing w:val="60"/>
                <w:w w:val="103"/>
                <w:kern w:val="14"/>
                <w:sz w:val="17"/>
                <w:lang w:val="en-GB"/>
              </w:rPr>
              <w:tab/>
            </w:r>
          </w:p>
        </w:tc>
        <w:tc>
          <w:tcPr>
            <w:tcW w:w="1527" w:type="dxa"/>
            <w:gridSpan w:val="2"/>
            <w:vMerge w:val="restart"/>
            <w:shd w:val="clear" w:color="auto" w:fill="auto"/>
            <w:vAlign w:val="bottom"/>
          </w:tcPr>
          <w:p w14:paraId="007CBB98" w14:textId="77777777" w:rsidR="00143829" w:rsidRPr="00143829" w:rsidRDefault="00143829" w:rsidP="00143829">
            <w:pPr>
              <w:suppressAutoHyphens/>
              <w:spacing w:after="120" w:line="240" w:lineRule="exact"/>
              <w:jc w:val="right"/>
              <w:rPr>
                <w:spacing w:val="4"/>
                <w:w w:val="103"/>
                <w:kern w:val="14"/>
                <w:lang w:val="en-GB"/>
              </w:rPr>
            </w:pPr>
            <w:r w:rsidRPr="00143829">
              <w:rPr>
                <w:spacing w:val="4"/>
                <w:w w:val="103"/>
                <w:kern w:val="14"/>
                <w:lang w:val="en-GB"/>
              </w:rPr>
              <w:t>2</w:t>
            </w:r>
          </w:p>
          <w:p w14:paraId="4C3554A4" w14:textId="0A78A428" w:rsidR="00143829" w:rsidRPr="00143829" w:rsidRDefault="00EB5319" w:rsidP="00143829">
            <w:pPr>
              <w:suppressAutoHyphens/>
              <w:spacing w:after="120" w:line="240" w:lineRule="exact"/>
              <w:jc w:val="right"/>
              <w:rPr>
                <w:spacing w:val="4"/>
                <w:w w:val="103"/>
                <w:kern w:val="14"/>
                <w:lang w:val="en-GB"/>
              </w:rPr>
            </w:pPr>
            <w:r>
              <w:rPr>
                <w:spacing w:val="4"/>
                <w:w w:val="103"/>
                <w:kern w:val="14"/>
                <w:lang w:val="en-GB"/>
              </w:rPr>
              <w:t>4</w:t>
            </w:r>
          </w:p>
        </w:tc>
      </w:tr>
      <w:tr w:rsidR="00143829" w:rsidRPr="00143829" w14:paraId="363F199A" w14:textId="77777777" w:rsidTr="004F31EC">
        <w:tc>
          <w:tcPr>
            <w:tcW w:w="8375" w:type="dxa"/>
            <w:gridSpan w:val="2"/>
            <w:shd w:val="clear" w:color="auto" w:fill="auto"/>
          </w:tcPr>
          <w:p w14:paraId="6550C3D1" w14:textId="77777777" w:rsidR="00143829" w:rsidRPr="00143829" w:rsidRDefault="00143829" w:rsidP="00143829">
            <w:pPr>
              <w:numPr>
                <w:ilvl w:val="0"/>
                <w:numId w:val="36"/>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143829">
              <w:rPr>
                <w:spacing w:val="4"/>
                <w:w w:val="103"/>
                <w:kern w:val="14"/>
                <w:lang w:val="en-GB"/>
              </w:rPr>
              <w:tab/>
              <w:t>Programme priorities and partnerships</w:t>
            </w:r>
            <w:r w:rsidRPr="00143829">
              <w:rPr>
                <w:spacing w:val="60"/>
                <w:w w:val="103"/>
                <w:kern w:val="14"/>
                <w:sz w:val="17"/>
                <w:lang w:val="en-GB"/>
              </w:rPr>
              <w:tab/>
            </w:r>
          </w:p>
        </w:tc>
        <w:tc>
          <w:tcPr>
            <w:tcW w:w="1527" w:type="dxa"/>
            <w:gridSpan w:val="2"/>
            <w:vMerge/>
            <w:shd w:val="clear" w:color="auto" w:fill="auto"/>
            <w:vAlign w:val="bottom"/>
          </w:tcPr>
          <w:p w14:paraId="66751F4F" w14:textId="77777777" w:rsidR="00143829" w:rsidRPr="00143829" w:rsidRDefault="00143829" w:rsidP="00143829">
            <w:pPr>
              <w:suppressAutoHyphens/>
              <w:spacing w:after="120" w:line="240" w:lineRule="exact"/>
              <w:jc w:val="right"/>
              <w:rPr>
                <w:spacing w:val="4"/>
                <w:w w:val="103"/>
                <w:kern w:val="14"/>
                <w:lang w:val="en-GB"/>
              </w:rPr>
            </w:pPr>
          </w:p>
        </w:tc>
      </w:tr>
      <w:tr w:rsidR="00143829" w:rsidRPr="00143829" w14:paraId="0B2107D1" w14:textId="77777777" w:rsidTr="004F31EC">
        <w:tc>
          <w:tcPr>
            <w:tcW w:w="8375" w:type="dxa"/>
            <w:gridSpan w:val="2"/>
            <w:shd w:val="clear" w:color="auto" w:fill="auto"/>
          </w:tcPr>
          <w:p w14:paraId="2DC6051C" w14:textId="77777777" w:rsidR="00143829" w:rsidRPr="00143829" w:rsidRDefault="00143829" w:rsidP="00143829">
            <w:pPr>
              <w:numPr>
                <w:ilvl w:val="0"/>
                <w:numId w:val="36"/>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143829">
              <w:rPr>
                <w:spacing w:val="4"/>
                <w:w w:val="103"/>
                <w:kern w:val="14"/>
                <w:lang w:val="en-GB"/>
              </w:rPr>
              <w:tab/>
              <w:t>Programme and risk management</w:t>
            </w:r>
            <w:r w:rsidRPr="00143829">
              <w:rPr>
                <w:spacing w:val="60"/>
                <w:w w:val="103"/>
                <w:kern w:val="14"/>
                <w:sz w:val="17"/>
                <w:lang w:val="en-GB"/>
              </w:rPr>
              <w:tab/>
            </w:r>
          </w:p>
        </w:tc>
        <w:tc>
          <w:tcPr>
            <w:tcW w:w="1527" w:type="dxa"/>
            <w:gridSpan w:val="2"/>
            <w:vMerge w:val="restart"/>
            <w:shd w:val="clear" w:color="auto" w:fill="auto"/>
            <w:vAlign w:val="bottom"/>
          </w:tcPr>
          <w:p w14:paraId="20BEC6AF" w14:textId="16250F69" w:rsidR="00143829" w:rsidRPr="00143829" w:rsidRDefault="00EB5319" w:rsidP="00143829">
            <w:pPr>
              <w:suppressAutoHyphens/>
              <w:spacing w:after="120" w:line="240" w:lineRule="exact"/>
              <w:jc w:val="right"/>
              <w:rPr>
                <w:spacing w:val="4"/>
                <w:w w:val="103"/>
                <w:kern w:val="14"/>
                <w:lang w:val="en-GB"/>
              </w:rPr>
            </w:pPr>
            <w:r>
              <w:rPr>
                <w:spacing w:val="4"/>
                <w:w w:val="103"/>
                <w:kern w:val="14"/>
                <w:lang w:val="en-GB"/>
              </w:rPr>
              <w:t>8</w:t>
            </w:r>
          </w:p>
          <w:p w14:paraId="51D8F44D" w14:textId="77777777" w:rsidR="00143829" w:rsidRPr="00143829" w:rsidRDefault="00143829" w:rsidP="00143829">
            <w:pPr>
              <w:suppressAutoHyphens/>
              <w:spacing w:after="120" w:line="240" w:lineRule="exact"/>
              <w:jc w:val="right"/>
              <w:rPr>
                <w:spacing w:val="4"/>
                <w:w w:val="103"/>
                <w:kern w:val="14"/>
                <w:lang w:val="en-GB"/>
              </w:rPr>
            </w:pPr>
            <w:r w:rsidRPr="00143829">
              <w:rPr>
                <w:spacing w:val="4"/>
                <w:w w:val="103"/>
                <w:kern w:val="14"/>
                <w:lang w:val="en-GB"/>
              </w:rPr>
              <w:t>8</w:t>
            </w:r>
          </w:p>
        </w:tc>
      </w:tr>
      <w:tr w:rsidR="00143829" w:rsidRPr="00143829" w14:paraId="0C5CE2AB" w14:textId="77777777" w:rsidTr="004F31EC">
        <w:tc>
          <w:tcPr>
            <w:tcW w:w="8375" w:type="dxa"/>
            <w:gridSpan w:val="2"/>
            <w:shd w:val="clear" w:color="auto" w:fill="auto"/>
          </w:tcPr>
          <w:p w14:paraId="0D35883D" w14:textId="77777777" w:rsidR="00143829" w:rsidRPr="00143829" w:rsidRDefault="00143829" w:rsidP="00143829">
            <w:pPr>
              <w:numPr>
                <w:ilvl w:val="0"/>
                <w:numId w:val="36"/>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143829">
              <w:rPr>
                <w:spacing w:val="4"/>
                <w:w w:val="103"/>
                <w:kern w:val="14"/>
                <w:lang w:val="en-GB"/>
              </w:rPr>
              <w:tab/>
              <w:t>Monitoring and evaluation</w:t>
            </w:r>
            <w:r w:rsidRPr="00143829">
              <w:rPr>
                <w:spacing w:val="60"/>
                <w:w w:val="103"/>
                <w:kern w:val="14"/>
                <w:sz w:val="17"/>
                <w:lang w:val="en-GB"/>
              </w:rPr>
              <w:tab/>
            </w:r>
          </w:p>
        </w:tc>
        <w:tc>
          <w:tcPr>
            <w:tcW w:w="1527" w:type="dxa"/>
            <w:gridSpan w:val="2"/>
            <w:vMerge/>
            <w:shd w:val="clear" w:color="auto" w:fill="auto"/>
            <w:vAlign w:val="bottom"/>
          </w:tcPr>
          <w:p w14:paraId="59B83F2F" w14:textId="77777777" w:rsidR="00143829" w:rsidRPr="00143829" w:rsidRDefault="00143829" w:rsidP="00143829">
            <w:pPr>
              <w:suppressAutoHyphens/>
              <w:spacing w:after="120" w:line="240" w:lineRule="exact"/>
              <w:jc w:val="right"/>
              <w:rPr>
                <w:spacing w:val="4"/>
                <w:w w:val="103"/>
                <w:kern w:val="14"/>
                <w:lang w:val="en-GB"/>
              </w:rPr>
            </w:pPr>
          </w:p>
        </w:tc>
      </w:tr>
      <w:tr w:rsidR="00143829" w:rsidRPr="00143829" w14:paraId="6775CB8E" w14:textId="77777777" w:rsidTr="00143829">
        <w:trPr>
          <w:trHeight w:val="400"/>
        </w:trPr>
        <w:tc>
          <w:tcPr>
            <w:tcW w:w="9369" w:type="dxa"/>
            <w:gridSpan w:val="3"/>
            <w:shd w:val="clear" w:color="auto" w:fill="auto"/>
          </w:tcPr>
          <w:p w14:paraId="62705F82" w14:textId="77777777" w:rsidR="00143829" w:rsidRPr="00143829" w:rsidRDefault="00143829" w:rsidP="00143829">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143829">
              <w:rPr>
                <w:spacing w:val="4"/>
                <w:w w:val="103"/>
                <w:kern w:val="14"/>
                <w:lang w:val="en-GB"/>
              </w:rPr>
              <w:t>Annex</w:t>
            </w:r>
          </w:p>
        </w:tc>
        <w:tc>
          <w:tcPr>
            <w:tcW w:w="533" w:type="dxa"/>
            <w:shd w:val="clear" w:color="auto" w:fill="auto"/>
            <w:vAlign w:val="bottom"/>
          </w:tcPr>
          <w:p w14:paraId="0C0CF092" w14:textId="77777777" w:rsidR="00143829" w:rsidRPr="00143829" w:rsidRDefault="00143829" w:rsidP="00143829">
            <w:pPr>
              <w:suppressAutoHyphens/>
              <w:spacing w:after="120" w:line="240" w:lineRule="exact"/>
              <w:jc w:val="right"/>
              <w:rPr>
                <w:spacing w:val="4"/>
                <w:w w:val="103"/>
                <w:kern w:val="14"/>
                <w:lang w:val="en-GB"/>
              </w:rPr>
            </w:pPr>
          </w:p>
        </w:tc>
      </w:tr>
      <w:tr w:rsidR="00143829" w:rsidRPr="00143829" w14:paraId="3BD2A53D" w14:textId="77777777" w:rsidTr="004F31EC">
        <w:tc>
          <w:tcPr>
            <w:tcW w:w="9369" w:type="dxa"/>
            <w:gridSpan w:val="3"/>
            <w:shd w:val="clear" w:color="auto" w:fill="auto"/>
          </w:tcPr>
          <w:p w14:paraId="2D0F0178" w14:textId="77777777" w:rsidR="00143829" w:rsidRPr="00143829" w:rsidRDefault="00143829" w:rsidP="0014382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143829">
              <w:rPr>
                <w:spacing w:val="4"/>
                <w:w w:val="103"/>
                <w:kern w:val="14"/>
                <w:lang w:val="en-GB"/>
              </w:rPr>
              <w:t xml:space="preserve">Results and resources framework for </w:t>
            </w:r>
            <w:r>
              <w:rPr>
                <w:spacing w:val="4"/>
                <w:w w:val="103"/>
                <w:kern w:val="14"/>
                <w:lang w:val="en-GB"/>
              </w:rPr>
              <w:t>Indonesia</w:t>
            </w:r>
            <w:r w:rsidRPr="00143829">
              <w:rPr>
                <w:spacing w:val="4"/>
                <w:w w:val="103"/>
                <w:kern w:val="14"/>
                <w:lang w:val="en-GB"/>
              </w:rPr>
              <w:t xml:space="preserve"> (2016-2020)</w:t>
            </w:r>
          </w:p>
        </w:tc>
        <w:tc>
          <w:tcPr>
            <w:tcW w:w="533" w:type="dxa"/>
            <w:shd w:val="clear" w:color="auto" w:fill="auto"/>
            <w:vAlign w:val="bottom"/>
          </w:tcPr>
          <w:p w14:paraId="33B82E3D" w14:textId="206339CD" w:rsidR="00143829" w:rsidRPr="00143829" w:rsidRDefault="00EB5319" w:rsidP="00143829">
            <w:pPr>
              <w:suppressAutoHyphens/>
              <w:spacing w:after="120" w:line="240" w:lineRule="exact"/>
              <w:jc w:val="right"/>
              <w:rPr>
                <w:spacing w:val="4"/>
                <w:w w:val="103"/>
                <w:kern w:val="14"/>
                <w:lang w:val="en-GB"/>
              </w:rPr>
            </w:pPr>
            <w:r>
              <w:rPr>
                <w:spacing w:val="4"/>
                <w:w w:val="103"/>
                <w:kern w:val="14"/>
                <w:lang w:val="en-GB"/>
              </w:rPr>
              <w:t>10</w:t>
            </w:r>
          </w:p>
        </w:tc>
      </w:tr>
    </w:tbl>
    <w:p w14:paraId="1B19EF27" w14:textId="77777777" w:rsidR="0002403A" w:rsidRPr="0019048D" w:rsidRDefault="0002403A" w:rsidP="00C06ED8">
      <w:pPr>
        <w:pStyle w:val="SingleTxt"/>
        <w:spacing w:after="0" w:line="120" w:lineRule="exact"/>
        <w:rPr>
          <w:color w:val="000000"/>
          <w:sz w:val="10"/>
        </w:rPr>
      </w:pPr>
    </w:p>
    <w:p w14:paraId="4CF8646A" w14:textId="77777777" w:rsidR="00143829" w:rsidRDefault="00143829">
      <w:pPr>
        <w:rPr>
          <w:b/>
          <w:color w:val="000000"/>
          <w:spacing w:val="-2"/>
          <w:w w:val="103"/>
          <w:kern w:val="14"/>
          <w:sz w:val="28"/>
          <w:lang w:val="en-GB"/>
        </w:rPr>
      </w:pPr>
      <w:r>
        <w:rPr>
          <w:color w:val="000000"/>
        </w:rPr>
        <w:br w:type="page"/>
      </w:r>
    </w:p>
    <w:p w14:paraId="703107A7" w14:textId="77777777" w:rsidR="007A6560" w:rsidRPr="00FA45FF" w:rsidRDefault="00605EED" w:rsidP="00FA45FF">
      <w:pPr>
        <w:pStyle w:val="ListParagraph"/>
        <w:numPr>
          <w:ilvl w:val="0"/>
          <w:numId w:val="42"/>
        </w:numPr>
        <w:tabs>
          <w:tab w:val="left" w:pos="720"/>
        </w:tabs>
        <w:ind w:right="785" w:hanging="990"/>
        <w:jc w:val="both"/>
        <w:rPr>
          <w:b/>
          <w:sz w:val="24"/>
          <w:szCs w:val="24"/>
        </w:rPr>
      </w:pPr>
      <w:r>
        <w:rPr>
          <w:b/>
          <w:sz w:val="24"/>
          <w:szCs w:val="24"/>
        </w:rPr>
        <w:lastRenderedPageBreak/>
        <w:t>Programme r</w:t>
      </w:r>
      <w:r w:rsidR="007A6560" w:rsidRPr="00FA45FF">
        <w:rPr>
          <w:b/>
          <w:sz w:val="24"/>
          <w:szCs w:val="24"/>
        </w:rPr>
        <w:t xml:space="preserve">ationale </w:t>
      </w:r>
    </w:p>
    <w:p w14:paraId="23FF8702" w14:textId="77777777" w:rsidR="00143CF3" w:rsidRPr="009C4C7B" w:rsidRDefault="00143CF3" w:rsidP="00FA45FF">
      <w:pPr>
        <w:pStyle w:val="ListParagraph"/>
        <w:ind w:left="1440" w:right="785" w:hanging="7"/>
        <w:jc w:val="both"/>
        <w:rPr>
          <w:b/>
          <w:sz w:val="18"/>
          <w:szCs w:val="18"/>
        </w:rPr>
      </w:pPr>
    </w:p>
    <w:p w14:paraId="1CEB1C97" w14:textId="0B883B56" w:rsidR="007A6560" w:rsidRDefault="007A6560" w:rsidP="00605EED">
      <w:pPr>
        <w:pStyle w:val="ListParagraph"/>
        <w:numPr>
          <w:ilvl w:val="0"/>
          <w:numId w:val="41"/>
        </w:numPr>
        <w:tabs>
          <w:tab w:val="left" w:pos="1080"/>
        </w:tabs>
        <w:spacing w:after="120" w:line="259" w:lineRule="auto"/>
        <w:ind w:right="785" w:hanging="7"/>
        <w:contextualSpacing/>
        <w:jc w:val="both"/>
      </w:pPr>
      <w:r w:rsidRPr="00D370EE">
        <w:t>During the past five years</w:t>
      </w:r>
      <w:r w:rsidR="00C8072C">
        <w:t>,</w:t>
      </w:r>
      <w:r w:rsidRPr="00D370EE">
        <w:t xml:space="preserve"> Indonesia’s economy grew at an average rate of </w:t>
      </w:r>
      <w:r w:rsidR="006276ED" w:rsidRPr="00D370EE">
        <w:t>5.96</w:t>
      </w:r>
      <w:r w:rsidR="00C31909">
        <w:t xml:space="preserve"> per cent</w:t>
      </w:r>
      <w:r w:rsidR="00C06ED8" w:rsidRPr="00D370EE">
        <w:t>,</w:t>
      </w:r>
      <w:r w:rsidRPr="00D370EE">
        <w:rPr>
          <w:vertAlign w:val="superscript"/>
        </w:rPr>
        <w:footnoteReference w:id="2"/>
      </w:r>
      <w:r w:rsidRPr="00D370EE">
        <w:t xml:space="preserve"> </w:t>
      </w:r>
      <w:r w:rsidR="00C06ED8" w:rsidRPr="00D370EE">
        <w:t xml:space="preserve">propelled mainly by rapid growth in the </w:t>
      </w:r>
      <w:r w:rsidR="00060DC1" w:rsidRPr="00D370EE">
        <w:t>communicat</w:t>
      </w:r>
      <w:r w:rsidR="00060DC1" w:rsidRPr="001F3203">
        <w:t>ion</w:t>
      </w:r>
      <w:r w:rsidR="00C06ED8" w:rsidRPr="001F3203">
        <w:t>s</w:t>
      </w:r>
      <w:r w:rsidR="00060DC1" w:rsidRPr="001F3203">
        <w:t xml:space="preserve">, transportation and service sectors. </w:t>
      </w:r>
      <w:r w:rsidR="0087613C" w:rsidRPr="001F3203">
        <w:t xml:space="preserve">The </w:t>
      </w:r>
      <w:r w:rsidR="007C5DFC" w:rsidRPr="001F3203">
        <w:t>agricultural sector</w:t>
      </w:r>
      <w:r w:rsidR="0087613C" w:rsidRPr="001F3203">
        <w:t>,</w:t>
      </w:r>
      <w:r w:rsidR="007C5DFC" w:rsidRPr="001F3203">
        <w:t xml:space="preserve"> which employs </w:t>
      </w:r>
      <w:r w:rsidR="0087613C" w:rsidRPr="001F3203">
        <w:t>34</w:t>
      </w:r>
      <w:r w:rsidR="00C8072C">
        <w:t xml:space="preserve"> per cent</w:t>
      </w:r>
      <w:r w:rsidR="00C8072C" w:rsidRPr="001F3203">
        <w:t xml:space="preserve"> </w:t>
      </w:r>
      <w:r w:rsidR="0087613C" w:rsidRPr="001F3203">
        <w:t>of the labour force</w:t>
      </w:r>
      <w:r w:rsidR="00DF3D1D">
        <w:t>,</w:t>
      </w:r>
      <w:r w:rsidR="0087613C" w:rsidRPr="001F3203">
        <w:t xml:space="preserve"> including a large percentage </w:t>
      </w:r>
      <w:r w:rsidR="007C5DFC" w:rsidRPr="001F3203">
        <w:t xml:space="preserve">of </w:t>
      </w:r>
      <w:r w:rsidR="0087613C" w:rsidRPr="001F3203">
        <w:t xml:space="preserve">the </w:t>
      </w:r>
      <w:r w:rsidR="007C5DFC" w:rsidRPr="001F3203">
        <w:t>poor</w:t>
      </w:r>
      <w:r w:rsidR="0087613C" w:rsidRPr="001F3203">
        <w:t>,</w:t>
      </w:r>
      <w:r w:rsidR="007C5DFC" w:rsidRPr="001F3203">
        <w:t xml:space="preserve"> grew at a</w:t>
      </w:r>
      <w:r w:rsidR="0087613C" w:rsidRPr="001F3203">
        <w:t xml:space="preserve"> slow </w:t>
      </w:r>
      <w:r w:rsidR="007C5DFC" w:rsidRPr="001F3203">
        <w:t>rate of 3.</w:t>
      </w:r>
      <w:r w:rsidR="00C06ED8" w:rsidRPr="001F3203">
        <w:t>1</w:t>
      </w:r>
      <w:r w:rsidR="00C31909">
        <w:t xml:space="preserve"> per cent</w:t>
      </w:r>
      <w:r w:rsidR="007C5DFC" w:rsidRPr="001F3203">
        <w:t>.</w:t>
      </w:r>
      <w:r w:rsidR="007C5DFC" w:rsidRPr="001F3203">
        <w:rPr>
          <w:vertAlign w:val="superscript"/>
        </w:rPr>
        <w:footnoteReference w:id="3"/>
      </w:r>
      <w:r w:rsidR="007C5DFC" w:rsidRPr="001F3203">
        <w:t xml:space="preserve"> </w:t>
      </w:r>
      <w:r w:rsidR="0087613C" w:rsidRPr="001F3203">
        <w:t>Overall, s</w:t>
      </w:r>
      <w:r w:rsidRPr="001F3203">
        <w:t xml:space="preserve">table growth and rising incomes have </w:t>
      </w:r>
      <w:r w:rsidR="0087613C" w:rsidRPr="001F3203">
        <w:t xml:space="preserve">helped </w:t>
      </w:r>
      <w:r w:rsidRPr="001F3203">
        <w:t>lift millions of people out of poverty.</w:t>
      </w:r>
      <w:r w:rsidRPr="001F3203">
        <w:rPr>
          <w:vertAlign w:val="superscript"/>
        </w:rPr>
        <w:footnoteReference w:id="4"/>
      </w:r>
      <w:r w:rsidRPr="001F3203">
        <w:t xml:space="preserve"> Over the past decade, Indonesia’s unemployment rate declined from 9.86 to 6.25 per</w:t>
      </w:r>
      <w:r w:rsidR="00C8072C">
        <w:t xml:space="preserve"> </w:t>
      </w:r>
      <w:r w:rsidRPr="001F3203">
        <w:t>cent</w:t>
      </w:r>
      <w:r w:rsidR="00C80171">
        <w:t>,</w:t>
      </w:r>
      <w:r w:rsidRPr="001F3203">
        <w:rPr>
          <w:vertAlign w:val="superscript"/>
        </w:rPr>
        <w:footnoteReference w:id="5"/>
      </w:r>
      <w:r w:rsidRPr="001F3203">
        <w:t xml:space="preserve"> </w:t>
      </w:r>
      <w:r w:rsidR="00C80171">
        <w:t>and b</w:t>
      </w:r>
      <w:r w:rsidRPr="001F3203">
        <w:t>etween 2006 and 2014 the percentage of Indonesians living below the national poverty line declined from 17.8 to 1</w:t>
      </w:r>
      <w:r w:rsidR="007878A5" w:rsidRPr="001F3203">
        <w:t>0.96</w:t>
      </w:r>
      <w:r w:rsidR="00C31909">
        <w:t xml:space="preserve"> per cent</w:t>
      </w:r>
      <w:r w:rsidRPr="001F3203">
        <w:t>.</w:t>
      </w:r>
      <w:r w:rsidRPr="001F3203">
        <w:rPr>
          <w:vertAlign w:val="superscript"/>
        </w:rPr>
        <w:footnoteReference w:id="6"/>
      </w:r>
      <w:r w:rsidR="00F6119F">
        <w:t xml:space="preserve"> </w:t>
      </w:r>
      <w:r w:rsidRPr="001F3203">
        <w:t>During the same period</w:t>
      </w:r>
      <w:r w:rsidR="00C8072C">
        <w:t>,</w:t>
      </w:r>
      <w:r w:rsidRPr="001F3203">
        <w:t xml:space="preserve"> performance against most </w:t>
      </w:r>
      <w:r w:rsidR="00C8072C">
        <w:t>Millennium Development Goal</w:t>
      </w:r>
      <w:r w:rsidRPr="001F3203">
        <w:t xml:space="preserve"> targets </w:t>
      </w:r>
      <w:r w:rsidR="00DF3D1D">
        <w:t>was</w:t>
      </w:r>
      <w:r w:rsidRPr="001F3203">
        <w:t xml:space="preserve"> strong</w:t>
      </w:r>
      <w:r w:rsidR="00C8072C">
        <w:t>;</w:t>
      </w:r>
      <w:r w:rsidR="00C8072C" w:rsidRPr="001F3203" w:rsidDel="00C8072C">
        <w:t xml:space="preserve"> </w:t>
      </w:r>
      <w:r w:rsidRPr="001F3203">
        <w:t xml:space="preserve">13 targets </w:t>
      </w:r>
      <w:r w:rsidR="009D453C">
        <w:t>were</w:t>
      </w:r>
      <w:r w:rsidRPr="001F3203">
        <w:t xml:space="preserve"> met and 35 are on track. Indonesia’s Human Development Index (HDI) also improved</w:t>
      </w:r>
      <w:r w:rsidR="00C8072C">
        <w:t>,</w:t>
      </w:r>
      <w:r w:rsidRPr="001F3203">
        <w:t xml:space="preserve"> from 0.671 in 2010 to 0.684 in 2013. This progress has been achieved thanks to impressive gains in health, education and economic growth </w:t>
      </w:r>
      <w:r w:rsidR="007878A5" w:rsidRPr="001F3203">
        <w:t>between</w:t>
      </w:r>
      <w:r w:rsidRPr="001F3203">
        <w:t xml:space="preserve"> 1970</w:t>
      </w:r>
      <w:r w:rsidR="007878A5" w:rsidRPr="001F3203">
        <w:t xml:space="preserve"> and </w:t>
      </w:r>
      <w:r w:rsidRPr="001F3203">
        <w:t>2010</w:t>
      </w:r>
      <w:r w:rsidR="006F0779" w:rsidRPr="001F3203">
        <w:t>.</w:t>
      </w:r>
    </w:p>
    <w:p w14:paraId="02B47D90" w14:textId="77777777" w:rsidR="00605EED" w:rsidRPr="00605EED" w:rsidRDefault="00605EED" w:rsidP="00605EED">
      <w:pPr>
        <w:pStyle w:val="ListParagraph"/>
        <w:tabs>
          <w:tab w:val="left" w:pos="1080"/>
        </w:tabs>
        <w:spacing w:after="120" w:line="259" w:lineRule="auto"/>
        <w:ind w:right="785"/>
        <w:contextualSpacing/>
        <w:jc w:val="both"/>
        <w:rPr>
          <w:sz w:val="12"/>
          <w:szCs w:val="12"/>
        </w:rPr>
      </w:pPr>
    </w:p>
    <w:p w14:paraId="6141B356" w14:textId="77777777" w:rsidR="007A6560" w:rsidRPr="001F3203" w:rsidRDefault="00010423" w:rsidP="00605EED">
      <w:pPr>
        <w:pStyle w:val="ListParagraph"/>
        <w:numPr>
          <w:ilvl w:val="0"/>
          <w:numId w:val="41"/>
        </w:numPr>
        <w:tabs>
          <w:tab w:val="left" w:pos="1080"/>
        </w:tabs>
        <w:spacing w:after="240" w:line="259" w:lineRule="auto"/>
        <w:ind w:right="785" w:hanging="7"/>
        <w:contextualSpacing/>
        <w:jc w:val="both"/>
      </w:pPr>
      <w:r w:rsidRPr="001F3203">
        <w:t xml:space="preserve">Despite Indonesia’s remarkable achievements, serious development challenges remain. These challenges are reflected in the Government’s </w:t>
      </w:r>
      <w:r w:rsidR="007A6560" w:rsidRPr="001F3203">
        <w:t>National Medium Term Development Plan (RPJMN) 2015-2019,</w:t>
      </w:r>
      <w:r w:rsidR="007A6560" w:rsidRPr="001F3203">
        <w:rPr>
          <w:b/>
        </w:rPr>
        <w:t xml:space="preserve"> </w:t>
      </w:r>
      <w:r w:rsidR="007A6560" w:rsidRPr="00417284">
        <w:rPr>
          <w:bCs/>
        </w:rPr>
        <w:t xml:space="preserve">which aims to </w:t>
      </w:r>
      <w:r w:rsidR="006F0779" w:rsidRPr="00417284">
        <w:rPr>
          <w:bCs/>
        </w:rPr>
        <w:t xml:space="preserve">improve </w:t>
      </w:r>
      <w:r w:rsidR="007A6560" w:rsidRPr="00417284">
        <w:rPr>
          <w:bCs/>
        </w:rPr>
        <w:t>welfare</w:t>
      </w:r>
      <w:r w:rsidRPr="00417284">
        <w:rPr>
          <w:bCs/>
        </w:rPr>
        <w:t xml:space="preserve"> and</w:t>
      </w:r>
      <w:r w:rsidR="007A6560" w:rsidRPr="00417284">
        <w:rPr>
          <w:bCs/>
        </w:rPr>
        <w:t xml:space="preserve"> prosperity w</w:t>
      </w:r>
      <w:r w:rsidRPr="00417284">
        <w:rPr>
          <w:bCs/>
        </w:rPr>
        <w:t xml:space="preserve">hile reducing </w:t>
      </w:r>
      <w:r w:rsidR="006F0779" w:rsidRPr="00417284">
        <w:rPr>
          <w:bCs/>
        </w:rPr>
        <w:t>inequality</w:t>
      </w:r>
      <w:r w:rsidR="007A6560" w:rsidRPr="00417284">
        <w:rPr>
          <w:bCs/>
        </w:rPr>
        <w:t xml:space="preserve"> </w:t>
      </w:r>
      <w:r w:rsidRPr="00417284">
        <w:rPr>
          <w:bCs/>
        </w:rPr>
        <w:t xml:space="preserve">and </w:t>
      </w:r>
      <w:r w:rsidR="007A6560" w:rsidRPr="00417284">
        <w:rPr>
          <w:bCs/>
        </w:rPr>
        <w:t xml:space="preserve">ensuring </w:t>
      </w:r>
      <w:r w:rsidR="006F0779" w:rsidRPr="00417284">
        <w:rPr>
          <w:bCs/>
        </w:rPr>
        <w:t xml:space="preserve">that </w:t>
      </w:r>
      <w:r w:rsidR="007A6560" w:rsidRPr="00417284">
        <w:rPr>
          <w:bCs/>
        </w:rPr>
        <w:t>development does not harm the environment.</w:t>
      </w:r>
      <w:r w:rsidR="007A6560" w:rsidRPr="001F3203">
        <w:t xml:space="preserve"> </w:t>
      </w:r>
    </w:p>
    <w:p w14:paraId="2FFDA4C3" w14:textId="77777777" w:rsidR="00F9103C" w:rsidRPr="00F9103C" w:rsidRDefault="00F9103C" w:rsidP="00F9103C">
      <w:pPr>
        <w:pStyle w:val="ListParagraph"/>
        <w:tabs>
          <w:tab w:val="left" w:pos="1080"/>
        </w:tabs>
        <w:spacing w:line="259" w:lineRule="auto"/>
        <w:ind w:right="785"/>
        <w:contextualSpacing/>
        <w:jc w:val="both"/>
        <w:rPr>
          <w:sz w:val="12"/>
          <w:szCs w:val="12"/>
        </w:rPr>
      </w:pPr>
    </w:p>
    <w:p w14:paraId="30A69EBD" w14:textId="73F41CBE" w:rsidR="006F0779" w:rsidRPr="001F3203" w:rsidRDefault="006F0779" w:rsidP="00F9103C">
      <w:pPr>
        <w:pStyle w:val="ListParagraph"/>
        <w:numPr>
          <w:ilvl w:val="0"/>
          <w:numId w:val="41"/>
        </w:numPr>
        <w:tabs>
          <w:tab w:val="left" w:pos="1080"/>
        </w:tabs>
        <w:spacing w:after="120" w:line="259" w:lineRule="auto"/>
        <w:ind w:right="785" w:hanging="7"/>
        <w:contextualSpacing/>
        <w:jc w:val="both"/>
      </w:pPr>
      <w:r w:rsidRPr="001F3203">
        <w:rPr>
          <w:b/>
        </w:rPr>
        <w:t>Inequality has widened and millions of Indonesians lack access to social services</w:t>
      </w:r>
      <w:r w:rsidR="00C8072C">
        <w:rPr>
          <w:b/>
        </w:rPr>
        <w:t>.</w:t>
      </w:r>
      <w:r w:rsidR="00C8072C" w:rsidRPr="001F3203">
        <w:t xml:space="preserve"> </w:t>
      </w:r>
      <w:r w:rsidRPr="001F3203">
        <w:t>Between 2002 and 2013</w:t>
      </w:r>
      <w:r w:rsidR="00DF3D1D">
        <w:t>,</w:t>
      </w:r>
      <w:r w:rsidRPr="001F3203">
        <w:t xml:space="preserve"> income inequality increased by 24</w:t>
      </w:r>
      <w:r w:rsidR="00C8072C">
        <w:t xml:space="preserve"> per cent</w:t>
      </w:r>
      <w:r w:rsidRPr="001F3203">
        <w:t>. Large sections of the population lack access to basic services</w:t>
      </w:r>
      <w:r w:rsidR="00DF3D1D">
        <w:t>, with</w:t>
      </w:r>
      <w:r w:rsidRPr="001F3203">
        <w:t xml:space="preserve"> </w:t>
      </w:r>
      <w:r w:rsidR="00DF3D1D">
        <w:t>o</w:t>
      </w:r>
      <w:r w:rsidRPr="001F3203">
        <w:t>nly 68</w:t>
      </w:r>
      <w:r w:rsidR="00C8072C">
        <w:t xml:space="preserve"> per cent</w:t>
      </w:r>
      <w:r w:rsidR="00C8072C" w:rsidRPr="001F3203">
        <w:t xml:space="preserve">, </w:t>
      </w:r>
      <w:r w:rsidRPr="001F3203">
        <w:t xml:space="preserve">mainly those in urban centres, </w:t>
      </w:r>
      <w:r w:rsidR="00DF3D1D">
        <w:t>having</w:t>
      </w:r>
      <w:r w:rsidR="00DF3D1D" w:rsidRPr="001F3203">
        <w:t xml:space="preserve"> </w:t>
      </w:r>
      <w:r w:rsidRPr="001F3203">
        <w:t>access to safe drinking water and 61</w:t>
      </w:r>
      <w:r w:rsidR="00C8072C">
        <w:t xml:space="preserve"> per cent</w:t>
      </w:r>
      <w:r w:rsidR="00C8072C" w:rsidRPr="001F3203">
        <w:t xml:space="preserve"> </w:t>
      </w:r>
      <w:r w:rsidRPr="001F3203">
        <w:t>to sanitation.</w:t>
      </w:r>
      <w:r w:rsidRPr="001F3203">
        <w:rPr>
          <w:vertAlign w:val="superscript"/>
        </w:rPr>
        <w:footnoteReference w:id="7"/>
      </w:r>
      <w:r w:rsidRPr="001F3203">
        <w:t xml:space="preserve"> Women continue to have lower access to education</w:t>
      </w:r>
      <w:r w:rsidR="00C80171">
        <w:t xml:space="preserve">, </w:t>
      </w:r>
      <w:r w:rsidRPr="001F3203">
        <w:t xml:space="preserve">employment </w:t>
      </w:r>
      <w:r w:rsidR="00C80171">
        <w:t xml:space="preserve">and </w:t>
      </w:r>
      <w:r w:rsidRPr="001F3203">
        <w:t xml:space="preserve">services. </w:t>
      </w:r>
      <w:r w:rsidR="00DF3D1D">
        <w:t>P</w:t>
      </w:r>
      <w:r w:rsidRPr="001F3203">
        <w:t xml:space="preserve">eople living in eastern regions of Indonesia have much lower access to social services, energy </w:t>
      </w:r>
      <w:r w:rsidR="00FA65A7" w:rsidRPr="001F3203">
        <w:t xml:space="preserve">and </w:t>
      </w:r>
      <w:r w:rsidRPr="001F3203">
        <w:t>employment.</w:t>
      </w:r>
      <w:r w:rsidRPr="001F3203">
        <w:rPr>
          <w:vertAlign w:val="superscript"/>
        </w:rPr>
        <w:footnoteReference w:id="8"/>
      </w:r>
      <w:r w:rsidRPr="001F3203">
        <w:rPr>
          <w:vertAlign w:val="superscript"/>
        </w:rPr>
        <w:t xml:space="preserve"> </w:t>
      </w:r>
      <w:r w:rsidRPr="001F3203">
        <w:t xml:space="preserve">At 359 deaths per 100,000 births, Indonesia’s maternal mortality </w:t>
      </w:r>
      <w:r w:rsidR="00C8072C">
        <w:t>ratio</w:t>
      </w:r>
      <w:r w:rsidR="00C8072C" w:rsidRPr="001F3203">
        <w:t xml:space="preserve"> </w:t>
      </w:r>
      <w:r w:rsidRPr="001F3203">
        <w:t xml:space="preserve">(MMR) is one of the highest in Asia. Undernutrition and childhood stunting </w:t>
      </w:r>
      <w:r w:rsidR="00C8072C">
        <w:t>are</w:t>
      </w:r>
      <w:r w:rsidR="00C8072C" w:rsidRPr="001F3203">
        <w:t xml:space="preserve"> </w:t>
      </w:r>
      <w:r w:rsidRPr="001F3203">
        <w:t xml:space="preserve">prevalent, affecting one </w:t>
      </w:r>
      <w:r w:rsidR="00C8072C">
        <w:t>in</w:t>
      </w:r>
      <w:r w:rsidRPr="001F3203">
        <w:t xml:space="preserve"> three children under the age of </w:t>
      </w:r>
      <w:r w:rsidR="00221709">
        <w:t>5 years</w:t>
      </w:r>
      <w:r w:rsidRPr="001F3203">
        <w:t>.</w:t>
      </w:r>
      <w:r w:rsidRPr="001F3203">
        <w:rPr>
          <w:vertAlign w:val="superscript"/>
        </w:rPr>
        <w:footnoteReference w:id="9"/>
      </w:r>
      <w:r w:rsidRPr="001F3203">
        <w:t xml:space="preserve"> The rate of new HIV infections </w:t>
      </w:r>
      <w:r w:rsidR="002D7B61">
        <w:t>is</w:t>
      </w:r>
      <w:r w:rsidR="002D7B61" w:rsidRPr="001F3203">
        <w:t xml:space="preserve"> </w:t>
      </w:r>
      <w:r w:rsidRPr="001F3203">
        <w:t>climbing, partic</w:t>
      </w:r>
      <w:r w:rsidR="00C016C7" w:rsidRPr="001F3203">
        <w:t>ularly in the eastern provinces</w:t>
      </w:r>
      <w:r w:rsidRPr="001F3203">
        <w:t>.</w:t>
      </w:r>
      <w:r w:rsidRPr="001F3203">
        <w:rPr>
          <w:vertAlign w:val="superscript"/>
        </w:rPr>
        <w:footnoteReference w:id="10"/>
      </w:r>
      <w:r w:rsidRPr="001F3203">
        <w:t xml:space="preserve"> </w:t>
      </w:r>
      <w:r w:rsidR="0055535C" w:rsidRPr="001F3203">
        <w:t>T</w:t>
      </w:r>
      <w:r w:rsidRPr="001F3203">
        <w:t xml:space="preserve">he low accessibility </w:t>
      </w:r>
      <w:r w:rsidR="00F94C90">
        <w:t>of</w:t>
      </w:r>
      <w:r w:rsidR="00F94C90" w:rsidRPr="001F3203">
        <w:t xml:space="preserve"> </w:t>
      </w:r>
      <w:r w:rsidRPr="001F3203">
        <w:t xml:space="preserve">services is exacerbated by </w:t>
      </w:r>
      <w:r w:rsidR="00C8072C">
        <w:t xml:space="preserve">the </w:t>
      </w:r>
      <w:r w:rsidRPr="001F3203">
        <w:t xml:space="preserve">high level of leakage and low implementation rates of programmes, restricting government </w:t>
      </w:r>
      <w:r w:rsidR="00C31909" w:rsidRPr="001F3203">
        <w:t>capacit</w:t>
      </w:r>
      <w:r w:rsidR="00C31909">
        <w:t>ies</w:t>
      </w:r>
      <w:r w:rsidR="00C31909" w:rsidRPr="001F3203">
        <w:t xml:space="preserve"> </w:t>
      </w:r>
      <w:r w:rsidRPr="001F3203">
        <w:t>to provide services, especially at subnational levels. At these levels, human resource</w:t>
      </w:r>
      <w:r w:rsidR="00C31909">
        <w:t>s</w:t>
      </w:r>
      <w:r w:rsidRPr="001F3203">
        <w:t xml:space="preserve"> </w:t>
      </w:r>
      <w:r w:rsidR="00C31909" w:rsidRPr="001F3203">
        <w:t>capacit</w:t>
      </w:r>
      <w:r w:rsidR="00C31909">
        <w:t>ies</w:t>
      </w:r>
      <w:r w:rsidR="00C31909" w:rsidRPr="001F3203">
        <w:t xml:space="preserve"> </w:t>
      </w:r>
      <w:r w:rsidR="00C31909">
        <w:t>are</w:t>
      </w:r>
      <w:r w:rsidR="00C31909" w:rsidRPr="001F3203">
        <w:t xml:space="preserve"> </w:t>
      </w:r>
      <w:r w:rsidRPr="001F3203">
        <w:t xml:space="preserve">weakest and systems and procedures are least developed. </w:t>
      </w:r>
      <w:r w:rsidR="00C31909">
        <w:t>The involvement of c</w:t>
      </w:r>
      <w:r w:rsidR="00C31909" w:rsidRPr="001F3203">
        <w:t>itizens</w:t>
      </w:r>
      <w:r w:rsidRPr="001F3203">
        <w:t xml:space="preserve"> in oversight processes remains limited, with public complaint mechanisms piloted in only a </w:t>
      </w:r>
      <w:r w:rsidR="002D7B61">
        <w:t>handful of</w:t>
      </w:r>
      <w:r w:rsidR="002D7B61" w:rsidRPr="001F3203">
        <w:t xml:space="preserve"> </w:t>
      </w:r>
      <w:r w:rsidRPr="001F3203">
        <w:t xml:space="preserve">regions and few state </w:t>
      </w:r>
      <w:r w:rsidR="00C31909" w:rsidRPr="001F3203">
        <w:t>organi</w:t>
      </w:r>
      <w:r w:rsidR="00161D26">
        <w:t>z</w:t>
      </w:r>
      <w:r w:rsidR="00C31909" w:rsidRPr="001F3203">
        <w:t xml:space="preserve">ations </w:t>
      </w:r>
      <w:r w:rsidRPr="001F3203">
        <w:t>having external oversight mechanisms that involve civil society.</w:t>
      </w:r>
    </w:p>
    <w:p w14:paraId="03248098" w14:textId="77777777" w:rsidR="00C14BB9" w:rsidRPr="00F9103C" w:rsidRDefault="00C14BB9" w:rsidP="00605EED">
      <w:pPr>
        <w:pStyle w:val="ListParagraph"/>
        <w:tabs>
          <w:tab w:val="left" w:pos="1080"/>
        </w:tabs>
        <w:spacing w:line="259" w:lineRule="auto"/>
        <w:ind w:right="785" w:hanging="7"/>
        <w:contextualSpacing/>
        <w:jc w:val="both"/>
        <w:rPr>
          <w:sz w:val="12"/>
          <w:szCs w:val="12"/>
        </w:rPr>
      </w:pPr>
    </w:p>
    <w:p w14:paraId="2A660915" w14:textId="27724F20" w:rsidR="007A6560" w:rsidRPr="001F3203" w:rsidRDefault="007A6560" w:rsidP="00605EED">
      <w:pPr>
        <w:pStyle w:val="ListParagraph"/>
        <w:numPr>
          <w:ilvl w:val="0"/>
          <w:numId w:val="41"/>
        </w:numPr>
        <w:tabs>
          <w:tab w:val="left" w:pos="1080"/>
        </w:tabs>
        <w:autoSpaceDE w:val="0"/>
        <w:autoSpaceDN w:val="0"/>
        <w:adjustRightInd w:val="0"/>
        <w:spacing w:after="160" w:line="259" w:lineRule="auto"/>
        <w:ind w:right="785" w:hanging="7"/>
        <w:contextualSpacing/>
        <w:jc w:val="both"/>
        <w:rPr>
          <w:lang w:eastAsia="en-GB"/>
        </w:rPr>
      </w:pPr>
      <w:r w:rsidRPr="001F3203">
        <w:rPr>
          <w:b/>
        </w:rPr>
        <w:t xml:space="preserve">Vulnerable, </w:t>
      </w:r>
      <w:r w:rsidR="00C31909" w:rsidRPr="001F3203">
        <w:rPr>
          <w:b/>
        </w:rPr>
        <w:t>low</w:t>
      </w:r>
      <w:r w:rsidR="00C31909">
        <w:rPr>
          <w:b/>
        </w:rPr>
        <w:t>-</w:t>
      </w:r>
      <w:r w:rsidRPr="001F3203">
        <w:rPr>
          <w:b/>
        </w:rPr>
        <w:t xml:space="preserve">income and </w:t>
      </w:r>
      <w:r w:rsidR="00C31909" w:rsidRPr="001F3203">
        <w:rPr>
          <w:b/>
        </w:rPr>
        <w:t>food</w:t>
      </w:r>
      <w:r w:rsidR="00C31909">
        <w:rPr>
          <w:b/>
        </w:rPr>
        <w:t>-</w:t>
      </w:r>
      <w:r w:rsidRPr="001F3203">
        <w:rPr>
          <w:b/>
        </w:rPr>
        <w:t>insecure people still face significant barriers to improving their livelihoods</w:t>
      </w:r>
      <w:r w:rsidR="00C31909">
        <w:t>.</w:t>
      </w:r>
      <w:r w:rsidR="00C31909" w:rsidRPr="001F3203">
        <w:t xml:space="preserve"> </w:t>
      </w:r>
      <w:r w:rsidRPr="001F3203">
        <w:t xml:space="preserve">Approximately </w:t>
      </w:r>
      <w:r w:rsidR="00FB6E67" w:rsidRPr="001F3203">
        <w:t xml:space="preserve">65 </w:t>
      </w:r>
      <w:r w:rsidRPr="001F3203">
        <w:t xml:space="preserve">million Indonesians </w:t>
      </w:r>
      <w:r w:rsidR="00FB6E67" w:rsidRPr="001F3203">
        <w:t>remain highly</w:t>
      </w:r>
      <w:r w:rsidR="00FA65A7" w:rsidRPr="001F3203">
        <w:t xml:space="preserve"> vulnerab</w:t>
      </w:r>
      <w:r w:rsidR="0055535C" w:rsidRPr="001F3203">
        <w:t>le</w:t>
      </w:r>
      <w:r w:rsidR="00FA65A7" w:rsidRPr="001F3203">
        <w:t xml:space="preserve"> to shocks</w:t>
      </w:r>
      <w:r w:rsidRPr="001F3203">
        <w:t>.</w:t>
      </w:r>
      <w:r w:rsidRPr="001F3203">
        <w:rPr>
          <w:rStyle w:val="FootnoteReference"/>
        </w:rPr>
        <w:footnoteReference w:id="11"/>
      </w:r>
      <w:r w:rsidRPr="001F3203">
        <w:t xml:space="preserve"> </w:t>
      </w:r>
      <w:r w:rsidR="0055535C" w:rsidRPr="001F3203">
        <w:t xml:space="preserve">Poverty </w:t>
      </w:r>
      <w:r w:rsidR="00B83820" w:rsidRPr="001F3203">
        <w:t xml:space="preserve">is </w:t>
      </w:r>
      <w:r w:rsidR="0055535C" w:rsidRPr="001F3203">
        <w:t xml:space="preserve">high in </w:t>
      </w:r>
      <w:r w:rsidR="00AB1B40">
        <w:t>provinces</w:t>
      </w:r>
      <w:r w:rsidR="00AB1B40" w:rsidRPr="001F3203">
        <w:t xml:space="preserve"> </w:t>
      </w:r>
      <w:r w:rsidR="0055535C" w:rsidRPr="001F3203">
        <w:t xml:space="preserve">such as Papua and West Papua with rates of 28 </w:t>
      </w:r>
      <w:r w:rsidR="00C016C7" w:rsidRPr="001F3203">
        <w:t xml:space="preserve">and 26 </w:t>
      </w:r>
      <w:r w:rsidR="00AB1B40">
        <w:t xml:space="preserve">per cent </w:t>
      </w:r>
      <w:r w:rsidR="00C016C7" w:rsidRPr="001F3203">
        <w:t>respectively</w:t>
      </w:r>
      <w:r w:rsidR="0055535C" w:rsidRPr="001F3203">
        <w:t xml:space="preserve">. </w:t>
      </w:r>
      <w:r w:rsidRPr="001F3203">
        <w:t xml:space="preserve">Although overall unemployment is on the decline, the picture is different for vulnerable groups: </w:t>
      </w:r>
      <w:r w:rsidR="000E63F2">
        <w:t>t</w:t>
      </w:r>
      <w:r w:rsidR="00C31909">
        <w:t xml:space="preserve">he </w:t>
      </w:r>
      <w:r w:rsidR="00C14BB9" w:rsidRPr="001F3203">
        <w:t xml:space="preserve">youth </w:t>
      </w:r>
      <w:r w:rsidRPr="001F3203">
        <w:t>unemploy</w:t>
      </w:r>
      <w:r w:rsidR="0055535C" w:rsidRPr="001F3203">
        <w:t xml:space="preserve">ment </w:t>
      </w:r>
      <w:r w:rsidR="00C31909">
        <w:t xml:space="preserve">rate </w:t>
      </w:r>
      <w:r w:rsidR="00C14BB9" w:rsidRPr="001F3203">
        <w:t>is</w:t>
      </w:r>
      <w:r w:rsidRPr="001F3203">
        <w:t xml:space="preserve"> 22</w:t>
      </w:r>
      <w:r w:rsidR="00C31909">
        <w:t xml:space="preserve"> per cent</w:t>
      </w:r>
      <w:r w:rsidR="00C31909" w:rsidRPr="001F3203">
        <w:t xml:space="preserve">; </w:t>
      </w:r>
      <w:r w:rsidRPr="001F3203">
        <w:t xml:space="preserve">women </w:t>
      </w:r>
      <w:r w:rsidR="00C016C7" w:rsidRPr="001F3203">
        <w:t xml:space="preserve">constitute </w:t>
      </w:r>
      <w:r w:rsidR="00C31909">
        <w:t xml:space="preserve">the </w:t>
      </w:r>
      <w:r w:rsidR="00C016C7" w:rsidRPr="001F3203">
        <w:t>majority of the</w:t>
      </w:r>
      <w:r w:rsidRPr="001F3203">
        <w:t xml:space="preserve"> unemployed</w:t>
      </w:r>
      <w:r w:rsidRPr="001F3203">
        <w:rPr>
          <w:vertAlign w:val="superscript"/>
        </w:rPr>
        <w:footnoteReference w:id="12"/>
      </w:r>
      <w:r w:rsidRPr="001F3203">
        <w:rPr>
          <w:vertAlign w:val="superscript"/>
        </w:rPr>
        <w:t xml:space="preserve"> </w:t>
      </w:r>
      <w:r w:rsidR="00C31909" w:rsidRPr="00C31909">
        <w:t>(</w:t>
      </w:r>
      <w:r w:rsidR="00C31909">
        <w:t>the</w:t>
      </w:r>
      <w:r w:rsidR="00C31909" w:rsidRPr="00C31909">
        <w:t xml:space="preserve"> </w:t>
      </w:r>
      <w:r w:rsidR="00C016C7" w:rsidRPr="001F3203">
        <w:t xml:space="preserve">unemployment rate </w:t>
      </w:r>
      <w:r w:rsidR="002D7B61">
        <w:t>is</w:t>
      </w:r>
      <w:r w:rsidR="002D7B61" w:rsidRPr="001F3203">
        <w:t xml:space="preserve"> </w:t>
      </w:r>
      <w:r w:rsidR="00C016C7" w:rsidRPr="001F3203">
        <w:t>6</w:t>
      </w:r>
      <w:r w:rsidR="00C31909">
        <w:t xml:space="preserve"> </w:t>
      </w:r>
      <w:r w:rsidR="007E3A32">
        <w:t>p</w:t>
      </w:r>
      <w:r w:rsidR="00C31909">
        <w:t>er cent</w:t>
      </w:r>
      <w:r w:rsidR="00C31909" w:rsidRPr="001F3203">
        <w:t xml:space="preserve"> </w:t>
      </w:r>
      <w:r w:rsidR="00C016C7" w:rsidRPr="001F3203">
        <w:t>for men and 9</w:t>
      </w:r>
      <w:r w:rsidR="00C31909">
        <w:t xml:space="preserve"> per cent</w:t>
      </w:r>
      <w:r w:rsidR="00C31909" w:rsidRPr="001F3203">
        <w:t xml:space="preserve"> </w:t>
      </w:r>
      <w:r w:rsidRPr="001F3203">
        <w:t>for women</w:t>
      </w:r>
      <w:r w:rsidR="00C31909">
        <w:t>)</w:t>
      </w:r>
      <w:r w:rsidR="00810011" w:rsidRPr="001F3203">
        <w:t>;</w:t>
      </w:r>
      <w:r w:rsidRPr="001F3203">
        <w:rPr>
          <w:vertAlign w:val="superscript"/>
        </w:rPr>
        <w:footnoteReference w:id="13"/>
      </w:r>
      <w:r w:rsidRPr="001F3203">
        <w:t xml:space="preserve"> people with disabilities and </w:t>
      </w:r>
      <w:r w:rsidR="00BF2850" w:rsidRPr="001F3203">
        <w:t xml:space="preserve">customary </w:t>
      </w:r>
      <w:r w:rsidR="00F3259A" w:rsidRPr="001F3203">
        <w:t xml:space="preserve">law </w:t>
      </w:r>
      <w:r w:rsidR="00BF2850" w:rsidRPr="001F3203">
        <w:t>communities</w:t>
      </w:r>
      <w:r w:rsidRPr="001F3203">
        <w:t xml:space="preserve"> are overrepresented among the unemployed; and barriers </w:t>
      </w:r>
      <w:r w:rsidRPr="001F3203">
        <w:lastRenderedPageBreak/>
        <w:t xml:space="preserve">exist for other minority groups to gain and retain employment. </w:t>
      </w:r>
      <w:r w:rsidR="00FA65A7" w:rsidRPr="001F3203">
        <w:t xml:space="preserve">The poor are also the most vulnerable to disasters: </w:t>
      </w:r>
      <w:r w:rsidR="00C31909">
        <w:t>4</w:t>
      </w:r>
      <w:r w:rsidR="00C31909" w:rsidRPr="001F3203">
        <w:t xml:space="preserve"> </w:t>
      </w:r>
      <w:r w:rsidR="00FA65A7" w:rsidRPr="001F3203">
        <w:t xml:space="preserve">of the </w:t>
      </w:r>
      <w:r w:rsidR="00C31909">
        <w:t>10</w:t>
      </w:r>
      <w:r w:rsidR="00C31909" w:rsidRPr="001F3203">
        <w:t xml:space="preserve"> </w:t>
      </w:r>
      <w:r w:rsidR="00FA65A7" w:rsidRPr="001F3203">
        <w:t xml:space="preserve">most disaster-prone provinces have the lowest human development indices. </w:t>
      </w:r>
      <w:r w:rsidRPr="001F3203">
        <w:t xml:space="preserve">The absence of </w:t>
      </w:r>
      <w:r w:rsidR="000E63F2">
        <w:t>energy</w:t>
      </w:r>
      <w:r w:rsidR="000E63F2" w:rsidRPr="001F3203">
        <w:t xml:space="preserve"> </w:t>
      </w:r>
      <w:r w:rsidRPr="001F3203">
        <w:t xml:space="preserve">infrastructure is one of the causes of disparity in economic development. Indonesia’s electrification ratio is </w:t>
      </w:r>
      <w:r w:rsidR="00904E25" w:rsidRPr="001F3203">
        <w:t>84.35</w:t>
      </w:r>
      <w:r w:rsidR="000E63F2">
        <w:t xml:space="preserve"> per cent</w:t>
      </w:r>
      <w:r w:rsidR="00810011" w:rsidRPr="001F3203">
        <w:t>,</w:t>
      </w:r>
      <w:r w:rsidRPr="001F3203">
        <w:rPr>
          <w:rStyle w:val="FootnoteReference"/>
        </w:rPr>
        <w:footnoteReference w:id="14"/>
      </w:r>
      <w:r w:rsidRPr="001F3203">
        <w:t xml:space="preserve"> with 40 million people, mainly poor </w:t>
      </w:r>
      <w:r w:rsidR="00F94C90">
        <w:t>and</w:t>
      </w:r>
      <w:r w:rsidR="00F94C90" w:rsidRPr="001F3203">
        <w:t xml:space="preserve"> </w:t>
      </w:r>
      <w:r w:rsidRPr="001F3203">
        <w:t>in remote areas, without electricity. An estimated 24.5 million households rely on firewood for cooking</w:t>
      </w:r>
      <w:r w:rsidR="000E63F2">
        <w:t>,</w:t>
      </w:r>
      <w:r w:rsidRPr="001F3203">
        <w:t xml:space="preserve"> resulting in </w:t>
      </w:r>
      <w:r w:rsidR="00AB1B40">
        <w:t xml:space="preserve">an </w:t>
      </w:r>
      <w:r w:rsidRPr="001F3203">
        <w:t>estimated 165,000 premature deaths due to indoor air pollution</w:t>
      </w:r>
      <w:r w:rsidR="00810011" w:rsidRPr="001F3203">
        <w:t>.</w:t>
      </w:r>
      <w:r w:rsidRPr="001F3203">
        <w:rPr>
          <w:rStyle w:val="FootnoteReference"/>
        </w:rPr>
        <w:footnoteReference w:id="15"/>
      </w:r>
      <w:r w:rsidRPr="001F3203">
        <w:t xml:space="preserve"> These challenges </w:t>
      </w:r>
      <w:r w:rsidR="00F94C90" w:rsidRPr="001F3203">
        <w:t>stem</w:t>
      </w:r>
      <w:r w:rsidRPr="001F3203">
        <w:t xml:space="preserve"> from  causes</w:t>
      </w:r>
      <w:r w:rsidR="007F68E0">
        <w:t xml:space="preserve"> such</w:t>
      </w:r>
      <w:r w:rsidR="00E234E4">
        <w:t xml:space="preserve"> as</w:t>
      </w:r>
      <w:r w:rsidRPr="001F3203">
        <w:t xml:space="preserve"> </w:t>
      </w:r>
      <w:r w:rsidR="000E63F2">
        <w:t>(</w:t>
      </w:r>
      <w:r w:rsidRPr="001F3203">
        <w:t>a) human resource constraints caused by</w:t>
      </w:r>
      <w:r w:rsidR="00E234E4">
        <w:t xml:space="preserve"> the limited accessibility to and </w:t>
      </w:r>
      <w:r w:rsidRPr="001F3203">
        <w:t xml:space="preserve">poor quality </w:t>
      </w:r>
      <w:r w:rsidR="00E234E4">
        <w:t xml:space="preserve">of </w:t>
      </w:r>
      <w:r w:rsidRPr="001F3203">
        <w:t xml:space="preserve">education that </w:t>
      </w:r>
      <w:r w:rsidR="00201A0D">
        <w:t>keep</w:t>
      </w:r>
      <w:r w:rsidRPr="001F3203">
        <w:t xml:space="preserve"> the poor from accessing decent employment; </w:t>
      </w:r>
      <w:r w:rsidR="000E63F2">
        <w:t>(</w:t>
      </w:r>
      <w:r w:rsidRPr="001F3203">
        <w:t xml:space="preserve">b) limited availability of decent, sustainable jobs; and </w:t>
      </w:r>
      <w:r w:rsidR="000E63F2">
        <w:t>(</w:t>
      </w:r>
      <w:r w:rsidRPr="001F3203">
        <w:t xml:space="preserve">c) </w:t>
      </w:r>
      <w:r w:rsidR="00AB1B40">
        <w:t>a</w:t>
      </w:r>
      <w:r w:rsidR="000E63F2">
        <w:t xml:space="preserve"> </w:t>
      </w:r>
      <w:r w:rsidRPr="001F3203">
        <w:t xml:space="preserve">low property ownership rate, especially among women and </w:t>
      </w:r>
      <w:r w:rsidR="00BF2850" w:rsidRPr="001F3203">
        <w:t xml:space="preserve">customary </w:t>
      </w:r>
      <w:r w:rsidR="00F3259A" w:rsidRPr="001F3203">
        <w:t xml:space="preserve">law </w:t>
      </w:r>
      <w:r w:rsidR="00BF2850" w:rsidRPr="001F3203">
        <w:t>communities</w:t>
      </w:r>
      <w:r w:rsidRPr="001F3203">
        <w:t xml:space="preserve">. </w:t>
      </w:r>
    </w:p>
    <w:p w14:paraId="27773782" w14:textId="77777777" w:rsidR="007A6560" w:rsidRPr="00F9103C" w:rsidRDefault="007A6560" w:rsidP="00605EED">
      <w:pPr>
        <w:pStyle w:val="ListParagraph"/>
        <w:tabs>
          <w:tab w:val="left" w:pos="1080"/>
        </w:tabs>
        <w:autoSpaceDE w:val="0"/>
        <w:autoSpaceDN w:val="0"/>
        <w:adjustRightInd w:val="0"/>
        <w:ind w:right="785" w:hanging="7"/>
        <w:jc w:val="both"/>
        <w:rPr>
          <w:sz w:val="12"/>
          <w:szCs w:val="12"/>
          <w:lang w:eastAsia="en-GB"/>
        </w:rPr>
      </w:pPr>
    </w:p>
    <w:p w14:paraId="23994EA5" w14:textId="67A029A3" w:rsidR="007A6560" w:rsidRPr="001F3203" w:rsidRDefault="007A6560" w:rsidP="00605EED">
      <w:pPr>
        <w:pStyle w:val="ListParagraph"/>
        <w:numPr>
          <w:ilvl w:val="0"/>
          <w:numId w:val="41"/>
        </w:numPr>
        <w:tabs>
          <w:tab w:val="left" w:pos="1080"/>
        </w:tabs>
        <w:spacing w:after="160" w:line="259" w:lineRule="auto"/>
        <w:ind w:right="785" w:hanging="7"/>
        <w:contextualSpacing/>
        <w:jc w:val="both"/>
      </w:pPr>
      <w:r w:rsidRPr="001F3203">
        <w:rPr>
          <w:b/>
        </w:rPr>
        <w:t>Economic growth has been largely at the expense of natural resources</w:t>
      </w:r>
      <w:r w:rsidR="000E63F2">
        <w:rPr>
          <w:b/>
        </w:rPr>
        <w:t>.</w:t>
      </w:r>
      <w:r w:rsidR="000E63F2" w:rsidRPr="001F3203">
        <w:rPr>
          <w:b/>
        </w:rPr>
        <w:t xml:space="preserve"> </w:t>
      </w:r>
      <w:r w:rsidRPr="001F3203">
        <w:t>Many communities depend on natural resources for their livelihoods</w:t>
      </w:r>
      <w:r w:rsidR="000E63F2">
        <w:t>;</w:t>
      </w:r>
      <w:r w:rsidR="000E63F2" w:rsidRPr="001F3203">
        <w:t xml:space="preserve"> </w:t>
      </w:r>
      <w:r w:rsidRPr="001F3203">
        <w:t>48 million people</w:t>
      </w:r>
      <w:r w:rsidRPr="001F3203">
        <w:rPr>
          <w:rStyle w:val="FootnoteReference"/>
        </w:rPr>
        <w:footnoteReference w:id="16"/>
      </w:r>
      <w:r w:rsidRPr="001F3203">
        <w:t xml:space="preserve"> live near and </w:t>
      </w:r>
      <w:r w:rsidR="005A157B">
        <w:t>in</w:t>
      </w:r>
      <w:r w:rsidR="005A157B" w:rsidRPr="001F3203">
        <w:t xml:space="preserve"> </w:t>
      </w:r>
      <w:r w:rsidRPr="001F3203">
        <w:t>forest area</w:t>
      </w:r>
      <w:r w:rsidR="00F74172">
        <w:t>s</w:t>
      </w:r>
      <w:r w:rsidRPr="001F3203">
        <w:t>, with 10.2 million categorized as poor. A 2014 UNDP study in Central Kalimantan showed that the poor relied on forest and ecosystem services for approximately 75</w:t>
      </w:r>
      <w:r w:rsidR="000E63F2">
        <w:t xml:space="preserve"> per cent</w:t>
      </w:r>
      <w:r w:rsidR="000E63F2" w:rsidRPr="001F3203">
        <w:t xml:space="preserve"> </w:t>
      </w:r>
      <w:r w:rsidRPr="001F3203">
        <w:t xml:space="preserve">of their income. Indonesia’s rate of deforestation is now the highest in the world. Deforestation and a reliance on fossil </w:t>
      </w:r>
      <w:r w:rsidR="000E63F2">
        <w:t xml:space="preserve">fuels </w:t>
      </w:r>
      <w:r w:rsidR="002D1C12" w:rsidRPr="001F3203">
        <w:t>has made Indonesia</w:t>
      </w:r>
      <w:r w:rsidRPr="001F3203">
        <w:t xml:space="preserve"> one </w:t>
      </w:r>
      <w:r w:rsidR="002D1C12" w:rsidRPr="001F3203">
        <w:t>of the world’s largest emitters</w:t>
      </w:r>
      <w:r w:rsidR="000E63F2">
        <w:t xml:space="preserve"> of greenhouse gases</w:t>
      </w:r>
      <w:r w:rsidRPr="001F3203">
        <w:t>. Biodiversity losses are mounting</w:t>
      </w:r>
      <w:r w:rsidR="005A157B">
        <w:t>, with</w:t>
      </w:r>
      <w:r w:rsidR="00855433" w:rsidRPr="001F3203">
        <w:t xml:space="preserve"> </w:t>
      </w:r>
      <w:r w:rsidRPr="001F3203">
        <w:t xml:space="preserve">Indonesia </w:t>
      </w:r>
      <w:r w:rsidR="005A157B">
        <w:t>having</w:t>
      </w:r>
      <w:r w:rsidR="005A157B" w:rsidRPr="001F3203">
        <w:t xml:space="preserve"> </w:t>
      </w:r>
      <w:r w:rsidRPr="001F3203">
        <w:t>the highest number of mammal species under threat in the world.</w:t>
      </w:r>
      <w:r w:rsidRPr="001F3203">
        <w:rPr>
          <w:vertAlign w:val="superscript"/>
        </w:rPr>
        <w:footnoteReference w:id="17"/>
      </w:r>
      <w:r w:rsidRPr="001F3203">
        <w:t xml:space="preserve"> Weak rule of law and limited access to justice exacerbate environmental degradation and co</w:t>
      </w:r>
      <w:r w:rsidR="002D1C12" w:rsidRPr="001F3203">
        <w:t>nflicts over land and resources, with v</w:t>
      </w:r>
      <w:r w:rsidRPr="001F3203">
        <w:t xml:space="preserve">iolent conflicts related to natural resources </w:t>
      </w:r>
      <w:r w:rsidR="00855433" w:rsidRPr="001F3203">
        <w:t>increas</w:t>
      </w:r>
      <w:r w:rsidR="00855433">
        <w:t>ing</w:t>
      </w:r>
      <w:r w:rsidR="00855433" w:rsidRPr="001F3203">
        <w:t xml:space="preserve"> </w:t>
      </w:r>
      <w:r w:rsidRPr="001F3203">
        <w:t>by 26</w:t>
      </w:r>
      <w:r w:rsidR="00855433">
        <w:t xml:space="preserve"> per cent</w:t>
      </w:r>
      <w:r w:rsidR="00855433" w:rsidRPr="001F3203">
        <w:t xml:space="preserve"> </w:t>
      </w:r>
      <w:r w:rsidRPr="001F3203">
        <w:t>between 2010 and 2014.</w:t>
      </w:r>
      <w:r w:rsidRPr="001F3203">
        <w:rPr>
          <w:rStyle w:val="FootnoteReference"/>
        </w:rPr>
        <w:footnoteReference w:id="18"/>
      </w:r>
      <w:r w:rsidRPr="001F3203">
        <w:t xml:space="preserve"> </w:t>
      </w:r>
      <w:r w:rsidR="005A157B">
        <w:t>The u</w:t>
      </w:r>
      <w:r w:rsidRPr="001F3203">
        <w:t>nderlying causes</w:t>
      </w:r>
      <w:r w:rsidR="00C14BB9" w:rsidRPr="001F3203">
        <w:t xml:space="preserve"> of these challenges include</w:t>
      </w:r>
      <w:r w:rsidRPr="001F3203">
        <w:t xml:space="preserve"> </w:t>
      </w:r>
      <w:r w:rsidR="00855433">
        <w:t>(</w:t>
      </w:r>
      <w:r w:rsidRPr="001F3203">
        <w:t xml:space="preserve">a) economic incentives that encourage overexploitation of natural resources; </w:t>
      </w:r>
      <w:r w:rsidR="00855433">
        <w:t>(</w:t>
      </w:r>
      <w:r w:rsidRPr="001F3203">
        <w:t xml:space="preserve">b) uncontrolled issuance of permits and concessions and weak law enforcement; </w:t>
      </w:r>
      <w:r w:rsidR="00855433">
        <w:t>(</w:t>
      </w:r>
      <w:r w:rsidRPr="001F3203">
        <w:t xml:space="preserve">c) weak capacity in spatial </w:t>
      </w:r>
      <w:r w:rsidR="007F38CA" w:rsidRPr="001F3203">
        <w:t>planning;</w:t>
      </w:r>
      <w:r w:rsidRPr="001F3203">
        <w:t xml:space="preserve"> </w:t>
      </w:r>
      <w:r w:rsidR="00855433">
        <w:t>and (</w:t>
      </w:r>
      <w:r w:rsidRPr="001F3203">
        <w:t xml:space="preserve">d) </w:t>
      </w:r>
      <w:r w:rsidR="00161D26">
        <w:t xml:space="preserve">corruption and </w:t>
      </w:r>
      <w:r w:rsidRPr="001F3203">
        <w:t>lack of civil society oversight.</w:t>
      </w:r>
    </w:p>
    <w:p w14:paraId="4B6AD04E" w14:textId="77777777" w:rsidR="007A6560" w:rsidRPr="00F9103C" w:rsidRDefault="007A6560" w:rsidP="00605EED">
      <w:pPr>
        <w:pStyle w:val="ListParagraph"/>
        <w:tabs>
          <w:tab w:val="left" w:pos="1080"/>
        </w:tabs>
        <w:ind w:right="785" w:hanging="7"/>
        <w:jc w:val="both"/>
        <w:rPr>
          <w:sz w:val="12"/>
          <w:szCs w:val="12"/>
        </w:rPr>
      </w:pPr>
    </w:p>
    <w:p w14:paraId="5BC61B4C" w14:textId="7D186920" w:rsidR="007A6560" w:rsidRPr="001F3203" w:rsidRDefault="00C14BB9" w:rsidP="00605EED">
      <w:pPr>
        <w:pStyle w:val="ListParagraph"/>
        <w:numPr>
          <w:ilvl w:val="0"/>
          <w:numId w:val="41"/>
        </w:numPr>
        <w:tabs>
          <w:tab w:val="left" w:pos="1080"/>
        </w:tabs>
        <w:spacing w:after="160" w:line="259" w:lineRule="auto"/>
        <w:ind w:right="785" w:hanging="7"/>
        <w:contextualSpacing/>
        <w:jc w:val="both"/>
      </w:pPr>
      <w:r w:rsidRPr="001F3203">
        <w:rPr>
          <w:b/>
        </w:rPr>
        <w:t xml:space="preserve">Further improvements are needed </w:t>
      </w:r>
      <w:r w:rsidR="00154283" w:rsidRPr="001F3203">
        <w:rPr>
          <w:b/>
        </w:rPr>
        <w:t xml:space="preserve">in public institution reform and </w:t>
      </w:r>
      <w:r w:rsidR="007A6560" w:rsidRPr="001F3203">
        <w:rPr>
          <w:b/>
        </w:rPr>
        <w:t>secur</w:t>
      </w:r>
      <w:r w:rsidR="00154283" w:rsidRPr="001F3203">
        <w:rPr>
          <w:b/>
        </w:rPr>
        <w:t>ing</w:t>
      </w:r>
      <w:r w:rsidR="007A6560" w:rsidRPr="001F3203">
        <w:rPr>
          <w:b/>
        </w:rPr>
        <w:t xml:space="preserve"> access to justice for all</w:t>
      </w:r>
      <w:r w:rsidR="00855433">
        <w:rPr>
          <w:b/>
        </w:rPr>
        <w:t>.</w:t>
      </w:r>
      <w:r w:rsidR="00855433" w:rsidRPr="001F3203">
        <w:rPr>
          <w:b/>
        </w:rPr>
        <w:t xml:space="preserve"> </w:t>
      </w:r>
      <w:r w:rsidR="007A6560" w:rsidRPr="001F3203">
        <w:t>The 2014 elections were an important test for Indonesia’s relatively young democracy</w:t>
      </w:r>
      <w:r w:rsidR="006871B8">
        <w:t>,</w:t>
      </w:r>
      <w:r w:rsidR="007A6560" w:rsidRPr="001F3203">
        <w:t xml:space="preserve"> and the peaceful transfer of power </w:t>
      </w:r>
      <w:r w:rsidR="00161D26">
        <w:t>was</w:t>
      </w:r>
      <w:r w:rsidR="00161D26" w:rsidRPr="001F3203">
        <w:t xml:space="preserve"> </w:t>
      </w:r>
      <w:r w:rsidR="007A6560" w:rsidRPr="001F3203">
        <w:t xml:space="preserve">a milestone. </w:t>
      </w:r>
      <w:r w:rsidR="003B7EB7" w:rsidRPr="001F3203">
        <w:t>While Indonesia has undoubtedly moved closer to consolidating its democracy, the quality and effectiveness of government institutions remains a key constraint to further development.</w:t>
      </w:r>
      <w:r w:rsidR="003B7EB7" w:rsidRPr="001F3203">
        <w:rPr>
          <w:vertAlign w:val="superscript"/>
        </w:rPr>
        <w:footnoteReference w:id="19"/>
      </w:r>
      <w:r w:rsidR="003B7EB7" w:rsidRPr="001F3203">
        <w:t xml:space="preserve"> For example, only 30</w:t>
      </w:r>
      <w:r w:rsidR="00855433">
        <w:t xml:space="preserve"> per cent</w:t>
      </w:r>
      <w:r w:rsidR="00855433" w:rsidRPr="001F3203">
        <w:t xml:space="preserve"> </w:t>
      </w:r>
      <w:r w:rsidR="003B7EB7" w:rsidRPr="001F3203">
        <w:t xml:space="preserve">of provincial governments scored </w:t>
      </w:r>
      <w:r w:rsidR="00855433">
        <w:t>'</w:t>
      </w:r>
      <w:r w:rsidR="003B7EB7" w:rsidRPr="001F3203">
        <w:t>B</w:t>
      </w:r>
      <w:r w:rsidR="00855433">
        <w:t>'</w:t>
      </w:r>
      <w:r w:rsidR="003B7EB7" w:rsidRPr="001F3203">
        <w:t xml:space="preserve"> (good) or above in the Government Institution Performance Accountability Report for 2013. </w:t>
      </w:r>
      <w:r w:rsidR="00D72EF5" w:rsidRPr="001F3203">
        <w:t>On the legislative side</w:t>
      </w:r>
      <w:r w:rsidR="00855433">
        <w:t>,</w:t>
      </w:r>
      <w:r w:rsidR="00D72EF5" w:rsidRPr="001F3203">
        <w:t xml:space="preserve"> intraparty democracy, electoral management systems and citizen oversight mechanisms need strengthening; and policies and regulations need to be adjusted to create equal opportunities to run for office. </w:t>
      </w:r>
      <w:r w:rsidR="007A6560" w:rsidRPr="001F3203">
        <w:t xml:space="preserve">The </w:t>
      </w:r>
      <w:r w:rsidR="00855433">
        <w:t>G</w:t>
      </w:r>
      <w:r w:rsidR="00855433" w:rsidRPr="001F3203">
        <w:t xml:space="preserve">overnment </w:t>
      </w:r>
      <w:r w:rsidR="007A6560" w:rsidRPr="001F3203">
        <w:t xml:space="preserve">has made progress in extending access to justice. </w:t>
      </w:r>
      <w:r w:rsidR="00643309" w:rsidRPr="001F3203">
        <w:t>However</w:t>
      </w:r>
      <w:r w:rsidR="007A6560" w:rsidRPr="001F3203">
        <w:t>, only 19</w:t>
      </w:r>
      <w:r w:rsidR="00855433">
        <w:t xml:space="preserve"> per cent</w:t>
      </w:r>
      <w:r w:rsidR="00855433" w:rsidRPr="001F3203">
        <w:t xml:space="preserve"> </w:t>
      </w:r>
      <w:r w:rsidR="007A6560" w:rsidRPr="001F3203">
        <w:t xml:space="preserve">of the legal aid budget </w:t>
      </w:r>
      <w:r w:rsidR="001130BE">
        <w:t xml:space="preserve">in 2014 </w:t>
      </w:r>
      <w:r w:rsidR="007A6560" w:rsidRPr="001F3203">
        <w:t>was utilized to provide services to the poor</w:t>
      </w:r>
      <w:r w:rsidR="00291A81" w:rsidRPr="001F3203">
        <w:t>,</w:t>
      </w:r>
      <w:r w:rsidR="007A6560" w:rsidRPr="001F3203">
        <w:rPr>
          <w:vertAlign w:val="superscript"/>
        </w:rPr>
        <w:footnoteReference w:id="20"/>
      </w:r>
      <w:r w:rsidR="007A6560" w:rsidRPr="001F3203">
        <w:t xml:space="preserve"> mainly due to </w:t>
      </w:r>
      <w:r w:rsidR="00855433">
        <w:t xml:space="preserve">the </w:t>
      </w:r>
      <w:r w:rsidR="007A6560" w:rsidRPr="001F3203">
        <w:t xml:space="preserve">complexity </w:t>
      </w:r>
      <w:r w:rsidR="00154283" w:rsidRPr="001F3203">
        <w:t>of</w:t>
      </w:r>
      <w:r w:rsidR="007A6560" w:rsidRPr="001F3203">
        <w:t xml:space="preserve"> </w:t>
      </w:r>
      <w:r w:rsidR="007F38CA" w:rsidRPr="001F3203">
        <w:t>accessing state</w:t>
      </w:r>
      <w:r w:rsidR="007A6560" w:rsidRPr="001F3203">
        <w:t xml:space="preserve"> fund</w:t>
      </w:r>
      <w:r w:rsidR="00291A81" w:rsidRPr="001F3203">
        <w:t>s</w:t>
      </w:r>
      <w:r w:rsidR="007A6560" w:rsidRPr="001F3203">
        <w:t xml:space="preserve"> and the capacity of the National Law Development Agency to manage legal aid funds. Likewise, more work needs to be done to strengthen the informal justice </w:t>
      </w:r>
      <w:r w:rsidR="00F6565D">
        <w:t>sector</w:t>
      </w:r>
      <w:r w:rsidR="00855433">
        <w:t>,</w:t>
      </w:r>
      <w:r w:rsidR="007A6560" w:rsidRPr="001F3203">
        <w:t xml:space="preserve"> which handles 75</w:t>
      </w:r>
      <w:r w:rsidR="00855433">
        <w:t xml:space="preserve"> per cent</w:t>
      </w:r>
      <w:r w:rsidR="00855433" w:rsidRPr="001F3203">
        <w:t xml:space="preserve"> </w:t>
      </w:r>
      <w:r w:rsidR="007A6560" w:rsidRPr="001F3203">
        <w:t xml:space="preserve">of disputes. </w:t>
      </w:r>
    </w:p>
    <w:p w14:paraId="5A122014" w14:textId="77777777" w:rsidR="007A6560" w:rsidRPr="00F9103C" w:rsidRDefault="007A6560" w:rsidP="00605EED">
      <w:pPr>
        <w:pStyle w:val="ListParagraph"/>
        <w:tabs>
          <w:tab w:val="left" w:pos="1080"/>
        </w:tabs>
        <w:ind w:right="785" w:hanging="7"/>
        <w:jc w:val="both"/>
        <w:rPr>
          <w:sz w:val="12"/>
          <w:szCs w:val="12"/>
        </w:rPr>
      </w:pPr>
    </w:p>
    <w:p w14:paraId="04658792" w14:textId="6CC1C716" w:rsidR="007A6560" w:rsidRPr="001F3203" w:rsidRDefault="007A6560" w:rsidP="00605EED">
      <w:pPr>
        <w:pStyle w:val="ListParagraph"/>
        <w:numPr>
          <w:ilvl w:val="0"/>
          <w:numId w:val="41"/>
        </w:numPr>
        <w:tabs>
          <w:tab w:val="left" w:pos="1080"/>
        </w:tabs>
        <w:spacing w:after="160" w:line="259" w:lineRule="auto"/>
        <w:ind w:right="785" w:hanging="7"/>
        <w:contextualSpacing/>
        <w:jc w:val="both"/>
      </w:pPr>
      <w:r w:rsidRPr="001F3203">
        <w:t xml:space="preserve">The </w:t>
      </w:r>
      <w:r w:rsidR="00855433">
        <w:t>country programme</w:t>
      </w:r>
      <w:r w:rsidR="00855433" w:rsidRPr="001F3203">
        <w:t xml:space="preserve"> </w:t>
      </w:r>
      <w:r w:rsidRPr="001F3203">
        <w:t xml:space="preserve">will be guided by an integrated issue-based approach that recognizes the links between sustainable development, poverty and inequality, and governance while addressing a set of common underlying barriers that prevent progress towards more equitable and sustainable development. Many of these barriers are </w:t>
      </w:r>
      <w:r w:rsidR="00855433" w:rsidRPr="001F3203">
        <w:t>governance</w:t>
      </w:r>
      <w:r w:rsidR="00161D26">
        <w:t>-</w:t>
      </w:r>
      <w:r w:rsidRPr="001F3203">
        <w:t>related and include the low capacity of public administration</w:t>
      </w:r>
      <w:r w:rsidR="00855433">
        <w:t>,</w:t>
      </w:r>
      <w:r w:rsidRPr="001F3203">
        <w:t xml:space="preserve"> especially at subnational levels; fragmentation of administrative mandates and ineffective sectoral coordination; weak planning and budgeting; low levels of citizen engagement in policymaking and oversight; and discrimination against marginalized groups.</w:t>
      </w:r>
      <w:r w:rsidR="00555AB1" w:rsidRPr="001F3203">
        <w:t xml:space="preserve"> </w:t>
      </w:r>
      <w:r w:rsidR="00624B71" w:rsidRPr="001F3203">
        <w:t xml:space="preserve">Under Indonesia’s decentralized </w:t>
      </w:r>
      <w:r w:rsidR="00F6565D" w:rsidRPr="001F3203">
        <w:t>system</w:t>
      </w:r>
      <w:r w:rsidR="00624B71" w:rsidRPr="001F3203">
        <w:t xml:space="preserve">, responsibility for the provision of services rests with the hundreds of district </w:t>
      </w:r>
      <w:r w:rsidR="00624B71" w:rsidRPr="001F3203">
        <w:lastRenderedPageBreak/>
        <w:t>governments</w:t>
      </w:r>
      <w:r w:rsidR="00A91894">
        <w:t>;</w:t>
      </w:r>
      <w:r w:rsidR="00624B71" w:rsidRPr="001F3203">
        <w:t xml:space="preserve"> </w:t>
      </w:r>
      <w:r w:rsidR="003B7EB7" w:rsidRPr="001F3203">
        <w:t xml:space="preserve">their </w:t>
      </w:r>
      <w:r w:rsidR="00340E35" w:rsidRPr="001F3203">
        <w:t xml:space="preserve">planning and implementation </w:t>
      </w:r>
      <w:r w:rsidR="00A91894" w:rsidRPr="001F3203">
        <w:t>capacit</w:t>
      </w:r>
      <w:r w:rsidR="00A91894">
        <w:t>ies</w:t>
      </w:r>
      <w:r w:rsidR="00A91894" w:rsidRPr="001F3203">
        <w:t xml:space="preserve"> </w:t>
      </w:r>
      <w:r w:rsidR="003B7EB7" w:rsidRPr="001F3203">
        <w:t xml:space="preserve">must be improved </w:t>
      </w:r>
      <w:r w:rsidR="00624B71" w:rsidRPr="001F3203">
        <w:t xml:space="preserve">to address the lagging </w:t>
      </w:r>
      <w:r w:rsidR="00A91894">
        <w:t>Millennium Development Goals</w:t>
      </w:r>
      <w:r w:rsidR="00A91894" w:rsidRPr="001F3203">
        <w:t xml:space="preserve"> </w:t>
      </w:r>
      <w:r w:rsidR="00624B71" w:rsidRPr="001F3203">
        <w:t xml:space="preserve">and </w:t>
      </w:r>
      <w:r w:rsidR="00A91894">
        <w:t xml:space="preserve">the </w:t>
      </w:r>
      <w:r w:rsidR="00A91894" w:rsidRPr="001F3203">
        <w:t>post</w:t>
      </w:r>
      <w:r w:rsidR="00A91894">
        <w:t>-</w:t>
      </w:r>
      <w:r w:rsidR="00624B71" w:rsidRPr="001F3203">
        <w:t>2015 development agenda.</w:t>
      </w:r>
    </w:p>
    <w:p w14:paraId="460E9985" w14:textId="77777777" w:rsidR="007A6560" w:rsidRPr="00F9103C" w:rsidRDefault="007A6560" w:rsidP="00605EED">
      <w:pPr>
        <w:pStyle w:val="ListParagraph"/>
        <w:tabs>
          <w:tab w:val="left" w:pos="1080"/>
        </w:tabs>
        <w:ind w:right="785" w:hanging="7"/>
        <w:rPr>
          <w:sz w:val="12"/>
          <w:szCs w:val="12"/>
        </w:rPr>
      </w:pPr>
    </w:p>
    <w:p w14:paraId="392466F9" w14:textId="475DAC72" w:rsidR="007A6560" w:rsidRPr="001F3203" w:rsidRDefault="00340E35" w:rsidP="00605EED">
      <w:pPr>
        <w:pStyle w:val="ListParagraph"/>
        <w:numPr>
          <w:ilvl w:val="0"/>
          <w:numId w:val="41"/>
        </w:numPr>
        <w:tabs>
          <w:tab w:val="left" w:pos="1080"/>
        </w:tabs>
        <w:ind w:right="785" w:hanging="7"/>
        <w:contextualSpacing/>
        <w:jc w:val="both"/>
        <w:rPr>
          <w:rFonts w:ascii="Myriad Pro" w:hAnsi="Myriad Pro" w:cstheme="minorBidi"/>
          <w:lang w:val="id-ID"/>
        </w:rPr>
      </w:pPr>
      <w:r w:rsidRPr="001F3203">
        <w:t xml:space="preserve">Natural resources are central to Indonesia’s economy and their successful management is key to the country’s future prosperity. </w:t>
      </w:r>
      <w:r w:rsidR="00161D26">
        <w:t>M</w:t>
      </w:r>
      <w:r w:rsidRPr="001F3203">
        <w:t>illions of the country’s poor depend on fragile ecosystems for their livelihoods, and their ensuing vulnerability to environmental degradation and disaster needs to be reduced. Conflicts over land and resources, legal ambiguity over land titles and limited access to justice need to be addressed to expand economic opportunities</w:t>
      </w:r>
      <w:r w:rsidR="007A6560" w:rsidRPr="001F3203">
        <w:t xml:space="preserve">. </w:t>
      </w:r>
    </w:p>
    <w:p w14:paraId="448F2843" w14:textId="77777777" w:rsidR="007A6560" w:rsidRPr="00F9103C" w:rsidRDefault="007A6560" w:rsidP="00605EED">
      <w:pPr>
        <w:pStyle w:val="ListParagraph"/>
        <w:tabs>
          <w:tab w:val="left" w:pos="1080"/>
        </w:tabs>
        <w:ind w:right="785" w:hanging="7"/>
        <w:rPr>
          <w:sz w:val="12"/>
          <w:szCs w:val="12"/>
        </w:rPr>
      </w:pPr>
    </w:p>
    <w:p w14:paraId="430868F5" w14:textId="0B66A414" w:rsidR="007A6560" w:rsidRPr="001F3203" w:rsidRDefault="007A6560" w:rsidP="00605EED">
      <w:pPr>
        <w:pStyle w:val="ListParagraph"/>
        <w:numPr>
          <w:ilvl w:val="0"/>
          <w:numId w:val="41"/>
        </w:numPr>
        <w:tabs>
          <w:tab w:val="left" w:pos="1080"/>
        </w:tabs>
        <w:ind w:right="785" w:hanging="7"/>
        <w:contextualSpacing/>
        <w:jc w:val="both"/>
        <w:rPr>
          <w:rFonts w:ascii="Myriad Pro" w:hAnsi="Myriad Pro"/>
          <w:lang w:val="id-ID"/>
        </w:rPr>
      </w:pPr>
      <w:r w:rsidRPr="00A91894">
        <w:t>UNDP will target</w:t>
      </w:r>
      <w:r w:rsidRPr="001F3203">
        <w:t xml:space="preserve"> poor and near-poor women</w:t>
      </w:r>
      <w:r w:rsidR="00F6565D">
        <w:t xml:space="preserve"> –</w:t>
      </w:r>
      <w:r w:rsidRPr="001F3203">
        <w:t xml:space="preserve"> particularly those based in rural areas</w:t>
      </w:r>
      <w:r w:rsidR="00F6565D">
        <w:t xml:space="preserve"> –</w:t>
      </w:r>
      <w:r w:rsidRPr="001F3203">
        <w:t xml:space="preserve"> and poor forest</w:t>
      </w:r>
      <w:r w:rsidR="00161D26">
        <w:t>-</w:t>
      </w:r>
      <w:r w:rsidRPr="001F3203">
        <w:t>dependent people who live on less than $2</w:t>
      </w:r>
      <w:r w:rsidR="00A91894">
        <w:t xml:space="preserve"> per </w:t>
      </w:r>
      <w:r w:rsidRPr="001F3203">
        <w:t xml:space="preserve">day. </w:t>
      </w:r>
      <w:r w:rsidR="000D4BDA">
        <w:t>A</w:t>
      </w:r>
      <w:r w:rsidR="00F6565D">
        <w:t>pproximately 17 million</w:t>
      </w:r>
      <w:r w:rsidRPr="001F3203">
        <w:t xml:space="preserve"> smallholder farmers </w:t>
      </w:r>
      <w:r w:rsidR="00624B71" w:rsidRPr="001F3203">
        <w:t xml:space="preserve">will be </w:t>
      </w:r>
      <w:r w:rsidR="00A91894" w:rsidRPr="001F3203">
        <w:t>prioriti</w:t>
      </w:r>
      <w:r w:rsidR="00A91894">
        <w:t>z</w:t>
      </w:r>
      <w:r w:rsidR="00A91894" w:rsidRPr="001F3203">
        <w:t>ed</w:t>
      </w:r>
      <w:r w:rsidRPr="001F3203">
        <w:t xml:space="preserve">. UNDP will target </w:t>
      </w:r>
      <w:r w:rsidR="00F6565D">
        <w:t>provinces</w:t>
      </w:r>
      <w:r w:rsidR="00F6565D" w:rsidRPr="001F3203">
        <w:t xml:space="preserve"> </w:t>
      </w:r>
      <w:r w:rsidRPr="001F3203">
        <w:t xml:space="preserve">lagging furthest behind in HDI and </w:t>
      </w:r>
      <w:r w:rsidR="00A91894">
        <w:t>Millennium Development Goal</w:t>
      </w:r>
      <w:r w:rsidR="00A91894" w:rsidRPr="001F3203">
        <w:t xml:space="preserve"> </w:t>
      </w:r>
      <w:r w:rsidRPr="001F3203">
        <w:t xml:space="preserve">achievement, including </w:t>
      </w:r>
      <w:r w:rsidR="00F6565D">
        <w:t xml:space="preserve">East </w:t>
      </w:r>
      <w:r w:rsidRPr="001F3203">
        <w:t>Nusa Ten</w:t>
      </w:r>
      <w:r w:rsidR="007872B3" w:rsidRPr="001F3203">
        <w:t>g</w:t>
      </w:r>
      <w:r w:rsidRPr="001F3203">
        <w:t>gara and Papua</w:t>
      </w:r>
      <w:r w:rsidR="00624B71" w:rsidRPr="001F3203">
        <w:t xml:space="preserve">. UNDP </w:t>
      </w:r>
      <w:r w:rsidR="003B7EB7" w:rsidRPr="001F3203">
        <w:t xml:space="preserve">will also </w:t>
      </w:r>
      <w:r w:rsidRPr="001F3203">
        <w:t xml:space="preserve">focus on urban slum dwellers, </w:t>
      </w:r>
      <w:r w:rsidR="00A91894">
        <w:t>people with disabilities</w:t>
      </w:r>
      <w:r w:rsidRPr="001F3203">
        <w:t xml:space="preserve"> and </w:t>
      </w:r>
      <w:r w:rsidR="00A91894">
        <w:t>p</w:t>
      </w:r>
      <w:r w:rsidR="00A91894" w:rsidRPr="001F3203">
        <w:t xml:space="preserve">eople </w:t>
      </w:r>
      <w:r w:rsidR="00A91894">
        <w:t>l</w:t>
      </w:r>
      <w:r w:rsidR="00A91894" w:rsidRPr="001F3203">
        <w:t xml:space="preserve">iving </w:t>
      </w:r>
      <w:r w:rsidRPr="001F3203">
        <w:t>with HIV</w:t>
      </w:r>
      <w:r w:rsidR="00A91894">
        <w:t xml:space="preserve"> and AIDS</w:t>
      </w:r>
      <w:r w:rsidRPr="001F3203">
        <w:t xml:space="preserve">. </w:t>
      </w:r>
      <w:r w:rsidR="007872B3" w:rsidRPr="001F3203">
        <w:t xml:space="preserve">Gender analysis will be a mandatory component of all </w:t>
      </w:r>
      <w:r w:rsidR="00A91894">
        <w:t xml:space="preserve">country </w:t>
      </w:r>
      <w:r w:rsidR="007872B3" w:rsidRPr="001F3203">
        <w:t>programme</w:t>
      </w:r>
      <w:r w:rsidR="00A91894">
        <w:t xml:space="preserve"> components</w:t>
      </w:r>
      <w:r w:rsidR="007872B3" w:rsidRPr="001F3203">
        <w:t xml:space="preserve">. </w:t>
      </w:r>
    </w:p>
    <w:p w14:paraId="34AF57F2" w14:textId="77777777" w:rsidR="007A6560" w:rsidRPr="00F9103C" w:rsidRDefault="007A6560" w:rsidP="00605EED">
      <w:pPr>
        <w:pStyle w:val="ListParagraph"/>
        <w:tabs>
          <w:tab w:val="left" w:pos="1080"/>
        </w:tabs>
        <w:ind w:right="785" w:hanging="7"/>
        <w:rPr>
          <w:rFonts w:ascii="Myriad Pro" w:hAnsi="Myriad Pro"/>
          <w:sz w:val="12"/>
          <w:szCs w:val="12"/>
          <w:u w:val="single"/>
          <w:lang w:val="en-GB" w:eastAsia="en-GB"/>
        </w:rPr>
      </w:pPr>
      <w:r w:rsidRPr="001F3203">
        <w:rPr>
          <w:rFonts w:ascii="Myriad Pro" w:hAnsi="Myriad Pro"/>
        </w:rPr>
        <w:t xml:space="preserve">  </w:t>
      </w:r>
    </w:p>
    <w:p w14:paraId="45CDA9B1" w14:textId="49455E4E" w:rsidR="007A6560" w:rsidRPr="001F3203" w:rsidRDefault="007A6560" w:rsidP="00605EED">
      <w:pPr>
        <w:pStyle w:val="ListParagraph"/>
        <w:numPr>
          <w:ilvl w:val="0"/>
          <w:numId w:val="41"/>
        </w:numPr>
        <w:tabs>
          <w:tab w:val="left" w:pos="1080"/>
        </w:tabs>
        <w:spacing w:after="160" w:line="259" w:lineRule="auto"/>
        <w:ind w:right="785" w:hanging="7"/>
        <w:contextualSpacing/>
        <w:jc w:val="both"/>
      </w:pPr>
      <w:r w:rsidRPr="001F3203">
        <w:t xml:space="preserve">UNDP has built trusted partnerships with </w:t>
      </w:r>
      <w:r w:rsidR="00A91894">
        <w:t xml:space="preserve">the </w:t>
      </w:r>
      <w:r w:rsidRPr="001F3203">
        <w:t xml:space="preserve">Government and other development actors and has demonstrated new ways of working across sectors and levels of government. In the previous country programme, UNDP supported the Ministry of National Development Planning (BAPPENAS) to establish a multisectoral </w:t>
      </w:r>
      <w:r w:rsidR="00A91894">
        <w:t>Millennium Development Goal</w:t>
      </w:r>
      <w:r w:rsidR="00A91894" w:rsidRPr="001F3203">
        <w:t xml:space="preserve"> </w:t>
      </w:r>
      <w:r w:rsidR="00A91894">
        <w:t>s</w:t>
      </w:r>
      <w:r w:rsidR="00A91894" w:rsidRPr="001F3203">
        <w:t>ecretariat</w:t>
      </w:r>
      <w:r w:rsidRPr="001F3203">
        <w:t xml:space="preserve">, which helped the Government </w:t>
      </w:r>
      <w:r w:rsidR="00A91894">
        <w:t xml:space="preserve">to </w:t>
      </w:r>
      <w:r w:rsidRPr="001F3203">
        <w:t xml:space="preserve">mainstream </w:t>
      </w:r>
      <w:r w:rsidR="00A91894">
        <w:t xml:space="preserve">the goals </w:t>
      </w:r>
      <w:r w:rsidRPr="001F3203">
        <w:t>in all phases of development. All provinces in Indonesia now have budgeted action plans</w:t>
      </w:r>
      <w:r w:rsidR="00A91894">
        <w:t xml:space="preserve"> for the Goals</w:t>
      </w:r>
      <w:r w:rsidRPr="001F3203">
        <w:t xml:space="preserve">. The concept of human development is also firmly embedded in </w:t>
      </w:r>
      <w:r w:rsidR="00CE2348" w:rsidRPr="001F3203">
        <w:t xml:space="preserve">national </w:t>
      </w:r>
      <w:r w:rsidRPr="00BB132B">
        <w:t>planning. The RPJMN</w:t>
      </w:r>
      <w:r w:rsidR="00291A81" w:rsidRPr="001F3203">
        <w:t xml:space="preserve"> </w:t>
      </w:r>
      <w:r w:rsidRPr="001F3203">
        <w:t>uses the HDI to monitor performance and, for the first time,</w:t>
      </w:r>
      <w:r w:rsidRPr="00BB132B">
        <w:t xml:space="preserve"> the </w:t>
      </w:r>
      <w:r w:rsidR="00575D17">
        <w:t>p</w:t>
      </w:r>
      <w:r w:rsidRPr="00BB132B">
        <w:t>lan</w:t>
      </w:r>
      <w:r w:rsidRPr="001F3203">
        <w:t xml:space="preserve"> includes targets for reducing inequality. </w:t>
      </w:r>
    </w:p>
    <w:p w14:paraId="7DF3CFC7" w14:textId="77777777" w:rsidR="007A6560" w:rsidRPr="009C4C7B" w:rsidRDefault="007A6560" w:rsidP="00605EED">
      <w:pPr>
        <w:pStyle w:val="ListParagraph"/>
        <w:tabs>
          <w:tab w:val="left" w:pos="1080"/>
        </w:tabs>
        <w:ind w:right="785" w:hanging="7"/>
        <w:rPr>
          <w:sz w:val="12"/>
          <w:szCs w:val="12"/>
        </w:rPr>
      </w:pPr>
    </w:p>
    <w:p w14:paraId="0D76F564" w14:textId="3598E937" w:rsidR="007A6560" w:rsidRPr="001F3203" w:rsidRDefault="007A6560" w:rsidP="00605EED">
      <w:pPr>
        <w:pStyle w:val="ListParagraph"/>
        <w:numPr>
          <w:ilvl w:val="0"/>
          <w:numId w:val="41"/>
        </w:numPr>
        <w:tabs>
          <w:tab w:val="left" w:pos="1080"/>
        </w:tabs>
        <w:spacing w:after="160" w:line="259" w:lineRule="auto"/>
        <w:ind w:right="785" w:hanging="7"/>
        <w:contextualSpacing/>
        <w:jc w:val="both"/>
      </w:pPr>
      <w:r w:rsidRPr="00BB132B">
        <w:t xml:space="preserve">The partnership </w:t>
      </w:r>
      <w:r w:rsidR="00A91894">
        <w:t xml:space="preserve">between UNDP and the Government </w:t>
      </w:r>
      <w:r w:rsidRPr="00BB132B">
        <w:t xml:space="preserve">is grounded in the understanding that </w:t>
      </w:r>
      <w:r w:rsidR="00A91894">
        <w:t xml:space="preserve">the </w:t>
      </w:r>
      <w:r w:rsidRPr="001F3203">
        <w:t xml:space="preserve">UNDP contribution </w:t>
      </w:r>
      <w:r w:rsidR="001130BE">
        <w:t>of</w:t>
      </w:r>
      <w:r w:rsidR="001130BE" w:rsidRPr="001F3203">
        <w:t xml:space="preserve"> </w:t>
      </w:r>
      <w:r w:rsidRPr="001F3203">
        <w:t xml:space="preserve">knowledge and expertise </w:t>
      </w:r>
      <w:r w:rsidR="00575D17">
        <w:t>is</w:t>
      </w:r>
      <w:r w:rsidR="00575D17" w:rsidRPr="001F3203">
        <w:t xml:space="preserve"> </w:t>
      </w:r>
      <w:r w:rsidRPr="001F3203">
        <w:t>increasingly important in middle-income count</w:t>
      </w:r>
      <w:r w:rsidR="00B83820" w:rsidRPr="001F3203">
        <w:t>ries</w:t>
      </w:r>
      <w:r w:rsidR="005476C3" w:rsidRPr="001F3203">
        <w:t xml:space="preserve"> like Indonesia</w:t>
      </w:r>
      <w:r w:rsidRPr="001F3203">
        <w:t xml:space="preserve">. UNDP will continue to harness national and international knowledge while sponsoring pilot programmes that provide an evidence base for policy and advocacy. The </w:t>
      </w:r>
      <w:r w:rsidR="00A91894">
        <w:t>m</w:t>
      </w:r>
      <w:r w:rsidR="00A91894" w:rsidRPr="001F3203">
        <w:t>id</w:t>
      </w:r>
      <w:r w:rsidR="00ED54EB" w:rsidRPr="001F3203">
        <w:t xml:space="preserve">term </w:t>
      </w:r>
      <w:r w:rsidR="00A91894">
        <w:t>r</w:t>
      </w:r>
      <w:r w:rsidR="00A91894" w:rsidRPr="00BB132B">
        <w:t xml:space="preserve">eview </w:t>
      </w:r>
      <w:r w:rsidRPr="001F3203">
        <w:t xml:space="preserve">of the previous </w:t>
      </w:r>
      <w:r w:rsidR="00A91894">
        <w:t>country programme</w:t>
      </w:r>
      <w:r w:rsidR="00A91894" w:rsidRPr="001F3203">
        <w:t xml:space="preserve"> </w:t>
      </w:r>
      <w:r w:rsidRPr="001F3203">
        <w:t xml:space="preserve">commended this approach, and recommended that UNDP work more with the </w:t>
      </w:r>
      <w:r w:rsidR="00A91894">
        <w:t>Government</w:t>
      </w:r>
      <w:r w:rsidR="00A91894" w:rsidRPr="001F3203">
        <w:t xml:space="preserve"> </w:t>
      </w:r>
      <w:r w:rsidRPr="001F3203">
        <w:t>to promote successful systems</w:t>
      </w:r>
      <w:r w:rsidR="00CE2348" w:rsidRPr="001F3203">
        <w:t xml:space="preserve"> and</w:t>
      </w:r>
      <w:r w:rsidRPr="001F3203">
        <w:t xml:space="preserve"> tools through South-South and </w:t>
      </w:r>
      <w:r w:rsidR="00A91894">
        <w:t>t</w:t>
      </w:r>
      <w:r w:rsidR="00A91894" w:rsidRPr="001F3203">
        <w:t xml:space="preserve">riangular </w:t>
      </w:r>
      <w:r w:rsidRPr="001F3203">
        <w:t xml:space="preserve">cooperation. In line with the </w:t>
      </w:r>
      <w:r w:rsidR="00A91894">
        <w:t xml:space="preserve">review's </w:t>
      </w:r>
      <w:r w:rsidRPr="001F3203">
        <w:t>recommendations, UNDP will also ensure that successful models are taken to scale more systematically</w:t>
      </w:r>
      <w:r w:rsidR="00575D17">
        <w:t>,</w:t>
      </w:r>
      <w:r w:rsidRPr="001F3203">
        <w:t xml:space="preserve"> including by using government resources.</w:t>
      </w:r>
    </w:p>
    <w:p w14:paraId="27B0A69E" w14:textId="77777777" w:rsidR="007A6560" w:rsidRPr="009C4C7B" w:rsidRDefault="007A6560" w:rsidP="00605EED">
      <w:pPr>
        <w:pStyle w:val="ListParagraph"/>
        <w:tabs>
          <w:tab w:val="left" w:pos="1080"/>
        </w:tabs>
        <w:ind w:right="785" w:hanging="7"/>
        <w:rPr>
          <w:sz w:val="12"/>
          <w:szCs w:val="12"/>
        </w:rPr>
      </w:pPr>
    </w:p>
    <w:p w14:paraId="3EF4B219" w14:textId="37DCFCC2" w:rsidR="007A6560" w:rsidRPr="001F3203" w:rsidRDefault="007A6560" w:rsidP="00605EED">
      <w:pPr>
        <w:pStyle w:val="ListParagraph"/>
        <w:numPr>
          <w:ilvl w:val="0"/>
          <w:numId w:val="41"/>
        </w:numPr>
        <w:tabs>
          <w:tab w:val="left" w:pos="1080"/>
        </w:tabs>
        <w:spacing w:after="160" w:line="259" w:lineRule="auto"/>
        <w:ind w:right="785" w:hanging="7"/>
        <w:contextualSpacing/>
        <w:jc w:val="both"/>
      </w:pPr>
      <w:r w:rsidRPr="001F3203">
        <w:t xml:space="preserve">The </w:t>
      </w:r>
      <w:r w:rsidR="00A91894">
        <w:t>country programme</w:t>
      </w:r>
      <w:r w:rsidR="00A91894" w:rsidRPr="001F3203">
        <w:t xml:space="preserve"> </w:t>
      </w:r>
      <w:r w:rsidRPr="001F3203">
        <w:t xml:space="preserve">is the product of extensive consultations between UNDP, </w:t>
      </w:r>
      <w:r w:rsidR="002A2ECB">
        <w:t>the Government</w:t>
      </w:r>
      <w:r w:rsidR="002A2ECB" w:rsidRPr="001F3203">
        <w:t xml:space="preserve"> </w:t>
      </w:r>
      <w:r w:rsidRPr="001F3203">
        <w:t xml:space="preserve">and stakeholders. It outlines a strategic programme for supporting </w:t>
      </w:r>
      <w:r w:rsidR="002A2ECB">
        <w:t xml:space="preserve">the Government </w:t>
      </w:r>
      <w:r w:rsidRPr="001F3203">
        <w:t xml:space="preserve">to achieve the goals outlined in </w:t>
      </w:r>
      <w:r w:rsidR="002A2ECB">
        <w:t xml:space="preserve">the </w:t>
      </w:r>
      <w:r w:rsidR="00ED54EB" w:rsidRPr="001F3203">
        <w:t>RPJMN</w:t>
      </w:r>
      <w:r w:rsidRPr="001F3203">
        <w:t xml:space="preserve"> and the mutually agreed United Nations Partnership for Development Framework (UNPDF). In line with the UNDP Strategic Plan, the </w:t>
      </w:r>
      <w:r w:rsidR="002A2ECB">
        <w:t>c</w:t>
      </w:r>
      <w:r w:rsidR="002A2ECB" w:rsidRPr="001F3203">
        <w:t xml:space="preserve">ountry </w:t>
      </w:r>
      <w:r w:rsidR="002A2ECB">
        <w:t>p</w:t>
      </w:r>
      <w:r w:rsidR="006D1411" w:rsidRPr="001F3203">
        <w:t xml:space="preserve">rogramme </w:t>
      </w:r>
      <w:r w:rsidRPr="001F3203">
        <w:t xml:space="preserve">is designed to harness </w:t>
      </w:r>
      <w:r w:rsidR="002A2ECB">
        <w:t xml:space="preserve">the </w:t>
      </w:r>
      <w:r w:rsidRPr="001F3203">
        <w:t>unique strengths</w:t>
      </w:r>
      <w:r w:rsidR="002A2ECB">
        <w:t xml:space="preserve"> of UNDP</w:t>
      </w:r>
      <w:r w:rsidRPr="001F3203">
        <w:t xml:space="preserve">, notably </w:t>
      </w:r>
      <w:r w:rsidR="002A2ECB">
        <w:t>its</w:t>
      </w:r>
      <w:r w:rsidRPr="001F3203">
        <w:t xml:space="preserve"> expertise in addressing poverty and inequality, </w:t>
      </w:r>
      <w:r w:rsidR="00EB41D3">
        <w:t>to</w:t>
      </w:r>
      <w:r w:rsidR="00EB41D3" w:rsidRPr="001F3203">
        <w:t xml:space="preserve"> </w:t>
      </w:r>
      <w:r w:rsidRPr="001F3203">
        <w:t>support Indonesia’s goals.</w:t>
      </w:r>
    </w:p>
    <w:p w14:paraId="4C61337C" w14:textId="77777777" w:rsidR="007A6560" w:rsidRPr="001F3203" w:rsidRDefault="007A6560" w:rsidP="00DC5063">
      <w:pPr>
        <w:pStyle w:val="Heading2"/>
        <w:numPr>
          <w:ilvl w:val="0"/>
          <w:numId w:val="42"/>
        </w:numPr>
        <w:tabs>
          <w:tab w:val="left" w:pos="720"/>
        </w:tabs>
        <w:spacing w:after="120"/>
        <w:ind w:left="720" w:right="785" w:hanging="540"/>
        <w:jc w:val="both"/>
        <w:rPr>
          <w:rFonts w:ascii="Times New Roman" w:eastAsiaTheme="minorHAnsi" w:hAnsi="Times New Roman"/>
          <w:sz w:val="24"/>
          <w:szCs w:val="22"/>
        </w:rPr>
      </w:pPr>
      <w:r w:rsidRPr="001F3203">
        <w:rPr>
          <w:rFonts w:ascii="Times New Roman" w:eastAsiaTheme="minorHAnsi" w:hAnsi="Times New Roman"/>
          <w:sz w:val="24"/>
          <w:szCs w:val="22"/>
        </w:rPr>
        <w:t xml:space="preserve">Programme </w:t>
      </w:r>
      <w:r w:rsidR="00605EED">
        <w:rPr>
          <w:rFonts w:ascii="Times New Roman" w:eastAsiaTheme="minorHAnsi" w:hAnsi="Times New Roman"/>
          <w:sz w:val="24"/>
          <w:szCs w:val="22"/>
        </w:rPr>
        <w:t>priorities and p</w:t>
      </w:r>
      <w:r w:rsidRPr="001F3203">
        <w:rPr>
          <w:rFonts w:ascii="Times New Roman" w:eastAsiaTheme="minorHAnsi" w:hAnsi="Times New Roman"/>
          <w:sz w:val="24"/>
          <w:szCs w:val="22"/>
        </w:rPr>
        <w:t xml:space="preserve">artnerships </w:t>
      </w:r>
    </w:p>
    <w:p w14:paraId="4801040C" w14:textId="7BFFD445" w:rsidR="007A6560" w:rsidRDefault="007A6560" w:rsidP="00DC5063">
      <w:pPr>
        <w:pStyle w:val="ListParagraph"/>
        <w:numPr>
          <w:ilvl w:val="0"/>
          <w:numId w:val="41"/>
        </w:numPr>
        <w:tabs>
          <w:tab w:val="left" w:pos="1080"/>
        </w:tabs>
        <w:autoSpaceDE w:val="0"/>
        <w:autoSpaceDN w:val="0"/>
        <w:adjustRightInd w:val="0"/>
        <w:spacing w:after="120"/>
        <w:ind w:right="785" w:hanging="7"/>
        <w:contextualSpacing/>
        <w:jc w:val="both"/>
      </w:pPr>
      <w:r w:rsidRPr="001F3203">
        <w:t xml:space="preserve">UNDP is well positioned </w:t>
      </w:r>
      <w:r w:rsidR="005476C3" w:rsidRPr="001F3203">
        <w:t>to</w:t>
      </w:r>
      <w:r w:rsidRPr="001F3203">
        <w:t xml:space="preserve"> partner with the </w:t>
      </w:r>
      <w:r w:rsidR="002A2ECB">
        <w:t>G</w:t>
      </w:r>
      <w:r w:rsidR="002A2ECB" w:rsidRPr="001F3203">
        <w:t xml:space="preserve">overnment </w:t>
      </w:r>
      <w:r w:rsidRPr="001F3203">
        <w:t xml:space="preserve">to tackle the </w:t>
      </w:r>
      <w:r w:rsidR="00EB41D3">
        <w:t xml:space="preserve">many </w:t>
      </w:r>
      <w:r w:rsidRPr="001F3203">
        <w:t xml:space="preserve">challenges related to poverty and inequality. The </w:t>
      </w:r>
      <w:r w:rsidR="002A2ECB">
        <w:t>country programme</w:t>
      </w:r>
      <w:r w:rsidR="002A2ECB" w:rsidRPr="001F3203">
        <w:t xml:space="preserve"> </w:t>
      </w:r>
      <w:r w:rsidRPr="001F3203">
        <w:t xml:space="preserve">aims to achieve this by contributing to four interrelated outcome areas to enhance equity, inclusiveness and </w:t>
      </w:r>
      <w:r w:rsidR="00575D17">
        <w:t xml:space="preserve">development </w:t>
      </w:r>
      <w:r w:rsidRPr="001F3203">
        <w:t>sustainability while strengthening resilience to shocks of targeted groups. At its core</w:t>
      </w:r>
      <w:r w:rsidR="002A2ECB">
        <w:t>,</w:t>
      </w:r>
      <w:r w:rsidRPr="001F3203">
        <w:t xml:space="preserve"> the </w:t>
      </w:r>
      <w:r w:rsidR="002A2ECB">
        <w:t>country programme</w:t>
      </w:r>
      <w:r w:rsidR="002A2ECB" w:rsidRPr="001F3203">
        <w:t xml:space="preserve"> </w:t>
      </w:r>
      <w:r w:rsidRPr="001F3203">
        <w:t xml:space="preserve">will </w:t>
      </w:r>
      <w:r w:rsidRPr="002A2ECB">
        <w:t xml:space="preserve">support Indonesia to address the unfinished business of the </w:t>
      </w:r>
      <w:r w:rsidR="002A2ECB">
        <w:t>Millennium Development Goals</w:t>
      </w:r>
      <w:r w:rsidR="002A2ECB" w:rsidRPr="002A2ECB">
        <w:t xml:space="preserve"> </w:t>
      </w:r>
      <w:r w:rsidRPr="002A2ECB">
        <w:t>and advance the global post-2015 sustainable development agenda.</w:t>
      </w:r>
      <w:r w:rsidRPr="001F3203">
        <w:t xml:space="preserve"> </w:t>
      </w:r>
    </w:p>
    <w:p w14:paraId="6A051EB1" w14:textId="77777777" w:rsidR="00DC5063" w:rsidRPr="00DC5063" w:rsidRDefault="00DC5063" w:rsidP="00DC5063">
      <w:pPr>
        <w:pStyle w:val="ListParagraph"/>
        <w:tabs>
          <w:tab w:val="left" w:pos="1080"/>
        </w:tabs>
        <w:autoSpaceDE w:val="0"/>
        <w:autoSpaceDN w:val="0"/>
        <w:adjustRightInd w:val="0"/>
        <w:spacing w:after="120"/>
        <w:ind w:right="785"/>
        <w:contextualSpacing/>
        <w:jc w:val="both"/>
        <w:rPr>
          <w:sz w:val="12"/>
          <w:szCs w:val="12"/>
        </w:rPr>
      </w:pPr>
    </w:p>
    <w:p w14:paraId="61776070" w14:textId="1D78BD24"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2A2ECB">
        <w:t xml:space="preserve">Indonesia has much to share through </w:t>
      </w:r>
      <w:r w:rsidR="002A2ECB">
        <w:t>South-South and triangular cooperation</w:t>
      </w:r>
      <w:r w:rsidRPr="002A2ECB">
        <w:t xml:space="preserve">, </w:t>
      </w:r>
      <w:r w:rsidRPr="001F3203">
        <w:t xml:space="preserve">including the experience of building democracy in an Islamic society, </w:t>
      </w:r>
      <w:r w:rsidR="002A2ECB">
        <w:t xml:space="preserve">use of the </w:t>
      </w:r>
      <w:r w:rsidRPr="001F3203">
        <w:t>HDI in national planning and budgeting, and approaches to disaster risk reduction</w:t>
      </w:r>
      <w:r w:rsidR="0006725D">
        <w:t xml:space="preserve"> (DRR)</w:t>
      </w:r>
      <w:r w:rsidRPr="001F3203">
        <w:t>. At the same time</w:t>
      </w:r>
      <w:r w:rsidR="002A2ECB">
        <w:t>,</w:t>
      </w:r>
      <w:r w:rsidRPr="001F3203">
        <w:t xml:space="preserve"> Indonesia can learn from other countries about approaches for reducing inequality, promoting a green economy and avoiding the middle-income trap. UNDP will continue to strengthen national institutional mechanisms </w:t>
      </w:r>
      <w:r w:rsidR="002A2ECB">
        <w:t xml:space="preserve">for South-South and </w:t>
      </w:r>
      <w:r w:rsidR="007E3A32">
        <w:t>triangular</w:t>
      </w:r>
      <w:r w:rsidR="002A2ECB">
        <w:t xml:space="preserve"> cooperation </w:t>
      </w:r>
      <w:r w:rsidRPr="001F3203">
        <w:t xml:space="preserve">and facilitate concrete exchanges. UNDP </w:t>
      </w:r>
      <w:r w:rsidRPr="001F3203">
        <w:lastRenderedPageBreak/>
        <w:t xml:space="preserve">will also continue to support Indonesia </w:t>
      </w:r>
      <w:r w:rsidR="002A2ECB">
        <w:t>in</w:t>
      </w:r>
      <w:r w:rsidR="002A2ECB" w:rsidRPr="001F3203">
        <w:t xml:space="preserve"> </w:t>
      </w:r>
      <w:r w:rsidRPr="001F3203">
        <w:t>play</w:t>
      </w:r>
      <w:r w:rsidR="002A2ECB">
        <w:t>ing</w:t>
      </w:r>
      <w:r w:rsidRPr="001F3203">
        <w:t xml:space="preserve"> a leadership role in regional and global development </w:t>
      </w:r>
      <w:r w:rsidR="002A2ECB" w:rsidRPr="001F3203">
        <w:t>for</w:t>
      </w:r>
      <w:r w:rsidR="002A2ECB">
        <w:t>ums</w:t>
      </w:r>
      <w:r w:rsidR="002A2ECB" w:rsidRPr="001F3203">
        <w:t xml:space="preserve"> </w:t>
      </w:r>
      <w:r w:rsidRPr="001F3203">
        <w:t>and policy debates.</w:t>
      </w:r>
    </w:p>
    <w:p w14:paraId="3BBB975B" w14:textId="77777777" w:rsidR="007A6560" w:rsidRPr="009C4C7B" w:rsidRDefault="007A6560" w:rsidP="00DC5063">
      <w:pPr>
        <w:pStyle w:val="ListParagraph"/>
        <w:tabs>
          <w:tab w:val="left" w:pos="1080"/>
        </w:tabs>
        <w:ind w:right="785" w:hanging="7"/>
        <w:rPr>
          <w:sz w:val="12"/>
          <w:szCs w:val="12"/>
        </w:rPr>
      </w:pPr>
    </w:p>
    <w:p w14:paraId="26AA62C4" w14:textId="2707E2B3"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1F3203">
        <w:t xml:space="preserve">More attention will be given to </w:t>
      </w:r>
      <w:r w:rsidRPr="002A2ECB">
        <w:t>cross-sectoral partnerships</w:t>
      </w:r>
      <w:r w:rsidRPr="001F3203">
        <w:t xml:space="preserve"> as effective platforms for dealing with complex challenges, modelled after the National Platform on Sustainable Palm Oil that brought together the </w:t>
      </w:r>
      <w:r w:rsidR="002A2ECB" w:rsidRPr="001F3203">
        <w:t>Ministr</w:t>
      </w:r>
      <w:r w:rsidR="002A2ECB">
        <w:t>ies</w:t>
      </w:r>
      <w:r w:rsidR="002A2ECB" w:rsidRPr="001F3203">
        <w:t xml:space="preserve"> </w:t>
      </w:r>
      <w:r w:rsidRPr="001F3203">
        <w:t xml:space="preserve">of Agriculture, </w:t>
      </w:r>
      <w:r w:rsidR="00F44969">
        <w:t xml:space="preserve">of Environment and Forestry, </w:t>
      </w:r>
      <w:r w:rsidR="000D4BDA">
        <w:t xml:space="preserve">and </w:t>
      </w:r>
      <w:r w:rsidR="00F44969">
        <w:t>of Small and Medium Enterprise</w:t>
      </w:r>
      <w:r w:rsidR="009F7C64">
        <w:t>s</w:t>
      </w:r>
      <w:r w:rsidR="00F44969">
        <w:t xml:space="preserve"> and Cooperatives</w:t>
      </w:r>
      <w:r w:rsidR="00CB38C7">
        <w:t>;</w:t>
      </w:r>
      <w:r w:rsidR="00F44969">
        <w:t xml:space="preserve"> </w:t>
      </w:r>
      <w:r w:rsidR="002A2ECB">
        <w:t xml:space="preserve"> </w:t>
      </w:r>
      <w:r w:rsidR="00575D17">
        <w:t>l</w:t>
      </w:r>
      <w:r w:rsidR="00F44969">
        <w:t xml:space="preserve">ocal </w:t>
      </w:r>
      <w:r w:rsidR="00575D17">
        <w:t>g</w:t>
      </w:r>
      <w:r w:rsidR="00F44969">
        <w:t>overnments</w:t>
      </w:r>
      <w:r w:rsidR="00CB38C7">
        <w:t>;</w:t>
      </w:r>
      <w:r w:rsidR="00F44969">
        <w:t xml:space="preserve"> </w:t>
      </w:r>
      <w:r w:rsidRPr="001F3203">
        <w:t>plantation companies</w:t>
      </w:r>
      <w:r w:rsidR="00CB38C7">
        <w:t>;</w:t>
      </w:r>
      <w:r w:rsidRPr="001F3203">
        <w:t xml:space="preserve"> and civil society groups</w:t>
      </w:r>
      <w:r w:rsidR="005E39FA">
        <w:t>. Similarly,</w:t>
      </w:r>
      <w:r w:rsidRPr="001F3203">
        <w:t xml:space="preserve"> the </w:t>
      </w:r>
      <w:r w:rsidR="002A2ECB">
        <w:t>Millennium Development Goal</w:t>
      </w:r>
      <w:r w:rsidRPr="001F3203">
        <w:t xml:space="preserve"> Acceleration Framework (MAF) project in Central </w:t>
      </w:r>
      <w:r w:rsidR="007F38CA" w:rsidRPr="001F3203">
        <w:t>Java showed</w:t>
      </w:r>
      <w:r w:rsidRPr="001F3203">
        <w:t xml:space="preserve"> how MMR could be reduced </w:t>
      </w:r>
      <w:r w:rsidR="00CB38C7">
        <w:t xml:space="preserve">through </w:t>
      </w:r>
      <w:r w:rsidRPr="001F3203">
        <w:t xml:space="preserve">collaboration among </w:t>
      </w:r>
      <w:r w:rsidR="005476C3" w:rsidRPr="001F3203">
        <w:t>multiple government and non-government stakeholders and the U</w:t>
      </w:r>
      <w:r w:rsidR="00771E40">
        <w:t xml:space="preserve">nited </w:t>
      </w:r>
      <w:r w:rsidR="005476C3" w:rsidRPr="001F3203">
        <w:t>N</w:t>
      </w:r>
      <w:r w:rsidR="00771E40">
        <w:t>ations</w:t>
      </w:r>
      <w:r w:rsidRPr="001F3203">
        <w:t xml:space="preserve">. Partnerships with the </w:t>
      </w:r>
      <w:r w:rsidRPr="00771E40">
        <w:t>private sector</w:t>
      </w:r>
      <w:r w:rsidRPr="001F3203">
        <w:t xml:space="preserve"> </w:t>
      </w:r>
      <w:r w:rsidR="005E39FA">
        <w:t xml:space="preserve">and foundations </w:t>
      </w:r>
      <w:r w:rsidRPr="001F3203">
        <w:t xml:space="preserve">will </w:t>
      </w:r>
      <w:r w:rsidR="00A01CC9" w:rsidRPr="001F3203">
        <w:t xml:space="preserve">also </w:t>
      </w:r>
      <w:r w:rsidRPr="001F3203">
        <w:t>play a larger role</w:t>
      </w:r>
      <w:r w:rsidR="00A01CC9" w:rsidRPr="001F3203">
        <w:t>.</w:t>
      </w:r>
      <w:r w:rsidRPr="001F3203">
        <w:t xml:space="preserve"> Working within a common framework, UNDP will strengthen collaboration</w:t>
      </w:r>
      <w:r w:rsidR="00CB38C7">
        <w:t>s</w:t>
      </w:r>
      <w:r w:rsidRPr="001F3203">
        <w:t xml:space="preserve"> with other U</w:t>
      </w:r>
      <w:r w:rsidR="00771E40">
        <w:t xml:space="preserve">nited </w:t>
      </w:r>
      <w:r w:rsidRPr="001F3203">
        <w:t>N</w:t>
      </w:r>
      <w:r w:rsidR="00771E40">
        <w:t>ations</w:t>
      </w:r>
      <w:r w:rsidRPr="001F3203">
        <w:t xml:space="preserve"> agencies in programme design and</w:t>
      </w:r>
      <w:r w:rsidR="00CE2348" w:rsidRPr="001F3203">
        <w:t xml:space="preserve"> implementation. </w:t>
      </w:r>
      <w:r w:rsidR="00771E40">
        <w:t xml:space="preserve">The </w:t>
      </w:r>
      <w:r w:rsidRPr="001F3203">
        <w:t xml:space="preserve">proposed contributions </w:t>
      </w:r>
      <w:r w:rsidR="00771E40">
        <w:t xml:space="preserve">of UNDP </w:t>
      </w:r>
      <w:r w:rsidRPr="001F3203">
        <w:t>to the common U</w:t>
      </w:r>
      <w:r w:rsidR="00771E40">
        <w:t xml:space="preserve">nited </w:t>
      </w:r>
      <w:r w:rsidRPr="001F3203">
        <w:t>N</w:t>
      </w:r>
      <w:r w:rsidR="00771E40">
        <w:t>ations</w:t>
      </w:r>
      <w:r w:rsidRPr="001F3203">
        <w:t xml:space="preserve"> framework are outlined below.</w:t>
      </w:r>
    </w:p>
    <w:p w14:paraId="719BB179" w14:textId="77777777" w:rsidR="007A6560" w:rsidRPr="00DC5063" w:rsidRDefault="007A6560" w:rsidP="00DC5063">
      <w:pPr>
        <w:pStyle w:val="ListParagraph"/>
        <w:tabs>
          <w:tab w:val="left" w:pos="1080"/>
        </w:tabs>
        <w:ind w:right="785" w:hanging="7"/>
        <w:jc w:val="both"/>
        <w:rPr>
          <w:sz w:val="12"/>
          <w:szCs w:val="12"/>
        </w:rPr>
      </w:pPr>
    </w:p>
    <w:p w14:paraId="7CF4589A" w14:textId="1E3F57AE" w:rsidR="007A6560" w:rsidRPr="001F3203" w:rsidRDefault="007A6560" w:rsidP="00DC5063">
      <w:pPr>
        <w:pStyle w:val="ListParagraph"/>
        <w:tabs>
          <w:tab w:val="left" w:pos="1080"/>
        </w:tabs>
        <w:ind w:right="785" w:hanging="7"/>
        <w:jc w:val="both"/>
        <w:rPr>
          <w:b/>
        </w:rPr>
      </w:pPr>
      <w:r w:rsidRPr="001F3203">
        <w:rPr>
          <w:b/>
        </w:rPr>
        <w:t>Outcome 1</w:t>
      </w:r>
      <w:r w:rsidR="00182D36">
        <w:rPr>
          <w:b/>
        </w:rPr>
        <w:t>.</w:t>
      </w:r>
      <w:r w:rsidR="00182D36" w:rsidRPr="001F3203">
        <w:rPr>
          <w:b/>
        </w:rPr>
        <w:t xml:space="preserve"> </w:t>
      </w:r>
      <w:r w:rsidR="00C016C7" w:rsidRPr="001F3203">
        <w:rPr>
          <w:b/>
        </w:rPr>
        <w:t>S</w:t>
      </w:r>
      <w:r w:rsidRPr="001F3203">
        <w:rPr>
          <w:b/>
        </w:rPr>
        <w:t>ustainable employment and income</w:t>
      </w:r>
      <w:r w:rsidR="00C016C7" w:rsidRPr="001F3203">
        <w:rPr>
          <w:b/>
        </w:rPr>
        <w:t xml:space="preserve"> generation</w:t>
      </w:r>
    </w:p>
    <w:p w14:paraId="44F810A5" w14:textId="77777777" w:rsidR="00E9287A" w:rsidRPr="00DC5063" w:rsidRDefault="00E9287A" w:rsidP="00DC5063">
      <w:pPr>
        <w:pStyle w:val="ListParagraph"/>
        <w:tabs>
          <w:tab w:val="left" w:pos="1080"/>
        </w:tabs>
        <w:ind w:right="785" w:hanging="7"/>
        <w:jc w:val="both"/>
        <w:rPr>
          <w:b/>
          <w:sz w:val="12"/>
          <w:szCs w:val="12"/>
        </w:rPr>
      </w:pPr>
    </w:p>
    <w:p w14:paraId="7BA357CA" w14:textId="0D1590F1"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1F3203">
        <w:t xml:space="preserve">Overcoming barriers to economic development in remote provinces will require </w:t>
      </w:r>
      <w:r w:rsidR="00EB41D3">
        <w:t xml:space="preserve">the </w:t>
      </w:r>
      <w:r w:rsidRPr="001F3203">
        <w:t>effort</w:t>
      </w:r>
      <w:r w:rsidR="00001290">
        <w:t>s</w:t>
      </w:r>
      <w:r w:rsidRPr="001F3203">
        <w:t xml:space="preserve"> of many actors to improve infrastructure and connectivity, </w:t>
      </w:r>
      <w:r w:rsidR="00EB41D3">
        <w:t xml:space="preserve">the </w:t>
      </w:r>
      <w:r w:rsidRPr="001F3203">
        <w:t>regulatory framework for public and private investment, market diversification</w:t>
      </w:r>
      <w:r w:rsidR="00E84C30">
        <w:t>,</w:t>
      </w:r>
      <w:r w:rsidRPr="001F3203">
        <w:t xml:space="preserve"> and sustainable livelihood opportunities. While many of these </w:t>
      </w:r>
      <w:r w:rsidR="00EB41D3">
        <w:t>efforts</w:t>
      </w:r>
      <w:r w:rsidR="00EB41D3" w:rsidRPr="001F3203">
        <w:t xml:space="preserve"> </w:t>
      </w:r>
      <w:r w:rsidRPr="001F3203">
        <w:t xml:space="preserve">will be undertaken by the Government or </w:t>
      </w:r>
      <w:r w:rsidR="00182D36">
        <w:t>international financial institutions</w:t>
      </w:r>
      <w:r w:rsidRPr="001F3203">
        <w:t xml:space="preserve">, UNDP will leverage its global experience to advise the </w:t>
      </w:r>
      <w:r w:rsidR="00182D36">
        <w:t>G</w:t>
      </w:r>
      <w:r w:rsidR="00182D36" w:rsidRPr="001F3203">
        <w:t xml:space="preserve">overnment </w:t>
      </w:r>
      <w:r w:rsidRPr="001F3203">
        <w:t xml:space="preserve">on strategies to ensure </w:t>
      </w:r>
      <w:r w:rsidR="00182D36">
        <w:t xml:space="preserve">that </w:t>
      </w:r>
      <w:r w:rsidRPr="001F3203">
        <w:t>investments are pro-poor</w:t>
      </w:r>
      <w:r w:rsidR="000643C7" w:rsidRPr="001F3203">
        <w:t>,</w:t>
      </w:r>
      <w:r w:rsidRPr="001F3203">
        <w:t xml:space="preserve"> pro-jobs</w:t>
      </w:r>
      <w:r w:rsidR="000643C7" w:rsidRPr="001F3203">
        <w:t xml:space="preserve"> and risk-informed</w:t>
      </w:r>
      <w:r w:rsidRPr="001F3203">
        <w:t>.</w:t>
      </w:r>
    </w:p>
    <w:p w14:paraId="446BD605" w14:textId="77777777" w:rsidR="007A6560" w:rsidRPr="00DC5063" w:rsidRDefault="007A6560" w:rsidP="00DC5063">
      <w:pPr>
        <w:pStyle w:val="ListParagraph"/>
        <w:tabs>
          <w:tab w:val="left" w:pos="1080"/>
        </w:tabs>
        <w:ind w:right="785" w:hanging="7"/>
        <w:jc w:val="both"/>
        <w:rPr>
          <w:sz w:val="12"/>
          <w:szCs w:val="12"/>
        </w:rPr>
      </w:pPr>
    </w:p>
    <w:p w14:paraId="77FE5E8C" w14:textId="2B2122C4"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1F3203">
        <w:t xml:space="preserve">UNDP will collaborate with the </w:t>
      </w:r>
      <w:r w:rsidR="00182D36">
        <w:t>International Labour Organization (</w:t>
      </w:r>
      <w:r w:rsidRPr="001F3203">
        <w:t>ILO</w:t>
      </w:r>
      <w:r w:rsidR="00182D36">
        <w:t>)</w:t>
      </w:r>
      <w:r w:rsidRPr="001F3203">
        <w:t xml:space="preserve">, </w:t>
      </w:r>
      <w:r w:rsidR="00182D36">
        <w:t>non-governmental organizations</w:t>
      </w:r>
      <w:r w:rsidRPr="001F3203">
        <w:t xml:space="preserve">, banks and local government to promote livelihood development in remote regions. UNDP will help </w:t>
      </w:r>
      <w:r w:rsidR="00182D36">
        <w:t xml:space="preserve">to </w:t>
      </w:r>
      <w:r w:rsidRPr="001F3203">
        <w:t xml:space="preserve">establish and strengthen existing </w:t>
      </w:r>
      <w:r w:rsidR="00182D36">
        <w:t>l</w:t>
      </w:r>
      <w:r w:rsidR="00182D36" w:rsidRPr="001F3203">
        <w:t xml:space="preserve">ocal </w:t>
      </w:r>
      <w:r w:rsidR="00182D36">
        <w:t>e</w:t>
      </w:r>
      <w:r w:rsidR="00182D36" w:rsidRPr="001F3203">
        <w:t xml:space="preserve">conomic </w:t>
      </w:r>
      <w:r w:rsidR="00182D36">
        <w:t>d</w:t>
      </w:r>
      <w:r w:rsidR="00182D36" w:rsidRPr="001F3203">
        <w:t xml:space="preserve">evelopment </w:t>
      </w:r>
      <w:r w:rsidR="00182D36">
        <w:t>a</w:t>
      </w:r>
      <w:r w:rsidR="00182D36" w:rsidRPr="001F3203">
        <w:t xml:space="preserve">gencies </w:t>
      </w:r>
      <w:r w:rsidRPr="001F3203">
        <w:t>(LEDAs), multi-stakeholder institution</w:t>
      </w:r>
      <w:r w:rsidR="00182D36">
        <w:t>s</w:t>
      </w:r>
      <w:r w:rsidRPr="001F3203">
        <w:t xml:space="preserve"> that facilitate policy, regulatory and institutional changes </w:t>
      </w:r>
      <w:r w:rsidR="00182D36">
        <w:t xml:space="preserve">to </w:t>
      </w:r>
      <w:r w:rsidRPr="001F3203">
        <w:t xml:space="preserve">promote </w:t>
      </w:r>
      <w:r w:rsidR="00182D36">
        <w:t>local economic development</w:t>
      </w:r>
      <w:r w:rsidRPr="001F3203">
        <w:t>. In the long</w:t>
      </w:r>
      <w:r w:rsidR="00182D36">
        <w:t xml:space="preserve"> </w:t>
      </w:r>
      <w:r w:rsidRPr="001F3203">
        <w:t xml:space="preserve">term, LEDAs will help reduce poverty by </w:t>
      </w:r>
      <w:r w:rsidR="006D1411" w:rsidRPr="001F3203">
        <w:t xml:space="preserve">improving the environment for job creation and </w:t>
      </w:r>
      <w:r w:rsidRPr="001F3203">
        <w:t xml:space="preserve">increasing </w:t>
      </w:r>
      <w:r w:rsidR="00182D36">
        <w:t xml:space="preserve">the </w:t>
      </w:r>
      <w:r w:rsidRPr="001F3203">
        <w:t xml:space="preserve">market competitiveness of targeted groups. </w:t>
      </w:r>
      <w:r w:rsidR="000643C7" w:rsidRPr="001F3203">
        <w:t xml:space="preserve">Learning from </w:t>
      </w:r>
      <w:r w:rsidRPr="001F3203">
        <w:t xml:space="preserve">past work in Papua, UNDP will </w:t>
      </w:r>
      <w:r w:rsidR="006D1411" w:rsidRPr="001F3203">
        <w:t xml:space="preserve">advocate </w:t>
      </w:r>
      <w:r w:rsidRPr="001F3203">
        <w:t>and support local governments to collaborate with local banks and non-profit intermediaries to expand access to capital and provide business support</w:t>
      </w:r>
      <w:r w:rsidR="00CB38C7">
        <w:t xml:space="preserve"> and</w:t>
      </w:r>
      <w:r w:rsidRPr="001F3203">
        <w:t xml:space="preserve"> training to </w:t>
      </w:r>
      <w:r w:rsidR="00182D36">
        <w:t xml:space="preserve">small and medium enterprises </w:t>
      </w:r>
      <w:r w:rsidR="006D1411" w:rsidRPr="001F3203">
        <w:t xml:space="preserve">and </w:t>
      </w:r>
      <w:r w:rsidR="00BF2850" w:rsidRPr="001F3203">
        <w:rPr>
          <w:i/>
        </w:rPr>
        <w:t>Orang Asli Papua</w:t>
      </w:r>
      <w:r w:rsidR="00BF2850" w:rsidRPr="001F3203">
        <w:t xml:space="preserve"> (</w:t>
      </w:r>
      <w:r w:rsidR="00670D3E">
        <w:t>Papuan people</w:t>
      </w:r>
      <w:r w:rsidR="00BF2850" w:rsidRPr="001F3203">
        <w:t>)</w:t>
      </w:r>
      <w:r w:rsidRPr="001F3203">
        <w:t xml:space="preserve">.  </w:t>
      </w:r>
    </w:p>
    <w:p w14:paraId="747E0DCD" w14:textId="77777777" w:rsidR="007A6560" w:rsidRPr="00DC5063" w:rsidRDefault="007A6560" w:rsidP="00DC5063">
      <w:pPr>
        <w:pStyle w:val="ListParagraph"/>
        <w:tabs>
          <w:tab w:val="left" w:pos="1080"/>
        </w:tabs>
        <w:ind w:right="785" w:hanging="7"/>
        <w:rPr>
          <w:sz w:val="12"/>
          <w:szCs w:val="12"/>
        </w:rPr>
      </w:pPr>
    </w:p>
    <w:p w14:paraId="22E475E0" w14:textId="0B9C932B"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1F3203">
        <w:t xml:space="preserve">In order to raise the living standards of Indonesia’s poor and near poor without further depleting the country’s natural resource base, economic diversification and direct support to communities is part of the solution as demonstrated in the </w:t>
      </w:r>
      <w:r w:rsidR="00182D36" w:rsidRPr="001F3203">
        <w:t>UNDP</w:t>
      </w:r>
      <w:r w:rsidR="00182D36">
        <w:t>-</w:t>
      </w:r>
      <w:r w:rsidRPr="001F3203">
        <w:t xml:space="preserve">supported </w:t>
      </w:r>
      <w:r w:rsidR="00182D36">
        <w:t xml:space="preserve">programme for </w:t>
      </w:r>
      <w:r w:rsidR="002E08B0">
        <w:t>r</w:t>
      </w:r>
      <w:r w:rsidR="00182D36" w:rsidRPr="00182D36">
        <w:t>educing emissions from deforestation and forest degradation in developing countries</w:t>
      </w:r>
      <w:r w:rsidR="00182D36">
        <w:rPr>
          <w:rStyle w:val="apple-converted-space"/>
          <w:rFonts w:ascii="Helvetica" w:hAnsi="Helvetica" w:cs="Helvetica"/>
          <w:color w:val="333333"/>
          <w:sz w:val="21"/>
          <w:szCs w:val="21"/>
          <w:shd w:val="clear" w:color="auto" w:fill="F5F5F5"/>
        </w:rPr>
        <w:t> (</w:t>
      </w:r>
      <w:r w:rsidRPr="001F3203">
        <w:t>REDD+</w:t>
      </w:r>
      <w:r w:rsidR="00182D36">
        <w:t>)</w:t>
      </w:r>
      <w:r w:rsidRPr="001F3203">
        <w:t>. In line with</w:t>
      </w:r>
      <w:r w:rsidR="00603E68">
        <w:t xml:space="preserve"> the</w:t>
      </w:r>
      <w:r w:rsidRPr="001F3203">
        <w:t xml:space="preserve"> </w:t>
      </w:r>
      <w:r w:rsidR="00182D36">
        <w:t>sustainable development goal</w:t>
      </w:r>
      <w:r w:rsidR="004C15F1">
        <w:t>s</w:t>
      </w:r>
      <w:r w:rsidRPr="001F3203">
        <w:t xml:space="preserve">, UNDP will provide knowledge and technical assistance and broker </w:t>
      </w:r>
      <w:r w:rsidR="000643C7" w:rsidRPr="001F3203">
        <w:t xml:space="preserve">national and international </w:t>
      </w:r>
      <w:r w:rsidR="004C15F1">
        <w:t>discussions on</w:t>
      </w:r>
      <w:r w:rsidR="00182D36">
        <w:t xml:space="preserve"> </w:t>
      </w:r>
      <w:r w:rsidR="000643C7" w:rsidRPr="001F3203">
        <w:t>e</w:t>
      </w:r>
      <w:r w:rsidRPr="001F3203">
        <w:t>xperience</w:t>
      </w:r>
      <w:r w:rsidR="00182D36">
        <w:t>s</w:t>
      </w:r>
      <w:r w:rsidRPr="001F3203">
        <w:t xml:space="preserve"> </w:t>
      </w:r>
      <w:r w:rsidR="004C15F1">
        <w:t>related to</w:t>
      </w:r>
      <w:r w:rsidR="004C15F1" w:rsidRPr="001F3203">
        <w:t xml:space="preserve"> </w:t>
      </w:r>
      <w:r w:rsidRPr="001F3203">
        <w:t xml:space="preserve">sustainable commodities. The Sustainable Palm Oil Programme serves as a useful model for transferring skills and know-how </w:t>
      </w:r>
      <w:r w:rsidR="004C15F1">
        <w:t>to</w:t>
      </w:r>
      <w:r w:rsidR="004C15F1" w:rsidRPr="001F3203">
        <w:t xml:space="preserve"> </w:t>
      </w:r>
      <w:r w:rsidRPr="001F3203">
        <w:t>improv</w:t>
      </w:r>
      <w:r w:rsidR="004C15F1">
        <w:t>e</w:t>
      </w:r>
      <w:r w:rsidRPr="001F3203">
        <w:t xml:space="preserve"> </w:t>
      </w:r>
      <w:r w:rsidR="00182D36">
        <w:t xml:space="preserve">the </w:t>
      </w:r>
      <w:r w:rsidRPr="001F3203">
        <w:t xml:space="preserve">productivity and incomes of thousands of smallholders while ensuring a traceable value chain for deforestation-free products. </w:t>
      </w:r>
    </w:p>
    <w:p w14:paraId="318AC45A" w14:textId="10C69FA8" w:rsidR="007A6560" w:rsidRPr="001F3203" w:rsidRDefault="007A6560" w:rsidP="00DC5063">
      <w:pPr>
        <w:tabs>
          <w:tab w:val="left" w:pos="1080"/>
        </w:tabs>
        <w:ind w:left="720" w:right="785" w:hanging="7"/>
        <w:jc w:val="both"/>
        <w:rPr>
          <w:b/>
        </w:rPr>
      </w:pPr>
      <w:r w:rsidRPr="001F3203">
        <w:rPr>
          <w:b/>
        </w:rPr>
        <w:t>Outcome 2</w:t>
      </w:r>
      <w:r w:rsidR="00182D36">
        <w:rPr>
          <w:b/>
        </w:rPr>
        <w:t>.</w:t>
      </w:r>
      <w:r w:rsidR="00182D36" w:rsidRPr="001F3203">
        <w:rPr>
          <w:b/>
        </w:rPr>
        <w:t xml:space="preserve"> </w:t>
      </w:r>
      <w:r w:rsidR="00C016C7" w:rsidRPr="001F3203">
        <w:rPr>
          <w:b/>
        </w:rPr>
        <w:t>E</w:t>
      </w:r>
      <w:r w:rsidRPr="001F3203">
        <w:rPr>
          <w:b/>
        </w:rPr>
        <w:t>quitable access to quality basic social se</w:t>
      </w:r>
      <w:r w:rsidR="00BB132B" w:rsidRPr="001F3203">
        <w:rPr>
          <w:b/>
        </w:rPr>
        <w:t>rvices and social protection</w:t>
      </w:r>
    </w:p>
    <w:p w14:paraId="339B9074" w14:textId="77777777" w:rsidR="00E9287A" w:rsidRPr="009C4C7B" w:rsidRDefault="00E9287A" w:rsidP="00DC5063">
      <w:pPr>
        <w:tabs>
          <w:tab w:val="left" w:pos="1080"/>
        </w:tabs>
        <w:ind w:left="720" w:right="785" w:hanging="7"/>
        <w:jc w:val="both"/>
        <w:rPr>
          <w:sz w:val="12"/>
          <w:szCs w:val="12"/>
        </w:rPr>
      </w:pPr>
    </w:p>
    <w:p w14:paraId="72019139" w14:textId="65920126"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1F3203">
        <w:t>Addressing inequality and poverty in Indonesia will require significant improvements in service delivery, particularly at the local government level, and greater citizen involvement in monitoring public service</w:t>
      </w:r>
      <w:r w:rsidR="0066267B">
        <w:t xml:space="preserve"> performance</w:t>
      </w:r>
      <w:r w:rsidRPr="001F3203">
        <w:t xml:space="preserve">. </w:t>
      </w:r>
      <w:r w:rsidR="000643C7" w:rsidRPr="001F3203">
        <w:t xml:space="preserve">Drawing on lessons </w:t>
      </w:r>
      <w:r w:rsidR="00A108AD" w:rsidRPr="001F3203">
        <w:t>learn</w:t>
      </w:r>
      <w:r w:rsidR="00A108AD">
        <w:t>ed</w:t>
      </w:r>
      <w:r w:rsidR="00A108AD" w:rsidRPr="001F3203">
        <w:t xml:space="preserve"> </w:t>
      </w:r>
      <w:r w:rsidR="000643C7" w:rsidRPr="001F3203">
        <w:t xml:space="preserve">from </w:t>
      </w:r>
      <w:r w:rsidRPr="001F3203">
        <w:t xml:space="preserve">previous support for the National Civil Service Reform Law and the piloting of </w:t>
      </w:r>
      <w:r w:rsidR="00DB74D1">
        <w:t>b</w:t>
      </w:r>
      <w:r w:rsidR="00DB74D1" w:rsidRPr="001F3203">
        <w:t xml:space="preserve">ureaucracy </w:t>
      </w:r>
      <w:r w:rsidR="00DB74D1">
        <w:t>r</w:t>
      </w:r>
      <w:r w:rsidR="00DB74D1" w:rsidRPr="001F3203">
        <w:t xml:space="preserve">eform </w:t>
      </w:r>
      <w:r w:rsidR="00DB74D1">
        <w:t>r</w:t>
      </w:r>
      <w:r w:rsidR="00DB74D1" w:rsidRPr="001F3203">
        <w:t xml:space="preserve">oadmaps </w:t>
      </w:r>
      <w:r w:rsidRPr="001F3203">
        <w:t xml:space="preserve">in five provinces, UNDP will provide technical assistance to support </w:t>
      </w:r>
      <w:r w:rsidR="00A108AD">
        <w:t>g</w:t>
      </w:r>
      <w:r w:rsidR="00A108AD" w:rsidRPr="001F3203">
        <w:t xml:space="preserve">overnment </w:t>
      </w:r>
      <w:r w:rsidRPr="001F3203">
        <w:t xml:space="preserve">efforts to transform Indonesia’s bureaucracy into a modern performance-based civil service. </w:t>
      </w:r>
    </w:p>
    <w:p w14:paraId="412D24CE" w14:textId="77777777" w:rsidR="007A6560" w:rsidRPr="00DC5063" w:rsidRDefault="007A6560" w:rsidP="00DC5063">
      <w:pPr>
        <w:pStyle w:val="ListParagraph"/>
        <w:tabs>
          <w:tab w:val="left" w:pos="1080"/>
        </w:tabs>
        <w:ind w:right="785" w:hanging="7"/>
        <w:jc w:val="both"/>
        <w:rPr>
          <w:sz w:val="12"/>
          <w:szCs w:val="12"/>
        </w:rPr>
      </w:pPr>
    </w:p>
    <w:p w14:paraId="7BE9B84B" w14:textId="2D42EC2B" w:rsidR="007A6560" w:rsidRPr="001F3203" w:rsidRDefault="007A6560" w:rsidP="00DC5063">
      <w:pPr>
        <w:pStyle w:val="ListParagraph"/>
        <w:numPr>
          <w:ilvl w:val="0"/>
          <w:numId w:val="41"/>
        </w:numPr>
        <w:tabs>
          <w:tab w:val="left" w:pos="1080"/>
        </w:tabs>
        <w:spacing w:after="160" w:line="259" w:lineRule="auto"/>
        <w:ind w:right="785" w:hanging="7"/>
        <w:contextualSpacing/>
        <w:jc w:val="both"/>
      </w:pPr>
      <w:r w:rsidRPr="001F3203">
        <w:t xml:space="preserve">Setting </w:t>
      </w:r>
      <w:r w:rsidR="00A108AD">
        <w:t>m</w:t>
      </w:r>
      <w:r w:rsidR="00A108AD" w:rsidRPr="001F3203">
        <w:t xml:space="preserve">inimum </w:t>
      </w:r>
      <w:r w:rsidR="00A108AD">
        <w:t>s</w:t>
      </w:r>
      <w:r w:rsidR="00A108AD" w:rsidRPr="001F3203">
        <w:t xml:space="preserve">ervice </w:t>
      </w:r>
      <w:r w:rsidR="00A108AD">
        <w:t>s</w:t>
      </w:r>
      <w:r w:rsidR="00A108AD" w:rsidRPr="001F3203">
        <w:t xml:space="preserve">tandards </w:t>
      </w:r>
      <w:r w:rsidRPr="001F3203">
        <w:t xml:space="preserve">(MSS) represent a powerful tool to standardize </w:t>
      </w:r>
      <w:r w:rsidR="006E2B75">
        <w:t xml:space="preserve">the </w:t>
      </w:r>
      <w:r w:rsidRPr="001F3203">
        <w:t xml:space="preserve">performance of local administrations. UNDP will provide technical assistance to support a </w:t>
      </w:r>
      <w:r w:rsidR="00A108AD">
        <w:t>large</w:t>
      </w:r>
      <w:r w:rsidRPr="001F3203">
        <w:t>-</w:t>
      </w:r>
      <w:r w:rsidRPr="001F3203">
        <w:lastRenderedPageBreak/>
        <w:t>scale roll-out of already</w:t>
      </w:r>
      <w:r w:rsidR="006E2B75">
        <w:t>-</w:t>
      </w:r>
      <w:r w:rsidRPr="001F3203">
        <w:t xml:space="preserve">piloted MSS models in service delivery agencies. Similarly, deepening citizen involvement in oversight can enhance public accountability for service delivery. </w:t>
      </w:r>
      <w:r w:rsidR="00A108AD">
        <w:t>P</w:t>
      </w:r>
      <w:r w:rsidRPr="001F3203">
        <w:t xml:space="preserve">ast </w:t>
      </w:r>
      <w:r w:rsidR="00DB74D1">
        <w:t xml:space="preserve">UNDP </w:t>
      </w:r>
      <w:r w:rsidRPr="001F3203">
        <w:t xml:space="preserve">work </w:t>
      </w:r>
      <w:r w:rsidR="00A108AD">
        <w:t xml:space="preserve">of </w:t>
      </w:r>
      <w:r w:rsidRPr="001F3203">
        <w:t xml:space="preserve">supporting public complaints mechanisms in service-providing agencies provides an additional quick-win model. UNDP will also work with local service providers to ensure that the rights of marginalized populations are protected and critical services are provided without stigma or discrimination and at a reasonable cost. This includes advocacy to ensure that excluded and marginalized groups </w:t>
      </w:r>
      <w:r w:rsidR="000643C7" w:rsidRPr="001F3203">
        <w:t xml:space="preserve">such as </w:t>
      </w:r>
      <w:r w:rsidR="00A108AD">
        <w:t>people living with HIV and AIDS</w:t>
      </w:r>
      <w:r w:rsidR="00A108AD" w:rsidRPr="001F3203">
        <w:t xml:space="preserve"> </w:t>
      </w:r>
      <w:r w:rsidRPr="001F3203">
        <w:t>have access to universal health insurance and other basic services.</w:t>
      </w:r>
    </w:p>
    <w:p w14:paraId="504FFDB2" w14:textId="77777777" w:rsidR="007A6560" w:rsidRPr="00DC5063" w:rsidRDefault="007A6560" w:rsidP="00FA45FF">
      <w:pPr>
        <w:pStyle w:val="ListParagraph"/>
        <w:ind w:right="785" w:hanging="7"/>
        <w:rPr>
          <w:sz w:val="12"/>
          <w:szCs w:val="12"/>
        </w:rPr>
      </w:pPr>
    </w:p>
    <w:p w14:paraId="27C47799" w14:textId="66EA179E"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 xml:space="preserve">Better planning and budgeting of public resources </w:t>
      </w:r>
      <w:r w:rsidR="00A108AD">
        <w:t>are</w:t>
      </w:r>
      <w:r w:rsidR="00A108AD" w:rsidRPr="001F3203">
        <w:t xml:space="preserve"> </w:t>
      </w:r>
      <w:r w:rsidRPr="001F3203">
        <w:t xml:space="preserve">essential. </w:t>
      </w:r>
      <w:r w:rsidR="006D1411" w:rsidRPr="001F3203">
        <w:t>A</w:t>
      </w:r>
      <w:r w:rsidR="00174EB1" w:rsidRPr="001F3203">
        <w:t xml:space="preserve"> study </w:t>
      </w:r>
      <w:r w:rsidRPr="001F3203">
        <w:t>o</w:t>
      </w:r>
      <w:r w:rsidR="005A591F">
        <w:t>f</w:t>
      </w:r>
      <w:r w:rsidRPr="001F3203">
        <w:t xml:space="preserve"> </w:t>
      </w:r>
      <w:r w:rsidR="00A108AD">
        <w:t xml:space="preserve">past </w:t>
      </w:r>
      <w:r w:rsidRPr="001F3203">
        <w:t>UNDP work demonstrated that districts trained in the use of pro-poor planning and budgeting increased budget allocations for social development by 17</w:t>
      </w:r>
      <w:r w:rsidR="00A108AD">
        <w:t xml:space="preserve"> per cent</w:t>
      </w:r>
      <w:r w:rsidRPr="001F3203">
        <w:t>.</w:t>
      </w:r>
      <w:r w:rsidR="00174EB1" w:rsidRPr="001F3203">
        <w:rPr>
          <w:rStyle w:val="FootnoteReference"/>
        </w:rPr>
        <w:footnoteReference w:id="21"/>
      </w:r>
      <w:r w:rsidRPr="001F3203">
        <w:t xml:space="preserve"> UNDP will build on </w:t>
      </w:r>
      <w:r w:rsidR="00A7588D">
        <w:t>this</w:t>
      </w:r>
      <w:r w:rsidRPr="001F3203">
        <w:t xml:space="preserve"> to support greater access to social services</w:t>
      </w:r>
      <w:r w:rsidR="005A591F">
        <w:t xml:space="preserve">, including </w:t>
      </w:r>
      <w:r w:rsidRPr="001F3203">
        <w:t xml:space="preserve">the scaling up of the MAF to all provinces and districts. Implemented </w:t>
      </w:r>
      <w:r w:rsidR="005A591F">
        <w:t>in partnership</w:t>
      </w:r>
      <w:r w:rsidRPr="001F3203">
        <w:t xml:space="preserve"> with other agencies, particularly </w:t>
      </w:r>
      <w:r w:rsidR="00A108AD">
        <w:t xml:space="preserve">the Joint </w:t>
      </w:r>
      <w:r w:rsidR="005A591F">
        <w:t>U</w:t>
      </w:r>
      <w:r w:rsidR="00DB74D1">
        <w:t xml:space="preserve">nited </w:t>
      </w:r>
      <w:r w:rsidR="005A591F">
        <w:t>N</w:t>
      </w:r>
      <w:r w:rsidR="00DB74D1">
        <w:t>ations</w:t>
      </w:r>
      <w:r w:rsidR="00A108AD">
        <w:t xml:space="preserve"> Programme on HIV/AIDS</w:t>
      </w:r>
      <w:r w:rsidRPr="001F3203">
        <w:t xml:space="preserve">, </w:t>
      </w:r>
      <w:r w:rsidR="00DB74D1">
        <w:t>UNFPA</w:t>
      </w:r>
      <w:r w:rsidRPr="001F3203">
        <w:t xml:space="preserve">, </w:t>
      </w:r>
      <w:r w:rsidR="00A108AD">
        <w:t xml:space="preserve">the United Nations Children's Fund </w:t>
      </w:r>
      <w:r w:rsidRPr="001F3203">
        <w:t xml:space="preserve">and </w:t>
      </w:r>
      <w:r w:rsidR="00A108AD">
        <w:t>the World Health Organization</w:t>
      </w:r>
      <w:r w:rsidR="00A7588D">
        <w:t>, t</w:t>
      </w:r>
      <w:r w:rsidR="00A108AD" w:rsidRPr="001F3203">
        <w:t xml:space="preserve">he </w:t>
      </w:r>
      <w:r w:rsidRPr="001F3203">
        <w:t xml:space="preserve">scaled-up MAF will focus on </w:t>
      </w:r>
      <w:r w:rsidR="005A591F">
        <w:t>reducing</w:t>
      </w:r>
      <w:r w:rsidR="005A591F" w:rsidRPr="001F3203">
        <w:t xml:space="preserve"> </w:t>
      </w:r>
      <w:r w:rsidRPr="001F3203">
        <w:t>MMR, infant mortality</w:t>
      </w:r>
      <w:r w:rsidR="005A591F">
        <w:t xml:space="preserve">, </w:t>
      </w:r>
      <w:r w:rsidRPr="001F3203">
        <w:t xml:space="preserve">stunting, </w:t>
      </w:r>
      <w:r w:rsidR="00307AAF">
        <w:t xml:space="preserve">and </w:t>
      </w:r>
      <w:r w:rsidRPr="001F3203">
        <w:t>the prevalence of HIV among adult</w:t>
      </w:r>
      <w:r w:rsidR="005A591F">
        <w:t>s,</w:t>
      </w:r>
      <w:r w:rsidRPr="001F3203">
        <w:t xml:space="preserve"> </w:t>
      </w:r>
      <w:r w:rsidR="00307AAF">
        <w:t>while</w:t>
      </w:r>
      <w:r w:rsidRPr="001F3203">
        <w:t xml:space="preserve"> expanding access to water and sanitation. </w:t>
      </w:r>
    </w:p>
    <w:p w14:paraId="372CEB92" w14:textId="08C4443E" w:rsidR="00E9287A" w:rsidRPr="001F3203" w:rsidRDefault="007A6560" w:rsidP="00C85B3B">
      <w:pPr>
        <w:tabs>
          <w:tab w:val="left" w:pos="1170"/>
        </w:tabs>
        <w:ind w:left="720" w:right="785" w:hanging="7"/>
        <w:jc w:val="both"/>
        <w:rPr>
          <w:b/>
        </w:rPr>
      </w:pPr>
      <w:r w:rsidRPr="001F3203">
        <w:rPr>
          <w:b/>
        </w:rPr>
        <w:t>Outcome 3</w:t>
      </w:r>
      <w:r w:rsidR="00A108AD">
        <w:rPr>
          <w:b/>
        </w:rPr>
        <w:t>.</w:t>
      </w:r>
      <w:r w:rsidR="00A108AD" w:rsidRPr="001F3203">
        <w:rPr>
          <w:b/>
        </w:rPr>
        <w:t xml:space="preserve"> </w:t>
      </w:r>
      <w:r w:rsidR="00C016C7" w:rsidRPr="001F3203">
        <w:rPr>
          <w:b/>
        </w:rPr>
        <w:t>Sustainable</w:t>
      </w:r>
      <w:r w:rsidRPr="001F3203">
        <w:rPr>
          <w:b/>
        </w:rPr>
        <w:t xml:space="preserve"> </w:t>
      </w:r>
      <w:r w:rsidR="00C016C7" w:rsidRPr="001F3203">
        <w:rPr>
          <w:b/>
        </w:rPr>
        <w:t>natural resource management and</w:t>
      </w:r>
      <w:r w:rsidRPr="001F3203">
        <w:rPr>
          <w:b/>
        </w:rPr>
        <w:t xml:space="preserve"> increased resilience </w:t>
      </w:r>
    </w:p>
    <w:p w14:paraId="5156025A" w14:textId="77777777" w:rsidR="00C016C7" w:rsidRPr="009C4C7B" w:rsidRDefault="00C016C7" w:rsidP="00C85B3B">
      <w:pPr>
        <w:tabs>
          <w:tab w:val="left" w:pos="1170"/>
        </w:tabs>
        <w:ind w:left="720" w:right="785" w:hanging="7"/>
        <w:jc w:val="both"/>
        <w:rPr>
          <w:sz w:val="12"/>
          <w:szCs w:val="12"/>
        </w:rPr>
      </w:pPr>
    </w:p>
    <w:p w14:paraId="6BA50704" w14:textId="2DA9D05A"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Indonesia must move toward</w:t>
      </w:r>
      <w:r w:rsidR="004C0AB6">
        <w:t>s</w:t>
      </w:r>
      <w:r w:rsidRPr="001F3203">
        <w:t xml:space="preserve"> more sustainable natural resource management and find ways to stimulate resource efficiency </w:t>
      </w:r>
      <w:r w:rsidR="000B72D3" w:rsidRPr="001F3203">
        <w:t>throughout its</w:t>
      </w:r>
      <w:r w:rsidRPr="001F3203">
        <w:t xml:space="preserve"> economy.</w:t>
      </w:r>
      <w:r w:rsidR="00CE2348" w:rsidRPr="001F3203">
        <w:t xml:space="preserve"> </w:t>
      </w:r>
      <w:r w:rsidRPr="001F3203">
        <w:t xml:space="preserve">UNDP will support government </w:t>
      </w:r>
      <w:r w:rsidR="004C0AB6">
        <w:t xml:space="preserve">efforts </w:t>
      </w:r>
      <w:r w:rsidRPr="001F3203">
        <w:t xml:space="preserve">to put in place stronger policies, systems and partnerships with non-state actors to preserve natural resources while ensuring that local communities </w:t>
      </w:r>
      <w:r w:rsidR="002C2C98">
        <w:t>have</w:t>
      </w:r>
      <w:r w:rsidRPr="001F3203">
        <w:t xml:space="preserve"> sustainable livelihoods. Special attention will be placed on enforcement mechanisms and rule of law</w:t>
      </w:r>
      <w:r w:rsidR="002C2C98">
        <w:t>, and</w:t>
      </w:r>
      <w:r w:rsidRPr="001F3203">
        <w:t xml:space="preserve"> </w:t>
      </w:r>
      <w:r w:rsidR="007F38CA">
        <w:t xml:space="preserve">Indonesia’s </w:t>
      </w:r>
      <w:r w:rsidR="007F38CA" w:rsidRPr="001F3203">
        <w:t>REDD</w:t>
      </w:r>
      <w:r w:rsidRPr="001F3203">
        <w:t>+ programme</w:t>
      </w:r>
      <w:r w:rsidR="00010C5D">
        <w:t xml:space="preserve"> </w:t>
      </w:r>
      <w:r w:rsidRPr="001F3203">
        <w:t xml:space="preserve">could provide a potential platform for this work. UNDP will expand the use of the </w:t>
      </w:r>
      <w:r w:rsidR="004C0AB6">
        <w:t>f</w:t>
      </w:r>
      <w:r w:rsidR="004C0AB6" w:rsidRPr="001F3203">
        <w:t xml:space="preserve">orest </w:t>
      </w:r>
      <w:r w:rsidR="004C0AB6">
        <w:t>p</w:t>
      </w:r>
      <w:r w:rsidR="004C0AB6" w:rsidRPr="001F3203">
        <w:t xml:space="preserve">articipatory </w:t>
      </w:r>
      <w:r w:rsidR="004C0AB6">
        <w:t>g</w:t>
      </w:r>
      <w:r w:rsidR="004C0AB6" w:rsidRPr="001F3203">
        <w:t xml:space="preserve">overnance </w:t>
      </w:r>
      <w:r w:rsidR="004C0AB6">
        <w:t>a</w:t>
      </w:r>
      <w:r w:rsidR="004C0AB6" w:rsidRPr="001F3203">
        <w:t xml:space="preserve">ssessment </w:t>
      </w:r>
      <w:r w:rsidRPr="001F3203">
        <w:t xml:space="preserve">at </w:t>
      </w:r>
      <w:r w:rsidR="00A7588D">
        <w:t xml:space="preserve">the </w:t>
      </w:r>
      <w:r w:rsidRPr="001F3203">
        <w:t xml:space="preserve">subnational level and help provincial and district governments </w:t>
      </w:r>
      <w:r w:rsidR="00DB74D1">
        <w:t xml:space="preserve">to </w:t>
      </w:r>
      <w:r w:rsidRPr="001F3203">
        <w:t xml:space="preserve">implement recommendations related to the governance of natural resources. </w:t>
      </w:r>
    </w:p>
    <w:p w14:paraId="350B19DE" w14:textId="77777777" w:rsidR="007A6560" w:rsidRPr="00C85B3B" w:rsidRDefault="007A6560" w:rsidP="00C85B3B">
      <w:pPr>
        <w:pStyle w:val="ListParagraph"/>
        <w:tabs>
          <w:tab w:val="left" w:pos="1170"/>
        </w:tabs>
        <w:ind w:right="785" w:hanging="7"/>
        <w:rPr>
          <w:sz w:val="12"/>
          <w:szCs w:val="12"/>
        </w:rPr>
      </w:pPr>
    </w:p>
    <w:p w14:paraId="05EC2568" w14:textId="30438A86"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 xml:space="preserve">A new sustainable fisheries programme will support </w:t>
      </w:r>
      <w:r w:rsidR="004C0AB6">
        <w:t>the Government in</w:t>
      </w:r>
      <w:r w:rsidRPr="001F3203">
        <w:t xml:space="preserve"> review</w:t>
      </w:r>
      <w:r w:rsidR="004C0AB6">
        <w:t xml:space="preserve">ing </w:t>
      </w:r>
      <w:r w:rsidRPr="001F3203">
        <w:t>governance and enforcement capacities to reduce illegal, unregulated and unreported fishing. UNDP will launch new programmes to protect species such as the Sumatran tiger</w:t>
      </w:r>
      <w:r w:rsidR="00816289">
        <w:t>,</w:t>
      </w:r>
      <w:r w:rsidRPr="001F3203">
        <w:t xml:space="preserve"> and broader programmes to tackle wildlife trafficking. </w:t>
      </w:r>
      <w:r w:rsidR="004C0AB6">
        <w:t>The United Nations Office on Drugs and Crime (</w:t>
      </w:r>
      <w:r w:rsidRPr="001F3203">
        <w:t>UNODC</w:t>
      </w:r>
      <w:r w:rsidR="004C0AB6">
        <w:t>)</w:t>
      </w:r>
      <w:r w:rsidRPr="001F3203">
        <w:t xml:space="preserve"> has developed proven tools and approaches, including capacity strengthening programmes for law enforcement officials. UNDP aims to strengthen partnerships with UNODC and other </w:t>
      </w:r>
      <w:r w:rsidR="004C0AB6">
        <w:t>agencies in and outside the United Nations system</w:t>
      </w:r>
      <w:r w:rsidRPr="001F3203">
        <w:t xml:space="preserve"> in these areas. Engaging communities in oversight</w:t>
      </w:r>
      <w:r w:rsidR="00A7588D">
        <w:t xml:space="preserve"> and</w:t>
      </w:r>
      <w:r w:rsidRPr="001F3203">
        <w:t xml:space="preserve"> using models piloted through REDD+</w:t>
      </w:r>
      <w:r w:rsidR="004C0AB6">
        <w:t xml:space="preserve"> </w:t>
      </w:r>
      <w:r w:rsidRPr="001F3203">
        <w:t>can also help to strengthen transparency and accountability.</w:t>
      </w:r>
    </w:p>
    <w:p w14:paraId="4F63AC65" w14:textId="77777777" w:rsidR="007A6560" w:rsidRPr="00C85B3B" w:rsidRDefault="007A6560" w:rsidP="00C85B3B">
      <w:pPr>
        <w:pStyle w:val="ListParagraph"/>
        <w:tabs>
          <w:tab w:val="left" w:pos="1170"/>
        </w:tabs>
        <w:ind w:right="785" w:hanging="7"/>
        <w:rPr>
          <w:sz w:val="12"/>
          <w:szCs w:val="12"/>
        </w:rPr>
      </w:pPr>
    </w:p>
    <w:p w14:paraId="3DD97F93" w14:textId="2901F0D7"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 xml:space="preserve">Conflict is prevalent in the resource sector and disproportionately affects vulnerable groups. UNDP will adopt internal social, environmental and dispute resolution safeguards </w:t>
      </w:r>
      <w:r w:rsidR="00A7588D">
        <w:t>and</w:t>
      </w:r>
      <w:r w:rsidR="00A7588D" w:rsidRPr="001F3203">
        <w:t xml:space="preserve"> </w:t>
      </w:r>
      <w:r w:rsidRPr="001F3203">
        <w:t xml:space="preserve">also use its experiences to support </w:t>
      </w:r>
      <w:r w:rsidR="004C0AB6">
        <w:t>government efforts</w:t>
      </w:r>
      <w:r w:rsidR="004C0AB6" w:rsidRPr="001F3203">
        <w:t xml:space="preserve"> </w:t>
      </w:r>
      <w:r w:rsidRPr="001F3203">
        <w:t xml:space="preserve">to systematize mainstreaming of conflict sensitivity into environment and climate-related programmes, including through the Ministry of Environment and Forestry’s recently established Dispute Resolution Division. UNDP will continue to work with </w:t>
      </w:r>
      <w:r w:rsidR="004C0AB6">
        <w:t xml:space="preserve">civil society organizations </w:t>
      </w:r>
      <w:r w:rsidRPr="001F3203">
        <w:t xml:space="preserve">to advocate for safeguarding rights over ancestral forests and ecosystems for 50 million </w:t>
      </w:r>
      <w:r w:rsidR="004C0AB6">
        <w:t xml:space="preserve">members of </w:t>
      </w:r>
      <w:r w:rsidR="00F3259A" w:rsidRPr="001F3203">
        <w:t>customary law communit</w:t>
      </w:r>
      <w:r w:rsidR="004C0AB6">
        <w:t>ies</w:t>
      </w:r>
      <w:r w:rsidRPr="001F3203">
        <w:t>.</w:t>
      </w:r>
    </w:p>
    <w:p w14:paraId="5BFFFEEC" w14:textId="77777777" w:rsidR="007A6560" w:rsidRPr="00C85B3B" w:rsidRDefault="007A6560" w:rsidP="00C85B3B">
      <w:pPr>
        <w:pStyle w:val="ListParagraph"/>
        <w:tabs>
          <w:tab w:val="left" w:pos="1170"/>
        </w:tabs>
        <w:ind w:right="785" w:hanging="7"/>
        <w:rPr>
          <w:sz w:val="12"/>
          <w:szCs w:val="12"/>
        </w:rPr>
      </w:pPr>
    </w:p>
    <w:p w14:paraId="06E37962" w14:textId="64BF9E34" w:rsidR="007A6560" w:rsidRPr="001F3203" w:rsidRDefault="00661874" w:rsidP="00C85B3B">
      <w:pPr>
        <w:pStyle w:val="ListParagraph"/>
        <w:numPr>
          <w:ilvl w:val="0"/>
          <w:numId w:val="41"/>
        </w:numPr>
        <w:tabs>
          <w:tab w:val="left" w:pos="1170"/>
        </w:tabs>
        <w:spacing w:after="160" w:line="259" w:lineRule="auto"/>
        <w:ind w:right="785" w:hanging="7"/>
        <w:contextualSpacing/>
        <w:jc w:val="both"/>
      </w:pPr>
      <w:r>
        <w:t>One of the</w:t>
      </w:r>
      <w:r w:rsidR="007A6560" w:rsidRPr="001F3203">
        <w:t xml:space="preserve"> cause</w:t>
      </w:r>
      <w:r>
        <w:t>s</w:t>
      </w:r>
      <w:r w:rsidR="007A6560" w:rsidRPr="001F3203">
        <w:t xml:space="preserve"> of deforestation and biodiversity loss is land conversion for </w:t>
      </w:r>
      <w:r w:rsidR="00BD47F7">
        <w:t>agricultural and other productive use</w:t>
      </w:r>
      <w:r w:rsidR="007A6560" w:rsidRPr="001F3203">
        <w:t>. UNDP will continue to partner with the</w:t>
      </w:r>
      <w:r w:rsidR="00E366C6">
        <w:t xml:space="preserve"> Government</w:t>
      </w:r>
      <w:r w:rsidR="007A6560" w:rsidRPr="001F3203">
        <w:t xml:space="preserve">, civil society and private sector champions to implement the Indonesia Sustainable Palm Oil (ISPO) standard and certification scheme and the national </w:t>
      </w:r>
      <w:r w:rsidR="004E7BE9">
        <w:t xml:space="preserve">and subnational </w:t>
      </w:r>
      <w:r w:rsidR="007A6560" w:rsidRPr="001F3203">
        <w:t>platform</w:t>
      </w:r>
      <w:r w:rsidR="009F7C64">
        <w:t>s</w:t>
      </w:r>
      <w:r w:rsidR="007A6560" w:rsidRPr="001F3203">
        <w:t xml:space="preserve"> which bring stakeholders together to address the policy and incentive framework needed for sustainable palm oil cultivation. UNDP will use the ISPO experience as a model for other sustainable commodities.</w:t>
      </w:r>
    </w:p>
    <w:p w14:paraId="5FB44951" w14:textId="77777777" w:rsidR="007A6560" w:rsidRPr="00C85B3B" w:rsidRDefault="007A6560" w:rsidP="00C85B3B">
      <w:pPr>
        <w:pStyle w:val="ListParagraph"/>
        <w:tabs>
          <w:tab w:val="left" w:pos="1170"/>
        </w:tabs>
        <w:ind w:right="785" w:hanging="7"/>
        <w:rPr>
          <w:sz w:val="12"/>
          <w:szCs w:val="12"/>
        </w:rPr>
      </w:pPr>
    </w:p>
    <w:p w14:paraId="226D826B" w14:textId="3D98ED54"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 xml:space="preserve">UNDP work will strengthen </w:t>
      </w:r>
      <w:r w:rsidR="00E366C6">
        <w:t xml:space="preserve">government </w:t>
      </w:r>
      <w:r w:rsidRPr="001F3203">
        <w:t xml:space="preserve">capacities to adopt </w:t>
      </w:r>
      <w:r w:rsidR="00E366C6">
        <w:t>g</w:t>
      </w:r>
      <w:r w:rsidR="00E366C6" w:rsidRPr="001F3203">
        <w:t xml:space="preserve">reen </w:t>
      </w:r>
      <w:r w:rsidR="00E366C6">
        <w:t>e</w:t>
      </w:r>
      <w:r w:rsidR="00E366C6" w:rsidRPr="001F3203">
        <w:t xml:space="preserve">conomy </w:t>
      </w:r>
      <w:r w:rsidRPr="001F3203">
        <w:t>models and approaches</w:t>
      </w:r>
      <w:r w:rsidR="00816289">
        <w:t xml:space="preserve">, and </w:t>
      </w:r>
      <w:r w:rsidRPr="001F3203">
        <w:t xml:space="preserve">will build on </w:t>
      </w:r>
      <w:r w:rsidR="000B72D3" w:rsidRPr="001F3203">
        <w:t xml:space="preserve">work such as </w:t>
      </w:r>
      <w:r w:rsidRPr="001F3203">
        <w:t xml:space="preserve">the Indonesia </w:t>
      </w:r>
      <w:r w:rsidR="008A31E6">
        <w:t>g</w:t>
      </w:r>
      <w:r w:rsidR="008A31E6" w:rsidRPr="001F3203">
        <w:t xml:space="preserve">reen </w:t>
      </w:r>
      <w:r w:rsidR="008A31E6">
        <w:t>e</w:t>
      </w:r>
      <w:r w:rsidR="008A31E6" w:rsidRPr="001F3203">
        <w:t xml:space="preserve">conomy </w:t>
      </w:r>
      <w:r w:rsidR="008A31E6">
        <w:t>m</w:t>
      </w:r>
      <w:r w:rsidR="008A31E6" w:rsidRPr="001F3203">
        <w:t>odel</w:t>
      </w:r>
      <w:r w:rsidR="008A31E6">
        <w:t xml:space="preserve"> </w:t>
      </w:r>
      <w:r w:rsidR="000B72D3" w:rsidRPr="001F3203">
        <w:t>and</w:t>
      </w:r>
      <w:r w:rsidRPr="001F3203">
        <w:t xml:space="preserve"> </w:t>
      </w:r>
      <w:r w:rsidR="008A31E6">
        <w:t>c</w:t>
      </w:r>
      <w:r w:rsidRPr="001F3203">
        <w:t xml:space="preserve">limate </w:t>
      </w:r>
      <w:r w:rsidR="008A31E6">
        <w:t>p</w:t>
      </w:r>
      <w:r w:rsidR="008A31E6" w:rsidRPr="001F3203">
        <w:t xml:space="preserve">ublic </w:t>
      </w:r>
      <w:r w:rsidR="008A31E6">
        <w:t>e</w:t>
      </w:r>
      <w:r w:rsidR="008A31E6" w:rsidRPr="001F3203">
        <w:t xml:space="preserve">xpenditure </w:t>
      </w:r>
      <w:r w:rsidR="008A31E6">
        <w:t>r</w:t>
      </w:r>
      <w:r w:rsidR="008A31E6" w:rsidRPr="001F3203">
        <w:t>eview</w:t>
      </w:r>
      <w:r w:rsidRPr="001F3203">
        <w:t xml:space="preserve"> </w:t>
      </w:r>
      <w:r w:rsidR="00E269D6">
        <w:t xml:space="preserve">initiatives </w:t>
      </w:r>
      <w:r w:rsidRPr="001F3203">
        <w:t xml:space="preserve">to support the </w:t>
      </w:r>
      <w:r w:rsidR="00E366C6">
        <w:t>G</w:t>
      </w:r>
      <w:r w:rsidR="00E366C6" w:rsidRPr="001F3203">
        <w:t xml:space="preserve">overnment </w:t>
      </w:r>
      <w:r w:rsidRPr="001F3203">
        <w:t xml:space="preserve">to design low-carbon development policies. UNDP will </w:t>
      </w:r>
      <w:r w:rsidR="000B72D3" w:rsidRPr="001F3203">
        <w:t xml:space="preserve">also </w:t>
      </w:r>
      <w:r w:rsidRPr="001F3203">
        <w:t xml:space="preserve">work with the </w:t>
      </w:r>
      <w:r w:rsidR="0006725D">
        <w:t>Government</w:t>
      </w:r>
      <w:r w:rsidR="0006725D" w:rsidRPr="001F3203">
        <w:t xml:space="preserve"> </w:t>
      </w:r>
      <w:r w:rsidRPr="001F3203">
        <w:t>to develop inclusive and sustainable solutions to achieve universal access to modern energy and increase energy efficiency. This will include scaling up renewable energy pilots, promoting feed-in</w:t>
      </w:r>
      <w:r w:rsidR="0006725D">
        <w:t xml:space="preserve"> </w:t>
      </w:r>
      <w:r w:rsidRPr="001F3203">
        <w:t>tariffs and brokering concessionary commercial financing to stimulate private sector investments in on/off-grid wind and hydro</w:t>
      </w:r>
      <w:r w:rsidR="0006725D">
        <w:t>electric</w:t>
      </w:r>
      <w:r w:rsidRPr="001F3203">
        <w:t xml:space="preserve"> projects and energy efficiency.</w:t>
      </w:r>
    </w:p>
    <w:p w14:paraId="5E30FC1D" w14:textId="77777777" w:rsidR="00EF4CF6" w:rsidRPr="00C85B3B" w:rsidRDefault="00EF4CF6" w:rsidP="00C85B3B">
      <w:pPr>
        <w:pStyle w:val="ListParagraph"/>
        <w:tabs>
          <w:tab w:val="left" w:pos="1170"/>
        </w:tabs>
        <w:ind w:right="785" w:hanging="7"/>
        <w:rPr>
          <w:sz w:val="12"/>
          <w:szCs w:val="12"/>
        </w:rPr>
      </w:pPr>
    </w:p>
    <w:p w14:paraId="1844DC0C" w14:textId="0D66ABDF" w:rsidR="007A6560" w:rsidRPr="001F3203" w:rsidRDefault="00340E35" w:rsidP="00C85B3B">
      <w:pPr>
        <w:pStyle w:val="ListParagraph"/>
        <w:numPr>
          <w:ilvl w:val="0"/>
          <w:numId w:val="41"/>
        </w:numPr>
        <w:tabs>
          <w:tab w:val="left" w:pos="1170"/>
        </w:tabs>
        <w:spacing w:after="160" w:line="259" w:lineRule="auto"/>
        <w:ind w:right="785" w:hanging="7"/>
        <w:contextualSpacing/>
        <w:jc w:val="both"/>
      </w:pPr>
      <w:r w:rsidRPr="001F3203">
        <w:t xml:space="preserve">UNDP will assist the </w:t>
      </w:r>
      <w:r w:rsidR="0006725D">
        <w:t>G</w:t>
      </w:r>
      <w:r w:rsidR="0006725D" w:rsidRPr="001F3203">
        <w:t xml:space="preserve">overnment </w:t>
      </w:r>
      <w:r w:rsidRPr="001F3203">
        <w:t>and private companies to adopt environmentally friendly production processes and curtail the use of ozone</w:t>
      </w:r>
      <w:r w:rsidR="00A7588D">
        <w:t>-</w:t>
      </w:r>
      <w:r w:rsidRPr="001F3203">
        <w:t xml:space="preserve">depleting and hazardous substances that especially </w:t>
      </w:r>
      <w:r w:rsidR="000D6405">
        <w:t xml:space="preserve">harm </w:t>
      </w:r>
      <w:r w:rsidRPr="001F3203">
        <w:t xml:space="preserve">women and the poor. Effective approaches developed in UNDP work on hydrofluorocarbons phase-out will be applied to other substances such as </w:t>
      </w:r>
      <w:r w:rsidR="0006725D">
        <w:t>l</w:t>
      </w:r>
      <w:r w:rsidR="0006725D" w:rsidRPr="001F3203">
        <w:t xml:space="preserve">ead </w:t>
      </w:r>
      <w:r w:rsidRPr="001F3203">
        <w:t xml:space="preserve">and </w:t>
      </w:r>
      <w:r w:rsidR="0006725D">
        <w:t>m</w:t>
      </w:r>
      <w:r w:rsidR="0006725D" w:rsidRPr="001F3203">
        <w:t>ercury</w:t>
      </w:r>
      <w:r w:rsidR="007A6560" w:rsidRPr="001F3203">
        <w:t>.</w:t>
      </w:r>
    </w:p>
    <w:p w14:paraId="24BA8756" w14:textId="77777777" w:rsidR="007A6560" w:rsidRPr="00C85B3B" w:rsidRDefault="007A6560" w:rsidP="00C85B3B">
      <w:pPr>
        <w:pStyle w:val="ListParagraph"/>
        <w:tabs>
          <w:tab w:val="left" w:pos="1170"/>
        </w:tabs>
        <w:ind w:right="785" w:hanging="7"/>
        <w:rPr>
          <w:sz w:val="12"/>
          <w:szCs w:val="12"/>
        </w:rPr>
      </w:pPr>
    </w:p>
    <w:p w14:paraId="22E6B2F4" w14:textId="619C8665" w:rsidR="007A6560" w:rsidRPr="001F3203" w:rsidRDefault="000B72D3" w:rsidP="00C85B3B">
      <w:pPr>
        <w:pStyle w:val="ListParagraph"/>
        <w:numPr>
          <w:ilvl w:val="0"/>
          <w:numId w:val="41"/>
        </w:numPr>
        <w:tabs>
          <w:tab w:val="left" w:pos="1170"/>
        </w:tabs>
        <w:spacing w:after="160" w:line="259" w:lineRule="auto"/>
        <w:ind w:right="785" w:hanging="7"/>
        <w:contextualSpacing/>
        <w:jc w:val="both"/>
      </w:pPr>
      <w:r w:rsidRPr="001F3203">
        <w:t xml:space="preserve">To enhance community resilience to </w:t>
      </w:r>
      <w:r w:rsidR="007A6560" w:rsidRPr="001F3203">
        <w:t>disasters</w:t>
      </w:r>
      <w:r w:rsidR="00A7588D">
        <w:t>,</w:t>
      </w:r>
      <w:r w:rsidR="007A6560" w:rsidRPr="001F3203">
        <w:t xml:space="preserve"> UNDP will focus on </w:t>
      </w:r>
      <w:r w:rsidR="00EC7095" w:rsidRPr="001F3203">
        <w:t xml:space="preserve">strengthening the capacity of subnational governments to use DRR tools </w:t>
      </w:r>
      <w:r w:rsidR="007872B3" w:rsidRPr="001F3203">
        <w:t xml:space="preserve">and strengthen recovery preparedness </w:t>
      </w:r>
      <w:r w:rsidR="00EC7095" w:rsidRPr="001F3203">
        <w:t xml:space="preserve">while providing </w:t>
      </w:r>
      <w:r w:rsidR="007A6560" w:rsidRPr="001F3203">
        <w:t xml:space="preserve">technical assistance </w:t>
      </w:r>
      <w:r w:rsidR="00EC7095" w:rsidRPr="001F3203">
        <w:t xml:space="preserve">to help integrate </w:t>
      </w:r>
      <w:r w:rsidR="007A6560" w:rsidRPr="001F3203">
        <w:t xml:space="preserve">climate change adaptation and </w:t>
      </w:r>
      <w:r w:rsidR="0006725D">
        <w:t>DRR</w:t>
      </w:r>
      <w:r w:rsidR="007A6560" w:rsidRPr="001F3203">
        <w:t xml:space="preserve"> </w:t>
      </w:r>
      <w:r w:rsidR="00EC7095" w:rsidRPr="001F3203">
        <w:t xml:space="preserve">into a common </w:t>
      </w:r>
      <w:r w:rsidR="007A6560" w:rsidRPr="001F3203">
        <w:t>methodolog</w:t>
      </w:r>
      <w:r w:rsidR="00EC7095" w:rsidRPr="001F3203">
        <w:t xml:space="preserve">y to inform </w:t>
      </w:r>
      <w:r w:rsidR="007A6560" w:rsidRPr="001F3203">
        <w:t>policies</w:t>
      </w:r>
      <w:r w:rsidR="00EC7095" w:rsidRPr="001F3203">
        <w:t>,</w:t>
      </w:r>
      <w:r w:rsidR="007A6560" w:rsidRPr="001F3203">
        <w:t xml:space="preserve"> programmes </w:t>
      </w:r>
      <w:r w:rsidR="00EC7095" w:rsidRPr="001F3203">
        <w:t xml:space="preserve">and </w:t>
      </w:r>
      <w:r w:rsidR="007A6560" w:rsidRPr="001F3203">
        <w:t>spatial plans.</w:t>
      </w:r>
    </w:p>
    <w:p w14:paraId="076C03C6" w14:textId="4A9ABD27" w:rsidR="007A6560" w:rsidRPr="001F3203" w:rsidRDefault="007A6560" w:rsidP="00C85B3B">
      <w:pPr>
        <w:tabs>
          <w:tab w:val="left" w:pos="1170"/>
        </w:tabs>
        <w:ind w:left="720" w:right="785" w:hanging="7"/>
        <w:jc w:val="both"/>
        <w:rPr>
          <w:b/>
        </w:rPr>
      </w:pPr>
      <w:r w:rsidRPr="001F3203">
        <w:rPr>
          <w:b/>
        </w:rPr>
        <w:t>Outcome 4</w:t>
      </w:r>
      <w:r w:rsidR="0006725D">
        <w:rPr>
          <w:b/>
        </w:rPr>
        <w:t>.</w:t>
      </w:r>
      <w:r w:rsidR="0006725D" w:rsidRPr="001F3203">
        <w:rPr>
          <w:b/>
        </w:rPr>
        <w:t xml:space="preserve"> </w:t>
      </w:r>
      <w:r w:rsidR="00C016C7" w:rsidRPr="001F3203">
        <w:rPr>
          <w:b/>
        </w:rPr>
        <w:t>E</w:t>
      </w:r>
      <w:r w:rsidRPr="001F3203">
        <w:rPr>
          <w:b/>
        </w:rPr>
        <w:t>nhanced access to justice and more responsive inclusive and accountable public institut</w:t>
      </w:r>
      <w:r w:rsidR="00BB132B" w:rsidRPr="001F3203">
        <w:rPr>
          <w:b/>
        </w:rPr>
        <w:t>ions</w:t>
      </w:r>
    </w:p>
    <w:p w14:paraId="55D98132" w14:textId="77777777" w:rsidR="00E9287A" w:rsidRPr="009C4C7B" w:rsidRDefault="00E9287A" w:rsidP="00C85B3B">
      <w:pPr>
        <w:tabs>
          <w:tab w:val="left" w:pos="1170"/>
        </w:tabs>
        <w:ind w:left="720" w:right="785" w:hanging="7"/>
        <w:jc w:val="both"/>
        <w:rPr>
          <w:b/>
          <w:sz w:val="12"/>
          <w:szCs w:val="12"/>
        </w:rPr>
      </w:pPr>
    </w:p>
    <w:p w14:paraId="143E32D5" w14:textId="2D575F6E"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 xml:space="preserve">Many of the challenges for achieving more equitable and sustainable development are </w:t>
      </w:r>
      <w:r w:rsidR="0006725D" w:rsidRPr="001F3203">
        <w:t>governance</w:t>
      </w:r>
      <w:r w:rsidR="0006725D">
        <w:t>-</w:t>
      </w:r>
      <w:r w:rsidRPr="001F3203">
        <w:t xml:space="preserve">related. Making government work more effectively, accountably and responsively is therefore crucial for the achievement of all other outcomes. </w:t>
      </w:r>
    </w:p>
    <w:p w14:paraId="3130DCC9" w14:textId="77777777" w:rsidR="007A6560" w:rsidRPr="00C85B3B" w:rsidRDefault="007A6560" w:rsidP="00C85B3B">
      <w:pPr>
        <w:pStyle w:val="ListParagraph"/>
        <w:tabs>
          <w:tab w:val="left" w:pos="1170"/>
        </w:tabs>
        <w:ind w:right="785" w:hanging="7"/>
        <w:jc w:val="both"/>
        <w:rPr>
          <w:sz w:val="12"/>
          <w:szCs w:val="12"/>
        </w:rPr>
      </w:pPr>
    </w:p>
    <w:p w14:paraId="3A92E8D5" w14:textId="4BABEDA7" w:rsidR="007A6560" w:rsidRPr="001F3203" w:rsidRDefault="007A6560" w:rsidP="00C85B3B">
      <w:pPr>
        <w:pStyle w:val="ListParagraph"/>
        <w:numPr>
          <w:ilvl w:val="0"/>
          <w:numId w:val="41"/>
        </w:numPr>
        <w:tabs>
          <w:tab w:val="left" w:pos="1170"/>
        </w:tabs>
        <w:spacing w:after="160" w:line="259" w:lineRule="auto"/>
        <w:ind w:right="785" w:hanging="7"/>
        <w:contextualSpacing/>
        <w:jc w:val="both"/>
        <w:rPr>
          <w:sz w:val="24"/>
        </w:rPr>
      </w:pPr>
      <w:r w:rsidRPr="001F3203">
        <w:t xml:space="preserve">Building on its </w:t>
      </w:r>
      <w:r w:rsidR="0006725D">
        <w:t>e</w:t>
      </w:r>
      <w:r w:rsidR="0006725D" w:rsidRPr="001F3203">
        <w:t xml:space="preserve">lectoral </w:t>
      </w:r>
      <w:r w:rsidR="0006725D">
        <w:t>s</w:t>
      </w:r>
      <w:r w:rsidR="0006725D" w:rsidRPr="001F3203">
        <w:t xml:space="preserve">upport </w:t>
      </w:r>
      <w:r w:rsidRPr="001F3203">
        <w:t xml:space="preserve">and </w:t>
      </w:r>
      <w:r w:rsidR="00DF5311">
        <w:t xml:space="preserve">the </w:t>
      </w:r>
      <w:r w:rsidRPr="001F3203">
        <w:t xml:space="preserve">Indonesia Democracy Index programmes, UNDP will support </w:t>
      </w:r>
      <w:r w:rsidR="0006725D" w:rsidRPr="001F3203">
        <w:t>knowledge</w:t>
      </w:r>
      <w:r w:rsidR="0006725D">
        <w:t>-</w:t>
      </w:r>
      <w:r w:rsidRPr="001F3203">
        <w:t xml:space="preserve">generation and advocacy for deepening political participation and civic engagement in Indonesia. UNDP will continue to develop the skills of female political candidates. Additional entry points include advocating for improved internal governance of political parties and new models of constituent relations. The upcoming 2016 regional elections present an opportunity to address weaknesses in the electoral system and electoral management bodies. UNDP can provide technical support to improve systems for preventing electoral fraud </w:t>
      </w:r>
      <w:r w:rsidR="007F38CA" w:rsidRPr="001F3203">
        <w:t>and strengthening</w:t>
      </w:r>
      <w:r w:rsidRPr="001F3203">
        <w:t xml:space="preserve"> electoral dispute resolution mechanisms. </w:t>
      </w:r>
    </w:p>
    <w:p w14:paraId="30FAF6BE" w14:textId="77777777" w:rsidR="007A6560" w:rsidRPr="00C85B3B" w:rsidRDefault="007A6560" w:rsidP="00C85B3B">
      <w:pPr>
        <w:pStyle w:val="ListParagraph"/>
        <w:tabs>
          <w:tab w:val="left" w:pos="1170"/>
        </w:tabs>
        <w:ind w:right="785" w:hanging="7"/>
        <w:rPr>
          <w:sz w:val="12"/>
          <w:szCs w:val="12"/>
        </w:rPr>
      </w:pPr>
    </w:p>
    <w:p w14:paraId="26D895D1" w14:textId="1A83B3B2" w:rsidR="007A6560" w:rsidRPr="001F3203" w:rsidRDefault="007A6560" w:rsidP="00C85B3B">
      <w:pPr>
        <w:pStyle w:val="ListParagraph"/>
        <w:numPr>
          <w:ilvl w:val="0"/>
          <w:numId w:val="41"/>
        </w:numPr>
        <w:tabs>
          <w:tab w:val="left" w:pos="1170"/>
        </w:tabs>
        <w:spacing w:after="160" w:line="259" w:lineRule="auto"/>
        <w:ind w:right="785" w:hanging="7"/>
        <w:contextualSpacing/>
        <w:jc w:val="both"/>
      </w:pPr>
      <w:r w:rsidRPr="001F3203">
        <w:t xml:space="preserve">The programme will </w:t>
      </w:r>
      <w:r w:rsidR="00444046" w:rsidRPr="001F3203">
        <w:t xml:space="preserve">adopt a rights-based approach, seeking to </w:t>
      </w:r>
      <w:r w:rsidRPr="001F3203">
        <w:t xml:space="preserve">eliminate barriers that prevent vulnerable populations from accessing rights and services. Such barriers include discrimination against women and marginalized groups, and low sensitivity of the justice system to the needs of victims. Building on ongoing initiatives, UNDP will continue to advocate for legislation that ensures coverage of all Indonesians under the country’s new </w:t>
      </w:r>
      <w:r w:rsidR="0006725D">
        <w:t>u</w:t>
      </w:r>
      <w:r w:rsidR="0006725D" w:rsidRPr="001F3203">
        <w:t xml:space="preserve">niversal </w:t>
      </w:r>
      <w:r w:rsidR="0006725D">
        <w:t>h</w:t>
      </w:r>
      <w:r w:rsidR="0006725D" w:rsidRPr="001F3203">
        <w:t xml:space="preserve">ealth </w:t>
      </w:r>
      <w:r w:rsidR="0006725D">
        <w:t>i</w:t>
      </w:r>
      <w:r w:rsidR="0006725D" w:rsidRPr="001F3203">
        <w:t xml:space="preserve">nsurance </w:t>
      </w:r>
      <w:r w:rsidRPr="001F3203">
        <w:t xml:space="preserve">scheme and that broadens access to free legal aid services. In collaboration with the Ministry of Law and Human Rights, the National Human Rights Commission and the Office of the Ombudsman, UNDP will </w:t>
      </w:r>
      <w:r w:rsidR="00C13F63" w:rsidRPr="001F3203">
        <w:t xml:space="preserve">support the development of </w:t>
      </w:r>
      <w:r w:rsidR="001C438E">
        <w:t>Indonesia’s</w:t>
      </w:r>
      <w:r w:rsidR="001C438E" w:rsidRPr="001F3203">
        <w:t xml:space="preserve"> </w:t>
      </w:r>
      <w:r w:rsidR="00E91691">
        <w:t>n</w:t>
      </w:r>
      <w:r w:rsidR="00C13F63" w:rsidRPr="001F3203">
        <w:t xml:space="preserve">ational </w:t>
      </w:r>
      <w:r w:rsidR="00E91691">
        <w:t>s</w:t>
      </w:r>
      <w:r w:rsidR="00C13F63" w:rsidRPr="001F3203">
        <w:t>trategy</w:t>
      </w:r>
      <w:r w:rsidR="008A31E6">
        <w:t>,</w:t>
      </w:r>
      <w:r w:rsidR="00C13F63" w:rsidRPr="001F3203">
        <w:t xml:space="preserve"> </w:t>
      </w:r>
      <w:r w:rsidR="008A31E6">
        <w:t>'</w:t>
      </w:r>
      <w:r w:rsidR="00C13F63" w:rsidRPr="001F3203">
        <w:t>National Vision and Character Building for Nation</w:t>
      </w:r>
      <w:r w:rsidR="00DF5311">
        <w:t>al</w:t>
      </w:r>
      <w:r w:rsidR="00C13F63" w:rsidRPr="001F3203">
        <w:t xml:space="preserve"> Unity</w:t>
      </w:r>
      <w:r w:rsidR="008A31E6">
        <w:t>',</w:t>
      </w:r>
      <w:r w:rsidR="00C13F63" w:rsidRPr="001F3203">
        <w:t xml:space="preserve"> to promote social cohesion</w:t>
      </w:r>
      <w:r w:rsidR="001C438E">
        <w:t>, while</w:t>
      </w:r>
      <w:r w:rsidR="00C13F63" w:rsidRPr="001F3203">
        <w:t xml:space="preserve"> </w:t>
      </w:r>
      <w:r w:rsidRPr="001F3203">
        <w:t>support</w:t>
      </w:r>
      <w:r w:rsidR="001C438E">
        <w:t>ing</w:t>
      </w:r>
      <w:r w:rsidRPr="001F3203">
        <w:t xml:space="preserve"> the removal of regulations and institutional practices that discriminate against </w:t>
      </w:r>
      <w:r w:rsidR="0006725D" w:rsidRPr="001F3203">
        <w:t>marginali</w:t>
      </w:r>
      <w:r w:rsidR="0006725D">
        <w:t>z</w:t>
      </w:r>
      <w:r w:rsidR="0006725D" w:rsidRPr="001F3203">
        <w:t xml:space="preserve">ed </w:t>
      </w:r>
      <w:r w:rsidRPr="001F3203">
        <w:t>groups</w:t>
      </w:r>
      <w:r w:rsidR="00840C5F" w:rsidRPr="001F3203">
        <w:t>.</w:t>
      </w:r>
    </w:p>
    <w:p w14:paraId="5DF82EA4" w14:textId="77777777" w:rsidR="007A6560" w:rsidRPr="00C85B3B" w:rsidRDefault="007A6560" w:rsidP="00C85B3B">
      <w:pPr>
        <w:pStyle w:val="ListParagraph"/>
        <w:tabs>
          <w:tab w:val="left" w:pos="1170"/>
        </w:tabs>
        <w:ind w:right="785" w:hanging="7"/>
        <w:rPr>
          <w:sz w:val="12"/>
          <w:szCs w:val="12"/>
        </w:rPr>
      </w:pPr>
    </w:p>
    <w:p w14:paraId="152240DE" w14:textId="6A134F05" w:rsidR="007A6560" w:rsidRPr="001F3203" w:rsidRDefault="0006725D" w:rsidP="00C85B3B">
      <w:pPr>
        <w:pStyle w:val="ListParagraph"/>
        <w:numPr>
          <w:ilvl w:val="0"/>
          <w:numId w:val="41"/>
        </w:numPr>
        <w:tabs>
          <w:tab w:val="left" w:pos="1170"/>
        </w:tabs>
        <w:spacing w:after="160" w:line="259" w:lineRule="auto"/>
        <w:ind w:right="785" w:hanging="7"/>
        <w:contextualSpacing/>
        <w:jc w:val="both"/>
      </w:pPr>
      <w:r>
        <w:t xml:space="preserve">The new </w:t>
      </w:r>
      <w:r w:rsidR="007A6560" w:rsidRPr="001F3203">
        <w:t xml:space="preserve">UNDP </w:t>
      </w:r>
      <w:r>
        <w:t>j</w:t>
      </w:r>
      <w:r w:rsidRPr="001F3203">
        <w:t xml:space="preserve">ustice </w:t>
      </w:r>
      <w:r>
        <w:t>s</w:t>
      </w:r>
      <w:r w:rsidRPr="001F3203">
        <w:t xml:space="preserve">ector </w:t>
      </w:r>
      <w:r>
        <w:t>r</w:t>
      </w:r>
      <w:r w:rsidRPr="001F3203">
        <w:t xml:space="preserve">eform </w:t>
      </w:r>
      <w:r>
        <w:t>p</w:t>
      </w:r>
      <w:r w:rsidRPr="001F3203">
        <w:t>rogram</w:t>
      </w:r>
      <w:r>
        <w:t>me,</w:t>
      </w:r>
      <w:r w:rsidRPr="001F3203">
        <w:t xml:space="preserve"> </w:t>
      </w:r>
      <w:r>
        <w:t xml:space="preserve">implemented </w:t>
      </w:r>
      <w:r w:rsidR="007A6560" w:rsidRPr="001F3203">
        <w:t>in partnership with the European Commission</w:t>
      </w:r>
      <w:r>
        <w:t>,</w:t>
      </w:r>
      <w:r w:rsidR="007A6560" w:rsidRPr="001F3203">
        <w:t xml:space="preserve"> aims to improve </w:t>
      </w:r>
      <w:r w:rsidR="000643C7" w:rsidRPr="001F3203">
        <w:t xml:space="preserve">the integrity and accountability </w:t>
      </w:r>
      <w:r w:rsidR="007A6560" w:rsidRPr="001F3203">
        <w:t xml:space="preserve">of the formal justice sector by strengthening human resource skills and enhancing </w:t>
      </w:r>
      <w:r w:rsidR="00E91691">
        <w:t>human resource</w:t>
      </w:r>
      <w:r w:rsidR="007A6560" w:rsidRPr="001F3203">
        <w:t xml:space="preserve"> management, oversight and accountability</w:t>
      </w:r>
      <w:r w:rsidR="00E91691">
        <w:t xml:space="preserve">, </w:t>
      </w:r>
      <w:r w:rsidR="007A6560" w:rsidRPr="001F3203">
        <w:t>and case management</w:t>
      </w:r>
      <w:r w:rsidR="00EF4CF6" w:rsidRPr="001F3203">
        <w:t xml:space="preserve"> systems</w:t>
      </w:r>
      <w:r w:rsidR="007A6560" w:rsidRPr="001F3203">
        <w:t xml:space="preserve">. </w:t>
      </w:r>
    </w:p>
    <w:p w14:paraId="5E1F3EB7" w14:textId="6EBFE063" w:rsidR="00EB5319" w:rsidRDefault="007866A0" w:rsidP="00FA45FF">
      <w:pPr>
        <w:pStyle w:val="ListParagraph"/>
        <w:autoSpaceDE w:val="0"/>
        <w:autoSpaceDN w:val="0"/>
        <w:adjustRightInd w:val="0"/>
        <w:spacing w:before="20"/>
        <w:ind w:right="785" w:hanging="7"/>
        <w:jc w:val="both"/>
        <w:rPr>
          <w:rFonts w:ascii="Myriad Pro" w:hAnsi="Myriad Pro"/>
          <w:lang w:val="en-GB" w:eastAsia="en-GB"/>
        </w:rPr>
      </w:pPr>
      <w:r w:rsidRPr="001F3203">
        <w:rPr>
          <w:rFonts w:ascii="Myriad Pro" w:hAnsi="Myriad Pro"/>
          <w:lang w:val="en-GB" w:eastAsia="en-GB"/>
        </w:rPr>
        <w:t xml:space="preserve"> </w:t>
      </w:r>
    </w:p>
    <w:p w14:paraId="52101C3E" w14:textId="77777777" w:rsidR="00EB5319" w:rsidRDefault="00EB5319">
      <w:pPr>
        <w:rPr>
          <w:rFonts w:ascii="Myriad Pro" w:hAnsi="Myriad Pro"/>
          <w:lang w:val="en-GB" w:eastAsia="en-GB"/>
        </w:rPr>
      </w:pPr>
      <w:r>
        <w:rPr>
          <w:rFonts w:ascii="Myriad Pro" w:hAnsi="Myriad Pro"/>
          <w:lang w:val="en-GB" w:eastAsia="en-GB"/>
        </w:rPr>
        <w:br w:type="page"/>
      </w:r>
    </w:p>
    <w:p w14:paraId="6FB5E9EA" w14:textId="77777777" w:rsidR="007A6560" w:rsidRPr="001F3203" w:rsidRDefault="007A6560" w:rsidP="00C85B3B">
      <w:pPr>
        <w:pStyle w:val="Heading2"/>
        <w:ind w:left="720" w:right="785" w:hanging="450"/>
        <w:jc w:val="both"/>
      </w:pPr>
      <w:r w:rsidRPr="001F3203">
        <w:rPr>
          <w:rFonts w:ascii="Times New Roman" w:eastAsiaTheme="minorHAnsi" w:hAnsi="Times New Roman"/>
          <w:sz w:val="24"/>
          <w:szCs w:val="22"/>
        </w:rPr>
        <w:lastRenderedPageBreak/>
        <w:t>III.</w:t>
      </w:r>
      <w:r w:rsidR="00C85B3B">
        <w:rPr>
          <w:rFonts w:ascii="Times New Roman" w:eastAsiaTheme="minorHAnsi" w:hAnsi="Times New Roman"/>
          <w:sz w:val="24"/>
          <w:szCs w:val="22"/>
        </w:rPr>
        <w:tab/>
      </w:r>
      <w:r w:rsidRPr="001F3203">
        <w:rPr>
          <w:rFonts w:ascii="Times New Roman" w:eastAsiaTheme="minorHAnsi" w:hAnsi="Times New Roman"/>
          <w:sz w:val="24"/>
          <w:szCs w:val="22"/>
        </w:rPr>
        <w:t xml:space="preserve">Programme and </w:t>
      </w:r>
      <w:r w:rsidR="00C85B3B">
        <w:rPr>
          <w:rFonts w:ascii="Times New Roman" w:eastAsiaTheme="minorHAnsi" w:hAnsi="Times New Roman"/>
          <w:sz w:val="24"/>
          <w:szCs w:val="22"/>
        </w:rPr>
        <w:t>r</w:t>
      </w:r>
      <w:r w:rsidRPr="001F3203">
        <w:rPr>
          <w:rFonts w:ascii="Times New Roman" w:eastAsiaTheme="minorHAnsi" w:hAnsi="Times New Roman"/>
          <w:sz w:val="24"/>
          <w:szCs w:val="22"/>
        </w:rPr>
        <w:t xml:space="preserve">isk </w:t>
      </w:r>
      <w:r w:rsidR="00C85B3B">
        <w:rPr>
          <w:rFonts w:ascii="Times New Roman" w:eastAsiaTheme="minorHAnsi" w:hAnsi="Times New Roman"/>
          <w:sz w:val="24"/>
          <w:szCs w:val="22"/>
        </w:rPr>
        <w:t>m</w:t>
      </w:r>
      <w:r w:rsidRPr="001F3203">
        <w:rPr>
          <w:rFonts w:ascii="Times New Roman" w:eastAsiaTheme="minorHAnsi" w:hAnsi="Times New Roman"/>
          <w:sz w:val="24"/>
          <w:szCs w:val="22"/>
        </w:rPr>
        <w:t>anagement</w:t>
      </w:r>
    </w:p>
    <w:p w14:paraId="30DBA461" w14:textId="77777777" w:rsidR="007A6560" w:rsidRPr="001F3203" w:rsidRDefault="007A6560" w:rsidP="00FA45FF">
      <w:pPr>
        <w:tabs>
          <w:tab w:val="left" w:pos="8222"/>
        </w:tabs>
        <w:ind w:left="720" w:right="785" w:hanging="7"/>
        <w:jc w:val="both"/>
      </w:pPr>
      <w:r w:rsidRPr="001F3203">
        <w:rPr>
          <w:sz w:val="24"/>
        </w:rPr>
        <w:tab/>
      </w:r>
    </w:p>
    <w:p w14:paraId="753DE624" w14:textId="00B116E4" w:rsidR="007A6560" w:rsidRPr="001F3203" w:rsidRDefault="007A6560" w:rsidP="00C85B3B">
      <w:pPr>
        <w:pStyle w:val="ListParagraph"/>
        <w:numPr>
          <w:ilvl w:val="0"/>
          <w:numId w:val="41"/>
        </w:numPr>
        <w:tabs>
          <w:tab w:val="left" w:pos="1080"/>
        </w:tabs>
        <w:spacing w:after="160" w:line="259" w:lineRule="auto"/>
        <w:ind w:right="785" w:hanging="7"/>
        <w:contextualSpacing/>
        <w:jc w:val="both"/>
      </w:pPr>
      <w:r w:rsidRPr="001F3203">
        <w:t xml:space="preserve">This </w:t>
      </w:r>
      <w:r w:rsidR="0006725D">
        <w:t>country programme document</w:t>
      </w:r>
      <w:r w:rsidR="0006725D" w:rsidRPr="001F3203">
        <w:t xml:space="preserve"> </w:t>
      </w:r>
      <w:r w:rsidRPr="001F3203">
        <w:t xml:space="preserve">outlines </w:t>
      </w:r>
      <w:r w:rsidR="0006725D">
        <w:t xml:space="preserve">the </w:t>
      </w:r>
      <w:r w:rsidRPr="001F3203">
        <w:t xml:space="preserve">UNDP contributions to national results and serves as the primary unit of accountability to the Executive Board for results alignment and resources assigned to the programme at </w:t>
      </w:r>
      <w:r w:rsidR="000A1BE0">
        <w:t xml:space="preserve">the </w:t>
      </w:r>
      <w:r w:rsidRPr="001F3203">
        <w:t xml:space="preserve">country level. </w:t>
      </w:r>
      <w:r w:rsidR="00C02468" w:rsidRPr="001F3203">
        <w:t xml:space="preserve">Accountabilities of managers at the country, regional and headquarter levels with respect to country programmes is prescribed in the organization’s </w:t>
      </w:r>
      <w:hyperlink r:id="rId12" w:history="1">
        <w:r w:rsidR="00C02468" w:rsidRPr="001F3203">
          <w:rPr>
            <w:rStyle w:val="Hyperlink"/>
            <w:color w:val="auto"/>
          </w:rPr>
          <w:t>programme and operations policies and procedures</w:t>
        </w:r>
      </w:hyperlink>
      <w:r w:rsidR="00C02468" w:rsidRPr="001F3203">
        <w:t xml:space="preserve"> and the </w:t>
      </w:r>
      <w:hyperlink r:id="rId13" w:history="1">
        <w:r w:rsidR="00C02468" w:rsidRPr="001F3203">
          <w:rPr>
            <w:rStyle w:val="Hyperlink"/>
            <w:color w:val="auto"/>
          </w:rPr>
          <w:t>internal controls framework</w:t>
        </w:r>
      </w:hyperlink>
      <w:r w:rsidR="00C02468" w:rsidRPr="001F3203">
        <w:t xml:space="preserve">. </w:t>
      </w:r>
      <w:r w:rsidRPr="001F3203">
        <w:t xml:space="preserve">The programme will be executed under the coordination of BAPPENAS. Outcome </w:t>
      </w:r>
      <w:r w:rsidR="002F5BBF">
        <w:t>b</w:t>
      </w:r>
      <w:r w:rsidRPr="001F3203">
        <w:t xml:space="preserve">oards, constituted by BAPPENAS and representatives of key implementing partner </w:t>
      </w:r>
      <w:r w:rsidR="0006725D">
        <w:t>m</w:t>
      </w:r>
      <w:r w:rsidR="0006725D" w:rsidRPr="001F3203">
        <w:t xml:space="preserve">inistries </w:t>
      </w:r>
      <w:r w:rsidRPr="001F3203">
        <w:t>and other stakeholders</w:t>
      </w:r>
      <w:r w:rsidR="00350231" w:rsidRPr="001F3203">
        <w:t>,</w:t>
      </w:r>
      <w:r w:rsidRPr="001F3203">
        <w:t xml:space="preserve"> will provide oversight to ensure the effectiveness of the programme. </w:t>
      </w:r>
      <w:r w:rsidR="0006725D">
        <w:t>N</w:t>
      </w:r>
      <w:r w:rsidRPr="001F3203">
        <w:t>ational implementation will be the default modality</w:t>
      </w:r>
      <w:r w:rsidR="0006725D">
        <w:t>, although</w:t>
      </w:r>
      <w:r w:rsidRPr="001F3203">
        <w:t xml:space="preserve"> other implementation modalities </w:t>
      </w:r>
      <w:r w:rsidR="000A1BE0">
        <w:t>may</w:t>
      </w:r>
      <w:r w:rsidR="000A1BE0" w:rsidRPr="001F3203">
        <w:t xml:space="preserve"> </w:t>
      </w:r>
      <w:r w:rsidRPr="001F3203">
        <w:t>be utilized as appropriate.</w:t>
      </w:r>
    </w:p>
    <w:p w14:paraId="62B2E92A" w14:textId="77777777" w:rsidR="007A6560" w:rsidRPr="00C85B3B" w:rsidRDefault="007A6560" w:rsidP="00C85B3B">
      <w:pPr>
        <w:pStyle w:val="ListParagraph"/>
        <w:tabs>
          <w:tab w:val="left" w:pos="1080"/>
        </w:tabs>
        <w:ind w:right="785" w:hanging="7"/>
        <w:jc w:val="both"/>
        <w:rPr>
          <w:sz w:val="12"/>
          <w:szCs w:val="12"/>
        </w:rPr>
      </w:pPr>
    </w:p>
    <w:p w14:paraId="04A7D44B" w14:textId="26A946DE" w:rsidR="007A6560" w:rsidRPr="001F3203" w:rsidRDefault="007A6560" w:rsidP="00C85B3B">
      <w:pPr>
        <w:pStyle w:val="ListParagraph"/>
        <w:numPr>
          <w:ilvl w:val="0"/>
          <w:numId w:val="41"/>
        </w:numPr>
        <w:tabs>
          <w:tab w:val="left" w:pos="1080"/>
        </w:tabs>
        <w:spacing w:after="160" w:line="259" w:lineRule="auto"/>
        <w:ind w:right="785" w:hanging="7"/>
        <w:contextualSpacing/>
        <w:jc w:val="both"/>
      </w:pPr>
      <w:r w:rsidRPr="001F3203">
        <w:t xml:space="preserve">In the previous programme cycle, cross-unit teams were established to work on a range of issues-based programmes such as </w:t>
      </w:r>
      <w:r w:rsidR="0006725D">
        <w:t>c</w:t>
      </w:r>
      <w:r w:rsidR="0006725D" w:rsidRPr="001F3203">
        <w:t xml:space="preserve">limate </w:t>
      </w:r>
      <w:r w:rsidR="0006725D">
        <w:t>c</w:t>
      </w:r>
      <w:r w:rsidR="0006725D" w:rsidRPr="001F3203">
        <w:t xml:space="preserve">hange </w:t>
      </w:r>
      <w:r w:rsidR="0006725D">
        <w:t>a</w:t>
      </w:r>
      <w:r w:rsidR="0006725D" w:rsidRPr="001F3203">
        <w:t xml:space="preserve">daptation </w:t>
      </w:r>
      <w:r w:rsidRPr="001F3203">
        <w:t xml:space="preserve">and </w:t>
      </w:r>
      <w:r w:rsidR="0006725D">
        <w:t>DRR,</w:t>
      </w:r>
      <w:r w:rsidRPr="001F3203">
        <w:t xml:space="preserve"> as well as </w:t>
      </w:r>
      <w:r w:rsidR="0006725D">
        <w:t>g</w:t>
      </w:r>
      <w:r w:rsidR="0006725D" w:rsidRPr="001F3203">
        <w:t xml:space="preserve">overnance </w:t>
      </w:r>
      <w:r w:rsidRPr="001F3203">
        <w:t xml:space="preserve">and REDD+. The </w:t>
      </w:r>
      <w:r w:rsidR="0006725D">
        <w:t xml:space="preserve">country </w:t>
      </w:r>
      <w:r w:rsidRPr="001F3203">
        <w:t>office will draw on these experiences to calibrate its approaches to cross-thematic programmes.</w:t>
      </w:r>
    </w:p>
    <w:p w14:paraId="3587E12B" w14:textId="77777777" w:rsidR="007A6560" w:rsidRPr="00C85B3B" w:rsidRDefault="007A6560" w:rsidP="00C85B3B">
      <w:pPr>
        <w:pStyle w:val="ListParagraph"/>
        <w:tabs>
          <w:tab w:val="left" w:pos="1080"/>
        </w:tabs>
        <w:ind w:right="785" w:hanging="7"/>
        <w:rPr>
          <w:sz w:val="12"/>
          <w:szCs w:val="12"/>
        </w:rPr>
      </w:pPr>
    </w:p>
    <w:p w14:paraId="38D5F0A2" w14:textId="48CE6FAE" w:rsidR="00F17F62" w:rsidRPr="001F3203" w:rsidRDefault="007A6560" w:rsidP="00C85B3B">
      <w:pPr>
        <w:pStyle w:val="ListParagraph"/>
        <w:numPr>
          <w:ilvl w:val="0"/>
          <w:numId w:val="41"/>
        </w:numPr>
        <w:tabs>
          <w:tab w:val="left" w:pos="1080"/>
        </w:tabs>
        <w:spacing w:after="160" w:line="259" w:lineRule="auto"/>
        <w:ind w:right="785" w:hanging="7"/>
        <w:contextualSpacing/>
        <w:jc w:val="both"/>
      </w:pPr>
      <w:r w:rsidRPr="001F3203">
        <w:t>UNDP works</w:t>
      </w:r>
      <w:r w:rsidR="00643309" w:rsidRPr="001F3203">
        <w:t xml:space="preserve"> in a number of sensitive areas, which could </w:t>
      </w:r>
      <w:r w:rsidRPr="001F3203">
        <w:t xml:space="preserve">jeopardize perceptions of </w:t>
      </w:r>
      <w:r w:rsidR="0006725D">
        <w:t xml:space="preserve">its </w:t>
      </w:r>
      <w:r w:rsidRPr="001F3203">
        <w:t>neutrality,</w:t>
      </w:r>
      <w:r w:rsidR="00350231" w:rsidRPr="001F3203">
        <w:t xml:space="preserve"> </w:t>
      </w:r>
      <w:r w:rsidR="0006725D">
        <w:t xml:space="preserve">which is </w:t>
      </w:r>
      <w:r w:rsidRPr="001F3203">
        <w:t xml:space="preserve">one of </w:t>
      </w:r>
      <w:r w:rsidR="0006725D">
        <w:t>its</w:t>
      </w:r>
      <w:r w:rsidRPr="001F3203">
        <w:t xml:space="preserve"> major assets. </w:t>
      </w:r>
      <w:r w:rsidR="00F17F62" w:rsidRPr="001F3203">
        <w:t>To mitigate this</w:t>
      </w:r>
      <w:r w:rsidR="0006725D">
        <w:t>,</w:t>
      </w:r>
      <w:r w:rsidR="00F17F62" w:rsidRPr="001F3203">
        <w:t xml:space="preserve"> UNDP will develop </w:t>
      </w:r>
      <w:r w:rsidR="00350231" w:rsidRPr="001F3203">
        <w:t xml:space="preserve">and continuously adjust </w:t>
      </w:r>
      <w:r w:rsidR="00F17F62" w:rsidRPr="001F3203">
        <w:t xml:space="preserve">program-specific risk mitigation strategies based on solid political economy analysis using a </w:t>
      </w:r>
      <w:r w:rsidR="0006725D" w:rsidRPr="001F3203">
        <w:t>conflict</w:t>
      </w:r>
      <w:r w:rsidR="0006725D">
        <w:t>-</w:t>
      </w:r>
      <w:r w:rsidR="00F17F62" w:rsidRPr="001F3203">
        <w:t>sensitive lens</w:t>
      </w:r>
      <w:r w:rsidR="00350231" w:rsidRPr="001F3203">
        <w:t xml:space="preserve">. </w:t>
      </w:r>
      <w:r w:rsidR="00F17F62" w:rsidRPr="001F3203">
        <w:t xml:space="preserve"> </w:t>
      </w:r>
    </w:p>
    <w:p w14:paraId="027D51AB" w14:textId="77777777" w:rsidR="00444046" w:rsidRPr="00C85B3B" w:rsidRDefault="00444046" w:rsidP="00C85B3B">
      <w:pPr>
        <w:pStyle w:val="ListParagraph"/>
        <w:tabs>
          <w:tab w:val="left" w:pos="1080"/>
        </w:tabs>
        <w:ind w:right="785" w:hanging="7"/>
        <w:rPr>
          <w:sz w:val="12"/>
          <w:szCs w:val="12"/>
        </w:rPr>
      </w:pPr>
    </w:p>
    <w:p w14:paraId="116DF56E" w14:textId="2A69EDE6" w:rsidR="00444046" w:rsidRDefault="00444046" w:rsidP="001A736D">
      <w:pPr>
        <w:pStyle w:val="ListParagraph"/>
        <w:numPr>
          <w:ilvl w:val="0"/>
          <w:numId w:val="41"/>
        </w:numPr>
        <w:tabs>
          <w:tab w:val="left" w:pos="1080"/>
        </w:tabs>
        <w:spacing w:line="259" w:lineRule="auto"/>
        <w:ind w:right="785" w:hanging="7"/>
        <w:contextualSpacing/>
        <w:jc w:val="both"/>
      </w:pPr>
      <w:r w:rsidRPr="001F3203">
        <w:t>Indonesia</w:t>
      </w:r>
      <w:r w:rsidR="00350231" w:rsidRPr="001F3203">
        <w:t xml:space="preserve"> is </w:t>
      </w:r>
      <w:r w:rsidR="003B1DDD" w:rsidRPr="001F3203">
        <w:t xml:space="preserve">vulnerable to </w:t>
      </w:r>
      <w:r w:rsidRPr="001F3203">
        <w:t>a major nat</w:t>
      </w:r>
      <w:r w:rsidR="009D453C">
        <w:t>ural</w:t>
      </w:r>
      <w:r w:rsidRPr="001F3203">
        <w:t xml:space="preserve"> disaster</w:t>
      </w:r>
      <w:r w:rsidR="003B1DDD" w:rsidRPr="001F3203">
        <w:t>. UNDP will continue strengthening compliance to minimum operating safety and security standards while supporting U</w:t>
      </w:r>
      <w:r w:rsidR="00560567">
        <w:t xml:space="preserve">nited </w:t>
      </w:r>
      <w:r w:rsidR="003B1DDD" w:rsidRPr="001F3203">
        <w:t>N</w:t>
      </w:r>
      <w:r w:rsidR="00560567">
        <w:t>ations country team</w:t>
      </w:r>
      <w:r w:rsidR="003B1DDD" w:rsidRPr="001F3203">
        <w:t xml:space="preserve"> cluster coordination systems.</w:t>
      </w:r>
    </w:p>
    <w:p w14:paraId="5423459F" w14:textId="77777777" w:rsidR="001A736D" w:rsidRPr="001A736D" w:rsidRDefault="001A736D" w:rsidP="001A736D">
      <w:pPr>
        <w:pStyle w:val="ListParagraph"/>
        <w:rPr>
          <w:sz w:val="12"/>
          <w:szCs w:val="12"/>
        </w:rPr>
      </w:pPr>
    </w:p>
    <w:p w14:paraId="426D40B2" w14:textId="72B9E37A" w:rsidR="007A6560" w:rsidRPr="001F3203" w:rsidRDefault="007A6560" w:rsidP="00C85B3B">
      <w:pPr>
        <w:pStyle w:val="ListParagraph"/>
        <w:numPr>
          <w:ilvl w:val="0"/>
          <w:numId w:val="41"/>
        </w:numPr>
        <w:tabs>
          <w:tab w:val="left" w:pos="1080"/>
        </w:tabs>
        <w:spacing w:after="160" w:line="259" w:lineRule="auto"/>
        <w:ind w:right="785" w:hanging="7"/>
        <w:contextualSpacing/>
        <w:jc w:val="both"/>
      </w:pPr>
      <w:r w:rsidRPr="001F3203">
        <w:t>To cope with the uncertain funding environment, UNDP will seek partnerships with other U</w:t>
      </w:r>
      <w:r w:rsidR="00560567">
        <w:t xml:space="preserve">nited </w:t>
      </w:r>
      <w:r w:rsidRPr="001F3203">
        <w:t>N</w:t>
      </w:r>
      <w:r w:rsidR="00560567">
        <w:t>ations</w:t>
      </w:r>
      <w:r w:rsidRPr="001F3203">
        <w:t xml:space="preserve"> agencies</w:t>
      </w:r>
      <w:r w:rsidR="00560567">
        <w:t>,</w:t>
      </w:r>
      <w:r w:rsidRPr="001F3203">
        <w:t xml:space="preserve"> development partners </w:t>
      </w:r>
      <w:r w:rsidR="00444046" w:rsidRPr="001F3203">
        <w:t xml:space="preserve">and the private sector </w:t>
      </w:r>
      <w:r w:rsidRPr="001F3203">
        <w:t xml:space="preserve">to leverage non-core funding and maximize efficiencies. UNDP will also leverage </w:t>
      </w:r>
      <w:r w:rsidR="00560567">
        <w:t>g</w:t>
      </w:r>
      <w:r w:rsidR="00560567" w:rsidRPr="001F3203">
        <w:t xml:space="preserve">overnment </w:t>
      </w:r>
      <w:r w:rsidRPr="001F3203">
        <w:t xml:space="preserve">cost-sharing contributions. </w:t>
      </w:r>
    </w:p>
    <w:p w14:paraId="7457CE4B" w14:textId="77777777" w:rsidR="007A6560" w:rsidRPr="001F3203" w:rsidRDefault="007A6560" w:rsidP="00C85B3B">
      <w:pPr>
        <w:pStyle w:val="Heading1"/>
        <w:tabs>
          <w:tab w:val="left" w:pos="1800"/>
        </w:tabs>
        <w:ind w:left="720" w:right="785" w:hanging="630"/>
        <w:jc w:val="both"/>
      </w:pPr>
      <w:r w:rsidRPr="001F3203">
        <w:rPr>
          <w:rFonts w:ascii="Times New Roman" w:eastAsiaTheme="minorHAnsi" w:hAnsi="Times New Roman"/>
          <w:sz w:val="24"/>
          <w:szCs w:val="22"/>
        </w:rPr>
        <w:t xml:space="preserve">IV. </w:t>
      </w:r>
      <w:r w:rsidR="00C85B3B">
        <w:rPr>
          <w:rFonts w:ascii="Times New Roman" w:eastAsiaTheme="minorHAnsi" w:hAnsi="Times New Roman"/>
          <w:sz w:val="24"/>
          <w:szCs w:val="22"/>
        </w:rPr>
        <w:tab/>
      </w:r>
      <w:r w:rsidRPr="001F3203">
        <w:rPr>
          <w:rFonts w:ascii="Times New Roman" w:eastAsiaTheme="minorHAnsi" w:hAnsi="Times New Roman"/>
          <w:sz w:val="24"/>
          <w:szCs w:val="22"/>
        </w:rPr>
        <w:t xml:space="preserve">Monitoring and </w:t>
      </w:r>
      <w:r w:rsidR="00C85B3B">
        <w:rPr>
          <w:rFonts w:ascii="Times New Roman" w:eastAsiaTheme="minorHAnsi" w:hAnsi="Times New Roman"/>
          <w:sz w:val="24"/>
          <w:szCs w:val="22"/>
        </w:rPr>
        <w:t>e</w:t>
      </w:r>
      <w:r w:rsidRPr="001F3203">
        <w:rPr>
          <w:rFonts w:ascii="Times New Roman" w:eastAsiaTheme="minorHAnsi" w:hAnsi="Times New Roman"/>
          <w:sz w:val="24"/>
          <w:szCs w:val="22"/>
        </w:rPr>
        <w:t>valuation</w:t>
      </w:r>
    </w:p>
    <w:p w14:paraId="67920715" w14:textId="77777777" w:rsidR="007A6560" w:rsidRPr="00C85B3B" w:rsidRDefault="007A6560" w:rsidP="00FA45FF">
      <w:pPr>
        <w:ind w:left="720" w:right="785" w:hanging="7"/>
        <w:jc w:val="both"/>
        <w:rPr>
          <w:sz w:val="12"/>
          <w:szCs w:val="12"/>
        </w:rPr>
      </w:pPr>
    </w:p>
    <w:p w14:paraId="6826A9F0" w14:textId="2ED57CB1" w:rsidR="007A6560" w:rsidRPr="001F3203" w:rsidRDefault="007A6560" w:rsidP="00C85B3B">
      <w:pPr>
        <w:pStyle w:val="ListParagraph"/>
        <w:numPr>
          <w:ilvl w:val="0"/>
          <w:numId w:val="41"/>
        </w:numPr>
        <w:tabs>
          <w:tab w:val="left" w:pos="1080"/>
        </w:tabs>
        <w:spacing w:after="160" w:line="259" w:lineRule="auto"/>
        <w:ind w:right="785" w:hanging="7"/>
        <w:contextualSpacing/>
        <w:jc w:val="both"/>
      </w:pPr>
      <w:r w:rsidRPr="001F3203">
        <w:t xml:space="preserve">All activities will be guided by a measurable and clearly defined results framework based on a standardized set of SMART </w:t>
      </w:r>
      <w:r w:rsidR="00560567">
        <w:t>(s</w:t>
      </w:r>
      <w:r w:rsidR="00560567" w:rsidRPr="00560567">
        <w:t>pecific, measurable, attainable, relevant and time-bound</w:t>
      </w:r>
      <w:r w:rsidR="00560567">
        <w:t>)</w:t>
      </w:r>
      <w:r w:rsidR="00560567" w:rsidRPr="001F3203">
        <w:t xml:space="preserve"> </w:t>
      </w:r>
      <w:r w:rsidRPr="001F3203">
        <w:t xml:space="preserve">indicators (combining </w:t>
      </w:r>
      <w:r w:rsidR="00560567">
        <w:t xml:space="preserve">indicators for the UNDP </w:t>
      </w:r>
      <w:r w:rsidRPr="001F3203">
        <w:t>S</w:t>
      </w:r>
      <w:r w:rsidR="00560567">
        <w:t xml:space="preserve">trategic </w:t>
      </w:r>
      <w:r w:rsidRPr="001F3203">
        <w:t>P</w:t>
      </w:r>
      <w:r w:rsidR="00560567">
        <w:t>lan</w:t>
      </w:r>
      <w:r w:rsidRPr="001F3203">
        <w:t xml:space="preserve"> and </w:t>
      </w:r>
      <w:r w:rsidR="00560567">
        <w:t>g</w:t>
      </w:r>
      <w:r w:rsidR="00560567" w:rsidRPr="001F3203">
        <w:t xml:space="preserve">overnment </w:t>
      </w:r>
      <w:r w:rsidRPr="001F3203">
        <w:t xml:space="preserve">indicators), with baseline data to be provided by </w:t>
      </w:r>
      <w:r w:rsidR="00560567">
        <w:t>Statistics Indonesia (BPS)</w:t>
      </w:r>
      <w:r w:rsidRPr="001F3203">
        <w:t xml:space="preserve">, relevant ministries and research institutes. Joint monitoring and evaluation will be conducted whenever feasible. Outcome </w:t>
      </w:r>
      <w:r w:rsidR="00030B46">
        <w:t>b</w:t>
      </w:r>
      <w:r w:rsidR="00030B46" w:rsidRPr="001F3203">
        <w:t xml:space="preserve">oards </w:t>
      </w:r>
      <w:r w:rsidRPr="001F3203">
        <w:t xml:space="preserve">will review contributions to national results </w:t>
      </w:r>
      <w:r w:rsidR="00560567">
        <w:t>annually</w:t>
      </w:r>
      <w:r w:rsidRPr="001F3203">
        <w:t xml:space="preserve"> and may endorse necessary adjustment</w:t>
      </w:r>
      <w:r w:rsidR="00350231" w:rsidRPr="001F3203">
        <w:t>s</w:t>
      </w:r>
      <w:r w:rsidRPr="001F3203">
        <w:t xml:space="preserve"> to the </w:t>
      </w:r>
      <w:r w:rsidR="00560567">
        <w:t>country programme</w:t>
      </w:r>
      <w:r w:rsidR="00560567" w:rsidRPr="001F3203">
        <w:t xml:space="preserve"> </w:t>
      </w:r>
      <w:r w:rsidRPr="001F3203">
        <w:t>to ensure th</w:t>
      </w:r>
      <w:r w:rsidR="00350231" w:rsidRPr="001F3203">
        <w:t>at</w:t>
      </w:r>
      <w:r w:rsidRPr="001F3203">
        <w:t xml:space="preserve"> results are met. Targeting strategies tailored to specific poor and marginalized groups will be developed for all projects</w:t>
      </w:r>
      <w:r w:rsidR="00560567">
        <w:t>,</w:t>
      </w:r>
      <w:r w:rsidRPr="001F3203">
        <w:t xml:space="preserve"> and baseline assessments will be conducted where needed to close data gaps. Projects will continue to allocate 1-3</w:t>
      </w:r>
      <w:r w:rsidR="00560567">
        <w:t xml:space="preserve"> per cent</w:t>
      </w:r>
      <w:r w:rsidR="00560567" w:rsidRPr="001F3203">
        <w:t xml:space="preserve"> </w:t>
      </w:r>
      <w:r w:rsidRPr="001F3203">
        <w:t xml:space="preserve">of funds to </w:t>
      </w:r>
      <w:r w:rsidR="00560567">
        <w:t>monitoring and evaluation</w:t>
      </w:r>
      <w:r w:rsidRPr="001F3203">
        <w:t>.</w:t>
      </w:r>
      <w:r w:rsidRPr="001F3203">
        <w:rPr>
          <w:sz w:val="24"/>
        </w:rPr>
        <w:t xml:space="preserve"> </w:t>
      </w:r>
      <w:r w:rsidRPr="001F3203">
        <w:t xml:space="preserve">The 2014 </w:t>
      </w:r>
      <w:r w:rsidR="00560567">
        <w:t>c</w:t>
      </w:r>
      <w:r w:rsidR="00560567" w:rsidRPr="001F3203">
        <w:t xml:space="preserve">ountry </w:t>
      </w:r>
      <w:r w:rsidR="00560567">
        <w:t>o</w:t>
      </w:r>
      <w:r w:rsidR="00560567" w:rsidRPr="001F3203">
        <w:t>ffice</w:t>
      </w:r>
      <w:r w:rsidR="00BF3CFD">
        <w:t xml:space="preserve"> audit</w:t>
      </w:r>
      <w:r w:rsidRPr="001F3203">
        <w:t xml:space="preserve">, which included a performance audit, commended the office for establishing effective systems for monitoring results. UNDP will build on these systems and approaches, placing greater emphasis on targeting, developing robust baselines and using big data and other innovative approaches to gather and use evidence. </w:t>
      </w:r>
    </w:p>
    <w:p w14:paraId="2E5238F3" w14:textId="77777777" w:rsidR="007A6560" w:rsidRPr="00C85B3B" w:rsidRDefault="007A6560" w:rsidP="00C85B3B">
      <w:pPr>
        <w:pStyle w:val="ListParagraph"/>
        <w:tabs>
          <w:tab w:val="left" w:pos="1080"/>
        </w:tabs>
        <w:ind w:right="785" w:hanging="7"/>
        <w:jc w:val="both"/>
        <w:rPr>
          <w:sz w:val="12"/>
          <w:szCs w:val="12"/>
        </w:rPr>
      </w:pPr>
    </w:p>
    <w:p w14:paraId="235F972C" w14:textId="1E0C59A8" w:rsidR="007A6560" w:rsidRPr="001F3203" w:rsidRDefault="00560567" w:rsidP="00C85B3B">
      <w:pPr>
        <w:pStyle w:val="ListParagraph"/>
        <w:numPr>
          <w:ilvl w:val="0"/>
          <w:numId w:val="41"/>
        </w:numPr>
        <w:tabs>
          <w:tab w:val="left" w:pos="1080"/>
        </w:tabs>
        <w:spacing w:after="160" w:line="259" w:lineRule="auto"/>
        <w:ind w:right="785" w:hanging="7"/>
        <w:contextualSpacing/>
        <w:jc w:val="both"/>
      </w:pPr>
      <w:r>
        <w:t xml:space="preserve">The </w:t>
      </w:r>
      <w:r w:rsidR="007A6560" w:rsidRPr="001F3203">
        <w:t xml:space="preserve">capacity </w:t>
      </w:r>
      <w:r>
        <w:t xml:space="preserve">of BPS </w:t>
      </w:r>
      <w:r w:rsidR="007A6560" w:rsidRPr="001F3203">
        <w:t xml:space="preserve">will be strengthened to produce new HDI and </w:t>
      </w:r>
      <w:r>
        <w:t>sustainable development goal</w:t>
      </w:r>
      <w:r w:rsidRPr="001F3203">
        <w:t xml:space="preserve"> </w:t>
      </w:r>
      <w:r w:rsidR="007A6560" w:rsidRPr="001F3203">
        <w:t xml:space="preserve">indicators. UNDP will provide technical support to the Government during the transition to post-2015 indicators, including support for monitoring at national and subnational levels. UNDP has commenced design work on a national governance structure and programme to succeed the current </w:t>
      </w:r>
      <w:r>
        <w:t>Millennium Development Goals</w:t>
      </w:r>
      <w:r w:rsidRPr="001F3203">
        <w:t xml:space="preserve"> </w:t>
      </w:r>
      <w:r w:rsidR="007A6560" w:rsidRPr="001F3203">
        <w:t xml:space="preserve">platform. UNDP is working with BAPPENAS and BPS to conduct an audit of the data requirements and capacity gaps for the country to implement and monitor the </w:t>
      </w:r>
      <w:r>
        <w:t>sustainable development goals</w:t>
      </w:r>
      <w:r w:rsidRPr="001F3203">
        <w:t xml:space="preserve"> </w:t>
      </w:r>
      <w:r w:rsidR="007A6560" w:rsidRPr="001F3203">
        <w:t xml:space="preserve">at national and subnational levels. </w:t>
      </w:r>
    </w:p>
    <w:p w14:paraId="2537451C" w14:textId="77777777" w:rsidR="007A6560" w:rsidRPr="00C85B3B" w:rsidRDefault="007A6560" w:rsidP="00C85B3B">
      <w:pPr>
        <w:pStyle w:val="ListParagraph"/>
        <w:tabs>
          <w:tab w:val="left" w:pos="1080"/>
        </w:tabs>
        <w:ind w:left="360" w:right="785" w:hanging="7"/>
        <w:jc w:val="both"/>
        <w:rPr>
          <w:sz w:val="12"/>
          <w:szCs w:val="12"/>
        </w:rPr>
      </w:pPr>
    </w:p>
    <w:p w14:paraId="5462F9A5" w14:textId="0F7E56B4" w:rsidR="00792704" w:rsidRPr="001F3203" w:rsidRDefault="007A6560" w:rsidP="00C85B3B">
      <w:pPr>
        <w:pStyle w:val="ListParagraph"/>
        <w:numPr>
          <w:ilvl w:val="0"/>
          <w:numId w:val="41"/>
        </w:numPr>
        <w:tabs>
          <w:tab w:val="left" w:pos="1080"/>
        </w:tabs>
        <w:spacing w:after="160" w:line="259" w:lineRule="auto"/>
        <w:ind w:right="785" w:hanging="7"/>
        <w:contextualSpacing/>
        <w:jc w:val="both"/>
      </w:pPr>
      <w:r w:rsidRPr="001F3203">
        <w:lastRenderedPageBreak/>
        <w:t>To strengthen the quality and relevance of its policy services</w:t>
      </w:r>
      <w:r w:rsidR="007E219E">
        <w:t>,</w:t>
      </w:r>
      <w:r w:rsidRPr="001F3203">
        <w:t xml:space="preserve"> UNDP will devise a multi-year policy research </w:t>
      </w:r>
      <w:r w:rsidR="00350231" w:rsidRPr="001F3203">
        <w:t xml:space="preserve">agenda </w:t>
      </w:r>
      <w:r w:rsidRPr="001F3203">
        <w:t xml:space="preserve">and will work with development agencies, think tanks and </w:t>
      </w:r>
      <w:r w:rsidR="007E219E">
        <w:t xml:space="preserve">civil society </w:t>
      </w:r>
      <w:r w:rsidRPr="001F3203">
        <w:t>to generate</w:t>
      </w:r>
      <w:r w:rsidR="00805177" w:rsidRPr="001F3203">
        <w:t xml:space="preserve"> and promote</w:t>
      </w:r>
      <w:r w:rsidRPr="001F3203">
        <w:t xml:space="preserve"> evidence </w:t>
      </w:r>
      <w:r w:rsidR="00805177" w:rsidRPr="001F3203">
        <w:t xml:space="preserve">to inform </w:t>
      </w:r>
      <w:r w:rsidRPr="001F3203">
        <w:t xml:space="preserve">policy </w:t>
      </w:r>
      <w:r w:rsidR="00805177" w:rsidRPr="001F3203">
        <w:t xml:space="preserve">on </w:t>
      </w:r>
      <w:r w:rsidRPr="001F3203">
        <w:t>critical issues related to sustainable human development</w:t>
      </w:r>
      <w:r w:rsidR="00805177" w:rsidRPr="001F3203">
        <w:t>,</w:t>
      </w:r>
      <w:r w:rsidRPr="001F3203">
        <w:t xml:space="preserve"> equitable growth</w:t>
      </w:r>
      <w:r w:rsidR="00805177" w:rsidRPr="001F3203">
        <w:t xml:space="preserve"> and governance</w:t>
      </w:r>
      <w:r w:rsidRPr="001F3203">
        <w:t xml:space="preserve">. </w:t>
      </w:r>
      <w:r w:rsidR="00FA65A7" w:rsidRPr="001F3203">
        <w:t xml:space="preserve">In </w:t>
      </w:r>
      <w:r w:rsidRPr="001F3203">
        <w:t>piloting new tools, methodologies and approaches, UNDP will systematic</w:t>
      </w:r>
      <w:r w:rsidR="00FA65A7" w:rsidRPr="001F3203">
        <w:t>ally</w:t>
      </w:r>
      <w:r w:rsidRPr="001F3203">
        <w:t xml:space="preserve"> collect</w:t>
      </w:r>
      <w:r w:rsidR="00FA65A7" w:rsidRPr="001F3203">
        <w:t xml:space="preserve"> </w:t>
      </w:r>
      <w:r w:rsidRPr="001F3203">
        <w:t xml:space="preserve">evidence and data </w:t>
      </w:r>
      <w:r w:rsidR="00805177" w:rsidRPr="001F3203">
        <w:t xml:space="preserve">to test </w:t>
      </w:r>
      <w:r w:rsidR="00FA65A7" w:rsidRPr="001F3203">
        <w:t>viability for scale-up by national and local governments</w:t>
      </w:r>
      <w:r w:rsidR="00805177" w:rsidRPr="001F3203">
        <w:t>.</w:t>
      </w:r>
    </w:p>
    <w:p w14:paraId="74100ACD" w14:textId="77777777" w:rsidR="00792704" w:rsidRPr="001F3203" w:rsidRDefault="00792704">
      <w:r w:rsidRPr="001F3203">
        <w:br w:type="page"/>
      </w:r>
    </w:p>
    <w:p w14:paraId="267B4ED7" w14:textId="77777777" w:rsidR="004530E4" w:rsidRPr="001F3203" w:rsidRDefault="004530E4">
      <w:pPr>
        <w:pStyle w:val="ListParagraph"/>
        <w:spacing w:after="160" w:line="259" w:lineRule="auto"/>
        <w:contextualSpacing/>
        <w:jc w:val="both"/>
        <w:sectPr w:rsidR="004530E4" w:rsidRPr="001F3203" w:rsidSect="00DD0282">
          <w:headerReference w:type="even" r:id="rId14"/>
          <w:headerReference w:type="default" r:id="rId15"/>
          <w:footerReference w:type="even" r:id="rId16"/>
          <w:footerReference w:type="default" r:id="rId17"/>
          <w:headerReference w:type="first" r:id="rId18"/>
          <w:pgSz w:w="12240" w:h="15840"/>
          <w:pgMar w:top="1166" w:right="1530" w:bottom="1260" w:left="1195" w:header="720" w:footer="720" w:gutter="0"/>
          <w:cols w:space="720"/>
          <w:titlePg/>
          <w:docGrid w:linePitch="272"/>
        </w:sectPr>
      </w:pPr>
    </w:p>
    <w:p w14:paraId="638C4507" w14:textId="77777777" w:rsidR="001E580D" w:rsidRPr="001E580D" w:rsidRDefault="001E580D" w:rsidP="001E580D">
      <w:pPr>
        <w:spacing w:after="120"/>
        <w:ind w:right="713"/>
        <w:jc w:val="both"/>
        <w:rPr>
          <w:rFonts w:eastAsia="MS Mincho"/>
          <w:sz w:val="16"/>
          <w:szCs w:val="16"/>
        </w:rPr>
      </w:pPr>
      <w:r w:rsidRPr="001E580D">
        <w:rPr>
          <w:rFonts w:eastAsiaTheme="majorEastAsia"/>
          <w:b/>
          <w:bCs/>
          <w:sz w:val="24"/>
          <w:szCs w:val="24"/>
        </w:rPr>
        <w:lastRenderedPageBreak/>
        <w:t xml:space="preserve">Annex. Results and resources framework for </w:t>
      </w:r>
      <w:r>
        <w:rPr>
          <w:rFonts w:eastAsiaTheme="majorEastAsia"/>
          <w:b/>
          <w:bCs/>
          <w:sz w:val="24"/>
          <w:szCs w:val="24"/>
        </w:rPr>
        <w:t>Indonesia</w:t>
      </w:r>
      <w:r w:rsidRPr="001E580D">
        <w:rPr>
          <w:rFonts w:eastAsiaTheme="majorEastAsia"/>
          <w:b/>
          <w:bCs/>
          <w:sz w:val="24"/>
          <w:szCs w:val="24"/>
        </w:rPr>
        <w:t xml:space="preserve"> (2016-2020)</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87"/>
        <w:gridCol w:w="2609"/>
        <w:gridCol w:w="3471"/>
        <w:gridCol w:w="2881"/>
        <w:gridCol w:w="1573"/>
        <w:gridCol w:w="29"/>
      </w:tblGrid>
      <w:tr w:rsidR="00792704" w:rsidRPr="001F3203" w14:paraId="7CAC54D6" w14:textId="77777777" w:rsidTr="001A736D">
        <w:trPr>
          <w:gridAfter w:val="1"/>
          <w:wAfter w:w="11" w:type="pct"/>
        </w:trPr>
        <w:tc>
          <w:tcPr>
            <w:tcW w:w="4989" w:type="pct"/>
            <w:gridSpan w:val="5"/>
            <w:shd w:val="clear" w:color="auto" w:fill="auto"/>
            <w:tcMar>
              <w:top w:w="72" w:type="dxa"/>
              <w:left w:w="144" w:type="dxa"/>
              <w:bottom w:w="72" w:type="dxa"/>
              <w:right w:w="144" w:type="dxa"/>
            </w:tcMar>
          </w:tcPr>
          <w:p w14:paraId="1740FCDB" w14:textId="77777777" w:rsidR="00792704" w:rsidRPr="001F3203" w:rsidRDefault="00792704">
            <w:pPr>
              <w:spacing w:before="20" w:after="20" w:line="256" w:lineRule="auto"/>
              <w:rPr>
                <w:b/>
                <w:bCs/>
                <w:color w:val="000000"/>
                <w:sz w:val="16"/>
                <w:szCs w:val="16"/>
                <w:lang w:val="en-GB" w:eastAsia="en-GB"/>
              </w:rPr>
            </w:pPr>
            <w:r w:rsidRPr="001F3203">
              <w:rPr>
                <w:b/>
                <w:bCs/>
                <w:color w:val="000000"/>
                <w:sz w:val="16"/>
                <w:szCs w:val="16"/>
                <w:lang w:val="en-GB" w:eastAsia="en-GB"/>
              </w:rPr>
              <w:t xml:space="preserve">NATIONAL PRIORITY#3:  </w:t>
            </w:r>
          </w:p>
          <w:p w14:paraId="333112D5" w14:textId="00BEC539" w:rsidR="00792704" w:rsidRPr="001F3203" w:rsidRDefault="00792704">
            <w:pPr>
              <w:spacing w:before="20" w:after="20" w:line="256" w:lineRule="auto"/>
              <w:rPr>
                <w:color w:val="000000"/>
                <w:sz w:val="16"/>
                <w:szCs w:val="16"/>
                <w:lang w:val="en-GB" w:eastAsia="en-GB"/>
              </w:rPr>
            </w:pPr>
            <w:r w:rsidRPr="001F3203">
              <w:rPr>
                <w:b/>
                <w:bCs/>
                <w:color w:val="000000"/>
                <w:sz w:val="16"/>
                <w:szCs w:val="16"/>
                <w:lang w:val="en-GB" w:eastAsia="en-GB"/>
              </w:rPr>
              <w:t>TO DEVELOP INDONESIA FROM BORDER</w:t>
            </w:r>
            <w:r w:rsidR="00EB2A1A">
              <w:rPr>
                <w:b/>
                <w:bCs/>
                <w:color w:val="000000"/>
                <w:sz w:val="16"/>
                <w:szCs w:val="16"/>
                <w:lang w:val="en-GB" w:eastAsia="en-GB"/>
              </w:rPr>
              <w:t>S</w:t>
            </w:r>
            <w:r w:rsidRPr="001F3203">
              <w:rPr>
                <w:b/>
                <w:bCs/>
                <w:color w:val="000000"/>
                <w:sz w:val="16"/>
                <w:szCs w:val="16"/>
                <w:lang w:val="en-GB" w:eastAsia="en-GB"/>
              </w:rPr>
              <w:t xml:space="preserve"> BY STRENGTHENING AREAS AND VILLAGES IN THE CONTEXT OF A UNITED NATION</w:t>
            </w:r>
          </w:p>
        </w:tc>
      </w:tr>
      <w:tr w:rsidR="00792704" w:rsidRPr="001F3203" w14:paraId="45F4E6D9" w14:textId="77777777" w:rsidTr="001A736D">
        <w:trPr>
          <w:gridAfter w:val="1"/>
          <w:wAfter w:w="11" w:type="pct"/>
        </w:trPr>
        <w:tc>
          <w:tcPr>
            <w:tcW w:w="4989" w:type="pct"/>
            <w:gridSpan w:val="5"/>
            <w:shd w:val="clear" w:color="auto" w:fill="auto"/>
            <w:tcMar>
              <w:top w:w="72" w:type="dxa"/>
              <w:left w:w="144" w:type="dxa"/>
              <w:bottom w:w="72" w:type="dxa"/>
              <w:right w:w="144" w:type="dxa"/>
            </w:tcMar>
          </w:tcPr>
          <w:p w14:paraId="7A3F7F50" w14:textId="77777777" w:rsidR="00792704" w:rsidRPr="001F3203" w:rsidRDefault="002F647E">
            <w:pPr>
              <w:spacing w:before="20" w:after="20" w:line="256" w:lineRule="auto"/>
              <w:rPr>
                <w:b/>
                <w:bCs/>
                <w:color w:val="000000"/>
                <w:sz w:val="16"/>
                <w:szCs w:val="16"/>
                <w:lang w:val="en-GB" w:eastAsia="en-GB"/>
              </w:rPr>
            </w:pPr>
            <w:r w:rsidRPr="001F3203">
              <w:rPr>
                <w:b/>
                <w:bCs/>
                <w:color w:val="000000"/>
                <w:sz w:val="16"/>
                <w:szCs w:val="16"/>
                <w:lang w:val="en-GB" w:eastAsia="en-GB"/>
              </w:rPr>
              <w:t>UNPDF OUTCOME</w:t>
            </w:r>
            <w:r w:rsidR="00792704" w:rsidRPr="001F3203">
              <w:rPr>
                <w:b/>
                <w:bCs/>
                <w:color w:val="000000"/>
                <w:sz w:val="16"/>
                <w:szCs w:val="16"/>
                <w:lang w:val="en-GB" w:eastAsia="en-GB"/>
              </w:rPr>
              <w:t xml:space="preserve">#1: </w:t>
            </w:r>
          </w:p>
          <w:p w14:paraId="71041DB7" w14:textId="4EDD1A1B" w:rsidR="00792704" w:rsidRPr="001F3203" w:rsidRDefault="007878A5" w:rsidP="00560567">
            <w:pPr>
              <w:spacing w:before="20" w:after="20" w:line="256" w:lineRule="auto"/>
              <w:rPr>
                <w:b/>
                <w:caps/>
                <w:color w:val="000000"/>
                <w:sz w:val="16"/>
                <w:szCs w:val="16"/>
                <w:lang w:val="en-GB" w:eastAsia="en-GB"/>
              </w:rPr>
            </w:pPr>
            <w:r w:rsidRPr="001F3203">
              <w:rPr>
                <w:b/>
                <w:caps/>
                <w:sz w:val="16"/>
                <w:szCs w:val="16"/>
                <w:lang w:val="en-GB" w:eastAsia="en-GB"/>
              </w:rPr>
              <w:t xml:space="preserve">By 2020, more vulnerable, </w:t>
            </w:r>
            <w:r w:rsidR="00560567" w:rsidRPr="001F3203">
              <w:rPr>
                <w:b/>
                <w:caps/>
                <w:sz w:val="16"/>
                <w:szCs w:val="16"/>
                <w:lang w:val="en-GB" w:eastAsia="en-GB"/>
              </w:rPr>
              <w:t>low</w:t>
            </w:r>
            <w:r w:rsidR="00560567">
              <w:rPr>
                <w:b/>
                <w:caps/>
                <w:sz w:val="16"/>
                <w:szCs w:val="16"/>
                <w:lang w:val="en-GB" w:eastAsia="en-GB"/>
              </w:rPr>
              <w:t>-</w:t>
            </w:r>
            <w:r w:rsidRPr="001F3203">
              <w:rPr>
                <w:b/>
                <w:caps/>
                <w:sz w:val="16"/>
                <w:szCs w:val="16"/>
                <w:lang w:val="en-GB" w:eastAsia="en-GB"/>
              </w:rPr>
              <w:t xml:space="preserve">income and </w:t>
            </w:r>
            <w:r w:rsidR="00560567" w:rsidRPr="001F3203">
              <w:rPr>
                <w:b/>
                <w:caps/>
                <w:sz w:val="16"/>
                <w:szCs w:val="16"/>
                <w:lang w:val="en-GB" w:eastAsia="en-GB"/>
              </w:rPr>
              <w:t>food</w:t>
            </w:r>
            <w:r w:rsidR="00560567">
              <w:rPr>
                <w:b/>
                <w:caps/>
                <w:sz w:val="16"/>
                <w:szCs w:val="16"/>
                <w:lang w:val="en-GB" w:eastAsia="en-GB"/>
              </w:rPr>
              <w:t>-</w:t>
            </w:r>
            <w:r w:rsidRPr="001F3203">
              <w:rPr>
                <w:b/>
                <w:caps/>
                <w:sz w:val="16"/>
                <w:szCs w:val="16"/>
                <w:lang w:val="en-GB" w:eastAsia="en-GB"/>
              </w:rPr>
              <w:t>insecure people have an adequate standard of living and equitable access to decent work, sustainable livelihoods, economic development and income-earning opportunities</w:t>
            </w:r>
            <w:r w:rsidR="00A047D6">
              <w:rPr>
                <w:b/>
                <w:caps/>
                <w:sz w:val="16"/>
                <w:szCs w:val="16"/>
                <w:lang w:val="en-GB" w:eastAsia="en-GB"/>
              </w:rPr>
              <w:t>.</w:t>
            </w:r>
          </w:p>
        </w:tc>
      </w:tr>
      <w:tr w:rsidR="00792704" w:rsidRPr="001F3203" w14:paraId="286421C3" w14:textId="77777777" w:rsidTr="001A736D">
        <w:trPr>
          <w:gridAfter w:val="1"/>
          <w:wAfter w:w="11" w:type="pct"/>
        </w:trPr>
        <w:tc>
          <w:tcPr>
            <w:tcW w:w="4989" w:type="pct"/>
            <w:gridSpan w:val="5"/>
            <w:shd w:val="clear" w:color="auto" w:fill="auto"/>
            <w:tcMar>
              <w:top w:w="72" w:type="dxa"/>
              <w:left w:w="144" w:type="dxa"/>
              <w:bottom w:w="72" w:type="dxa"/>
              <w:right w:w="144" w:type="dxa"/>
            </w:tcMar>
          </w:tcPr>
          <w:p w14:paraId="5F48E5ED" w14:textId="77777777" w:rsidR="00792704" w:rsidRPr="001F3203" w:rsidRDefault="00792704">
            <w:pPr>
              <w:spacing w:before="20" w:after="20" w:line="256" w:lineRule="auto"/>
              <w:rPr>
                <w:b/>
                <w:bCs/>
                <w:sz w:val="16"/>
                <w:szCs w:val="16"/>
                <w:lang w:val="en-GB" w:eastAsia="en-GB"/>
              </w:rPr>
            </w:pPr>
            <w:r w:rsidRPr="001F3203">
              <w:rPr>
                <w:b/>
                <w:bCs/>
                <w:sz w:val="16"/>
                <w:szCs w:val="16"/>
                <w:lang w:val="en-GB" w:eastAsia="en-GB"/>
              </w:rPr>
              <w:t>STRATEGIC PLAN OUTCOME#1:</w:t>
            </w:r>
          </w:p>
          <w:p w14:paraId="0AA99FCD" w14:textId="77777777" w:rsidR="00792704" w:rsidRPr="001F3203" w:rsidRDefault="00792704">
            <w:pPr>
              <w:spacing w:before="20" w:after="20" w:line="256" w:lineRule="auto"/>
              <w:rPr>
                <w:b/>
                <w:bCs/>
                <w:sz w:val="16"/>
                <w:szCs w:val="16"/>
                <w:lang w:val="en-GB" w:eastAsia="en-GB"/>
              </w:rPr>
            </w:pPr>
            <w:r w:rsidRPr="001F3203">
              <w:rPr>
                <w:rFonts w:eastAsiaTheme="minorEastAsia"/>
                <w:b/>
                <w:sz w:val="16"/>
                <w:szCs w:val="16"/>
                <w:lang w:val="en-GB" w:eastAsia="en-GB"/>
              </w:rPr>
              <w:t>GROWTH AND DEVELOPMENT ARE INCLUSIVE AND SUSTAINABLE, INCORPORATING PRODUCTIVE CAPACITIES THAT CREATE EMPLOYMENT AND LIVELIHOODS FOR THE POOR AND EXCLUDED</w:t>
            </w:r>
            <w:r w:rsidR="00A3404E">
              <w:rPr>
                <w:rFonts w:eastAsiaTheme="minorEastAsia"/>
                <w:b/>
                <w:sz w:val="16"/>
                <w:szCs w:val="16"/>
                <w:lang w:val="en-GB" w:eastAsia="en-GB"/>
              </w:rPr>
              <w:t>.</w:t>
            </w:r>
          </w:p>
        </w:tc>
      </w:tr>
      <w:tr w:rsidR="00792704" w:rsidRPr="001F3203" w14:paraId="38D32AC3" w14:textId="77777777" w:rsidTr="001A736D">
        <w:trPr>
          <w:gridAfter w:val="1"/>
          <w:wAfter w:w="11" w:type="pct"/>
          <w:tblHeader/>
        </w:trPr>
        <w:tc>
          <w:tcPr>
            <w:tcW w:w="1044" w:type="pct"/>
            <w:shd w:val="clear" w:color="auto" w:fill="auto"/>
            <w:tcMar>
              <w:top w:w="72" w:type="dxa"/>
              <w:left w:w="144" w:type="dxa"/>
              <w:bottom w:w="72" w:type="dxa"/>
              <w:right w:w="144" w:type="dxa"/>
            </w:tcMar>
            <w:vAlign w:val="center"/>
          </w:tcPr>
          <w:p w14:paraId="247008B6" w14:textId="77777777" w:rsidR="00792704" w:rsidRPr="001F3203" w:rsidRDefault="00792704">
            <w:pPr>
              <w:jc w:val="center"/>
              <w:rPr>
                <w:color w:val="000000"/>
                <w:sz w:val="16"/>
                <w:szCs w:val="16"/>
              </w:rPr>
            </w:pPr>
            <w:r w:rsidRPr="001F3203">
              <w:rPr>
                <w:b/>
                <w:bCs/>
                <w:color w:val="000000"/>
                <w:sz w:val="16"/>
                <w:szCs w:val="16"/>
                <w:lang w:val="en-GB"/>
              </w:rPr>
              <w:t>UNPDF OUTCOME INDICATOR(S), BASELINES, TARGET(S)</w:t>
            </w:r>
            <w:r w:rsidR="00736752" w:rsidRPr="001F3203">
              <w:rPr>
                <w:rStyle w:val="FootnoteReference"/>
                <w:iCs/>
                <w:sz w:val="16"/>
                <w:szCs w:val="16"/>
                <w:lang w:val="en-GB" w:eastAsia="en-GB"/>
              </w:rPr>
              <w:footnoteReference w:id="22"/>
            </w:r>
          </w:p>
        </w:tc>
        <w:tc>
          <w:tcPr>
            <w:tcW w:w="977" w:type="pct"/>
            <w:shd w:val="clear" w:color="auto" w:fill="auto"/>
            <w:vAlign w:val="center"/>
          </w:tcPr>
          <w:p w14:paraId="790B03E8" w14:textId="77777777" w:rsidR="00792704" w:rsidRPr="001F3203" w:rsidRDefault="00792704">
            <w:pPr>
              <w:jc w:val="center"/>
              <w:rPr>
                <w:b/>
                <w:color w:val="000000"/>
                <w:sz w:val="16"/>
                <w:szCs w:val="16"/>
              </w:rPr>
            </w:pPr>
            <w:r w:rsidRPr="001F3203">
              <w:rPr>
                <w:b/>
                <w:color w:val="000000"/>
                <w:sz w:val="16"/>
                <w:szCs w:val="16"/>
              </w:rPr>
              <w:t>DATA SOURCE AND FREQUENCY OF DATA COLLECTION, AND RESPONSIBILITIES</w:t>
            </w:r>
          </w:p>
        </w:tc>
        <w:tc>
          <w:tcPr>
            <w:tcW w:w="1300" w:type="pct"/>
            <w:shd w:val="clear" w:color="auto" w:fill="auto"/>
            <w:tcMar>
              <w:top w:w="72" w:type="dxa"/>
              <w:left w:w="144" w:type="dxa"/>
              <w:bottom w:w="72" w:type="dxa"/>
              <w:right w:w="144" w:type="dxa"/>
            </w:tcMar>
            <w:vAlign w:val="center"/>
          </w:tcPr>
          <w:p w14:paraId="36A1DAA9" w14:textId="77777777" w:rsidR="00792704" w:rsidRPr="001F3203" w:rsidRDefault="00792704">
            <w:pPr>
              <w:jc w:val="center"/>
              <w:rPr>
                <w:color w:val="000000"/>
                <w:sz w:val="16"/>
                <w:szCs w:val="16"/>
              </w:rPr>
            </w:pPr>
            <w:r w:rsidRPr="001F3203">
              <w:rPr>
                <w:b/>
                <w:bCs/>
                <w:color w:val="000000"/>
                <w:sz w:val="16"/>
                <w:szCs w:val="16"/>
                <w:lang w:val="en-GB"/>
              </w:rPr>
              <w:t>INDICATIVE COUNTRY PROGRAMME OUTPUTS</w:t>
            </w:r>
          </w:p>
        </w:tc>
        <w:tc>
          <w:tcPr>
            <w:tcW w:w="1079" w:type="pct"/>
            <w:shd w:val="clear" w:color="auto" w:fill="auto"/>
            <w:vAlign w:val="center"/>
          </w:tcPr>
          <w:p w14:paraId="7A4E5723" w14:textId="77777777" w:rsidR="00792704" w:rsidRPr="001F3203" w:rsidRDefault="00792704">
            <w:pPr>
              <w:jc w:val="center"/>
              <w:rPr>
                <w:b/>
                <w:bCs/>
                <w:color w:val="000000"/>
                <w:sz w:val="16"/>
                <w:szCs w:val="16"/>
                <w:lang w:val="en-GB"/>
              </w:rPr>
            </w:pPr>
            <w:r w:rsidRPr="001F3203">
              <w:rPr>
                <w:b/>
                <w:bCs/>
                <w:color w:val="000000"/>
                <w:sz w:val="16"/>
                <w:szCs w:val="16"/>
                <w:lang w:val="en-GB"/>
              </w:rPr>
              <w:t>MAJOR PARTNERS / PARTNERSHIPS</w:t>
            </w:r>
          </w:p>
          <w:p w14:paraId="2A71E070" w14:textId="77777777" w:rsidR="00792704" w:rsidRPr="001F3203" w:rsidRDefault="00792704">
            <w:pPr>
              <w:jc w:val="center"/>
              <w:rPr>
                <w:b/>
                <w:bCs/>
                <w:color w:val="000000"/>
                <w:sz w:val="16"/>
                <w:szCs w:val="16"/>
                <w:lang w:val="en-GB"/>
              </w:rPr>
            </w:pPr>
            <w:r w:rsidRPr="001F3203">
              <w:rPr>
                <w:b/>
                <w:bCs/>
                <w:color w:val="000000"/>
                <w:sz w:val="16"/>
                <w:szCs w:val="16"/>
                <w:lang w:val="en-GB"/>
              </w:rPr>
              <w:t>FRAMEWORKS</w:t>
            </w:r>
          </w:p>
        </w:tc>
        <w:tc>
          <w:tcPr>
            <w:tcW w:w="589" w:type="pct"/>
            <w:shd w:val="clear" w:color="auto" w:fill="auto"/>
            <w:tcMar>
              <w:top w:w="15" w:type="dxa"/>
              <w:left w:w="108" w:type="dxa"/>
              <w:bottom w:w="0" w:type="dxa"/>
              <w:right w:w="108" w:type="dxa"/>
            </w:tcMar>
            <w:vAlign w:val="center"/>
          </w:tcPr>
          <w:p w14:paraId="6DBBF2F0" w14:textId="314B4326" w:rsidR="00792704" w:rsidRPr="001F3203" w:rsidRDefault="00792704">
            <w:pPr>
              <w:jc w:val="center"/>
              <w:rPr>
                <w:b/>
                <w:bCs/>
                <w:color w:val="000000"/>
                <w:sz w:val="16"/>
                <w:szCs w:val="16"/>
                <w:lang w:val="en-GB"/>
              </w:rPr>
            </w:pPr>
            <w:r w:rsidRPr="001F3203">
              <w:rPr>
                <w:b/>
                <w:bCs/>
                <w:color w:val="000000"/>
                <w:sz w:val="16"/>
                <w:szCs w:val="16"/>
                <w:lang w:val="en-GB"/>
              </w:rPr>
              <w:t>INDICATIVE RESOURCES BY OUTCOME ($)</w:t>
            </w:r>
          </w:p>
          <w:p w14:paraId="5E63E19D" w14:textId="77777777" w:rsidR="00792704" w:rsidRPr="001F3203" w:rsidRDefault="00792704">
            <w:pPr>
              <w:jc w:val="center"/>
              <w:rPr>
                <w:i/>
                <w:color w:val="0000FF"/>
                <w:sz w:val="16"/>
                <w:szCs w:val="16"/>
              </w:rPr>
            </w:pPr>
          </w:p>
        </w:tc>
      </w:tr>
      <w:tr w:rsidR="00792704" w:rsidRPr="001F3203" w14:paraId="0B7F2AB8" w14:textId="77777777" w:rsidTr="005109F3">
        <w:trPr>
          <w:gridAfter w:val="1"/>
          <w:wAfter w:w="11" w:type="pct"/>
        </w:trPr>
        <w:tc>
          <w:tcPr>
            <w:tcW w:w="1044" w:type="pct"/>
            <w:tcBorders>
              <w:bottom w:val="single" w:sz="4" w:space="0" w:color="auto"/>
            </w:tcBorders>
            <w:tcMar>
              <w:top w:w="72" w:type="dxa"/>
              <w:left w:w="144" w:type="dxa"/>
              <w:bottom w:w="72" w:type="dxa"/>
              <w:right w:w="144" w:type="dxa"/>
            </w:tcMar>
          </w:tcPr>
          <w:p w14:paraId="181C55CE" w14:textId="393ADD12" w:rsidR="00792704" w:rsidRPr="001F3203" w:rsidRDefault="00792704">
            <w:pPr>
              <w:rPr>
                <w:bCs/>
                <w:color w:val="000000"/>
                <w:sz w:val="16"/>
                <w:szCs w:val="16"/>
                <w:lang w:val="en-GB" w:eastAsia="en-GB"/>
              </w:rPr>
            </w:pPr>
            <w:r w:rsidRPr="001F3203">
              <w:rPr>
                <w:b/>
                <w:bCs/>
                <w:color w:val="000000"/>
                <w:sz w:val="16"/>
                <w:szCs w:val="16"/>
                <w:lang w:val="en-GB" w:eastAsia="en-GB"/>
              </w:rPr>
              <w:t>Indicator</w:t>
            </w:r>
            <w:r w:rsidR="00A34535" w:rsidRPr="001F3203">
              <w:rPr>
                <w:b/>
                <w:bCs/>
                <w:color w:val="000000"/>
                <w:sz w:val="16"/>
                <w:szCs w:val="16"/>
                <w:lang w:val="en-GB" w:eastAsia="en-GB"/>
              </w:rPr>
              <w:t>-1.1</w:t>
            </w:r>
            <w:r w:rsidRPr="001F3203">
              <w:rPr>
                <w:b/>
                <w:bCs/>
                <w:color w:val="000000"/>
                <w:sz w:val="16"/>
                <w:szCs w:val="16"/>
                <w:lang w:val="en-GB" w:eastAsia="en-GB"/>
              </w:rPr>
              <w:t>:</w:t>
            </w:r>
            <w:r w:rsidRPr="001F3203">
              <w:rPr>
                <w:bCs/>
                <w:color w:val="000000"/>
                <w:sz w:val="16"/>
                <w:szCs w:val="16"/>
                <w:lang w:val="en-GB" w:eastAsia="en-GB"/>
              </w:rPr>
              <w:t xml:space="preserve"> Papua Province </w:t>
            </w:r>
            <w:r w:rsidR="00A3404E">
              <w:rPr>
                <w:bCs/>
                <w:color w:val="000000"/>
                <w:sz w:val="16"/>
                <w:szCs w:val="16"/>
                <w:lang w:val="en-GB" w:eastAsia="en-GB"/>
              </w:rPr>
              <w:t>p</w:t>
            </w:r>
            <w:r w:rsidR="00A3404E" w:rsidRPr="001F3203">
              <w:rPr>
                <w:bCs/>
                <w:color w:val="000000"/>
                <w:sz w:val="16"/>
                <w:szCs w:val="16"/>
                <w:lang w:val="en-GB" w:eastAsia="en-GB"/>
              </w:rPr>
              <w:t xml:space="preserve">overty </w:t>
            </w:r>
            <w:r w:rsidR="00A3404E">
              <w:rPr>
                <w:bCs/>
                <w:color w:val="000000"/>
                <w:sz w:val="16"/>
                <w:szCs w:val="16"/>
                <w:lang w:val="en-GB" w:eastAsia="en-GB"/>
              </w:rPr>
              <w:t>r</w:t>
            </w:r>
            <w:r w:rsidR="00A3404E" w:rsidRPr="001F3203">
              <w:rPr>
                <w:bCs/>
                <w:color w:val="000000"/>
                <w:sz w:val="16"/>
                <w:szCs w:val="16"/>
                <w:lang w:val="en-GB" w:eastAsia="en-GB"/>
              </w:rPr>
              <w:t>ate</w:t>
            </w:r>
          </w:p>
          <w:p w14:paraId="121486F2"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Baseline</w:t>
            </w:r>
            <w:r w:rsidR="000C6415" w:rsidRPr="001F3203">
              <w:rPr>
                <w:b/>
                <w:bCs/>
                <w:color w:val="000000"/>
                <w:sz w:val="16"/>
                <w:szCs w:val="16"/>
                <w:lang w:val="en-GB" w:eastAsia="en-GB"/>
              </w:rPr>
              <w:t>(2014)</w:t>
            </w:r>
            <w:r w:rsidRPr="001F3203">
              <w:rPr>
                <w:b/>
                <w:bCs/>
                <w:color w:val="000000"/>
                <w:sz w:val="16"/>
                <w:szCs w:val="16"/>
                <w:lang w:val="en-GB" w:eastAsia="en-GB"/>
              </w:rPr>
              <w:t>:</w:t>
            </w:r>
            <w:r w:rsidRPr="001F3203">
              <w:rPr>
                <w:bCs/>
                <w:color w:val="000000"/>
                <w:sz w:val="16"/>
                <w:szCs w:val="16"/>
                <w:lang w:val="en-GB" w:eastAsia="en-GB"/>
              </w:rPr>
              <w:t xml:space="preserve"> 27.8</w:t>
            </w:r>
            <w:r w:rsidR="00EC2FDA" w:rsidRPr="001F3203">
              <w:rPr>
                <w:bCs/>
                <w:color w:val="000000"/>
                <w:sz w:val="16"/>
                <w:szCs w:val="16"/>
                <w:lang w:val="en-GB" w:eastAsia="en-GB"/>
              </w:rPr>
              <w:t>%</w:t>
            </w:r>
            <w:r w:rsidRPr="001F3203">
              <w:rPr>
                <w:bCs/>
                <w:color w:val="000000"/>
                <w:sz w:val="16"/>
                <w:szCs w:val="16"/>
                <w:lang w:val="en-GB" w:eastAsia="en-GB"/>
              </w:rPr>
              <w:t xml:space="preserve"> </w:t>
            </w:r>
          </w:p>
          <w:p w14:paraId="3889B3DA"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Target:</w:t>
            </w:r>
            <w:r w:rsidRPr="001F3203">
              <w:rPr>
                <w:bCs/>
                <w:color w:val="000000"/>
                <w:sz w:val="16"/>
                <w:szCs w:val="16"/>
                <w:lang w:val="en-GB" w:eastAsia="en-GB"/>
              </w:rPr>
              <w:t xml:space="preserve"> </w:t>
            </w:r>
            <w:r w:rsidR="006276ED" w:rsidRPr="001F3203">
              <w:rPr>
                <w:bCs/>
                <w:color w:val="000000"/>
                <w:sz w:val="16"/>
                <w:szCs w:val="16"/>
                <w:lang w:val="en-GB" w:eastAsia="en-GB"/>
              </w:rPr>
              <w:t>21.5</w:t>
            </w:r>
            <w:r w:rsidRPr="001F3203">
              <w:rPr>
                <w:bCs/>
                <w:color w:val="000000"/>
                <w:sz w:val="16"/>
                <w:szCs w:val="16"/>
                <w:lang w:val="en-GB" w:eastAsia="en-GB"/>
              </w:rPr>
              <w:t>%</w:t>
            </w:r>
          </w:p>
          <w:p w14:paraId="15C5860B" w14:textId="77777777" w:rsidR="00792704" w:rsidRPr="001F3203" w:rsidRDefault="00792704">
            <w:pPr>
              <w:rPr>
                <w:bCs/>
                <w:color w:val="000000"/>
                <w:sz w:val="16"/>
                <w:szCs w:val="16"/>
                <w:lang w:val="en-GB" w:eastAsia="en-GB"/>
              </w:rPr>
            </w:pPr>
          </w:p>
          <w:p w14:paraId="55B41149"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Indicator</w:t>
            </w:r>
            <w:r w:rsidR="00A34535" w:rsidRPr="001F3203">
              <w:rPr>
                <w:b/>
                <w:bCs/>
                <w:color w:val="000000"/>
                <w:sz w:val="16"/>
                <w:szCs w:val="16"/>
                <w:lang w:val="en-GB" w:eastAsia="en-GB"/>
              </w:rPr>
              <w:t>-1.2</w:t>
            </w:r>
            <w:r w:rsidRPr="001F3203">
              <w:rPr>
                <w:b/>
                <w:bCs/>
                <w:color w:val="000000"/>
                <w:sz w:val="16"/>
                <w:szCs w:val="16"/>
                <w:lang w:val="en-GB" w:eastAsia="en-GB"/>
              </w:rPr>
              <w:t>:</w:t>
            </w:r>
            <w:r w:rsidRPr="001F3203">
              <w:rPr>
                <w:bCs/>
                <w:color w:val="000000"/>
                <w:sz w:val="16"/>
                <w:szCs w:val="16"/>
                <w:lang w:val="en-GB" w:eastAsia="en-GB"/>
              </w:rPr>
              <w:t xml:space="preserve"> West Papua  Province Poverty Rate</w:t>
            </w:r>
          </w:p>
          <w:p w14:paraId="78080DAF" w14:textId="77777777" w:rsidR="00792704" w:rsidRPr="001F3203" w:rsidRDefault="00BB132B">
            <w:pPr>
              <w:rPr>
                <w:bCs/>
                <w:color w:val="000000"/>
                <w:sz w:val="16"/>
                <w:szCs w:val="16"/>
                <w:lang w:val="en-GB" w:eastAsia="en-GB"/>
              </w:rPr>
            </w:pPr>
            <w:r w:rsidRPr="001F3203">
              <w:rPr>
                <w:b/>
                <w:bCs/>
                <w:color w:val="000000"/>
                <w:sz w:val="16"/>
                <w:szCs w:val="16"/>
                <w:lang w:val="en-GB" w:eastAsia="en-GB"/>
              </w:rPr>
              <w:t>Baseline</w:t>
            </w:r>
            <w:r w:rsidR="000C6415" w:rsidRPr="001F3203">
              <w:rPr>
                <w:b/>
                <w:bCs/>
                <w:color w:val="000000"/>
                <w:sz w:val="16"/>
                <w:szCs w:val="16"/>
                <w:lang w:val="en-GB" w:eastAsia="en-GB"/>
              </w:rPr>
              <w:t>(2014)</w:t>
            </w:r>
            <w:r w:rsidR="00792704" w:rsidRPr="001F3203">
              <w:rPr>
                <w:b/>
                <w:bCs/>
                <w:color w:val="000000"/>
                <w:sz w:val="16"/>
                <w:szCs w:val="16"/>
                <w:lang w:val="en-GB" w:eastAsia="en-GB"/>
              </w:rPr>
              <w:t>:</w:t>
            </w:r>
            <w:r w:rsidR="00792704" w:rsidRPr="001F3203">
              <w:rPr>
                <w:bCs/>
                <w:color w:val="000000"/>
                <w:sz w:val="16"/>
                <w:szCs w:val="16"/>
                <w:lang w:val="en-GB" w:eastAsia="en-GB"/>
              </w:rPr>
              <w:t xml:space="preserve"> 26.26</w:t>
            </w:r>
            <w:r w:rsidR="00EC2FDA" w:rsidRPr="001F3203">
              <w:rPr>
                <w:bCs/>
                <w:color w:val="000000"/>
                <w:sz w:val="16"/>
                <w:szCs w:val="16"/>
                <w:lang w:val="en-GB" w:eastAsia="en-GB"/>
              </w:rPr>
              <w:t>%</w:t>
            </w:r>
          </w:p>
          <w:p w14:paraId="6801EF8D" w14:textId="77777777" w:rsidR="00792704" w:rsidRPr="001F3203" w:rsidRDefault="00BB132B">
            <w:pPr>
              <w:rPr>
                <w:bCs/>
                <w:color w:val="000000"/>
                <w:sz w:val="16"/>
                <w:szCs w:val="16"/>
                <w:lang w:val="en-GB" w:eastAsia="en-GB"/>
              </w:rPr>
            </w:pPr>
            <w:r w:rsidRPr="001F3203">
              <w:rPr>
                <w:b/>
                <w:bCs/>
                <w:color w:val="000000"/>
                <w:sz w:val="16"/>
                <w:szCs w:val="16"/>
                <w:lang w:val="en-GB" w:eastAsia="en-GB"/>
              </w:rPr>
              <w:t>Target</w:t>
            </w:r>
            <w:r w:rsidR="00792704" w:rsidRPr="001F3203">
              <w:rPr>
                <w:b/>
                <w:bCs/>
                <w:color w:val="000000"/>
                <w:sz w:val="16"/>
                <w:szCs w:val="16"/>
                <w:lang w:val="en-GB" w:eastAsia="en-GB"/>
              </w:rPr>
              <w:t>:</w:t>
            </w:r>
            <w:r w:rsidR="00792704" w:rsidRPr="001F3203">
              <w:rPr>
                <w:bCs/>
                <w:color w:val="000000"/>
                <w:sz w:val="16"/>
                <w:szCs w:val="16"/>
                <w:lang w:val="en-GB" w:eastAsia="en-GB"/>
              </w:rPr>
              <w:t xml:space="preserve"> </w:t>
            </w:r>
            <w:r w:rsidR="006276ED" w:rsidRPr="001F3203">
              <w:rPr>
                <w:bCs/>
                <w:color w:val="000000"/>
                <w:sz w:val="16"/>
                <w:szCs w:val="16"/>
                <w:lang w:val="en-GB" w:eastAsia="en-GB"/>
              </w:rPr>
              <w:t>17.4</w:t>
            </w:r>
            <w:r w:rsidR="00792704" w:rsidRPr="001F3203">
              <w:rPr>
                <w:bCs/>
                <w:color w:val="000000"/>
                <w:sz w:val="16"/>
                <w:szCs w:val="16"/>
                <w:lang w:val="en-GB" w:eastAsia="en-GB"/>
              </w:rPr>
              <w:t>%</w:t>
            </w:r>
          </w:p>
          <w:p w14:paraId="2D4FF387" w14:textId="77777777" w:rsidR="00792704" w:rsidRPr="001F3203" w:rsidRDefault="00792704">
            <w:pPr>
              <w:rPr>
                <w:bCs/>
                <w:color w:val="000000"/>
                <w:sz w:val="16"/>
                <w:szCs w:val="16"/>
                <w:lang w:val="en-GB" w:eastAsia="en-GB"/>
              </w:rPr>
            </w:pPr>
          </w:p>
          <w:p w14:paraId="6F3E4CD2"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Indica</w:t>
            </w:r>
            <w:r w:rsidR="002F647E" w:rsidRPr="001F3203">
              <w:rPr>
                <w:b/>
                <w:bCs/>
                <w:color w:val="000000"/>
                <w:sz w:val="16"/>
                <w:szCs w:val="16"/>
                <w:lang w:val="en-GB" w:eastAsia="en-GB"/>
              </w:rPr>
              <w:t>tor</w:t>
            </w:r>
            <w:r w:rsidR="00A34535" w:rsidRPr="001F3203">
              <w:rPr>
                <w:b/>
                <w:bCs/>
                <w:color w:val="000000"/>
                <w:sz w:val="16"/>
                <w:szCs w:val="16"/>
                <w:lang w:val="en-GB" w:eastAsia="en-GB"/>
              </w:rPr>
              <w:t>-1.3</w:t>
            </w:r>
            <w:r w:rsidR="002F647E" w:rsidRPr="001F3203">
              <w:rPr>
                <w:b/>
                <w:bCs/>
                <w:color w:val="000000"/>
                <w:sz w:val="16"/>
                <w:szCs w:val="16"/>
                <w:lang w:val="en-GB" w:eastAsia="en-GB"/>
              </w:rPr>
              <w:t>:</w:t>
            </w:r>
            <w:r w:rsidR="002F647E" w:rsidRPr="001F3203">
              <w:rPr>
                <w:bCs/>
                <w:color w:val="000000"/>
                <w:sz w:val="16"/>
                <w:szCs w:val="16"/>
                <w:lang w:val="en-GB" w:eastAsia="en-GB"/>
              </w:rPr>
              <w:t xml:space="preserve"> Papua Province Gini Index </w:t>
            </w:r>
          </w:p>
          <w:p w14:paraId="4415F8C5"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Baseline</w:t>
            </w:r>
            <w:r w:rsidR="000C6415" w:rsidRPr="001F3203">
              <w:rPr>
                <w:b/>
                <w:bCs/>
                <w:color w:val="000000"/>
                <w:sz w:val="16"/>
                <w:szCs w:val="16"/>
                <w:lang w:val="en-GB" w:eastAsia="en-GB"/>
              </w:rPr>
              <w:t>(2013)</w:t>
            </w:r>
            <w:r w:rsidRPr="001F3203">
              <w:rPr>
                <w:b/>
                <w:bCs/>
                <w:color w:val="000000"/>
                <w:sz w:val="16"/>
                <w:szCs w:val="16"/>
                <w:lang w:val="en-GB" w:eastAsia="en-GB"/>
              </w:rPr>
              <w:t>:</w:t>
            </w:r>
            <w:r w:rsidRPr="001F3203">
              <w:rPr>
                <w:bCs/>
                <w:color w:val="000000"/>
                <w:sz w:val="16"/>
                <w:szCs w:val="16"/>
                <w:lang w:val="en-GB" w:eastAsia="en-GB"/>
              </w:rPr>
              <w:t xml:space="preserve"> 0.442</w:t>
            </w:r>
          </w:p>
          <w:p w14:paraId="19F56760"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Target:</w:t>
            </w:r>
            <w:r w:rsidRPr="001F3203">
              <w:rPr>
                <w:bCs/>
                <w:color w:val="000000"/>
                <w:sz w:val="16"/>
                <w:szCs w:val="16"/>
                <w:lang w:val="en-GB" w:eastAsia="en-GB"/>
              </w:rPr>
              <w:t xml:space="preserve"> </w:t>
            </w:r>
            <w:r w:rsidR="00276713" w:rsidRPr="001F3203">
              <w:rPr>
                <w:bCs/>
                <w:color w:val="000000"/>
                <w:sz w:val="16"/>
                <w:szCs w:val="16"/>
                <w:lang w:val="en-GB" w:eastAsia="en-GB"/>
              </w:rPr>
              <w:t xml:space="preserve">0.39 </w:t>
            </w:r>
          </w:p>
          <w:p w14:paraId="768B7E20" w14:textId="77777777" w:rsidR="00792704" w:rsidRPr="001F3203" w:rsidRDefault="00792704">
            <w:pPr>
              <w:rPr>
                <w:bCs/>
                <w:color w:val="000000"/>
                <w:sz w:val="16"/>
                <w:szCs w:val="16"/>
                <w:lang w:val="en-GB" w:eastAsia="en-GB"/>
              </w:rPr>
            </w:pPr>
          </w:p>
          <w:p w14:paraId="607290ED"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Indicator</w:t>
            </w:r>
            <w:r w:rsidR="00A34535" w:rsidRPr="001F3203">
              <w:rPr>
                <w:b/>
                <w:bCs/>
                <w:color w:val="000000"/>
                <w:sz w:val="16"/>
                <w:szCs w:val="16"/>
                <w:lang w:val="en-GB" w:eastAsia="en-GB"/>
              </w:rPr>
              <w:t>-1.4</w:t>
            </w:r>
            <w:r w:rsidRPr="001F3203">
              <w:rPr>
                <w:b/>
                <w:bCs/>
                <w:color w:val="000000"/>
                <w:sz w:val="16"/>
                <w:szCs w:val="16"/>
                <w:lang w:val="en-GB" w:eastAsia="en-GB"/>
              </w:rPr>
              <w:t>:</w:t>
            </w:r>
            <w:r w:rsidRPr="001F3203">
              <w:rPr>
                <w:bCs/>
                <w:color w:val="000000"/>
                <w:sz w:val="16"/>
                <w:szCs w:val="16"/>
                <w:lang w:val="en-GB" w:eastAsia="en-GB"/>
              </w:rPr>
              <w:t xml:space="preserve"> </w:t>
            </w:r>
            <w:r w:rsidR="002F647E" w:rsidRPr="001F3203">
              <w:rPr>
                <w:bCs/>
                <w:color w:val="000000"/>
                <w:sz w:val="16"/>
                <w:szCs w:val="16"/>
                <w:lang w:val="en-GB" w:eastAsia="en-GB"/>
              </w:rPr>
              <w:t>West Papua Province Gini Index</w:t>
            </w:r>
          </w:p>
          <w:p w14:paraId="262EC551"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Baseline</w:t>
            </w:r>
            <w:r w:rsidR="000C6415" w:rsidRPr="001F3203">
              <w:rPr>
                <w:b/>
                <w:bCs/>
                <w:color w:val="000000"/>
                <w:sz w:val="16"/>
                <w:szCs w:val="16"/>
                <w:lang w:val="en-GB" w:eastAsia="en-GB"/>
              </w:rPr>
              <w:t>(2013)</w:t>
            </w:r>
            <w:r w:rsidRPr="001F3203">
              <w:rPr>
                <w:b/>
                <w:bCs/>
                <w:color w:val="000000"/>
                <w:sz w:val="16"/>
                <w:szCs w:val="16"/>
                <w:lang w:val="en-GB" w:eastAsia="en-GB"/>
              </w:rPr>
              <w:t>:</w:t>
            </w:r>
            <w:r w:rsidRPr="001F3203">
              <w:rPr>
                <w:bCs/>
                <w:color w:val="000000"/>
                <w:sz w:val="16"/>
                <w:szCs w:val="16"/>
                <w:lang w:val="en-GB" w:eastAsia="en-GB"/>
              </w:rPr>
              <w:t xml:space="preserve"> 0.431</w:t>
            </w:r>
          </w:p>
          <w:p w14:paraId="6B547982" w14:textId="77777777" w:rsidR="00792704" w:rsidRPr="001F3203" w:rsidRDefault="00792704">
            <w:pPr>
              <w:rPr>
                <w:bCs/>
                <w:color w:val="000000"/>
                <w:sz w:val="16"/>
                <w:szCs w:val="16"/>
                <w:lang w:val="en-GB" w:eastAsia="en-GB"/>
              </w:rPr>
            </w:pPr>
            <w:r w:rsidRPr="001F3203">
              <w:rPr>
                <w:b/>
                <w:bCs/>
                <w:color w:val="000000"/>
                <w:sz w:val="16"/>
                <w:szCs w:val="16"/>
                <w:lang w:val="en-GB" w:eastAsia="en-GB"/>
              </w:rPr>
              <w:t>Target:</w:t>
            </w:r>
            <w:r w:rsidRPr="001F3203">
              <w:rPr>
                <w:bCs/>
                <w:color w:val="000000"/>
                <w:sz w:val="16"/>
                <w:szCs w:val="16"/>
                <w:lang w:val="en-GB" w:eastAsia="en-GB"/>
              </w:rPr>
              <w:t xml:space="preserve"> </w:t>
            </w:r>
            <w:r w:rsidR="00276713" w:rsidRPr="001F3203">
              <w:rPr>
                <w:bCs/>
                <w:color w:val="000000"/>
                <w:sz w:val="16"/>
                <w:szCs w:val="16"/>
                <w:lang w:val="en-GB" w:eastAsia="en-GB"/>
              </w:rPr>
              <w:t xml:space="preserve">0.38 </w:t>
            </w:r>
          </w:p>
          <w:p w14:paraId="22C65C33" w14:textId="77777777" w:rsidR="00792704" w:rsidRPr="001F3203" w:rsidRDefault="00792704">
            <w:pPr>
              <w:rPr>
                <w:bCs/>
                <w:color w:val="000000"/>
                <w:sz w:val="16"/>
                <w:szCs w:val="16"/>
                <w:lang w:val="en-GB"/>
              </w:rPr>
            </w:pPr>
          </w:p>
        </w:tc>
        <w:tc>
          <w:tcPr>
            <w:tcW w:w="977" w:type="pct"/>
            <w:tcBorders>
              <w:bottom w:val="single" w:sz="4" w:space="0" w:color="auto"/>
            </w:tcBorders>
          </w:tcPr>
          <w:p w14:paraId="2ECBE0A1" w14:textId="7A956065" w:rsidR="00792704" w:rsidRPr="001F3203" w:rsidRDefault="00792704">
            <w:pPr>
              <w:rPr>
                <w:bCs/>
                <w:color w:val="000000"/>
                <w:sz w:val="16"/>
                <w:szCs w:val="16"/>
                <w:lang w:val="en-GB"/>
              </w:rPr>
            </w:pPr>
            <w:r w:rsidRPr="001F3203">
              <w:rPr>
                <w:iCs/>
                <w:sz w:val="16"/>
                <w:szCs w:val="16"/>
                <w:lang w:val="en-GB" w:eastAsia="en-GB"/>
              </w:rPr>
              <w:t xml:space="preserve">Statistics </w:t>
            </w:r>
            <w:r w:rsidR="00BA4ABD">
              <w:rPr>
                <w:iCs/>
                <w:sz w:val="16"/>
                <w:szCs w:val="16"/>
                <w:lang w:val="en-GB" w:eastAsia="en-GB"/>
              </w:rPr>
              <w:t>Indonesia</w:t>
            </w:r>
            <w:r w:rsidRPr="001F3203">
              <w:rPr>
                <w:iCs/>
                <w:sz w:val="16"/>
                <w:szCs w:val="16"/>
                <w:lang w:val="en-GB" w:eastAsia="en-GB"/>
              </w:rPr>
              <w:t xml:space="preserve"> (BPS).  </w:t>
            </w:r>
          </w:p>
          <w:p w14:paraId="5E753AA2" w14:textId="77777777" w:rsidR="00792704" w:rsidRPr="001F3203" w:rsidRDefault="00792704">
            <w:pPr>
              <w:rPr>
                <w:bCs/>
                <w:color w:val="000000"/>
                <w:sz w:val="16"/>
                <w:szCs w:val="16"/>
                <w:lang w:val="en-GB"/>
              </w:rPr>
            </w:pPr>
          </w:p>
          <w:p w14:paraId="525730E4" w14:textId="77777777" w:rsidR="00792704" w:rsidRPr="001F3203" w:rsidRDefault="00792704">
            <w:pPr>
              <w:rPr>
                <w:b/>
                <w:bCs/>
                <w:color w:val="000000"/>
                <w:sz w:val="16"/>
                <w:szCs w:val="16"/>
                <w:lang w:val="en-GB"/>
              </w:rPr>
            </w:pPr>
          </w:p>
          <w:p w14:paraId="75FB8513" w14:textId="77777777" w:rsidR="00792704" w:rsidRPr="001F3203" w:rsidRDefault="00792704">
            <w:pPr>
              <w:rPr>
                <w:b/>
                <w:bCs/>
                <w:color w:val="000000"/>
                <w:sz w:val="16"/>
                <w:szCs w:val="16"/>
                <w:lang w:val="en-GB"/>
              </w:rPr>
            </w:pPr>
          </w:p>
          <w:p w14:paraId="4D2D1978" w14:textId="77777777" w:rsidR="00792704" w:rsidRPr="001F3203" w:rsidRDefault="00792704">
            <w:pPr>
              <w:rPr>
                <w:b/>
                <w:bCs/>
                <w:color w:val="000000"/>
                <w:sz w:val="16"/>
                <w:szCs w:val="16"/>
                <w:lang w:val="en-GB"/>
              </w:rPr>
            </w:pPr>
          </w:p>
        </w:tc>
        <w:tc>
          <w:tcPr>
            <w:tcW w:w="1300" w:type="pct"/>
            <w:tcBorders>
              <w:bottom w:val="single" w:sz="4" w:space="0" w:color="auto"/>
            </w:tcBorders>
            <w:tcMar>
              <w:top w:w="72" w:type="dxa"/>
              <w:left w:w="144" w:type="dxa"/>
              <w:bottom w:w="72" w:type="dxa"/>
              <w:right w:w="144" w:type="dxa"/>
            </w:tcMar>
          </w:tcPr>
          <w:p w14:paraId="5636FC44" w14:textId="77777777" w:rsidR="00792704" w:rsidRPr="001F3203" w:rsidRDefault="00893BB0">
            <w:pPr>
              <w:tabs>
                <w:tab w:val="left" w:pos="423"/>
              </w:tabs>
              <w:rPr>
                <w:b/>
                <w:iCs/>
                <w:color w:val="000000"/>
                <w:sz w:val="16"/>
                <w:szCs w:val="16"/>
                <w:lang w:eastAsia="en-GB"/>
              </w:rPr>
            </w:pPr>
            <w:r w:rsidRPr="001F3203">
              <w:rPr>
                <w:b/>
                <w:iCs/>
                <w:color w:val="000000"/>
                <w:sz w:val="16"/>
                <w:szCs w:val="16"/>
                <w:lang w:eastAsia="en-GB"/>
              </w:rPr>
              <w:t>1.1-</w:t>
            </w:r>
            <w:r w:rsidR="00792704" w:rsidRPr="001F3203">
              <w:rPr>
                <w:b/>
                <w:iCs/>
                <w:color w:val="000000"/>
                <w:sz w:val="16"/>
                <w:szCs w:val="16"/>
                <w:lang w:eastAsia="en-GB"/>
              </w:rPr>
              <w:t>Local governments and communities have enhanced capacity to design and implement sustainable livelihood programmes</w:t>
            </w:r>
            <w:r w:rsidR="00A3404E">
              <w:rPr>
                <w:b/>
                <w:iCs/>
                <w:color w:val="000000"/>
                <w:sz w:val="16"/>
                <w:szCs w:val="16"/>
                <w:lang w:eastAsia="en-GB"/>
              </w:rPr>
              <w:t>.</w:t>
            </w:r>
          </w:p>
          <w:p w14:paraId="16789738" w14:textId="77777777" w:rsidR="00792704" w:rsidRPr="001F3203" w:rsidRDefault="00792704">
            <w:pPr>
              <w:pStyle w:val="ListParagraph"/>
              <w:ind w:left="405"/>
              <w:rPr>
                <w:iCs/>
                <w:color w:val="000000"/>
                <w:sz w:val="16"/>
                <w:szCs w:val="16"/>
                <w:lang w:eastAsia="en-GB"/>
              </w:rPr>
            </w:pPr>
          </w:p>
          <w:p w14:paraId="2B4E0301" w14:textId="77777777" w:rsidR="00792704" w:rsidRPr="001F3203" w:rsidRDefault="00792704">
            <w:pPr>
              <w:rPr>
                <w:iCs/>
                <w:color w:val="000000"/>
                <w:sz w:val="16"/>
                <w:szCs w:val="16"/>
                <w:lang w:val="en-GB" w:eastAsia="en-GB"/>
              </w:rPr>
            </w:pPr>
            <w:r w:rsidRPr="001F3203">
              <w:rPr>
                <w:b/>
                <w:iCs/>
                <w:color w:val="000000"/>
                <w:sz w:val="16"/>
                <w:szCs w:val="16"/>
                <w:lang w:val="en-GB" w:eastAsia="en-GB"/>
              </w:rPr>
              <w:t>Indicator:</w:t>
            </w:r>
            <w:r w:rsidRPr="001F3203">
              <w:rPr>
                <w:iCs/>
                <w:color w:val="000000"/>
                <w:sz w:val="16"/>
                <w:szCs w:val="16"/>
                <w:lang w:val="en-GB" w:eastAsia="en-GB"/>
              </w:rPr>
              <w:t xml:space="preserve"> # of </w:t>
            </w:r>
            <w:r w:rsidR="00EC2FDA" w:rsidRPr="001F3203">
              <w:rPr>
                <w:iCs/>
                <w:color w:val="000000"/>
                <w:sz w:val="16"/>
                <w:szCs w:val="16"/>
                <w:lang w:val="en-GB" w:eastAsia="en-GB"/>
              </w:rPr>
              <w:t>people</w:t>
            </w:r>
            <w:r w:rsidRPr="001F3203">
              <w:rPr>
                <w:iCs/>
                <w:color w:val="000000"/>
                <w:sz w:val="16"/>
                <w:szCs w:val="16"/>
                <w:lang w:val="en-GB" w:eastAsia="en-GB"/>
              </w:rPr>
              <w:t xml:space="preserve"> with improved incomes through sustainable productive activities</w:t>
            </w:r>
            <w:r w:rsidR="00EC2FDA" w:rsidRPr="001F3203">
              <w:rPr>
                <w:iCs/>
                <w:color w:val="000000"/>
                <w:sz w:val="16"/>
                <w:szCs w:val="16"/>
                <w:lang w:val="en-GB" w:eastAsia="en-GB"/>
              </w:rPr>
              <w:t>, disaggregated by sex</w:t>
            </w:r>
            <w:r w:rsidR="00F608E7" w:rsidRPr="001F3203">
              <w:rPr>
                <w:iCs/>
                <w:color w:val="000000"/>
                <w:sz w:val="16"/>
                <w:szCs w:val="16"/>
                <w:lang w:val="en-GB" w:eastAsia="en-GB"/>
              </w:rPr>
              <w:t xml:space="preserve"> </w:t>
            </w:r>
            <w:r w:rsidR="00EC2FDA" w:rsidRPr="001F3203">
              <w:rPr>
                <w:iCs/>
                <w:color w:val="000000"/>
                <w:sz w:val="16"/>
                <w:szCs w:val="16"/>
                <w:lang w:val="en-GB" w:eastAsia="en-GB"/>
              </w:rPr>
              <w:t>and small landholders</w:t>
            </w:r>
            <w:r w:rsidRPr="001F3203">
              <w:rPr>
                <w:iCs/>
                <w:color w:val="000000"/>
                <w:sz w:val="16"/>
                <w:szCs w:val="16"/>
                <w:lang w:val="en-GB" w:eastAsia="en-GB"/>
              </w:rPr>
              <w:t xml:space="preserve">  </w:t>
            </w:r>
          </w:p>
          <w:p w14:paraId="6AD61806" w14:textId="18B74505" w:rsidR="00792704" w:rsidRPr="001F3203" w:rsidRDefault="00792704">
            <w:pPr>
              <w:rPr>
                <w:iCs/>
                <w:color w:val="000000"/>
                <w:sz w:val="16"/>
                <w:szCs w:val="16"/>
                <w:lang w:val="en-GB" w:eastAsia="en-GB"/>
              </w:rPr>
            </w:pPr>
            <w:r w:rsidRPr="001F3203">
              <w:rPr>
                <w:b/>
                <w:iCs/>
                <w:color w:val="000000"/>
                <w:sz w:val="16"/>
                <w:szCs w:val="16"/>
                <w:lang w:val="en-GB" w:eastAsia="en-GB"/>
              </w:rPr>
              <w:t>Baseline</w:t>
            </w:r>
            <w:r w:rsidR="0056307F">
              <w:rPr>
                <w:b/>
                <w:iCs/>
                <w:color w:val="000000"/>
                <w:sz w:val="16"/>
                <w:szCs w:val="16"/>
                <w:lang w:val="en-GB" w:eastAsia="en-GB"/>
              </w:rPr>
              <w:t xml:space="preserve"> </w:t>
            </w:r>
            <w:r w:rsidR="000C6415" w:rsidRPr="001F3203">
              <w:rPr>
                <w:b/>
                <w:iCs/>
                <w:color w:val="000000"/>
                <w:sz w:val="16"/>
                <w:szCs w:val="16"/>
                <w:lang w:val="en-GB" w:eastAsia="en-GB"/>
              </w:rPr>
              <w:t>(2014)</w:t>
            </w:r>
            <w:r w:rsidRPr="001F3203">
              <w:rPr>
                <w:b/>
                <w:iCs/>
                <w:color w:val="000000"/>
                <w:sz w:val="16"/>
                <w:szCs w:val="16"/>
                <w:lang w:val="en-GB" w:eastAsia="en-GB"/>
              </w:rPr>
              <w:t>:</w:t>
            </w:r>
            <w:r w:rsidRPr="001F3203">
              <w:rPr>
                <w:iCs/>
                <w:color w:val="000000"/>
                <w:sz w:val="16"/>
                <w:szCs w:val="16"/>
                <w:lang w:val="en-GB" w:eastAsia="en-GB"/>
              </w:rPr>
              <w:t xml:space="preserve"> </w:t>
            </w:r>
            <w:r w:rsidR="007D7BBD" w:rsidRPr="001F3203">
              <w:rPr>
                <w:iCs/>
                <w:color w:val="000000"/>
                <w:sz w:val="16"/>
                <w:szCs w:val="16"/>
                <w:lang w:val="en-GB" w:eastAsia="en-GB"/>
              </w:rPr>
              <w:t>800 people (</w:t>
            </w:r>
            <w:r w:rsidR="001C3209" w:rsidRPr="001F3203">
              <w:rPr>
                <w:iCs/>
                <w:color w:val="000000"/>
                <w:sz w:val="16"/>
                <w:szCs w:val="16"/>
                <w:lang w:val="en-GB" w:eastAsia="en-GB"/>
              </w:rPr>
              <w:t xml:space="preserve">694 </w:t>
            </w:r>
            <w:r w:rsidR="00EC2FDA" w:rsidRPr="001F3203">
              <w:rPr>
                <w:iCs/>
                <w:color w:val="000000"/>
                <w:sz w:val="16"/>
                <w:szCs w:val="16"/>
                <w:lang w:val="en-GB" w:eastAsia="en-GB"/>
              </w:rPr>
              <w:t>women</w:t>
            </w:r>
            <w:r w:rsidR="007D7BBD" w:rsidRPr="001F3203">
              <w:rPr>
                <w:iCs/>
                <w:color w:val="000000"/>
                <w:sz w:val="16"/>
                <w:szCs w:val="16"/>
                <w:lang w:val="en-GB" w:eastAsia="en-GB"/>
              </w:rPr>
              <w:t xml:space="preserve">, </w:t>
            </w:r>
            <w:r w:rsidR="001C3209" w:rsidRPr="001F3203">
              <w:rPr>
                <w:iCs/>
                <w:color w:val="000000"/>
                <w:sz w:val="16"/>
                <w:szCs w:val="16"/>
                <w:lang w:val="en-GB" w:eastAsia="en-GB"/>
              </w:rPr>
              <w:t xml:space="preserve">132 </w:t>
            </w:r>
            <w:r w:rsidR="00EC2FDA" w:rsidRPr="001F3203">
              <w:rPr>
                <w:iCs/>
                <w:color w:val="000000"/>
                <w:sz w:val="16"/>
                <w:szCs w:val="16"/>
                <w:lang w:val="en-GB" w:eastAsia="en-GB"/>
              </w:rPr>
              <w:t>men</w:t>
            </w:r>
            <w:r w:rsidR="007D7BBD" w:rsidRPr="001F3203">
              <w:rPr>
                <w:iCs/>
                <w:color w:val="000000"/>
                <w:sz w:val="16"/>
                <w:szCs w:val="16"/>
                <w:lang w:val="en-GB" w:eastAsia="en-GB"/>
              </w:rPr>
              <w:t xml:space="preserve">, </w:t>
            </w:r>
            <w:r w:rsidRPr="001F3203">
              <w:rPr>
                <w:iCs/>
                <w:color w:val="000000"/>
                <w:sz w:val="16"/>
                <w:szCs w:val="16"/>
                <w:lang w:val="en-GB" w:eastAsia="en-GB"/>
              </w:rPr>
              <w:t xml:space="preserve">0 </w:t>
            </w:r>
            <w:r w:rsidR="002D51FD" w:rsidRPr="001F3203">
              <w:rPr>
                <w:iCs/>
                <w:color w:val="000000"/>
                <w:sz w:val="16"/>
                <w:szCs w:val="16"/>
                <w:lang w:val="en-GB" w:eastAsia="en-GB"/>
              </w:rPr>
              <w:t>small</w:t>
            </w:r>
            <w:r w:rsidRPr="001F3203">
              <w:rPr>
                <w:iCs/>
                <w:color w:val="000000"/>
                <w:sz w:val="16"/>
                <w:szCs w:val="16"/>
                <w:lang w:val="en-GB" w:eastAsia="en-GB"/>
              </w:rPr>
              <w:t>holders</w:t>
            </w:r>
            <w:r w:rsidR="007D7BBD" w:rsidRPr="001F3203">
              <w:rPr>
                <w:iCs/>
                <w:color w:val="000000"/>
                <w:sz w:val="16"/>
                <w:szCs w:val="16"/>
                <w:lang w:val="en-GB" w:eastAsia="en-GB"/>
              </w:rPr>
              <w:t>)</w:t>
            </w:r>
            <w:r w:rsidRPr="001F3203">
              <w:rPr>
                <w:iCs/>
                <w:color w:val="000000"/>
                <w:sz w:val="16"/>
                <w:szCs w:val="16"/>
                <w:lang w:val="en-GB" w:eastAsia="en-GB"/>
              </w:rPr>
              <w:t xml:space="preserve">. </w:t>
            </w:r>
          </w:p>
          <w:p w14:paraId="32649624" w14:textId="73A74148" w:rsidR="00792704" w:rsidRPr="001F3203" w:rsidRDefault="00792704">
            <w:pPr>
              <w:rPr>
                <w:iCs/>
                <w:color w:val="000000"/>
                <w:sz w:val="16"/>
                <w:szCs w:val="16"/>
                <w:lang w:val="en-GB" w:eastAsia="en-GB"/>
              </w:rPr>
            </w:pPr>
            <w:r w:rsidRPr="001F3203">
              <w:rPr>
                <w:b/>
                <w:iCs/>
                <w:color w:val="000000"/>
                <w:sz w:val="16"/>
                <w:szCs w:val="16"/>
                <w:lang w:val="en-GB" w:eastAsia="en-GB"/>
              </w:rPr>
              <w:t>Target:</w:t>
            </w:r>
            <w:r w:rsidRPr="001F3203">
              <w:rPr>
                <w:iCs/>
                <w:color w:val="000000"/>
                <w:sz w:val="16"/>
                <w:szCs w:val="16"/>
                <w:lang w:val="en-GB" w:eastAsia="en-GB"/>
              </w:rPr>
              <w:t xml:space="preserve"> </w:t>
            </w:r>
            <w:r w:rsidR="007D7BBD" w:rsidRPr="001F3203">
              <w:rPr>
                <w:iCs/>
                <w:color w:val="000000"/>
                <w:sz w:val="16"/>
                <w:szCs w:val="16"/>
                <w:lang w:val="en-GB" w:eastAsia="en-GB"/>
              </w:rPr>
              <w:t>36,000 people (14</w:t>
            </w:r>
            <w:r w:rsidRPr="001F3203">
              <w:rPr>
                <w:iCs/>
                <w:color w:val="000000"/>
                <w:sz w:val="16"/>
                <w:szCs w:val="16"/>
                <w:lang w:val="en-GB" w:eastAsia="en-GB"/>
              </w:rPr>
              <w:t>,000 women</w:t>
            </w:r>
            <w:r w:rsidR="007D7BBD" w:rsidRPr="001F3203">
              <w:rPr>
                <w:iCs/>
                <w:color w:val="000000"/>
                <w:sz w:val="16"/>
                <w:szCs w:val="16"/>
                <w:lang w:val="en-GB" w:eastAsia="en-GB"/>
              </w:rPr>
              <w:t>, 22</w:t>
            </w:r>
            <w:r w:rsidRPr="001F3203">
              <w:rPr>
                <w:iCs/>
                <w:color w:val="000000"/>
                <w:sz w:val="16"/>
                <w:szCs w:val="16"/>
                <w:lang w:val="en-GB" w:eastAsia="en-GB"/>
              </w:rPr>
              <w:t>,000 men</w:t>
            </w:r>
            <w:r w:rsidR="007878A5" w:rsidRPr="001F3203">
              <w:rPr>
                <w:iCs/>
                <w:color w:val="000000"/>
                <w:sz w:val="16"/>
                <w:szCs w:val="16"/>
                <w:lang w:val="en-GB" w:eastAsia="en-GB"/>
              </w:rPr>
              <w:t>;</w:t>
            </w:r>
            <w:r w:rsidR="007D7BBD" w:rsidRPr="001F3203">
              <w:rPr>
                <w:iCs/>
                <w:color w:val="000000"/>
                <w:sz w:val="16"/>
                <w:szCs w:val="16"/>
                <w:lang w:val="en-GB" w:eastAsia="en-GB"/>
              </w:rPr>
              <w:t xml:space="preserve"> </w:t>
            </w:r>
            <w:r w:rsidRPr="001F3203">
              <w:rPr>
                <w:iCs/>
                <w:color w:val="000000"/>
                <w:sz w:val="16"/>
                <w:szCs w:val="16"/>
                <w:lang w:val="en-GB" w:eastAsia="en-GB"/>
              </w:rPr>
              <w:t>20,000 smallholders</w:t>
            </w:r>
            <w:r w:rsidR="007D7BBD" w:rsidRPr="001F3203">
              <w:rPr>
                <w:iCs/>
                <w:color w:val="000000"/>
                <w:sz w:val="16"/>
                <w:szCs w:val="16"/>
                <w:lang w:val="en-GB" w:eastAsia="en-GB"/>
              </w:rPr>
              <w:t xml:space="preserve"> and 16,000 </w:t>
            </w:r>
            <w:r w:rsidR="00A3404E">
              <w:rPr>
                <w:iCs/>
                <w:color w:val="000000"/>
                <w:sz w:val="16"/>
                <w:szCs w:val="16"/>
                <w:lang w:val="en-GB" w:eastAsia="en-GB"/>
              </w:rPr>
              <w:t xml:space="preserve">small and </w:t>
            </w:r>
            <w:r w:rsidR="007E3A32">
              <w:rPr>
                <w:iCs/>
                <w:color w:val="000000"/>
                <w:sz w:val="16"/>
                <w:szCs w:val="16"/>
                <w:lang w:val="en-GB" w:eastAsia="en-GB"/>
              </w:rPr>
              <w:t>medium</w:t>
            </w:r>
            <w:r w:rsidR="00A3404E">
              <w:rPr>
                <w:iCs/>
                <w:color w:val="000000"/>
                <w:sz w:val="16"/>
                <w:szCs w:val="16"/>
                <w:lang w:val="en-GB" w:eastAsia="en-GB"/>
              </w:rPr>
              <w:t xml:space="preserve"> enterprise</w:t>
            </w:r>
            <w:r w:rsidR="00A3404E" w:rsidRPr="001F3203">
              <w:rPr>
                <w:iCs/>
                <w:color w:val="000000"/>
                <w:sz w:val="16"/>
                <w:szCs w:val="16"/>
                <w:lang w:val="en-GB" w:eastAsia="en-GB"/>
              </w:rPr>
              <w:t>s</w:t>
            </w:r>
            <w:r w:rsidR="00A3404E">
              <w:rPr>
                <w:iCs/>
                <w:color w:val="000000"/>
                <w:sz w:val="16"/>
                <w:szCs w:val="16"/>
                <w:lang w:val="en-GB" w:eastAsia="en-GB"/>
              </w:rPr>
              <w:t xml:space="preserve"> </w:t>
            </w:r>
            <w:r w:rsidRPr="001F3203">
              <w:rPr>
                <w:iCs/>
                <w:color w:val="000000"/>
                <w:sz w:val="16"/>
                <w:szCs w:val="16"/>
                <w:lang w:val="en-GB" w:eastAsia="en-GB"/>
              </w:rPr>
              <w:t xml:space="preserve">  </w:t>
            </w:r>
          </w:p>
          <w:p w14:paraId="57E0B593" w14:textId="77777777" w:rsidR="00792704" w:rsidRPr="001F3203" w:rsidRDefault="00F17F62">
            <w:pPr>
              <w:rPr>
                <w:iCs/>
                <w:color w:val="000000"/>
                <w:sz w:val="16"/>
                <w:szCs w:val="16"/>
                <w:lang w:val="en-GB" w:eastAsia="en-GB"/>
              </w:rPr>
            </w:pPr>
            <w:r w:rsidRPr="001F3203">
              <w:rPr>
                <w:b/>
                <w:iCs/>
                <w:color w:val="000000"/>
                <w:sz w:val="16"/>
                <w:szCs w:val="16"/>
                <w:lang w:val="en-GB" w:eastAsia="en-GB"/>
              </w:rPr>
              <w:t>Source</w:t>
            </w:r>
            <w:r w:rsidR="00887B53" w:rsidRPr="001F3203">
              <w:rPr>
                <w:b/>
                <w:iCs/>
                <w:color w:val="000000"/>
                <w:sz w:val="16"/>
                <w:szCs w:val="16"/>
                <w:lang w:val="en-GB" w:eastAsia="en-GB"/>
              </w:rPr>
              <w:t>:</w:t>
            </w:r>
            <w:r w:rsidR="00887B53" w:rsidRPr="001F3203">
              <w:rPr>
                <w:iCs/>
                <w:color w:val="000000"/>
                <w:sz w:val="16"/>
                <w:szCs w:val="16"/>
                <w:lang w:val="en-GB" w:eastAsia="en-GB"/>
              </w:rPr>
              <w:t xml:space="preserve"> </w:t>
            </w:r>
            <w:r w:rsidR="007D7BBD" w:rsidRPr="001F3203">
              <w:rPr>
                <w:iCs/>
                <w:color w:val="000000"/>
                <w:sz w:val="16"/>
                <w:szCs w:val="16"/>
                <w:lang w:val="en-GB" w:eastAsia="en-GB"/>
              </w:rPr>
              <w:t xml:space="preserve">Monitoring </w:t>
            </w:r>
            <w:r w:rsidR="00887B53" w:rsidRPr="001F3203">
              <w:rPr>
                <w:iCs/>
                <w:color w:val="000000"/>
                <w:sz w:val="16"/>
                <w:szCs w:val="16"/>
                <w:lang w:val="en-GB" w:eastAsia="en-GB"/>
              </w:rPr>
              <w:t>reports</w:t>
            </w:r>
            <w:r w:rsidR="007D7BBD" w:rsidRPr="001F3203">
              <w:rPr>
                <w:iCs/>
                <w:color w:val="000000"/>
                <w:sz w:val="16"/>
                <w:szCs w:val="16"/>
                <w:lang w:val="en-GB" w:eastAsia="en-GB"/>
              </w:rPr>
              <w:t>.</w:t>
            </w:r>
          </w:p>
          <w:p w14:paraId="62A2A1B7" w14:textId="77777777" w:rsidR="00792704" w:rsidRPr="001F3203" w:rsidRDefault="00792704">
            <w:pPr>
              <w:rPr>
                <w:iCs/>
                <w:color w:val="000000"/>
                <w:sz w:val="16"/>
                <w:szCs w:val="16"/>
                <w:lang w:eastAsia="en-GB"/>
              </w:rPr>
            </w:pPr>
          </w:p>
          <w:p w14:paraId="1422D71B" w14:textId="77777777" w:rsidR="00792704" w:rsidRPr="001F3203" w:rsidRDefault="00792704">
            <w:pPr>
              <w:rPr>
                <w:iCs/>
                <w:color w:val="000000"/>
                <w:sz w:val="16"/>
                <w:szCs w:val="16"/>
                <w:lang w:val="en-GB" w:eastAsia="en-GB"/>
              </w:rPr>
            </w:pPr>
            <w:r w:rsidRPr="001F3203">
              <w:rPr>
                <w:b/>
                <w:iCs/>
                <w:color w:val="000000"/>
                <w:sz w:val="16"/>
                <w:szCs w:val="16"/>
                <w:lang w:val="en-GB" w:eastAsia="en-GB"/>
              </w:rPr>
              <w:t>Indicator</w:t>
            </w:r>
            <w:r w:rsidR="00F7127B" w:rsidRPr="001F3203">
              <w:rPr>
                <w:b/>
                <w:iCs/>
                <w:color w:val="000000"/>
                <w:sz w:val="16"/>
                <w:szCs w:val="16"/>
                <w:lang w:val="en-GB" w:eastAsia="en-GB"/>
              </w:rPr>
              <w:t>:</w:t>
            </w:r>
            <w:r w:rsidR="00F7127B" w:rsidRPr="001F3203">
              <w:rPr>
                <w:iCs/>
                <w:color w:val="000000"/>
                <w:sz w:val="16"/>
                <w:szCs w:val="16"/>
                <w:lang w:val="en-GB" w:eastAsia="en-GB"/>
              </w:rPr>
              <w:t xml:space="preserve"> # local</w:t>
            </w:r>
            <w:r w:rsidR="001C3209" w:rsidRPr="001F3203">
              <w:rPr>
                <w:iCs/>
                <w:color w:val="000000"/>
                <w:sz w:val="16"/>
                <w:szCs w:val="16"/>
                <w:lang w:val="en-GB" w:eastAsia="en-GB"/>
              </w:rPr>
              <w:t xml:space="preserve"> </w:t>
            </w:r>
            <w:r w:rsidRPr="001F3203">
              <w:rPr>
                <w:iCs/>
                <w:color w:val="000000"/>
                <w:sz w:val="16"/>
                <w:szCs w:val="16"/>
                <w:lang w:val="en-GB" w:eastAsia="en-GB"/>
              </w:rPr>
              <w:t>governments in targeted regions that have established local economic development agencies or programmes to foster growth, increase access to credit and support farmers</w:t>
            </w:r>
            <w:r w:rsidR="00887B53" w:rsidRPr="001F3203">
              <w:rPr>
                <w:iCs/>
                <w:color w:val="000000"/>
                <w:sz w:val="16"/>
                <w:szCs w:val="16"/>
                <w:lang w:val="en-GB" w:eastAsia="en-GB"/>
              </w:rPr>
              <w:t>/</w:t>
            </w:r>
            <w:r w:rsidRPr="001F3203">
              <w:rPr>
                <w:iCs/>
                <w:color w:val="000000"/>
                <w:sz w:val="16"/>
                <w:szCs w:val="16"/>
                <w:lang w:val="en-GB" w:eastAsia="en-GB"/>
              </w:rPr>
              <w:t xml:space="preserve">small entrepreneurs. </w:t>
            </w:r>
          </w:p>
          <w:p w14:paraId="17A2D052" w14:textId="77777777" w:rsidR="00792704" w:rsidRPr="001F3203" w:rsidRDefault="00887B53">
            <w:pPr>
              <w:rPr>
                <w:iCs/>
                <w:color w:val="000000"/>
                <w:sz w:val="16"/>
                <w:szCs w:val="16"/>
                <w:lang w:val="en-GB" w:eastAsia="en-GB"/>
              </w:rPr>
            </w:pPr>
            <w:r w:rsidRPr="001F3203">
              <w:rPr>
                <w:b/>
                <w:iCs/>
                <w:color w:val="000000"/>
                <w:sz w:val="16"/>
                <w:szCs w:val="16"/>
                <w:lang w:val="en-GB" w:eastAsia="en-GB"/>
              </w:rPr>
              <w:t>Baseline</w:t>
            </w:r>
            <w:r w:rsidR="000C6415" w:rsidRPr="001F3203">
              <w:rPr>
                <w:b/>
                <w:iCs/>
                <w:color w:val="000000"/>
                <w:sz w:val="16"/>
                <w:szCs w:val="16"/>
                <w:lang w:val="en-GB" w:eastAsia="en-GB"/>
              </w:rPr>
              <w:t>(2014)</w:t>
            </w:r>
            <w:r w:rsidRPr="001F3203">
              <w:rPr>
                <w:b/>
                <w:iCs/>
                <w:color w:val="000000"/>
                <w:sz w:val="16"/>
                <w:szCs w:val="16"/>
                <w:lang w:val="en-GB" w:eastAsia="en-GB"/>
              </w:rPr>
              <w:t>:</w:t>
            </w:r>
            <w:r w:rsidRPr="001F3203">
              <w:rPr>
                <w:iCs/>
                <w:color w:val="000000"/>
                <w:sz w:val="16"/>
                <w:szCs w:val="16"/>
                <w:lang w:val="en-GB" w:eastAsia="en-GB"/>
              </w:rPr>
              <w:t xml:space="preserve"> </w:t>
            </w:r>
            <w:r w:rsidR="001C3209" w:rsidRPr="001F3203">
              <w:rPr>
                <w:iCs/>
                <w:color w:val="000000"/>
                <w:sz w:val="16"/>
                <w:szCs w:val="16"/>
                <w:lang w:val="en-GB" w:eastAsia="en-GB"/>
              </w:rPr>
              <w:t>0</w:t>
            </w:r>
          </w:p>
          <w:p w14:paraId="5C1EA564" w14:textId="77777777" w:rsidR="00792704" w:rsidRPr="001F3203" w:rsidRDefault="00792704">
            <w:pPr>
              <w:rPr>
                <w:iCs/>
                <w:color w:val="000000"/>
                <w:sz w:val="16"/>
                <w:szCs w:val="16"/>
                <w:lang w:val="en-GB" w:eastAsia="en-GB"/>
              </w:rPr>
            </w:pPr>
            <w:r w:rsidRPr="001F3203">
              <w:rPr>
                <w:b/>
                <w:iCs/>
                <w:color w:val="000000"/>
                <w:sz w:val="16"/>
                <w:szCs w:val="16"/>
                <w:lang w:val="en-GB" w:eastAsia="en-GB"/>
              </w:rPr>
              <w:t>Target:</w:t>
            </w:r>
            <w:r w:rsidRPr="001F3203">
              <w:rPr>
                <w:iCs/>
                <w:color w:val="000000"/>
                <w:sz w:val="16"/>
                <w:szCs w:val="16"/>
                <w:lang w:val="en-GB" w:eastAsia="en-GB"/>
              </w:rPr>
              <w:t xml:space="preserve"> </w:t>
            </w:r>
            <w:r w:rsidR="001C3209" w:rsidRPr="001F3203">
              <w:rPr>
                <w:iCs/>
                <w:color w:val="000000"/>
                <w:sz w:val="16"/>
                <w:szCs w:val="16"/>
                <w:lang w:val="en-GB" w:eastAsia="en-GB"/>
              </w:rPr>
              <w:t>5</w:t>
            </w:r>
          </w:p>
          <w:p w14:paraId="1EBBD1BC" w14:textId="77777777" w:rsidR="00792704" w:rsidRPr="001F3203" w:rsidRDefault="000E3E2E">
            <w:pPr>
              <w:rPr>
                <w:iCs/>
                <w:color w:val="000000"/>
                <w:sz w:val="16"/>
                <w:szCs w:val="16"/>
                <w:lang w:val="en-GB" w:eastAsia="en-GB"/>
              </w:rPr>
            </w:pPr>
            <w:r w:rsidRPr="001F3203">
              <w:rPr>
                <w:b/>
                <w:iCs/>
                <w:color w:val="000000"/>
                <w:sz w:val="16"/>
                <w:szCs w:val="16"/>
                <w:lang w:val="en-GB" w:eastAsia="en-GB"/>
              </w:rPr>
              <w:t>Source:</w:t>
            </w:r>
            <w:r w:rsidRPr="001F3203">
              <w:rPr>
                <w:iCs/>
                <w:color w:val="000000"/>
                <w:sz w:val="16"/>
                <w:szCs w:val="16"/>
                <w:lang w:val="en-GB" w:eastAsia="en-GB"/>
              </w:rPr>
              <w:t xml:space="preserve"> Monitoring reports</w:t>
            </w:r>
            <w:r w:rsidR="007D7BBD" w:rsidRPr="001F3203">
              <w:rPr>
                <w:iCs/>
                <w:color w:val="000000"/>
                <w:sz w:val="16"/>
                <w:szCs w:val="16"/>
                <w:lang w:val="en-GB" w:eastAsia="en-GB"/>
              </w:rPr>
              <w:t>.</w:t>
            </w:r>
          </w:p>
        </w:tc>
        <w:tc>
          <w:tcPr>
            <w:tcW w:w="1079" w:type="pct"/>
            <w:tcBorders>
              <w:bottom w:val="single" w:sz="4" w:space="0" w:color="auto"/>
            </w:tcBorders>
          </w:tcPr>
          <w:p w14:paraId="2669DC0F" w14:textId="77777777" w:rsidR="00792704" w:rsidRPr="001F3203" w:rsidRDefault="00792704">
            <w:pPr>
              <w:spacing w:after="120"/>
              <w:rPr>
                <w:iCs/>
                <w:color w:val="000000"/>
                <w:sz w:val="16"/>
                <w:szCs w:val="16"/>
                <w:lang w:val="en-GB"/>
              </w:rPr>
            </w:pPr>
            <w:r w:rsidRPr="001F3203">
              <w:rPr>
                <w:iCs/>
                <w:color w:val="000000"/>
                <w:sz w:val="16"/>
                <w:szCs w:val="16"/>
                <w:lang w:val="en-GB"/>
              </w:rPr>
              <w:t>BAPPENAS</w:t>
            </w:r>
          </w:p>
          <w:p w14:paraId="462BFF38" w14:textId="77777777" w:rsidR="00792704" w:rsidRPr="001F3203" w:rsidRDefault="00792704">
            <w:pPr>
              <w:spacing w:after="120"/>
              <w:rPr>
                <w:iCs/>
                <w:color w:val="000000"/>
                <w:sz w:val="16"/>
                <w:szCs w:val="16"/>
                <w:lang w:val="en-GB"/>
              </w:rPr>
            </w:pPr>
            <w:r w:rsidRPr="001F3203">
              <w:rPr>
                <w:iCs/>
                <w:color w:val="000000"/>
                <w:sz w:val="16"/>
                <w:szCs w:val="16"/>
                <w:lang w:val="en-GB"/>
              </w:rPr>
              <w:t xml:space="preserve">Ministries of </w:t>
            </w:r>
            <w:r w:rsidRPr="001F3203">
              <w:rPr>
                <w:sz w:val="16"/>
                <w:szCs w:val="16"/>
              </w:rPr>
              <w:t xml:space="preserve">Village, Disadvantaged Regions and Transmigration; </w:t>
            </w:r>
            <w:r w:rsidRPr="001F3203">
              <w:rPr>
                <w:iCs/>
                <w:color w:val="000000"/>
                <w:sz w:val="16"/>
                <w:szCs w:val="16"/>
                <w:lang w:val="en-GB"/>
              </w:rPr>
              <w:t>Home Affairs; Agriculture, Environment</w:t>
            </w:r>
            <w:r w:rsidR="00F7127B" w:rsidRPr="001F3203">
              <w:rPr>
                <w:iCs/>
                <w:color w:val="000000"/>
                <w:sz w:val="16"/>
                <w:szCs w:val="16"/>
                <w:lang w:val="en-GB"/>
              </w:rPr>
              <w:t>/</w:t>
            </w:r>
            <w:r w:rsidRPr="001F3203">
              <w:rPr>
                <w:iCs/>
                <w:color w:val="000000"/>
                <w:sz w:val="16"/>
                <w:szCs w:val="16"/>
                <w:lang w:val="en-GB"/>
              </w:rPr>
              <w:t>Forestry</w:t>
            </w:r>
          </w:p>
          <w:p w14:paraId="20EAE408" w14:textId="4D416FC5" w:rsidR="00792704" w:rsidRPr="001F3203" w:rsidRDefault="00792704">
            <w:pPr>
              <w:spacing w:after="120"/>
              <w:rPr>
                <w:iCs/>
                <w:color w:val="000000"/>
                <w:sz w:val="16"/>
                <w:szCs w:val="16"/>
                <w:lang w:val="en-GB"/>
              </w:rPr>
            </w:pPr>
            <w:r w:rsidRPr="001F3203">
              <w:rPr>
                <w:iCs/>
                <w:color w:val="000000"/>
                <w:sz w:val="16"/>
                <w:szCs w:val="16"/>
                <w:lang w:val="en-GB"/>
              </w:rPr>
              <w:t xml:space="preserve">Relevant </w:t>
            </w:r>
            <w:r w:rsidR="00A3404E">
              <w:rPr>
                <w:iCs/>
                <w:color w:val="000000"/>
                <w:sz w:val="16"/>
                <w:szCs w:val="16"/>
                <w:lang w:val="en-GB"/>
              </w:rPr>
              <w:t>p</w:t>
            </w:r>
            <w:r w:rsidR="00A3404E" w:rsidRPr="001F3203">
              <w:rPr>
                <w:iCs/>
                <w:color w:val="000000"/>
                <w:sz w:val="16"/>
                <w:szCs w:val="16"/>
                <w:lang w:val="en-GB"/>
              </w:rPr>
              <w:t xml:space="preserve">rovincial </w:t>
            </w:r>
            <w:r w:rsidRPr="001F3203">
              <w:rPr>
                <w:iCs/>
                <w:color w:val="000000"/>
                <w:sz w:val="16"/>
                <w:szCs w:val="16"/>
                <w:lang w:val="en-GB"/>
              </w:rPr>
              <w:t xml:space="preserve">and </w:t>
            </w:r>
            <w:r w:rsidR="00A3404E">
              <w:rPr>
                <w:iCs/>
                <w:color w:val="000000"/>
                <w:sz w:val="16"/>
                <w:szCs w:val="16"/>
                <w:lang w:val="en-GB"/>
              </w:rPr>
              <w:t>d</w:t>
            </w:r>
            <w:r w:rsidR="00A3404E" w:rsidRPr="001F3203">
              <w:rPr>
                <w:iCs/>
                <w:color w:val="000000"/>
                <w:sz w:val="16"/>
                <w:szCs w:val="16"/>
                <w:lang w:val="en-GB"/>
              </w:rPr>
              <w:t xml:space="preserve">istrict </w:t>
            </w:r>
            <w:r w:rsidR="00A3404E">
              <w:rPr>
                <w:iCs/>
                <w:color w:val="000000"/>
                <w:sz w:val="16"/>
                <w:szCs w:val="16"/>
                <w:lang w:val="en-GB"/>
              </w:rPr>
              <w:t>g</w:t>
            </w:r>
            <w:r w:rsidR="00A3404E" w:rsidRPr="001F3203">
              <w:rPr>
                <w:iCs/>
                <w:color w:val="000000"/>
                <w:sz w:val="16"/>
                <w:szCs w:val="16"/>
                <w:lang w:val="en-GB"/>
              </w:rPr>
              <w:t xml:space="preserve">overnments </w:t>
            </w:r>
          </w:p>
          <w:p w14:paraId="6E3AD4D4" w14:textId="6269C343" w:rsidR="00792704" w:rsidRPr="001F3203" w:rsidRDefault="00792704">
            <w:pPr>
              <w:spacing w:after="120"/>
              <w:rPr>
                <w:iCs/>
                <w:color w:val="000000"/>
                <w:sz w:val="16"/>
                <w:szCs w:val="16"/>
                <w:lang w:val="en-GB"/>
              </w:rPr>
            </w:pPr>
            <w:r w:rsidRPr="001F3203">
              <w:rPr>
                <w:iCs/>
                <w:color w:val="000000"/>
                <w:sz w:val="16"/>
                <w:szCs w:val="16"/>
                <w:lang w:val="en-GB"/>
              </w:rPr>
              <w:t>U</w:t>
            </w:r>
            <w:r w:rsidR="00A3404E">
              <w:rPr>
                <w:iCs/>
                <w:color w:val="000000"/>
                <w:sz w:val="16"/>
                <w:szCs w:val="16"/>
                <w:lang w:val="en-GB"/>
              </w:rPr>
              <w:t xml:space="preserve">nited </w:t>
            </w:r>
            <w:r w:rsidRPr="001F3203">
              <w:rPr>
                <w:iCs/>
                <w:color w:val="000000"/>
                <w:sz w:val="16"/>
                <w:szCs w:val="16"/>
                <w:lang w:val="en-GB"/>
              </w:rPr>
              <w:t>N</w:t>
            </w:r>
            <w:r w:rsidR="00A3404E">
              <w:rPr>
                <w:iCs/>
                <w:color w:val="000000"/>
                <w:sz w:val="16"/>
                <w:szCs w:val="16"/>
                <w:lang w:val="en-GB"/>
              </w:rPr>
              <w:t>ations</w:t>
            </w:r>
            <w:r w:rsidRPr="001F3203">
              <w:rPr>
                <w:iCs/>
                <w:color w:val="000000"/>
                <w:sz w:val="16"/>
                <w:szCs w:val="16"/>
                <w:lang w:val="en-GB"/>
              </w:rPr>
              <w:t xml:space="preserve"> </w:t>
            </w:r>
            <w:r w:rsidR="00A3404E">
              <w:rPr>
                <w:iCs/>
                <w:color w:val="000000"/>
                <w:sz w:val="16"/>
                <w:szCs w:val="16"/>
                <w:lang w:val="en-GB"/>
              </w:rPr>
              <w:t>a</w:t>
            </w:r>
            <w:r w:rsidR="00A3404E" w:rsidRPr="001F3203">
              <w:rPr>
                <w:iCs/>
                <w:color w:val="000000"/>
                <w:sz w:val="16"/>
                <w:szCs w:val="16"/>
                <w:lang w:val="en-GB"/>
              </w:rPr>
              <w:t>gencies</w:t>
            </w:r>
          </w:p>
          <w:p w14:paraId="6203C59F" w14:textId="77777777" w:rsidR="00792704" w:rsidRPr="001F3203" w:rsidRDefault="00792704">
            <w:pPr>
              <w:spacing w:after="120"/>
              <w:rPr>
                <w:iCs/>
                <w:color w:val="000000"/>
                <w:sz w:val="16"/>
                <w:szCs w:val="16"/>
                <w:lang w:val="en-GB"/>
              </w:rPr>
            </w:pPr>
            <w:r w:rsidRPr="001F3203">
              <w:rPr>
                <w:iCs/>
                <w:color w:val="000000"/>
                <w:sz w:val="16"/>
                <w:szCs w:val="16"/>
                <w:lang w:val="en-GB"/>
              </w:rPr>
              <w:t>CSOs</w:t>
            </w:r>
          </w:p>
          <w:p w14:paraId="45C1414C" w14:textId="77777777" w:rsidR="00792704" w:rsidRPr="001F3203" w:rsidRDefault="00792704">
            <w:pPr>
              <w:spacing w:after="120"/>
              <w:rPr>
                <w:iCs/>
                <w:color w:val="000000"/>
                <w:sz w:val="16"/>
                <w:szCs w:val="16"/>
                <w:lang w:val="en-GB"/>
              </w:rPr>
            </w:pPr>
            <w:r w:rsidRPr="001F3203">
              <w:rPr>
                <w:iCs/>
                <w:color w:val="000000"/>
                <w:sz w:val="16"/>
                <w:szCs w:val="16"/>
                <w:lang w:val="en-GB"/>
              </w:rPr>
              <w:t>Development partners</w:t>
            </w:r>
          </w:p>
        </w:tc>
        <w:tc>
          <w:tcPr>
            <w:tcW w:w="589" w:type="pct"/>
            <w:tcBorders>
              <w:bottom w:val="single" w:sz="4" w:space="0" w:color="auto"/>
            </w:tcBorders>
            <w:tcMar>
              <w:top w:w="15" w:type="dxa"/>
              <w:left w:w="108" w:type="dxa"/>
              <w:bottom w:w="0" w:type="dxa"/>
              <w:right w:w="108" w:type="dxa"/>
            </w:tcMar>
          </w:tcPr>
          <w:p w14:paraId="21F2E6F7" w14:textId="77777777" w:rsidR="00792704" w:rsidRPr="001F3203" w:rsidRDefault="00792704">
            <w:pPr>
              <w:rPr>
                <w:b/>
                <w:color w:val="000000"/>
                <w:sz w:val="16"/>
                <w:szCs w:val="16"/>
              </w:rPr>
            </w:pPr>
            <w:r w:rsidRPr="001F3203">
              <w:rPr>
                <w:b/>
                <w:color w:val="000000"/>
                <w:sz w:val="16"/>
                <w:szCs w:val="16"/>
              </w:rPr>
              <w:t xml:space="preserve">Regular: </w:t>
            </w:r>
          </w:p>
          <w:p w14:paraId="7E9349D9" w14:textId="77777777" w:rsidR="00792704" w:rsidRPr="001F3203" w:rsidRDefault="006F55C6">
            <w:pPr>
              <w:rPr>
                <w:b/>
                <w:color w:val="000000"/>
                <w:sz w:val="16"/>
                <w:szCs w:val="16"/>
              </w:rPr>
            </w:pPr>
            <w:r>
              <w:rPr>
                <w:b/>
                <w:color w:val="000000"/>
                <w:sz w:val="16"/>
                <w:szCs w:val="16"/>
              </w:rPr>
              <w:t>1</w:t>
            </w:r>
            <w:r w:rsidR="00792704" w:rsidRPr="001F3203">
              <w:rPr>
                <w:b/>
                <w:color w:val="000000"/>
                <w:sz w:val="16"/>
                <w:szCs w:val="16"/>
              </w:rPr>
              <w:t>,0</w:t>
            </w:r>
            <w:r>
              <w:rPr>
                <w:b/>
                <w:color w:val="000000"/>
                <w:sz w:val="16"/>
                <w:szCs w:val="16"/>
              </w:rPr>
              <w:t>72</w:t>
            </w:r>
            <w:r w:rsidR="00792704" w:rsidRPr="001F3203">
              <w:rPr>
                <w:b/>
                <w:color w:val="000000"/>
                <w:sz w:val="16"/>
                <w:szCs w:val="16"/>
              </w:rPr>
              <w:t>,</w:t>
            </w:r>
            <w:r>
              <w:rPr>
                <w:b/>
                <w:color w:val="000000"/>
                <w:sz w:val="16"/>
                <w:szCs w:val="16"/>
              </w:rPr>
              <w:t>0</w:t>
            </w:r>
            <w:r w:rsidR="00792704" w:rsidRPr="001F3203">
              <w:rPr>
                <w:b/>
                <w:color w:val="000000"/>
                <w:sz w:val="16"/>
                <w:szCs w:val="16"/>
              </w:rPr>
              <w:t>00</w:t>
            </w:r>
          </w:p>
          <w:p w14:paraId="73850BE8" w14:textId="77777777" w:rsidR="00792704" w:rsidRPr="001F3203" w:rsidRDefault="00792704">
            <w:pPr>
              <w:rPr>
                <w:b/>
                <w:color w:val="000000"/>
                <w:sz w:val="16"/>
                <w:szCs w:val="16"/>
              </w:rPr>
            </w:pPr>
          </w:p>
          <w:p w14:paraId="5226A9B5" w14:textId="77777777" w:rsidR="00792704" w:rsidRPr="001F3203" w:rsidRDefault="00792704">
            <w:pPr>
              <w:rPr>
                <w:b/>
                <w:color w:val="000000"/>
                <w:sz w:val="16"/>
                <w:szCs w:val="16"/>
              </w:rPr>
            </w:pPr>
            <w:r w:rsidRPr="001F3203">
              <w:rPr>
                <w:b/>
                <w:color w:val="000000"/>
                <w:sz w:val="16"/>
                <w:szCs w:val="16"/>
              </w:rPr>
              <w:t>Other:</w:t>
            </w:r>
          </w:p>
          <w:p w14:paraId="30496A48" w14:textId="77777777" w:rsidR="00792704" w:rsidRPr="001F3203" w:rsidRDefault="00792704">
            <w:pPr>
              <w:rPr>
                <w:b/>
                <w:color w:val="000000"/>
                <w:sz w:val="16"/>
                <w:szCs w:val="16"/>
              </w:rPr>
            </w:pPr>
            <w:r w:rsidRPr="001F3203">
              <w:rPr>
                <w:b/>
                <w:bCs/>
                <w:color w:val="000000"/>
                <w:sz w:val="16"/>
                <w:szCs w:val="16"/>
                <w:lang w:val="en-GB"/>
              </w:rPr>
              <w:t>5,000,000</w:t>
            </w:r>
          </w:p>
        </w:tc>
      </w:tr>
      <w:tr w:rsidR="00792704" w:rsidRPr="001F3203" w14:paraId="7A4CEE5A" w14:textId="77777777" w:rsidTr="005109F3">
        <w:trPr>
          <w:gridAfter w:val="1"/>
          <w:wAfter w:w="11" w:type="pct"/>
        </w:trPr>
        <w:tc>
          <w:tcPr>
            <w:tcW w:w="4989" w:type="pct"/>
            <w:gridSpan w:val="5"/>
            <w:shd w:val="clear" w:color="auto" w:fill="auto"/>
            <w:tcMar>
              <w:top w:w="72" w:type="dxa"/>
              <w:left w:w="144" w:type="dxa"/>
              <w:bottom w:w="72" w:type="dxa"/>
              <w:right w:w="144" w:type="dxa"/>
            </w:tcMar>
          </w:tcPr>
          <w:p w14:paraId="2896912A" w14:textId="77777777" w:rsidR="00792704" w:rsidRPr="001F3203" w:rsidRDefault="00792704">
            <w:pPr>
              <w:spacing w:before="20" w:after="20"/>
              <w:rPr>
                <w:b/>
                <w:bCs/>
                <w:color w:val="000000"/>
                <w:sz w:val="16"/>
                <w:szCs w:val="16"/>
                <w:lang w:val="en-GB" w:eastAsia="en-GB"/>
              </w:rPr>
            </w:pPr>
            <w:r w:rsidRPr="001F3203">
              <w:rPr>
                <w:b/>
                <w:bCs/>
                <w:color w:val="000000"/>
                <w:sz w:val="16"/>
                <w:szCs w:val="16"/>
                <w:lang w:val="en-GB" w:eastAsia="en-GB"/>
              </w:rPr>
              <w:t>NATIONAL PRIORITY</w:t>
            </w:r>
            <w:r w:rsidR="002F647E" w:rsidRPr="001F3203">
              <w:rPr>
                <w:b/>
                <w:bCs/>
                <w:color w:val="000000"/>
                <w:sz w:val="16"/>
                <w:szCs w:val="16"/>
                <w:lang w:val="en-GB" w:eastAsia="en-GB"/>
              </w:rPr>
              <w:t>#</w:t>
            </w:r>
            <w:r w:rsidRPr="001F3203">
              <w:rPr>
                <w:b/>
                <w:bCs/>
                <w:color w:val="000000"/>
                <w:sz w:val="16"/>
                <w:szCs w:val="16"/>
                <w:lang w:val="en-GB" w:eastAsia="en-GB"/>
              </w:rPr>
              <w:t>5:</w:t>
            </w:r>
          </w:p>
          <w:p w14:paraId="334BB434" w14:textId="77777777" w:rsidR="00792704" w:rsidRPr="001F3203" w:rsidRDefault="00792704">
            <w:pPr>
              <w:spacing w:before="20" w:after="20"/>
              <w:rPr>
                <w:b/>
                <w:bCs/>
                <w:color w:val="000000"/>
                <w:sz w:val="16"/>
                <w:szCs w:val="16"/>
                <w:lang w:val="en-GB" w:eastAsia="en-GB"/>
              </w:rPr>
            </w:pPr>
            <w:r w:rsidRPr="001F3203">
              <w:rPr>
                <w:b/>
                <w:bCs/>
                <w:color w:val="000000"/>
                <w:sz w:val="16"/>
                <w:szCs w:val="16"/>
                <w:lang w:val="en-GB" w:eastAsia="en-GB"/>
              </w:rPr>
              <w:t>TO IMPROVE THE QUALITY LIFE OF INDONESIAN PEOPLE</w:t>
            </w:r>
          </w:p>
        </w:tc>
      </w:tr>
      <w:tr w:rsidR="00792704" w:rsidRPr="001F3203" w14:paraId="55B8F7B2" w14:textId="77777777" w:rsidTr="005109F3">
        <w:trPr>
          <w:gridAfter w:val="1"/>
          <w:wAfter w:w="11" w:type="pct"/>
        </w:trPr>
        <w:tc>
          <w:tcPr>
            <w:tcW w:w="4989" w:type="pct"/>
            <w:gridSpan w:val="5"/>
            <w:shd w:val="clear" w:color="auto" w:fill="auto"/>
            <w:tcMar>
              <w:top w:w="72" w:type="dxa"/>
              <w:left w:w="144" w:type="dxa"/>
              <w:bottom w:w="72" w:type="dxa"/>
              <w:right w:w="144" w:type="dxa"/>
            </w:tcMar>
          </w:tcPr>
          <w:p w14:paraId="7460ED20" w14:textId="77777777" w:rsidR="00792704" w:rsidRPr="001F3203" w:rsidRDefault="002F647E">
            <w:pPr>
              <w:spacing w:before="20" w:after="20"/>
              <w:rPr>
                <w:b/>
                <w:bCs/>
                <w:color w:val="000000"/>
                <w:sz w:val="16"/>
                <w:szCs w:val="16"/>
                <w:lang w:val="en-GB" w:eastAsia="en-GB"/>
              </w:rPr>
            </w:pPr>
            <w:r w:rsidRPr="001F3203">
              <w:rPr>
                <w:b/>
                <w:bCs/>
                <w:color w:val="000000"/>
                <w:sz w:val="16"/>
                <w:szCs w:val="16"/>
                <w:lang w:val="en-GB" w:eastAsia="en-GB"/>
              </w:rPr>
              <w:t>UNPDF OUTCOME</w:t>
            </w:r>
            <w:r w:rsidR="00792704" w:rsidRPr="001F3203">
              <w:rPr>
                <w:b/>
                <w:bCs/>
                <w:color w:val="000000"/>
                <w:sz w:val="16"/>
                <w:szCs w:val="16"/>
                <w:lang w:val="en-GB" w:eastAsia="en-GB"/>
              </w:rPr>
              <w:t>#2:</w:t>
            </w:r>
          </w:p>
          <w:p w14:paraId="4575DD56" w14:textId="0E74D45C" w:rsidR="00792704" w:rsidRPr="001F3203" w:rsidRDefault="007878A5" w:rsidP="00A3404E">
            <w:pPr>
              <w:spacing w:before="20" w:after="20"/>
              <w:rPr>
                <w:b/>
                <w:caps/>
                <w:color w:val="000000"/>
                <w:sz w:val="16"/>
                <w:szCs w:val="16"/>
                <w:lang w:val="en-GB" w:eastAsia="en-GB"/>
              </w:rPr>
            </w:pPr>
            <w:r w:rsidRPr="001F3203">
              <w:rPr>
                <w:b/>
                <w:caps/>
                <w:sz w:val="16"/>
                <w:szCs w:val="16"/>
                <w:lang w:val="en-GB" w:eastAsia="en-GB"/>
              </w:rPr>
              <w:lastRenderedPageBreak/>
              <w:t>By 2020, the poor and most vulnerable have better and more equitable access to quality basic social services, including health and education, and to comprehensive social protection and better access to water supply and sanitation</w:t>
            </w:r>
            <w:r w:rsidR="00A3404E">
              <w:rPr>
                <w:b/>
                <w:caps/>
                <w:sz w:val="16"/>
                <w:szCs w:val="16"/>
                <w:lang w:val="en-GB" w:eastAsia="en-GB"/>
              </w:rPr>
              <w:t>.</w:t>
            </w:r>
          </w:p>
        </w:tc>
      </w:tr>
      <w:tr w:rsidR="00792704" w:rsidRPr="001F3203" w14:paraId="159D9B15" w14:textId="77777777" w:rsidTr="005109F3">
        <w:trPr>
          <w:gridAfter w:val="1"/>
          <w:wAfter w:w="11" w:type="pct"/>
        </w:trPr>
        <w:tc>
          <w:tcPr>
            <w:tcW w:w="4989" w:type="pct"/>
            <w:gridSpan w:val="5"/>
            <w:shd w:val="clear" w:color="auto" w:fill="auto"/>
            <w:tcMar>
              <w:top w:w="72" w:type="dxa"/>
              <w:left w:w="144" w:type="dxa"/>
              <w:bottom w:w="72" w:type="dxa"/>
              <w:right w:w="144" w:type="dxa"/>
            </w:tcMar>
          </w:tcPr>
          <w:p w14:paraId="34033E22" w14:textId="77777777" w:rsidR="00792704" w:rsidRPr="001F3203" w:rsidRDefault="00792704">
            <w:pPr>
              <w:spacing w:before="20" w:after="20"/>
              <w:rPr>
                <w:b/>
                <w:bCs/>
                <w:sz w:val="16"/>
                <w:szCs w:val="16"/>
                <w:lang w:val="en-GB" w:eastAsia="en-GB"/>
              </w:rPr>
            </w:pPr>
            <w:r w:rsidRPr="001F3203">
              <w:rPr>
                <w:b/>
                <w:bCs/>
                <w:sz w:val="16"/>
                <w:szCs w:val="16"/>
                <w:lang w:val="en-GB" w:eastAsia="en-GB"/>
              </w:rPr>
              <w:lastRenderedPageBreak/>
              <w:t xml:space="preserve">STRATEGIC PLAN OUTCOME #3:  </w:t>
            </w:r>
          </w:p>
          <w:p w14:paraId="7B73695A" w14:textId="31A0BDA7" w:rsidR="00792704" w:rsidRPr="001F3203" w:rsidRDefault="00792704">
            <w:pPr>
              <w:spacing w:before="20" w:after="20"/>
              <w:rPr>
                <w:b/>
                <w:bCs/>
                <w:sz w:val="16"/>
                <w:szCs w:val="16"/>
                <w:lang w:val="en-GB" w:eastAsia="en-GB"/>
              </w:rPr>
            </w:pPr>
            <w:r w:rsidRPr="001F3203">
              <w:rPr>
                <w:b/>
                <w:sz w:val="16"/>
                <w:szCs w:val="16"/>
                <w:lang w:val="en-GB" w:eastAsia="en-GB"/>
              </w:rPr>
              <w:t>COUNTRIES HAVE STRENGTHENED INSTITUTIONS TO PROGRESSIVELY DELIVER UNIVERSAL ACCESS TO BASIC SERVICES</w:t>
            </w:r>
            <w:r w:rsidR="00A047D6">
              <w:rPr>
                <w:b/>
                <w:sz w:val="16"/>
                <w:szCs w:val="16"/>
                <w:lang w:val="en-GB" w:eastAsia="en-GB"/>
              </w:rPr>
              <w:t>.</w:t>
            </w:r>
          </w:p>
        </w:tc>
      </w:tr>
      <w:tr w:rsidR="00792704" w:rsidRPr="001F3203" w14:paraId="716958B5" w14:textId="77777777" w:rsidTr="00C91B7F">
        <w:trPr>
          <w:gridAfter w:val="1"/>
          <w:wAfter w:w="11" w:type="pct"/>
        </w:trPr>
        <w:tc>
          <w:tcPr>
            <w:tcW w:w="1044" w:type="pct"/>
            <w:vMerge w:val="restart"/>
            <w:tcMar>
              <w:top w:w="72" w:type="dxa"/>
              <w:left w:w="144" w:type="dxa"/>
              <w:bottom w:w="72" w:type="dxa"/>
              <w:right w:w="144" w:type="dxa"/>
            </w:tcMar>
          </w:tcPr>
          <w:p w14:paraId="5A5331FE" w14:textId="77777777" w:rsidR="00792704" w:rsidRPr="001F3203" w:rsidRDefault="00792704">
            <w:pPr>
              <w:rPr>
                <w:b/>
                <w:bCs/>
                <w:color w:val="000000"/>
                <w:sz w:val="16"/>
                <w:szCs w:val="16"/>
                <w:lang w:val="en-GB" w:eastAsia="en-GB"/>
              </w:rPr>
            </w:pPr>
            <w:r w:rsidRPr="001F3203">
              <w:rPr>
                <w:b/>
                <w:iCs/>
                <w:sz w:val="16"/>
                <w:szCs w:val="16"/>
                <w:lang w:eastAsia="en-GB"/>
              </w:rPr>
              <w:t>Indicator</w:t>
            </w:r>
            <w:r w:rsidR="00BB132B" w:rsidRPr="001F3203">
              <w:rPr>
                <w:b/>
                <w:iCs/>
                <w:sz w:val="16"/>
                <w:szCs w:val="16"/>
                <w:lang w:eastAsia="en-GB"/>
              </w:rPr>
              <w:t>-2.1</w:t>
            </w:r>
            <w:r w:rsidRPr="001F3203">
              <w:rPr>
                <w:b/>
                <w:iCs/>
                <w:sz w:val="16"/>
                <w:szCs w:val="16"/>
                <w:lang w:eastAsia="en-GB"/>
              </w:rPr>
              <w:t>:</w:t>
            </w:r>
            <w:r w:rsidRPr="001F3203">
              <w:rPr>
                <w:iCs/>
                <w:sz w:val="16"/>
                <w:szCs w:val="16"/>
                <w:lang w:eastAsia="en-GB"/>
              </w:rPr>
              <w:t xml:space="preserve"> Human Development Index </w:t>
            </w:r>
          </w:p>
          <w:p w14:paraId="44B1D469" w14:textId="77777777" w:rsidR="00792704" w:rsidRPr="001F3203" w:rsidRDefault="00792704">
            <w:pPr>
              <w:rPr>
                <w:b/>
                <w:bCs/>
                <w:color w:val="000000"/>
                <w:sz w:val="16"/>
                <w:szCs w:val="16"/>
                <w:lang w:val="en-GB" w:eastAsia="en-GB"/>
              </w:rPr>
            </w:pPr>
            <w:r w:rsidRPr="001F3203">
              <w:rPr>
                <w:b/>
                <w:iCs/>
                <w:sz w:val="16"/>
                <w:szCs w:val="16"/>
                <w:lang w:val="en-GB" w:eastAsia="en-GB"/>
              </w:rPr>
              <w:t>Baseline</w:t>
            </w:r>
            <w:r w:rsidR="000C6415" w:rsidRPr="001F3203">
              <w:rPr>
                <w:b/>
                <w:iCs/>
                <w:sz w:val="16"/>
                <w:szCs w:val="16"/>
                <w:lang w:val="en-GB" w:eastAsia="en-GB"/>
              </w:rPr>
              <w:t>(2013)</w:t>
            </w:r>
            <w:r w:rsidRPr="001F3203">
              <w:rPr>
                <w:b/>
                <w:iCs/>
                <w:sz w:val="16"/>
                <w:szCs w:val="16"/>
                <w:lang w:val="en-GB" w:eastAsia="en-GB"/>
              </w:rPr>
              <w:t>:</w:t>
            </w:r>
            <w:r w:rsidRPr="001F3203">
              <w:rPr>
                <w:iCs/>
                <w:sz w:val="16"/>
                <w:szCs w:val="16"/>
                <w:lang w:val="en-GB" w:eastAsia="en-GB"/>
              </w:rPr>
              <w:t xml:space="preserve"> 73.</w:t>
            </w:r>
            <w:r w:rsidR="002B02DF" w:rsidRPr="001F3203">
              <w:rPr>
                <w:iCs/>
                <w:sz w:val="16"/>
                <w:szCs w:val="16"/>
                <w:lang w:val="en-GB" w:eastAsia="en-GB"/>
              </w:rPr>
              <w:t>81</w:t>
            </w:r>
          </w:p>
          <w:p w14:paraId="752E92A3" w14:textId="77777777" w:rsidR="00792704" w:rsidRPr="001F3203" w:rsidRDefault="00792704">
            <w:pPr>
              <w:rPr>
                <w:iCs/>
                <w:sz w:val="16"/>
                <w:szCs w:val="16"/>
                <w:lang w:val="en-GB" w:eastAsia="en-GB"/>
              </w:rPr>
            </w:pPr>
            <w:r w:rsidRPr="001F3203">
              <w:rPr>
                <w:b/>
                <w:bCs/>
                <w:color w:val="000000"/>
                <w:sz w:val="16"/>
                <w:szCs w:val="16"/>
                <w:lang w:val="en-GB" w:eastAsia="en-GB"/>
              </w:rPr>
              <w:t>Target:</w:t>
            </w:r>
            <w:r w:rsidRPr="001F3203">
              <w:rPr>
                <w:iCs/>
                <w:sz w:val="16"/>
                <w:szCs w:val="16"/>
                <w:lang w:val="en-GB" w:eastAsia="en-GB"/>
              </w:rPr>
              <w:t xml:space="preserve"> 76.3</w:t>
            </w:r>
          </w:p>
          <w:p w14:paraId="16BC76E5" w14:textId="77777777" w:rsidR="00792704" w:rsidRPr="001F3203" w:rsidRDefault="00792704">
            <w:pPr>
              <w:rPr>
                <w:bCs/>
                <w:sz w:val="16"/>
                <w:szCs w:val="16"/>
                <w:lang w:val="en-GB" w:eastAsia="en-GB"/>
              </w:rPr>
            </w:pPr>
          </w:p>
          <w:p w14:paraId="5729F672" w14:textId="77777777" w:rsidR="00792704" w:rsidRPr="001F3203" w:rsidRDefault="00792704">
            <w:pPr>
              <w:spacing w:line="256" w:lineRule="auto"/>
              <w:rPr>
                <w:bCs/>
                <w:sz w:val="16"/>
                <w:szCs w:val="16"/>
                <w:lang w:val="en-GB" w:eastAsia="en-GB"/>
              </w:rPr>
            </w:pPr>
            <w:r w:rsidRPr="001F3203">
              <w:rPr>
                <w:b/>
                <w:bCs/>
                <w:sz w:val="16"/>
                <w:szCs w:val="16"/>
                <w:lang w:val="en-GB" w:eastAsia="en-GB"/>
              </w:rPr>
              <w:t>Indicator</w:t>
            </w:r>
            <w:r w:rsidR="00BB132B" w:rsidRPr="001F3203">
              <w:rPr>
                <w:b/>
                <w:bCs/>
                <w:sz w:val="16"/>
                <w:szCs w:val="16"/>
                <w:lang w:val="en-GB" w:eastAsia="en-GB"/>
              </w:rPr>
              <w:t>-2.2</w:t>
            </w:r>
            <w:r w:rsidRPr="001F3203">
              <w:rPr>
                <w:b/>
                <w:bCs/>
                <w:sz w:val="16"/>
                <w:szCs w:val="16"/>
                <w:lang w:val="en-GB" w:eastAsia="en-GB"/>
              </w:rPr>
              <w:t>:</w:t>
            </w:r>
            <w:r w:rsidRPr="001F3203">
              <w:rPr>
                <w:bCs/>
                <w:sz w:val="16"/>
                <w:szCs w:val="16"/>
                <w:lang w:val="en-GB" w:eastAsia="en-GB"/>
              </w:rPr>
              <w:t xml:space="preserve"> Gender Development Index</w:t>
            </w:r>
          </w:p>
          <w:p w14:paraId="7FE069A6" w14:textId="77777777" w:rsidR="00792704" w:rsidRPr="001F3203" w:rsidRDefault="00792704">
            <w:pPr>
              <w:rPr>
                <w:bCs/>
                <w:sz w:val="16"/>
                <w:szCs w:val="16"/>
                <w:lang w:val="en-GB" w:eastAsia="en-GB"/>
              </w:rPr>
            </w:pPr>
            <w:r w:rsidRPr="001F3203">
              <w:rPr>
                <w:b/>
                <w:bCs/>
                <w:sz w:val="16"/>
                <w:szCs w:val="16"/>
                <w:lang w:val="en-GB" w:eastAsia="en-GB"/>
              </w:rPr>
              <w:t>Baseline</w:t>
            </w:r>
            <w:r w:rsidR="000C6415" w:rsidRPr="001F3203">
              <w:rPr>
                <w:b/>
                <w:bCs/>
                <w:sz w:val="16"/>
                <w:szCs w:val="16"/>
                <w:lang w:val="en-GB" w:eastAsia="en-GB"/>
              </w:rPr>
              <w:t>(2013)</w:t>
            </w:r>
            <w:r w:rsidRPr="001F3203">
              <w:rPr>
                <w:b/>
                <w:bCs/>
                <w:sz w:val="16"/>
                <w:szCs w:val="16"/>
                <w:lang w:val="en-GB" w:eastAsia="en-GB"/>
              </w:rPr>
              <w:t>:</w:t>
            </w:r>
            <w:r w:rsidRPr="001F3203">
              <w:rPr>
                <w:bCs/>
                <w:sz w:val="16"/>
                <w:szCs w:val="16"/>
                <w:lang w:val="en-GB" w:eastAsia="en-GB"/>
              </w:rPr>
              <w:t xml:space="preserve"> 69.6</w:t>
            </w:r>
          </w:p>
          <w:p w14:paraId="5F41F745" w14:textId="77777777" w:rsidR="00792704" w:rsidRPr="001F3203" w:rsidRDefault="00792704">
            <w:pPr>
              <w:rPr>
                <w:bCs/>
                <w:sz w:val="16"/>
                <w:szCs w:val="16"/>
                <w:lang w:val="en-GB" w:eastAsia="en-GB"/>
              </w:rPr>
            </w:pPr>
            <w:r w:rsidRPr="001F3203">
              <w:rPr>
                <w:b/>
                <w:bCs/>
                <w:sz w:val="16"/>
                <w:szCs w:val="16"/>
                <w:lang w:val="en-GB" w:eastAsia="en-GB"/>
              </w:rPr>
              <w:t>Target:</w:t>
            </w:r>
            <w:r w:rsidRPr="001F3203">
              <w:rPr>
                <w:bCs/>
                <w:sz w:val="16"/>
                <w:szCs w:val="16"/>
                <w:lang w:val="en-GB" w:eastAsia="en-GB"/>
              </w:rPr>
              <w:t xml:space="preserve"> </w:t>
            </w:r>
            <w:r w:rsidR="00FC1ADF" w:rsidRPr="001F3203">
              <w:rPr>
                <w:bCs/>
                <w:sz w:val="16"/>
                <w:szCs w:val="16"/>
                <w:lang w:val="en-GB" w:eastAsia="en-GB"/>
              </w:rPr>
              <w:t xml:space="preserve">71.9 </w:t>
            </w:r>
          </w:p>
          <w:p w14:paraId="00B7F68D" w14:textId="77777777" w:rsidR="00792704" w:rsidRPr="001F3203" w:rsidRDefault="00792704">
            <w:pPr>
              <w:rPr>
                <w:bCs/>
                <w:sz w:val="16"/>
                <w:szCs w:val="16"/>
                <w:lang w:val="en-GB" w:eastAsia="en-GB"/>
              </w:rPr>
            </w:pPr>
          </w:p>
          <w:p w14:paraId="2C7A2297" w14:textId="27697541" w:rsidR="00792704" w:rsidRPr="001F3203" w:rsidRDefault="00792704">
            <w:pPr>
              <w:rPr>
                <w:bCs/>
                <w:sz w:val="16"/>
                <w:szCs w:val="16"/>
                <w:lang w:val="en-GB" w:eastAsia="en-GB"/>
              </w:rPr>
            </w:pPr>
            <w:r w:rsidRPr="001F3203">
              <w:rPr>
                <w:b/>
                <w:bCs/>
                <w:sz w:val="16"/>
                <w:szCs w:val="16"/>
                <w:lang w:val="en-GB" w:eastAsia="en-GB"/>
              </w:rPr>
              <w:t>Indicator</w:t>
            </w:r>
            <w:r w:rsidR="002F647E" w:rsidRPr="001F3203">
              <w:rPr>
                <w:b/>
                <w:bCs/>
                <w:sz w:val="16"/>
                <w:szCs w:val="16"/>
                <w:lang w:val="en-GB" w:eastAsia="en-GB"/>
              </w:rPr>
              <w:t>-</w:t>
            </w:r>
            <w:r w:rsidR="00BB132B" w:rsidRPr="001F3203">
              <w:rPr>
                <w:b/>
                <w:bCs/>
                <w:sz w:val="16"/>
                <w:szCs w:val="16"/>
                <w:lang w:val="en-GB" w:eastAsia="en-GB"/>
              </w:rPr>
              <w:t>2.3</w:t>
            </w:r>
            <w:r w:rsidRPr="001F3203">
              <w:rPr>
                <w:b/>
                <w:bCs/>
                <w:sz w:val="16"/>
                <w:szCs w:val="16"/>
                <w:lang w:val="en-GB" w:eastAsia="en-GB"/>
              </w:rPr>
              <w:t>:</w:t>
            </w:r>
            <w:r w:rsidRPr="001F3203">
              <w:rPr>
                <w:bCs/>
                <w:sz w:val="16"/>
                <w:szCs w:val="16"/>
                <w:lang w:val="en-GB" w:eastAsia="en-GB"/>
              </w:rPr>
              <w:t xml:space="preserve"> National </w:t>
            </w:r>
            <w:r w:rsidR="00A3404E">
              <w:rPr>
                <w:bCs/>
                <w:sz w:val="16"/>
                <w:szCs w:val="16"/>
                <w:lang w:val="en-GB" w:eastAsia="en-GB"/>
              </w:rPr>
              <w:t>p</w:t>
            </w:r>
            <w:r w:rsidR="00A3404E" w:rsidRPr="001F3203">
              <w:rPr>
                <w:bCs/>
                <w:sz w:val="16"/>
                <w:szCs w:val="16"/>
                <w:lang w:val="en-GB" w:eastAsia="en-GB"/>
              </w:rPr>
              <w:t xml:space="preserve">overty </w:t>
            </w:r>
            <w:r w:rsidR="00A3404E">
              <w:rPr>
                <w:bCs/>
                <w:sz w:val="16"/>
                <w:szCs w:val="16"/>
                <w:lang w:val="en-GB" w:eastAsia="en-GB"/>
              </w:rPr>
              <w:t>r</w:t>
            </w:r>
            <w:r w:rsidR="00A3404E" w:rsidRPr="001F3203">
              <w:rPr>
                <w:bCs/>
                <w:sz w:val="16"/>
                <w:szCs w:val="16"/>
                <w:lang w:val="en-GB" w:eastAsia="en-GB"/>
              </w:rPr>
              <w:t>ate</w:t>
            </w:r>
          </w:p>
          <w:p w14:paraId="648DCA81" w14:textId="77777777" w:rsidR="00792704" w:rsidRPr="001F3203" w:rsidRDefault="00BB132B">
            <w:pPr>
              <w:rPr>
                <w:bCs/>
                <w:sz w:val="16"/>
                <w:szCs w:val="16"/>
                <w:lang w:val="en-GB" w:eastAsia="en-GB"/>
              </w:rPr>
            </w:pPr>
            <w:r w:rsidRPr="001F3203">
              <w:rPr>
                <w:b/>
                <w:bCs/>
                <w:sz w:val="16"/>
                <w:szCs w:val="16"/>
                <w:lang w:val="en-GB" w:eastAsia="en-GB"/>
              </w:rPr>
              <w:t>Baseline</w:t>
            </w:r>
            <w:r w:rsidR="000C6415" w:rsidRPr="001F3203">
              <w:rPr>
                <w:b/>
                <w:bCs/>
                <w:sz w:val="16"/>
                <w:szCs w:val="16"/>
                <w:lang w:val="en-GB" w:eastAsia="en-GB"/>
              </w:rPr>
              <w:t>(2014)</w:t>
            </w:r>
            <w:r w:rsidR="00792704" w:rsidRPr="001F3203">
              <w:rPr>
                <w:b/>
                <w:bCs/>
                <w:sz w:val="16"/>
                <w:szCs w:val="16"/>
                <w:lang w:val="en-GB" w:eastAsia="en-GB"/>
              </w:rPr>
              <w:t>:</w:t>
            </w:r>
            <w:r w:rsidR="00792704" w:rsidRPr="001F3203">
              <w:rPr>
                <w:bCs/>
                <w:sz w:val="16"/>
                <w:szCs w:val="16"/>
                <w:lang w:val="en-GB" w:eastAsia="en-GB"/>
              </w:rPr>
              <w:t xml:space="preserve"> 10.96%</w:t>
            </w:r>
          </w:p>
          <w:p w14:paraId="2E9E9F6D" w14:textId="77777777" w:rsidR="00792704" w:rsidRPr="001F3203" w:rsidRDefault="00BB132B">
            <w:pPr>
              <w:rPr>
                <w:bCs/>
                <w:sz w:val="16"/>
                <w:szCs w:val="16"/>
                <w:lang w:val="en-GB" w:eastAsia="en-GB"/>
              </w:rPr>
            </w:pPr>
            <w:r w:rsidRPr="001F3203">
              <w:rPr>
                <w:b/>
                <w:bCs/>
                <w:sz w:val="16"/>
                <w:szCs w:val="16"/>
                <w:lang w:val="en-GB" w:eastAsia="en-GB"/>
              </w:rPr>
              <w:t>Target</w:t>
            </w:r>
            <w:r w:rsidR="00792704" w:rsidRPr="001F3203">
              <w:rPr>
                <w:b/>
                <w:bCs/>
                <w:sz w:val="16"/>
                <w:szCs w:val="16"/>
                <w:lang w:val="en-GB" w:eastAsia="en-GB"/>
              </w:rPr>
              <w:t>:</w:t>
            </w:r>
            <w:r w:rsidR="00792704" w:rsidRPr="001F3203">
              <w:rPr>
                <w:bCs/>
                <w:sz w:val="16"/>
                <w:szCs w:val="16"/>
                <w:lang w:val="en-GB" w:eastAsia="en-GB"/>
              </w:rPr>
              <w:t xml:space="preserve"> 8%</w:t>
            </w:r>
          </w:p>
          <w:p w14:paraId="1656F19E" w14:textId="77777777" w:rsidR="00792704" w:rsidRPr="001F3203" w:rsidRDefault="00792704">
            <w:pPr>
              <w:rPr>
                <w:bCs/>
                <w:sz w:val="16"/>
                <w:szCs w:val="16"/>
                <w:lang w:val="en-GB" w:eastAsia="en-GB"/>
              </w:rPr>
            </w:pPr>
          </w:p>
          <w:p w14:paraId="207FE5C9" w14:textId="77777777" w:rsidR="00792704" w:rsidRPr="001F3203" w:rsidRDefault="00792704">
            <w:pPr>
              <w:rPr>
                <w:iCs/>
                <w:sz w:val="16"/>
                <w:szCs w:val="16"/>
                <w:lang w:eastAsia="en-GB"/>
              </w:rPr>
            </w:pPr>
            <w:r w:rsidRPr="001F3203">
              <w:rPr>
                <w:b/>
                <w:iCs/>
                <w:sz w:val="16"/>
                <w:szCs w:val="16"/>
                <w:lang w:eastAsia="en-GB"/>
              </w:rPr>
              <w:t>Indicator</w:t>
            </w:r>
            <w:r w:rsidR="00A34535" w:rsidRPr="001F3203">
              <w:rPr>
                <w:b/>
                <w:iCs/>
                <w:sz w:val="16"/>
                <w:szCs w:val="16"/>
                <w:lang w:eastAsia="en-GB"/>
              </w:rPr>
              <w:t>-2.4</w:t>
            </w:r>
            <w:r w:rsidRPr="001F3203">
              <w:rPr>
                <w:b/>
                <w:iCs/>
                <w:sz w:val="16"/>
                <w:szCs w:val="16"/>
                <w:lang w:eastAsia="en-GB"/>
              </w:rPr>
              <w:t>:</w:t>
            </w:r>
            <w:r w:rsidRPr="001F3203">
              <w:rPr>
                <w:iCs/>
                <w:sz w:val="16"/>
                <w:szCs w:val="16"/>
                <w:lang w:eastAsia="en-GB"/>
              </w:rPr>
              <w:t xml:space="preserve"> % of the population registered in the Social Health Insurance scheme, disaggregated by sex</w:t>
            </w:r>
            <w:r w:rsidR="002F1D8B" w:rsidRPr="001F3203">
              <w:rPr>
                <w:rStyle w:val="FootnoteReference"/>
                <w:iCs/>
                <w:sz w:val="16"/>
                <w:szCs w:val="16"/>
                <w:lang w:eastAsia="en-GB"/>
              </w:rPr>
              <w:footnoteReference w:id="23"/>
            </w:r>
          </w:p>
          <w:p w14:paraId="659F0A03" w14:textId="77777777" w:rsidR="00792704" w:rsidRPr="001F3203" w:rsidRDefault="00792704">
            <w:pPr>
              <w:rPr>
                <w:b/>
                <w:bCs/>
                <w:sz w:val="16"/>
                <w:szCs w:val="16"/>
                <w:lang w:val="en-GB" w:eastAsia="en-GB"/>
              </w:rPr>
            </w:pPr>
            <w:r w:rsidRPr="001F3203">
              <w:rPr>
                <w:b/>
                <w:iCs/>
                <w:sz w:val="16"/>
                <w:szCs w:val="16"/>
                <w:lang w:val="en-GB" w:eastAsia="en-GB"/>
              </w:rPr>
              <w:t>Baseline</w:t>
            </w:r>
            <w:r w:rsidR="000C6415" w:rsidRPr="001F3203">
              <w:rPr>
                <w:b/>
                <w:iCs/>
                <w:sz w:val="16"/>
                <w:szCs w:val="16"/>
                <w:lang w:val="en-GB" w:eastAsia="en-GB"/>
              </w:rPr>
              <w:t>(2014)</w:t>
            </w:r>
            <w:r w:rsidRPr="001F3203">
              <w:rPr>
                <w:b/>
                <w:iCs/>
                <w:sz w:val="16"/>
                <w:szCs w:val="16"/>
                <w:lang w:val="en-GB" w:eastAsia="en-GB"/>
              </w:rPr>
              <w:t>:</w:t>
            </w:r>
            <w:r w:rsidRPr="001F3203">
              <w:rPr>
                <w:iCs/>
                <w:sz w:val="16"/>
                <w:szCs w:val="16"/>
                <w:lang w:val="en-GB" w:eastAsia="en-GB"/>
              </w:rPr>
              <w:t xml:space="preserve"> 51.84%</w:t>
            </w:r>
          </w:p>
          <w:p w14:paraId="2150058F" w14:textId="77777777" w:rsidR="00792704" w:rsidRPr="001F3203" w:rsidRDefault="00792704">
            <w:pPr>
              <w:rPr>
                <w:iCs/>
                <w:sz w:val="16"/>
                <w:szCs w:val="16"/>
                <w:lang w:val="en-GB" w:eastAsia="en-GB"/>
              </w:rPr>
            </w:pPr>
            <w:r w:rsidRPr="001F3203">
              <w:rPr>
                <w:b/>
                <w:bCs/>
                <w:sz w:val="16"/>
                <w:szCs w:val="16"/>
                <w:lang w:val="en-GB" w:eastAsia="en-GB"/>
              </w:rPr>
              <w:t>Target:</w:t>
            </w:r>
            <w:r w:rsidRPr="001F3203">
              <w:rPr>
                <w:iCs/>
                <w:sz w:val="16"/>
                <w:szCs w:val="16"/>
                <w:lang w:val="en-GB" w:eastAsia="en-GB"/>
              </w:rPr>
              <w:t xml:space="preserve"> 95% </w:t>
            </w:r>
          </w:p>
          <w:p w14:paraId="15F20B14" w14:textId="77777777" w:rsidR="00792704" w:rsidRPr="001F3203" w:rsidRDefault="00792704">
            <w:pPr>
              <w:rPr>
                <w:bCs/>
                <w:color w:val="000000"/>
                <w:sz w:val="16"/>
                <w:szCs w:val="16"/>
                <w:lang w:val="en-GB" w:eastAsia="en-GB"/>
              </w:rPr>
            </w:pPr>
          </w:p>
          <w:p w14:paraId="019FC6BA" w14:textId="659537CC" w:rsidR="00792704" w:rsidRPr="001F3203" w:rsidRDefault="00792704">
            <w:pPr>
              <w:spacing w:line="256" w:lineRule="auto"/>
              <w:rPr>
                <w:bCs/>
                <w:sz w:val="16"/>
                <w:szCs w:val="16"/>
                <w:lang w:val="en-GB" w:eastAsia="en-GB"/>
              </w:rPr>
            </w:pPr>
            <w:r w:rsidRPr="001F3203">
              <w:rPr>
                <w:b/>
                <w:bCs/>
                <w:sz w:val="16"/>
                <w:szCs w:val="16"/>
                <w:lang w:val="en-GB" w:eastAsia="en-GB"/>
              </w:rPr>
              <w:t>Indicator</w:t>
            </w:r>
            <w:r w:rsidR="002F647E" w:rsidRPr="001F3203">
              <w:rPr>
                <w:b/>
                <w:bCs/>
                <w:sz w:val="16"/>
                <w:szCs w:val="16"/>
                <w:lang w:val="en-GB" w:eastAsia="en-GB"/>
              </w:rPr>
              <w:t>-</w:t>
            </w:r>
            <w:r w:rsidR="00A34535" w:rsidRPr="001F3203">
              <w:rPr>
                <w:b/>
                <w:bCs/>
                <w:sz w:val="16"/>
                <w:szCs w:val="16"/>
                <w:lang w:val="en-GB" w:eastAsia="en-GB"/>
              </w:rPr>
              <w:t>2.</w:t>
            </w:r>
            <w:r w:rsidR="002F647E" w:rsidRPr="001F3203">
              <w:rPr>
                <w:b/>
                <w:bCs/>
                <w:sz w:val="16"/>
                <w:szCs w:val="16"/>
                <w:lang w:val="en-GB" w:eastAsia="en-GB"/>
              </w:rPr>
              <w:t>5</w:t>
            </w:r>
            <w:r w:rsidRPr="001F3203">
              <w:rPr>
                <w:b/>
                <w:bCs/>
                <w:sz w:val="16"/>
                <w:szCs w:val="16"/>
                <w:lang w:val="en-GB" w:eastAsia="en-GB"/>
              </w:rPr>
              <w:t>:</w:t>
            </w:r>
            <w:r w:rsidRPr="001F3203">
              <w:rPr>
                <w:bCs/>
                <w:sz w:val="16"/>
                <w:szCs w:val="16"/>
                <w:lang w:val="en-GB" w:eastAsia="en-GB"/>
              </w:rPr>
              <w:t xml:space="preserve"> Percentage of provincial governments that have scored B (= good,  65%-75%) or above in the Government Institution Performance Accountability Report (</w:t>
            </w:r>
            <w:r w:rsidR="00030B46">
              <w:rPr>
                <w:bCs/>
                <w:sz w:val="16"/>
                <w:szCs w:val="16"/>
                <w:lang w:val="en-GB" w:eastAsia="en-GB"/>
              </w:rPr>
              <w:t>'</w:t>
            </w:r>
            <w:r w:rsidRPr="001F3203">
              <w:rPr>
                <w:bCs/>
                <w:sz w:val="16"/>
                <w:szCs w:val="16"/>
                <w:lang w:val="en-GB" w:eastAsia="en-GB"/>
              </w:rPr>
              <w:t>LAKIP</w:t>
            </w:r>
            <w:r w:rsidR="00030B46">
              <w:rPr>
                <w:bCs/>
                <w:sz w:val="16"/>
                <w:szCs w:val="16"/>
                <w:lang w:val="en-GB" w:eastAsia="en-GB"/>
              </w:rPr>
              <w:t>'</w:t>
            </w:r>
            <w:r w:rsidRPr="001F3203">
              <w:rPr>
                <w:bCs/>
                <w:sz w:val="16"/>
                <w:szCs w:val="16"/>
                <w:lang w:val="en-GB" w:eastAsia="en-GB"/>
              </w:rPr>
              <w:t xml:space="preserve">) </w:t>
            </w:r>
          </w:p>
          <w:p w14:paraId="6997737B" w14:textId="77777777" w:rsidR="00792704" w:rsidRPr="001F3203" w:rsidRDefault="00A34535">
            <w:pPr>
              <w:spacing w:line="256" w:lineRule="auto"/>
              <w:rPr>
                <w:bCs/>
                <w:sz w:val="16"/>
                <w:szCs w:val="16"/>
                <w:lang w:val="en-GB" w:eastAsia="en-GB"/>
              </w:rPr>
            </w:pPr>
            <w:r w:rsidRPr="001F3203">
              <w:rPr>
                <w:b/>
                <w:bCs/>
                <w:sz w:val="16"/>
                <w:szCs w:val="16"/>
                <w:lang w:val="en-GB" w:eastAsia="en-GB"/>
              </w:rPr>
              <w:t>Baseline</w:t>
            </w:r>
            <w:r w:rsidR="000C6415" w:rsidRPr="001F3203">
              <w:rPr>
                <w:b/>
                <w:bCs/>
                <w:sz w:val="16"/>
                <w:szCs w:val="16"/>
                <w:lang w:val="en-GB" w:eastAsia="en-GB"/>
              </w:rPr>
              <w:t>(2013)</w:t>
            </w:r>
            <w:r w:rsidR="00792704" w:rsidRPr="001F3203">
              <w:rPr>
                <w:b/>
                <w:bCs/>
                <w:sz w:val="16"/>
                <w:szCs w:val="16"/>
                <w:lang w:val="en-GB" w:eastAsia="en-GB"/>
              </w:rPr>
              <w:t>:</w:t>
            </w:r>
            <w:r w:rsidR="00792704" w:rsidRPr="001F3203">
              <w:rPr>
                <w:bCs/>
                <w:sz w:val="16"/>
                <w:szCs w:val="16"/>
                <w:lang w:val="en-GB" w:eastAsia="en-GB"/>
              </w:rPr>
              <w:t xml:space="preserve"> 30.3% </w:t>
            </w:r>
          </w:p>
          <w:p w14:paraId="72363270" w14:textId="77777777" w:rsidR="00792704" w:rsidRPr="001F3203" w:rsidRDefault="00A34535">
            <w:pPr>
              <w:spacing w:line="256" w:lineRule="auto"/>
              <w:rPr>
                <w:bCs/>
                <w:sz w:val="16"/>
                <w:szCs w:val="16"/>
                <w:lang w:val="en-GB" w:eastAsia="en-GB"/>
              </w:rPr>
            </w:pPr>
            <w:r w:rsidRPr="001F3203">
              <w:rPr>
                <w:b/>
                <w:bCs/>
                <w:sz w:val="16"/>
                <w:szCs w:val="16"/>
                <w:lang w:val="en-GB" w:eastAsia="en-GB"/>
              </w:rPr>
              <w:t>Target</w:t>
            </w:r>
            <w:r w:rsidR="00792704" w:rsidRPr="001F3203">
              <w:rPr>
                <w:b/>
                <w:bCs/>
                <w:sz w:val="16"/>
                <w:szCs w:val="16"/>
                <w:lang w:val="en-GB" w:eastAsia="en-GB"/>
              </w:rPr>
              <w:t>:</w:t>
            </w:r>
            <w:r w:rsidR="00792704" w:rsidRPr="001F3203">
              <w:rPr>
                <w:bCs/>
                <w:sz w:val="16"/>
                <w:szCs w:val="16"/>
                <w:lang w:val="en-GB" w:eastAsia="en-GB"/>
              </w:rPr>
              <w:t xml:space="preserve"> 75%</w:t>
            </w:r>
          </w:p>
          <w:p w14:paraId="2439E88D" w14:textId="77777777" w:rsidR="00792704" w:rsidRPr="001F3203" w:rsidRDefault="00792704">
            <w:pPr>
              <w:rPr>
                <w:bCs/>
                <w:color w:val="000000"/>
                <w:sz w:val="16"/>
                <w:szCs w:val="16"/>
                <w:lang w:val="en-GB" w:eastAsia="en-GB"/>
              </w:rPr>
            </w:pPr>
          </w:p>
          <w:p w14:paraId="5C9B386C" w14:textId="77777777" w:rsidR="00792704" w:rsidRPr="001F3203" w:rsidRDefault="00792704">
            <w:pPr>
              <w:rPr>
                <w:bCs/>
                <w:i/>
                <w:color w:val="000000"/>
                <w:sz w:val="16"/>
                <w:szCs w:val="16"/>
                <w:lang w:val="en-GB" w:eastAsia="en-GB"/>
              </w:rPr>
            </w:pPr>
          </w:p>
        </w:tc>
        <w:tc>
          <w:tcPr>
            <w:tcW w:w="977" w:type="pct"/>
            <w:vMerge w:val="restart"/>
          </w:tcPr>
          <w:p w14:paraId="49D060D9" w14:textId="77777777" w:rsidR="00792704" w:rsidRPr="001F3203" w:rsidRDefault="00792704">
            <w:pPr>
              <w:rPr>
                <w:iCs/>
                <w:sz w:val="16"/>
                <w:szCs w:val="16"/>
                <w:lang w:val="en-GB" w:eastAsia="en-GB"/>
              </w:rPr>
            </w:pPr>
            <w:r w:rsidRPr="001F3203">
              <w:rPr>
                <w:iCs/>
                <w:sz w:val="16"/>
                <w:szCs w:val="16"/>
                <w:lang w:val="en-GB" w:eastAsia="en-GB"/>
              </w:rPr>
              <w:t>BPS</w:t>
            </w:r>
          </w:p>
          <w:p w14:paraId="5A2047F6" w14:textId="77777777" w:rsidR="00792704" w:rsidRPr="001F3203" w:rsidRDefault="00792704">
            <w:pPr>
              <w:rPr>
                <w:iCs/>
                <w:sz w:val="16"/>
                <w:szCs w:val="16"/>
                <w:lang w:val="en-GB" w:eastAsia="en-GB"/>
              </w:rPr>
            </w:pPr>
          </w:p>
          <w:p w14:paraId="23758E1F" w14:textId="77777777" w:rsidR="00792704" w:rsidRPr="001F3203" w:rsidRDefault="00792704">
            <w:pPr>
              <w:rPr>
                <w:iCs/>
                <w:sz w:val="16"/>
                <w:szCs w:val="16"/>
                <w:lang w:val="en-GB" w:eastAsia="en-GB"/>
              </w:rPr>
            </w:pPr>
            <w:r w:rsidRPr="001F3203">
              <w:rPr>
                <w:iCs/>
                <w:sz w:val="16"/>
                <w:szCs w:val="16"/>
                <w:lang w:val="en-GB" w:eastAsia="en-GB"/>
              </w:rPr>
              <w:t>Ministry of Women’s Empowerment and Child Protection</w:t>
            </w:r>
          </w:p>
          <w:p w14:paraId="6FDA085C" w14:textId="77777777" w:rsidR="00792704" w:rsidRPr="001F3203" w:rsidRDefault="00792704">
            <w:pPr>
              <w:rPr>
                <w:iCs/>
                <w:sz w:val="16"/>
                <w:szCs w:val="16"/>
                <w:lang w:val="en-GB" w:eastAsia="en-GB"/>
              </w:rPr>
            </w:pPr>
          </w:p>
          <w:p w14:paraId="1A7FAE1B" w14:textId="77777777" w:rsidR="00792704" w:rsidRPr="001F3203" w:rsidRDefault="00792704">
            <w:pPr>
              <w:rPr>
                <w:iCs/>
                <w:sz w:val="16"/>
                <w:szCs w:val="16"/>
                <w:lang w:val="en-GB" w:eastAsia="en-GB"/>
              </w:rPr>
            </w:pPr>
            <w:r w:rsidRPr="001F3203">
              <w:rPr>
                <w:iCs/>
                <w:sz w:val="16"/>
                <w:szCs w:val="16"/>
                <w:lang w:val="en-GB" w:eastAsia="en-GB"/>
              </w:rPr>
              <w:t xml:space="preserve">Healthcare and Social Security Agency </w:t>
            </w:r>
          </w:p>
          <w:p w14:paraId="2F46FEE0" w14:textId="77777777" w:rsidR="00792704" w:rsidRPr="001F3203" w:rsidRDefault="00792704">
            <w:pPr>
              <w:rPr>
                <w:iCs/>
                <w:sz w:val="16"/>
                <w:szCs w:val="16"/>
                <w:lang w:val="en-GB" w:eastAsia="en-GB"/>
              </w:rPr>
            </w:pPr>
          </w:p>
          <w:p w14:paraId="51ACB2A3" w14:textId="77777777" w:rsidR="00792704" w:rsidRPr="001F3203" w:rsidRDefault="00792704">
            <w:pPr>
              <w:rPr>
                <w:iCs/>
                <w:sz w:val="16"/>
                <w:szCs w:val="16"/>
                <w:lang w:val="en-GB" w:eastAsia="en-GB"/>
              </w:rPr>
            </w:pPr>
          </w:p>
          <w:p w14:paraId="694DFA31" w14:textId="77777777" w:rsidR="00792704" w:rsidRPr="001F3203" w:rsidRDefault="00792704">
            <w:pPr>
              <w:rPr>
                <w:iCs/>
                <w:sz w:val="16"/>
                <w:szCs w:val="16"/>
                <w:lang w:val="en-GB" w:eastAsia="en-GB"/>
              </w:rPr>
            </w:pPr>
          </w:p>
          <w:p w14:paraId="6F8427FA" w14:textId="77777777" w:rsidR="00792704" w:rsidRPr="001F3203" w:rsidRDefault="00792704">
            <w:pPr>
              <w:rPr>
                <w:b/>
                <w:bCs/>
                <w:color w:val="000000"/>
                <w:sz w:val="16"/>
                <w:szCs w:val="16"/>
                <w:lang w:val="en-GB" w:eastAsia="en-GB"/>
              </w:rPr>
            </w:pPr>
          </w:p>
        </w:tc>
        <w:tc>
          <w:tcPr>
            <w:tcW w:w="1300" w:type="pct"/>
            <w:vMerge w:val="restart"/>
            <w:tcMar>
              <w:top w:w="72" w:type="dxa"/>
              <w:left w:w="144" w:type="dxa"/>
              <w:bottom w:w="72" w:type="dxa"/>
              <w:right w:w="144" w:type="dxa"/>
            </w:tcMar>
          </w:tcPr>
          <w:p w14:paraId="3BFE9D87" w14:textId="64CB4D3C" w:rsidR="00792704" w:rsidRPr="001F3203" w:rsidRDefault="00893BB0">
            <w:pPr>
              <w:tabs>
                <w:tab w:val="left" w:pos="423"/>
              </w:tabs>
              <w:rPr>
                <w:b/>
                <w:iCs/>
                <w:color w:val="000000"/>
                <w:sz w:val="16"/>
                <w:szCs w:val="16"/>
                <w:lang w:eastAsia="en-GB"/>
              </w:rPr>
            </w:pPr>
            <w:r w:rsidRPr="001F3203">
              <w:rPr>
                <w:b/>
                <w:iCs/>
                <w:color w:val="000000"/>
                <w:sz w:val="16"/>
                <w:szCs w:val="16"/>
                <w:lang w:eastAsia="en-GB"/>
              </w:rPr>
              <w:t>2.1-</w:t>
            </w:r>
            <w:r w:rsidR="00792704" w:rsidRPr="001F3203">
              <w:rPr>
                <w:b/>
                <w:iCs/>
                <w:color w:val="000000"/>
                <w:sz w:val="16"/>
                <w:szCs w:val="16"/>
                <w:lang w:eastAsia="en-GB"/>
              </w:rPr>
              <w:t>Subnational authorities have improved  financ</w:t>
            </w:r>
            <w:r w:rsidR="00887B53" w:rsidRPr="001F3203">
              <w:rPr>
                <w:b/>
                <w:iCs/>
                <w:color w:val="000000"/>
                <w:sz w:val="16"/>
                <w:szCs w:val="16"/>
                <w:lang w:eastAsia="en-GB"/>
              </w:rPr>
              <w:t>ing, implementation/</w:t>
            </w:r>
            <w:r w:rsidR="00792704" w:rsidRPr="001F3203">
              <w:rPr>
                <w:b/>
                <w:iCs/>
                <w:color w:val="000000"/>
                <w:sz w:val="16"/>
                <w:szCs w:val="16"/>
                <w:lang w:eastAsia="en-GB"/>
              </w:rPr>
              <w:t xml:space="preserve">monitoring of </w:t>
            </w:r>
            <w:r w:rsidR="00A3404E">
              <w:rPr>
                <w:b/>
                <w:iCs/>
                <w:color w:val="000000"/>
                <w:sz w:val="16"/>
                <w:szCs w:val="16"/>
                <w:lang w:eastAsia="en-GB"/>
              </w:rPr>
              <w:t>Millennium Development Goals/sustainable development goal</w:t>
            </w:r>
            <w:r w:rsidR="00792704" w:rsidRPr="001F3203">
              <w:rPr>
                <w:b/>
                <w:iCs/>
                <w:color w:val="000000"/>
                <w:sz w:val="16"/>
                <w:szCs w:val="16"/>
                <w:lang w:eastAsia="en-GB"/>
              </w:rPr>
              <w:t xml:space="preserve"> acceleration programmes and delivery of basic services </w:t>
            </w:r>
          </w:p>
          <w:p w14:paraId="31EE19B0" w14:textId="77777777" w:rsidR="00792704" w:rsidRPr="001F3203" w:rsidRDefault="00792704">
            <w:pPr>
              <w:tabs>
                <w:tab w:val="left" w:pos="423"/>
              </w:tabs>
              <w:rPr>
                <w:iCs/>
                <w:color w:val="000000"/>
                <w:sz w:val="16"/>
                <w:szCs w:val="16"/>
                <w:lang w:eastAsia="en-GB"/>
              </w:rPr>
            </w:pPr>
          </w:p>
          <w:p w14:paraId="165C4005" w14:textId="77777777" w:rsidR="00792704" w:rsidRPr="001F3203" w:rsidRDefault="00792704">
            <w:pPr>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 of subnational budget in targeted regions allocated for basic </w:t>
            </w:r>
            <w:r w:rsidR="002F1D8B" w:rsidRPr="001F3203">
              <w:rPr>
                <w:iCs/>
                <w:color w:val="000000"/>
                <w:sz w:val="16"/>
                <w:szCs w:val="16"/>
                <w:lang w:eastAsia="en-GB"/>
              </w:rPr>
              <w:t xml:space="preserve">health and education </w:t>
            </w:r>
            <w:r w:rsidRPr="001F3203">
              <w:rPr>
                <w:iCs/>
                <w:color w:val="000000"/>
                <w:sz w:val="16"/>
                <w:szCs w:val="16"/>
                <w:lang w:eastAsia="en-GB"/>
              </w:rPr>
              <w:t>services</w:t>
            </w:r>
            <w:r w:rsidR="002F1D8B" w:rsidRPr="001F3203">
              <w:rPr>
                <w:iCs/>
                <w:color w:val="000000"/>
                <w:sz w:val="16"/>
                <w:szCs w:val="16"/>
                <w:lang w:eastAsia="en-GB"/>
              </w:rPr>
              <w:t>.</w:t>
            </w:r>
            <w:r w:rsidRPr="001F3203">
              <w:rPr>
                <w:iCs/>
                <w:color w:val="000000"/>
                <w:sz w:val="16"/>
                <w:szCs w:val="16"/>
                <w:lang w:eastAsia="en-GB"/>
              </w:rPr>
              <w:t xml:space="preserve"> </w:t>
            </w:r>
          </w:p>
          <w:p w14:paraId="6C10B371" w14:textId="77777777" w:rsidR="00792704" w:rsidRPr="001F3203" w:rsidRDefault="00792704">
            <w:pPr>
              <w:rPr>
                <w:iCs/>
                <w:color w:val="000000"/>
                <w:sz w:val="16"/>
                <w:szCs w:val="16"/>
                <w:lang w:eastAsia="en-GB"/>
              </w:rPr>
            </w:pPr>
            <w:r w:rsidRPr="001F3203">
              <w:rPr>
                <w:b/>
                <w:iCs/>
                <w:color w:val="000000"/>
                <w:sz w:val="16"/>
                <w:szCs w:val="16"/>
                <w:lang w:eastAsia="en-GB"/>
              </w:rPr>
              <w:t>Baseline</w:t>
            </w:r>
            <w:r w:rsidR="000C6415" w:rsidRPr="001F3203">
              <w:rPr>
                <w:b/>
                <w:iCs/>
                <w:color w:val="000000"/>
                <w:sz w:val="16"/>
                <w:szCs w:val="16"/>
                <w:lang w:eastAsia="en-GB"/>
              </w:rPr>
              <w:t>(2014)</w:t>
            </w:r>
            <w:r w:rsidRPr="001F3203">
              <w:rPr>
                <w:b/>
                <w:iCs/>
                <w:color w:val="000000"/>
                <w:sz w:val="16"/>
                <w:szCs w:val="16"/>
                <w:lang w:eastAsia="en-GB"/>
              </w:rPr>
              <w:t>:</w:t>
            </w:r>
            <w:r w:rsidRPr="001F3203">
              <w:rPr>
                <w:iCs/>
                <w:color w:val="000000"/>
                <w:sz w:val="16"/>
                <w:szCs w:val="16"/>
                <w:lang w:eastAsia="en-GB"/>
              </w:rPr>
              <w:t xml:space="preserve"> </w:t>
            </w:r>
            <w:r w:rsidR="004530E4" w:rsidRPr="001F3203">
              <w:rPr>
                <w:iCs/>
                <w:sz w:val="16"/>
                <w:szCs w:val="16"/>
                <w:lang w:eastAsia="en-GB"/>
              </w:rPr>
              <w:t>4</w:t>
            </w:r>
            <w:r w:rsidR="00952A38" w:rsidRPr="001F3203">
              <w:rPr>
                <w:iCs/>
                <w:color w:val="000000"/>
                <w:sz w:val="16"/>
                <w:szCs w:val="16"/>
                <w:lang w:eastAsia="en-GB"/>
              </w:rPr>
              <w:t>%</w:t>
            </w:r>
            <w:r w:rsidRPr="001F3203">
              <w:rPr>
                <w:iCs/>
                <w:color w:val="000000"/>
                <w:sz w:val="16"/>
                <w:szCs w:val="16"/>
                <w:lang w:eastAsia="en-GB"/>
              </w:rPr>
              <w:t xml:space="preserve"> </w:t>
            </w:r>
          </w:p>
          <w:p w14:paraId="57C0D5A8" w14:textId="77777777" w:rsidR="00792704" w:rsidRPr="001F3203" w:rsidRDefault="00792704">
            <w:pPr>
              <w:rPr>
                <w:iCs/>
                <w:color w:val="000000"/>
                <w:sz w:val="16"/>
                <w:szCs w:val="16"/>
                <w:lang w:eastAsia="en-GB"/>
              </w:rPr>
            </w:pPr>
            <w:r w:rsidRPr="001F3203">
              <w:rPr>
                <w:b/>
                <w:iCs/>
                <w:color w:val="000000"/>
                <w:sz w:val="16"/>
                <w:szCs w:val="16"/>
                <w:lang w:eastAsia="en-GB"/>
              </w:rPr>
              <w:t>Target:</w:t>
            </w:r>
            <w:r w:rsidRPr="001F3203">
              <w:rPr>
                <w:iCs/>
                <w:color w:val="000000"/>
                <w:sz w:val="16"/>
                <w:szCs w:val="16"/>
                <w:lang w:eastAsia="en-GB"/>
              </w:rPr>
              <w:t xml:space="preserve"> </w:t>
            </w:r>
            <w:r w:rsidR="002F1D8B" w:rsidRPr="001F3203">
              <w:rPr>
                <w:iCs/>
                <w:color w:val="000000"/>
                <w:sz w:val="16"/>
                <w:szCs w:val="16"/>
                <w:lang w:eastAsia="en-GB"/>
              </w:rPr>
              <w:t>3</w:t>
            </w:r>
            <w:r w:rsidR="007C5A1A" w:rsidRPr="001F3203">
              <w:rPr>
                <w:iCs/>
                <w:color w:val="000000"/>
                <w:sz w:val="16"/>
                <w:szCs w:val="16"/>
                <w:lang w:eastAsia="en-GB"/>
              </w:rPr>
              <w:t>0</w:t>
            </w:r>
            <w:r w:rsidR="00952A38" w:rsidRPr="001F3203">
              <w:rPr>
                <w:iCs/>
                <w:color w:val="000000"/>
                <w:sz w:val="16"/>
                <w:szCs w:val="16"/>
                <w:lang w:eastAsia="en-GB"/>
              </w:rPr>
              <w:t>%</w:t>
            </w:r>
            <w:r w:rsidRPr="001F3203">
              <w:rPr>
                <w:iCs/>
                <w:color w:val="000000"/>
                <w:sz w:val="16"/>
                <w:szCs w:val="16"/>
                <w:lang w:eastAsia="en-GB"/>
              </w:rPr>
              <w:br/>
            </w:r>
            <w:r w:rsidR="00F17F62" w:rsidRPr="001F3203">
              <w:rPr>
                <w:iCs/>
                <w:color w:val="000000"/>
                <w:sz w:val="16"/>
                <w:szCs w:val="16"/>
                <w:lang w:eastAsia="en-GB"/>
              </w:rPr>
              <w:t>Source</w:t>
            </w:r>
            <w:r w:rsidRPr="001F3203">
              <w:rPr>
                <w:iCs/>
                <w:color w:val="000000"/>
                <w:sz w:val="16"/>
                <w:szCs w:val="16"/>
                <w:lang w:eastAsia="en-GB"/>
              </w:rPr>
              <w:t xml:space="preserve">: Local government </w:t>
            </w:r>
            <w:r w:rsidR="002D1C12" w:rsidRPr="001F3203">
              <w:rPr>
                <w:iCs/>
                <w:color w:val="000000"/>
                <w:sz w:val="16"/>
                <w:szCs w:val="16"/>
                <w:lang w:eastAsia="en-GB"/>
              </w:rPr>
              <w:t>budget</w:t>
            </w:r>
          </w:p>
          <w:p w14:paraId="1BD1858B" w14:textId="77777777" w:rsidR="00792704" w:rsidRPr="001F3203" w:rsidRDefault="00792704">
            <w:pPr>
              <w:rPr>
                <w:iCs/>
                <w:color w:val="000000"/>
                <w:sz w:val="16"/>
                <w:szCs w:val="16"/>
                <w:lang w:eastAsia="en-GB"/>
              </w:rPr>
            </w:pPr>
          </w:p>
          <w:p w14:paraId="4FFCF478" w14:textId="483769E0" w:rsidR="00792704" w:rsidRPr="001F3203" w:rsidRDefault="00792704">
            <w:pPr>
              <w:rPr>
                <w:iCs/>
                <w:strike/>
                <w:color w:val="000000"/>
                <w:sz w:val="16"/>
                <w:szCs w:val="16"/>
                <w:lang w:eastAsia="en-GB"/>
              </w:rPr>
            </w:pPr>
            <w:r w:rsidRPr="001F3203">
              <w:rPr>
                <w:b/>
                <w:iCs/>
                <w:color w:val="000000"/>
                <w:sz w:val="16"/>
                <w:szCs w:val="16"/>
                <w:lang w:val="en-GB" w:eastAsia="en-GB"/>
              </w:rPr>
              <w:t>Indicator:</w:t>
            </w:r>
            <w:r w:rsidRPr="001F3203">
              <w:rPr>
                <w:iCs/>
                <w:color w:val="000000"/>
                <w:sz w:val="16"/>
                <w:szCs w:val="16"/>
                <w:lang w:eastAsia="en-GB"/>
              </w:rPr>
              <w:t xml:space="preserve"> Percentage of </w:t>
            </w:r>
            <w:r w:rsidR="00A3404E">
              <w:rPr>
                <w:iCs/>
                <w:color w:val="000000"/>
                <w:sz w:val="16"/>
                <w:szCs w:val="16"/>
                <w:lang w:eastAsia="en-GB"/>
              </w:rPr>
              <w:t>sustainable development goal</w:t>
            </w:r>
            <w:r w:rsidR="00A3404E" w:rsidRPr="001F3203">
              <w:rPr>
                <w:iCs/>
                <w:color w:val="000000"/>
                <w:sz w:val="16"/>
                <w:szCs w:val="16"/>
                <w:lang w:eastAsia="en-GB"/>
              </w:rPr>
              <w:t xml:space="preserve"> </w:t>
            </w:r>
            <w:r w:rsidRPr="001F3203">
              <w:rPr>
                <w:iCs/>
                <w:color w:val="000000"/>
                <w:sz w:val="16"/>
                <w:szCs w:val="16"/>
                <w:lang w:eastAsia="en-GB"/>
              </w:rPr>
              <w:t xml:space="preserve">action plans and </w:t>
            </w:r>
            <w:r w:rsidR="00A3404E">
              <w:rPr>
                <w:iCs/>
                <w:color w:val="000000"/>
                <w:sz w:val="16"/>
                <w:szCs w:val="16"/>
                <w:lang w:eastAsia="en-GB"/>
              </w:rPr>
              <w:t>goal-related</w:t>
            </w:r>
            <w:r w:rsidR="00D814D8" w:rsidRPr="001F3203">
              <w:rPr>
                <w:iCs/>
                <w:color w:val="000000"/>
                <w:sz w:val="16"/>
                <w:szCs w:val="16"/>
                <w:lang w:eastAsia="en-GB"/>
              </w:rPr>
              <w:t xml:space="preserve"> </w:t>
            </w:r>
            <w:r w:rsidRPr="001F3203">
              <w:rPr>
                <w:iCs/>
                <w:color w:val="000000"/>
                <w:sz w:val="16"/>
                <w:szCs w:val="16"/>
                <w:lang w:eastAsia="en-GB"/>
              </w:rPr>
              <w:t xml:space="preserve">acceleration frameworks that are </w:t>
            </w:r>
            <w:r w:rsidR="0041515D" w:rsidRPr="001F3203">
              <w:rPr>
                <w:iCs/>
                <w:color w:val="000000"/>
                <w:sz w:val="16"/>
                <w:szCs w:val="16"/>
                <w:lang w:eastAsia="en-GB"/>
              </w:rPr>
              <w:t xml:space="preserve">at least 70% </w:t>
            </w:r>
            <w:r w:rsidRPr="001F3203">
              <w:rPr>
                <w:iCs/>
                <w:color w:val="000000"/>
                <w:sz w:val="16"/>
                <w:szCs w:val="16"/>
                <w:lang w:eastAsia="en-GB"/>
              </w:rPr>
              <w:t>funded</w:t>
            </w:r>
            <w:r w:rsidR="0041515D" w:rsidRPr="001F3203">
              <w:rPr>
                <w:iCs/>
                <w:color w:val="000000"/>
                <w:sz w:val="16"/>
                <w:szCs w:val="16"/>
                <w:lang w:eastAsia="en-GB"/>
              </w:rPr>
              <w:t>.</w:t>
            </w:r>
            <w:r w:rsidRPr="001F3203">
              <w:rPr>
                <w:iCs/>
                <w:color w:val="000000"/>
                <w:sz w:val="16"/>
                <w:szCs w:val="16"/>
                <w:lang w:eastAsia="en-GB"/>
              </w:rPr>
              <w:t xml:space="preserve"> </w:t>
            </w:r>
          </w:p>
          <w:p w14:paraId="363B8AAB" w14:textId="77777777" w:rsidR="00792704" w:rsidRPr="001F3203" w:rsidRDefault="00792704">
            <w:pPr>
              <w:rPr>
                <w:iCs/>
                <w:color w:val="000000"/>
                <w:sz w:val="16"/>
                <w:szCs w:val="16"/>
                <w:lang w:eastAsia="en-GB"/>
              </w:rPr>
            </w:pPr>
            <w:r w:rsidRPr="001F3203">
              <w:rPr>
                <w:b/>
                <w:iCs/>
                <w:color w:val="000000"/>
                <w:sz w:val="16"/>
                <w:szCs w:val="16"/>
                <w:lang w:eastAsia="en-GB"/>
              </w:rPr>
              <w:t>Baseline</w:t>
            </w:r>
            <w:r w:rsidR="000C6415" w:rsidRPr="001F3203">
              <w:rPr>
                <w:b/>
                <w:iCs/>
                <w:color w:val="000000"/>
                <w:sz w:val="16"/>
                <w:szCs w:val="16"/>
                <w:lang w:eastAsia="en-GB"/>
              </w:rPr>
              <w:t>(2014)</w:t>
            </w:r>
            <w:r w:rsidRPr="001F3203">
              <w:rPr>
                <w:b/>
                <w:iCs/>
                <w:color w:val="000000"/>
                <w:sz w:val="16"/>
                <w:szCs w:val="16"/>
                <w:lang w:eastAsia="en-GB"/>
              </w:rPr>
              <w:t>:</w:t>
            </w:r>
            <w:r w:rsidRPr="001F3203">
              <w:rPr>
                <w:iCs/>
                <w:color w:val="000000"/>
                <w:sz w:val="16"/>
                <w:szCs w:val="16"/>
                <w:lang w:eastAsia="en-GB"/>
              </w:rPr>
              <w:t xml:space="preserve"> 0% </w:t>
            </w:r>
          </w:p>
          <w:p w14:paraId="25438B41" w14:textId="77777777" w:rsidR="00792704" w:rsidRPr="001F3203" w:rsidRDefault="00792704">
            <w:pPr>
              <w:rPr>
                <w:iCs/>
                <w:color w:val="000000"/>
                <w:sz w:val="16"/>
                <w:szCs w:val="16"/>
                <w:lang w:eastAsia="en-GB"/>
              </w:rPr>
            </w:pPr>
            <w:r w:rsidRPr="001F3203">
              <w:rPr>
                <w:b/>
                <w:iCs/>
                <w:color w:val="000000"/>
                <w:sz w:val="16"/>
                <w:szCs w:val="16"/>
                <w:lang w:eastAsia="en-GB"/>
              </w:rPr>
              <w:t>Target</w:t>
            </w:r>
            <w:r w:rsidRPr="001F3203">
              <w:rPr>
                <w:iCs/>
                <w:color w:val="000000"/>
                <w:sz w:val="16"/>
                <w:szCs w:val="16"/>
                <w:lang w:eastAsia="en-GB"/>
              </w:rPr>
              <w:t xml:space="preserve">: 80% </w:t>
            </w:r>
          </w:p>
          <w:p w14:paraId="2B41FAE1" w14:textId="77777777" w:rsidR="00792704" w:rsidRPr="001F3203" w:rsidRDefault="00F17F62">
            <w:pPr>
              <w:rPr>
                <w:iCs/>
                <w:color w:val="000000"/>
                <w:sz w:val="16"/>
                <w:szCs w:val="16"/>
                <w:lang w:eastAsia="en-GB"/>
              </w:rPr>
            </w:pPr>
            <w:r w:rsidRPr="001F3203">
              <w:rPr>
                <w:iCs/>
                <w:color w:val="000000"/>
                <w:sz w:val="16"/>
                <w:szCs w:val="16"/>
                <w:lang w:eastAsia="en-GB"/>
              </w:rPr>
              <w:t>Source</w:t>
            </w:r>
            <w:r w:rsidR="00792704" w:rsidRPr="001F3203">
              <w:rPr>
                <w:iCs/>
                <w:color w:val="000000"/>
                <w:sz w:val="16"/>
                <w:szCs w:val="16"/>
                <w:lang w:eastAsia="en-GB"/>
              </w:rPr>
              <w:t>: BAPPENAS</w:t>
            </w:r>
          </w:p>
          <w:p w14:paraId="1D426168" w14:textId="77777777" w:rsidR="00792704" w:rsidRPr="001F3203" w:rsidRDefault="00792704">
            <w:pPr>
              <w:rPr>
                <w:iCs/>
                <w:color w:val="000000"/>
                <w:sz w:val="16"/>
                <w:szCs w:val="16"/>
                <w:lang w:eastAsia="en-GB"/>
              </w:rPr>
            </w:pPr>
          </w:p>
          <w:p w14:paraId="169F9A31" w14:textId="77777777" w:rsidR="00792704" w:rsidRPr="001F3203" w:rsidRDefault="00893BB0">
            <w:pPr>
              <w:rPr>
                <w:b/>
                <w:iCs/>
                <w:color w:val="000000"/>
                <w:sz w:val="16"/>
                <w:szCs w:val="16"/>
                <w:lang w:eastAsia="en-GB"/>
              </w:rPr>
            </w:pPr>
            <w:r w:rsidRPr="001F3203">
              <w:rPr>
                <w:b/>
                <w:iCs/>
                <w:color w:val="000000"/>
                <w:sz w:val="16"/>
                <w:szCs w:val="16"/>
                <w:lang w:eastAsia="en-GB"/>
              </w:rPr>
              <w:t>2.2-</w:t>
            </w:r>
            <w:r w:rsidR="00792704" w:rsidRPr="001F3203">
              <w:rPr>
                <w:b/>
                <w:iCs/>
                <w:color w:val="000000"/>
                <w:sz w:val="16"/>
                <w:szCs w:val="16"/>
                <w:lang w:eastAsia="en-GB"/>
              </w:rPr>
              <w:t>P</w:t>
            </w:r>
            <w:r w:rsidR="00887B53" w:rsidRPr="001F3203">
              <w:rPr>
                <w:b/>
                <w:iCs/>
                <w:color w:val="000000"/>
                <w:sz w:val="16"/>
                <w:szCs w:val="16"/>
                <w:lang w:eastAsia="en-GB"/>
              </w:rPr>
              <w:t>olicy/l</w:t>
            </w:r>
            <w:r w:rsidR="00792704" w:rsidRPr="001F3203">
              <w:rPr>
                <w:b/>
                <w:iCs/>
                <w:color w:val="000000"/>
                <w:sz w:val="16"/>
                <w:szCs w:val="16"/>
                <w:lang w:eastAsia="en-GB"/>
              </w:rPr>
              <w:t>egal frameworks  strengthened, and systems established nationally and in targeted regions, to improve access to social services and medicines by excluded groups</w:t>
            </w:r>
          </w:p>
          <w:p w14:paraId="03EB0140" w14:textId="77777777" w:rsidR="00792704" w:rsidRPr="001F3203" w:rsidRDefault="00792704">
            <w:pPr>
              <w:rPr>
                <w:iCs/>
                <w:color w:val="000000"/>
                <w:sz w:val="16"/>
                <w:szCs w:val="16"/>
                <w:lang w:eastAsia="en-GB"/>
              </w:rPr>
            </w:pPr>
          </w:p>
          <w:p w14:paraId="699BB79C" w14:textId="77777777" w:rsidR="00792704" w:rsidRPr="001F3203" w:rsidRDefault="00792704">
            <w:pPr>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Number of </w:t>
            </w:r>
            <w:r w:rsidR="00481E0E" w:rsidRPr="001F3203">
              <w:rPr>
                <w:iCs/>
                <w:color w:val="000000"/>
                <w:sz w:val="16"/>
                <w:szCs w:val="16"/>
                <w:lang w:eastAsia="en-GB"/>
              </w:rPr>
              <w:t xml:space="preserve">national </w:t>
            </w:r>
            <w:r w:rsidRPr="001F3203">
              <w:rPr>
                <w:iCs/>
                <w:color w:val="000000"/>
                <w:sz w:val="16"/>
                <w:szCs w:val="16"/>
                <w:lang w:eastAsia="en-GB"/>
              </w:rPr>
              <w:t xml:space="preserve">regulations </w:t>
            </w:r>
            <w:r w:rsidR="00481E0E" w:rsidRPr="001F3203">
              <w:rPr>
                <w:iCs/>
                <w:color w:val="000000"/>
                <w:sz w:val="16"/>
                <w:szCs w:val="16"/>
                <w:lang w:eastAsia="en-GB"/>
              </w:rPr>
              <w:t xml:space="preserve">derived from </w:t>
            </w:r>
            <w:r w:rsidRPr="001F3203">
              <w:rPr>
                <w:iCs/>
                <w:color w:val="000000"/>
                <w:sz w:val="16"/>
                <w:szCs w:val="16"/>
                <w:lang w:eastAsia="en-GB"/>
              </w:rPr>
              <w:t>t</w:t>
            </w:r>
            <w:r w:rsidR="00481E0E" w:rsidRPr="001F3203">
              <w:rPr>
                <w:iCs/>
                <w:color w:val="000000"/>
                <w:sz w:val="16"/>
                <w:szCs w:val="16"/>
                <w:lang w:eastAsia="en-GB"/>
              </w:rPr>
              <w:t xml:space="preserve">he </w:t>
            </w:r>
            <w:r w:rsidRPr="001F3203">
              <w:rPr>
                <w:iCs/>
                <w:color w:val="000000"/>
                <w:sz w:val="16"/>
                <w:szCs w:val="16"/>
                <w:lang w:eastAsia="en-GB"/>
              </w:rPr>
              <w:t xml:space="preserve">universal health coverage </w:t>
            </w:r>
            <w:r w:rsidR="00BC6CB6">
              <w:rPr>
                <w:iCs/>
                <w:color w:val="000000"/>
                <w:sz w:val="16"/>
                <w:szCs w:val="16"/>
                <w:lang w:eastAsia="en-GB"/>
              </w:rPr>
              <w:t xml:space="preserve">(UHC) </w:t>
            </w:r>
            <w:r w:rsidRPr="001F3203">
              <w:rPr>
                <w:iCs/>
                <w:color w:val="000000"/>
                <w:sz w:val="16"/>
                <w:szCs w:val="16"/>
                <w:lang w:eastAsia="en-GB"/>
              </w:rPr>
              <w:t xml:space="preserve">that are explicitly inclusive of minority groups. </w:t>
            </w:r>
          </w:p>
          <w:p w14:paraId="15DFC0D4" w14:textId="77777777" w:rsidR="00792704" w:rsidRPr="001F3203" w:rsidRDefault="00792704">
            <w:pPr>
              <w:rPr>
                <w:iCs/>
                <w:color w:val="000000"/>
                <w:sz w:val="16"/>
                <w:szCs w:val="16"/>
                <w:lang w:eastAsia="en-GB"/>
              </w:rPr>
            </w:pPr>
            <w:r w:rsidRPr="001F3203">
              <w:rPr>
                <w:b/>
                <w:iCs/>
                <w:color w:val="000000"/>
                <w:sz w:val="16"/>
                <w:szCs w:val="16"/>
                <w:lang w:eastAsia="en-GB"/>
              </w:rPr>
              <w:t>Baseline</w:t>
            </w:r>
            <w:r w:rsidR="000C6415" w:rsidRPr="001F3203">
              <w:rPr>
                <w:b/>
                <w:iCs/>
                <w:color w:val="000000"/>
                <w:sz w:val="16"/>
                <w:szCs w:val="16"/>
                <w:lang w:eastAsia="en-GB"/>
              </w:rPr>
              <w:t>(2014)</w:t>
            </w:r>
            <w:r w:rsidRPr="001F3203">
              <w:rPr>
                <w:b/>
                <w:iCs/>
                <w:color w:val="000000"/>
                <w:sz w:val="16"/>
                <w:szCs w:val="16"/>
                <w:lang w:eastAsia="en-GB"/>
              </w:rPr>
              <w:t>:</w:t>
            </w:r>
            <w:r w:rsidRPr="001F3203">
              <w:rPr>
                <w:iCs/>
                <w:color w:val="000000"/>
                <w:sz w:val="16"/>
                <w:szCs w:val="16"/>
                <w:lang w:eastAsia="en-GB"/>
              </w:rPr>
              <w:t xml:space="preserve"> 0 </w:t>
            </w:r>
          </w:p>
          <w:p w14:paraId="43F540BC" w14:textId="77777777" w:rsidR="00792704" w:rsidRPr="001F3203" w:rsidRDefault="00792704">
            <w:pPr>
              <w:rPr>
                <w:iCs/>
                <w:color w:val="000000"/>
                <w:sz w:val="16"/>
                <w:szCs w:val="16"/>
                <w:lang w:eastAsia="en-GB"/>
              </w:rPr>
            </w:pPr>
            <w:r w:rsidRPr="001F3203">
              <w:rPr>
                <w:b/>
                <w:iCs/>
                <w:color w:val="000000"/>
                <w:sz w:val="16"/>
                <w:szCs w:val="16"/>
                <w:lang w:eastAsia="en-GB"/>
              </w:rPr>
              <w:t>Target:</w:t>
            </w:r>
            <w:r w:rsidRPr="001F3203">
              <w:rPr>
                <w:iCs/>
                <w:color w:val="000000"/>
                <w:sz w:val="16"/>
                <w:szCs w:val="16"/>
                <w:lang w:eastAsia="en-GB"/>
              </w:rPr>
              <w:t xml:space="preserve"> 4 </w:t>
            </w:r>
          </w:p>
          <w:p w14:paraId="32C13D38" w14:textId="77777777" w:rsidR="00792704" w:rsidRPr="001F3203" w:rsidRDefault="00F17F62">
            <w:pPr>
              <w:keepNext/>
              <w:outlineLvl w:val="1"/>
              <w:rPr>
                <w:iCs/>
                <w:color w:val="000000"/>
                <w:sz w:val="16"/>
                <w:szCs w:val="16"/>
                <w:lang w:eastAsia="en-GB"/>
              </w:rPr>
            </w:pPr>
            <w:r w:rsidRPr="001F3203">
              <w:rPr>
                <w:iCs/>
                <w:color w:val="000000"/>
                <w:sz w:val="16"/>
                <w:szCs w:val="16"/>
                <w:lang w:eastAsia="en-GB"/>
              </w:rPr>
              <w:t>Source</w:t>
            </w:r>
            <w:r w:rsidR="00792704" w:rsidRPr="001F3203">
              <w:rPr>
                <w:iCs/>
                <w:color w:val="000000"/>
                <w:sz w:val="16"/>
                <w:szCs w:val="16"/>
                <w:lang w:eastAsia="en-GB"/>
              </w:rPr>
              <w:t>: UHC regulations</w:t>
            </w:r>
          </w:p>
          <w:p w14:paraId="3A566DC7" w14:textId="77777777" w:rsidR="00792704" w:rsidRPr="001F3203" w:rsidRDefault="00792704">
            <w:pPr>
              <w:rPr>
                <w:iCs/>
                <w:color w:val="000000"/>
                <w:sz w:val="16"/>
                <w:szCs w:val="16"/>
                <w:lang w:eastAsia="en-GB"/>
              </w:rPr>
            </w:pPr>
          </w:p>
          <w:p w14:paraId="20BE3C5E" w14:textId="10E58CC5" w:rsidR="00792704" w:rsidRPr="001F3203" w:rsidRDefault="00792704" w:rsidP="00670D3E">
            <w:pPr>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 of </w:t>
            </w:r>
            <w:r w:rsidR="00481E0E" w:rsidRPr="001F3203">
              <w:rPr>
                <w:iCs/>
                <w:color w:val="000000"/>
                <w:sz w:val="16"/>
                <w:szCs w:val="16"/>
                <w:lang w:eastAsia="en-GB"/>
              </w:rPr>
              <w:t xml:space="preserve">people benefitting from </w:t>
            </w:r>
            <w:r w:rsidRPr="001F3203">
              <w:rPr>
                <w:iCs/>
                <w:color w:val="000000"/>
                <w:sz w:val="16"/>
                <w:szCs w:val="16"/>
                <w:lang w:eastAsia="en-GB"/>
              </w:rPr>
              <w:t xml:space="preserve">basic </w:t>
            </w:r>
            <w:r w:rsidR="0041515D" w:rsidRPr="001F3203">
              <w:rPr>
                <w:iCs/>
                <w:color w:val="000000"/>
                <w:sz w:val="16"/>
                <w:szCs w:val="16"/>
                <w:lang w:eastAsia="en-GB"/>
              </w:rPr>
              <w:t xml:space="preserve">social </w:t>
            </w:r>
            <w:r w:rsidRPr="001F3203">
              <w:rPr>
                <w:iCs/>
                <w:color w:val="000000"/>
                <w:sz w:val="16"/>
                <w:szCs w:val="16"/>
                <w:lang w:eastAsia="en-GB"/>
              </w:rPr>
              <w:t>services</w:t>
            </w:r>
            <w:r w:rsidR="00F25757" w:rsidRPr="001F3203">
              <w:rPr>
                <w:iCs/>
                <w:color w:val="000000"/>
                <w:sz w:val="16"/>
                <w:szCs w:val="16"/>
                <w:lang w:eastAsia="en-GB"/>
              </w:rPr>
              <w:t xml:space="preserve"> in piloted service point</w:t>
            </w:r>
            <w:r w:rsidR="00481E0E" w:rsidRPr="001F3203">
              <w:rPr>
                <w:iCs/>
                <w:color w:val="000000"/>
                <w:sz w:val="16"/>
                <w:szCs w:val="16"/>
                <w:lang w:eastAsia="en-GB"/>
              </w:rPr>
              <w:t xml:space="preserve"> (disaggregated by</w:t>
            </w:r>
            <w:r w:rsidR="0041515D" w:rsidRPr="001F3203">
              <w:rPr>
                <w:iCs/>
                <w:color w:val="000000"/>
                <w:sz w:val="16"/>
                <w:szCs w:val="16"/>
                <w:lang w:eastAsia="en-GB"/>
              </w:rPr>
              <w:t xml:space="preserve"> sex,</w:t>
            </w:r>
            <w:r w:rsidR="00481E0E" w:rsidRPr="001F3203">
              <w:rPr>
                <w:iCs/>
                <w:color w:val="000000"/>
                <w:sz w:val="16"/>
                <w:szCs w:val="16"/>
                <w:lang w:eastAsia="en-GB"/>
              </w:rPr>
              <w:t xml:space="preserve"> </w:t>
            </w:r>
            <w:r w:rsidR="007E3A32">
              <w:rPr>
                <w:iCs/>
                <w:color w:val="000000"/>
                <w:sz w:val="16"/>
                <w:szCs w:val="16"/>
                <w:lang w:eastAsia="en-GB"/>
              </w:rPr>
              <w:t>people</w:t>
            </w:r>
            <w:r w:rsidR="00BC6CB6">
              <w:rPr>
                <w:iCs/>
                <w:color w:val="000000"/>
                <w:sz w:val="16"/>
                <w:szCs w:val="16"/>
                <w:lang w:eastAsia="en-GB"/>
              </w:rPr>
              <w:t xml:space="preserve"> living with HIV/AIDS and people with disabilities</w:t>
            </w:r>
            <w:r w:rsidR="0041515D" w:rsidRPr="001F3203">
              <w:rPr>
                <w:iCs/>
                <w:color w:val="000000"/>
                <w:sz w:val="16"/>
                <w:szCs w:val="16"/>
                <w:lang w:eastAsia="en-GB"/>
              </w:rPr>
              <w:t>)</w:t>
            </w:r>
            <w:r w:rsidRPr="001F3203">
              <w:rPr>
                <w:iCs/>
                <w:color w:val="000000"/>
                <w:sz w:val="16"/>
                <w:szCs w:val="16"/>
                <w:lang w:eastAsia="en-GB"/>
              </w:rPr>
              <w:t>.</w:t>
            </w:r>
          </w:p>
          <w:p w14:paraId="3D1EAA28" w14:textId="5156259A" w:rsidR="00792704" w:rsidRPr="001F3203" w:rsidRDefault="00792704">
            <w:pPr>
              <w:rPr>
                <w:iCs/>
                <w:color w:val="000000"/>
                <w:sz w:val="16"/>
                <w:szCs w:val="16"/>
                <w:lang w:val="en-GB" w:eastAsia="en-GB"/>
              </w:rPr>
            </w:pPr>
            <w:r w:rsidRPr="001F3203">
              <w:rPr>
                <w:b/>
                <w:iCs/>
                <w:color w:val="000000"/>
                <w:sz w:val="16"/>
                <w:szCs w:val="16"/>
                <w:lang w:val="en-GB" w:eastAsia="en-GB"/>
              </w:rPr>
              <w:t>Baseline:</w:t>
            </w:r>
            <w:r w:rsidRPr="001F3203">
              <w:rPr>
                <w:iCs/>
                <w:color w:val="000000"/>
                <w:sz w:val="16"/>
                <w:szCs w:val="16"/>
                <w:lang w:val="en-GB" w:eastAsia="en-GB"/>
              </w:rPr>
              <w:t xml:space="preserve"> </w:t>
            </w:r>
            <w:r w:rsidR="00F7127B" w:rsidRPr="001F3203">
              <w:rPr>
                <w:iCs/>
                <w:color w:val="000000"/>
                <w:sz w:val="16"/>
                <w:szCs w:val="16"/>
                <w:lang w:val="en-GB" w:eastAsia="en-GB"/>
              </w:rPr>
              <w:t>TBD</w:t>
            </w:r>
            <w:r w:rsidR="00A34535" w:rsidRPr="001F3203">
              <w:rPr>
                <w:iCs/>
                <w:color w:val="000000"/>
                <w:sz w:val="16"/>
                <w:szCs w:val="16"/>
                <w:lang w:val="en-GB" w:eastAsia="en-GB"/>
              </w:rPr>
              <w:t xml:space="preserve"> </w:t>
            </w:r>
          </w:p>
          <w:p w14:paraId="5C72895C" w14:textId="70ED5C16" w:rsidR="00792704" w:rsidRPr="001F3203" w:rsidRDefault="00792704">
            <w:pPr>
              <w:rPr>
                <w:iCs/>
                <w:color w:val="000000"/>
                <w:sz w:val="16"/>
                <w:szCs w:val="16"/>
                <w:lang w:val="en-GB" w:eastAsia="en-GB"/>
              </w:rPr>
            </w:pPr>
            <w:r w:rsidRPr="001F3203">
              <w:rPr>
                <w:b/>
                <w:iCs/>
                <w:color w:val="000000"/>
                <w:sz w:val="16"/>
                <w:szCs w:val="16"/>
                <w:lang w:val="en-GB" w:eastAsia="en-GB"/>
              </w:rPr>
              <w:lastRenderedPageBreak/>
              <w:t>Target</w:t>
            </w:r>
            <w:r w:rsidR="00F7127B" w:rsidRPr="001F3203">
              <w:rPr>
                <w:b/>
                <w:iCs/>
                <w:color w:val="000000"/>
                <w:sz w:val="16"/>
                <w:szCs w:val="16"/>
                <w:lang w:val="en-GB" w:eastAsia="en-GB"/>
              </w:rPr>
              <w:t xml:space="preserve">: </w:t>
            </w:r>
            <w:r w:rsidR="00F7127B" w:rsidRPr="001F3203">
              <w:rPr>
                <w:iCs/>
                <w:color w:val="000000"/>
                <w:sz w:val="16"/>
                <w:szCs w:val="16"/>
                <w:lang w:val="en-GB" w:eastAsia="en-GB"/>
              </w:rPr>
              <w:t>TBD</w:t>
            </w:r>
          </w:p>
          <w:p w14:paraId="310C7D8B" w14:textId="088D88DD" w:rsidR="00792704" w:rsidRPr="001F3203" w:rsidRDefault="00F17F62">
            <w:pPr>
              <w:keepNext/>
              <w:outlineLvl w:val="1"/>
              <w:rPr>
                <w:iCs/>
                <w:color w:val="000000"/>
                <w:sz w:val="16"/>
                <w:szCs w:val="16"/>
                <w:lang w:val="en-GB" w:eastAsia="en-GB"/>
              </w:rPr>
            </w:pPr>
            <w:r w:rsidRPr="001F3203">
              <w:rPr>
                <w:iCs/>
                <w:color w:val="000000"/>
                <w:sz w:val="16"/>
                <w:szCs w:val="16"/>
                <w:lang w:val="en-GB" w:eastAsia="en-GB"/>
              </w:rPr>
              <w:t>Source</w:t>
            </w:r>
            <w:r w:rsidR="00792704" w:rsidRPr="001F3203">
              <w:rPr>
                <w:iCs/>
                <w:color w:val="000000"/>
                <w:sz w:val="16"/>
                <w:szCs w:val="16"/>
                <w:lang w:val="en-GB" w:eastAsia="en-GB"/>
              </w:rPr>
              <w:t xml:space="preserve">: </w:t>
            </w:r>
            <w:r w:rsidR="0041515D" w:rsidRPr="001F3203">
              <w:rPr>
                <w:iCs/>
                <w:color w:val="000000"/>
                <w:sz w:val="16"/>
                <w:szCs w:val="16"/>
                <w:lang w:val="en-GB" w:eastAsia="en-GB"/>
              </w:rPr>
              <w:t xml:space="preserve">New system within </w:t>
            </w:r>
            <w:r w:rsidR="00BC6CB6">
              <w:rPr>
                <w:iCs/>
                <w:color w:val="000000"/>
                <w:sz w:val="16"/>
                <w:szCs w:val="16"/>
                <w:lang w:val="en-GB" w:eastAsia="en-GB"/>
              </w:rPr>
              <w:t xml:space="preserve">the Regional Development Planning Agency </w:t>
            </w:r>
            <w:r w:rsidR="00792704" w:rsidRPr="001F3203">
              <w:rPr>
                <w:iCs/>
                <w:color w:val="000000"/>
                <w:sz w:val="16"/>
                <w:szCs w:val="16"/>
                <w:lang w:val="en-GB" w:eastAsia="en-GB"/>
              </w:rPr>
              <w:t xml:space="preserve"> </w:t>
            </w:r>
          </w:p>
          <w:p w14:paraId="4738FF48" w14:textId="77777777" w:rsidR="00792704" w:rsidRPr="001F3203" w:rsidRDefault="00792704">
            <w:pPr>
              <w:rPr>
                <w:iCs/>
                <w:color w:val="000000"/>
                <w:sz w:val="16"/>
                <w:szCs w:val="16"/>
                <w:lang w:val="en-GB" w:eastAsia="en-GB"/>
              </w:rPr>
            </w:pPr>
          </w:p>
          <w:p w14:paraId="70A6596D" w14:textId="75C12F79" w:rsidR="00792704" w:rsidRPr="001F3203" w:rsidRDefault="00893BB0">
            <w:pPr>
              <w:spacing w:line="256" w:lineRule="auto"/>
              <w:rPr>
                <w:b/>
                <w:bCs/>
                <w:color w:val="000000"/>
                <w:sz w:val="16"/>
                <w:szCs w:val="16"/>
                <w:lang w:val="en-GB" w:eastAsia="en-GB"/>
              </w:rPr>
            </w:pPr>
            <w:r w:rsidRPr="001F3203">
              <w:rPr>
                <w:b/>
                <w:bCs/>
                <w:color w:val="000000"/>
                <w:sz w:val="16"/>
                <w:szCs w:val="16"/>
                <w:lang w:val="en-GB" w:eastAsia="en-GB"/>
              </w:rPr>
              <w:t>2.3-</w:t>
            </w:r>
            <w:r w:rsidR="00887B53" w:rsidRPr="001F3203">
              <w:rPr>
                <w:b/>
                <w:bCs/>
                <w:color w:val="000000"/>
                <w:sz w:val="16"/>
                <w:szCs w:val="16"/>
                <w:lang w:val="en-GB" w:eastAsia="en-GB"/>
              </w:rPr>
              <w:t>Institutional/financing capacity of sub</w:t>
            </w:r>
            <w:r w:rsidR="00BC6CB6" w:rsidRPr="001F3203">
              <w:rPr>
                <w:b/>
                <w:bCs/>
                <w:color w:val="000000"/>
                <w:sz w:val="16"/>
                <w:szCs w:val="16"/>
                <w:lang w:val="en-GB" w:eastAsia="en-GB"/>
              </w:rPr>
              <w:t>national</w:t>
            </w:r>
            <w:r w:rsidR="00BC6CB6">
              <w:rPr>
                <w:b/>
                <w:bCs/>
                <w:color w:val="000000"/>
                <w:sz w:val="16"/>
                <w:szCs w:val="16"/>
                <w:lang w:val="en-GB" w:eastAsia="en-GB"/>
              </w:rPr>
              <w:t>-</w:t>
            </w:r>
            <w:r w:rsidR="00792704" w:rsidRPr="001F3203">
              <w:rPr>
                <w:b/>
                <w:bCs/>
                <w:color w:val="000000"/>
                <w:sz w:val="16"/>
                <w:szCs w:val="16"/>
                <w:lang w:val="en-GB" w:eastAsia="en-GB"/>
              </w:rPr>
              <w:t>level institutions enhanced to deliver improved basic services and respond to priorities voiced by the public</w:t>
            </w:r>
          </w:p>
          <w:p w14:paraId="38C1967F" w14:textId="77777777" w:rsidR="00792704" w:rsidRPr="001F3203" w:rsidRDefault="00792704">
            <w:pPr>
              <w:spacing w:line="256" w:lineRule="auto"/>
              <w:rPr>
                <w:b/>
                <w:bCs/>
                <w:color w:val="000000"/>
                <w:sz w:val="16"/>
                <w:szCs w:val="16"/>
                <w:lang w:val="en-GB" w:eastAsia="en-GB"/>
              </w:rPr>
            </w:pPr>
          </w:p>
          <w:p w14:paraId="75B74F30" w14:textId="77777777"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Indicator:</w:t>
            </w:r>
            <w:r w:rsidRPr="001F3203">
              <w:rPr>
                <w:bCs/>
                <w:color w:val="000000"/>
                <w:sz w:val="16"/>
                <w:szCs w:val="16"/>
                <w:lang w:val="en-GB" w:eastAsia="en-GB"/>
              </w:rPr>
              <w:t xml:space="preserve"> Number of targeted provincial and district governments that </w:t>
            </w:r>
            <w:r w:rsidR="003059A5" w:rsidRPr="001F3203">
              <w:rPr>
                <w:bCs/>
                <w:color w:val="000000"/>
                <w:sz w:val="16"/>
                <w:szCs w:val="16"/>
                <w:lang w:val="en-GB" w:eastAsia="en-GB"/>
              </w:rPr>
              <w:t xml:space="preserve">achieved minimum </w:t>
            </w:r>
            <w:r w:rsidR="00CA2652" w:rsidRPr="001F3203">
              <w:rPr>
                <w:bCs/>
                <w:color w:val="000000"/>
                <w:sz w:val="16"/>
                <w:szCs w:val="16"/>
                <w:lang w:val="en-GB" w:eastAsia="en-GB"/>
              </w:rPr>
              <w:t xml:space="preserve">service </w:t>
            </w:r>
            <w:r w:rsidR="003059A5" w:rsidRPr="001F3203">
              <w:rPr>
                <w:bCs/>
                <w:color w:val="000000"/>
                <w:sz w:val="16"/>
                <w:szCs w:val="16"/>
                <w:lang w:val="en-GB" w:eastAsia="en-GB"/>
              </w:rPr>
              <w:t xml:space="preserve">standards, as stipulated in </w:t>
            </w:r>
            <w:r w:rsidR="003E2594" w:rsidRPr="001F3203">
              <w:rPr>
                <w:bCs/>
                <w:color w:val="000000"/>
                <w:sz w:val="16"/>
                <w:szCs w:val="16"/>
                <w:lang w:val="en-GB" w:eastAsia="en-GB"/>
              </w:rPr>
              <w:t xml:space="preserve">Local Governance  </w:t>
            </w:r>
            <w:r w:rsidR="003059A5" w:rsidRPr="001F3203">
              <w:rPr>
                <w:bCs/>
                <w:color w:val="000000"/>
                <w:sz w:val="16"/>
                <w:szCs w:val="16"/>
                <w:lang w:val="en-GB" w:eastAsia="en-GB"/>
              </w:rPr>
              <w:t xml:space="preserve">Law No.23/2014 </w:t>
            </w:r>
          </w:p>
          <w:p w14:paraId="1465E877" w14:textId="0F47286D"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Baseline:</w:t>
            </w:r>
            <w:r w:rsidRPr="001F3203">
              <w:rPr>
                <w:bCs/>
                <w:color w:val="000000"/>
                <w:sz w:val="16"/>
                <w:szCs w:val="16"/>
                <w:lang w:val="en-GB" w:eastAsia="en-GB"/>
              </w:rPr>
              <w:t xml:space="preserve"> </w:t>
            </w:r>
            <w:r w:rsidR="00580D6E" w:rsidRPr="001F3203">
              <w:rPr>
                <w:iCs/>
                <w:color w:val="000000"/>
                <w:sz w:val="16"/>
                <w:szCs w:val="16"/>
                <w:lang w:val="en-GB" w:eastAsia="en-GB"/>
              </w:rPr>
              <w:t>TBD</w:t>
            </w:r>
            <w:r w:rsidRPr="001F3203">
              <w:rPr>
                <w:bCs/>
                <w:color w:val="000000"/>
                <w:sz w:val="16"/>
                <w:szCs w:val="16"/>
                <w:lang w:val="en-GB" w:eastAsia="en-GB"/>
              </w:rPr>
              <w:t xml:space="preserve"> </w:t>
            </w:r>
          </w:p>
          <w:p w14:paraId="2493D2CE" w14:textId="37E68DA1"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 xml:space="preserve">Target: </w:t>
            </w:r>
            <w:r w:rsidRPr="001F3203">
              <w:rPr>
                <w:bCs/>
                <w:color w:val="000000"/>
                <w:sz w:val="16"/>
                <w:szCs w:val="16"/>
                <w:lang w:val="en-GB" w:eastAsia="en-GB"/>
              </w:rPr>
              <w:t>TBD</w:t>
            </w:r>
          </w:p>
          <w:p w14:paraId="560AFDCE" w14:textId="3E7D74D2" w:rsidR="00792704" w:rsidRPr="001F3203" w:rsidRDefault="00F17F62">
            <w:pPr>
              <w:spacing w:line="256" w:lineRule="auto"/>
              <w:rPr>
                <w:bCs/>
                <w:color w:val="000000"/>
                <w:sz w:val="16"/>
                <w:szCs w:val="16"/>
                <w:lang w:val="en-GB" w:eastAsia="en-GB"/>
              </w:rPr>
            </w:pPr>
            <w:r w:rsidRPr="001F3203">
              <w:rPr>
                <w:bCs/>
                <w:color w:val="000000"/>
                <w:sz w:val="16"/>
                <w:szCs w:val="16"/>
                <w:lang w:val="en-GB" w:eastAsia="en-GB"/>
              </w:rPr>
              <w:t>Source</w:t>
            </w:r>
            <w:r w:rsidR="00792704" w:rsidRPr="001F3203">
              <w:rPr>
                <w:bCs/>
                <w:color w:val="000000"/>
                <w:sz w:val="16"/>
                <w:szCs w:val="16"/>
                <w:lang w:val="en-GB" w:eastAsia="en-GB"/>
              </w:rPr>
              <w:t>: UNDP-</w:t>
            </w:r>
            <w:r w:rsidR="00BC6CB6">
              <w:rPr>
                <w:bCs/>
                <w:color w:val="000000"/>
                <w:sz w:val="16"/>
                <w:szCs w:val="16"/>
                <w:lang w:val="en-GB" w:eastAsia="en-GB"/>
              </w:rPr>
              <w:t>Government</w:t>
            </w:r>
            <w:r w:rsidR="00BC6CB6" w:rsidRPr="001F3203">
              <w:rPr>
                <w:bCs/>
                <w:color w:val="000000"/>
                <w:sz w:val="16"/>
                <w:szCs w:val="16"/>
                <w:lang w:val="en-GB" w:eastAsia="en-GB"/>
              </w:rPr>
              <w:t xml:space="preserve"> </w:t>
            </w:r>
            <w:r w:rsidR="00792704" w:rsidRPr="001F3203">
              <w:rPr>
                <w:bCs/>
                <w:color w:val="000000"/>
                <w:sz w:val="16"/>
                <w:szCs w:val="16"/>
                <w:lang w:val="en-GB" w:eastAsia="en-GB"/>
              </w:rPr>
              <w:t>assessment</w:t>
            </w:r>
          </w:p>
          <w:p w14:paraId="7EB7A0EC" w14:textId="77777777" w:rsidR="00792704" w:rsidRPr="001F3203" w:rsidRDefault="00792704">
            <w:pPr>
              <w:spacing w:line="256" w:lineRule="auto"/>
              <w:rPr>
                <w:bCs/>
                <w:color w:val="000000"/>
                <w:sz w:val="16"/>
                <w:szCs w:val="16"/>
                <w:lang w:val="en-GB" w:eastAsia="en-GB"/>
              </w:rPr>
            </w:pPr>
          </w:p>
          <w:p w14:paraId="65A57CD0" w14:textId="77777777"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Indicator:</w:t>
            </w:r>
            <w:r w:rsidRPr="001F3203">
              <w:rPr>
                <w:bCs/>
                <w:color w:val="000000"/>
                <w:sz w:val="16"/>
                <w:szCs w:val="16"/>
                <w:lang w:val="en-GB" w:eastAsia="en-GB"/>
              </w:rPr>
              <w:t xml:space="preserve"> % of public complaints </w:t>
            </w:r>
            <w:r w:rsidR="00580D6E" w:rsidRPr="001F3203">
              <w:rPr>
                <w:bCs/>
                <w:color w:val="000000"/>
                <w:sz w:val="16"/>
                <w:szCs w:val="16"/>
                <w:lang w:val="en-GB" w:eastAsia="en-GB"/>
              </w:rPr>
              <w:t xml:space="preserve">that has been </w:t>
            </w:r>
            <w:r w:rsidR="00550678" w:rsidRPr="001F3203">
              <w:rPr>
                <w:bCs/>
                <w:color w:val="000000"/>
                <w:sz w:val="16"/>
                <w:szCs w:val="16"/>
                <w:lang w:val="en-GB" w:eastAsia="en-GB"/>
              </w:rPr>
              <w:t xml:space="preserve">completely </w:t>
            </w:r>
            <w:r w:rsidRPr="001F3203">
              <w:rPr>
                <w:bCs/>
                <w:color w:val="000000"/>
                <w:sz w:val="16"/>
                <w:szCs w:val="16"/>
                <w:lang w:val="en-GB" w:eastAsia="en-GB"/>
              </w:rPr>
              <w:t xml:space="preserve">addressed </w:t>
            </w:r>
            <w:r w:rsidR="00550678" w:rsidRPr="001F3203">
              <w:rPr>
                <w:bCs/>
                <w:color w:val="000000"/>
                <w:sz w:val="16"/>
                <w:szCs w:val="16"/>
                <w:lang w:val="en-GB" w:eastAsia="en-GB"/>
              </w:rPr>
              <w:t xml:space="preserve">according to the </w:t>
            </w:r>
            <w:r w:rsidR="004773C0" w:rsidRPr="001F3203">
              <w:rPr>
                <w:bCs/>
                <w:color w:val="000000"/>
                <w:sz w:val="16"/>
                <w:szCs w:val="16"/>
                <w:lang w:val="en-GB" w:eastAsia="en-GB"/>
              </w:rPr>
              <w:t>complainant</w:t>
            </w:r>
            <w:r w:rsidR="00550678" w:rsidRPr="001F3203">
              <w:rPr>
                <w:bCs/>
                <w:color w:val="000000"/>
                <w:sz w:val="16"/>
                <w:szCs w:val="16"/>
                <w:lang w:val="en-GB" w:eastAsia="en-GB"/>
              </w:rPr>
              <w:t xml:space="preserve">. </w:t>
            </w:r>
          </w:p>
          <w:p w14:paraId="18B213CD" w14:textId="7E76478B" w:rsidR="00792704" w:rsidRPr="001F3203" w:rsidRDefault="007F38CA">
            <w:pPr>
              <w:spacing w:line="256" w:lineRule="auto"/>
              <w:rPr>
                <w:bCs/>
                <w:color w:val="000000"/>
                <w:sz w:val="16"/>
                <w:szCs w:val="16"/>
                <w:lang w:val="en-GB" w:eastAsia="en-GB"/>
              </w:rPr>
            </w:pPr>
            <w:r w:rsidRPr="001F3203">
              <w:rPr>
                <w:b/>
                <w:bCs/>
                <w:color w:val="000000"/>
                <w:sz w:val="16"/>
                <w:szCs w:val="16"/>
                <w:lang w:val="en-GB" w:eastAsia="en-GB"/>
              </w:rPr>
              <w:t>Baseline (</w:t>
            </w:r>
            <w:r w:rsidR="00550678" w:rsidRPr="001F3203">
              <w:rPr>
                <w:b/>
                <w:bCs/>
                <w:color w:val="000000"/>
                <w:sz w:val="16"/>
                <w:szCs w:val="16"/>
                <w:lang w:val="en-GB" w:eastAsia="en-GB"/>
              </w:rPr>
              <w:t>2013)</w:t>
            </w:r>
            <w:r w:rsidR="00792704" w:rsidRPr="001F3203">
              <w:rPr>
                <w:b/>
                <w:bCs/>
                <w:color w:val="000000"/>
                <w:sz w:val="16"/>
                <w:szCs w:val="16"/>
                <w:lang w:val="en-GB" w:eastAsia="en-GB"/>
              </w:rPr>
              <w:t>:</w:t>
            </w:r>
            <w:r w:rsidR="00792704" w:rsidRPr="001F3203">
              <w:rPr>
                <w:bCs/>
                <w:color w:val="000000"/>
                <w:sz w:val="16"/>
                <w:szCs w:val="16"/>
                <w:lang w:val="en-GB" w:eastAsia="en-GB"/>
              </w:rPr>
              <w:t xml:space="preserve"> </w:t>
            </w:r>
            <w:r w:rsidR="00C34CEC" w:rsidRPr="001F3203">
              <w:rPr>
                <w:bCs/>
                <w:color w:val="000000"/>
                <w:sz w:val="16"/>
                <w:szCs w:val="16"/>
                <w:lang w:val="en-GB" w:eastAsia="en-GB"/>
              </w:rPr>
              <w:t>31%</w:t>
            </w:r>
            <w:r w:rsidR="00792704" w:rsidRPr="001F3203">
              <w:rPr>
                <w:bCs/>
                <w:color w:val="000000"/>
                <w:sz w:val="16"/>
                <w:szCs w:val="16"/>
                <w:lang w:val="en-GB" w:eastAsia="en-GB"/>
              </w:rPr>
              <w:t>.</w:t>
            </w:r>
          </w:p>
          <w:p w14:paraId="02AE69F5" w14:textId="6DF77FA4" w:rsidR="00792704" w:rsidRPr="001F3203" w:rsidRDefault="00792704">
            <w:pPr>
              <w:tabs>
                <w:tab w:val="center" w:pos="1653"/>
              </w:tabs>
              <w:rPr>
                <w:bCs/>
                <w:color w:val="000000"/>
                <w:sz w:val="16"/>
                <w:szCs w:val="16"/>
                <w:lang w:val="en-GB" w:eastAsia="en-GB"/>
              </w:rPr>
            </w:pPr>
            <w:r w:rsidRPr="001F3203">
              <w:rPr>
                <w:b/>
                <w:bCs/>
                <w:color w:val="000000"/>
                <w:sz w:val="16"/>
                <w:szCs w:val="16"/>
                <w:lang w:val="en-GB" w:eastAsia="en-GB"/>
              </w:rPr>
              <w:t xml:space="preserve">Target: </w:t>
            </w:r>
            <w:r w:rsidRPr="001F3203">
              <w:rPr>
                <w:bCs/>
                <w:color w:val="000000"/>
                <w:sz w:val="16"/>
                <w:szCs w:val="16"/>
                <w:lang w:val="en-GB" w:eastAsia="en-GB"/>
              </w:rPr>
              <w:t>TBD</w:t>
            </w:r>
          </w:p>
          <w:p w14:paraId="4B2FF7AC" w14:textId="26BE09BA" w:rsidR="00580D6E" w:rsidRPr="005109F3" w:rsidRDefault="00F17F62">
            <w:pPr>
              <w:tabs>
                <w:tab w:val="center" w:pos="1653"/>
              </w:tabs>
              <w:rPr>
                <w:bCs/>
                <w:color w:val="000000"/>
                <w:sz w:val="16"/>
                <w:szCs w:val="16"/>
                <w:lang w:val="en-GB" w:eastAsia="en-GB"/>
              </w:rPr>
            </w:pPr>
            <w:r w:rsidRPr="001F3203">
              <w:rPr>
                <w:bCs/>
                <w:color w:val="000000"/>
                <w:sz w:val="16"/>
                <w:szCs w:val="16"/>
                <w:lang w:val="en-GB" w:eastAsia="en-GB"/>
              </w:rPr>
              <w:t>Source</w:t>
            </w:r>
            <w:r w:rsidR="00792704" w:rsidRPr="001F3203">
              <w:rPr>
                <w:bCs/>
                <w:color w:val="000000"/>
                <w:sz w:val="16"/>
                <w:szCs w:val="16"/>
                <w:lang w:val="en-GB" w:eastAsia="en-GB"/>
              </w:rPr>
              <w:t xml:space="preserve">: Ombudsman </w:t>
            </w:r>
            <w:r w:rsidR="00BC6CB6">
              <w:rPr>
                <w:bCs/>
                <w:color w:val="000000"/>
                <w:sz w:val="16"/>
                <w:szCs w:val="16"/>
                <w:lang w:val="en-GB" w:eastAsia="en-GB"/>
              </w:rPr>
              <w:t>r</w:t>
            </w:r>
            <w:r w:rsidR="00BC6CB6" w:rsidRPr="001F3203">
              <w:rPr>
                <w:bCs/>
                <w:color w:val="000000"/>
                <w:sz w:val="16"/>
                <w:szCs w:val="16"/>
                <w:lang w:val="en-GB" w:eastAsia="en-GB"/>
              </w:rPr>
              <w:t xml:space="preserve">eports </w:t>
            </w:r>
          </w:p>
        </w:tc>
        <w:tc>
          <w:tcPr>
            <w:tcW w:w="1079" w:type="pct"/>
            <w:vMerge w:val="restart"/>
          </w:tcPr>
          <w:p w14:paraId="0A3D6A8A"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lastRenderedPageBreak/>
              <w:t>BAPPENAS</w:t>
            </w:r>
          </w:p>
          <w:p w14:paraId="712CD691"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t>Ministries of Home Affairs, Finance, Health, Social Affairs and Culture</w:t>
            </w:r>
          </w:p>
          <w:p w14:paraId="60307FD8" w14:textId="5BE431F9" w:rsidR="00792704" w:rsidRPr="001F3203" w:rsidRDefault="00792704">
            <w:pPr>
              <w:spacing w:after="120"/>
              <w:rPr>
                <w:iCs/>
                <w:color w:val="000000"/>
                <w:sz w:val="16"/>
                <w:szCs w:val="16"/>
                <w:lang w:val="en-GB" w:eastAsia="en-GB"/>
              </w:rPr>
            </w:pPr>
            <w:r w:rsidRPr="001F3203">
              <w:rPr>
                <w:iCs/>
                <w:color w:val="000000"/>
                <w:sz w:val="16"/>
                <w:szCs w:val="16"/>
                <w:lang w:val="en-GB" w:eastAsia="en-GB"/>
              </w:rPr>
              <w:t xml:space="preserve">Subnational </w:t>
            </w:r>
            <w:r w:rsidR="00BC6CB6">
              <w:rPr>
                <w:iCs/>
                <w:color w:val="000000"/>
                <w:sz w:val="16"/>
                <w:szCs w:val="16"/>
                <w:lang w:val="en-GB" w:eastAsia="en-GB"/>
              </w:rPr>
              <w:t>g</w:t>
            </w:r>
            <w:r w:rsidR="00BC6CB6" w:rsidRPr="001F3203">
              <w:rPr>
                <w:iCs/>
                <w:color w:val="000000"/>
                <w:sz w:val="16"/>
                <w:szCs w:val="16"/>
                <w:lang w:val="en-GB" w:eastAsia="en-GB"/>
              </w:rPr>
              <w:t>overnments</w:t>
            </w:r>
          </w:p>
          <w:p w14:paraId="3FA57562"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t>CSOs, private sector, foundations</w:t>
            </w:r>
          </w:p>
          <w:p w14:paraId="49950A5E" w14:textId="77777777" w:rsidR="00792704" w:rsidRPr="001F3203" w:rsidRDefault="00792704">
            <w:pPr>
              <w:spacing w:after="120"/>
              <w:rPr>
                <w:iCs/>
                <w:color w:val="000000"/>
                <w:sz w:val="16"/>
                <w:szCs w:val="16"/>
                <w:lang w:val="en-GB" w:eastAsia="en-GB"/>
              </w:rPr>
            </w:pPr>
          </w:p>
          <w:p w14:paraId="75BB82D9" w14:textId="77777777" w:rsidR="00792704" w:rsidRPr="001F3203" w:rsidRDefault="00792704">
            <w:pPr>
              <w:spacing w:after="120"/>
              <w:rPr>
                <w:i/>
                <w:iCs/>
                <w:color w:val="000000"/>
                <w:sz w:val="16"/>
                <w:szCs w:val="16"/>
                <w:lang w:val="en-GB" w:eastAsia="en-GB"/>
              </w:rPr>
            </w:pPr>
          </w:p>
          <w:p w14:paraId="3597C2B5" w14:textId="77777777" w:rsidR="00792704" w:rsidRPr="001F3203" w:rsidRDefault="00792704">
            <w:pPr>
              <w:rPr>
                <w:i/>
                <w:iCs/>
                <w:color w:val="000000"/>
                <w:sz w:val="16"/>
                <w:szCs w:val="16"/>
                <w:lang w:val="en-GB"/>
              </w:rPr>
            </w:pPr>
          </w:p>
        </w:tc>
        <w:tc>
          <w:tcPr>
            <w:tcW w:w="589" w:type="pct"/>
            <w:tcMar>
              <w:top w:w="15" w:type="dxa"/>
              <w:left w:w="108" w:type="dxa"/>
              <w:bottom w:w="0" w:type="dxa"/>
              <w:right w:w="108" w:type="dxa"/>
            </w:tcMar>
          </w:tcPr>
          <w:p w14:paraId="1A15679B" w14:textId="77777777" w:rsidR="00792704" w:rsidRPr="001F3203" w:rsidRDefault="00792704">
            <w:pPr>
              <w:spacing w:line="256" w:lineRule="auto"/>
              <w:rPr>
                <w:b/>
                <w:color w:val="000000"/>
                <w:sz w:val="16"/>
                <w:szCs w:val="16"/>
                <w:lang w:val="en-GB" w:eastAsia="en-GB"/>
              </w:rPr>
            </w:pPr>
            <w:r w:rsidRPr="001F3203">
              <w:rPr>
                <w:b/>
                <w:color w:val="000000"/>
                <w:sz w:val="16"/>
                <w:szCs w:val="16"/>
                <w:lang w:val="en-GB" w:eastAsia="en-GB"/>
              </w:rPr>
              <w:t>Regular</w:t>
            </w:r>
          </w:p>
          <w:p w14:paraId="42347495" w14:textId="77777777" w:rsidR="00792704" w:rsidRPr="001F3203" w:rsidRDefault="005A2FD8" w:rsidP="005A2FD8">
            <w:pPr>
              <w:spacing w:line="256" w:lineRule="auto"/>
              <w:rPr>
                <w:b/>
                <w:color w:val="000000"/>
                <w:sz w:val="16"/>
                <w:szCs w:val="16"/>
                <w:lang w:val="en-GB" w:eastAsia="en-GB"/>
              </w:rPr>
            </w:pPr>
            <w:r>
              <w:rPr>
                <w:b/>
                <w:color w:val="000000"/>
                <w:sz w:val="16"/>
                <w:szCs w:val="16"/>
                <w:lang w:val="en-GB" w:eastAsia="en-GB"/>
              </w:rPr>
              <w:t>1</w:t>
            </w:r>
            <w:r w:rsidR="00792704" w:rsidRPr="001F3203">
              <w:rPr>
                <w:b/>
                <w:color w:val="000000"/>
                <w:sz w:val="16"/>
                <w:szCs w:val="16"/>
                <w:lang w:val="en-GB" w:eastAsia="en-GB"/>
              </w:rPr>
              <w:t>,3</w:t>
            </w:r>
            <w:r>
              <w:rPr>
                <w:b/>
                <w:color w:val="000000"/>
                <w:sz w:val="16"/>
                <w:szCs w:val="16"/>
                <w:lang w:val="en-GB" w:eastAsia="en-GB"/>
              </w:rPr>
              <w:t>71</w:t>
            </w:r>
            <w:r w:rsidR="00792704" w:rsidRPr="001F3203">
              <w:rPr>
                <w:b/>
                <w:color w:val="000000"/>
                <w:sz w:val="16"/>
                <w:szCs w:val="16"/>
                <w:lang w:val="en-GB" w:eastAsia="en-GB"/>
              </w:rPr>
              <w:t>,</w:t>
            </w:r>
            <w:r>
              <w:rPr>
                <w:b/>
                <w:color w:val="000000"/>
                <w:sz w:val="16"/>
                <w:szCs w:val="16"/>
                <w:lang w:val="en-GB" w:eastAsia="en-GB"/>
              </w:rPr>
              <w:t>0</w:t>
            </w:r>
            <w:r w:rsidR="00792704" w:rsidRPr="001F3203">
              <w:rPr>
                <w:b/>
                <w:color w:val="000000"/>
                <w:sz w:val="16"/>
                <w:szCs w:val="16"/>
                <w:lang w:val="en-GB" w:eastAsia="en-GB"/>
              </w:rPr>
              <w:t>00</w:t>
            </w:r>
          </w:p>
        </w:tc>
      </w:tr>
      <w:tr w:rsidR="00792704" w:rsidRPr="001F3203" w14:paraId="46031133" w14:textId="77777777" w:rsidTr="00A047D6">
        <w:trPr>
          <w:gridAfter w:val="1"/>
          <w:wAfter w:w="11" w:type="pct"/>
        </w:trPr>
        <w:tc>
          <w:tcPr>
            <w:tcW w:w="1044" w:type="pct"/>
            <w:vMerge/>
            <w:tcBorders>
              <w:bottom w:val="single" w:sz="4" w:space="0" w:color="auto"/>
            </w:tcBorders>
            <w:tcMar>
              <w:top w:w="72" w:type="dxa"/>
              <w:left w:w="144" w:type="dxa"/>
              <w:bottom w:w="72" w:type="dxa"/>
              <w:right w:w="144" w:type="dxa"/>
            </w:tcMar>
          </w:tcPr>
          <w:p w14:paraId="717D1D20" w14:textId="77777777" w:rsidR="00792704" w:rsidRPr="001F3203" w:rsidRDefault="00792704">
            <w:pPr>
              <w:rPr>
                <w:i/>
                <w:iCs/>
                <w:color w:val="000000"/>
                <w:sz w:val="16"/>
                <w:szCs w:val="16"/>
                <w:lang w:val="en-GB"/>
              </w:rPr>
            </w:pPr>
          </w:p>
        </w:tc>
        <w:tc>
          <w:tcPr>
            <w:tcW w:w="977" w:type="pct"/>
            <w:vMerge/>
            <w:tcBorders>
              <w:bottom w:val="single" w:sz="4" w:space="0" w:color="auto"/>
            </w:tcBorders>
          </w:tcPr>
          <w:p w14:paraId="67D33AC0" w14:textId="77777777" w:rsidR="00792704" w:rsidRPr="001F3203" w:rsidRDefault="00792704">
            <w:pPr>
              <w:rPr>
                <w:i/>
                <w:iCs/>
                <w:color w:val="000000"/>
                <w:sz w:val="16"/>
                <w:szCs w:val="16"/>
                <w:lang w:val="en-GB"/>
              </w:rPr>
            </w:pPr>
          </w:p>
        </w:tc>
        <w:tc>
          <w:tcPr>
            <w:tcW w:w="1300" w:type="pct"/>
            <w:vMerge/>
            <w:tcBorders>
              <w:bottom w:val="single" w:sz="4" w:space="0" w:color="auto"/>
            </w:tcBorders>
            <w:tcMar>
              <w:top w:w="72" w:type="dxa"/>
              <w:left w:w="144" w:type="dxa"/>
              <w:bottom w:w="72" w:type="dxa"/>
              <w:right w:w="144" w:type="dxa"/>
            </w:tcMar>
          </w:tcPr>
          <w:p w14:paraId="2D81C7C5" w14:textId="77777777" w:rsidR="00792704" w:rsidRPr="001F3203" w:rsidRDefault="00792704">
            <w:pPr>
              <w:rPr>
                <w:i/>
                <w:iCs/>
                <w:color w:val="000000"/>
                <w:sz w:val="16"/>
                <w:szCs w:val="16"/>
                <w:lang w:val="en-GB"/>
              </w:rPr>
            </w:pPr>
          </w:p>
        </w:tc>
        <w:tc>
          <w:tcPr>
            <w:tcW w:w="1079" w:type="pct"/>
            <w:vMerge/>
            <w:tcBorders>
              <w:bottom w:val="single" w:sz="4" w:space="0" w:color="auto"/>
            </w:tcBorders>
          </w:tcPr>
          <w:p w14:paraId="66D9993F" w14:textId="77777777" w:rsidR="00792704" w:rsidRPr="001F3203" w:rsidRDefault="00792704">
            <w:pPr>
              <w:rPr>
                <w:i/>
                <w:iCs/>
                <w:color w:val="000000"/>
                <w:sz w:val="16"/>
                <w:szCs w:val="16"/>
                <w:lang w:val="en-GB"/>
              </w:rPr>
            </w:pPr>
          </w:p>
        </w:tc>
        <w:tc>
          <w:tcPr>
            <w:tcW w:w="589" w:type="pct"/>
            <w:tcBorders>
              <w:bottom w:val="single" w:sz="4" w:space="0" w:color="auto"/>
            </w:tcBorders>
            <w:tcMar>
              <w:top w:w="15" w:type="dxa"/>
              <w:left w:w="108" w:type="dxa"/>
              <w:bottom w:w="0" w:type="dxa"/>
              <w:right w:w="108" w:type="dxa"/>
            </w:tcMar>
          </w:tcPr>
          <w:p w14:paraId="44D8E712" w14:textId="77777777" w:rsidR="00792704" w:rsidRPr="001F3203" w:rsidRDefault="00792704">
            <w:pPr>
              <w:spacing w:line="256" w:lineRule="auto"/>
              <w:rPr>
                <w:b/>
                <w:color w:val="000000"/>
                <w:sz w:val="16"/>
                <w:szCs w:val="16"/>
                <w:lang w:val="en-GB" w:eastAsia="en-GB"/>
              </w:rPr>
            </w:pPr>
            <w:r w:rsidRPr="001F3203">
              <w:rPr>
                <w:b/>
                <w:color w:val="000000"/>
                <w:sz w:val="16"/>
                <w:szCs w:val="16"/>
                <w:lang w:val="en-GB" w:eastAsia="en-GB"/>
              </w:rPr>
              <w:t>Other</w:t>
            </w:r>
          </w:p>
          <w:p w14:paraId="50256791" w14:textId="77777777" w:rsidR="00792704" w:rsidRPr="001F3203" w:rsidRDefault="00792704">
            <w:pPr>
              <w:spacing w:line="256" w:lineRule="auto"/>
              <w:rPr>
                <w:b/>
                <w:color w:val="000000"/>
                <w:sz w:val="16"/>
                <w:szCs w:val="16"/>
                <w:lang w:val="en-GB" w:eastAsia="en-GB"/>
              </w:rPr>
            </w:pPr>
            <w:r w:rsidRPr="001F3203">
              <w:rPr>
                <w:b/>
                <w:color w:val="000000"/>
                <w:sz w:val="16"/>
                <w:szCs w:val="16"/>
                <w:lang w:val="en-GB" w:eastAsia="en-GB"/>
              </w:rPr>
              <w:t>1,250,000</w:t>
            </w:r>
          </w:p>
        </w:tc>
      </w:tr>
      <w:tr w:rsidR="00792704" w:rsidRPr="001F3203" w14:paraId="6001491B" w14:textId="77777777" w:rsidTr="00A047D6">
        <w:trPr>
          <w:gridAfter w:val="1"/>
          <w:wAfter w:w="11" w:type="pct"/>
        </w:trPr>
        <w:tc>
          <w:tcPr>
            <w:tcW w:w="4989" w:type="pct"/>
            <w:gridSpan w:val="5"/>
            <w:shd w:val="clear" w:color="auto" w:fill="auto"/>
            <w:tcMar>
              <w:top w:w="72" w:type="dxa"/>
              <w:left w:w="144" w:type="dxa"/>
              <w:bottom w:w="72" w:type="dxa"/>
              <w:right w:w="144" w:type="dxa"/>
            </w:tcMar>
          </w:tcPr>
          <w:p w14:paraId="7EB79E1A" w14:textId="77777777" w:rsidR="00792704" w:rsidRPr="001F3203" w:rsidRDefault="00792704">
            <w:pPr>
              <w:spacing w:line="256" w:lineRule="auto"/>
              <w:rPr>
                <w:b/>
                <w:bCs/>
                <w:color w:val="000000"/>
                <w:sz w:val="16"/>
                <w:szCs w:val="16"/>
                <w:lang w:val="en-GB" w:eastAsia="en-GB"/>
              </w:rPr>
            </w:pPr>
            <w:r w:rsidRPr="001F3203">
              <w:rPr>
                <w:b/>
                <w:bCs/>
                <w:color w:val="000000"/>
                <w:sz w:val="16"/>
                <w:szCs w:val="16"/>
                <w:lang w:val="en-GB" w:eastAsia="en-GB"/>
              </w:rPr>
              <w:lastRenderedPageBreak/>
              <w:t>NATIONAL PRIORITY#7:</w:t>
            </w:r>
          </w:p>
          <w:p w14:paraId="65393DB6" w14:textId="77777777" w:rsidR="00792704" w:rsidRPr="001F3203" w:rsidRDefault="00792704">
            <w:pPr>
              <w:spacing w:before="60" w:after="60" w:line="256" w:lineRule="auto"/>
              <w:rPr>
                <w:b/>
                <w:sz w:val="16"/>
                <w:szCs w:val="16"/>
                <w:lang w:val="en-GB" w:eastAsia="en-GB"/>
              </w:rPr>
            </w:pPr>
            <w:r w:rsidRPr="001F3203">
              <w:rPr>
                <w:b/>
                <w:sz w:val="16"/>
                <w:szCs w:val="16"/>
                <w:lang w:val="en-GB" w:eastAsia="en-GB"/>
              </w:rPr>
              <w:t xml:space="preserve">TO REALIZE ECONOMIC INDEPENDENCE BY ACCELERATING DOMESTIC ECONOMIC STRATEGIC SECTORS </w:t>
            </w:r>
          </w:p>
        </w:tc>
      </w:tr>
      <w:tr w:rsidR="00792704" w:rsidRPr="001F3203" w14:paraId="5BBAB0CA" w14:textId="77777777" w:rsidTr="00A047D6">
        <w:trPr>
          <w:gridAfter w:val="1"/>
          <w:wAfter w:w="11" w:type="pct"/>
        </w:trPr>
        <w:tc>
          <w:tcPr>
            <w:tcW w:w="4989" w:type="pct"/>
            <w:gridSpan w:val="5"/>
            <w:shd w:val="clear" w:color="auto" w:fill="auto"/>
            <w:tcMar>
              <w:top w:w="72" w:type="dxa"/>
              <w:left w:w="144" w:type="dxa"/>
              <w:bottom w:w="72" w:type="dxa"/>
              <w:right w:w="144" w:type="dxa"/>
            </w:tcMar>
          </w:tcPr>
          <w:p w14:paraId="2C5E706B" w14:textId="77777777" w:rsidR="00792704" w:rsidRPr="001F3203" w:rsidRDefault="00792704">
            <w:pPr>
              <w:spacing w:line="256" w:lineRule="auto"/>
              <w:rPr>
                <w:b/>
                <w:bCs/>
                <w:color w:val="000000"/>
                <w:sz w:val="16"/>
                <w:szCs w:val="16"/>
                <w:lang w:val="en-GB" w:eastAsia="en-GB"/>
              </w:rPr>
            </w:pPr>
            <w:r w:rsidRPr="001F3203">
              <w:rPr>
                <w:b/>
                <w:bCs/>
                <w:color w:val="000000"/>
                <w:sz w:val="16"/>
                <w:szCs w:val="16"/>
                <w:lang w:val="en-GB" w:eastAsia="en-GB"/>
              </w:rPr>
              <w:t>UNPDF</w:t>
            </w:r>
            <w:r w:rsidR="002F647E" w:rsidRPr="001F3203">
              <w:rPr>
                <w:b/>
                <w:bCs/>
                <w:color w:val="000000"/>
                <w:sz w:val="16"/>
                <w:szCs w:val="16"/>
                <w:lang w:val="en-GB" w:eastAsia="en-GB"/>
              </w:rPr>
              <w:t xml:space="preserve"> OUTCOME</w:t>
            </w:r>
            <w:r w:rsidRPr="001F3203">
              <w:rPr>
                <w:b/>
                <w:bCs/>
                <w:color w:val="000000"/>
                <w:sz w:val="16"/>
                <w:szCs w:val="16"/>
                <w:lang w:val="en-GB" w:eastAsia="en-GB"/>
              </w:rPr>
              <w:t xml:space="preserve">#3: </w:t>
            </w:r>
          </w:p>
          <w:p w14:paraId="3E0B8A05" w14:textId="77777777" w:rsidR="00792704" w:rsidRPr="001F3203" w:rsidRDefault="003E2594">
            <w:pPr>
              <w:spacing w:before="60" w:after="60" w:line="256" w:lineRule="auto"/>
              <w:rPr>
                <w:b/>
                <w:caps/>
                <w:color w:val="000000"/>
                <w:sz w:val="16"/>
                <w:szCs w:val="16"/>
                <w:lang w:val="en-GB" w:eastAsia="en-GB"/>
              </w:rPr>
            </w:pPr>
            <w:r w:rsidRPr="001F3203">
              <w:rPr>
                <w:b/>
                <w:caps/>
                <w:sz w:val="16"/>
                <w:szCs w:val="16"/>
                <w:lang w:val="en-GB" w:eastAsia="en-GB"/>
              </w:rPr>
              <w:t>By 2020, Indonesia is sustainably managing its natural resources, on land and at sea, with an increased resilience to the effects of climate change, disasters and other shocks.</w:t>
            </w:r>
          </w:p>
        </w:tc>
      </w:tr>
      <w:tr w:rsidR="00792704" w:rsidRPr="001F3203" w14:paraId="30ACB87B" w14:textId="77777777" w:rsidTr="00A047D6">
        <w:trPr>
          <w:gridAfter w:val="1"/>
          <w:wAfter w:w="11" w:type="pct"/>
        </w:trPr>
        <w:tc>
          <w:tcPr>
            <w:tcW w:w="4989" w:type="pct"/>
            <w:gridSpan w:val="5"/>
            <w:shd w:val="clear" w:color="auto" w:fill="auto"/>
            <w:tcMar>
              <w:top w:w="72" w:type="dxa"/>
              <w:left w:w="144" w:type="dxa"/>
              <w:bottom w:w="72" w:type="dxa"/>
              <w:right w:w="144" w:type="dxa"/>
            </w:tcMar>
          </w:tcPr>
          <w:p w14:paraId="241D2075" w14:textId="77777777" w:rsidR="00792704" w:rsidRPr="001F3203" w:rsidRDefault="002F647E">
            <w:pPr>
              <w:spacing w:line="256" w:lineRule="auto"/>
              <w:rPr>
                <w:b/>
                <w:bCs/>
                <w:sz w:val="16"/>
                <w:szCs w:val="16"/>
                <w:lang w:val="en-GB" w:eastAsia="en-GB"/>
              </w:rPr>
            </w:pPr>
            <w:r w:rsidRPr="001F3203">
              <w:rPr>
                <w:b/>
                <w:bCs/>
                <w:sz w:val="16"/>
                <w:szCs w:val="16"/>
                <w:lang w:val="en-GB" w:eastAsia="en-GB"/>
              </w:rPr>
              <w:t>S</w:t>
            </w:r>
            <w:r w:rsidR="00792704" w:rsidRPr="001F3203">
              <w:rPr>
                <w:b/>
                <w:bCs/>
                <w:sz w:val="16"/>
                <w:szCs w:val="16"/>
                <w:lang w:val="en-GB" w:eastAsia="en-GB"/>
              </w:rPr>
              <w:t xml:space="preserve">TRATEGIC PLAN OUTCOME#1: </w:t>
            </w:r>
          </w:p>
          <w:p w14:paraId="0C72F1A3" w14:textId="6EE50F1F" w:rsidR="00792704" w:rsidRPr="001F3203" w:rsidRDefault="00792704">
            <w:pPr>
              <w:spacing w:before="60" w:after="60" w:line="256" w:lineRule="auto"/>
              <w:rPr>
                <w:b/>
                <w:sz w:val="16"/>
                <w:szCs w:val="16"/>
                <w:lang w:val="en-GB" w:eastAsia="en-GB"/>
              </w:rPr>
            </w:pPr>
            <w:r w:rsidRPr="001F3203">
              <w:rPr>
                <w:rFonts w:eastAsiaTheme="minorEastAsia"/>
                <w:b/>
                <w:sz w:val="16"/>
                <w:szCs w:val="16"/>
                <w:lang w:val="en-GB" w:eastAsia="en-GB"/>
              </w:rPr>
              <w:t>GROWTH AND DEVELOPMENT ARE INCLUSIVE AND SUSTAINABLE, INCORPORATING PRODUCTIVE CAPACITIES THAT CREATE EMPLOYMENT AND LIVELIHOODS FOR THE POOR AND EXCLUDED</w:t>
            </w:r>
            <w:r w:rsidR="005109F3">
              <w:rPr>
                <w:rFonts w:eastAsiaTheme="minorEastAsia"/>
                <w:b/>
                <w:sz w:val="16"/>
                <w:szCs w:val="16"/>
                <w:lang w:val="en-GB" w:eastAsia="en-GB"/>
              </w:rPr>
              <w:t>.</w:t>
            </w:r>
          </w:p>
        </w:tc>
      </w:tr>
      <w:tr w:rsidR="000A0DFA" w:rsidRPr="001F3203" w14:paraId="2D959B9E" w14:textId="77777777" w:rsidTr="00C91B7F">
        <w:tc>
          <w:tcPr>
            <w:tcW w:w="1044" w:type="pct"/>
            <w:vMerge w:val="restart"/>
            <w:tcMar>
              <w:top w:w="72" w:type="dxa"/>
              <w:left w:w="144" w:type="dxa"/>
              <w:bottom w:w="72" w:type="dxa"/>
              <w:right w:w="144" w:type="dxa"/>
            </w:tcMar>
          </w:tcPr>
          <w:p w14:paraId="6D2E1E59" w14:textId="77777777" w:rsidR="000A0DFA" w:rsidRPr="001F3203" w:rsidRDefault="000A0DFA">
            <w:pPr>
              <w:rPr>
                <w:b/>
                <w:iCs/>
                <w:sz w:val="16"/>
                <w:szCs w:val="16"/>
                <w:lang w:eastAsia="en-GB"/>
              </w:rPr>
            </w:pPr>
            <w:r w:rsidRPr="001F3203">
              <w:rPr>
                <w:b/>
                <w:iCs/>
                <w:sz w:val="16"/>
                <w:szCs w:val="16"/>
                <w:lang w:eastAsia="en-GB"/>
              </w:rPr>
              <w:t xml:space="preserve">Indicator-3.1: </w:t>
            </w:r>
            <w:r w:rsidRPr="001F3203">
              <w:rPr>
                <w:iCs/>
                <w:sz w:val="16"/>
                <w:szCs w:val="16"/>
                <w:lang w:eastAsia="en-GB"/>
              </w:rPr>
              <w:t>Number of hectares of land managed under an in-situ conservation regime</w:t>
            </w:r>
          </w:p>
          <w:p w14:paraId="1D4F2A1B" w14:textId="77777777" w:rsidR="000A0DFA" w:rsidRPr="001F3203" w:rsidRDefault="000A0DFA">
            <w:pPr>
              <w:rPr>
                <w:bCs/>
                <w:color w:val="000000"/>
                <w:sz w:val="16"/>
                <w:szCs w:val="16"/>
                <w:lang w:val="en-GB" w:eastAsia="en-GB"/>
              </w:rPr>
            </w:pPr>
            <w:r w:rsidRPr="001F3203">
              <w:rPr>
                <w:b/>
                <w:iCs/>
                <w:sz w:val="16"/>
                <w:szCs w:val="16"/>
                <w:lang w:val="en-GB" w:eastAsia="en-GB"/>
              </w:rPr>
              <w:t>Baseline</w:t>
            </w:r>
            <w:r w:rsidRPr="001F3203">
              <w:rPr>
                <w:iCs/>
                <w:sz w:val="16"/>
                <w:szCs w:val="16"/>
                <w:lang w:val="en-GB" w:eastAsia="en-GB"/>
              </w:rPr>
              <w:t xml:space="preserve">: 9,300,000 </w:t>
            </w:r>
          </w:p>
          <w:p w14:paraId="010F0556" w14:textId="77777777" w:rsidR="000A0DFA" w:rsidRPr="001F3203" w:rsidRDefault="000A0DFA">
            <w:pPr>
              <w:rPr>
                <w:iCs/>
                <w:sz w:val="16"/>
                <w:szCs w:val="16"/>
                <w:lang w:val="en-GB" w:eastAsia="en-GB"/>
              </w:rPr>
            </w:pPr>
            <w:r w:rsidRPr="001F3203">
              <w:rPr>
                <w:b/>
                <w:bCs/>
                <w:color w:val="000000"/>
                <w:sz w:val="16"/>
                <w:szCs w:val="16"/>
                <w:lang w:val="en-GB" w:eastAsia="en-GB"/>
              </w:rPr>
              <w:t>Target</w:t>
            </w:r>
            <w:r w:rsidRPr="001F3203">
              <w:rPr>
                <w:bCs/>
                <w:color w:val="000000"/>
                <w:sz w:val="16"/>
                <w:szCs w:val="16"/>
                <w:lang w:val="en-GB" w:eastAsia="en-GB"/>
              </w:rPr>
              <w:t>:</w:t>
            </w:r>
            <w:r w:rsidRPr="001F3203">
              <w:rPr>
                <w:iCs/>
                <w:sz w:val="16"/>
                <w:szCs w:val="16"/>
                <w:lang w:val="en-GB" w:eastAsia="en-GB"/>
              </w:rPr>
              <w:t xml:space="preserve"> 15,500,000 </w:t>
            </w:r>
          </w:p>
          <w:p w14:paraId="384C5835" w14:textId="77777777" w:rsidR="000A0DFA" w:rsidRPr="001F3203" w:rsidRDefault="000A0DFA">
            <w:pPr>
              <w:rPr>
                <w:iCs/>
                <w:sz w:val="16"/>
                <w:szCs w:val="16"/>
                <w:lang w:val="en-GB" w:eastAsia="en-GB"/>
              </w:rPr>
            </w:pPr>
          </w:p>
          <w:p w14:paraId="63E0CA49" w14:textId="09E2A01E" w:rsidR="000A0DFA" w:rsidRPr="001F3203" w:rsidRDefault="000A0DFA">
            <w:pPr>
              <w:rPr>
                <w:iCs/>
                <w:color w:val="000000" w:themeColor="text1"/>
                <w:sz w:val="16"/>
                <w:szCs w:val="16"/>
                <w:lang w:eastAsia="en-GB"/>
              </w:rPr>
            </w:pPr>
            <w:r w:rsidRPr="001F3203">
              <w:rPr>
                <w:sz w:val="16"/>
                <w:szCs w:val="16"/>
              </w:rPr>
              <w:t>I</w:t>
            </w:r>
            <w:r w:rsidRPr="001F3203">
              <w:rPr>
                <w:b/>
                <w:sz w:val="16"/>
                <w:szCs w:val="16"/>
              </w:rPr>
              <w:t>ndicator-3.2:</w:t>
            </w:r>
            <w:r w:rsidRPr="001F3203">
              <w:rPr>
                <w:sz w:val="16"/>
                <w:szCs w:val="16"/>
              </w:rPr>
              <w:t xml:space="preserve"> Number of hectares of </w:t>
            </w:r>
            <w:r w:rsidR="00AF65F1">
              <w:rPr>
                <w:sz w:val="16"/>
                <w:szCs w:val="16"/>
              </w:rPr>
              <w:t>m</w:t>
            </w:r>
            <w:r w:rsidR="00AF65F1" w:rsidRPr="001F3203">
              <w:rPr>
                <w:sz w:val="16"/>
                <w:szCs w:val="16"/>
              </w:rPr>
              <w:t xml:space="preserve">arine </w:t>
            </w:r>
            <w:r w:rsidR="00AF65F1">
              <w:rPr>
                <w:color w:val="000000" w:themeColor="text1"/>
                <w:sz w:val="16"/>
                <w:szCs w:val="16"/>
              </w:rPr>
              <w:t>p</w:t>
            </w:r>
            <w:r w:rsidR="00AF65F1" w:rsidRPr="001F3203">
              <w:rPr>
                <w:color w:val="000000" w:themeColor="text1"/>
                <w:sz w:val="16"/>
                <w:szCs w:val="16"/>
              </w:rPr>
              <w:t xml:space="preserve">rotected </w:t>
            </w:r>
            <w:r w:rsidR="00AF65F1">
              <w:rPr>
                <w:color w:val="000000" w:themeColor="text1"/>
                <w:sz w:val="16"/>
                <w:szCs w:val="16"/>
              </w:rPr>
              <w:t>a</w:t>
            </w:r>
            <w:r w:rsidR="00AF65F1" w:rsidRPr="001F3203">
              <w:rPr>
                <w:color w:val="000000" w:themeColor="text1"/>
                <w:sz w:val="16"/>
                <w:szCs w:val="16"/>
              </w:rPr>
              <w:t>reas</w:t>
            </w:r>
            <w:r w:rsidR="00AF65F1">
              <w:rPr>
                <w:color w:val="000000" w:themeColor="text1"/>
                <w:sz w:val="16"/>
                <w:szCs w:val="16"/>
              </w:rPr>
              <w:t xml:space="preserve"> </w:t>
            </w:r>
          </w:p>
          <w:p w14:paraId="41BD4071" w14:textId="77777777" w:rsidR="000A0DFA" w:rsidRPr="001F3203" w:rsidRDefault="000A0DFA">
            <w:pPr>
              <w:rPr>
                <w:b/>
                <w:bCs/>
                <w:color w:val="000000" w:themeColor="text1"/>
                <w:sz w:val="16"/>
                <w:szCs w:val="16"/>
                <w:lang w:val="en-GB" w:eastAsia="en-GB"/>
              </w:rPr>
            </w:pPr>
            <w:r w:rsidRPr="001F3203">
              <w:rPr>
                <w:b/>
                <w:iCs/>
                <w:color w:val="000000" w:themeColor="text1"/>
                <w:sz w:val="16"/>
                <w:szCs w:val="16"/>
                <w:lang w:val="en-GB" w:eastAsia="en-GB"/>
              </w:rPr>
              <w:t>Baseline</w:t>
            </w:r>
            <w:r w:rsidRPr="001F3203">
              <w:rPr>
                <w:iCs/>
                <w:color w:val="000000" w:themeColor="text1"/>
                <w:sz w:val="16"/>
                <w:szCs w:val="16"/>
                <w:lang w:val="en-GB" w:eastAsia="en-GB"/>
              </w:rPr>
              <w:t xml:space="preserve">: 15,700,000 </w:t>
            </w:r>
          </w:p>
          <w:p w14:paraId="145DF470" w14:textId="77777777" w:rsidR="000A0DFA" w:rsidRPr="001F3203" w:rsidRDefault="000A0DFA">
            <w:pPr>
              <w:rPr>
                <w:i/>
                <w:iCs/>
                <w:color w:val="000000"/>
                <w:sz w:val="16"/>
                <w:szCs w:val="16"/>
                <w:lang w:val="en-GB"/>
              </w:rPr>
            </w:pPr>
            <w:r w:rsidRPr="001F3203">
              <w:rPr>
                <w:b/>
                <w:bCs/>
                <w:color w:val="000000" w:themeColor="text1"/>
                <w:sz w:val="16"/>
                <w:szCs w:val="16"/>
                <w:lang w:val="en-GB" w:eastAsia="en-GB"/>
              </w:rPr>
              <w:t>Target</w:t>
            </w:r>
            <w:r w:rsidRPr="001F3203">
              <w:rPr>
                <w:bCs/>
                <w:color w:val="000000" w:themeColor="text1"/>
                <w:sz w:val="16"/>
                <w:szCs w:val="16"/>
                <w:lang w:val="en-GB" w:eastAsia="en-GB"/>
              </w:rPr>
              <w:t>:</w:t>
            </w:r>
            <w:r w:rsidRPr="001F3203">
              <w:rPr>
                <w:iCs/>
                <w:color w:val="000000" w:themeColor="text1"/>
                <w:sz w:val="16"/>
                <w:szCs w:val="16"/>
                <w:lang w:val="en-GB" w:eastAsia="en-GB"/>
              </w:rPr>
              <w:t xml:space="preserve"> 20,000,000 </w:t>
            </w:r>
          </w:p>
          <w:p w14:paraId="737727CE" w14:textId="77777777" w:rsidR="000A0DFA" w:rsidRPr="001F3203" w:rsidRDefault="000A0DFA">
            <w:pPr>
              <w:rPr>
                <w:iCs/>
                <w:sz w:val="16"/>
                <w:szCs w:val="16"/>
                <w:lang w:eastAsia="en-GB"/>
              </w:rPr>
            </w:pPr>
          </w:p>
          <w:p w14:paraId="3D3EEFBD" w14:textId="77777777" w:rsidR="000A0DFA" w:rsidRPr="001F3203" w:rsidRDefault="000A0DFA">
            <w:pPr>
              <w:rPr>
                <w:iCs/>
                <w:sz w:val="16"/>
                <w:szCs w:val="16"/>
                <w:lang w:eastAsia="en-GB"/>
              </w:rPr>
            </w:pPr>
            <w:r w:rsidRPr="001F3203">
              <w:rPr>
                <w:b/>
                <w:sz w:val="16"/>
                <w:szCs w:val="16"/>
              </w:rPr>
              <w:t>Indicator-3.3:</w:t>
            </w:r>
            <w:r w:rsidRPr="001F3203">
              <w:rPr>
                <w:sz w:val="16"/>
                <w:szCs w:val="16"/>
              </w:rPr>
              <w:t xml:space="preserve"> % of renewable energy in the national primary energy mix</w:t>
            </w:r>
          </w:p>
          <w:p w14:paraId="328000B3" w14:textId="77777777" w:rsidR="000A0DFA" w:rsidRPr="001F3203" w:rsidRDefault="000A0DFA">
            <w:pPr>
              <w:rPr>
                <w:b/>
                <w:bCs/>
                <w:color w:val="000000"/>
                <w:sz w:val="16"/>
                <w:szCs w:val="16"/>
                <w:lang w:val="en-GB" w:eastAsia="en-GB"/>
              </w:rPr>
            </w:pPr>
            <w:r w:rsidRPr="001F3203">
              <w:rPr>
                <w:b/>
                <w:iCs/>
                <w:sz w:val="16"/>
                <w:szCs w:val="16"/>
                <w:lang w:val="en-GB" w:eastAsia="en-GB"/>
              </w:rPr>
              <w:t>Baseline</w:t>
            </w:r>
            <w:r w:rsidRPr="001F3203">
              <w:rPr>
                <w:iCs/>
                <w:sz w:val="16"/>
                <w:szCs w:val="16"/>
                <w:lang w:val="en-GB" w:eastAsia="en-GB"/>
              </w:rPr>
              <w:t>: 4%</w:t>
            </w:r>
          </w:p>
          <w:p w14:paraId="73A7A11A" w14:textId="77777777" w:rsidR="000A0DFA" w:rsidRPr="001F3203" w:rsidRDefault="000A0DFA">
            <w:pPr>
              <w:rPr>
                <w:iCs/>
                <w:sz w:val="16"/>
                <w:szCs w:val="16"/>
                <w:lang w:val="en-GB" w:eastAsia="en-GB"/>
              </w:rPr>
            </w:pPr>
            <w:r w:rsidRPr="001F3203">
              <w:rPr>
                <w:b/>
                <w:bCs/>
                <w:color w:val="000000"/>
                <w:sz w:val="16"/>
                <w:szCs w:val="16"/>
                <w:lang w:val="en-GB" w:eastAsia="en-GB"/>
              </w:rPr>
              <w:t>Target</w:t>
            </w:r>
            <w:r w:rsidRPr="001F3203">
              <w:rPr>
                <w:bCs/>
                <w:color w:val="000000"/>
                <w:sz w:val="16"/>
                <w:szCs w:val="16"/>
                <w:lang w:val="en-GB" w:eastAsia="en-GB"/>
              </w:rPr>
              <w:t>:</w:t>
            </w:r>
            <w:r w:rsidRPr="001F3203">
              <w:rPr>
                <w:iCs/>
                <w:sz w:val="16"/>
                <w:szCs w:val="16"/>
                <w:lang w:val="en-GB" w:eastAsia="en-GB"/>
              </w:rPr>
              <w:t xml:space="preserve"> 16%</w:t>
            </w:r>
          </w:p>
          <w:p w14:paraId="00DC46A1" w14:textId="77777777" w:rsidR="000A0DFA" w:rsidRPr="001F3203" w:rsidRDefault="000A0DFA">
            <w:pPr>
              <w:rPr>
                <w:b/>
                <w:iCs/>
                <w:sz w:val="16"/>
                <w:szCs w:val="16"/>
                <w:lang w:val="en-GB" w:eastAsia="en-GB"/>
              </w:rPr>
            </w:pPr>
          </w:p>
          <w:p w14:paraId="1D8E3C6C" w14:textId="6CA40681" w:rsidR="000A0DFA" w:rsidRPr="001F3203" w:rsidRDefault="000A0DFA">
            <w:pPr>
              <w:rPr>
                <w:iCs/>
                <w:sz w:val="16"/>
                <w:szCs w:val="16"/>
                <w:lang w:val="en-GB" w:eastAsia="en-GB"/>
              </w:rPr>
            </w:pPr>
            <w:r w:rsidRPr="001F3203">
              <w:rPr>
                <w:b/>
                <w:iCs/>
                <w:sz w:val="16"/>
                <w:szCs w:val="16"/>
                <w:lang w:val="en-GB" w:eastAsia="en-GB"/>
              </w:rPr>
              <w:t>Indicator-3.4:</w:t>
            </w:r>
            <w:r w:rsidRPr="001F3203">
              <w:rPr>
                <w:iCs/>
                <w:sz w:val="16"/>
                <w:szCs w:val="16"/>
                <w:lang w:val="en-GB" w:eastAsia="en-GB"/>
              </w:rPr>
              <w:t xml:space="preserve"> National </w:t>
            </w:r>
            <w:r w:rsidR="007E3A32">
              <w:rPr>
                <w:iCs/>
                <w:sz w:val="16"/>
                <w:szCs w:val="16"/>
                <w:lang w:val="en-GB" w:eastAsia="en-GB"/>
              </w:rPr>
              <w:t>e</w:t>
            </w:r>
            <w:r w:rsidR="007E3A32" w:rsidRPr="001F3203">
              <w:rPr>
                <w:iCs/>
                <w:sz w:val="16"/>
                <w:szCs w:val="16"/>
                <w:lang w:val="en-GB" w:eastAsia="en-GB"/>
              </w:rPr>
              <w:t>lectrification</w:t>
            </w:r>
            <w:r w:rsidR="00BC6CB6" w:rsidRPr="001F3203">
              <w:rPr>
                <w:iCs/>
                <w:sz w:val="16"/>
                <w:szCs w:val="16"/>
                <w:lang w:val="en-GB" w:eastAsia="en-GB"/>
              </w:rPr>
              <w:t xml:space="preserve"> </w:t>
            </w:r>
            <w:r w:rsidR="00BC6CB6">
              <w:rPr>
                <w:iCs/>
                <w:sz w:val="16"/>
                <w:szCs w:val="16"/>
                <w:lang w:val="en-GB" w:eastAsia="en-GB"/>
              </w:rPr>
              <w:t>r</w:t>
            </w:r>
            <w:r w:rsidR="00BC6CB6" w:rsidRPr="001F3203">
              <w:rPr>
                <w:iCs/>
                <w:sz w:val="16"/>
                <w:szCs w:val="16"/>
                <w:lang w:val="en-GB" w:eastAsia="en-GB"/>
              </w:rPr>
              <w:t>atio</w:t>
            </w:r>
          </w:p>
          <w:p w14:paraId="74B0BBF8" w14:textId="77777777" w:rsidR="000A0DFA" w:rsidRPr="001F3203" w:rsidRDefault="000A0DFA">
            <w:pPr>
              <w:rPr>
                <w:iCs/>
                <w:sz w:val="16"/>
                <w:szCs w:val="16"/>
                <w:lang w:val="en-GB" w:eastAsia="en-GB"/>
              </w:rPr>
            </w:pPr>
            <w:r w:rsidRPr="001F3203">
              <w:rPr>
                <w:b/>
                <w:iCs/>
                <w:sz w:val="16"/>
                <w:szCs w:val="16"/>
                <w:lang w:val="en-GB" w:eastAsia="en-GB"/>
              </w:rPr>
              <w:t>Baseline(2014)</w:t>
            </w:r>
            <w:r w:rsidRPr="001F3203">
              <w:rPr>
                <w:iCs/>
                <w:sz w:val="16"/>
                <w:szCs w:val="16"/>
                <w:lang w:val="en-GB" w:eastAsia="en-GB"/>
              </w:rPr>
              <w:t>: 84.35%(2014)</w:t>
            </w:r>
          </w:p>
          <w:p w14:paraId="3B282267" w14:textId="77777777" w:rsidR="000A0DFA" w:rsidRPr="001F3203" w:rsidRDefault="000A0DFA">
            <w:pPr>
              <w:rPr>
                <w:iCs/>
                <w:sz w:val="16"/>
                <w:szCs w:val="16"/>
                <w:lang w:val="en-GB" w:eastAsia="en-GB"/>
              </w:rPr>
            </w:pPr>
            <w:r w:rsidRPr="001F3203">
              <w:rPr>
                <w:b/>
                <w:iCs/>
                <w:sz w:val="16"/>
                <w:szCs w:val="16"/>
                <w:lang w:val="en-GB" w:eastAsia="en-GB"/>
              </w:rPr>
              <w:t>Target</w:t>
            </w:r>
            <w:r w:rsidRPr="001F3203">
              <w:rPr>
                <w:iCs/>
                <w:sz w:val="16"/>
                <w:szCs w:val="16"/>
                <w:lang w:val="en-GB" w:eastAsia="en-GB"/>
              </w:rPr>
              <w:t>: 96.61%</w:t>
            </w:r>
          </w:p>
          <w:p w14:paraId="0DBC8AAF" w14:textId="77777777" w:rsidR="000A0DFA" w:rsidRPr="001F3203" w:rsidRDefault="000A0DFA">
            <w:pPr>
              <w:rPr>
                <w:iCs/>
                <w:sz w:val="16"/>
                <w:szCs w:val="16"/>
                <w:lang w:val="en-GB" w:eastAsia="en-GB"/>
              </w:rPr>
            </w:pPr>
          </w:p>
          <w:p w14:paraId="15211712" w14:textId="6B9A85C3" w:rsidR="000A0DFA" w:rsidRPr="001F3203" w:rsidRDefault="000A0DFA">
            <w:pPr>
              <w:rPr>
                <w:iCs/>
                <w:sz w:val="16"/>
                <w:szCs w:val="16"/>
                <w:lang w:val="en-GB" w:eastAsia="en-GB"/>
              </w:rPr>
            </w:pPr>
            <w:r w:rsidRPr="001F3203">
              <w:rPr>
                <w:b/>
                <w:iCs/>
                <w:sz w:val="16"/>
                <w:szCs w:val="16"/>
                <w:lang w:val="en-GB" w:eastAsia="en-GB"/>
              </w:rPr>
              <w:t>Indicator-3.5:</w:t>
            </w:r>
            <w:r w:rsidRPr="001F3203">
              <w:rPr>
                <w:iCs/>
                <w:sz w:val="16"/>
                <w:szCs w:val="16"/>
                <w:lang w:val="en-GB" w:eastAsia="en-GB"/>
              </w:rPr>
              <w:t xml:space="preserve"> % reduction in </w:t>
            </w:r>
            <w:r w:rsidR="00BC6CB6">
              <w:rPr>
                <w:sz w:val="16"/>
                <w:szCs w:val="16"/>
              </w:rPr>
              <w:t>greenhouse gas</w:t>
            </w:r>
            <w:r w:rsidR="00BC6CB6" w:rsidRPr="001F3203">
              <w:rPr>
                <w:sz w:val="16"/>
                <w:szCs w:val="16"/>
              </w:rPr>
              <w:t xml:space="preserve"> </w:t>
            </w:r>
            <w:r w:rsidRPr="001F3203">
              <w:rPr>
                <w:sz w:val="16"/>
                <w:szCs w:val="16"/>
              </w:rPr>
              <w:t>emission</w:t>
            </w:r>
            <w:r w:rsidR="00BC6CB6">
              <w:rPr>
                <w:sz w:val="16"/>
                <w:szCs w:val="16"/>
              </w:rPr>
              <w:t>s</w:t>
            </w:r>
            <w:r w:rsidRPr="001F3203">
              <w:rPr>
                <w:sz w:val="16"/>
                <w:szCs w:val="16"/>
              </w:rPr>
              <w:t xml:space="preserve"> against ‘</w:t>
            </w:r>
            <w:r w:rsidRPr="001F3203">
              <w:rPr>
                <w:iCs/>
                <w:sz w:val="16"/>
                <w:szCs w:val="16"/>
                <w:lang w:val="en-GB" w:eastAsia="en-GB"/>
              </w:rPr>
              <w:t>Business as Usual’ trajectory in 2020</w:t>
            </w:r>
            <w:r w:rsidRPr="001F3203" w:rsidDel="00C04E79">
              <w:rPr>
                <w:sz w:val="16"/>
                <w:szCs w:val="16"/>
              </w:rPr>
              <w:t xml:space="preserve"> </w:t>
            </w:r>
          </w:p>
          <w:p w14:paraId="317EC98F" w14:textId="77777777" w:rsidR="000A0DFA" w:rsidRPr="001F3203" w:rsidRDefault="000A0DFA">
            <w:pPr>
              <w:rPr>
                <w:iCs/>
                <w:sz w:val="16"/>
                <w:szCs w:val="16"/>
                <w:lang w:val="en-GB" w:eastAsia="en-GB"/>
              </w:rPr>
            </w:pPr>
            <w:r w:rsidRPr="001F3203">
              <w:rPr>
                <w:b/>
                <w:iCs/>
                <w:sz w:val="16"/>
                <w:szCs w:val="16"/>
                <w:lang w:val="en-GB" w:eastAsia="en-GB"/>
              </w:rPr>
              <w:t>Baseline(2014)</w:t>
            </w:r>
            <w:r w:rsidRPr="001F3203">
              <w:rPr>
                <w:iCs/>
                <w:sz w:val="16"/>
                <w:szCs w:val="16"/>
                <w:lang w:val="en-GB" w:eastAsia="en-GB"/>
              </w:rPr>
              <w:t xml:space="preserve">: </w:t>
            </w:r>
            <w:r w:rsidRPr="001F3203">
              <w:rPr>
                <w:b/>
                <w:iCs/>
                <w:color w:val="000000" w:themeColor="text1"/>
                <w:sz w:val="16"/>
                <w:szCs w:val="16"/>
                <w:lang w:val="en-GB" w:eastAsia="en-GB"/>
              </w:rPr>
              <w:t>15.5%</w:t>
            </w:r>
            <w:r w:rsidRPr="001F3203">
              <w:rPr>
                <w:iCs/>
                <w:sz w:val="16"/>
                <w:szCs w:val="16"/>
                <w:lang w:val="en-GB" w:eastAsia="en-GB"/>
              </w:rPr>
              <w:t xml:space="preserve">(2014) </w:t>
            </w:r>
          </w:p>
          <w:p w14:paraId="68073961" w14:textId="77777777" w:rsidR="000A0DFA" w:rsidRPr="001F3203" w:rsidRDefault="000A0DFA">
            <w:pPr>
              <w:rPr>
                <w:iCs/>
                <w:strike/>
                <w:sz w:val="16"/>
                <w:szCs w:val="16"/>
                <w:lang w:val="en-GB" w:eastAsia="en-GB"/>
              </w:rPr>
            </w:pPr>
            <w:r w:rsidRPr="001F3203">
              <w:rPr>
                <w:b/>
                <w:iCs/>
                <w:sz w:val="16"/>
                <w:szCs w:val="16"/>
                <w:lang w:val="en-GB" w:eastAsia="en-GB"/>
              </w:rPr>
              <w:t>Target</w:t>
            </w:r>
            <w:r w:rsidRPr="001F3203">
              <w:rPr>
                <w:iCs/>
                <w:sz w:val="16"/>
                <w:szCs w:val="16"/>
                <w:lang w:val="en-GB" w:eastAsia="en-GB"/>
              </w:rPr>
              <w:t xml:space="preserve">: 26.6% </w:t>
            </w:r>
          </w:p>
          <w:p w14:paraId="7831348C" w14:textId="77777777" w:rsidR="000A0DFA" w:rsidRPr="001F3203" w:rsidRDefault="000A0DFA">
            <w:pPr>
              <w:rPr>
                <w:b/>
                <w:iCs/>
                <w:sz w:val="16"/>
                <w:szCs w:val="16"/>
                <w:lang w:eastAsia="en-GB"/>
              </w:rPr>
            </w:pPr>
          </w:p>
          <w:p w14:paraId="12B9D7CC" w14:textId="77777777" w:rsidR="000A0DFA" w:rsidRPr="001F3203" w:rsidRDefault="000A0DFA">
            <w:pPr>
              <w:rPr>
                <w:iCs/>
                <w:sz w:val="16"/>
                <w:szCs w:val="16"/>
                <w:lang w:eastAsia="en-GB"/>
              </w:rPr>
            </w:pPr>
            <w:r w:rsidRPr="001F3203">
              <w:rPr>
                <w:b/>
                <w:iCs/>
                <w:sz w:val="16"/>
                <w:szCs w:val="16"/>
                <w:lang w:eastAsia="en-GB"/>
              </w:rPr>
              <w:t>Indicator-3.6:</w:t>
            </w:r>
            <w:r w:rsidRPr="001F3203">
              <w:rPr>
                <w:iCs/>
                <w:sz w:val="16"/>
                <w:szCs w:val="16"/>
                <w:lang w:eastAsia="en-GB"/>
              </w:rPr>
              <w:t xml:space="preserve"> Index of Environmental Quality </w:t>
            </w:r>
          </w:p>
          <w:p w14:paraId="7E98672D" w14:textId="0581C63C" w:rsidR="000A0DFA" w:rsidRPr="001F3203" w:rsidRDefault="000A0DFA">
            <w:pPr>
              <w:rPr>
                <w:iCs/>
                <w:sz w:val="16"/>
                <w:szCs w:val="16"/>
                <w:lang w:eastAsia="en-GB"/>
              </w:rPr>
            </w:pPr>
            <w:r w:rsidRPr="001F3203">
              <w:rPr>
                <w:b/>
                <w:iCs/>
                <w:sz w:val="16"/>
                <w:szCs w:val="16"/>
                <w:lang w:eastAsia="en-GB"/>
              </w:rPr>
              <w:t>Baseline(201</w:t>
            </w:r>
            <w:r w:rsidR="009D453C">
              <w:rPr>
                <w:b/>
                <w:iCs/>
                <w:sz w:val="16"/>
                <w:szCs w:val="16"/>
                <w:lang w:eastAsia="en-GB"/>
              </w:rPr>
              <w:t>3</w:t>
            </w:r>
            <w:r w:rsidRPr="001F3203">
              <w:rPr>
                <w:b/>
                <w:iCs/>
                <w:sz w:val="16"/>
                <w:szCs w:val="16"/>
                <w:lang w:eastAsia="en-GB"/>
              </w:rPr>
              <w:t>)</w:t>
            </w:r>
            <w:r w:rsidRPr="001F3203">
              <w:rPr>
                <w:iCs/>
                <w:sz w:val="16"/>
                <w:szCs w:val="16"/>
                <w:lang w:eastAsia="en-GB"/>
              </w:rPr>
              <w:t>: 63.</w:t>
            </w:r>
            <w:r w:rsidR="009D453C">
              <w:rPr>
                <w:iCs/>
                <w:sz w:val="16"/>
                <w:szCs w:val="16"/>
                <w:lang w:eastAsia="en-GB"/>
              </w:rPr>
              <w:t>13</w:t>
            </w:r>
          </w:p>
          <w:p w14:paraId="37BB20C9" w14:textId="77777777" w:rsidR="000A0DFA" w:rsidRPr="001F3203" w:rsidRDefault="000A0DFA">
            <w:pPr>
              <w:rPr>
                <w:iCs/>
                <w:strike/>
                <w:sz w:val="16"/>
                <w:szCs w:val="16"/>
                <w:lang w:eastAsia="en-GB"/>
              </w:rPr>
            </w:pPr>
            <w:r w:rsidRPr="001F3203">
              <w:rPr>
                <w:b/>
                <w:iCs/>
                <w:sz w:val="16"/>
                <w:szCs w:val="16"/>
                <w:lang w:eastAsia="en-GB"/>
              </w:rPr>
              <w:t>Target</w:t>
            </w:r>
            <w:r w:rsidRPr="001F3203">
              <w:rPr>
                <w:iCs/>
                <w:sz w:val="16"/>
                <w:szCs w:val="16"/>
                <w:lang w:eastAsia="en-GB"/>
              </w:rPr>
              <w:t>: 66.5</w:t>
            </w:r>
          </w:p>
          <w:p w14:paraId="20E5872D" w14:textId="77777777" w:rsidR="000A0DFA" w:rsidRPr="001F3203" w:rsidRDefault="000A0DFA">
            <w:pPr>
              <w:rPr>
                <w:b/>
                <w:iCs/>
                <w:sz w:val="16"/>
                <w:szCs w:val="16"/>
                <w:lang w:eastAsia="en-GB"/>
              </w:rPr>
            </w:pPr>
          </w:p>
          <w:p w14:paraId="207FA01E" w14:textId="77777777" w:rsidR="000A0DFA" w:rsidRPr="001F3203" w:rsidRDefault="000A0DFA">
            <w:pPr>
              <w:rPr>
                <w:iCs/>
                <w:sz w:val="16"/>
                <w:szCs w:val="16"/>
                <w:lang w:eastAsia="en-GB"/>
              </w:rPr>
            </w:pPr>
            <w:r w:rsidRPr="001F3203">
              <w:rPr>
                <w:b/>
                <w:iCs/>
                <w:sz w:val="16"/>
                <w:szCs w:val="16"/>
                <w:lang w:eastAsia="en-GB"/>
              </w:rPr>
              <w:t>Indicator-3.7:</w:t>
            </w:r>
            <w:r w:rsidRPr="001F3203">
              <w:rPr>
                <w:iCs/>
                <w:sz w:val="16"/>
                <w:szCs w:val="16"/>
                <w:lang w:eastAsia="en-GB"/>
              </w:rPr>
              <w:t xml:space="preserve"> # of violent conflicts</w:t>
            </w:r>
            <w:r w:rsidRPr="001F3203">
              <w:rPr>
                <w:rStyle w:val="FootnoteReference"/>
                <w:iCs/>
                <w:sz w:val="16"/>
                <w:szCs w:val="16"/>
                <w:lang w:eastAsia="en-GB"/>
              </w:rPr>
              <w:footnoteReference w:id="24"/>
            </w:r>
            <w:r w:rsidRPr="001F3203">
              <w:rPr>
                <w:iCs/>
                <w:sz w:val="16"/>
                <w:szCs w:val="16"/>
                <w:lang w:eastAsia="en-GB"/>
              </w:rPr>
              <w:t xml:space="preserve"> related to access to natural resources</w:t>
            </w:r>
          </w:p>
          <w:p w14:paraId="5B2E5F69" w14:textId="77777777" w:rsidR="000A0DFA" w:rsidRPr="001F3203" w:rsidRDefault="000A0DFA">
            <w:pPr>
              <w:rPr>
                <w:iCs/>
                <w:sz w:val="16"/>
                <w:szCs w:val="16"/>
                <w:lang w:eastAsia="en-GB"/>
              </w:rPr>
            </w:pPr>
            <w:r w:rsidRPr="001F3203">
              <w:rPr>
                <w:b/>
                <w:iCs/>
                <w:sz w:val="16"/>
                <w:szCs w:val="16"/>
                <w:lang w:eastAsia="en-GB"/>
              </w:rPr>
              <w:t>Baseline(2014)</w:t>
            </w:r>
            <w:r w:rsidRPr="001F3203">
              <w:rPr>
                <w:iCs/>
                <w:sz w:val="16"/>
                <w:szCs w:val="16"/>
                <w:lang w:eastAsia="en-GB"/>
              </w:rPr>
              <w:t>: 859</w:t>
            </w:r>
          </w:p>
          <w:p w14:paraId="1D0F280C" w14:textId="77777777" w:rsidR="000A0DFA" w:rsidRPr="001F3203" w:rsidRDefault="000A0DFA">
            <w:pPr>
              <w:rPr>
                <w:iCs/>
                <w:sz w:val="16"/>
                <w:szCs w:val="16"/>
                <w:lang w:eastAsia="en-GB"/>
              </w:rPr>
            </w:pPr>
            <w:r w:rsidRPr="001F3203">
              <w:rPr>
                <w:b/>
                <w:iCs/>
                <w:sz w:val="16"/>
                <w:szCs w:val="16"/>
                <w:lang w:eastAsia="en-GB"/>
              </w:rPr>
              <w:t>Target</w:t>
            </w:r>
            <w:r w:rsidRPr="001F3203">
              <w:rPr>
                <w:iCs/>
                <w:sz w:val="16"/>
                <w:szCs w:val="16"/>
                <w:lang w:eastAsia="en-GB"/>
              </w:rPr>
              <w:t xml:space="preserve">: 773 </w:t>
            </w:r>
          </w:p>
          <w:p w14:paraId="69801339" w14:textId="77777777" w:rsidR="000A0DFA" w:rsidRPr="001F3203" w:rsidRDefault="000A0DFA">
            <w:pPr>
              <w:rPr>
                <w:b/>
                <w:iCs/>
                <w:sz w:val="16"/>
                <w:szCs w:val="16"/>
                <w:lang w:eastAsia="en-GB"/>
              </w:rPr>
            </w:pPr>
          </w:p>
          <w:p w14:paraId="716E5AC1" w14:textId="128457F3" w:rsidR="000A0DFA" w:rsidRPr="001F3203" w:rsidRDefault="000A0DFA">
            <w:pPr>
              <w:rPr>
                <w:iCs/>
                <w:sz w:val="16"/>
                <w:szCs w:val="16"/>
                <w:lang w:eastAsia="en-GB"/>
              </w:rPr>
            </w:pPr>
            <w:r w:rsidRPr="001F3203">
              <w:rPr>
                <w:b/>
                <w:iCs/>
                <w:sz w:val="16"/>
                <w:szCs w:val="16"/>
                <w:lang w:eastAsia="en-GB"/>
              </w:rPr>
              <w:t>Indicator-3.8:</w:t>
            </w:r>
            <w:r w:rsidRPr="001F3203">
              <w:rPr>
                <w:iCs/>
                <w:sz w:val="16"/>
                <w:szCs w:val="16"/>
                <w:lang w:eastAsia="en-GB"/>
              </w:rPr>
              <w:t xml:space="preserve"> # of districts classified as high disaster risk </w:t>
            </w:r>
          </w:p>
          <w:p w14:paraId="319C9147" w14:textId="77777777" w:rsidR="000A0DFA" w:rsidRPr="001F3203" w:rsidRDefault="000A0DFA">
            <w:pPr>
              <w:rPr>
                <w:iCs/>
                <w:sz w:val="16"/>
                <w:szCs w:val="16"/>
                <w:lang w:eastAsia="en-GB"/>
              </w:rPr>
            </w:pPr>
            <w:r w:rsidRPr="001F3203">
              <w:rPr>
                <w:b/>
                <w:iCs/>
                <w:sz w:val="16"/>
                <w:szCs w:val="16"/>
                <w:lang w:eastAsia="en-GB"/>
              </w:rPr>
              <w:t>Baseline(2013)</w:t>
            </w:r>
            <w:r w:rsidRPr="001F3203">
              <w:rPr>
                <w:iCs/>
                <w:sz w:val="16"/>
                <w:szCs w:val="16"/>
                <w:lang w:eastAsia="en-GB"/>
              </w:rPr>
              <w:t>: 322</w:t>
            </w:r>
          </w:p>
          <w:p w14:paraId="5E7E31AC" w14:textId="77777777" w:rsidR="000A0DFA" w:rsidRPr="001F3203" w:rsidRDefault="000A0DFA">
            <w:pPr>
              <w:rPr>
                <w:bCs/>
                <w:color w:val="000000"/>
                <w:sz w:val="16"/>
                <w:szCs w:val="16"/>
                <w:lang w:val="en-GB" w:eastAsia="en-GB"/>
              </w:rPr>
            </w:pPr>
            <w:r w:rsidRPr="001F3203">
              <w:rPr>
                <w:b/>
                <w:iCs/>
                <w:sz w:val="16"/>
                <w:szCs w:val="16"/>
                <w:lang w:eastAsia="en-GB"/>
              </w:rPr>
              <w:t>Target</w:t>
            </w:r>
            <w:r w:rsidRPr="001F3203">
              <w:rPr>
                <w:iCs/>
                <w:sz w:val="16"/>
                <w:szCs w:val="16"/>
                <w:lang w:eastAsia="en-GB"/>
              </w:rPr>
              <w:t>: 135</w:t>
            </w:r>
          </w:p>
        </w:tc>
        <w:tc>
          <w:tcPr>
            <w:tcW w:w="977" w:type="pct"/>
            <w:vMerge w:val="restart"/>
          </w:tcPr>
          <w:p w14:paraId="2A448E5E" w14:textId="77777777" w:rsidR="000A0DFA" w:rsidRPr="001F3203" w:rsidRDefault="000A0DFA">
            <w:pPr>
              <w:rPr>
                <w:iCs/>
                <w:sz w:val="16"/>
                <w:szCs w:val="16"/>
                <w:lang w:val="en-GB" w:eastAsia="en-GB"/>
              </w:rPr>
            </w:pPr>
            <w:r w:rsidRPr="001F3203">
              <w:rPr>
                <w:iCs/>
                <w:sz w:val="16"/>
                <w:szCs w:val="16"/>
                <w:lang w:val="en-GB" w:eastAsia="en-GB"/>
              </w:rPr>
              <w:lastRenderedPageBreak/>
              <w:t>Indonesian Institute of Science.</w:t>
            </w:r>
          </w:p>
          <w:p w14:paraId="231681CB" w14:textId="77777777" w:rsidR="000A0DFA" w:rsidRPr="001F3203" w:rsidRDefault="000A0DFA">
            <w:pPr>
              <w:rPr>
                <w:iCs/>
                <w:sz w:val="16"/>
                <w:szCs w:val="16"/>
                <w:lang w:val="en-GB" w:eastAsia="en-GB"/>
              </w:rPr>
            </w:pPr>
            <w:r w:rsidRPr="001F3203">
              <w:rPr>
                <w:iCs/>
                <w:sz w:val="16"/>
                <w:szCs w:val="16"/>
                <w:lang w:val="en-GB" w:eastAsia="en-GB"/>
              </w:rPr>
              <w:t xml:space="preserve"> </w:t>
            </w:r>
          </w:p>
          <w:p w14:paraId="317E13D3" w14:textId="77777777" w:rsidR="000A0DFA" w:rsidRPr="001F3203" w:rsidRDefault="000A0DFA">
            <w:pPr>
              <w:rPr>
                <w:iCs/>
                <w:sz w:val="16"/>
                <w:szCs w:val="16"/>
                <w:lang w:val="en-GB" w:eastAsia="en-GB"/>
              </w:rPr>
            </w:pPr>
            <w:r w:rsidRPr="001F3203">
              <w:rPr>
                <w:iCs/>
                <w:sz w:val="16"/>
                <w:szCs w:val="16"/>
                <w:lang w:val="en-GB" w:eastAsia="en-GB"/>
              </w:rPr>
              <w:t>Ministries of Environment and Forestry; Marine Affair</w:t>
            </w:r>
            <w:r w:rsidR="00BF3CFD">
              <w:rPr>
                <w:iCs/>
                <w:sz w:val="16"/>
                <w:szCs w:val="16"/>
                <w:lang w:val="en-GB" w:eastAsia="en-GB"/>
              </w:rPr>
              <w:t>s</w:t>
            </w:r>
            <w:r w:rsidRPr="001F3203">
              <w:rPr>
                <w:iCs/>
                <w:sz w:val="16"/>
                <w:szCs w:val="16"/>
                <w:lang w:val="en-GB" w:eastAsia="en-GB"/>
              </w:rPr>
              <w:t>; Energy and Mineral Resources.</w:t>
            </w:r>
          </w:p>
          <w:p w14:paraId="4CCB5FA4" w14:textId="77777777" w:rsidR="000A0DFA" w:rsidRPr="001F3203" w:rsidRDefault="000A0DFA">
            <w:pPr>
              <w:rPr>
                <w:iCs/>
                <w:sz w:val="16"/>
                <w:szCs w:val="16"/>
                <w:lang w:val="en-GB" w:eastAsia="en-GB"/>
              </w:rPr>
            </w:pPr>
          </w:p>
          <w:p w14:paraId="3120F630" w14:textId="77777777" w:rsidR="000A0DFA" w:rsidRPr="001F3203" w:rsidRDefault="000A0DFA">
            <w:pPr>
              <w:rPr>
                <w:bCs/>
                <w:color w:val="000000"/>
                <w:sz w:val="16"/>
                <w:szCs w:val="16"/>
                <w:lang w:val="en-GB" w:eastAsia="en-GB"/>
              </w:rPr>
            </w:pPr>
            <w:r w:rsidRPr="001F3203">
              <w:rPr>
                <w:bCs/>
                <w:color w:val="000000"/>
                <w:sz w:val="16"/>
                <w:szCs w:val="16"/>
                <w:lang w:val="en-GB" w:eastAsia="en-GB"/>
              </w:rPr>
              <w:t>Centre for National GHG Inventory System/Ministry of Environment and Forestry</w:t>
            </w:r>
            <w:r w:rsidR="00AF65F1">
              <w:rPr>
                <w:bCs/>
                <w:color w:val="000000"/>
                <w:sz w:val="16"/>
                <w:szCs w:val="16"/>
                <w:lang w:val="en-GB" w:eastAsia="en-GB"/>
              </w:rPr>
              <w:t xml:space="preserve"> </w:t>
            </w:r>
            <w:r w:rsidRPr="001F3203">
              <w:rPr>
                <w:bCs/>
                <w:color w:val="000000"/>
                <w:sz w:val="16"/>
                <w:szCs w:val="16"/>
                <w:lang w:val="en-GB" w:eastAsia="en-GB"/>
              </w:rPr>
              <w:t>(MoEF)</w:t>
            </w:r>
          </w:p>
          <w:p w14:paraId="58916095" w14:textId="77777777" w:rsidR="000A0DFA" w:rsidRPr="001F3203" w:rsidRDefault="000A0DFA">
            <w:pPr>
              <w:rPr>
                <w:bCs/>
                <w:color w:val="000000"/>
                <w:sz w:val="16"/>
                <w:szCs w:val="16"/>
                <w:lang w:val="en-GB" w:eastAsia="en-GB"/>
              </w:rPr>
            </w:pPr>
          </w:p>
          <w:p w14:paraId="5C332977" w14:textId="77777777" w:rsidR="000A0DFA" w:rsidRPr="001F3203" w:rsidRDefault="000A0DFA">
            <w:pPr>
              <w:rPr>
                <w:bCs/>
                <w:color w:val="000000"/>
                <w:sz w:val="16"/>
                <w:szCs w:val="16"/>
                <w:lang w:val="en-GB" w:eastAsia="en-GB"/>
              </w:rPr>
            </w:pPr>
            <w:r w:rsidRPr="001F3203">
              <w:rPr>
                <w:bCs/>
                <w:color w:val="000000"/>
                <w:sz w:val="16"/>
                <w:szCs w:val="16"/>
                <w:lang w:val="en-GB" w:eastAsia="en-GB"/>
              </w:rPr>
              <w:lastRenderedPageBreak/>
              <w:t>Second Biennial Update Report (2015) and Third National Communication (2016)</w:t>
            </w:r>
          </w:p>
          <w:p w14:paraId="31CAA54E" w14:textId="77777777" w:rsidR="000A0DFA" w:rsidRPr="001F3203" w:rsidRDefault="000A0DFA">
            <w:pPr>
              <w:rPr>
                <w:bCs/>
                <w:color w:val="000000"/>
                <w:sz w:val="16"/>
                <w:szCs w:val="16"/>
                <w:lang w:val="en-GB" w:eastAsia="en-GB"/>
              </w:rPr>
            </w:pPr>
          </w:p>
          <w:p w14:paraId="46346A77" w14:textId="77777777" w:rsidR="000A0DFA" w:rsidRPr="001F3203" w:rsidRDefault="00BC6CB6">
            <w:pPr>
              <w:rPr>
                <w:iCs/>
                <w:sz w:val="16"/>
                <w:szCs w:val="16"/>
                <w:lang w:eastAsia="en-GB"/>
              </w:rPr>
            </w:pPr>
            <w:r>
              <w:rPr>
                <w:iCs/>
                <w:sz w:val="16"/>
                <w:szCs w:val="16"/>
                <w:lang w:eastAsia="en-GB"/>
              </w:rPr>
              <w:t>National Disaster Management Authority (</w:t>
            </w:r>
            <w:r w:rsidR="000A0DFA" w:rsidRPr="001F3203">
              <w:rPr>
                <w:iCs/>
                <w:sz w:val="16"/>
                <w:szCs w:val="16"/>
                <w:lang w:eastAsia="en-GB"/>
              </w:rPr>
              <w:t>BNPB</w:t>
            </w:r>
            <w:r>
              <w:rPr>
                <w:iCs/>
                <w:sz w:val="16"/>
                <w:szCs w:val="16"/>
                <w:lang w:eastAsia="en-GB"/>
              </w:rPr>
              <w:t>)</w:t>
            </w:r>
            <w:r w:rsidR="000A0DFA" w:rsidRPr="001F3203">
              <w:rPr>
                <w:iCs/>
                <w:sz w:val="16"/>
                <w:szCs w:val="16"/>
                <w:lang w:eastAsia="en-GB"/>
              </w:rPr>
              <w:t xml:space="preserve"> Disaster Risk Index </w:t>
            </w:r>
          </w:p>
          <w:p w14:paraId="63E53BDB" w14:textId="77777777" w:rsidR="000A0DFA" w:rsidRPr="001F3203" w:rsidRDefault="000A0DFA">
            <w:pPr>
              <w:rPr>
                <w:iCs/>
                <w:sz w:val="16"/>
                <w:szCs w:val="16"/>
                <w:lang w:eastAsia="en-GB"/>
              </w:rPr>
            </w:pPr>
          </w:p>
          <w:p w14:paraId="6C363E96" w14:textId="77777777" w:rsidR="000A0DFA" w:rsidRPr="00C91B7F" w:rsidRDefault="000A0DFA" w:rsidP="00417284">
            <w:pPr>
              <w:rPr>
                <w:iCs/>
                <w:sz w:val="16"/>
                <w:szCs w:val="16"/>
                <w:lang w:eastAsia="en-GB"/>
              </w:rPr>
            </w:pPr>
            <w:r w:rsidRPr="001F3203">
              <w:rPr>
                <w:iCs/>
                <w:sz w:val="16"/>
                <w:szCs w:val="16"/>
                <w:lang w:eastAsia="en-GB"/>
              </w:rPr>
              <w:t>National Conflict Monitoring System</w:t>
            </w:r>
          </w:p>
        </w:tc>
        <w:tc>
          <w:tcPr>
            <w:tcW w:w="1300" w:type="pct"/>
            <w:vMerge w:val="restart"/>
            <w:tcMar>
              <w:top w:w="72" w:type="dxa"/>
              <w:left w:w="144" w:type="dxa"/>
              <w:bottom w:w="72" w:type="dxa"/>
              <w:right w:w="144" w:type="dxa"/>
            </w:tcMar>
          </w:tcPr>
          <w:p w14:paraId="780BEE42" w14:textId="7A2EC4BD" w:rsidR="000A0DFA" w:rsidRPr="001F3203" w:rsidRDefault="000A0DFA">
            <w:pPr>
              <w:rPr>
                <w:b/>
                <w:iCs/>
                <w:color w:val="000000"/>
                <w:sz w:val="16"/>
                <w:szCs w:val="16"/>
                <w:lang w:eastAsia="en-GB"/>
              </w:rPr>
            </w:pPr>
            <w:r w:rsidRPr="001F3203">
              <w:rPr>
                <w:b/>
                <w:iCs/>
                <w:color w:val="000000"/>
                <w:sz w:val="16"/>
                <w:szCs w:val="16"/>
                <w:lang w:val="en-GB" w:eastAsia="en-GB"/>
              </w:rPr>
              <w:lastRenderedPageBreak/>
              <w:t>3.1-Policy/institutional framework and extension services strengthened at national/subnational level for sustainable production of commodities by small</w:t>
            </w:r>
            <w:r w:rsidR="00BC6CB6">
              <w:rPr>
                <w:b/>
                <w:iCs/>
                <w:color w:val="000000"/>
                <w:sz w:val="16"/>
                <w:szCs w:val="16"/>
                <w:lang w:val="en-GB" w:eastAsia="en-GB"/>
              </w:rPr>
              <w:t xml:space="preserve"> land</w:t>
            </w:r>
            <w:r w:rsidRPr="001F3203">
              <w:rPr>
                <w:b/>
                <w:iCs/>
                <w:color w:val="000000"/>
                <w:sz w:val="16"/>
                <w:szCs w:val="16"/>
                <w:lang w:val="en-GB" w:eastAsia="en-GB"/>
              </w:rPr>
              <w:t xml:space="preserve">holders including palm oil </w:t>
            </w:r>
          </w:p>
          <w:p w14:paraId="7CC05E39" w14:textId="77777777" w:rsidR="000A0DFA" w:rsidRPr="001F3203" w:rsidRDefault="000A0DFA">
            <w:pPr>
              <w:rPr>
                <w:iCs/>
                <w:color w:val="000000"/>
                <w:sz w:val="16"/>
                <w:szCs w:val="16"/>
                <w:lang w:val="en-GB" w:eastAsia="en-GB"/>
              </w:rPr>
            </w:pPr>
          </w:p>
          <w:p w14:paraId="7AEBA179" w14:textId="77777777" w:rsidR="000A0DFA" w:rsidRPr="001F3203" w:rsidRDefault="000A0DFA">
            <w:pPr>
              <w:rPr>
                <w:bCs/>
                <w:color w:val="000000"/>
                <w:sz w:val="16"/>
                <w:szCs w:val="16"/>
                <w:lang w:val="en-GB" w:eastAsia="en-GB"/>
              </w:rPr>
            </w:pPr>
            <w:r w:rsidRPr="001F3203">
              <w:rPr>
                <w:b/>
                <w:iCs/>
                <w:color w:val="000000"/>
                <w:sz w:val="16"/>
                <w:szCs w:val="16"/>
                <w:lang w:val="en-GB" w:eastAsia="en-GB"/>
              </w:rPr>
              <w:t>Indicator</w:t>
            </w:r>
            <w:r w:rsidRPr="001F3203">
              <w:rPr>
                <w:iCs/>
                <w:color w:val="000000"/>
                <w:sz w:val="16"/>
                <w:szCs w:val="16"/>
                <w:lang w:val="en-GB" w:eastAsia="en-GB"/>
              </w:rPr>
              <w:t>:</w:t>
            </w:r>
            <w:r w:rsidRPr="001F3203">
              <w:rPr>
                <w:sz w:val="16"/>
                <w:szCs w:val="16"/>
              </w:rPr>
              <w:t xml:space="preserve"> % of smallholders (estimated 100,000 in targeted areas) in compliance with the Indonesia Sustainable Palm Oil standard </w:t>
            </w:r>
          </w:p>
          <w:p w14:paraId="3C9E8708" w14:textId="77777777" w:rsidR="000A0DFA" w:rsidRPr="001F3203" w:rsidRDefault="000A0DFA">
            <w:pPr>
              <w:rPr>
                <w:bCs/>
                <w:color w:val="000000"/>
                <w:sz w:val="16"/>
                <w:szCs w:val="16"/>
                <w:lang w:eastAsia="en-GB"/>
              </w:rPr>
            </w:pPr>
            <w:r w:rsidRPr="001F3203">
              <w:rPr>
                <w:b/>
                <w:bCs/>
                <w:color w:val="000000"/>
                <w:sz w:val="16"/>
                <w:szCs w:val="16"/>
                <w:lang w:eastAsia="en-GB"/>
              </w:rPr>
              <w:t>Baseline</w:t>
            </w:r>
            <w:r w:rsidRPr="001F3203">
              <w:rPr>
                <w:bCs/>
                <w:color w:val="000000"/>
                <w:sz w:val="16"/>
                <w:szCs w:val="16"/>
                <w:lang w:eastAsia="en-GB"/>
              </w:rPr>
              <w:t>: 0%</w:t>
            </w:r>
          </w:p>
          <w:p w14:paraId="28AF2349" w14:textId="77777777" w:rsidR="000A0DFA" w:rsidRPr="001F3203" w:rsidRDefault="000A0DFA">
            <w:pPr>
              <w:rPr>
                <w:iCs/>
                <w:color w:val="000000"/>
                <w:sz w:val="16"/>
                <w:szCs w:val="16"/>
                <w:lang w:val="en-GB" w:eastAsia="en-GB"/>
              </w:rPr>
            </w:pPr>
            <w:r w:rsidRPr="001F3203">
              <w:rPr>
                <w:b/>
                <w:bCs/>
                <w:color w:val="000000"/>
                <w:sz w:val="16"/>
                <w:szCs w:val="16"/>
                <w:lang w:eastAsia="en-GB"/>
              </w:rPr>
              <w:lastRenderedPageBreak/>
              <w:t>Target</w:t>
            </w:r>
            <w:r w:rsidRPr="001F3203">
              <w:rPr>
                <w:bCs/>
                <w:color w:val="000000"/>
                <w:sz w:val="16"/>
                <w:szCs w:val="16"/>
                <w:lang w:eastAsia="en-GB"/>
              </w:rPr>
              <w:t xml:space="preserve">: 50% </w:t>
            </w:r>
          </w:p>
          <w:p w14:paraId="61E97824" w14:textId="77777777" w:rsidR="000A0DFA" w:rsidRPr="001F3203" w:rsidRDefault="000A0DFA">
            <w:pPr>
              <w:rPr>
                <w:iCs/>
                <w:color w:val="000000"/>
                <w:sz w:val="16"/>
                <w:szCs w:val="16"/>
                <w:lang w:val="en-GB" w:eastAsia="en-GB"/>
              </w:rPr>
            </w:pPr>
            <w:r w:rsidRPr="001F3203">
              <w:rPr>
                <w:iCs/>
                <w:color w:val="000000"/>
                <w:sz w:val="16"/>
                <w:szCs w:val="16"/>
                <w:lang w:val="en-GB" w:eastAsia="en-GB"/>
              </w:rPr>
              <w:t>Source: Ministry of Agriculture</w:t>
            </w:r>
          </w:p>
          <w:p w14:paraId="54B2E800" w14:textId="77777777" w:rsidR="000A0DFA" w:rsidRPr="005109F3" w:rsidRDefault="000A0DFA">
            <w:pPr>
              <w:rPr>
                <w:b/>
                <w:iCs/>
                <w:color w:val="000000"/>
                <w:sz w:val="18"/>
                <w:szCs w:val="18"/>
                <w:lang w:val="en-GB" w:eastAsia="en-GB"/>
              </w:rPr>
            </w:pPr>
          </w:p>
          <w:p w14:paraId="6E7B298E" w14:textId="77777777" w:rsidR="000A0DFA" w:rsidRPr="001F3203" w:rsidRDefault="000A0DFA">
            <w:pPr>
              <w:rPr>
                <w:b/>
                <w:iCs/>
                <w:color w:val="000000"/>
                <w:sz w:val="16"/>
                <w:szCs w:val="16"/>
                <w:lang w:val="en-GB" w:eastAsia="en-GB"/>
              </w:rPr>
            </w:pPr>
            <w:r w:rsidRPr="001F3203">
              <w:rPr>
                <w:b/>
                <w:iCs/>
                <w:color w:val="000000"/>
                <w:sz w:val="16"/>
                <w:szCs w:val="16"/>
                <w:lang w:val="en-GB" w:eastAsia="en-GB"/>
              </w:rPr>
              <w:t>3.2-National/subnational government capacities enhanced to adopt Green Economy/Low Carbon models and approaches and to protect forests</w:t>
            </w:r>
          </w:p>
          <w:p w14:paraId="05F61976" w14:textId="77777777" w:rsidR="000A0DFA" w:rsidRPr="001F3203" w:rsidRDefault="000A0DFA">
            <w:pPr>
              <w:rPr>
                <w:iCs/>
                <w:color w:val="000000"/>
                <w:sz w:val="16"/>
                <w:szCs w:val="16"/>
                <w:lang w:val="en-GB" w:eastAsia="en-GB"/>
              </w:rPr>
            </w:pPr>
          </w:p>
          <w:p w14:paraId="4D3B747F" w14:textId="77777777" w:rsidR="000A0DFA" w:rsidRPr="001F3203" w:rsidRDefault="000A0DFA">
            <w:pPr>
              <w:rPr>
                <w:iCs/>
                <w:color w:val="000000"/>
                <w:sz w:val="16"/>
                <w:szCs w:val="16"/>
                <w:lang w:val="en-GB" w:eastAsia="en-GB"/>
              </w:rPr>
            </w:pPr>
            <w:r w:rsidRPr="001F3203">
              <w:rPr>
                <w:b/>
                <w:iCs/>
                <w:color w:val="000000"/>
                <w:sz w:val="16"/>
                <w:szCs w:val="16"/>
                <w:lang w:val="en-GB" w:eastAsia="en-GB"/>
              </w:rPr>
              <w:t>Indicator</w:t>
            </w:r>
            <w:r w:rsidRPr="001F3203">
              <w:rPr>
                <w:iCs/>
                <w:color w:val="000000"/>
                <w:sz w:val="16"/>
                <w:szCs w:val="16"/>
                <w:lang w:val="en-GB" w:eastAsia="en-GB"/>
              </w:rPr>
              <w:t xml:space="preserve">: Number of provinces </w:t>
            </w:r>
            <w:r w:rsidRPr="001F3203">
              <w:rPr>
                <w:sz w:val="16"/>
                <w:szCs w:val="16"/>
              </w:rPr>
              <w:t xml:space="preserve">that adopt green economy model in development planning </w:t>
            </w:r>
          </w:p>
          <w:p w14:paraId="7CF1018D" w14:textId="77777777" w:rsidR="000A0DFA" w:rsidRPr="001F3203" w:rsidRDefault="000A0DFA">
            <w:pPr>
              <w:rPr>
                <w:bCs/>
                <w:color w:val="000000"/>
                <w:sz w:val="16"/>
                <w:szCs w:val="16"/>
                <w:lang w:val="en-GB" w:eastAsia="en-GB"/>
              </w:rPr>
            </w:pPr>
            <w:r w:rsidRPr="001F3203">
              <w:rPr>
                <w:b/>
                <w:bCs/>
                <w:color w:val="000000"/>
                <w:sz w:val="16"/>
                <w:szCs w:val="16"/>
                <w:lang w:val="en-GB" w:eastAsia="en-GB"/>
              </w:rPr>
              <w:t>Baseline</w:t>
            </w:r>
            <w:r w:rsidRPr="001F3203">
              <w:rPr>
                <w:bCs/>
                <w:color w:val="000000"/>
                <w:sz w:val="16"/>
                <w:szCs w:val="16"/>
                <w:lang w:val="en-GB" w:eastAsia="en-GB"/>
              </w:rPr>
              <w:t>: 1</w:t>
            </w:r>
          </w:p>
          <w:p w14:paraId="44D5811F" w14:textId="77777777" w:rsidR="000A0DFA" w:rsidRPr="001F3203" w:rsidRDefault="000A0DFA">
            <w:pPr>
              <w:rPr>
                <w:bCs/>
                <w:color w:val="000000"/>
                <w:sz w:val="16"/>
                <w:szCs w:val="16"/>
                <w:lang w:val="en-GB" w:eastAsia="en-GB"/>
              </w:rPr>
            </w:pPr>
            <w:r w:rsidRPr="001F3203">
              <w:rPr>
                <w:b/>
                <w:bCs/>
                <w:color w:val="000000"/>
                <w:sz w:val="16"/>
                <w:szCs w:val="16"/>
                <w:lang w:val="en-GB" w:eastAsia="en-GB"/>
              </w:rPr>
              <w:t>Target</w:t>
            </w:r>
            <w:r w:rsidRPr="001F3203">
              <w:rPr>
                <w:bCs/>
                <w:color w:val="000000"/>
                <w:sz w:val="16"/>
                <w:szCs w:val="16"/>
                <w:lang w:val="en-GB" w:eastAsia="en-GB"/>
              </w:rPr>
              <w:t>: 5</w:t>
            </w:r>
          </w:p>
          <w:p w14:paraId="4DC768B0"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 xml:space="preserve">Source: </w:t>
            </w:r>
            <w:r w:rsidRPr="001F3203">
              <w:rPr>
                <w:iCs/>
                <w:color w:val="000000"/>
                <w:sz w:val="16"/>
                <w:szCs w:val="16"/>
                <w:lang w:eastAsia="en-GB"/>
              </w:rPr>
              <w:t>BAPPENAS</w:t>
            </w:r>
          </w:p>
          <w:p w14:paraId="76080D63" w14:textId="77777777" w:rsidR="000A0DFA" w:rsidRPr="001F3203" w:rsidRDefault="000A0DFA">
            <w:pPr>
              <w:tabs>
                <w:tab w:val="left" w:pos="423"/>
              </w:tabs>
              <w:rPr>
                <w:b/>
                <w:iCs/>
                <w:color w:val="000000"/>
                <w:sz w:val="16"/>
                <w:szCs w:val="16"/>
                <w:lang w:eastAsia="en-GB"/>
              </w:rPr>
            </w:pPr>
          </w:p>
          <w:p w14:paraId="2DF68CEC" w14:textId="6F3E8117" w:rsidR="000A0DFA" w:rsidRPr="001F3203" w:rsidRDefault="000A0DFA">
            <w:pPr>
              <w:tabs>
                <w:tab w:val="left" w:pos="423"/>
              </w:tabs>
              <w:rPr>
                <w:b/>
                <w:iCs/>
                <w:color w:val="000000"/>
                <w:sz w:val="16"/>
                <w:szCs w:val="16"/>
                <w:lang w:eastAsia="en-GB"/>
              </w:rPr>
            </w:pPr>
            <w:r w:rsidRPr="001F3203">
              <w:rPr>
                <w:b/>
                <w:iCs/>
                <w:color w:val="000000"/>
                <w:sz w:val="16"/>
                <w:szCs w:val="16"/>
                <w:lang w:eastAsia="en-GB"/>
              </w:rPr>
              <w:t>3.3-National/local governments have improved policies, systems, and partnerships with non-</w:t>
            </w:r>
            <w:r w:rsidR="00AF65F1">
              <w:rPr>
                <w:b/>
                <w:iCs/>
                <w:color w:val="000000"/>
                <w:sz w:val="16"/>
                <w:szCs w:val="16"/>
                <w:lang w:eastAsia="en-GB"/>
              </w:rPr>
              <w:t>s</w:t>
            </w:r>
            <w:r w:rsidR="00AF65F1" w:rsidRPr="001F3203">
              <w:rPr>
                <w:b/>
                <w:iCs/>
                <w:color w:val="000000"/>
                <w:sz w:val="16"/>
                <w:szCs w:val="16"/>
                <w:lang w:eastAsia="en-GB"/>
              </w:rPr>
              <w:t xml:space="preserve">tate </w:t>
            </w:r>
            <w:r w:rsidRPr="001F3203">
              <w:rPr>
                <w:b/>
                <w:iCs/>
                <w:color w:val="000000"/>
                <w:sz w:val="16"/>
                <w:szCs w:val="16"/>
                <w:lang w:eastAsia="en-GB"/>
              </w:rPr>
              <w:t>actors to protect biodiversity and endangered species</w:t>
            </w:r>
          </w:p>
          <w:p w14:paraId="6688FA3F" w14:textId="77777777" w:rsidR="000A0DFA" w:rsidRPr="001F3203" w:rsidRDefault="000A0DFA">
            <w:pPr>
              <w:tabs>
                <w:tab w:val="left" w:pos="423"/>
              </w:tabs>
              <w:rPr>
                <w:b/>
                <w:iCs/>
                <w:color w:val="000000"/>
                <w:sz w:val="16"/>
                <w:szCs w:val="16"/>
                <w:lang w:eastAsia="en-GB"/>
              </w:rPr>
            </w:pPr>
          </w:p>
          <w:p w14:paraId="2FF52BCA"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w:t>
            </w:r>
            <w:r w:rsidR="00B51DCB">
              <w:rPr>
                <w:iCs/>
                <w:color w:val="000000"/>
                <w:sz w:val="16"/>
                <w:szCs w:val="16"/>
                <w:lang w:eastAsia="en-GB"/>
              </w:rPr>
              <w:t>Extent to which p</w:t>
            </w:r>
            <w:r w:rsidRPr="001F3203">
              <w:rPr>
                <w:iCs/>
                <w:color w:val="000000"/>
                <w:sz w:val="16"/>
                <w:szCs w:val="16"/>
                <w:lang w:eastAsia="en-GB"/>
              </w:rPr>
              <w:t xml:space="preserve">rogress </w:t>
            </w:r>
            <w:r w:rsidR="009F7C64">
              <w:rPr>
                <w:iCs/>
                <w:color w:val="000000"/>
                <w:sz w:val="16"/>
                <w:szCs w:val="16"/>
                <w:lang w:eastAsia="en-GB"/>
              </w:rPr>
              <w:t>is</w:t>
            </w:r>
            <w:r w:rsidR="00B51DCB">
              <w:rPr>
                <w:iCs/>
                <w:color w:val="000000"/>
                <w:sz w:val="16"/>
                <w:szCs w:val="16"/>
                <w:lang w:eastAsia="en-GB"/>
              </w:rPr>
              <w:t xml:space="preserve"> </w:t>
            </w:r>
            <w:r w:rsidRPr="001F3203">
              <w:rPr>
                <w:iCs/>
                <w:color w:val="000000"/>
                <w:sz w:val="16"/>
                <w:szCs w:val="16"/>
                <w:lang w:eastAsia="en-GB"/>
              </w:rPr>
              <w:t xml:space="preserve">made on </w:t>
            </w:r>
            <w:r w:rsidR="009F7C64">
              <w:rPr>
                <w:iCs/>
                <w:color w:val="000000"/>
                <w:sz w:val="16"/>
                <w:szCs w:val="16"/>
                <w:lang w:eastAsia="en-GB"/>
              </w:rPr>
              <w:t xml:space="preserve">the </w:t>
            </w:r>
            <w:r w:rsidRPr="001F3203">
              <w:rPr>
                <w:iCs/>
                <w:color w:val="000000"/>
                <w:sz w:val="16"/>
                <w:szCs w:val="16"/>
                <w:lang w:eastAsia="en-GB"/>
              </w:rPr>
              <w:t xml:space="preserve">development and </w:t>
            </w:r>
            <w:r w:rsidR="00B51DCB">
              <w:rPr>
                <w:iCs/>
                <w:color w:val="000000"/>
                <w:sz w:val="16"/>
                <w:szCs w:val="16"/>
                <w:lang w:eastAsia="en-GB"/>
              </w:rPr>
              <w:t>implementation of</w:t>
            </w:r>
            <w:r w:rsidR="00661874">
              <w:rPr>
                <w:iCs/>
                <w:color w:val="000000"/>
                <w:sz w:val="16"/>
                <w:szCs w:val="16"/>
                <w:lang w:eastAsia="en-GB"/>
              </w:rPr>
              <w:t xml:space="preserve"> a)</w:t>
            </w:r>
            <w:r w:rsidR="00B51DCB" w:rsidRPr="001F3203">
              <w:rPr>
                <w:iCs/>
                <w:color w:val="000000"/>
                <w:sz w:val="16"/>
                <w:szCs w:val="16"/>
                <w:lang w:eastAsia="en-GB"/>
              </w:rPr>
              <w:t xml:space="preserve"> </w:t>
            </w:r>
            <w:r w:rsidRPr="001F3203">
              <w:rPr>
                <w:iCs/>
                <w:color w:val="000000"/>
                <w:sz w:val="16"/>
                <w:szCs w:val="16"/>
                <w:lang w:eastAsia="en-GB"/>
              </w:rPr>
              <w:t>the law on conservation, sustainable use, and access and benefit sharing of natural resources, biodiversity and ecosystems, and</w:t>
            </w:r>
            <w:r w:rsidR="00661874">
              <w:rPr>
                <w:iCs/>
                <w:color w:val="000000"/>
                <w:sz w:val="16"/>
                <w:szCs w:val="16"/>
                <w:lang w:eastAsia="en-GB"/>
              </w:rPr>
              <w:t xml:space="preserve"> b)</w:t>
            </w:r>
            <w:r w:rsidR="00251A1A">
              <w:rPr>
                <w:iCs/>
                <w:color w:val="000000"/>
                <w:sz w:val="16"/>
                <w:szCs w:val="16"/>
                <w:lang w:eastAsia="en-GB"/>
              </w:rPr>
              <w:t xml:space="preserve"> </w:t>
            </w:r>
            <w:r w:rsidR="00251A1A">
              <w:rPr>
                <w:color w:val="000000"/>
                <w:sz w:val="16"/>
                <w:szCs w:val="16"/>
                <w:lang w:eastAsia="en-GB"/>
              </w:rPr>
              <w:t>guideline on IUU Fishing and illegal wildlife trade.</w:t>
            </w:r>
            <w:r w:rsidRPr="001F3203">
              <w:rPr>
                <w:iCs/>
                <w:color w:val="000000"/>
                <w:sz w:val="16"/>
                <w:szCs w:val="16"/>
                <w:lang w:eastAsia="en-GB"/>
              </w:rPr>
              <w:t xml:space="preserve">  </w:t>
            </w:r>
          </w:p>
          <w:p w14:paraId="6B9DA33F"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Baseline</w:t>
            </w:r>
            <w:r w:rsidRPr="001F3203">
              <w:rPr>
                <w:iCs/>
                <w:color w:val="000000"/>
                <w:sz w:val="16"/>
                <w:szCs w:val="16"/>
                <w:lang w:eastAsia="en-GB"/>
              </w:rPr>
              <w:t xml:space="preserve">: </w:t>
            </w:r>
            <w:r w:rsidR="00251A1A">
              <w:rPr>
                <w:iCs/>
                <w:color w:val="000000"/>
                <w:sz w:val="16"/>
                <w:szCs w:val="16"/>
                <w:lang w:eastAsia="en-GB"/>
              </w:rPr>
              <w:t>2(</w:t>
            </w:r>
            <w:r w:rsidR="00661874">
              <w:rPr>
                <w:iCs/>
                <w:color w:val="000000"/>
                <w:sz w:val="16"/>
                <w:szCs w:val="16"/>
                <w:lang w:eastAsia="en-GB"/>
              </w:rPr>
              <w:t xml:space="preserve">Very </w:t>
            </w:r>
            <w:r w:rsidR="00251A1A">
              <w:rPr>
                <w:iCs/>
                <w:color w:val="000000"/>
                <w:sz w:val="16"/>
                <w:szCs w:val="16"/>
                <w:lang w:eastAsia="en-GB"/>
              </w:rPr>
              <w:t>Partially)</w:t>
            </w:r>
          </w:p>
          <w:p w14:paraId="198C90F0"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Target</w:t>
            </w:r>
            <w:r w:rsidRPr="001F3203">
              <w:rPr>
                <w:iCs/>
                <w:color w:val="000000"/>
                <w:sz w:val="16"/>
                <w:szCs w:val="16"/>
                <w:lang w:eastAsia="en-GB"/>
              </w:rPr>
              <w:t xml:space="preserve">: </w:t>
            </w:r>
            <w:r w:rsidR="00661874">
              <w:rPr>
                <w:iCs/>
                <w:color w:val="000000"/>
                <w:sz w:val="16"/>
                <w:szCs w:val="16"/>
                <w:lang w:eastAsia="en-GB"/>
              </w:rPr>
              <w:t>4</w:t>
            </w:r>
            <w:r w:rsidR="00251A1A">
              <w:rPr>
                <w:iCs/>
                <w:color w:val="000000"/>
                <w:sz w:val="16"/>
                <w:szCs w:val="16"/>
                <w:lang w:eastAsia="en-GB"/>
              </w:rPr>
              <w:t>(Largely)</w:t>
            </w:r>
          </w:p>
          <w:p w14:paraId="40A11424"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 xml:space="preserve">Source: </w:t>
            </w:r>
            <w:r w:rsidRPr="001F3203">
              <w:rPr>
                <w:iCs/>
                <w:color w:val="000000"/>
                <w:sz w:val="16"/>
                <w:szCs w:val="16"/>
                <w:lang w:eastAsia="en-GB"/>
              </w:rPr>
              <w:t>Ministry of Fisheries</w:t>
            </w:r>
          </w:p>
          <w:p w14:paraId="39A3812D" w14:textId="77777777" w:rsidR="000A0DFA" w:rsidRPr="001F3203" w:rsidRDefault="000A0DFA">
            <w:pPr>
              <w:tabs>
                <w:tab w:val="left" w:pos="423"/>
              </w:tabs>
              <w:rPr>
                <w:iCs/>
                <w:color w:val="000000"/>
                <w:sz w:val="16"/>
                <w:szCs w:val="16"/>
                <w:lang w:eastAsia="en-GB"/>
              </w:rPr>
            </w:pPr>
          </w:p>
          <w:p w14:paraId="509F75EF" w14:textId="77777777" w:rsidR="000A0DFA" w:rsidRPr="001F3203" w:rsidRDefault="000A0DFA">
            <w:pPr>
              <w:rPr>
                <w:b/>
                <w:sz w:val="16"/>
                <w:szCs w:val="16"/>
              </w:rPr>
            </w:pPr>
            <w:r w:rsidRPr="001F3203">
              <w:rPr>
                <w:b/>
                <w:sz w:val="16"/>
                <w:szCs w:val="16"/>
              </w:rPr>
              <w:t>3.4-Solutions developed for sustainable and conflict-sensitive management of land and natural resources.</w:t>
            </w:r>
          </w:p>
          <w:p w14:paraId="107C42D2" w14:textId="77777777" w:rsidR="000A0DFA" w:rsidRPr="001F3203" w:rsidRDefault="000A0DFA">
            <w:pPr>
              <w:rPr>
                <w:b/>
                <w:sz w:val="16"/>
                <w:szCs w:val="16"/>
              </w:rPr>
            </w:pPr>
          </w:p>
          <w:p w14:paraId="0A1C2279" w14:textId="4BEB4811" w:rsidR="000A0DFA" w:rsidRPr="001F3203" w:rsidRDefault="000A0DFA">
            <w:pPr>
              <w:rPr>
                <w:b/>
                <w:bCs/>
                <w:color w:val="000000"/>
                <w:sz w:val="16"/>
                <w:szCs w:val="16"/>
              </w:rPr>
            </w:pPr>
            <w:r w:rsidRPr="001F3203">
              <w:rPr>
                <w:b/>
                <w:iCs/>
                <w:color w:val="000000"/>
                <w:sz w:val="16"/>
                <w:szCs w:val="16"/>
                <w:lang w:val="en-GB" w:eastAsia="en-GB"/>
              </w:rPr>
              <w:t>Indicator</w:t>
            </w:r>
            <w:r w:rsidRPr="001F3203">
              <w:rPr>
                <w:iCs/>
                <w:color w:val="000000"/>
                <w:sz w:val="16"/>
                <w:szCs w:val="16"/>
                <w:lang w:val="en-GB" w:eastAsia="en-GB"/>
              </w:rPr>
              <w:t>:</w:t>
            </w:r>
            <w:r w:rsidRPr="001F3203">
              <w:rPr>
                <w:b/>
                <w:bCs/>
                <w:color w:val="000000"/>
                <w:sz w:val="16"/>
                <w:szCs w:val="16"/>
              </w:rPr>
              <w:t xml:space="preserve"> </w:t>
            </w:r>
            <w:r w:rsidRPr="001F3203">
              <w:rPr>
                <w:color w:val="000000"/>
                <w:sz w:val="16"/>
                <w:szCs w:val="16"/>
              </w:rPr>
              <w:t xml:space="preserve">Extent to which the </w:t>
            </w:r>
            <w:r w:rsidR="00BC6CB6">
              <w:rPr>
                <w:color w:val="000000"/>
                <w:sz w:val="16"/>
                <w:szCs w:val="16"/>
              </w:rPr>
              <w:t>Government</w:t>
            </w:r>
            <w:r w:rsidR="00BC6CB6" w:rsidRPr="001F3203">
              <w:rPr>
                <w:color w:val="000000"/>
                <w:sz w:val="16"/>
                <w:szCs w:val="16"/>
              </w:rPr>
              <w:t xml:space="preserve"> </w:t>
            </w:r>
            <w:r w:rsidRPr="001F3203">
              <w:rPr>
                <w:color w:val="000000"/>
                <w:sz w:val="16"/>
                <w:szCs w:val="16"/>
              </w:rPr>
              <w:t xml:space="preserve">is able to address emerging and/or recurring conflicts in land tenure and natural resource management </w:t>
            </w:r>
          </w:p>
          <w:p w14:paraId="74632790" w14:textId="77777777" w:rsidR="000A0DFA" w:rsidRPr="001F3203" w:rsidRDefault="000A0DFA">
            <w:pPr>
              <w:rPr>
                <w:iCs/>
                <w:color w:val="000000"/>
                <w:sz w:val="16"/>
                <w:szCs w:val="16"/>
                <w:lang w:val="en-GB" w:eastAsia="en-GB"/>
              </w:rPr>
            </w:pPr>
            <w:r w:rsidRPr="001F3203">
              <w:rPr>
                <w:b/>
                <w:iCs/>
                <w:color w:val="000000"/>
                <w:sz w:val="16"/>
                <w:szCs w:val="16"/>
                <w:lang w:val="en-GB" w:eastAsia="en-GB"/>
              </w:rPr>
              <w:t>Baseline</w:t>
            </w:r>
            <w:r w:rsidRPr="001F3203">
              <w:rPr>
                <w:iCs/>
                <w:color w:val="000000"/>
                <w:sz w:val="16"/>
                <w:szCs w:val="16"/>
                <w:lang w:val="en-GB" w:eastAsia="en-GB"/>
              </w:rPr>
              <w:t>: 2(</w:t>
            </w:r>
            <w:r w:rsidR="00661874">
              <w:rPr>
                <w:iCs/>
                <w:color w:val="000000"/>
                <w:sz w:val="16"/>
                <w:szCs w:val="16"/>
                <w:lang w:val="en-GB" w:eastAsia="en-GB"/>
              </w:rPr>
              <w:t xml:space="preserve">Very </w:t>
            </w:r>
            <w:r w:rsidRPr="001F3203">
              <w:rPr>
                <w:iCs/>
                <w:color w:val="000000"/>
                <w:sz w:val="16"/>
                <w:szCs w:val="16"/>
                <w:lang w:val="en-GB" w:eastAsia="en-GB"/>
              </w:rPr>
              <w:t>Partially).</w:t>
            </w:r>
          </w:p>
          <w:p w14:paraId="1AF1B494" w14:textId="77777777" w:rsidR="000A0DFA" w:rsidRPr="001F3203" w:rsidRDefault="000A0DFA">
            <w:pPr>
              <w:rPr>
                <w:iCs/>
                <w:color w:val="000000"/>
                <w:sz w:val="16"/>
                <w:szCs w:val="16"/>
                <w:lang w:eastAsia="en-GB"/>
              </w:rPr>
            </w:pPr>
            <w:r w:rsidRPr="001F3203">
              <w:rPr>
                <w:b/>
                <w:iCs/>
                <w:color w:val="000000"/>
                <w:sz w:val="16"/>
                <w:szCs w:val="16"/>
                <w:lang w:val="en-GB" w:eastAsia="en-GB"/>
              </w:rPr>
              <w:t>Target</w:t>
            </w:r>
            <w:r w:rsidRPr="001F3203">
              <w:rPr>
                <w:iCs/>
                <w:color w:val="000000"/>
                <w:sz w:val="16"/>
                <w:szCs w:val="16"/>
                <w:lang w:val="en-GB" w:eastAsia="en-GB"/>
              </w:rPr>
              <w:t xml:space="preserve">: </w:t>
            </w:r>
            <w:r w:rsidR="00661874">
              <w:rPr>
                <w:iCs/>
                <w:color w:val="000000"/>
                <w:sz w:val="16"/>
                <w:szCs w:val="16"/>
                <w:lang w:val="en-GB" w:eastAsia="en-GB"/>
              </w:rPr>
              <w:t>4</w:t>
            </w:r>
            <w:r w:rsidRPr="001F3203">
              <w:rPr>
                <w:iCs/>
                <w:color w:val="000000"/>
                <w:sz w:val="16"/>
                <w:szCs w:val="16"/>
                <w:lang w:val="en-GB" w:eastAsia="en-GB"/>
              </w:rPr>
              <w:t>(Largely).</w:t>
            </w:r>
          </w:p>
          <w:p w14:paraId="45A94F95" w14:textId="77777777" w:rsidR="000A0DFA" w:rsidRPr="001F3203" w:rsidRDefault="000A0DFA">
            <w:pPr>
              <w:rPr>
                <w:iCs/>
                <w:color w:val="000000"/>
                <w:sz w:val="16"/>
                <w:szCs w:val="16"/>
                <w:lang w:val="en-GB" w:eastAsia="en-GB"/>
              </w:rPr>
            </w:pPr>
          </w:p>
          <w:p w14:paraId="0B5EDB5A" w14:textId="1C387FA2" w:rsidR="000A0DFA" w:rsidRPr="001F3203" w:rsidRDefault="000A0DFA">
            <w:pPr>
              <w:rPr>
                <w:iCs/>
                <w:color w:val="000000"/>
                <w:sz w:val="16"/>
                <w:szCs w:val="16"/>
                <w:lang w:eastAsia="en-GB"/>
              </w:rPr>
            </w:pPr>
            <w:r w:rsidRPr="001F3203">
              <w:rPr>
                <w:b/>
                <w:bCs/>
                <w:iCs/>
                <w:color w:val="000000"/>
                <w:sz w:val="16"/>
                <w:szCs w:val="16"/>
                <w:lang w:eastAsia="en-GB"/>
              </w:rPr>
              <w:t>3.5-Systems strengthened to properly manage, dispose and phase</w:t>
            </w:r>
            <w:r w:rsidR="00BC6CB6">
              <w:rPr>
                <w:b/>
                <w:bCs/>
                <w:iCs/>
                <w:color w:val="000000"/>
                <w:sz w:val="16"/>
                <w:szCs w:val="16"/>
                <w:lang w:eastAsia="en-GB"/>
              </w:rPr>
              <w:t xml:space="preserve"> </w:t>
            </w:r>
            <w:r w:rsidRPr="001F3203">
              <w:rPr>
                <w:b/>
                <w:bCs/>
                <w:iCs/>
                <w:color w:val="000000"/>
                <w:sz w:val="16"/>
                <w:szCs w:val="16"/>
                <w:lang w:eastAsia="en-GB"/>
              </w:rPr>
              <w:t>out hazardous chemicals.</w:t>
            </w:r>
          </w:p>
          <w:p w14:paraId="5111C577" w14:textId="77777777" w:rsidR="000A0DFA" w:rsidRPr="001F3203" w:rsidRDefault="000A0DFA">
            <w:pPr>
              <w:rPr>
                <w:iCs/>
                <w:color w:val="000000"/>
                <w:sz w:val="16"/>
                <w:szCs w:val="16"/>
                <w:lang w:eastAsia="en-GB"/>
              </w:rPr>
            </w:pPr>
            <w:r w:rsidRPr="001F3203">
              <w:rPr>
                <w:iCs/>
                <w:color w:val="000000"/>
                <w:sz w:val="16"/>
                <w:szCs w:val="16"/>
                <w:lang w:eastAsia="en-GB"/>
              </w:rPr>
              <w:t> </w:t>
            </w:r>
          </w:p>
          <w:p w14:paraId="31D141CB" w14:textId="5CB7F78E" w:rsidR="000A0DFA" w:rsidRPr="001F3203" w:rsidRDefault="000A0DFA">
            <w:pPr>
              <w:rPr>
                <w:iCs/>
                <w:color w:val="000000"/>
                <w:sz w:val="16"/>
                <w:szCs w:val="16"/>
                <w:lang w:eastAsia="en-GB"/>
              </w:rPr>
            </w:pPr>
            <w:r w:rsidRPr="001F3203">
              <w:rPr>
                <w:b/>
                <w:bCs/>
                <w:iCs/>
                <w:color w:val="000000"/>
                <w:sz w:val="16"/>
                <w:szCs w:val="16"/>
                <w:lang w:eastAsia="en-GB"/>
              </w:rPr>
              <w:lastRenderedPageBreak/>
              <w:t xml:space="preserve">Indicator: </w:t>
            </w:r>
            <w:r w:rsidRPr="001F3203">
              <w:rPr>
                <w:bCs/>
                <w:iCs/>
                <w:color w:val="000000"/>
                <w:sz w:val="16"/>
                <w:szCs w:val="16"/>
                <w:lang w:eastAsia="en-GB"/>
              </w:rPr>
              <w:t>Extent to which policy framework is in place and enforced for the</w:t>
            </w:r>
            <w:r w:rsidRPr="001F3203">
              <w:rPr>
                <w:iCs/>
                <w:color w:val="000000"/>
                <w:sz w:val="16"/>
                <w:szCs w:val="16"/>
                <w:lang w:eastAsia="en-GB"/>
              </w:rPr>
              <w:t xml:space="preserve"> control of </w:t>
            </w:r>
            <w:r w:rsidR="00BC6CB6">
              <w:rPr>
                <w:sz w:val="14"/>
                <w:szCs w:val="14"/>
              </w:rPr>
              <w:t>p</w:t>
            </w:r>
            <w:r w:rsidR="00BC6CB6" w:rsidRPr="00FB6E67">
              <w:rPr>
                <w:sz w:val="14"/>
                <w:szCs w:val="14"/>
              </w:rPr>
              <w:t xml:space="preserve">olybromodiphenyl </w:t>
            </w:r>
            <w:r w:rsidR="00BC6CB6">
              <w:rPr>
                <w:sz w:val="14"/>
                <w:szCs w:val="14"/>
              </w:rPr>
              <w:t>e</w:t>
            </w:r>
            <w:r w:rsidR="00BC6CB6" w:rsidRPr="00FB6E67">
              <w:rPr>
                <w:sz w:val="14"/>
                <w:szCs w:val="14"/>
              </w:rPr>
              <w:t>thers</w:t>
            </w:r>
            <w:r w:rsidR="00BC6CB6" w:rsidRPr="001F3203">
              <w:rPr>
                <w:iCs/>
                <w:color w:val="000000"/>
                <w:sz w:val="16"/>
                <w:szCs w:val="16"/>
                <w:lang w:eastAsia="en-GB"/>
              </w:rPr>
              <w:t xml:space="preserve"> </w:t>
            </w:r>
            <w:r w:rsidRPr="001F3203">
              <w:rPr>
                <w:iCs/>
                <w:color w:val="000000"/>
                <w:sz w:val="16"/>
                <w:szCs w:val="16"/>
                <w:lang w:eastAsia="en-GB"/>
              </w:rPr>
              <w:t xml:space="preserve">and </w:t>
            </w:r>
            <w:r w:rsidR="00AF65F1">
              <w:rPr>
                <w:iCs/>
                <w:color w:val="000000"/>
                <w:sz w:val="16"/>
                <w:szCs w:val="16"/>
                <w:lang w:eastAsia="en-GB"/>
              </w:rPr>
              <w:t>m</w:t>
            </w:r>
            <w:r w:rsidR="00AF65F1" w:rsidRPr="001F3203">
              <w:rPr>
                <w:iCs/>
                <w:color w:val="000000"/>
                <w:sz w:val="16"/>
                <w:szCs w:val="16"/>
                <w:lang w:eastAsia="en-GB"/>
              </w:rPr>
              <w:t>ercury</w:t>
            </w:r>
            <w:r w:rsidRPr="001F3203">
              <w:rPr>
                <w:iCs/>
                <w:color w:val="000000"/>
                <w:sz w:val="16"/>
                <w:szCs w:val="16"/>
                <w:lang w:eastAsia="en-GB"/>
              </w:rPr>
              <w:t>.</w:t>
            </w:r>
          </w:p>
          <w:p w14:paraId="43D5E13D" w14:textId="77777777" w:rsidR="000A0DFA" w:rsidRPr="001F3203" w:rsidRDefault="000A0DFA">
            <w:pPr>
              <w:rPr>
                <w:iCs/>
                <w:color w:val="000000"/>
                <w:sz w:val="16"/>
                <w:szCs w:val="16"/>
                <w:lang w:eastAsia="en-GB"/>
              </w:rPr>
            </w:pPr>
            <w:r w:rsidRPr="001F3203">
              <w:rPr>
                <w:b/>
                <w:bCs/>
                <w:iCs/>
                <w:color w:val="000000"/>
                <w:sz w:val="16"/>
                <w:szCs w:val="16"/>
                <w:lang w:eastAsia="en-GB"/>
              </w:rPr>
              <w:t>Baseline</w:t>
            </w:r>
            <w:r w:rsidRPr="001F3203">
              <w:rPr>
                <w:iCs/>
                <w:color w:val="000000"/>
                <w:sz w:val="16"/>
                <w:szCs w:val="16"/>
                <w:lang w:eastAsia="en-GB"/>
              </w:rPr>
              <w:t xml:space="preserve">: </w:t>
            </w:r>
            <w:r w:rsidR="00A43967">
              <w:rPr>
                <w:iCs/>
                <w:color w:val="000000"/>
                <w:sz w:val="16"/>
                <w:szCs w:val="16"/>
                <w:lang w:eastAsia="en-GB"/>
              </w:rPr>
              <w:t>2(</w:t>
            </w:r>
            <w:r w:rsidR="00661874">
              <w:rPr>
                <w:iCs/>
                <w:color w:val="000000"/>
                <w:sz w:val="16"/>
                <w:szCs w:val="16"/>
                <w:lang w:eastAsia="en-GB"/>
              </w:rPr>
              <w:t xml:space="preserve">Very </w:t>
            </w:r>
            <w:r w:rsidR="00A43967">
              <w:rPr>
                <w:iCs/>
                <w:color w:val="000000"/>
                <w:sz w:val="16"/>
                <w:szCs w:val="16"/>
                <w:lang w:eastAsia="en-GB"/>
              </w:rPr>
              <w:t xml:space="preserve">Partially) </w:t>
            </w:r>
          </w:p>
          <w:p w14:paraId="7F2EA87D" w14:textId="77777777" w:rsidR="000A0DFA" w:rsidRPr="001F3203" w:rsidRDefault="000A0DFA">
            <w:pPr>
              <w:rPr>
                <w:iCs/>
                <w:color w:val="000000"/>
                <w:sz w:val="16"/>
                <w:szCs w:val="16"/>
                <w:lang w:val="en-GB" w:eastAsia="en-GB"/>
              </w:rPr>
            </w:pPr>
            <w:r w:rsidRPr="001F3203">
              <w:rPr>
                <w:b/>
                <w:bCs/>
                <w:iCs/>
                <w:color w:val="000000"/>
                <w:sz w:val="16"/>
                <w:szCs w:val="16"/>
                <w:lang w:eastAsia="en-GB"/>
              </w:rPr>
              <w:t>Target</w:t>
            </w:r>
            <w:r w:rsidRPr="001F3203">
              <w:rPr>
                <w:iCs/>
                <w:color w:val="000000"/>
                <w:sz w:val="16"/>
                <w:szCs w:val="16"/>
                <w:lang w:eastAsia="en-GB"/>
              </w:rPr>
              <w:t xml:space="preserve">: </w:t>
            </w:r>
            <w:r w:rsidR="00661874">
              <w:rPr>
                <w:iCs/>
                <w:color w:val="000000"/>
                <w:sz w:val="16"/>
                <w:szCs w:val="16"/>
                <w:lang w:eastAsia="en-GB"/>
              </w:rPr>
              <w:t>4</w:t>
            </w:r>
            <w:r w:rsidR="00A43967">
              <w:rPr>
                <w:iCs/>
                <w:color w:val="000000"/>
                <w:sz w:val="16"/>
                <w:szCs w:val="16"/>
                <w:lang w:eastAsia="en-GB"/>
              </w:rPr>
              <w:t>(Largely)</w:t>
            </w:r>
          </w:p>
          <w:p w14:paraId="3C02C09E"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Source</w:t>
            </w:r>
            <w:r w:rsidRPr="001F3203">
              <w:rPr>
                <w:iCs/>
                <w:color w:val="000000"/>
                <w:sz w:val="16"/>
                <w:szCs w:val="16"/>
                <w:lang w:eastAsia="en-GB"/>
              </w:rPr>
              <w:t>:</w:t>
            </w:r>
            <w:r w:rsidRPr="001F3203">
              <w:rPr>
                <w:b/>
                <w:iCs/>
                <w:color w:val="000000"/>
                <w:sz w:val="16"/>
                <w:szCs w:val="16"/>
                <w:lang w:eastAsia="en-GB"/>
              </w:rPr>
              <w:t xml:space="preserve"> </w:t>
            </w:r>
            <w:r w:rsidRPr="001F3203">
              <w:rPr>
                <w:iCs/>
                <w:color w:val="000000"/>
                <w:sz w:val="16"/>
                <w:szCs w:val="16"/>
                <w:lang w:eastAsia="en-GB"/>
              </w:rPr>
              <w:t>MoEF</w:t>
            </w:r>
          </w:p>
          <w:p w14:paraId="50A434F4" w14:textId="77777777" w:rsidR="000A0DFA" w:rsidRPr="005109F3" w:rsidRDefault="000A0DFA">
            <w:pPr>
              <w:rPr>
                <w:b/>
                <w:iCs/>
                <w:color w:val="000000"/>
                <w:sz w:val="18"/>
                <w:szCs w:val="18"/>
                <w:lang w:val="en-GB" w:eastAsia="en-GB"/>
              </w:rPr>
            </w:pPr>
          </w:p>
          <w:p w14:paraId="46906063" w14:textId="77777777" w:rsidR="000A0DFA" w:rsidRPr="001F3203" w:rsidRDefault="000A0DFA">
            <w:pPr>
              <w:rPr>
                <w:b/>
                <w:color w:val="000000"/>
                <w:sz w:val="16"/>
                <w:szCs w:val="16"/>
              </w:rPr>
            </w:pPr>
            <w:r w:rsidRPr="001F3203">
              <w:rPr>
                <w:b/>
                <w:color w:val="000000"/>
                <w:sz w:val="16"/>
                <w:szCs w:val="16"/>
              </w:rPr>
              <w:t xml:space="preserve">3.6-Inclusive and sustainable solutions adopted to increase energy efficiency and universal modern energy access </w:t>
            </w:r>
          </w:p>
          <w:p w14:paraId="2BCE9773" w14:textId="77777777" w:rsidR="000A0DFA" w:rsidRPr="001F3203" w:rsidRDefault="000A0DFA">
            <w:pPr>
              <w:rPr>
                <w:iCs/>
                <w:color w:val="000000"/>
                <w:sz w:val="16"/>
                <w:szCs w:val="16"/>
                <w:lang w:eastAsia="en-GB"/>
              </w:rPr>
            </w:pPr>
          </w:p>
          <w:p w14:paraId="2F94D651" w14:textId="77777777" w:rsidR="000A0DFA" w:rsidRPr="001F3203" w:rsidRDefault="000A0DFA">
            <w:pPr>
              <w:rPr>
                <w:bCs/>
                <w:color w:val="000000"/>
                <w:sz w:val="16"/>
                <w:szCs w:val="16"/>
              </w:rPr>
            </w:pPr>
            <w:r w:rsidRPr="001F3203">
              <w:rPr>
                <w:b/>
                <w:color w:val="000000"/>
                <w:sz w:val="16"/>
                <w:szCs w:val="16"/>
              </w:rPr>
              <w:t>Indicator</w:t>
            </w:r>
            <w:r w:rsidRPr="001F3203">
              <w:rPr>
                <w:color w:val="000000"/>
                <w:sz w:val="16"/>
                <w:szCs w:val="16"/>
              </w:rPr>
              <w:t xml:space="preserve">: Number of people with improved access to clean energy </w:t>
            </w:r>
          </w:p>
          <w:p w14:paraId="7BEEBC76" w14:textId="77777777" w:rsidR="000A0DFA" w:rsidRPr="001F3203" w:rsidRDefault="000A0DFA">
            <w:pPr>
              <w:rPr>
                <w:iCs/>
                <w:color w:val="000000"/>
                <w:sz w:val="16"/>
                <w:szCs w:val="16"/>
                <w:lang w:val="en-GB" w:eastAsia="en-GB"/>
              </w:rPr>
            </w:pPr>
            <w:r w:rsidRPr="001F3203">
              <w:rPr>
                <w:b/>
                <w:iCs/>
                <w:color w:val="000000"/>
                <w:sz w:val="16"/>
                <w:szCs w:val="16"/>
                <w:lang w:val="en-GB" w:eastAsia="en-GB"/>
              </w:rPr>
              <w:t>Baseline(2011-2014)</w:t>
            </w:r>
            <w:r w:rsidRPr="001F3203">
              <w:rPr>
                <w:iCs/>
                <w:color w:val="000000"/>
                <w:sz w:val="16"/>
                <w:szCs w:val="16"/>
                <w:lang w:val="en-GB" w:eastAsia="en-GB"/>
              </w:rPr>
              <w:t>: 20,000</w:t>
            </w:r>
          </w:p>
          <w:p w14:paraId="10C0EF4F" w14:textId="77777777" w:rsidR="000A0DFA" w:rsidRPr="001F3203" w:rsidRDefault="000A0DFA">
            <w:pPr>
              <w:rPr>
                <w:iCs/>
                <w:color w:val="000000"/>
                <w:sz w:val="16"/>
                <w:szCs w:val="16"/>
                <w:lang w:val="en-GB" w:eastAsia="en-GB"/>
              </w:rPr>
            </w:pPr>
            <w:r w:rsidRPr="001F3203">
              <w:rPr>
                <w:b/>
                <w:iCs/>
                <w:color w:val="000000"/>
                <w:sz w:val="16"/>
                <w:szCs w:val="16"/>
                <w:lang w:val="en-GB" w:eastAsia="en-GB"/>
              </w:rPr>
              <w:t>Target</w:t>
            </w:r>
            <w:r w:rsidRPr="001F3203">
              <w:rPr>
                <w:iCs/>
                <w:color w:val="000000"/>
                <w:sz w:val="16"/>
                <w:szCs w:val="16"/>
                <w:lang w:val="en-GB" w:eastAsia="en-GB"/>
              </w:rPr>
              <w:t xml:space="preserve">: 50,000 </w:t>
            </w:r>
          </w:p>
          <w:p w14:paraId="54A967AA" w14:textId="77777777" w:rsidR="000A0DFA" w:rsidRPr="001F3203" w:rsidRDefault="000A0DFA">
            <w:pPr>
              <w:tabs>
                <w:tab w:val="left" w:pos="423"/>
              </w:tabs>
              <w:rPr>
                <w:iCs/>
                <w:color w:val="000000"/>
                <w:sz w:val="16"/>
                <w:szCs w:val="16"/>
                <w:lang w:eastAsia="en-GB"/>
              </w:rPr>
            </w:pPr>
            <w:r w:rsidRPr="001F3203">
              <w:rPr>
                <w:iCs/>
                <w:color w:val="000000"/>
                <w:sz w:val="16"/>
                <w:szCs w:val="16"/>
                <w:lang w:eastAsia="en-GB"/>
              </w:rPr>
              <w:t>Source:</w:t>
            </w:r>
            <w:r w:rsidRPr="001F3203">
              <w:rPr>
                <w:b/>
                <w:iCs/>
                <w:color w:val="000000"/>
                <w:sz w:val="16"/>
                <w:szCs w:val="16"/>
                <w:lang w:eastAsia="en-GB"/>
              </w:rPr>
              <w:t xml:space="preserve"> </w:t>
            </w:r>
            <w:r w:rsidRPr="001F3203">
              <w:rPr>
                <w:iCs/>
                <w:color w:val="000000"/>
                <w:sz w:val="16"/>
                <w:szCs w:val="16"/>
                <w:lang w:eastAsia="en-GB"/>
              </w:rPr>
              <w:t>Project reports</w:t>
            </w:r>
          </w:p>
          <w:p w14:paraId="0CADD6E7" w14:textId="77777777" w:rsidR="000A0DFA" w:rsidRPr="001F3203" w:rsidRDefault="000A0DFA">
            <w:pPr>
              <w:rPr>
                <w:b/>
                <w:iCs/>
                <w:color w:val="000000"/>
                <w:sz w:val="16"/>
                <w:szCs w:val="16"/>
                <w:lang w:eastAsia="en-GB"/>
              </w:rPr>
            </w:pPr>
          </w:p>
          <w:p w14:paraId="041A11DF" w14:textId="77777777" w:rsidR="000A0DFA" w:rsidRPr="001F3203" w:rsidRDefault="000A0DFA">
            <w:pPr>
              <w:rPr>
                <w:b/>
                <w:iCs/>
                <w:color w:val="000000"/>
                <w:sz w:val="16"/>
                <w:szCs w:val="16"/>
                <w:lang w:eastAsia="en-GB"/>
              </w:rPr>
            </w:pPr>
            <w:r w:rsidRPr="001F3203">
              <w:rPr>
                <w:b/>
                <w:iCs/>
                <w:color w:val="000000"/>
                <w:sz w:val="16"/>
                <w:szCs w:val="16"/>
                <w:lang w:eastAsia="en-GB"/>
              </w:rPr>
              <w:t xml:space="preserve">3.7-Policies and regulations issued/adjusted and systems established to increase private sector investments in clean energy </w:t>
            </w:r>
          </w:p>
          <w:p w14:paraId="772C5A16" w14:textId="77777777" w:rsidR="000A0DFA" w:rsidRPr="001F3203" w:rsidRDefault="000A0DFA">
            <w:pPr>
              <w:rPr>
                <w:iCs/>
                <w:color w:val="000000"/>
                <w:sz w:val="16"/>
                <w:szCs w:val="16"/>
                <w:lang w:val="en-GB" w:eastAsia="en-GB"/>
              </w:rPr>
            </w:pPr>
          </w:p>
          <w:p w14:paraId="7B88F6E0" w14:textId="53582885" w:rsidR="000A0DFA" w:rsidRPr="001F3203" w:rsidRDefault="000A0DFA">
            <w:pPr>
              <w:rPr>
                <w:iCs/>
                <w:color w:val="000000"/>
                <w:sz w:val="16"/>
                <w:szCs w:val="16"/>
                <w:lang w:val="en-GB" w:eastAsia="en-GB"/>
              </w:rPr>
            </w:pPr>
            <w:r w:rsidRPr="001F3203">
              <w:rPr>
                <w:b/>
                <w:iCs/>
                <w:color w:val="000000"/>
                <w:sz w:val="16"/>
                <w:szCs w:val="16"/>
                <w:lang w:val="en-GB" w:eastAsia="en-GB"/>
              </w:rPr>
              <w:t>Indicator</w:t>
            </w:r>
            <w:r w:rsidRPr="001F3203">
              <w:rPr>
                <w:iCs/>
                <w:color w:val="000000"/>
                <w:sz w:val="16"/>
                <w:szCs w:val="16"/>
                <w:lang w:val="en-GB" w:eastAsia="en-GB"/>
              </w:rPr>
              <w:t xml:space="preserve">: </w:t>
            </w:r>
            <w:r w:rsidR="00A43967">
              <w:rPr>
                <w:iCs/>
                <w:color w:val="000000"/>
                <w:sz w:val="16"/>
                <w:szCs w:val="16"/>
                <w:lang w:val="en-GB" w:eastAsia="en-GB"/>
              </w:rPr>
              <w:t>Extent of p</w:t>
            </w:r>
            <w:r w:rsidRPr="001F3203">
              <w:rPr>
                <w:iCs/>
                <w:color w:val="000000"/>
                <w:sz w:val="16"/>
                <w:szCs w:val="16"/>
                <w:lang w:val="en-GB" w:eastAsia="en-GB"/>
              </w:rPr>
              <w:t xml:space="preserve">rogress made in passing </w:t>
            </w:r>
            <w:r w:rsidR="00AF65F1">
              <w:rPr>
                <w:iCs/>
                <w:color w:val="000000"/>
                <w:sz w:val="16"/>
                <w:szCs w:val="16"/>
                <w:lang w:val="en-GB" w:eastAsia="en-GB"/>
              </w:rPr>
              <w:t>f</w:t>
            </w:r>
            <w:r w:rsidR="00AF65F1" w:rsidRPr="001F3203">
              <w:rPr>
                <w:iCs/>
                <w:color w:val="000000"/>
                <w:sz w:val="16"/>
                <w:szCs w:val="16"/>
                <w:lang w:val="en-GB" w:eastAsia="en-GB"/>
              </w:rPr>
              <w:t>eed</w:t>
            </w:r>
            <w:r w:rsidRPr="001F3203">
              <w:rPr>
                <w:iCs/>
                <w:color w:val="000000"/>
                <w:sz w:val="16"/>
                <w:szCs w:val="16"/>
                <w:lang w:val="en-GB" w:eastAsia="en-GB"/>
              </w:rPr>
              <w:t>-in</w:t>
            </w:r>
            <w:r w:rsidR="00AF65F1">
              <w:rPr>
                <w:iCs/>
                <w:color w:val="000000"/>
                <w:sz w:val="16"/>
                <w:szCs w:val="16"/>
                <w:lang w:val="en-GB" w:eastAsia="en-GB"/>
              </w:rPr>
              <w:t xml:space="preserve"> t</w:t>
            </w:r>
            <w:r w:rsidR="00AF65F1" w:rsidRPr="001F3203">
              <w:rPr>
                <w:iCs/>
                <w:color w:val="000000"/>
                <w:sz w:val="16"/>
                <w:szCs w:val="16"/>
                <w:lang w:val="en-GB" w:eastAsia="en-GB"/>
              </w:rPr>
              <w:t xml:space="preserve">ariff </w:t>
            </w:r>
            <w:r w:rsidRPr="001F3203">
              <w:rPr>
                <w:iCs/>
                <w:color w:val="000000"/>
                <w:sz w:val="16"/>
                <w:szCs w:val="16"/>
                <w:lang w:val="en-GB" w:eastAsia="en-GB"/>
              </w:rPr>
              <w:t xml:space="preserve">and incentive to attract private investment in renewable energy. </w:t>
            </w:r>
          </w:p>
          <w:p w14:paraId="5073F678" w14:textId="6CE593EC" w:rsidR="00661874" w:rsidRDefault="000A0DFA" w:rsidP="003C591C">
            <w:pPr>
              <w:rPr>
                <w:iCs/>
                <w:color w:val="000000"/>
                <w:sz w:val="16"/>
                <w:szCs w:val="16"/>
                <w:lang w:val="en-GB" w:eastAsia="en-GB"/>
              </w:rPr>
            </w:pPr>
            <w:r w:rsidRPr="001F3203">
              <w:rPr>
                <w:b/>
                <w:iCs/>
                <w:color w:val="000000"/>
                <w:sz w:val="16"/>
                <w:szCs w:val="16"/>
                <w:lang w:val="en-GB" w:eastAsia="en-GB"/>
              </w:rPr>
              <w:t>Baseline(2014)</w:t>
            </w:r>
            <w:r w:rsidRPr="001F3203">
              <w:rPr>
                <w:iCs/>
                <w:color w:val="000000"/>
                <w:sz w:val="16"/>
                <w:szCs w:val="16"/>
                <w:lang w:val="en-GB" w:eastAsia="en-GB"/>
              </w:rPr>
              <w:t xml:space="preserve">: </w:t>
            </w:r>
            <w:r w:rsidR="00A43967">
              <w:rPr>
                <w:iCs/>
                <w:color w:val="000000"/>
                <w:sz w:val="16"/>
                <w:szCs w:val="16"/>
                <w:lang w:val="en-GB" w:eastAsia="en-GB"/>
              </w:rPr>
              <w:t xml:space="preserve"> 2(</w:t>
            </w:r>
            <w:r w:rsidR="00661874">
              <w:rPr>
                <w:iCs/>
                <w:color w:val="000000"/>
                <w:sz w:val="16"/>
                <w:szCs w:val="16"/>
                <w:lang w:val="en-GB" w:eastAsia="en-GB"/>
              </w:rPr>
              <w:t xml:space="preserve">Very </w:t>
            </w:r>
            <w:r w:rsidR="00A43967">
              <w:rPr>
                <w:iCs/>
                <w:color w:val="000000"/>
                <w:sz w:val="16"/>
                <w:szCs w:val="16"/>
                <w:lang w:val="en-GB" w:eastAsia="en-GB"/>
              </w:rPr>
              <w:t xml:space="preserve">Partially) </w:t>
            </w:r>
          </w:p>
          <w:p w14:paraId="0BC3469E" w14:textId="77777777" w:rsidR="00661874" w:rsidRDefault="000A0DFA" w:rsidP="003C591C">
            <w:pPr>
              <w:rPr>
                <w:iCs/>
                <w:color w:val="000000"/>
                <w:sz w:val="16"/>
                <w:szCs w:val="16"/>
                <w:lang w:val="en-GB" w:eastAsia="en-GB"/>
              </w:rPr>
            </w:pPr>
            <w:r w:rsidRPr="001F3203">
              <w:rPr>
                <w:b/>
                <w:iCs/>
                <w:color w:val="000000"/>
                <w:sz w:val="16"/>
                <w:szCs w:val="16"/>
                <w:lang w:val="en-GB" w:eastAsia="en-GB"/>
              </w:rPr>
              <w:t>Target</w:t>
            </w:r>
            <w:r w:rsidRPr="001F3203">
              <w:rPr>
                <w:iCs/>
                <w:color w:val="000000"/>
                <w:sz w:val="16"/>
                <w:szCs w:val="16"/>
                <w:lang w:val="en-GB" w:eastAsia="en-GB"/>
              </w:rPr>
              <w:t xml:space="preserve">: </w:t>
            </w:r>
            <w:r w:rsidR="00A43967">
              <w:rPr>
                <w:iCs/>
                <w:color w:val="000000"/>
                <w:sz w:val="16"/>
                <w:szCs w:val="16"/>
                <w:lang w:val="en-GB" w:eastAsia="en-GB"/>
              </w:rPr>
              <w:t xml:space="preserve">4 (Largely) </w:t>
            </w:r>
          </w:p>
          <w:p w14:paraId="5D78D9E3" w14:textId="78174CC8" w:rsidR="000A0DFA" w:rsidRPr="001F3203" w:rsidRDefault="000A0DFA" w:rsidP="003C591C">
            <w:pPr>
              <w:rPr>
                <w:iCs/>
                <w:color w:val="000000"/>
                <w:sz w:val="16"/>
                <w:szCs w:val="16"/>
                <w:lang w:eastAsia="en-GB"/>
              </w:rPr>
            </w:pPr>
            <w:r w:rsidRPr="001F3203">
              <w:rPr>
                <w:iCs/>
                <w:color w:val="000000"/>
                <w:sz w:val="16"/>
                <w:szCs w:val="16"/>
                <w:lang w:eastAsia="en-GB"/>
              </w:rPr>
              <w:t>Source:</w:t>
            </w:r>
            <w:r w:rsidRPr="001F3203">
              <w:rPr>
                <w:b/>
                <w:iCs/>
                <w:color w:val="000000"/>
                <w:sz w:val="16"/>
                <w:szCs w:val="16"/>
                <w:lang w:eastAsia="en-GB"/>
              </w:rPr>
              <w:t xml:space="preserve"> </w:t>
            </w:r>
            <w:r w:rsidR="00AF65F1">
              <w:rPr>
                <w:iCs/>
                <w:color w:val="000000"/>
                <w:sz w:val="16"/>
                <w:szCs w:val="16"/>
                <w:lang w:eastAsia="en-GB"/>
              </w:rPr>
              <w:t>Government</w:t>
            </w:r>
            <w:r w:rsidR="00AF65F1" w:rsidRPr="001F3203">
              <w:rPr>
                <w:iCs/>
                <w:color w:val="000000"/>
                <w:sz w:val="16"/>
                <w:szCs w:val="16"/>
                <w:lang w:eastAsia="en-GB"/>
              </w:rPr>
              <w:t xml:space="preserve"> </w:t>
            </w:r>
            <w:r w:rsidRPr="001F3203">
              <w:rPr>
                <w:iCs/>
                <w:color w:val="000000"/>
                <w:sz w:val="16"/>
                <w:szCs w:val="16"/>
                <w:lang w:eastAsia="en-GB"/>
              </w:rPr>
              <w:t xml:space="preserve">documents. </w:t>
            </w:r>
          </w:p>
          <w:p w14:paraId="004BC60A" w14:textId="77777777" w:rsidR="000A0DFA" w:rsidRPr="001F3203" w:rsidRDefault="000A0DFA">
            <w:pPr>
              <w:rPr>
                <w:b/>
                <w:bCs/>
                <w:color w:val="000000"/>
                <w:sz w:val="16"/>
                <w:szCs w:val="16"/>
                <w:lang w:val="en-GB" w:eastAsia="en-GB"/>
              </w:rPr>
            </w:pPr>
          </w:p>
          <w:p w14:paraId="729A53C8" w14:textId="09C76747" w:rsidR="000A0DFA" w:rsidRPr="001F3203" w:rsidRDefault="000A0DFA">
            <w:pPr>
              <w:rPr>
                <w:b/>
                <w:iCs/>
                <w:color w:val="000000"/>
                <w:sz w:val="16"/>
                <w:szCs w:val="16"/>
                <w:lang w:eastAsia="en-GB"/>
              </w:rPr>
            </w:pPr>
            <w:r w:rsidRPr="001F3203">
              <w:rPr>
                <w:b/>
                <w:iCs/>
                <w:color w:val="000000"/>
                <w:sz w:val="16"/>
                <w:szCs w:val="16"/>
                <w:lang w:eastAsia="en-GB"/>
              </w:rPr>
              <w:t>3.8-Policy and technical guidance are in place for integrating climate change adaptation</w:t>
            </w:r>
            <w:r w:rsidR="00F8000B" w:rsidRPr="001F3203">
              <w:rPr>
                <w:b/>
                <w:iCs/>
                <w:color w:val="000000"/>
                <w:sz w:val="16"/>
                <w:szCs w:val="16"/>
                <w:lang w:eastAsia="en-GB"/>
              </w:rPr>
              <w:t xml:space="preserve"> </w:t>
            </w:r>
            <w:r w:rsidRPr="001F3203">
              <w:rPr>
                <w:b/>
                <w:iCs/>
                <w:color w:val="000000"/>
                <w:sz w:val="16"/>
                <w:szCs w:val="16"/>
                <w:lang w:eastAsia="en-GB"/>
              </w:rPr>
              <w:t>(CCA) and DRR into spatial and local development planning.</w:t>
            </w:r>
            <w:r w:rsidRPr="001F3203" w:rsidDel="00020FB7">
              <w:rPr>
                <w:b/>
                <w:iCs/>
                <w:color w:val="000000"/>
                <w:sz w:val="16"/>
                <w:szCs w:val="16"/>
                <w:lang w:eastAsia="en-GB"/>
              </w:rPr>
              <w:t xml:space="preserve"> </w:t>
            </w:r>
          </w:p>
          <w:p w14:paraId="258D0D47" w14:textId="77777777" w:rsidR="000A0DFA" w:rsidRPr="001F3203" w:rsidRDefault="000A0DFA">
            <w:pPr>
              <w:rPr>
                <w:b/>
                <w:iCs/>
                <w:color w:val="000000"/>
                <w:sz w:val="16"/>
                <w:szCs w:val="16"/>
                <w:lang w:eastAsia="en-GB"/>
              </w:rPr>
            </w:pPr>
          </w:p>
          <w:p w14:paraId="2F432CBE" w14:textId="41D1D321" w:rsidR="000A0DFA" w:rsidRPr="001F3203" w:rsidRDefault="000A0DFA">
            <w:pPr>
              <w:rPr>
                <w:iCs/>
                <w:color w:val="000000"/>
                <w:sz w:val="16"/>
                <w:szCs w:val="16"/>
                <w:lang w:val="en-GB" w:eastAsia="en-GB"/>
              </w:rPr>
            </w:pPr>
            <w:r w:rsidRPr="001F3203">
              <w:rPr>
                <w:b/>
                <w:iCs/>
                <w:color w:val="000000"/>
                <w:sz w:val="16"/>
                <w:szCs w:val="16"/>
                <w:lang w:val="en-GB" w:eastAsia="en-GB"/>
              </w:rPr>
              <w:t>Indicator</w:t>
            </w:r>
            <w:r w:rsidRPr="001F3203">
              <w:rPr>
                <w:iCs/>
                <w:color w:val="000000"/>
                <w:sz w:val="16"/>
                <w:szCs w:val="16"/>
                <w:lang w:val="en-GB" w:eastAsia="en-GB"/>
              </w:rPr>
              <w:t xml:space="preserve">: Extent to which CCA </w:t>
            </w:r>
            <w:r w:rsidR="00AF65F1">
              <w:rPr>
                <w:iCs/>
                <w:color w:val="000000"/>
                <w:sz w:val="16"/>
                <w:szCs w:val="16"/>
                <w:lang w:val="en-GB" w:eastAsia="en-GB"/>
              </w:rPr>
              <w:t>and</w:t>
            </w:r>
            <w:r w:rsidR="00AF65F1" w:rsidRPr="001F3203">
              <w:rPr>
                <w:iCs/>
                <w:color w:val="000000"/>
                <w:sz w:val="16"/>
                <w:szCs w:val="16"/>
                <w:lang w:val="en-GB" w:eastAsia="en-GB"/>
              </w:rPr>
              <w:t xml:space="preserve"> </w:t>
            </w:r>
            <w:r w:rsidRPr="001F3203">
              <w:rPr>
                <w:iCs/>
                <w:color w:val="000000"/>
                <w:sz w:val="16"/>
                <w:szCs w:val="16"/>
                <w:lang w:val="en-GB" w:eastAsia="en-GB"/>
              </w:rPr>
              <w:t xml:space="preserve">DRR are integrated into spatial and local development planning in targeted area. </w:t>
            </w:r>
          </w:p>
          <w:p w14:paraId="3F184798" w14:textId="77777777" w:rsidR="000A0DFA" w:rsidRPr="001F3203" w:rsidRDefault="000A0DFA">
            <w:pPr>
              <w:rPr>
                <w:iCs/>
                <w:color w:val="000000"/>
                <w:sz w:val="16"/>
                <w:szCs w:val="16"/>
                <w:lang w:val="en-GB" w:eastAsia="en-GB"/>
              </w:rPr>
            </w:pPr>
            <w:r w:rsidRPr="001F3203">
              <w:rPr>
                <w:b/>
                <w:iCs/>
                <w:color w:val="000000"/>
                <w:sz w:val="16"/>
                <w:szCs w:val="16"/>
                <w:lang w:val="en-GB" w:eastAsia="en-GB"/>
              </w:rPr>
              <w:t>Baseline(2014)</w:t>
            </w:r>
            <w:r w:rsidRPr="001F3203">
              <w:rPr>
                <w:iCs/>
                <w:color w:val="000000"/>
                <w:sz w:val="16"/>
                <w:szCs w:val="16"/>
                <w:lang w:val="en-GB" w:eastAsia="en-GB"/>
              </w:rPr>
              <w:t xml:space="preserve">: 1(Inadequately) </w:t>
            </w:r>
          </w:p>
          <w:p w14:paraId="217F7281" w14:textId="77777777" w:rsidR="000A0DFA" w:rsidRPr="001F3203" w:rsidRDefault="000A0DFA">
            <w:pPr>
              <w:rPr>
                <w:iCs/>
                <w:color w:val="000000"/>
                <w:sz w:val="16"/>
                <w:szCs w:val="16"/>
                <w:lang w:eastAsia="en-GB"/>
              </w:rPr>
            </w:pPr>
            <w:r w:rsidRPr="001F3203">
              <w:rPr>
                <w:b/>
                <w:iCs/>
                <w:color w:val="000000"/>
                <w:sz w:val="16"/>
                <w:szCs w:val="16"/>
                <w:lang w:val="en-GB" w:eastAsia="en-GB"/>
              </w:rPr>
              <w:t>Target</w:t>
            </w:r>
            <w:r w:rsidRPr="001F3203">
              <w:rPr>
                <w:iCs/>
                <w:color w:val="000000"/>
                <w:sz w:val="16"/>
                <w:szCs w:val="16"/>
                <w:lang w:val="en-GB" w:eastAsia="en-GB"/>
              </w:rPr>
              <w:t xml:space="preserve">: 4(Largely) </w:t>
            </w:r>
          </w:p>
          <w:p w14:paraId="31588200" w14:textId="77777777" w:rsidR="000A0DFA" w:rsidRPr="001F3203" w:rsidRDefault="000A0DFA">
            <w:pPr>
              <w:tabs>
                <w:tab w:val="left" w:pos="423"/>
              </w:tabs>
              <w:rPr>
                <w:iCs/>
                <w:color w:val="000000"/>
                <w:sz w:val="16"/>
                <w:szCs w:val="16"/>
                <w:lang w:eastAsia="en-GB"/>
              </w:rPr>
            </w:pPr>
            <w:r w:rsidRPr="001F3203">
              <w:rPr>
                <w:b/>
                <w:iCs/>
                <w:color w:val="000000"/>
                <w:sz w:val="16"/>
                <w:szCs w:val="16"/>
                <w:lang w:eastAsia="en-GB"/>
              </w:rPr>
              <w:t xml:space="preserve">Source: </w:t>
            </w:r>
            <w:r w:rsidRPr="001F3203">
              <w:rPr>
                <w:iCs/>
                <w:color w:val="000000"/>
                <w:sz w:val="16"/>
                <w:szCs w:val="16"/>
                <w:lang w:eastAsia="en-GB"/>
              </w:rPr>
              <w:t>Project reports</w:t>
            </w:r>
          </w:p>
          <w:p w14:paraId="2B800A40" w14:textId="77777777" w:rsidR="000A0DFA" w:rsidRPr="001F3203" w:rsidRDefault="000A0DFA">
            <w:pPr>
              <w:rPr>
                <w:b/>
                <w:bCs/>
                <w:color w:val="000000"/>
                <w:sz w:val="16"/>
                <w:szCs w:val="16"/>
                <w:lang w:val="en-GB" w:eastAsia="en-GB"/>
              </w:rPr>
            </w:pPr>
          </w:p>
          <w:p w14:paraId="693DE9AD" w14:textId="77777777" w:rsidR="000A0DFA" w:rsidRPr="001F3203" w:rsidRDefault="000A0DFA">
            <w:pPr>
              <w:rPr>
                <w:b/>
                <w:bCs/>
                <w:color w:val="000000"/>
                <w:sz w:val="16"/>
                <w:szCs w:val="16"/>
                <w:lang w:val="en-GB" w:eastAsia="en-GB"/>
              </w:rPr>
            </w:pPr>
            <w:r w:rsidRPr="001F3203">
              <w:rPr>
                <w:b/>
                <w:bCs/>
                <w:color w:val="000000"/>
                <w:sz w:val="16"/>
                <w:szCs w:val="16"/>
                <w:lang w:eastAsia="en-GB"/>
              </w:rPr>
              <w:t>3.9-Recovery preparedness is strengthened particularly in the areas of methodology, financing schemes and institutional arrangements</w:t>
            </w:r>
          </w:p>
          <w:p w14:paraId="073A7CD9" w14:textId="77777777" w:rsidR="000A0DFA" w:rsidRPr="001F3203" w:rsidRDefault="000A0DFA">
            <w:pPr>
              <w:rPr>
                <w:b/>
                <w:bCs/>
                <w:color w:val="000000"/>
                <w:sz w:val="16"/>
                <w:szCs w:val="16"/>
                <w:lang w:val="en-GB" w:eastAsia="en-GB"/>
              </w:rPr>
            </w:pPr>
          </w:p>
          <w:p w14:paraId="69D452FE" w14:textId="77777777" w:rsidR="000A0DFA" w:rsidRPr="001F3203" w:rsidRDefault="000A0DFA">
            <w:pPr>
              <w:rPr>
                <w:b/>
                <w:bCs/>
                <w:color w:val="000000"/>
                <w:sz w:val="16"/>
                <w:szCs w:val="16"/>
                <w:lang w:val="en-GB" w:eastAsia="en-GB"/>
              </w:rPr>
            </w:pPr>
            <w:r w:rsidRPr="001F3203">
              <w:rPr>
                <w:b/>
                <w:bCs/>
                <w:color w:val="000000"/>
                <w:sz w:val="16"/>
                <w:szCs w:val="16"/>
                <w:lang w:val="en-GB" w:eastAsia="en-GB"/>
              </w:rPr>
              <w:t>Indicator:</w:t>
            </w:r>
            <w:r w:rsidRPr="001F3203">
              <w:rPr>
                <w:bCs/>
                <w:color w:val="000000"/>
                <w:sz w:val="16"/>
                <w:szCs w:val="16"/>
                <w:lang w:val="en-GB" w:eastAsia="en-GB"/>
              </w:rPr>
              <w:t xml:space="preserve"> Extent to which planning and management capacities in recovery are improved in targeted areas.</w:t>
            </w:r>
          </w:p>
          <w:p w14:paraId="1180C307" w14:textId="77777777" w:rsidR="000A0DFA" w:rsidRPr="001F3203" w:rsidRDefault="000A0DFA">
            <w:pPr>
              <w:rPr>
                <w:iCs/>
                <w:color w:val="000000"/>
                <w:sz w:val="16"/>
                <w:szCs w:val="16"/>
                <w:lang w:val="en-GB" w:eastAsia="en-GB"/>
              </w:rPr>
            </w:pPr>
            <w:r w:rsidRPr="001F3203">
              <w:rPr>
                <w:b/>
                <w:iCs/>
                <w:color w:val="000000"/>
                <w:sz w:val="16"/>
                <w:szCs w:val="16"/>
                <w:lang w:val="en-GB" w:eastAsia="en-GB"/>
              </w:rPr>
              <w:t>Baseline(2014)</w:t>
            </w:r>
            <w:r w:rsidRPr="001F3203">
              <w:rPr>
                <w:iCs/>
                <w:color w:val="000000"/>
                <w:sz w:val="16"/>
                <w:szCs w:val="16"/>
                <w:lang w:val="en-GB" w:eastAsia="en-GB"/>
              </w:rPr>
              <w:t>: 2(Partially)</w:t>
            </w:r>
          </w:p>
          <w:p w14:paraId="13C69479" w14:textId="77777777" w:rsidR="000A0DFA" w:rsidRPr="001F3203" w:rsidRDefault="000A0DFA">
            <w:pPr>
              <w:rPr>
                <w:iCs/>
                <w:color w:val="000000"/>
                <w:sz w:val="16"/>
                <w:szCs w:val="16"/>
                <w:lang w:eastAsia="en-GB"/>
              </w:rPr>
            </w:pPr>
            <w:r w:rsidRPr="001F3203">
              <w:rPr>
                <w:b/>
                <w:iCs/>
                <w:color w:val="000000"/>
                <w:sz w:val="16"/>
                <w:szCs w:val="16"/>
                <w:lang w:val="en-GB" w:eastAsia="en-GB"/>
              </w:rPr>
              <w:lastRenderedPageBreak/>
              <w:t>Target</w:t>
            </w:r>
            <w:r w:rsidRPr="001F3203">
              <w:rPr>
                <w:iCs/>
                <w:color w:val="000000"/>
                <w:sz w:val="16"/>
                <w:szCs w:val="16"/>
                <w:lang w:val="en-GB" w:eastAsia="en-GB"/>
              </w:rPr>
              <w:t>: 4(Largely)</w:t>
            </w:r>
          </w:p>
          <w:p w14:paraId="1AA0C085" w14:textId="67CACBF8" w:rsidR="000A0DFA" w:rsidRDefault="000A0DFA" w:rsidP="0056307F">
            <w:pPr>
              <w:tabs>
                <w:tab w:val="left" w:pos="423"/>
              </w:tabs>
              <w:rPr>
                <w:iCs/>
                <w:color w:val="000000"/>
                <w:sz w:val="16"/>
                <w:szCs w:val="16"/>
                <w:lang w:eastAsia="en-GB"/>
              </w:rPr>
            </w:pPr>
            <w:r w:rsidRPr="001F3203">
              <w:rPr>
                <w:b/>
                <w:iCs/>
                <w:color w:val="000000"/>
                <w:sz w:val="16"/>
                <w:szCs w:val="16"/>
                <w:lang w:eastAsia="en-GB"/>
              </w:rPr>
              <w:t xml:space="preserve">Source: </w:t>
            </w:r>
            <w:r w:rsidRPr="001F3203">
              <w:rPr>
                <w:iCs/>
                <w:color w:val="000000"/>
                <w:sz w:val="16"/>
                <w:szCs w:val="16"/>
                <w:lang w:eastAsia="en-GB"/>
              </w:rPr>
              <w:t>Project reports</w:t>
            </w:r>
          </w:p>
          <w:p w14:paraId="69FFE313" w14:textId="77777777" w:rsidR="0056307F" w:rsidRPr="0056307F" w:rsidRDefault="0056307F" w:rsidP="0056307F">
            <w:pPr>
              <w:tabs>
                <w:tab w:val="left" w:pos="423"/>
              </w:tabs>
              <w:rPr>
                <w:iCs/>
                <w:color w:val="000000"/>
                <w:sz w:val="16"/>
                <w:szCs w:val="16"/>
                <w:lang w:eastAsia="en-GB"/>
              </w:rPr>
            </w:pPr>
          </w:p>
          <w:p w14:paraId="24066FCE" w14:textId="236243A3" w:rsidR="00D71B08" w:rsidRPr="003C591C" w:rsidRDefault="00D71B08" w:rsidP="00D71B08">
            <w:pPr>
              <w:rPr>
                <w:b/>
                <w:bCs/>
                <w:color w:val="000000"/>
                <w:sz w:val="16"/>
                <w:szCs w:val="16"/>
                <w:lang w:val="en-GB" w:eastAsia="en-GB"/>
              </w:rPr>
            </w:pPr>
            <w:r w:rsidRPr="003C591C">
              <w:rPr>
                <w:b/>
                <w:bCs/>
                <w:color w:val="000000"/>
                <w:sz w:val="16"/>
                <w:szCs w:val="16"/>
                <w:lang w:val="en-GB" w:eastAsia="en-GB"/>
              </w:rPr>
              <w:t>3</w:t>
            </w:r>
            <w:r>
              <w:rPr>
                <w:b/>
                <w:bCs/>
                <w:color w:val="000000"/>
                <w:sz w:val="24"/>
                <w:szCs w:val="24"/>
              </w:rPr>
              <w:t>.</w:t>
            </w:r>
            <w:r w:rsidRPr="003C591C">
              <w:rPr>
                <w:b/>
                <w:bCs/>
                <w:color w:val="000000"/>
                <w:sz w:val="16"/>
                <w:szCs w:val="16"/>
                <w:lang w:val="en-GB" w:eastAsia="en-GB"/>
              </w:rPr>
              <w:t xml:space="preserve">10-Improved </w:t>
            </w:r>
            <w:r w:rsidR="00010C5D">
              <w:rPr>
                <w:b/>
                <w:bCs/>
                <w:color w:val="000000"/>
                <w:sz w:val="16"/>
                <w:szCs w:val="16"/>
                <w:lang w:val="en-GB" w:eastAsia="en-GB"/>
              </w:rPr>
              <w:t xml:space="preserve">local </w:t>
            </w:r>
            <w:r w:rsidRPr="003C591C">
              <w:rPr>
                <w:b/>
                <w:bCs/>
                <w:color w:val="000000"/>
                <w:sz w:val="16"/>
                <w:szCs w:val="16"/>
                <w:lang w:val="en-GB" w:eastAsia="en-GB"/>
              </w:rPr>
              <w:t xml:space="preserve">forest management </w:t>
            </w:r>
            <w:r w:rsidR="00010C5D">
              <w:rPr>
                <w:b/>
                <w:bCs/>
                <w:color w:val="000000"/>
                <w:sz w:val="16"/>
                <w:szCs w:val="16"/>
                <w:lang w:val="en-GB" w:eastAsia="en-GB"/>
              </w:rPr>
              <w:t xml:space="preserve">capacity </w:t>
            </w:r>
            <w:r w:rsidRPr="003C591C">
              <w:rPr>
                <w:b/>
                <w:bCs/>
                <w:color w:val="000000"/>
                <w:sz w:val="16"/>
                <w:szCs w:val="16"/>
                <w:lang w:val="en-GB" w:eastAsia="en-GB"/>
              </w:rPr>
              <w:t xml:space="preserve">through </w:t>
            </w:r>
            <w:r w:rsidR="00010C5D">
              <w:rPr>
                <w:b/>
                <w:bCs/>
                <w:color w:val="000000"/>
                <w:sz w:val="16"/>
                <w:szCs w:val="16"/>
                <w:lang w:val="en-GB" w:eastAsia="en-GB"/>
              </w:rPr>
              <w:t xml:space="preserve">establishment of </w:t>
            </w:r>
            <w:r w:rsidR="00AF65F1">
              <w:rPr>
                <w:b/>
                <w:bCs/>
                <w:color w:val="000000"/>
                <w:sz w:val="16"/>
                <w:szCs w:val="16"/>
                <w:lang w:val="en-GB" w:eastAsia="en-GB"/>
              </w:rPr>
              <w:t>conservation f</w:t>
            </w:r>
            <w:r w:rsidR="00AF65F1" w:rsidRPr="003C591C">
              <w:rPr>
                <w:b/>
                <w:bCs/>
                <w:color w:val="000000"/>
                <w:sz w:val="16"/>
                <w:szCs w:val="16"/>
                <w:lang w:val="en-GB" w:eastAsia="en-GB"/>
              </w:rPr>
              <w:t xml:space="preserve">orest </w:t>
            </w:r>
            <w:r w:rsidR="00AF65F1">
              <w:rPr>
                <w:b/>
                <w:bCs/>
                <w:color w:val="000000"/>
                <w:sz w:val="16"/>
                <w:szCs w:val="16"/>
                <w:lang w:val="en-GB" w:eastAsia="en-GB"/>
              </w:rPr>
              <w:t>m</w:t>
            </w:r>
            <w:r w:rsidR="00AF65F1" w:rsidRPr="003C591C">
              <w:rPr>
                <w:b/>
                <w:bCs/>
                <w:color w:val="000000"/>
                <w:sz w:val="16"/>
                <w:szCs w:val="16"/>
                <w:lang w:val="en-GB" w:eastAsia="en-GB"/>
              </w:rPr>
              <w:t xml:space="preserve">anagement </w:t>
            </w:r>
            <w:r w:rsidR="00AF65F1">
              <w:rPr>
                <w:b/>
                <w:bCs/>
                <w:color w:val="000000"/>
                <w:sz w:val="16"/>
                <w:szCs w:val="16"/>
                <w:lang w:val="en-GB" w:eastAsia="en-GB"/>
              </w:rPr>
              <w:t>u</w:t>
            </w:r>
            <w:r w:rsidR="00AF65F1" w:rsidRPr="003C591C">
              <w:rPr>
                <w:b/>
                <w:bCs/>
                <w:color w:val="000000"/>
                <w:sz w:val="16"/>
                <w:szCs w:val="16"/>
                <w:lang w:val="en-GB" w:eastAsia="en-GB"/>
              </w:rPr>
              <w:t>nit</w:t>
            </w:r>
            <w:r w:rsidR="00AF65F1">
              <w:rPr>
                <w:b/>
                <w:bCs/>
                <w:color w:val="000000"/>
                <w:sz w:val="16"/>
                <w:szCs w:val="16"/>
                <w:lang w:val="en-GB" w:eastAsia="en-GB"/>
              </w:rPr>
              <w:t>s</w:t>
            </w:r>
            <w:r w:rsidR="00AF65F1" w:rsidRPr="003C591C">
              <w:rPr>
                <w:b/>
                <w:bCs/>
                <w:color w:val="000000"/>
                <w:sz w:val="16"/>
                <w:szCs w:val="16"/>
                <w:lang w:val="en-GB" w:eastAsia="en-GB"/>
              </w:rPr>
              <w:t xml:space="preserve"> </w:t>
            </w:r>
            <w:r>
              <w:rPr>
                <w:b/>
                <w:bCs/>
                <w:color w:val="000000"/>
                <w:sz w:val="16"/>
                <w:szCs w:val="16"/>
                <w:lang w:val="en-GB" w:eastAsia="en-GB"/>
              </w:rPr>
              <w:t xml:space="preserve">(CFMU) </w:t>
            </w:r>
            <w:r w:rsidRPr="003C591C">
              <w:rPr>
                <w:b/>
                <w:bCs/>
                <w:color w:val="000000"/>
                <w:sz w:val="16"/>
                <w:szCs w:val="16"/>
                <w:lang w:val="en-GB" w:eastAsia="en-GB"/>
              </w:rPr>
              <w:t xml:space="preserve">and </w:t>
            </w:r>
            <w:r w:rsidR="00010C5D">
              <w:rPr>
                <w:b/>
                <w:bCs/>
                <w:color w:val="000000"/>
                <w:sz w:val="16"/>
                <w:szCs w:val="16"/>
                <w:lang w:val="en-GB" w:eastAsia="en-GB"/>
              </w:rPr>
              <w:t xml:space="preserve">legal auditing system </w:t>
            </w:r>
            <w:r w:rsidR="002A3911" w:rsidRPr="00F0716D">
              <w:rPr>
                <w:b/>
                <w:bCs/>
                <w:color w:val="000000"/>
                <w:sz w:val="16"/>
                <w:szCs w:val="16"/>
                <w:lang w:val="en-GB" w:eastAsia="en-GB"/>
              </w:rPr>
              <w:t>to monitor and identify violations in issuance of forest licenses</w:t>
            </w:r>
          </w:p>
          <w:p w14:paraId="25FC023C" w14:textId="77777777" w:rsidR="00D71B08" w:rsidRPr="003C591C" w:rsidRDefault="00D71B08" w:rsidP="00D71B08">
            <w:pPr>
              <w:rPr>
                <w:b/>
                <w:bCs/>
                <w:color w:val="000000"/>
                <w:sz w:val="16"/>
                <w:szCs w:val="16"/>
                <w:lang w:val="en-GB" w:eastAsia="en-GB"/>
              </w:rPr>
            </w:pPr>
            <w:r w:rsidRPr="003C591C">
              <w:rPr>
                <w:b/>
                <w:bCs/>
                <w:color w:val="000000"/>
                <w:sz w:val="16"/>
                <w:szCs w:val="16"/>
                <w:lang w:val="en-GB" w:eastAsia="en-GB"/>
              </w:rPr>
              <w:t> </w:t>
            </w:r>
          </w:p>
          <w:p w14:paraId="4FEE8DD0" w14:textId="77777777" w:rsidR="00D71B08" w:rsidRPr="003C591C" w:rsidRDefault="00D71B08" w:rsidP="00D71B08">
            <w:pPr>
              <w:rPr>
                <w:b/>
                <w:bCs/>
                <w:color w:val="000000"/>
                <w:sz w:val="16"/>
                <w:szCs w:val="16"/>
                <w:lang w:val="en-GB" w:eastAsia="en-GB"/>
              </w:rPr>
            </w:pPr>
            <w:r w:rsidRPr="003C591C">
              <w:rPr>
                <w:b/>
                <w:bCs/>
                <w:color w:val="000000"/>
                <w:sz w:val="16"/>
                <w:szCs w:val="16"/>
                <w:lang w:val="en-GB" w:eastAsia="en-GB"/>
              </w:rPr>
              <w:t xml:space="preserve">Indicator: </w:t>
            </w:r>
            <w:r>
              <w:rPr>
                <w:b/>
                <w:bCs/>
                <w:color w:val="000000"/>
                <w:sz w:val="16"/>
                <w:szCs w:val="16"/>
                <w:lang w:val="en-GB" w:eastAsia="en-GB"/>
              </w:rPr>
              <w:t>Number o</w:t>
            </w:r>
            <w:r w:rsidRPr="003C591C">
              <w:rPr>
                <w:b/>
                <w:bCs/>
                <w:color w:val="000000"/>
                <w:sz w:val="16"/>
                <w:szCs w:val="16"/>
                <w:lang w:val="en-GB" w:eastAsia="en-GB"/>
              </w:rPr>
              <w:t>f C</w:t>
            </w:r>
            <w:r>
              <w:rPr>
                <w:b/>
                <w:bCs/>
                <w:color w:val="000000"/>
                <w:sz w:val="16"/>
                <w:szCs w:val="16"/>
                <w:lang w:val="en-GB" w:eastAsia="en-GB"/>
              </w:rPr>
              <w:t>FMU</w:t>
            </w:r>
            <w:r w:rsidR="009F7C64">
              <w:rPr>
                <w:b/>
                <w:bCs/>
                <w:color w:val="000000"/>
                <w:sz w:val="16"/>
                <w:szCs w:val="16"/>
                <w:lang w:val="en-GB" w:eastAsia="en-GB"/>
              </w:rPr>
              <w:t>s</w:t>
            </w:r>
            <w:r w:rsidRPr="003C591C">
              <w:rPr>
                <w:b/>
                <w:bCs/>
                <w:color w:val="000000"/>
                <w:sz w:val="16"/>
                <w:szCs w:val="16"/>
                <w:lang w:val="en-GB" w:eastAsia="en-GB"/>
              </w:rPr>
              <w:t xml:space="preserve"> established and operati</w:t>
            </w:r>
            <w:r w:rsidR="002A3911">
              <w:rPr>
                <w:b/>
                <w:bCs/>
                <w:color w:val="000000"/>
                <w:sz w:val="16"/>
                <w:szCs w:val="16"/>
                <w:lang w:val="en-GB" w:eastAsia="en-GB"/>
              </w:rPr>
              <w:t>o</w:t>
            </w:r>
            <w:r w:rsidRPr="003C591C">
              <w:rPr>
                <w:b/>
                <w:bCs/>
                <w:color w:val="000000"/>
                <w:sz w:val="16"/>
                <w:szCs w:val="16"/>
                <w:lang w:val="en-GB" w:eastAsia="en-GB"/>
              </w:rPr>
              <w:t>n</w:t>
            </w:r>
            <w:r w:rsidR="002A3911">
              <w:rPr>
                <w:b/>
                <w:bCs/>
                <w:color w:val="000000"/>
                <w:sz w:val="16"/>
                <w:szCs w:val="16"/>
                <w:lang w:val="en-GB" w:eastAsia="en-GB"/>
              </w:rPr>
              <w:t>al</w:t>
            </w:r>
            <w:r w:rsidRPr="003C591C">
              <w:rPr>
                <w:b/>
                <w:bCs/>
                <w:color w:val="000000"/>
                <w:sz w:val="16"/>
                <w:szCs w:val="16"/>
                <w:lang w:val="en-GB" w:eastAsia="en-GB"/>
              </w:rPr>
              <w:t xml:space="preserve"> </w:t>
            </w:r>
            <w:r w:rsidR="002A3911">
              <w:rPr>
                <w:b/>
                <w:bCs/>
                <w:color w:val="000000"/>
                <w:sz w:val="16"/>
                <w:szCs w:val="16"/>
                <w:lang w:val="en-GB" w:eastAsia="en-GB"/>
              </w:rPr>
              <w:t>in targeted areas</w:t>
            </w:r>
            <w:r w:rsidRPr="003C591C">
              <w:rPr>
                <w:b/>
                <w:bCs/>
                <w:color w:val="000000"/>
                <w:sz w:val="16"/>
                <w:szCs w:val="16"/>
                <w:lang w:val="en-GB" w:eastAsia="en-GB"/>
              </w:rPr>
              <w:t>.</w:t>
            </w:r>
          </w:p>
          <w:p w14:paraId="0DC3527C" w14:textId="0BC98C39" w:rsidR="00D71B08" w:rsidRPr="003C591C" w:rsidRDefault="00D71B08" w:rsidP="00D71B08">
            <w:pPr>
              <w:rPr>
                <w:b/>
                <w:bCs/>
                <w:color w:val="000000"/>
                <w:sz w:val="16"/>
                <w:szCs w:val="16"/>
                <w:lang w:val="en-GB" w:eastAsia="en-GB"/>
              </w:rPr>
            </w:pPr>
            <w:r w:rsidRPr="003C591C">
              <w:rPr>
                <w:b/>
                <w:bCs/>
                <w:color w:val="000000"/>
                <w:sz w:val="16"/>
                <w:szCs w:val="16"/>
                <w:lang w:val="en-GB" w:eastAsia="en-GB"/>
              </w:rPr>
              <w:t xml:space="preserve">Baseline(2014): 40 </w:t>
            </w:r>
          </w:p>
          <w:p w14:paraId="1940246F" w14:textId="1DCD89E4" w:rsidR="00D71B08" w:rsidRPr="003C591C" w:rsidRDefault="00D71B08" w:rsidP="00D71B08">
            <w:pPr>
              <w:rPr>
                <w:b/>
                <w:bCs/>
                <w:color w:val="000000"/>
                <w:sz w:val="16"/>
                <w:szCs w:val="16"/>
                <w:lang w:val="en-GB" w:eastAsia="en-GB"/>
              </w:rPr>
            </w:pPr>
            <w:r w:rsidRPr="003C591C">
              <w:rPr>
                <w:b/>
                <w:bCs/>
                <w:color w:val="000000"/>
                <w:sz w:val="16"/>
                <w:szCs w:val="16"/>
                <w:lang w:val="en-GB" w:eastAsia="en-GB"/>
              </w:rPr>
              <w:t>Target: 49</w:t>
            </w:r>
          </w:p>
          <w:p w14:paraId="4CC27171" w14:textId="4DBDC04E" w:rsidR="00DB42D9" w:rsidRDefault="00DB42D9" w:rsidP="003C591C">
            <w:pPr>
              <w:rPr>
                <w:b/>
                <w:bCs/>
                <w:color w:val="000000"/>
                <w:sz w:val="16"/>
                <w:szCs w:val="16"/>
                <w:lang w:val="en-GB" w:eastAsia="en-GB"/>
              </w:rPr>
            </w:pPr>
            <w:r w:rsidRPr="003C591C">
              <w:rPr>
                <w:b/>
                <w:bCs/>
                <w:color w:val="000000"/>
                <w:sz w:val="16"/>
                <w:szCs w:val="16"/>
                <w:lang w:val="en-GB" w:eastAsia="en-GB"/>
              </w:rPr>
              <w:t xml:space="preserve">Source: </w:t>
            </w:r>
            <w:r w:rsidR="007E3A32">
              <w:rPr>
                <w:b/>
                <w:bCs/>
                <w:color w:val="000000"/>
                <w:sz w:val="16"/>
                <w:szCs w:val="16"/>
                <w:lang w:val="en-GB" w:eastAsia="en-GB"/>
              </w:rPr>
              <w:t>Government</w:t>
            </w:r>
            <w:r w:rsidR="007E3A32" w:rsidRPr="003C591C">
              <w:rPr>
                <w:b/>
                <w:bCs/>
                <w:color w:val="000000"/>
                <w:sz w:val="16"/>
                <w:szCs w:val="16"/>
                <w:lang w:val="en-GB" w:eastAsia="en-GB"/>
              </w:rPr>
              <w:t xml:space="preserve"> </w:t>
            </w:r>
            <w:r w:rsidR="007E3A32">
              <w:rPr>
                <w:b/>
                <w:bCs/>
                <w:color w:val="000000"/>
                <w:sz w:val="16"/>
                <w:szCs w:val="16"/>
                <w:lang w:val="en-GB" w:eastAsia="en-GB"/>
              </w:rPr>
              <w:t>d</w:t>
            </w:r>
            <w:r w:rsidR="007E3A32" w:rsidRPr="003C591C">
              <w:rPr>
                <w:b/>
                <w:bCs/>
                <w:color w:val="000000"/>
                <w:sz w:val="16"/>
                <w:szCs w:val="16"/>
                <w:lang w:val="en-GB" w:eastAsia="en-GB"/>
              </w:rPr>
              <w:t>ocuments</w:t>
            </w:r>
          </w:p>
          <w:p w14:paraId="5A86E1F4" w14:textId="77777777" w:rsidR="00010C5D" w:rsidRPr="003C591C" w:rsidRDefault="00010C5D" w:rsidP="003C591C">
            <w:pPr>
              <w:rPr>
                <w:b/>
                <w:bCs/>
                <w:color w:val="000000"/>
                <w:sz w:val="16"/>
                <w:szCs w:val="16"/>
                <w:lang w:val="en-GB" w:eastAsia="en-GB"/>
              </w:rPr>
            </w:pPr>
          </w:p>
          <w:p w14:paraId="039728AF" w14:textId="77777777" w:rsidR="00010C5D" w:rsidRPr="009F42FB" w:rsidRDefault="00010C5D" w:rsidP="00010C5D">
            <w:pPr>
              <w:rPr>
                <w:b/>
                <w:bCs/>
                <w:color w:val="000000"/>
                <w:sz w:val="16"/>
                <w:szCs w:val="16"/>
                <w:lang w:val="en-GB" w:eastAsia="en-GB"/>
              </w:rPr>
            </w:pPr>
            <w:r w:rsidRPr="009F42FB">
              <w:rPr>
                <w:b/>
                <w:bCs/>
                <w:color w:val="000000"/>
                <w:sz w:val="16"/>
                <w:szCs w:val="16"/>
                <w:lang w:val="en-GB" w:eastAsia="en-GB"/>
              </w:rPr>
              <w:t xml:space="preserve">Indicator: # of districts where forest licenses are audited for compliance with law. </w:t>
            </w:r>
          </w:p>
          <w:p w14:paraId="59006949" w14:textId="77777777" w:rsidR="00010C5D" w:rsidRPr="009F42FB" w:rsidRDefault="00010C5D" w:rsidP="00010C5D">
            <w:pPr>
              <w:rPr>
                <w:b/>
                <w:bCs/>
                <w:color w:val="000000"/>
                <w:sz w:val="16"/>
                <w:szCs w:val="16"/>
                <w:lang w:val="en-GB" w:eastAsia="en-GB"/>
              </w:rPr>
            </w:pPr>
            <w:r w:rsidRPr="009F42FB">
              <w:rPr>
                <w:b/>
                <w:bCs/>
                <w:color w:val="000000"/>
                <w:sz w:val="16"/>
                <w:szCs w:val="16"/>
                <w:lang w:val="en-GB" w:eastAsia="en-GB"/>
              </w:rPr>
              <w:t xml:space="preserve">Baseline(2014): 9 </w:t>
            </w:r>
          </w:p>
          <w:p w14:paraId="7FD3F9B2" w14:textId="77777777" w:rsidR="00010C5D" w:rsidRPr="001F3203" w:rsidRDefault="00010C5D" w:rsidP="00010C5D">
            <w:pPr>
              <w:rPr>
                <w:b/>
                <w:bCs/>
                <w:color w:val="000000"/>
                <w:sz w:val="16"/>
                <w:szCs w:val="16"/>
                <w:lang w:val="en-GB" w:eastAsia="en-GB"/>
              </w:rPr>
            </w:pPr>
            <w:r w:rsidRPr="009F42FB">
              <w:rPr>
                <w:b/>
                <w:bCs/>
                <w:color w:val="000000"/>
                <w:sz w:val="16"/>
                <w:szCs w:val="16"/>
                <w:lang w:val="en-GB" w:eastAsia="en-GB"/>
              </w:rPr>
              <w:t>Target: 24</w:t>
            </w:r>
          </w:p>
          <w:p w14:paraId="021F1C40" w14:textId="77777777" w:rsidR="00C82741" w:rsidRPr="001F3203" w:rsidRDefault="00010C5D" w:rsidP="00010C5D">
            <w:pPr>
              <w:rPr>
                <w:b/>
                <w:bCs/>
                <w:color w:val="000000"/>
                <w:sz w:val="16"/>
                <w:szCs w:val="16"/>
                <w:lang w:val="en-GB" w:eastAsia="en-GB"/>
              </w:rPr>
            </w:pPr>
            <w:r w:rsidRPr="009F42FB">
              <w:rPr>
                <w:b/>
                <w:bCs/>
                <w:color w:val="000000"/>
                <w:sz w:val="16"/>
                <w:szCs w:val="16"/>
                <w:lang w:val="en-GB" w:eastAsia="en-GB"/>
              </w:rPr>
              <w:t>Source: Project reports</w:t>
            </w:r>
          </w:p>
        </w:tc>
        <w:tc>
          <w:tcPr>
            <w:tcW w:w="1079" w:type="pct"/>
            <w:vMerge w:val="restart"/>
          </w:tcPr>
          <w:p w14:paraId="7E8B7D04" w14:textId="77777777" w:rsidR="000A0DFA" w:rsidRPr="001F3203" w:rsidRDefault="000A0DFA">
            <w:pPr>
              <w:rPr>
                <w:iCs/>
                <w:color w:val="000000"/>
                <w:sz w:val="16"/>
                <w:szCs w:val="16"/>
                <w:lang w:val="en-GB" w:eastAsia="en-GB"/>
              </w:rPr>
            </w:pPr>
            <w:r w:rsidRPr="001F3203">
              <w:rPr>
                <w:iCs/>
                <w:color w:val="000000"/>
                <w:sz w:val="16"/>
                <w:szCs w:val="16"/>
                <w:lang w:val="en-GB" w:eastAsia="en-GB"/>
              </w:rPr>
              <w:lastRenderedPageBreak/>
              <w:t xml:space="preserve">BAPPENAS; </w:t>
            </w:r>
            <w:r w:rsidRPr="001F3203">
              <w:rPr>
                <w:iCs/>
                <w:sz w:val="16"/>
                <w:szCs w:val="16"/>
                <w:lang w:val="en-GB" w:eastAsia="en-GB"/>
              </w:rPr>
              <w:t xml:space="preserve">Environment and Forestry; </w:t>
            </w:r>
            <w:r w:rsidRPr="001F3203">
              <w:rPr>
                <w:iCs/>
                <w:color w:val="000000"/>
                <w:sz w:val="16"/>
                <w:szCs w:val="16"/>
                <w:lang w:val="en-GB" w:eastAsia="en-GB"/>
              </w:rPr>
              <w:t xml:space="preserve">Home Affairs; Agriculture; </w:t>
            </w:r>
            <w:r w:rsidRPr="001F3203">
              <w:rPr>
                <w:iCs/>
                <w:sz w:val="16"/>
                <w:szCs w:val="16"/>
                <w:lang w:val="en-GB" w:eastAsia="en-GB"/>
              </w:rPr>
              <w:t xml:space="preserve">Energy and Mineral Resources; Health; </w:t>
            </w:r>
            <w:r w:rsidR="00BC6CB6">
              <w:rPr>
                <w:iCs/>
                <w:sz w:val="16"/>
                <w:szCs w:val="16"/>
                <w:lang w:val="en-GB" w:eastAsia="en-GB"/>
              </w:rPr>
              <w:t>Agency for the Assessment and Application of Technology (</w:t>
            </w:r>
            <w:r w:rsidRPr="001F3203">
              <w:rPr>
                <w:iCs/>
                <w:color w:val="000000"/>
                <w:sz w:val="16"/>
                <w:szCs w:val="16"/>
                <w:lang w:val="en-GB" w:eastAsia="en-GB"/>
              </w:rPr>
              <w:t>BPPT</w:t>
            </w:r>
            <w:r w:rsidR="00BC6CB6">
              <w:rPr>
                <w:iCs/>
                <w:color w:val="000000"/>
                <w:sz w:val="16"/>
                <w:szCs w:val="16"/>
                <w:lang w:val="en-GB" w:eastAsia="en-GB"/>
              </w:rPr>
              <w:t>)</w:t>
            </w:r>
            <w:r w:rsidRPr="001F3203">
              <w:rPr>
                <w:iCs/>
                <w:color w:val="000000"/>
                <w:sz w:val="16"/>
                <w:szCs w:val="16"/>
                <w:lang w:val="en-GB" w:eastAsia="en-GB"/>
              </w:rPr>
              <w:t>;</w:t>
            </w:r>
            <w:r w:rsidRPr="001F3203">
              <w:rPr>
                <w:sz w:val="16"/>
                <w:szCs w:val="16"/>
              </w:rPr>
              <w:t xml:space="preserve"> </w:t>
            </w:r>
            <w:r w:rsidRPr="001F3203">
              <w:rPr>
                <w:iCs/>
                <w:color w:val="000000"/>
                <w:sz w:val="16"/>
                <w:szCs w:val="16"/>
                <w:lang w:val="en-GB" w:eastAsia="en-GB"/>
              </w:rPr>
              <w:t>Cooperatives/SMEs; Agrarian and Spatial Affairs/National Land Agency; Industry; Coordinating Ministry for Maritime Affairs; BNPB</w:t>
            </w:r>
          </w:p>
          <w:p w14:paraId="48480462" w14:textId="77777777" w:rsidR="000A0DFA" w:rsidRPr="001F3203" w:rsidRDefault="000A0DFA">
            <w:pPr>
              <w:spacing w:after="60"/>
              <w:rPr>
                <w:iCs/>
                <w:color w:val="000000"/>
                <w:sz w:val="16"/>
                <w:szCs w:val="16"/>
                <w:lang w:val="en-GB" w:eastAsia="en-GB"/>
              </w:rPr>
            </w:pPr>
          </w:p>
          <w:p w14:paraId="0DDCECCF" w14:textId="77777777" w:rsidR="000A0DFA" w:rsidRPr="001F3203" w:rsidRDefault="000A0DFA">
            <w:pPr>
              <w:spacing w:after="60"/>
              <w:rPr>
                <w:iCs/>
                <w:color w:val="000000"/>
                <w:sz w:val="16"/>
                <w:szCs w:val="16"/>
                <w:lang w:val="en-GB" w:eastAsia="en-GB"/>
              </w:rPr>
            </w:pPr>
            <w:r w:rsidRPr="001F3203">
              <w:rPr>
                <w:iCs/>
                <w:color w:val="000000"/>
                <w:sz w:val="16"/>
                <w:szCs w:val="16"/>
                <w:lang w:val="en-GB" w:eastAsia="en-GB"/>
              </w:rPr>
              <w:lastRenderedPageBreak/>
              <w:t>CSOs</w:t>
            </w:r>
          </w:p>
          <w:p w14:paraId="6F75866E" w14:textId="7FAA0EDF" w:rsidR="000A0DFA" w:rsidRPr="001F3203" w:rsidRDefault="000A0DFA">
            <w:pPr>
              <w:spacing w:after="60"/>
              <w:rPr>
                <w:iCs/>
                <w:color w:val="000000"/>
                <w:sz w:val="16"/>
                <w:szCs w:val="16"/>
                <w:lang w:val="en-GB" w:eastAsia="en-GB"/>
              </w:rPr>
            </w:pPr>
            <w:r w:rsidRPr="001F3203">
              <w:rPr>
                <w:iCs/>
                <w:color w:val="000000"/>
                <w:sz w:val="16"/>
                <w:szCs w:val="16"/>
                <w:lang w:val="en-GB" w:eastAsia="en-GB"/>
              </w:rPr>
              <w:t>U</w:t>
            </w:r>
            <w:r w:rsidR="00AF65F1">
              <w:rPr>
                <w:iCs/>
                <w:color w:val="000000"/>
                <w:sz w:val="16"/>
                <w:szCs w:val="16"/>
                <w:lang w:val="en-GB" w:eastAsia="en-GB"/>
              </w:rPr>
              <w:t xml:space="preserve">nited </w:t>
            </w:r>
            <w:r w:rsidRPr="001F3203">
              <w:rPr>
                <w:iCs/>
                <w:color w:val="000000"/>
                <w:sz w:val="16"/>
                <w:szCs w:val="16"/>
                <w:lang w:val="en-GB" w:eastAsia="en-GB"/>
              </w:rPr>
              <w:t>N</w:t>
            </w:r>
            <w:r w:rsidR="00AF65F1">
              <w:rPr>
                <w:iCs/>
                <w:color w:val="000000"/>
                <w:sz w:val="16"/>
                <w:szCs w:val="16"/>
                <w:lang w:val="en-GB" w:eastAsia="en-GB"/>
              </w:rPr>
              <w:t>ations</w:t>
            </w:r>
            <w:r w:rsidRPr="001F3203">
              <w:rPr>
                <w:iCs/>
                <w:color w:val="000000"/>
                <w:sz w:val="16"/>
                <w:szCs w:val="16"/>
                <w:lang w:val="en-GB" w:eastAsia="en-GB"/>
              </w:rPr>
              <w:t xml:space="preserve"> </w:t>
            </w:r>
            <w:r w:rsidR="00AF65F1">
              <w:rPr>
                <w:iCs/>
                <w:color w:val="000000"/>
                <w:sz w:val="16"/>
                <w:szCs w:val="16"/>
                <w:lang w:val="en-GB" w:eastAsia="en-GB"/>
              </w:rPr>
              <w:t>a</w:t>
            </w:r>
            <w:r w:rsidR="00AF65F1" w:rsidRPr="001F3203">
              <w:rPr>
                <w:iCs/>
                <w:color w:val="000000"/>
                <w:sz w:val="16"/>
                <w:szCs w:val="16"/>
                <w:lang w:val="en-GB" w:eastAsia="en-GB"/>
              </w:rPr>
              <w:t>gencies</w:t>
            </w:r>
          </w:p>
          <w:p w14:paraId="0AB323DF" w14:textId="77777777" w:rsidR="000A0DFA" w:rsidRPr="001F3203" w:rsidRDefault="000A0DFA">
            <w:pPr>
              <w:spacing w:after="60"/>
              <w:rPr>
                <w:iCs/>
                <w:color w:val="000000"/>
                <w:sz w:val="16"/>
                <w:szCs w:val="16"/>
                <w:lang w:val="en-GB" w:eastAsia="en-GB"/>
              </w:rPr>
            </w:pPr>
            <w:r w:rsidRPr="001F3203">
              <w:rPr>
                <w:iCs/>
                <w:color w:val="000000"/>
                <w:sz w:val="16"/>
                <w:szCs w:val="16"/>
                <w:lang w:val="en-GB" w:eastAsia="en-GB"/>
              </w:rPr>
              <w:t>Private sector</w:t>
            </w:r>
          </w:p>
          <w:p w14:paraId="1573E9DF" w14:textId="77777777" w:rsidR="000A0DFA" w:rsidRPr="001F3203" w:rsidRDefault="000A0DFA">
            <w:pPr>
              <w:spacing w:after="60"/>
              <w:rPr>
                <w:iCs/>
                <w:color w:val="000000"/>
                <w:sz w:val="16"/>
                <w:szCs w:val="16"/>
                <w:lang w:val="en-GB" w:eastAsia="en-GB"/>
              </w:rPr>
            </w:pPr>
            <w:r w:rsidRPr="001F3203">
              <w:rPr>
                <w:iCs/>
                <w:color w:val="000000"/>
                <w:sz w:val="16"/>
                <w:szCs w:val="16"/>
                <w:lang w:val="en-GB" w:eastAsia="en-GB"/>
              </w:rPr>
              <w:t>World Bank</w:t>
            </w:r>
          </w:p>
          <w:p w14:paraId="1ADFCAE8" w14:textId="77777777" w:rsidR="000A0DFA" w:rsidRPr="001F3203" w:rsidRDefault="000A0DFA">
            <w:pPr>
              <w:rPr>
                <w:iCs/>
                <w:color w:val="000000"/>
                <w:sz w:val="16"/>
                <w:szCs w:val="16"/>
                <w:lang w:val="en-GB" w:eastAsia="en-GB"/>
              </w:rPr>
            </w:pPr>
          </w:p>
          <w:p w14:paraId="1677F748" w14:textId="77777777" w:rsidR="000A0DFA" w:rsidRPr="001F3203" w:rsidRDefault="000A0DFA">
            <w:pPr>
              <w:rPr>
                <w:bCs/>
                <w:color w:val="000000"/>
                <w:sz w:val="16"/>
                <w:szCs w:val="16"/>
                <w:lang w:val="en-GB" w:eastAsia="en-GB"/>
              </w:rPr>
            </w:pPr>
            <w:r w:rsidRPr="001F3203">
              <w:rPr>
                <w:iCs/>
                <w:vanish/>
                <w:sz w:val="16"/>
                <w:szCs w:val="16"/>
                <w:lang w:eastAsia="en-GB"/>
              </w:rPr>
              <w:t>Source: hane Area in INdonesia ssinsnatural here minisyruights and access to natural reoures an accountable way.,atural resource</w:t>
            </w:r>
          </w:p>
          <w:p w14:paraId="13564632" w14:textId="77777777" w:rsidR="000A0DFA" w:rsidRPr="001F3203" w:rsidRDefault="000A0DFA">
            <w:pPr>
              <w:spacing w:after="120"/>
              <w:rPr>
                <w:iCs/>
                <w:color w:val="000000"/>
                <w:sz w:val="16"/>
                <w:szCs w:val="16"/>
                <w:lang w:val="en-GB"/>
              </w:rPr>
            </w:pPr>
          </w:p>
        </w:tc>
        <w:tc>
          <w:tcPr>
            <w:tcW w:w="600" w:type="pct"/>
            <w:gridSpan w:val="2"/>
            <w:tcMar>
              <w:top w:w="15" w:type="dxa"/>
              <w:left w:w="108" w:type="dxa"/>
              <w:bottom w:w="0" w:type="dxa"/>
              <w:right w:w="108" w:type="dxa"/>
            </w:tcMar>
          </w:tcPr>
          <w:p w14:paraId="6FCFB91D" w14:textId="77777777" w:rsidR="000A0DFA" w:rsidRPr="001F3203" w:rsidRDefault="000A0DFA">
            <w:pPr>
              <w:rPr>
                <w:b/>
                <w:color w:val="000000"/>
                <w:sz w:val="16"/>
                <w:szCs w:val="16"/>
              </w:rPr>
            </w:pPr>
            <w:r w:rsidRPr="001F3203">
              <w:rPr>
                <w:b/>
                <w:color w:val="000000"/>
                <w:sz w:val="16"/>
                <w:szCs w:val="16"/>
              </w:rPr>
              <w:lastRenderedPageBreak/>
              <w:t>Regular</w:t>
            </w:r>
          </w:p>
          <w:p w14:paraId="0EFD7C48" w14:textId="77777777" w:rsidR="000A0DFA" w:rsidRPr="001F3203" w:rsidRDefault="000A0DFA" w:rsidP="005A2FD8">
            <w:pPr>
              <w:rPr>
                <w:b/>
                <w:color w:val="000000"/>
                <w:sz w:val="16"/>
                <w:szCs w:val="16"/>
              </w:rPr>
            </w:pPr>
            <w:r w:rsidRPr="001F3203">
              <w:rPr>
                <w:b/>
                <w:color w:val="000000"/>
                <w:sz w:val="16"/>
                <w:szCs w:val="16"/>
              </w:rPr>
              <w:t>5</w:t>
            </w:r>
            <w:r w:rsidR="005A2FD8">
              <w:rPr>
                <w:b/>
                <w:color w:val="000000"/>
                <w:sz w:val="16"/>
                <w:szCs w:val="16"/>
              </w:rPr>
              <w:t>46</w:t>
            </w:r>
            <w:r w:rsidRPr="001F3203">
              <w:rPr>
                <w:b/>
                <w:color w:val="000000"/>
                <w:sz w:val="16"/>
                <w:szCs w:val="16"/>
              </w:rPr>
              <w:t>,</w:t>
            </w:r>
            <w:r w:rsidR="005A2FD8">
              <w:rPr>
                <w:b/>
                <w:color w:val="000000"/>
                <w:sz w:val="16"/>
                <w:szCs w:val="16"/>
              </w:rPr>
              <w:t>0</w:t>
            </w:r>
            <w:r w:rsidRPr="001F3203">
              <w:rPr>
                <w:b/>
                <w:color w:val="000000"/>
                <w:sz w:val="16"/>
                <w:szCs w:val="16"/>
              </w:rPr>
              <w:t>00</w:t>
            </w:r>
          </w:p>
        </w:tc>
      </w:tr>
      <w:tr w:rsidR="000A0DFA" w:rsidRPr="001F3203" w14:paraId="5E65530E" w14:textId="77777777" w:rsidTr="00C91B7F">
        <w:trPr>
          <w:trHeight w:val="184"/>
        </w:trPr>
        <w:tc>
          <w:tcPr>
            <w:tcW w:w="1044" w:type="pct"/>
            <w:vMerge/>
            <w:tcMar>
              <w:top w:w="72" w:type="dxa"/>
              <w:left w:w="144" w:type="dxa"/>
              <w:bottom w:w="72" w:type="dxa"/>
              <w:right w:w="144" w:type="dxa"/>
            </w:tcMar>
          </w:tcPr>
          <w:p w14:paraId="5F7FBE7C" w14:textId="77777777" w:rsidR="000A0DFA" w:rsidRPr="001F3203" w:rsidRDefault="000A0DFA">
            <w:pPr>
              <w:rPr>
                <w:i/>
                <w:iCs/>
                <w:color w:val="000000"/>
                <w:sz w:val="16"/>
                <w:szCs w:val="16"/>
                <w:lang w:val="en-GB"/>
              </w:rPr>
            </w:pPr>
          </w:p>
        </w:tc>
        <w:tc>
          <w:tcPr>
            <w:tcW w:w="977" w:type="pct"/>
            <w:vMerge/>
          </w:tcPr>
          <w:p w14:paraId="42BB7CD4" w14:textId="77777777" w:rsidR="000A0DFA" w:rsidRPr="001F3203" w:rsidRDefault="000A0DFA" w:rsidP="00417284">
            <w:pPr>
              <w:rPr>
                <w:i/>
                <w:iCs/>
                <w:color w:val="000000"/>
                <w:sz w:val="16"/>
                <w:szCs w:val="16"/>
                <w:lang w:val="en-GB"/>
              </w:rPr>
            </w:pPr>
          </w:p>
        </w:tc>
        <w:tc>
          <w:tcPr>
            <w:tcW w:w="1300" w:type="pct"/>
            <w:vMerge/>
            <w:tcMar>
              <w:top w:w="72" w:type="dxa"/>
              <w:left w:w="144" w:type="dxa"/>
              <w:bottom w:w="72" w:type="dxa"/>
              <w:right w:w="144" w:type="dxa"/>
            </w:tcMar>
          </w:tcPr>
          <w:p w14:paraId="2DB0AC6E" w14:textId="77777777" w:rsidR="000A0DFA" w:rsidRPr="001F3203" w:rsidRDefault="000A0DFA">
            <w:pPr>
              <w:rPr>
                <w:i/>
                <w:iCs/>
                <w:color w:val="000000"/>
                <w:sz w:val="16"/>
                <w:szCs w:val="16"/>
                <w:lang w:val="en-GB"/>
              </w:rPr>
            </w:pPr>
          </w:p>
        </w:tc>
        <w:tc>
          <w:tcPr>
            <w:tcW w:w="1079" w:type="pct"/>
            <w:vMerge/>
          </w:tcPr>
          <w:p w14:paraId="6DD3C283" w14:textId="77777777" w:rsidR="000A0DFA" w:rsidRPr="001F3203" w:rsidRDefault="000A0DFA">
            <w:pPr>
              <w:rPr>
                <w:i/>
                <w:iCs/>
                <w:color w:val="000000"/>
                <w:sz w:val="16"/>
                <w:szCs w:val="16"/>
                <w:lang w:val="en-GB"/>
              </w:rPr>
            </w:pPr>
          </w:p>
        </w:tc>
        <w:tc>
          <w:tcPr>
            <w:tcW w:w="600" w:type="pct"/>
            <w:gridSpan w:val="2"/>
            <w:vMerge w:val="restart"/>
            <w:tcMar>
              <w:top w:w="15" w:type="dxa"/>
              <w:left w:w="108" w:type="dxa"/>
              <w:bottom w:w="0" w:type="dxa"/>
              <w:right w:w="108" w:type="dxa"/>
            </w:tcMar>
          </w:tcPr>
          <w:p w14:paraId="6FDA1186" w14:textId="77777777" w:rsidR="000A0DFA" w:rsidRPr="001F3203" w:rsidRDefault="000A0DFA">
            <w:pPr>
              <w:rPr>
                <w:b/>
                <w:color w:val="000000"/>
                <w:sz w:val="16"/>
                <w:szCs w:val="16"/>
              </w:rPr>
            </w:pPr>
            <w:r w:rsidRPr="001F3203">
              <w:rPr>
                <w:b/>
                <w:color w:val="000000"/>
                <w:sz w:val="16"/>
                <w:szCs w:val="16"/>
              </w:rPr>
              <w:t>Other</w:t>
            </w:r>
          </w:p>
          <w:p w14:paraId="1BDF3E4A" w14:textId="77777777" w:rsidR="000A0DFA" w:rsidRPr="001F3203" w:rsidRDefault="000A0DFA">
            <w:pPr>
              <w:rPr>
                <w:b/>
                <w:color w:val="000000"/>
                <w:sz w:val="16"/>
                <w:szCs w:val="16"/>
              </w:rPr>
            </w:pPr>
            <w:r w:rsidRPr="001F3203">
              <w:rPr>
                <w:b/>
                <w:color w:val="000000"/>
                <w:sz w:val="16"/>
                <w:szCs w:val="16"/>
              </w:rPr>
              <w:t xml:space="preserve">171,809,200  </w:t>
            </w:r>
          </w:p>
        </w:tc>
      </w:tr>
      <w:tr w:rsidR="000C6415" w:rsidRPr="001F3203" w14:paraId="1A786F4B" w14:textId="77777777" w:rsidTr="00C91B7F">
        <w:tc>
          <w:tcPr>
            <w:tcW w:w="1044" w:type="pct"/>
            <w:vMerge/>
            <w:tcMar>
              <w:top w:w="72" w:type="dxa"/>
              <w:left w:w="144" w:type="dxa"/>
              <w:bottom w:w="72" w:type="dxa"/>
              <w:right w:w="144" w:type="dxa"/>
            </w:tcMar>
          </w:tcPr>
          <w:p w14:paraId="7030266F" w14:textId="77777777" w:rsidR="000C6415" w:rsidRPr="001F3203" w:rsidRDefault="000C6415">
            <w:pPr>
              <w:rPr>
                <w:i/>
                <w:iCs/>
                <w:color w:val="000000"/>
                <w:sz w:val="16"/>
                <w:szCs w:val="16"/>
                <w:lang w:val="en-GB"/>
              </w:rPr>
            </w:pPr>
          </w:p>
        </w:tc>
        <w:tc>
          <w:tcPr>
            <w:tcW w:w="977" w:type="pct"/>
          </w:tcPr>
          <w:p w14:paraId="023F752D" w14:textId="77777777" w:rsidR="000C6415" w:rsidRPr="001F3203" w:rsidRDefault="000C6415">
            <w:pPr>
              <w:rPr>
                <w:i/>
                <w:iCs/>
                <w:color w:val="000000"/>
                <w:sz w:val="16"/>
                <w:szCs w:val="16"/>
                <w:lang w:val="en-GB"/>
              </w:rPr>
            </w:pPr>
          </w:p>
        </w:tc>
        <w:tc>
          <w:tcPr>
            <w:tcW w:w="1300" w:type="pct"/>
            <w:vMerge/>
            <w:tcMar>
              <w:top w:w="72" w:type="dxa"/>
              <w:left w:w="144" w:type="dxa"/>
              <w:bottom w:w="72" w:type="dxa"/>
              <w:right w:w="144" w:type="dxa"/>
            </w:tcMar>
          </w:tcPr>
          <w:p w14:paraId="577EF4C5" w14:textId="77777777" w:rsidR="000C6415" w:rsidRPr="001F3203" w:rsidRDefault="000C6415">
            <w:pPr>
              <w:rPr>
                <w:i/>
                <w:iCs/>
                <w:color w:val="000000"/>
                <w:sz w:val="16"/>
                <w:szCs w:val="16"/>
                <w:lang w:val="en-GB"/>
              </w:rPr>
            </w:pPr>
          </w:p>
        </w:tc>
        <w:tc>
          <w:tcPr>
            <w:tcW w:w="1079" w:type="pct"/>
            <w:vMerge/>
          </w:tcPr>
          <w:p w14:paraId="3C8116F7" w14:textId="77777777" w:rsidR="000C6415" w:rsidRPr="001F3203" w:rsidRDefault="000C6415">
            <w:pPr>
              <w:rPr>
                <w:i/>
                <w:iCs/>
                <w:color w:val="000000"/>
                <w:sz w:val="16"/>
                <w:szCs w:val="16"/>
                <w:lang w:val="en-GB"/>
              </w:rPr>
            </w:pPr>
          </w:p>
        </w:tc>
        <w:tc>
          <w:tcPr>
            <w:tcW w:w="600" w:type="pct"/>
            <w:gridSpan w:val="2"/>
            <w:vMerge/>
            <w:tcMar>
              <w:top w:w="15" w:type="dxa"/>
              <w:left w:w="108" w:type="dxa"/>
              <w:bottom w:w="0" w:type="dxa"/>
              <w:right w:w="108" w:type="dxa"/>
            </w:tcMar>
          </w:tcPr>
          <w:p w14:paraId="3F5AD3B4" w14:textId="77777777" w:rsidR="000C6415" w:rsidRPr="001F3203" w:rsidRDefault="000C6415">
            <w:pPr>
              <w:rPr>
                <w:b/>
                <w:color w:val="000000"/>
                <w:sz w:val="16"/>
                <w:szCs w:val="16"/>
              </w:rPr>
            </w:pPr>
          </w:p>
        </w:tc>
      </w:tr>
      <w:tr w:rsidR="000C6415" w:rsidRPr="001F3203" w14:paraId="77B85174" w14:textId="77777777" w:rsidTr="00C91B7F">
        <w:tc>
          <w:tcPr>
            <w:tcW w:w="1044" w:type="pct"/>
            <w:vMerge/>
            <w:tcMar>
              <w:top w:w="72" w:type="dxa"/>
              <w:left w:w="144" w:type="dxa"/>
              <w:bottom w:w="72" w:type="dxa"/>
              <w:right w:w="144" w:type="dxa"/>
            </w:tcMar>
          </w:tcPr>
          <w:p w14:paraId="19524DFD" w14:textId="77777777" w:rsidR="000C6415" w:rsidRPr="001F3203" w:rsidRDefault="000C6415">
            <w:pPr>
              <w:rPr>
                <w:i/>
                <w:iCs/>
                <w:color w:val="000000"/>
                <w:sz w:val="16"/>
                <w:szCs w:val="16"/>
                <w:lang w:val="en-GB"/>
              </w:rPr>
            </w:pPr>
          </w:p>
        </w:tc>
        <w:tc>
          <w:tcPr>
            <w:tcW w:w="977" w:type="pct"/>
          </w:tcPr>
          <w:p w14:paraId="0586B02A" w14:textId="77777777" w:rsidR="000C6415" w:rsidRPr="001F3203" w:rsidRDefault="000C6415">
            <w:pPr>
              <w:rPr>
                <w:i/>
                <w:iCs/>
                <w:color w:val="000000"/>
                <w:sz w:val="16"/>
                <w:szCs w:val="16"/>
                <w:lang w:val="en-GB"/>
              </w:rPr>
            </w:pPr>
          </w:p>
        </w:tc>
        <w:tc>
          <w:tcPr>
            <w:tcW w:w="1300" w:type="pct"/>
            <w:vMerge/>
            <w:tcMar>
              <w:top w:w="72" w:type="dxa"/>
              <w:left w:w="144" w:type="dxa"/>
              <w:bottom w:w="72" w:type="dxa"/>
              <w:right w:w="144" w:type="dxa"/>
            </w:tcMar>
          </w:tcPr>
          <w:p w14:paraId="1B20F927" w14:textId="77777777" w:rsidR="000C6415" w:rsidRPr="001F3203" w:rsidRDefault="000C6415">
            <w:pPr>
              <w:rPr>
                <w:i/>
                <w:iCs/>
                <w:color w:val="000000"/>
                <w:sz w:val="16"/>
                <w:szCs w:val="16"/>
                <w:lang w:val="en-GB"/>
              </w:rPr>
            </w:pPr>
          </w:p>
        </w:tc>
        <w:tc>
          <w:tcPr>
            <w:tcW w:w="1079" w:type="pct"/>
            <w:vMerge/>
          </w:tcPr>
          <w:p w14:paraId="5B0301FE" w14:textId="77777777" w:rsidR="000C6415" w:rsidRPr="001F3203" w:rsidRDefault="000C6415">
            <w:pPr>
              <w:rPr>
                <w:i/>
                <w:iCs/>
                <w:color w:val="000000"/>
                <w:sz w:val="16"/>
                <w:szCs w:val="16"/>
                <w:lang w:val="en-GB"/>
              </w:rPr>
            </w:pPr>
          </w:p>
        </w:tc>
        <w:tc>
          <w:tcPr>
            <w:tcW w:w="600" w:type="pct"/>
            <w:gridSpan w:val="2"/>
            <w:vMerge/>
            <w:tcMar>
              <w:top w:w="15" w:type="dxa"/>
              <w:left w:w="108" w:type="dxa"/>
              <w:bottom w:w="0" w:type="dxa"/>
              <w:right w:w="108" w:type="dxa"/>
            </w:tcMar>
          </w:tcPr>
          <w:p w14:paraId="1D70494A" w14:textId="77777777" w:rsidR="000C6415" w:rsidRPr="001F3203" w:rsidRDefault="000C6415">
            <w:pPr>
              <w:rPr>
                <w:b/>
                <w:color w:val="000000"/>
                <w:sz w:val="16"/>
                <w:szCs w:val="16"/>
              </w:rPr>
            </w:pPr>
          </w:p>
        </w:tc>
      </w:tr>
      <w:tr w:rsidR="00792704" w:rsidRPr="001F3203" w14:paraId="3FF92DE4" w14:textId="77777777" w:rsidTr="005109F3">
        <w:trPr>
          <w:gridAfter w:val="1"/>
          <w:wAfter w:w="11" w:type="pct"/>
        </w:trPr>
        <w:tc>
          <w:tcPr>
            <w:tcW w:w="4989" w:type="pct"/>
            <w:gridSpan w:val="5"/>
            <w:shd w:val="clear" w:color="auto" w:fill="auto"/>
            <w:tcMar>
              <w:top w:w="72" w:type="dxa"/>
              <w:left w:w="144" w:type="dxa"/>
              <w:bottom w:w="72" w:type="dxa"/>
              <w:right w:w="144" w:type="dxa"/>
            </w:tcMar>
          </w:tcPr>
          <w:p w14:paraId="7519CA78" w14:textId="77777777" w:rsidR="00792704" w:rsidRPr="001F3203" w:rsidRDefault="00792704">
            <w:pPr>
              <w:spacing w:before="20" w:after="20" w:line="256" w:lineRule="auto"/>
              <w:rPr>
                <w:b/>
                <w:bCs/>
                <w:color w:val="000000"/>
                <w:sz w:val="16"/>
                <w:szCs w:val="16"/>
                <w:lang w:val="en-GB" w:eastAsia="en-GB"/>
              </w:rPr>
            </w:pPr>
            <w:r w:rsidRPr="001F3203">
              <w:rPr>
                <w:b/>
                <w:bCs/>
                <w:color w:val="000000"/>
                <w:sz w:val="16"/>
                <w:szCs w:val="16"/>
                <w:lang w:val="en-GB" w:eastAsia="en-GB"/>
              </w:rPr>
              <w:lastRenderedPageBreak/>
              <w:t>NATIONAL PRIORITY:</w:t>
            </w:r>
          </w:p>
          <w:p w14:paraId="79795D32" w14:textId="77777777" w:rsidR="00792704" w:rsidRPr="001F3203" w:rsidRDefault="00792704">
            <w:pPr>
              <w:spacing w:before="20" w:after="20" w:line="256" w:lineRule="auto"/>
              <w:rPr>
                <w:b/>
                <w:bCs/>
                <w:i/>
                <w:color w:val="000000"/>
                <w:sz w:val="16"/>
                <w:szCs w:val="16"/>
                <w:lang w:val="en-GB" w:eastAsia="en-GB"/>
              </w:rPr>
            </w:pPr>
            <w:r w:rsidRPr="001F3203">
              <w:rPr>
                <w:b/>
                <w:bCs/>
                <w:color w:val="000000"/>
                <w:sz w:val="16"/>
                <w:szCs w:val="16"/>
                <w:lang w:val="en-GB" w:eastAsia="en-GB"/>
              </w:rPr>
              <w:t xml:space="preserve">AGENDA 2. BUILDING A CLEAN, EFFECTIVE, TRUSTED AND DEMOCRATIC GOVERNANCE </w:t>
            </w:r>
          </w:p>
        </w:tc>
      </w:tr>
      <w:tr w:rsidR="00792704" w:rsidRPr="001F3203" w14:paraId="1D32F563" w14:textId="77777777" w:rsidTr="005109F3">
        <w:trPr>
          <w:gridAfter w:val="1"/>
          <w:wAfter w:w="11" w:type="pct"/>
        </w:trPr>
        <w:tc>
          <w:tcPr>
            <w:tcW w:w="4989" w:type="pct"/>
            <w:gridSpan w:val="5"/>
            <w:shd w:val="clear" w:color="auto" w:fill="auto"/>
            <w:tcMar>
              <w:top w:w="72" w:type="dxa"/>
              <w:left w:w="144" w:type="dxa"/>
              <w:bottom w:w="72" w:type="dxa"/>
              <w:right w:w="144" w:type="dxa"/>
            </w:tcMar>
          </w:tcPr>
          <w:p w14:paraId="55625EDD" w14:textId="77777777" w:rsidR="00792704" w:rsidRPr="001F3203" w:rsidRDefault="00792704">
            <w:pPr>
              <w:spacing w:before="20" w:after="20" w:line="256" w:lineRule="auto"/>
              <w:rPr>
                <w:b/>
                <w:bCs/>
                <w:color w:val="000000"/>
                <w:sz w:val="16"/>
                <w:szCs w:val="16"/>
                <w:lang w:val="en-GB" w:eastAsia="en-GB"/>
              </w:rPr>
            </w:pPr>
            <w:r w:rsidRPr="001F3203">
              <w:rPr>
                <w:b/>
                <w:bCs/>
                <w:color w:val="000000"/>
                <w:sz w:val="16"/>
                <w:szCs w:val="16"/>
                <w:lang w:val="en-GB" w:eastAsia="en-GB"/>
              </w:rPr>
              <w:t>UNPDF</w:t>
            </w:r>
            <w:r w:rsidR="002F647E" w:rsidRPr="001F3203">
              <w:rPr>
                <w:b/>
                <w:bCs/>
                <w:color w:val="000000"/>
                <w:sz w:val="16"/>
                <w:szCs w:val="16"/>
                <w:lang w:val="en-GB" w:eastAsia="en-GB"/>
              </w:rPr>
              <w:t xml:space="preserve"> </w:t>
            </w:r>
            <w:r w:rsidRPr="001F3203">
              <w:rPr>
                <w:b/>
                <w:bCs/>
                <w:color w:val="000000"/>
                <w:sz w:val="16"/>
                <w:szCs w:val="16"/>
                <w:lang w:val="en-GB" w:eastAsia="en-GB"/>
              </w:rPr>
              <w:t xml:space="preserve">OUTCOME #4: </w:t>
            </w:r>
          </w:p>
          <w:p w14:paraId="39DE38B9" w14:textId="6387FF15" w:rsidR="00792704" w:rsidRPr="001F3203" w:rsidRDefault="003E2594">
            <w:pPr>
              <w:spacing w:before="20" w:after="20" w:line="256" w:lineRule="auto"/>
              <w:rPr>
                <w:b/>
                <w:caps/>
                <w:color w:val="000000"/>
                <w:sz w:val="16"/>
                <w:szCs w:val="16"/>
                <w:lang w:val="en-GB" w:eastAsia="en-GB"/>
              </w:rPr>
            </w:pPr>
            <w:r w:rsidRPr="001F3203">
              <w:rPr>
                <w:b/>
                <w:caps/>
                <w:sz w:val="16"/>
                <w:szCs w:val="16"/>
                <w:lang w:val="en-GB" w:eastAsia="en-GB"/>
              </w:rPr>
              <w:t>By 2020, disadvantaged populations benefit from enhanced access to justice and more responsive, inclusive and accountable public institutions that enjoy public trust</w:t>
            </w:r>
            <w:r w:rsidR="005109F3">
              <w:rPr>
                <w:b/>
                <w:caps/>
                <w:sz w:val="16"/>
                <w:szCs w:val="16"/>
                <w:lang w:val="en-GB" w:eastAsia="en-GB"/>
              </w:rPr>
              <w:t>.</w:t>
            </w:r>
          </w:p>
        </w:tc>
      </w:tr>
      <w:tr w:rsidR="00792704" w:rsidRPr="001F3203" w14:paraId="41D46ED1" w14:textId="77777777" w:rsidTr="005109F3">
        <w:trPr>
          <w:gridAfter w:val="1"/>
          <w:wAfter w:w="11" w:type="pct"/>
        </w:trPr>
        <w:tc>
          <w:tcPr>
            <w:tcW w:w="4989" w:type="pct"/>
            <w:gridSpan w:val="5"/>
            <w:shd w:val="clear" w:color="auto" w:fill="auto"/>
            <w:tcMar>
              <w:top w:w="72" w:type="dxa"/>
              <w:left w:w="144" w:type="dxa"/>
              <w:bottom w:w="72" w:type="dxa"/>
              <w:right w:w="144" w:type="dxa"/>
            </w:tcMar>
          </w:tcPr>
          <w:p w14:paraId="46FCAB2F" w14:textId="77777777" w:rsidR="00792704" w:rsidRPr="001F3203" w:rsidRDefault="00792704">
            <w:pPr>
              <w:spacing w:before="20" w:after="20" w:line="256" w:lineRule="auto"/>
              <w:rPr>
                <w:b/>
                <w:bCs/>
                <w:sz w:val="16"/>
                <w:szCs w:val="16"/>
                <w:lang w:val="en-GB" w:eastAsia="en-GB"/>
              </w:rPr>
            </w:pPr>
            <w:r w:rsidRPr="001F3203">
              <w:rPr>
                <w:b/>
                <w:bCs/>
                <w:sz w:val="16"/>
                <w:szCs w:val="16"/>
                <w:lang w:val="en-GB" w:eastAsia="en-GB"/>
              </w:rPr>
              <w:t>STRATEGIC PLAN OUTCOME:</w:t>
            </w:r>
          </w:p>
          <w:p w14:paraId="66400A35" w14:textId="7351B2A6" w:rsidR="00792704" w:rsidRPr="001F3203" w:rsidRDefault="00792704">
            <w:pPr>
              <w:spacing w:before="20" w:after="20" w:line="256" w:lineRule="auto"/>
              <w:rPr>
                <w:b/>
                <w:bCs/>
                <w:sz w:val="16"/>
                <w:szCs w:val="16"/>
                <w:lang w:val="en-GB" w:eastAsia="en-GB"/>
              </w:rPr>
            </w:pPr>
            <w:r w:rsidRPr="001F3203">
              <w:rPr>
                <w:b/>
                <w:sz w:val="16"/>
                <w:szCs w:val="16"/>
                <w:lang w:val="en-GB" w:eastAsia="en-GB"/>
              </w:rPr>
              <w:t>SP OUTCOME 2. CITIZEN EXPECTATIONS FOR VOICE, DEVELOPMENT, THE RULE OF LAW AND ACCOUNTABILITY ARE MET BY STRONGER SYSTEMS OF DEMOCRATIC GOVERNANCE</w:t>
            </w:r>
            <w:r w:rsidR="005109F3">
              <w:rPr>
                <w:b/>
                <w:sz w:val="16"/>
                <w:szCs w:val="16"/>
                <w:lang w:val="en-GB" w:eastAsia="en-GB"/>
              </w:rPr>
              <w:t>.</w:t>
            </w:r>
          </w:p>
        </w:tc>
      </w:tr>
      <w:tr w:rsidR="00792704" w:rsidRPr="001F3203" w14:paraId="5CEC4C21" w14:textId="77777777" w:rsidTr="00C91B7F">
        <w:trPr>
          <w:gridAfter w:val="1"/>
          <w:wAfter w:w="11" w:type="pct"/>
        </w:trPr>
        <w:tc>
          <w:tcPr>
            <w:tcW w:w="1044" w:type="pct"/>
            <w:vMerge w:val="restart"/>
            <w:tcMar>
              <w:top w:w="72" w:type="dxa"/>
              <w:left w:w="144" w:type="dxa"/>
              <w:bottom w:w="72" w:type="dxa"/>
              <w:right w:w="144" w:type="dxa"/>
            </w:tcMar>
          </w:tcPr>
          <w:p w14:paraId="0DAC206B" w14:textId="1B5E1955" w:rsidR="00792704" w:rsidRPr="001F3203" w:rsidRDefault="002F647E">
            <w:pPr>
              <w:spacing w:line="256" w:lineRule="auto"/>
              <w:rPr>
                <w:b/>
                <w:bCs/>
                <w:color w:val="000000"/>
                <w:sz w:val="16"/>
                <w:szCs w:val="16"/>
                <w:lang w:val="en-GB" w:eastAsia="en-GB"/>
              </w:rPr>
            </w:pPr>
            <w:r w:rsidRPr="001F3203">
              <w:rPr>
                <w:b/>
                <w:bCs/>
                <w:iCs/>
                <w:sz w:val="16"/>
                <w:szCs w:val="16"/>
                <w:lang w:val="en-GB" w:eastAsia="en-GB"/>
              </w:rPr>
              <w:t>Indicator-</w:t>
            </w:r>
            <w:r w:rsidR="00A34535" w:rsidRPr="001F3203">
              <w:rPr>
                <w:b/>
                <w:bCs/>
                <w:iCs/>
                <w:sz w:val="16"/>
                <w:szCs w:val="16"/>
                <w:lang w:val="en-GB" w:eastAsia="en-GB"/>
              </w:rPr>
              <w:t>4.1</w:t>
            </w:r>
            <w:r w:rsidR="00792704" w:rsidRPr="001F3203">
              <w:rPr>
                <w:b/>
                <w:bCs/>
                <w:iCs/>
                <w:sz w:val="16"/>
                <w:szCs w:val="16"/>
                <w:lang w:val="en-GB" w:eastAsia="en-GB"/>
              </w:rPr>
              <w:t>:</w:t>
            </w:r>
            <w:r w:rsidR="00792704" w:rsidRPr="001F3203">
              <w:rPr>
                <w:bCs/>
                <w:iCs/>
                <w:sz w:val="16"/>
                <w:szCs w:val="16"/>
                <w:lang w:val="en-GB" w:eastAsia="en-GB"/>
              </w:rPr>
              <w:t xml:space="preserve"> Number of poor justice seekers accessing </w:t>
            </w:r>
            <w:r w:rsidR="00792704" w:rsidRPr="001F3203">
              <w:rPr>
                <w:iCs/>
                <w:sz w:val="16"/>
                <w:szCs w:val="16"/>
                <w:lang w:val="en-GB" w:eastAsia="en-GB"/>
              </w:rPr>
              <w:t>National Law Development Agency</w:t>
            </w:r>
            <w:r w:rsidR="00792704" w:rsidRPr="001F3203">
              <w:rPr>
                <w:i/>
                <w:iCs/>
                <w:sz w:val="16"/>
                <w:szCs w:val="16"/>
                <w:lang w:val="en-GB" w:eastAsia="en-GB"/>
              </w:rPr>
              <w:t xml:space="preserve"> </w:t>
            </w:r>
            <w:r w:rsidR="00792704" w:rsidRPr="00AF65F1">
              <w:rPr>
                <w:iCs/>
                <w:sz w:val="16"/>
                <w:szCs w:val="16"/>
                <w:lang w:val="en-GB" w:eastAsia="en-GB"/>
              </w:rPr>
              <w:t>(BPHN</w:t>
            </w:r>
            <w:r w:rsidR="00AF65F1" w:rsidRPr="00AF65F1">
              <w:rPr>
                <w:iCs/>
                <w:sz w:val="16"/>
                <w:szCs w:val="16"/>
                <w:lang w:val="en-GB" w:eastAsia="en-GB"/>
              </w:rPr>
              <w:t>)</w:t>
            </w:r>
            <w:r w:rsidR="00AF65F1">
              <w:rPr>
                <w:i/>
                <w:iCs/>
                <w:sz w:val="16"/>
                <w:szCs w:val="16"/>
                <w:lang w:val="en-GB" w:eastAsia="en-GB"/>
              </w:rPr>
              <w:t>-</w:t>
            </w:r>
            <w:r w:rsidR="00792704" w:rsidRPr="001F3203">
              <w:rPr>
                <w:bCs/>
                <w:iCs/>
                <w:sz w:val="16"/>
                <w:szCs w:val="16"/>
                <w:lang w:val="en-GB" w:eastAsia="en-GB"/>
              </w:rPr>
              <w:t>funded legal aid services</w:t>
            </w:r>
            <w:r w:rsidR="00263C58" w:rsidRPr="001F3203">
              <w:rPr>
                <w:bCs/>
                <w:iCs/>
                <w:sz w:val="16"/>
                <w:szCs w:val="16"/>
                <w:lang w:val="en-GB" w:eastAsia="en-GB"/>
              </w:rPr>
              <w:t>, disaggregated by sex</w:t>
            </w:r>
          </w:p>
          <w:p w14:paraId="1F647035" w14:textId="77777777" w:rsidR="00792704" w:rsidRPr="001F3203" w:rsidRDefault="00792704">
            <w:pPr>
              <w:spacing w:line="256" w:lineRule="auto"/>
              <w:rPr>
                <w:b/>
                <w:bCs/>
                <w:color w:val="000000"/>
                <w:sz w:val="16"/>
                <w:szCs w:val="16"/>
                <w:lang w:val="en-GB" w:eastAsia="en-GB"/>
              </w:rPr>
            </w:pPr>
            <w:r w:rsidRPr="001F3203">
              <w:rPr>
                <w:b/>
                <w:iCs/>
                <w:sz w:val="16"/>
                <w:szCs w:val="16"/>
                <w:lang w:val="en-GB" w:eastAsia="en-GB"/>
              </w:rPr>
              <w:t>Baseline</w:t>
            </w:r>
            <w:r w:rsidR="00592EF2" w:rsidRPr="001F3203">
              <w:rPr>
                <w:b/>
                <w:iCs/>
                <w:sz w:val="16"/>
                <w:szCs w:val="16"/>
                <w:lang w:val="en-GB" w:eastAsia="en-GB"/>
              </w:rPr>
              <w:t>(2014)</w:t>
            </w:r>
            <w:r w:rsidRPr="001F3203">
              <w:rPr>
                <w:b/>
                <w:iCs/>
                <w:sz w:val="16"/>
                <w:szCs w:val="16"/>
                <w:lang w:val="en-GB" w:eastAsia="en-GB"/>
              </w:rPr>
              <w:t xml:space="preserve">: </w:t>
            </w:r>
            <w:r w:rsidR="002C2F8A" w:rsidRPr="001F3203">
              <w:rPr>
                <w:iCs/>
                <w:sz w:val="16"/>
                <w:szCs w:val="16"/>
                <w:lang w:val="en-GB" w:eastAsia="en-GB"/>
              </w:rPr>
              <w:t>2,011</w:t>
            </w:r>
            <w:r w:rsidR="002C2F8A" w:rsidRPr="001F3203">
              <w:rPr>
                <w:b/>
                <w:iCs/>
                <w:sz w:val="16"/>
                <w:szCs w:val="16"/>
                <w:lang w:val="en-GB" w:eastAsia="en-GB"/>
              </w:rPr>
              <w:t xml:space="preserve"> (</w:t>
            </w:r>
            <w:r w:rsidR="00263C58" w:rsidRPr="001F3203">
              <w:rPr>
                <w:iCs/>
                <w:sz w:val="16"/>
                <w:szCs w:val="16"/>
                <w:lang w:val="en-GB" w:eastAsia="en-GB"/>
              </w:rPr>
              <w:t>5</w:t>
            </w:r>
            <w:r w:rsidRPr="001F3203">
              <w:rPr>
                <w:iCs/>
                <w:sz w:val="16"/>
                <w:szCs w:val="16"/>
                <w:lang w:val="en-GB" w:eastAsia="en-GB"/>
              </w:rPr>
              <w:t>24 women</w:t>
            </w:r>
            <w:r w:rsidR="00263C58" w:rsidRPr="001F3203">
              <w:rPr>
                <w:iCs/>
                <w:sz w:val="16"/>
                <w:szCs w:val="16"/>
                <w:lang w:val="en-GB" w:eastAsia="en-GB"/>
              </w:rPr>
              <w:t xml:space="preserve">, </w:t>
            </w:r>
            <w:r w:rsidRPr="001F3203">
              <w:rPr>
                <w:iCs/>
                <w:sz w:val="16"/>
                <w:szCs w:val="16"/>
                <w:lang w:val="en-GB" w:eastAsia="en-GB"/>
              </w:rPr>
              <w:t>1,487 men</w:t>
            </w:r>
            <w:r w:rsidR="002C2F8A" w:rsidRPr="001F3203">
              <w:rPr>
                <w:iCs/>
                <w:sz w:val="16"/>
                <w:szCs w:val="16"/>
                <w:lang w:val="en-GB" w:eastAsia="en-GB"/>
              </w:rPr>
              <w:t>)</w:t>
            </w:r>
          </w:p>
          <w:p w14:paraId="6B3151BB" w14:textId="77777777" w:rsidR="00792704" w:rsidRPr="001F3203" w:rsidRDefault="00792704">
            <w:pPr>
              <w:spacing w:line="256" w:lineRule="auto"/>
              <w:rPr>
                <w:iCs/>
                <w:sz w:val="16"/>
                <w:szCs w:val="16"/>
                <w:lang w:val="en-GB" w:eastAsia="en-GB"/>
              </w:rPr>
            </w:pPr>
            <w:r w:rsidRPr="001F3203">
              <w:rPr>
                <w:b/>
                <w:bCs/>
                <w:color w:val="000000"/>
                <w:sz w:val="16"/>
                <w:szCs w:val="16"/>
                <w:lang w:val="en-GB" w:eastAsia="en-GB"/>
              </w:rPr>
              <w:t>Target:</w:t>
            </w:r>
            <w:r w:rsidRPr="001F3203">
              <w:rPr>
                <w:b/>
                <w:iCs/>
                <w:sz w:val="16"/>
                <w:szCs w:val="16"/>
                <w:lang w:val="en-GB" w:eastAsia="en-GB"/>
              </w:rPr>
              <w:t xml:space="preserve"> </w:t>
            </w:r>
            <w:r w:rsidR="004773C0" w:rsidRPr="001F3203">
              <w:rPr>
                <w:iCs/>
                <w:sz w:val="16"/>
                <w:szCs w:val="16"/>
                <w:lang w:val="en-GB" w:eastAsia="en-GB"/>
              </w:rPr>
              <w:t>31,801</w:t>
            </w:r>
            <w:r w:rsidR="006D1CCB" w:rsidRPr="001F3203">
              <w:rPr>
                <w:iCs/>
                <w:sz w:val="16"/>
                <w:szCs w:val="16"/>
                <w:lang w:val="en-GB" w:eastAsia="en-GB"/>
              </w:rPr>
              <w:t xml:space="preserve"> (</w:t>
            </w:r>
            <w:r w:rsidR="009311D3" w:rsidRPr="001F3203">
              <w:rPr>
                <w:iCs/>
                <w:sz w:val="16"/>
                <w:szCs w:val="16"/>
                <w:lang w:val="en-GB" w:eastAsia="en-GB"/>
              </w:rPr>
              <w:t>11,466</w:t>
            </w:r>
            <w:r w:rsidR="006D1CCB" w:rsidRPr="001F3203">
              <w:rPr>
                <w:iCs/>
                <w:sz w:val="16"/>
                <w:szCs w:val="16"/>
                <w:lang w:val="en-GB" w:eastAsia="en-GB"/>
              </w:rPr>
              <w:t xml:space="preserve"> women, </w:t>
            </w:r>
            <w:r w:rsidR="009311D3" w:rsidRPr="001F3203">
              <w:rPr>
                <w:iCs/>
                <w:sz w:val="16"/>
                <w:szCs w:val="16"/>
                <w:lang w:val="en-GB" w:eastAsia="en-GB"/>
              </w:rPr>
              <w:t>20,335</w:t>
            </w:r>
            <w:r w:rsidR="006D1CCB" w:rsidRPr="001F3203">
              <w:rPr>
                <w:iCs/>
                <w:sz w:val="16"/>
                <w:szCs w:val="16"/>
                <w:lang w:val="en-GB" w:eastAsia="en-GB"/>
              </w:rPr>
              <w:t xml:space="preserve"> men)</w:t>
            </w:r>
            <w:r w:rsidR="00893BB0" w:rsidRPr="001F3203">
              <w:rPr>
                <w:iCs/>
                <w:sz w:val="16"/>
                <w:szCs w:val="16"/>
                <w:lang w:val="en-GB" w:eastAsia="en-GB"/>
              </w:rPr>
              <w:t xml:space="preserve"> </w:t>
            </w:r>
          </w:p>
          <w:p w14:paraId="5E1960C7" w14:textId="77777777" w:rsidR="00792704" w:rsidRPr="001F3203" w:rsidRDefault="00792704">
            <w:pPr>
              <w:spacing w:line="256" w:lineRule="auto"/>
              <w:rPr>
                <w:bCs/>
                <w:color w:val="000000"/>
                <w:sz w:val="16"/>
                <w:szCs w:val="16"/>
                <w:lang w:val="en-GB" w:eastAsia="en-GB"/>
              </w:rPr>
            </w:pPr>
          </w:p>
          <w:p w14:paraId="0EA2973A" w14:textId="77777777"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Indicator</w:t>
            </w:r>
            <w:r w:rsidR="002F647E" w:rsidRPr="001F3203">
              <w:rPr>
                <w:b/>
                <w:bCs/>
                <w:color w:val="000000"/>
                <w:sz w:val="16"/>
                <w:szCs w:val="16"/>
                <w:lang w:val="en-GB" w:eastAsia="en-GB"/>
              </w:rPr>
              <w:t>-</w:t>
            </w:r>
            <w:r w:rsidR="00A34535" w:rsidRPr="001F3203">
              <w:rPr>
                <w:b/>
                <w:bCs/>
                <w:color w:val="000000"/>
                <w:sz w:val="16"/>
                <w:szCs w:val="16"/>
                <w:lang w:val="en-GB" w:eastAsia="en-GB"/>
              </w:rPr>
              <w:t>4.2</w:t>
            </w:r>
            <w:r w:rsidRPr="001F3203">
              <w:rPr>
                <w:b/>
                <w:bCs/>
                <w:color w:val="000000"/>
                <w:sz w:val="16"/>
                <w:szCs w:val="16"/>
                <w:lang w:val="en-GB" w:eastAsia="en-GB"/>
              </w:rPr>
              <w:t>:</w:t>
            </w:r>
            <w:r w:rsidR="00355CE2" w:rsidRPr="001F3203">
              <w:rPr>
                <w:bCs/>
                <w:color w:val="000000"/>
                <w:sz w:val="16"/>
                <w:szCs w:val="16"/>
                <w:lang w:val="en-GB" w:eastAsia="en-GB"/>
              </w:rPr>
              <w:t xml:space="preserve"> Indonesia Democracy Index</w:t>
            </w:r>
            <w:r w:rsidR="007E3A32">
              <w:rPr>
                <w:bCs/>
                <w:color w:val="000000"/>
                <w:sz w:val="16"/>
                <w:szCs w:val="16"/>
                <w:lang w:val="en-GB" w:eastAsia="en-GB"/>
              </w:rPr>
              <w:t xml:space="preserve"> </w:t>
            </w:r>
            <w:r w:rsidR="00893BB0" w:rsidRPr="001F3203">
              <w:rPr>
                <w:bCs/>
                <w:color w:val="000000"/>
                <w:sz w:val="16"/>
                <w:szCs w:val="16"/>
                <w:lang w:val="en-GB" w:eastAsia="en-GB"/>
              </w:rPr>
              <w:t>(IDI)</w:t>
            </w:r>
          </w:p>
          <w:p w14:paraId="0E9032E3" w14:textId="77777777" w:rsidR="00792704" w:rsidRPr="001F3203" w:rsidRDefault="00A34535">
            <w:pPr>
              <w:spacing w:line="256" w:lineRule="auto"/>
              <w:rPr>
                <w:bCs/>
                <w:color w:val="000000"/>
                <w:sz w:val="16"/>
                <w:szCs w:val="16"/>
                <w:lang w:val="en-GB" w:eastAsia="en-GB"/>
              </w:rPr>
            </w:pPr>
            <w:r w:rsidRPr="001F3203">
              <w:rPr>
                <w:b/>
                <w:bCs/>
                <w:color w:val="000000"/>
                <w:sz w:val="16"/>
                <w:szCs w:val="16"/>
                <w:lang w:val="en-GB" w:eastAsia="en-GB"/>
              </w:rPr>
              <w:lastRenderedPageBreak/>
              <w:t>Baseline</w:t>
            </w:r>
            <w:r w:rsidR="00263C58" w:rsidRPr="001F3203">
              <w:rPr>
                <w:b/>
                <w:bCs/>
                <w:color w:val="000000"/>
                <w:sz w:val="16"/>
                <w:szCs w:val="16"/>
                <w:lang w:val="en-GB" w:eastAsia="en-GB"/>
              </w:rPr>
              <w:t>(2013)</w:t>
            </w:r>
            <w:r w:rsidR="00792704" w:rsidRPr="001F3203">
              <w:rPr>
                <w:b/>
                <w:bCs/>
                <w:color w:val="000000"/>
                <w:sz w:val="16"/>
                <w:szCs w:val="16"/>
                <w:lang w:val="en-GB" w:eastAsia="en-GB"/>
              </w:rPr>
              <w:t>:</w:t>
            </w:r>
            <w:r w:rsidR="00355CE2" w:rsidRPr="001F3203">
              <w:rPr>
                <w:bCs/>
                <w:color w:val="000000"/>
                <w:sz w:val="16"/>
                <w:szCs w:val="16"/>
                <w:lang w:val="en-GB" w:eastAsia="en-GB"/>
              </w:rPr>
              <w:t xml:space="preserve"> 63.72</w:t>
            </w:r>
            <w:r w:rsidR="00263C58" w:rsidRPr="001F3203">
              <w:rPr>
                <w:bCs/>
                <w:color w:val="000000"/>
                <w:sz w:val="16"/>
                <w:szCs w:val="16"/>
                <w:lang w:val="en-GB" w:eastAsia="en-GB"/>
              </w:rPr>
              <w:t xml:space="preserve"> </w:t>
            </w:r>
          </w:p>
          <w:p w14:paraId="4CFCE563" w14:textId="77777777" w:rsidR="00792704" w:rsidRPr="001F3203" w:rsidRDefault="00A34535">
            <w:pPr>
              <w:spacing w:line="256" w:lineRule="auto"/>
              <w:rPr>
                <w:bCs/>
                <w:color w:val="000000"/>
                <w:sz w:val="16"/>
                <w:szCs w:val="16"/>
                <w:lang w:val="en-GB" w:eastAsia="en-GB"/>
              </w:rPr>
            </w:pPr>
            <w:r w:rsidRPr="001F3203">
              <w:rPr>
                <w:b/>
                <w:bCs/>
                <w:color w:val="000000"/>
                <w:sz w:val="16"/>
                <w:szCs w:val="16"/>
                <w:lang w:val="en-GB" w:eastAsia="en-GB"/>
              </w:rPr>
              <w:t>Target</w:t>
            </w:r>
            <w:r w:rsidR="00792704" w:rsidRPr="001F3203">
              <w:rPr>
                <w:b/>
                <w:bCs/>
                <w:color w:val="000000"/>
                <w:sz w:val="16"/>
                <w:szCs w:val="16"/>
                <w:lang w:val="en-GB" w:eastAsia="en-GB"/>
              </w:rPr>
              <w:t xml:space="preserve">: </w:t>
            </w:r>
            <w:r w:rsidR="00792704" w:rsidRPr="001F3203">
              <w:rPr>
                <w:bCs/>
                <w:color w:val="000000"/>
                <w:sz w:val="16"/>
                <w:szCs w:val="16"/>
                <w:lang w:val="en-GB" w:eastAsia="en-GB"/>
              </w:rPr>
              <w:t>75</w:t>
            </w:r>
          </w:p>
          <w:p w14:paraId="1CF8E647" w14:textId="77777777" w:rsidR="00792704" w:rsidRPr="001F3203" w:rsidRDefault="00792704">
            <w:pPr>
              <w:spacing w:line="256" w:lineRule="auto"/>
              <w:rPr>
                <w:bCs/>
                <w:color w:val="000000"/>
                <w:sz w:val="16"/>
                <w:szCs w:val="16"/>
                <w:lang w:val="en-GB" w:eastAsia="en-GB"/>
              </w:rPr>
            </w:pPr>
          </w:p>
          <w:p w14:paraId="13A6E712" w14:textId="77777777" w:rsidR="00792704" w:rsidRPr="001F3203" w:rsidRDefault="002F647E">
            <w:pPr>
              <w:spacing w:line="256" w:lineRule="auto"/>
              <w:rPr>
                <w:sz w:val="16"/>
                <w:szCs w:val="16"/>
              </w:rPr>
            </w:pPr>
            <w:r w:rsidRPr="001F3203">
              <w:rPr>
                <w:b/>
                <w:bCs/>
                <w:color w:val="000000"/>
                <w:sz w:val="16"/>
                <w:szCs w:val="16"/>
                <w:lang w:val="en-GB" w:eastAsia="en-GB"/>
              </w:rPr>
              <w:t>Indicator-</w:t>
            </w:r>
            <w:r w:rsidR="00A34535" w:rsidRPr="001F3203">
              <w:rPr>
                <w:b/>
                <w:bCs/>
                <w:color w:val="000000"/>
                <w:sz w:val="16"/>
                <w:szCs w:val="16"/>
                <w:lang w:val="en-GB" w:eastAsia="en-GB"/>
              </w:rPr>
              <w:t>4.3</w:t>
            </w:r>
            <w:r w:rsidR="00792704" w:rsidRPr="001F3203">
              <w:rPr>
                <w:b/>
                <w:bCs/>
                <w:color w:val="000000"/>
                <w:sz w:val="16"/>
                <w:szCs w:val="16"/>
                <w:lang w:val="en-GB" w:eastAsia="en-GB"/>
              </w:rPr>
              <w:t>:</w:t>
            </w:r>
            <w:r w:rsidR="00792704" w:rsidRPr="001F3203">
              <w:rPr>
                <w:bCs/>
                <w:color w:val="000000"/>
                <w:sz w:val="16"/>
                <w:szCs w:val="16"/>
                <w:lang w:val="en-GB" w:eastAsia="en-GB"/>
              </w:rPr>
              <w:t xml:space="preserve"> </w:t>
            </w:r>
            <w:r w:rsidR="00792704" w:rsidRPr="001F3203">
              <w:rPr>
                <w:sz w:val="16"/>
                <w:szCs w:val="16"/>
              </w:rPr>
              <w:t>Percentage of women in national Parliament</w:t>
            </w:r>
          </w:p>
          <w:p w14:paraId="04FB56A3" w14:textId="77777777" w:rsidR="00792704" w:rsidRPr="001F3203" w:rsidRDefault="00792704">
            <w:pPr>
              <w:spacing w:line="256" w:lineRule="auto"/>
              <w:rPr>
                <w:sz w:val="16"/>
                <w:szCs w:val="16"/>
              </w:rPr>
            </w:pPr>
            <w:r w:rsidRPr="001F3203">
              <w:rPr>
                <w:b/>
                <w:sz w:val="16"/>
                <w:szCs w:val="16"/>
              </w:rPr>
              <w:t>Baseline</w:t>
            </w:r>
            <w:r w:rsidR="000A561C" w:rsidRPr="001F3203">
              <w:rPr>
                <w:b/>
                <w:sz w:val="16"/>
                <w:szCs w:val="16"/>
              </w:rPr>
              <w:t>(2014)</w:t>
            </w:r>
            <w:r w:rsidRPr="001F3203">
              <w:rPr>
                <w:b/>
                <w:sz w:val="16"/>
                <w:szCs w:val="16"/>
              </w:rPr>
              <w:t xml:space="preserve">: </w:t>
            </w:r>
            <w:r w:rsidRPr="001F3203">
              <w:rPr>
                <w:sz w:val="16"/>
                <w:szCs w:val="16"/>
              </w:rPr>
              <w:t>17.3%</w:t>
            </w:r>
            <w:r w:rsidR="000A561C" w:rsidRPr="001F3203" w:rsidDel="00544EC4">
              <w:rPr>
                <w:sz w:val="16"/>
                <w:szCs w:val="16"/>
              </w:rPr>
              <w:t xml:space="preserve"> </w:t>
            </w:r>
          </w:p>
          <w:p w14:paraId="39376E6D" w14:textId="77777777" w:rsidR="00792704" w:rsidRPr="001F3203" w:rsidRDefault="00792704">
            <w:pPr>
              <w:spacing w:line="256" w:lineRule="auto"/>
              <w:rPr>
                <w:sz w:val="16"/>
                <w:szCs w:val="16"/>
              </w:rPr>
            </w:pPr>
            <w:r w:rsidRPr="001F3203">
              <w:rPr>
                <w:b/>
                <w:sz w:val="16"/>
                <w:szCs w:val="16"/>
              </w:rPr>
              <w:t>Target:</w:t>
            </w:r>
            <w:r w:rsidRPr="001F3203">
              <w:rPr>
                <w:sz w:val="16"/>
                <w:szCs w:val="16"/>
              </w:rPr>
              <w:t xml:space="preserve"> </w:t>
            </w:r>
            <w:r w:rsidR="00E97881" w:rsidRPr="001F3203">
              <w:rPr>
                <w:sz w:val="16"/>
                <w:szCs w:val="16"/>
              </w:rPr>
              <w:t>2</w:t>
            </w:r>
            <w:r w:rsidR="009F53D7" w:rsidRPr="001F3203">
              <w:rPr>
                <w:sz w:val="16"/>
                <w:szCs w:val="16"/>
              </w:rPr>
              <w:t>0%</w:t>
            </w:r>
            <w:r w:rsidR="002C2F8A" w:rsidRPr="001F3203" w:rsidDel="002C2F8A">
              <w:rPr>
                <w:strike/>
                <w:sz w:val="16"/>
                <w:szCs w:val="16"/>
              </w:rPr>
              <w:t xml:space="preserve"> </w:t>
            </w:r>
          </w:p>
          <w:p w14:paraId="1E9422D1" w14:textId="77777777" w:rsidR="00792704" w:rsidRPr="001F3203" w:rsidRDefault="00792704" w:rsidP="00D370EE">
            <w:pPr>
              <w:spacing w:line="256" w:lineRule="auto"/>
              <w:rPr>
                <w:bCs/>
                <w:color w:val="000000"/>
                <w:sz w:val="16"/>
                <w:szCs w:val="16"/>
                <w:lang w:val="en-GB" w:eastAsia="en-GB"/>
              </w:rPr>
            </w:pPr>
          </w:p>
          <w:p w14:paraId="34086FE3" w14:textId="77777777" w:rsidR="00792704" w:rsidRPr="001F3203" w:rsidRDefault="00792704">
            <w:pPr>
              <w:spacing w:line="256" w:lineRule="auto"/>
              <w:rPr>
                <w:iCs/>
                <w:sz w:val="16"/>
                <w:szCs w:val="16"/>
                <w:lang w:eastAsia="en-GB"/>
              </w:rPr>
            </w:pPr>
            <w:r w:rsidRPr="001F3203">
              <w:rPr>
                <w:b/>
                <w:iCs/>
                <w:sz w:val="16"/>
                <w:szCs w:val="16"/>
                <w:lang w:eastAsia="en-GB"/>
              </w:rPr>
              <w:t>Indicator</w:t>
            </w:r>
            <w:r w:rsidR="002F647E" w:rsidRPr="001F3203">
              <w:rPr>
                <w:b/>
                <w:iCs/>
                <w:sz w:val="16"/>
                <w:szCs w:val="16"/>
                <w:lang w:eastAsia="en-GB"/>
              </w:rPr>
              <w:t>-</w:t>
            </w:r>
            <w:r w:rsidRPr="001F3203">
              <w:rPr>
                <w:b/>
                <w:iCs/>
                <w:sz w:val="16"/>
                <w:szCs w:val="16"/>
                <w:lang w:eastAsia="en-GB"/>
              </w:rPr>
              <w:t>4</w:t>
            </w:r>
            <w:r w:rsidR="00893BB0" w:rsidRPr="001F3203">
              <w:rPr>
                <w:b/>
                <w:iCs/>
                <w:sz w:val="16"/>
                <w:szCs w:val="16"/>
                <w:lang w:eastAsia="en-GB"/>
              </w:rPr>
              <w:t>.4</w:t>
            </w:r>
            <w:r w:rsidRPr="001F3203">
              <w:rPr>
                <w:b/>
                <w:iCs/>
                <w:sz w:val="16"/>
                <w:szCs w:val="16"/>
                <w:lang w:eastAsia="en-GB"/>
              </w:rPr>
              <w:t>:</w:t>
            </w:r>
            <w:r w:rsidRPr="001F3203">
              <w:rPr>
                <w:iCs/>
                <w:sz w:val="16"/>
                <w:szCs w:val="16"/>
                <w:lang w:eastAsia="en-GB"/>
              </w:rPr>
              <w:t xml:space="preserve"> </w:t>
            </w:r>
            <w:r w:rsidR="00885355" w:rsidRPr="001F3203">
              <w:rPr>
                <w:iCs/>
                <w:sz w:val="16"/>
                <w:szCs w:val="16"/>
                <w:lang w:eastAsia="en-GB"/>
              </w:rPr>
              <w:t xml:space="preserve"># </w:t>
            </w:r>
            <w:r w:rsidRPr="001F3203">
              <w:rPr>
                <w:iCs/>
                <w:sz w:val="16"/>
                <w:szCs w:val="16"/>
                <w:lang w:eastAsia="en-GB"/>
              </w:rPr>
              <w:t>of violent social conflicts</w:t>
            </w:r>
          </w:p>
          <w:p w14:paraId="42B927A3" w14:textId="77777777" w:rsidR="00792704" w:rsidRPr="001F3203" w:rsidRDefault="00792704">
            <w:pPr>
              <w:spacing w:line="256" w:lineRule="auto"/>
              <w:rPr>
                <w:b/>
                <w:bCs/>
                <w:color w:val="000000"/>
                <w:sz w:val="16"/>
                <w:szCs w:val="16"/>
                <w:lang w:val="en-GB" w:eastAsia="en-GB"/>
              </w:rPr>
            </w:pPr>
            <w:r w:rsidRPr="001F3203">
              <w:rPr>
                <w:b/>
                <w:iCs/>
                <w:sz w:val="16"/>
                <w:szCs w:val="16"/>
                <w:lang w:val="en-GB" w:eastAsia="en-GB"/>
              </w:rPr>
              <w:t>Baseline</w:t>
            </w:r>
            <w:r w:rsidR="000A561C" w:rsidRPr="001F3203">
              <w:rPr>
                <w:b/>
                <w:iCs/>
                <w:sz w:val="16"/>
                <w:szCs w:val="16"/>
                <w:lang w:val="en-GB" w:eastAsia="en-GB"/>
              </w:rPr>
              <w:t>(2014)</w:t>
            </w:r>
            <w:r w:rsidRPr="001F3203">
              <w:rPr>
                <w:iCs/>
                <w:sz w:val="16"/>
                <w:szCs w:val="16"/>
                <w:lang w:val="en-GB" w:eastAsia="en-GB"/>
              </w:rPr>
              <w:t>: 7,335</w:t>
            </w:r>
          </w:p>
          <w:p w14:paraId="54327FB1" w14:textId="77777777" w:rsidR="00792704" w:rsidRPr="001F3203" w:rsidRDefault="00792704">
            <w:pPr>
              <w:spacing w:line="256" w:lineRule="auto"/>
              <w:rPr>
                <w:iCs/>
                <w:sz w:val="16"/>
                <w:szCs w:val="16"/>
                <w:lang w:val="en-GB" w:eastAsia="en-GB"/>
              </w:rPr>
            </w:pPr>
            <w:r w:rsidRPr="001F3203">
              <w:rPr>
                <w:b/>
                <w:bCs/>
                <w:color w:val="000000"/>
                <w:sz w:val="16"/>
                <w:szCs w:val="16"/>
                <w:lang w:val="en-GB" w:eastAsia="en-GB"/>
              </w:rPr>
              <w:t>Target:</w:t>
            </w:r>
            <w:r w:rsidRPr="001F3203">
              <w:rPr>
                <w:iCs/>
                <w:sz w:val="16"/>
                <w:szCs w:val="16"/>
                <w:lang w:val="en-GB" w:eastAsia="en-GB"/>
              </w:rPr>
              <w:t xml:space="preserve"> </w:t>
            </w:r>
            <w:r w:rsidR="006715FA" w:rsidRPr="001F3203">
              <w:rPr>
                <w:iCs/>
                <w:sz w:val="16"/>
                <w:szCs w:val="16"/>
                <w:lang w:val="en-GB" w:eastAsia="en-GB"/>
              </w:rPr>
              <w:t>6,600</w:t>
            </w:r>
          </w:p>
          <w:p w14:paraId="30597D39" w14:textId="77777777" w:rsidR="00792704" w:rsidRPr="001F3203" w:rsidRDefault="00792704">
            <w:pPr>
              <w:spacing w:line="256" w:lineRule="auto"/>
              <w:rPr>
                <w:bCs/>
                <w:color w:val="000000"/>
                <w:sz w:val="16"/>
                <w:szCs w:val="16"/>
                <w:lang w:val="en-GB" w:eastAsia="en-GB"/>
              </w:rPr>
            </w:pPr>
          </w:p>
          <w:p w14:paraId="7425B7F7" w14:textId="77777777" w:rsidR="00792704" w:rsidRPr="001F3203" w:rsidRDefault="00792704">
            <w:pPr>
              <w:rPr>
                <w:bCs/>
                <w:color w:val="000000"/>
                <w:sz w:val="16"/>
                <w:szCs w:val="16"/>
                <w:lang w:val="en-GB" w:eastAsia="en-GB"/>
              </w:rPr>
            </w:pPr>
          </w:p>
          <w:p w14:paraId="660F6AC6" w14:textId="77777777" w:rsidR="00792704" w:rsidRPr="001F3203" w:rsidRDefault="00792704">
            <w:pPr>
              <w:spacing w:line="256" w:lineRule="auto"/>
              <w:rPr>
                <w:bCs/>
                <w:color w:val="000000"/>
                <w:sz w:val="16"/>
                <w:szCs w:val="16"/>
                <w:lang w:val="en-GB" w:eastAsia="en-GB"/>
              </w:rPr>
            </w:pPr>
          </w:p>
          <w:p w14:paraId="78802B6E" w14:textId="77777777" w:rsidR="00792704" w:rsidRPr="001F3203" w:rsidRDefault="00792704">
            <w:pPr>
              <w:spacing w:line="256" w:lineRule="auto"/>
              <w:rPr>
                <w:bCs/>
                <w:color w:val="000000"/>
                <w:sz w:val="16"/>
                <w:szCs w:val="16"/>
                <w:lang w:val="en-GB" w:eastAsia="en-GB"/>
              </w:rPr>
            </w:pPr>
          </w:p>
        </w:tc>
        <w:tc>
          <w:tcPr>
            <w:tcW w:w="977" w:type="pct"/>
            <w:vMerge w:val="restart"/>
          </w:tcPr>
          <w:p w14:paraId="680F24AD" w14:textId="77777777" w:rsidR="00792704" w:rsidRPr="001F3203" w:rsidRDefault="00792704">
            <w:pPr>
              <w:rPr>
                <w:sz w:val="16"/>
                <w:szCs w:val="16"/>
                <w:lang w:val="en-GB" w:eastAsia="en-GB"/>
              </w:rPr>
            </w:pPr>
            <w:r w:rsidRPr="001F3203">
              <w:rPr>
                <w:iCs/>
                <w:sz w:val="16"/>
                <w:szCs w:val="16"/>
                <w:lang w:val="en-GB" w:eastAsia="en-GB"/>
              </w:rPr>
              <w:lastRenderedPageBreak/>
              <w:t xml:space="preserve">BPHN; BPS; </w:t>
            </w:r>
            <w:r w:rsidRPr="001F3203">
              <w:rPr>
                <w:sz w:val="16"/>
                <w:szCs w:val="16"/>
              </w:rPr>
              <w:t xml:space="preserve">Center for Political Studies (2019); </w:t>
            </w:r>
            <w:r w:rsidRPr="001F3203">
              <w:rPr>
                <w:iCs/>
                <w:sz w:val="16"/>
                <w:szCs w:val="16"/>
                <w:lang w:val="en-GB" w:eastAsia="en-GB"/>
              </w:rPr>
              <w:t xml:space="preserve">National Violence Monitoring System. </w:t>
            </w:r>
          </w:p>
        </w:tc>
        <w:tc>
          <w:tcPr>
            <w:tcW w:w="1300" w:type="pct"/>
            <w:vMerge w:val="restart"/>
            <w:tcMar>
              <w:top w:w="72" w:type="dxa"/>
              <w:left w:w="144" w:type="dxa"/>
              <w:bottom w:w="72" w:type="dxa"/>
              <w:right w:w="144" w:type="dxa"/>
            </w:tcMar>
          </w:tcPr>
          <w:p w14:paraId="27FEFBA8" w14:textId="77777777" w:rsidR="00792704" w:rsidRPr="001F3203" w:rsidRDefault="00893BB0">
            <w:pPr>
              <w:spacing w:line="256" w:lineRule="auto"/>
              <w:rPr>
                <w:b/>
                <w:bCs/>
                <w:iCs/>
                <w:color w:val="000000"/>
                <w:sz w:val="16"/>
                <w:szCs w:val="16"/>
                <w:lang w:val="en-GB" w:eastAsia="en-GB"/>
              </w:rPr>
            </w:pPr>
            <w:r w:rsidRPr="001F3203">
              <w:rPr>
                <w:b/>
                <w:iCs/>
                <w:color w:val="000000"/>
                <w:sz w:val="16"/>
                <w:szCs w:val="16"/>
                <w:lang w:val="en-GB" w:eastAsia="en-GB"/>
              </w:rPr>
              <w:t>4.1-</w:t>
            </w:r>
            <w:r w:rsidR="00792704" w:rsidRPr="001F3203">
              <w:rPr>
                <w:b/>
                <w:iCs/>
                <w:color w:val="000000"/>
                <w:sz w:val="16"/>
                <w:szCs w:val="16"/>
                <w:lang w:val="en-GB" w:eastAsia="en-GB"/>
              </w:rPr>
              <w:t>Capacity of targeted justice service providers increased to deliver quality legal services</w:t>
            </w:r>
          </w:p>
          <w:p w14:paraId="7C092AB4" w14:textId="77777777" w:rsidR="00792704" w:rsidRPr="001F3203" w:rsidRDefault="00792704">
            <w:pPr>
              <w:spacing w:line="256" w:lineRule="auto"/>
              <w:rPr>
                <w:b/>
                <w:iCs/>
                <w:color w:val="000000"/>
                <w:sz w:val="16"/>
                <w:szCs w:val="16"/>
                <w:lang w:val="en-GB" w:eastAsia="en-GB"/>
              </w:rPr>
            </w:pPr>
            <w:r w:rsidRPr="001F3203">
              <w:rPr>
                <w:b/>
                <w:iCs/>
                <w:color w:val="000000"/>
                <w:sz w:val="16"/>
                <w:szCs w:val="16"/>
                <w:lang w:val="en-GB" w:eastAsia="en-GB"/>
              </w:rPr>
              <w:t xml:space="preserve">   </w:t>
            </w:r>
          </w:p>
          <w:p w14:paraId="06B830F5" w14:textId="56A221FB"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 xml:space="preserve">Indicator: </w:t>
            </w:r>
            <w:r w:rsidRPr="001F3203">
              <w:rPr>
                <w:iCs/>
                <w:color w:val="000000"/>
                <w:sz w:val="16"/>
                <w:szCs w:val="16"/>
                <w:lang w:val="en-GB" w:eastAsia="en-GB"/>
              </w:rPr>
              <w:t xml:space="preserve">Number of poor justice seekers accessing </w:t>
            </w:r>
            <w:r w:rsidR="00AF65F1" w:rsidRPr="001F3203">
              <w:rPr>
                <w:iCs/>
                <w:sz w:val="16"/>
                <w:szCs w:val="16"/>
                <w:lang w:val="en-GB" w:eastAsia="en-GB"/>
              </w:rPr>
              <w:t>BPHN</w:t>
            </w:r>
            <w:r w:rsidR="00AF65F1">
              <w:rPr>
                <w:iCs/>
                <w:color w:val="000000"/>
                <w:sz w:val="16"/>
                <w:szCs w:val="16"/>
                <w:lang w:val="en-GB" w:eastAsia="en-GB"/>
              </w:rPr>
              <w:t>-</w:t>
            </w:r>
            <w:r w:rsidRPr="001F3203">
              <w:rPr>
                <w:iCs/>
                <w:color w:val="000000"/>
                <w:sz w:val="16"/>
                <w:szCs w:val="16"/>
                <w:lang w:val="en-GB" w:eastAsia="en-GB"/>
              </w:rPr>
              <w:t xml:space="preserve">funded legal aid services in </w:t>
            </w:r>
            <w:r w:rsidR="00544EC4" w:rsidRPr="001F3203">
              <w:rPr>
                <w:iCs/>
                <w:color w:val="000000"/>
                <w:sz w:val="16"/>
                <w:szCs w:val="16"/>
                <w:lang w:val="en-GB" w:eastAsia="en-GB"/>
              </w:rPr>
              <w:t>targeted</w:t>
            </w:r>
            <w:r w:rsidRPr="001F3203">
              <w:rPr>
                <w:iCs/>
                <w:color w:val="000000"/>
                <w:sz w:val="16"/>
                <w:szCs w:val="16"/>
                <w:lang w:val="en-GB" w:eastAsia="en-GB"/>
              </w:rPr>
              <w:t xml:space="preserve"> regions</w:t>
            </w:r>
            <w:r w:rsidR="00544EC4" w:rsidRPr="001F3203">
              <w:rPr>
                <w:iCs/>
                <w:color w:val="000000"/>
                <w:sz w:val="16"/>
                <w:szCs w:val="16"/>
                <w:lang w:val="en-GB" w:eastAsia="en-GB"/>
              </w:rPr>
              <w:t>, disaggregated by se</w:t>
            </w:r>
            <w:r w:rsidR="002C2F8A" w:rsidRPr="001F3203">
              <w:rPr>
                <w:iCs/>
                <w:color w:val="000000"/>
                <w:sz w:val="16"/>
                <w:szCs w:val="16"/>
                <w:lang w:val="en-GB" w:eastAsia="en-GB"/>
              </w:rPr>
              <w:t>x</w:t>
            </w:r>
            <w:r w:rsidRPr="001F3203">
              <w:rPr>
                <w:iCs/>
                <w:color w:val="000000"/>
                <w:sz w:val="16"/>
                <w:szCs w:val="16"/>
                <w:lang w:val="en-GB" w:eastAsia="en-GB"/>
              </w:rPr>
              <w:t xml:space="preserve"> </w:t>
            </w:r>
          </w:p>
          <w:p w14:paraId="633ADA54"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Baseline</w:t>
            </w:r>
            <w:r w:rsidR="00544EC4" w:rsidRPr="001F3203">
              <w:rPr>
                <w:b/>
                <w:iCs/>
                <w:color w:val="000000"/>
                <w:sz w:val="16"/>
                <w:szCs w:val="16"/>
                <w:lang w:val="en-GB" w:eastAsia="en-GB"/>
              </w:rPr>
              <w:t xml:space="preserve">(2014): </w:t>
            </w:r>
            <w:r w:rsidR="00DB02DF" w:rsidRPr="001F3203">
              <w:rPr>
                <w:iCs/>
                <w:color w:val="000000"/>
                <w:sz w:val="16"/>
                <w:szCs w:val="16"/>
                <w:lang w:val="en-GB" w:eastAsia="en-GB"/>
              </w:rPr>
              <w:t xml:space="preserve">399 </w:t>
            </w:r>
            <w:r w:rsidR="00544EC4" w:rsidRPr="001F3203">
              <w:rPr>
                <w:iCs/>
                <w:color w:val="000000"/>
                <w:sz w:val="16"/>
                <w:szCs w:val="16"/>
                <w:lang w:val="en-GB" w:eastAsia="en-GB"/>
              </w:rPr>
              <w:t>(</w:t>
            </w:r>
            <w:r w:rsidR="00DB02DF" w:rsidRPr="001F3203">
              <w:rPr>
                <w:iCs/>
                <w:color w:val="000000"/>
                <w:sz w:val="16"/>
                <w:szCs w:val="16"/>
                <w:lang w:val="en-GB" w:eastAsia="en-GB"/>
              </w:rPr>
              <w:t>90</w:t>
            </w:r>
            <w:r w:rsidR="00544EC4" w:rsidRPr="001F3203">
              <w:rPr>
                <w:iCs/>
                <w:color w:val="000000"/>
                <w:sz w:val="16"/>
                <w:szCs w:val="16"/>
                <w:lang w:val="en-GB" w:eastAsia="en-GB"/>
              </w:rPr>
              <w:t xml:space="preserve"> women, </w:t>
            </w:r>
            <w:r w:rsidR="00DB02DF" w:rsidRPr="001F3203">
              <w:rPr>
                <w:iCs/>
                <w:color w:val="000000"/>
                <w:sz w:val="16"/>
                <w:szCs w:val="16"/>
                <w:lang w:val="en-GB" w:eastAsia="en-GB"/>
              </w:rPr>
              <w:t>309</w:t>
            </w:r>
            <w:r w:rsidR="00544EC4" w:rsidRPr="001F3203">
              <w:rPr>
                <w:iCs/>
                <w:color w:val="000000"/>
                <w:sz w:val="16"/>
                <w:szCs w:val="16"/>
                <w:lang w:val="en-GB" w:eastAsia="en-GB"/>
              </w:rPr>
              <w:t xml:space="preserve"> men)</w:t>
            </w:r>
          </w:p>
          <w:p w14:paraId="63D6B29D"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 xml:space="preserve">Target: </w:t>
            </w:r>
            <w:r w:rsidRPr="001F3203">
              <w:rPr>
                <w:iCs/>
                <w:color w:val="000000"/>
                <w:sz w:val="16"/>
                <w:szCs w:val="16"/>
                <w:lang w:val="en-GB" w:eastAsia="en-GB"/>
              </w:rPr>
              <w:t>8,000 poor justice seeker</w:t>
            </w:r>
            <w:r w:rsidR="00355CE2" w:rsidRPr="001F3203">
              <w:rPr>
                <w:iCs/>
                <w:color w:val="000000"/>
                <w:sz w:val="16"/>
                <w:szCs w:val="16"/>
                <w:lang w:val="en-GB" w:eastAsia="en-GB"/>
              </w:rPr>
              <w:t>s (</w:t>
            </w:r>
            <w:r w:rsidR="009311D3" w:rsidRPr="001F3203">
              <w:rPr>
                <w:iCs/>
                <w:color w:val="000000"/>
                <w:sz w:val="16"/>
                <w:szCs w:val="16"/>
                <w:lang w:val="en-GB" w:eastAsia="en-GB"/>
              </w:rPr>
              <w:t>2,884 women, 5,116 men</w:t>
            </w:r>
            <w:r w:rsidRPr="001F3203">
              <w:rPr>
                <w:iCs/>
                <w:color w:val="000000"/>
                <w:sz w:val="16"/>
                <w:szCs w:val="16"/>
                <w:lang w:val="en-GB" w:eastAsia="en-GB"/>
              </w:rPr>
              <w:t xml:space="preserve">) </w:t>
            </w:r>
          </w:p>
          <w:p w14:paraId="3E8F12AB" w14:textId="77777777" w:rsidR="00792704" w:rsidRPr="001F3203" w:rsidRDefault="00F17F62">
            <w:pPr>
              <w:spacing w:line="256" w:lineRule="auto"/>
              <w:rPr>
                <w:iCs/>
                <w:color w:val="000000"/>
                <w:sz w:val="16"/>
                <w:szCs w:val="16"/>
                <w:lang w:val="en-GB" w:eastAsia="en-GB"/>
              </w:rPr>
            </w:pPr>
            <w:r w:rsidRPr="001F3203">
              <w:rPr>
                <w:b/>
                <w:iCs/>
                <w:color w:val="000000"/>
                <w:sz w:val="16"/>
                <w:szCs w:val="16"/>
                <w:lang w:val="en-GB" w:eastAsia="en-GB"/>
              </w:rPr>
              <w:t>Source</w:t>
            </w:r>
            <w:r w:rsidR="00792704" w:rsidRPr="001F3203">
              <w:rPr>
                <w:b/>
                <w:iCs/>
                <w:color w:val="000000"/>
                <w:sz w:val="16"/>
                <w:szCs w:val="16"/>
                <w:lang w:val="en-GB" w:eastAsia="en-GB"/>
              </w:rPr>
              <w:t>:</w:t>
            </w:r>
            <w:r w:rsidR="00792704" w:rsidRPr="001F3203">
              <w:rPr>
                <w:iCs/>
                <w:color w:val="000000"/>
                <w:sz w:val="16"/>
                <w:szCs w:val="16"/>
                <w:lang w:val="en-GB" w:eastAsia="en-GB"/>
              </w:rPr>
              <w:t xml:space="preserve"> BPHN annual reports</w:t>
            </w:r>
          </w:p>
          <w:p w14:paraId="11CBF79A" w14:textId="77777777" w:rsidR="00792704" w:rsidRPr="001F3203" w:rsidRDefault="00792704">
            <w:pPr>
              <w:spacing w:line="256" w:lineRule="auto"/>
              <w:rPr>
                <w:iCs/>
                <w:color w:val="000000"/>
                <w:sz w:val="16"/>
                <w:szCs w:val="16"/>
                <w:lang w:val="en-GB" w:eastAsia="en-GB"/>
              </w:rPr>
            </w:pPr>
          </w:p>
          <w:p w14:paraId="58E67B60"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lastRenderedPageBreak/>
              <w:t>Indicator:</w:t>
            </w:r>
            <w:r w:rsidRPr="001F3203">
              <w:rPr>
                <w:iCs/>
                <w:color w:val="000000"/>
                <w:sz w:val="16"/>
                <w:szCs w:val="16"/>
                <w:lang w:val="en-GB" w:eastAsia="en-GB"/>
              </w:rPr>
              <w:t xml:space="preserve"> % of</w:t>
            </w:r>
            <w:r w:rsidR="00355CE2" w:rsidRPr="001F3203">
              <w:rPr>
                <w:iCs/>
                <w:color w:val="000000"/>
                <w:sz w:val="16"/>
                <w:szCs w:val="16"/>
                <w:lang w:val="en-GB" w:eastAsia="en-GB"/>
              </w:rPr>
              <w:t xml:space="preserve"> juveniles in target courts receiving </w:t>
            </w:r>
            <w:r w:rsidRPr="001F3203">
              <w:rPr>
                <w:iCs/>
                <w:color w:val="000000"/>
                <w:sz w:val="16"/>
                <w:szCs w:val="16"/>
                <w:lang w:val="en-GB" w:eastAsia="en-GB"/>
              </w:rPr>
              <w:t xml:space="preserve">alternative sentencing versus incarceration for petty crimes </w:t>
            </w:r>
          </w:p>
          <w:p w14:paraId="1D180711"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Baseline</w:t>
            </w:r>
            <w:r w:rsidR="00592EF2" w:rsidRPr="001F3203">
              <w:rPr>
                <w:b/>
                <w:iCs/>
                <w:color w:val="000000"/>
                <w:sz w:val="16"/>
                <w:szCs w:val="16"/>
                <w:lang w:val="en-GB" w:eastAsia="en-GB"/>
              </w:rPr>
              <w:t>(2015)</w:t>
            </w:r>
            <w:r w:rsidRPr="001F3203">
              <w:rPr>
                <w:b/>
                <w:iCs/>
                <w:color w:val="000000"/>
                <w:sz w:val="16"/>
                <w:szCs w:val="16"/>
                <w:lang w:val="en-GB" w:eastAsia="en-GB"/>
              </w:rPr>
              <w:t>:</w:t>
            </w:r>
            <w:r w:rsidRPr="001F3203">
              <w:rPr>
                <w:iCs/>
                <w:color w:val="000000"/>
                <w:sz w:val="16"/>
                <w:szCs w:val="16"/>
                <w:lang w:val="en-GB" w:eastAsia="en-GB"/>
              </w:rPr>
              <w:t xml:space="preserve"> TBD</w:t>
            </w:r>
          </w:p>
          <w:p w14:paraId="3DD3CDF3"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 xml:space="preserve">Target: </w:t>
            </w:r>
            <w:r w:rsidR="003E2594" w:rsidRPr="001F3203">
              <w:rPr>
                <w:iCs/>
                <w:color w:val="000000"/>
                <w:sz w:val="16"/>
                <w:szCs w:val="16"/>
                <w:lang w:val="en-GB" w:eastAsia="en-GB"/>
              </w:rPr>
              <w:t>TBD</w:t>
            </w:r>
          </w:p>
          <w:p w14:paraId="0190B4A7" w14:textId="77777777" w:rsidR="00792704" w:rsidRPr="001F3203" w:rsidRDefault="00F17F62">
            <w:pPr>
              <w:spacing w:line="256" w:lineRule="auto"/>
              <w:rPr>
                <w:iCs/>
                <w:color w:val="000000"/>
                <w:sz w:val="16"/>
                <w:szCs w:val="16"/>
                <w:lang w:val="en-GB" w:eastAsia="en-GB"/>
              </w:rPr>
            </w:pPr>
            <w:r w:rsidRPr="001F3203">
              <w:rPr>
                <w:b/>
                <w:iCs/>
                <w:color w:val="000000"/>
                <w:sz w:val="16"/>
                <w:szCs w:val="16"/>
                <w:lang w:val="en-GB" w:eastAsia="en-GB"/>
              </w:rPr>
              <w:t>Source</w:t>
            </w:r>
            <w:r w:rsidR="00792704" w:rsidRPr="001F3203">
              <w:rPr>
                <w:b/>
                <w:iCs/>
                <w:color w:val="000000"/>
                <w:sz w:val="16"/>
                <w:szCs w:val="16"/>
                <w:lang w:val="en-GB" w:eastAsia="en-GB"/>
              </w:rPr>
              <w:t>:</w:t>
            </w:r>
            <w:r w:rsidR="00792704" w:rsidRPr="001F3203">
              <w:rPr>
                <w:iCs/>
                <w:color w:val="000000"/>
                <w:sz w:val="16"/>
                <w:szCs w:val="16"/>
                <w:lang w:val="en-GB" w:eastAsia="en-GB"/>
              </w:rPr>
              <w:t xml:space="preserve"> </w:t>
            </w:r>
            <w:r w:rsidR="000A0DFA" w:rsidRPr="001F3203">
              <w:rPr>
                <w:iCs/>
                <w:color w:val="000000"/>
                <w:sz w:val="16"/>
                <w:szCs w:val="16"/>
                <w:lang w:val="en-GB" w:eastAsia="en-GB"/>
              </w:rPr>
              <w:t>P</w:t>
            </w:r>
            <w:r w:rsidR="00792704" w:rsidRPr="001F3203">
              <w:rPr>
                <w:iCs/>
                <w:color w:val="000000"/>
                <w:sz w:val="16"/>
                <w:szCs w:val="16"/>
                <w:lang w:val="en-GB" w:eastAsia="en-GB"/>
              </w:rPr>
              <w:t>roject survey</w:t>
            </w:r>
          </w:p>
          <w:p w14:paraId="276F2830" w14:textId="77777777" w:rsidR="00792704" w:rsidRPr="001F3203" w:rsidRDefault="00792704">
            <w:pPr>
              <w:spacing w:line="256" w:lineRule="auto"/>
              <w:rPr>
                <w:iCs/>
                <w:color w:val="000000"/>
                <w:sz w:val="16"/>
                <w:szCs w:val="16"/>
                <w:lang w:val="en-GB" w:eastAsia="en-GB"/>
              </w:rPr>
            </w:pPr>
          </w:p>
          <w:p w14:paraId="6E6571C8" w14:textId="24FE6F2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Indicator:</w:t>
            </w:r>
            <w:r w:rsidRPr="001F3203">
              <w:rPr>
                <w:iCs/>
                <w:color w:val="000000"/>
                <w:sz w:val="16"/>
                <w:szCs w:val="16"/>
                <w:lang w:val="en-GB" w:eastAsia="en-GB"/>
              </w:rPr>
              <w:t xml:space="preserve"> Level of satisfaction of users with services of UNDP</w:t>
            </w:r>
            <w:r w:rsidR="00BF3CFD">
              <w:rPr>
                <w:iCs/>
                <w:color w:val="000000"/>
                <w:sz w:val="16"/>
                <w:szCs w:val="16"/>
                <w:lang w:val="en-GB" w:eastAsia="en-GB"/>
              </w:rPr>
              <w:t>-</w:t>
            </w:r>
            <w:r w:rsidRPr="001F3203">
              <w:rPr>
                <w:iCs/>
                <w:color w:val="000000"/>
                <w:sz w:val="16"/>
                <w:szCs w:val="16"/>
                <w:lang w:val="en-GB" w:eastAsia="en-GB"/>
              </w:rPr>
              <w:t>supported courts</w:t>
            </w:r>
          </w:p>
          <w:p w14:paraId="44CB01C6"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Baseline</w:t>
            </w:r>
            <w:r w:rsidR="00592EF2" w:rsidRPr="001F3203">
              <w:rPr>
                <w:b/>
                <w:iCs/>
                <w:color w:val="000000"/>
                <w:sz w:val="16"/>
                <w:szCs w:val="16"/>
                <w:lang w:val="en-GB" w:eastAsia="en-GB"/>
              </w:rPr>
              <w:t>(2016)</w:t>
            </w:r>
            <w:r w:rsidRPr="001F3203">
              <w:rPr>
                <w:b/>
                <w:iCs/>
                <w:color w:val="000000"/>
                <w:sz w:val="16"/>
                <w:szCs w:val="16"/>
                <w:lang w:val="en-GB" w:eastAsia="en-GB"/>
              </w:rPr>
              <w:t xml:space="preserve">: </w:t>
            </w:r>
            <w:r w:rsidR="002C2F8A" w:rsidRPr="001F3203">
              <w:rPr>
                <w:iCs/>
                <w:color w:val="000000"/>
                <w:sz w:val="16"/>
                <w:szCs w:val="16"/>
                <w:lang w:val="en-GB" w:eastAsia="en-GB"/>
              </w:rPr>
              <w:t xml:space="preserve">TBD </w:t>
            </w:r>
          </w:p>
          <w:p w14:paraId="3B0FF1C1" w14:textId="77777777" w:rsidR="00792704" w:rsidRPr="001F3203" w:rsidRDefault="00792704">
            <w:pPr>
              <w:spacing w:line="256" w:lineRule="auto"/>
              <w:rPr>
                <w:iCs/>
                <w:color w:val="000000"/>
                <w:sz w:val="16"/>
                <w:szCs w:val="16"/>
                <w:lang w:val="en-GB" w:eastAsia="en-GB"/>
              </w:rPr>
            </w:pPr>
            <w:r w:rsidRPr="001F3203">
              <w:rPr>
                <w:b/>
                <w:iCs/>
                <w:color w:val="000000"/>
                <w:sz w:val="16"/>
                <w:szCs w:val="16"/>
                <w:lang w:val="en-GB" w:eastAsia="en-GB"/>
              </w:rPr>
              <w:t>Target:</w:t>
            </w:r>
            <w:r w:rsidRPr="001F3203">
              <w:rPr>
                <w:iCs/>
                <w:color w:val="000000"/>
                <w:sz w:val="16"/>
                <w:szCs w:val="16"/>
                <w:lang w:val="en-GB" w:eastAsia="en-GB"/>
              </w:rPr>
              <w:t xml:space="preserve"> TBD</w:t>
            </w:r>
          </w:p>
          <w:p w14:paraId="6DBA575F" w14:textId="4FFB0442" w:rsidR="00792704" w:rsidRPr="001F3203" w:rsidRDefault="00F17F62">
            <w:pPr>
              <w:spacing w:line="256" w:lineRule="auto"/>
              <w:rPr>
                <w:iCs/>
                <w:color w:val="000000"/>
                <w:sz w:val="16"/>
                <w:szCs w:val="16"/>
                <w:lang w:val="en-GB" w:eastAsia="en-GB"/>
              </w:rPr>
            </w:pPr>
            <w:r w:rsidRPr="001F3203">
              <w:rPr>
                <w:b/>
                <w:iCs/>
                <w:color w:val="000000"/>
                <w:sz w:val="16"/>
                <w:szCs w:val="16"/>
                <w:lang w:val="en-GB" w:eastAsia="en-GB"/>
              </w:rPr>
              <w:t>Source</w:t>
            </w:r>
            <w:r w:rsidR="00792704" w:rsidRPr="001F3203">
              <w:rPr>
                <w:b/>
                <w:iCs/>
                <w:color w:val="000000"/>
                <w:sz w:val="16"/>
                <w:szCs w:val="16"/>
                <w:lang w:val="en-GB" w:eastAsia="en-GB"/>
              </w:rPr>
              <w:t>:</w:t>
            </w:r>
            <w:r w:rsidR="00792704" w:rsidRPr="001F3203">
              <w:rPr>
                <w:iCs/>
                <w:color w:val="000000"/>
                <w:sz w:val="16"/>
                <w:szCs w:val="16"/>
                <w:lang w:val="en-GB" w:eastAsia="en-GB"/>
              </w:rPr>
              <w:t xml:space="preserve"> </w:t>
            </w:r>
            <w:r w:rsidR="002C2F8A" w:rsidRPr="001F3203">
              <w:rPr>
                <w:iCs/>
                <w:color w:val="000000"/>
                <w:sz w:val="16"/>
                <w:szCs w:val="16"/>
                <w:lang w:val="en-GB" w:eastAsia="en-GB"/>
              </w:rPr>
              <w:t>Centre for Law and Policies Studies</w:t>
            </w:r>
            <w:r w:rsidR="00D33A93" w:rsidRPr="001F3203">
              <w:rPr>
                <w:iCs/>
                <w:color w:val="000000"/>
                <w:sz w:val="16"/>
                <w:szCs w:val="16"/>
                <w:lang w:val="en-GB" w:eastAsia="en-GB"/>
              </w:rPr>
              <w:t xml:space="preserve"> survey</w:t>
            </w:r>
          </w:p>
          <w:p w14:paraId="20B6C4AF" w14:textId="77777777" w:rsidR="00792704" w:rsidRPr="001F3203" w:rsidRDefault="00792704">
            <w:pPr>
              <w:tabs>
                <w:tab w:val="left" w:pos="944"/>
              </w:tabs>
              <w:spacing w:line="256" w:lineRule="auto"/>
              <w:rPr>
                <w:rFonts w:ascii="Arial" w:hAnsi="Arial"/>
                <w:b/>
                <w:iCs/>
                <w:color w:val="000000"/>
                <w:sz w:val="16"/>
                <w:szCs w:val="16"/>
                <w:lang w:eastAsia="en-GB"/>
              </w:rPr>
            </w:pPr>
          </w:p>
          <w:p w14:paraId="1EA43A14" w14:textId="6C5BD289" w:rsidR="00792704" w:rsidRPr="001F3203" w:rsidRDefault="00893BB0">
            <w:pPr>
              <w:tabs>
                <w:tab w:val="left" w:pos="423"/>
              </w:tabs>
              <w:spacing w:line="256" w:lineRule="auto"/>
              <w:rPr>
                <w:b/>
                <w:iCs/>
                <w:color w:val="000000"/>
                <w:sz w:val="16"/>
                <w:szCs w:val="16"/>
                <w:lang w:eastAsia="en-GB"/>
              </w:rPr>
            </w:pPr>
            <w:r w:rsidRPr="001F3203">
              <w:rPr>
                <w:b/>
                <w:iCs/>
                <w:color w:val="000000"/>
                <w:sz w:val="16"/>
                <w:szCs w:val="16"/>
                <w:lang w:eastAsia="en-GB"/>
              </w:rPr>
              <w:t>4.2-</w:t>
            </w:r>
            <w:r w:rsidR="00792704" w:rsidRPr="001F3203">
              <w:rPr>
                <w:b/>
                <w:iCs/>
                <w:color w:val="000000"/>
                <w:sz w:val="16"/>
                <w:szCs w:val="16"/>
                <w:lang w:eastAsia="en-GB"/>
              </w:rPr>
              <w:t>Supported subnational governments are better able to address democratic deficits and engage with non-</w:t>
            </w:r>
            <w:r w:rsidR="007E3A32">
              <w:rPr>
                <w:b/>
                <w:iCs/>
                <w:color w:val="000000"/>
                <w:sz w:val="16"/>
                <w:szCs w:val="16"/>
                <w:lang w:eastAsia="en-GB"/>
              </w:rPr>
              <w:t>s</w:t>
            </w:r>
            <w:r w:rsidR="007E3A32" w:rsidRPr="001F3203">
              <w:rPr>
                <w:b/>
                <w:iCs/>
                <w:color w:val="000000"/>
                <w:sz w:val="16"/>
                <w:szCs w:val="16"/>
                <w:lang w:eastAsia="en-GB"/>
              </w:rPr>
              <w:t xml:space="preserve">tate </w:t>
            </w:r>
            <w:r w:rsidR="00792704" w:rsidRPr="001F3203">
              <w:rPr>
                <w:b/>
                <w:iCs/>
                <w:color w:val="000000"/>
                <w:sz w:val="16"/>
                <w:szCs w:val="16"/>
                <w:lang w:eastAsia="en-GB"/>
              </w:rPr>
              <w:t>actors to improve performance</w:t>
            </w:r>
          </w:p>
          <w:p w14:paraId="1D54D634" w14:textId="77777777" w:rsidR="00792704" w:rsidRPr="001F3203" w:rsidRDefault="00792704">
            <w:pPr>
              <w:tabs>
                <w:tab w:val="left" w:pos="423"/>
              </w:tabs>
              <w:spacing w:line="256" w:lineRule="auto"/>
              <w:rPr>
                <w:iCs/>
                <w:color w:val="000000"/>
                <w:sz w:val="16"/>
                <w:szCs w:val="16"/>
                <w:lang w:eastAsia="en-GB"/>
              </w:rPr>
            </w:pPr>
          </w:p>
          <w:p w14:paraId="5AAA4090" w14:textId="77777777" w:rsidR="00792704" w:rsidRPr="001F3203" w:rsidRDefault="00792704">
            <w:pPr>
              <w:tabs>
                <w:tab w:val="left" w:pos="423"/>
              </w:tabs>
              <w:spacing w:line="256" w:lineRule="auto"/>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Extent to which underperforming IDI indicators improve in targeted subnational regions</w:t>
            </w:r>
          </w:p>
          <w:p w14:paraId="507BAC94" w14:textId="77777777" w:rsidR="00792704" w:rsidRPr="001F3203" w:rsidRDefault="00792704">
            <w:pPr>
              <w:spacing w:line="256" w:lineRule="auto"/>
              <w:rPr>
                <w:bCs/>
                <w:color w:val="000000"/>
                <w:sz w:val="16"/>
                <w:szCs w:val="16"/>
                <w:lang w:val="en-GB" w:eastAsia="en-GB"/>
              </w:rPr>
            </w:pPr>
            <w:r w:rsidRPr="001F3203">
              <w:rPr>
                <w:b/>
                <w:iCs/>
                <w:color w:val="000000"/>
                <w:sz w:val="16"/>
                <w:szCs w:val="16"/>
                <w:lang w:eastAsia="en-GB"/>
              </w:rPr>
              <w:t>Baseline</w:t>
            </w:r>
            <w:r w:rsidR="00592EF2" w:rsidRPr="001F3203">
              <w:rPr>
                <w:b/>
                <w:iCs/>
                <w:color w:val="000000"/>
                <w:sz w:val="16"/>
                <w:szCs w:val="16"/>
                <w:lang w:eastAsia="en-GB"/>
              </w:rPr>
              <w:t>(2014)</w:t>
            </w:r>
            <w:r w:rsidRPr="001F3203">
              <w:rPr>
                <w:b/>
                <w:iCs/>
                <w:color w:val="000000"/>
                <w:sz w:val="16"/>
                <w:szCs w:val="16"/>
                <w:lang w:eastAsia="en-GB"/>
              </w:rPr>
              <w:t>:</w:t>
            </w:r>
            <w:r w:rsidRPr="001F3203">
              <w:rPr>
                <w:iCs/>
                <w:color w:val="000000"/>
                <w:sz w:val="16"/>
                <w:szCs w:val="16"/>
                <w:lang w:eastAsia="en-GB"/>
              </w:rPr>
              <w:t xml:space="preserve"> </w:t>
            </w:r>
            <w:r w:rsidR="006F0BBC" w:rsidRPr="001F3203">
              <w:rPr>
                <w:iCs/>
                <w:color w:val="000000"/>
                <w:sz w:val="16"/>
                <w:szCs w:val="16"/>
                <w:lang w:eastAsia="en-GB"/>
              </w:rPr>
              <w:t>1(</w:t>
            </w:r>
            <w:r w:rsidR="003E2594" w:rsidRPr="001F3203">
              <w:rPr>
                <w:iCs/>
                <w:color w:val="000000"/>
                <w:sz w:val="16"/>
                <w:szCs w:val="16"/>
                <w:lang w:eastAsia="en-GB"/>
              </w:rPr>
              <w:t>Ina</w:t>
            </w:r>
            <w:r w:rsidR="006F0BBC" w:rsidRPr="001F3203">
              <w:rPr>
                <w:iCs/>
                <w:color w:val="000000"/>
                <w:sz w:val="16"/>
                <w:szCs w:val="16"/>
                <w:lang w:eastAsia="en-GB"/>
              </w:rPr>
              <w:t>dequately)</w:t>
            </w:r>
            <w:r w:rsidRPr="001F3203">
              <w:rPr>
                <w:iCs/>
                <w:color w:val="000000"/>
                <w:sz w:val="16"/>
                <w:szCs w:val="16"/>
                <w:lang w:eastAsia="en-GB"/>
              </w:rPr>
              <w:br/>
            </w:r>
            <w:r w:rsidRPr="001F3203">
              <w:rPr>
                <w:b/>
                <w:iCs/>
                <w:color w:val="000000"/>
                <w:sz w:val="16"/>
                <w:szCs w:val="16"/>
                <w:lang w:eastAsia="en-GB"/>
              </w:rPr>
              <w:t>Target:</w:t>
            </w:r>
            <w:r w:rsidRPr="001F3203">
              <w:rPr>
                <w:iCs/>
                <w:color w:val="000000"/>
                <w:sz w:val="16"/>
                <w:szCs w:val="16"/>
                <w:lang w:eastAsia="en-GB"/>
              </w:rPr>
              <w:t xml:space="preserve"> </w:t>
            </w:r>
            <w:r w:rsidR="00592EF2" w:rsidRPr="001F3203">
              <w:rPr>
                <w:bCs/>
                <w:color w:val="000000"/>
                <w:sz w:val="16"/>
                <w:szCs w:val="16"/>
                <w:lang w:val="en-GB" w:eastAsia="en-GB"/>
              </w:rPr>
              <w:t>4</w:t>
            </w:r>
            <w:r w:rsidR="006F0BBC" w:rsidRPr="001F3203">
              <w:rPr>
                <w:bCs/>
                <w:color w:val="000000"/>
                <w:sz w:val="16"/>
                <w:szCs w:val="16"/>
                <w:lang w:val="en-GB" w:eastAsia="en-GB"/>
              </w:rPr>
              <w:t>(Largely)</w:t>
            </w:r>
          </w:p>
          <w:p w14:paraId="3398828F" w14:textId="77777777" w:rsidR="00792704" w:rsidRPr="001F3203" w:rsidRDefault="00F17F62">
            <w:pPr>
              <w:spacing w:line="256" w:lineRule="auto"/>
              <w:rPr>
                <w:bCs/>
                <w:color w:val="000000"/>
                <w:sz w:val="16"/>
                <w:szCs w:val="16"/>
                <w:lang w:val="en-GB" w:eastAsia="en-GB"/>
              </w:rPr>
            </w:pPr>
            <w:r w:rsidRPr="001F3203">
              <w:rPr>
                <w:bCs/>
                <w:color w:val="000000"/>
                <w:sz w:val="16"/>
                <w:szCs w:val="16"/>
                <w:lang w:val="en-GB" w:eastAsia="en-GB"/>
              </w:rPr>
              <w:t>Source</w:t>
            </w:r>
            <w:r w:rsidR="00792704" w:rsidRPr="001F3203">
              <w:rPr>
                <w:bCs/>
                <w:color w:val="000000"/>
                <w:sz w:val="16"/>
                <w:szCs w:val="16"/>
                <w:lang w:val="en-GB" w:eastAsia="en-GB"/>
              </w:rPr>
              <w:t>: BPS</w:t>
            </w:r>
            <w:r w:rsidR="00D33A93" w:rsidRPr="001F3203">
              <w:rPr>
                <w:bCs/>
                <w:color w:val="000000"/>
                <w:sz w:val="16"/>
                <w:szCs w:val="16"/>
                <w:lang w:val="en-GB" w:eastAsia="en-GB"/>
              </w:rPr>
              <w:t>-</w:t>
            </w:r>
            <w:r w:rsidR="00792704" w:rsidRPr="001F3203">
              <w:rPr>
                <w:bCs/>
                <w:color w:val="000000"/>
                <w:sz w:val="16"/>
                <w:szCs w:val="16"/>
                <w:lang w:val="en-GB" w:eastAsia="en-GB"/>
              </w:rPr>
              <w:t xml:space="preserve">IDI report </w:t>
            </w:r>
          </w:p>
          <w:p w14:paraId="7CD564CA" w14:textId="77777777" w:rsidR="00792704" w:rsidRPr="001F3203" w:rsidRDefault="00792704">
            <w:pPr>
              <w:spacing w:line="256" w:lineRule="auto"/>
              <w:rPr>
                <w:b/>
                <w:bCs/>
                <w:color w:val="000000"/>
                <w:sz w:val="16"/>
                <w:szCs w:val="16"/>
                <w:lang w:val="en-GB" w:eastAsia="en-GB"/>
              </w:rPr>
            </w:pPr>
          </w:p>
          <w:p w14:paraId="2188861B" w14:textId="77777777" w:rsidR="00792704" w:rsidRPr="001F3203" w:rsidRDefault="00893BB0">
            <w:pPr>
              <w:spacing w:line="256" w:lineRule="auto"/>
              <w:rPr>
                <w:b/>
                <w:bCs/>
                <w:color w:val="000000"/>
                <w:sz w:val="16"/>
                <w:szCs w:val="16"/>
                <w:lang w:val="en-GB" w:eastAsia="en-GB"/>
              </w:rPr>
            </w:pPr>
            <w:r w:rsidRPr="001F3203">
              <w:rPr>
                <w:b/>
                <w:bCs/>
                <w:color w:val="000000"/>
                <w:sz w:val="16"/>
                <w:szCs w:val="16"/>
                <w:lang w:val="en-GB" w:eastAsia="en-GB"/>
              </w:rPr>
              <w:t>4.3-</w:t>
            </w:r>
            <w:r w:rsidR="00792704" w:rsidRPr="001F3203">
              <w:rPr>
                <w:b/>
                <w:bCs/>
                <w:color w:val="000000"/>
                <w:sz w:val="16"/>
                <w:szCs w:val="16"/>
                <w:lang w:val="en-GB" w:eastAsia="en-GB"/>
              </w:rPr>
              <w:t>National policy frameworks and institutional mechanisms enhanced for peaceful management of conflicts</w:t>
            </w:r>
          </w:p>
          <w:p w14:paraId="0D8D82DE" w14:textId="77777777" w:rsidR="00792704" w:rsidRPr="001F3203" w:rsidRDefault="00792704">
            <w:pPr>
              <w:spacing w:line="256" w:lineRule="auto"/>
              <w:rPr>
                <w:b/>
                <w:bCs/>
                <w:color w:val="000000"/>
                <w:sz w:val="16"/>
                <w:szCs w:val="16"/>
                <w:lang w:val="en-GB" w:eastAsia="en-GB"/>
              </w:rPr>
            </w:pPr>
          </w:p>
          <w:p w14:paraId="08E235F3" w14:textId="19A8C2B0"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Indicator:</w:t>
            </w:r>
            <w:r w:rsidRPr="001F3203">
              <w:rPr>
                <w:bCs/>
                <w:color w:val="000000"/>
                <w:sz w:val="16"/>
                <w:szCs w:val="16"/>
                <w:lang w:val="en-GB" w:eastAsia="en-GB"/>
              </w:rPr>
              <w:t xml:space="preserve"> Extent to which </w:t>
            </w:r>
            <w:r w:rsidR="00592EF2" w:rsidRPr="001F3203">
              <w:rPr>
                <w:bCs/>
                <w:color w:val="000000"/>
                <w:sz w:val="16"/>
                <w:szCs w:val="16"/>
                <w:lang w:val="en-GB" w:eastAsia="en-GB"/>
              </w:rPr>
              <w:t xml:space="preserve">targeted </w:t>
            </w:r>
            <w:r w:rsidR="002447A2" w:rsidRPr="001F3203">
              <w:rPr>
                <w:bCs/>
                <w:color w:val="000000"/>
                <w:sz w:val="16"/>
                <w:szCs w:val="16"/>
                <w:lang w:val="en-GB" w:eastAsia="en-GB"/>
              </w:rPr>
              <w:t>national/sub-national</w:t>
            </w:r>
            <w:r w:rsidR="00592EF2" w:rsidRPr="001F3203">
              <w:rPr>
                <w:bCs/>
                <w:color w:val="000000"/>
                <w:sz w:val="16"/>
                <w:szCs w:val="16"/>
                <w:lang w:val="en-GB" w:eastAsia="en-GB"/>
              </w:rPr>
              <w:t xml:space="preserve"> governments and CSOs/</w:t>
            </w:r>
            <w:r w:rsidR="007E3A32">
              <w:rPr>
                <w:bCs/>
                <w:color w:val="000000"/>
                <w:sz w:val="16"/>
                <w:szCs w:val="16"/>
                <w:lang w:val="en-GB" w:eastAsia="en-GB"/>
              </w:rPr>
              <w:t>community-based organizations</w:t>
            </w:r>
            <w:r w:rsidR="007E3A32" w:rsidRPr="001F3203">
              <w:rPr>
                <w:bCs/>
                <w:color w:val="000000"/>
                <w:sz w:val="16"/>
                <w:szCs w:val="16"/>
                <w:lang w:val="en-GB" w:eastAsia="en-GB"/>
              </w:rPr>
              <w:t xml:space="preserve"> </w:t>
            </w:r>
            <w:r w:rsidR="00592EF2" w:rsidRPr="001F3203">
              <w:rPr>
                <w:bCs/>
                <w:color w:val="000000"/>
                <w:sz w:val="16"/>
                <w:szCs w:val="16"/>
                <w:lang w:val="en-GB" w:eastAsia="en-GB"/>
              </w:rPr>
              <w:t xml:space="preserve">have the technical capacities to address conflict. </w:t>
            </w:r>
          </w:p>
          <w:p w14:paraId="693C60B3" w14:textId="77777777"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Baseline</w:t>
            </w:r>
            <w:r w:rsidR="00592EF2" w:rsidRPr="001F3203">
              <w:rPr>
                <w:b/>
                <w:bCs/>
                <w:color w:val="000000"/>
                <w:sz w:val="16"/>
                <w:szCs w:val="16"/>
                <w:lang w:val="en-GB" w:eastAsia="en-GB"/>
              </w:rPr>
              <w:t>(2014)</w:t>
            </w:r>
            <w:r w:rsidRPr="001F3203">
              <w:rPr>
                <w:b/>
                <w:bCs/>
                <w:color w:val="000000"/>
                <w:sz w:val="16"/>
                <w:szCs w:val="16"/>
                <w:lang w:val="en-GB" w:eastAsia="en-GB"/>
              </w:rPr>
              <w:t>:</w:t>
            </w:r>
            <w:r w:rsidR="00893BB0" w:rsidRPr="001F3203">
              <w:rPr>
                <w:bCs/>
                <w:color w:val="000000"/>
                <w:sz w:val="16"/>
                <w:szCs w:val="16"/>
                <w:lang w:val="en-GB" w:eastAsia="en-GB"/>
              </w:rPr>
              <w:t xml:space="preserve"> 2</w:t>
            </w:r>
            <w:r w:rsidRPr="001F3203">
              <w:rPr>
                <w:bCs/>
                <w:color w:val="000000"/>
                <w:sz w:val="16"/>
                <w:szCs w:val="16"/>
                <w:lang w:val="en-GB" w:eastAsia="en-GB"/>
              </w:rPr>
              <w:t>(</w:t>
            </w:r>
            <w:r w:rsidR="002447A2" w:rsidRPr="001F3203">
              <w:rPr>
                <w:bCs/>
                <w:color w:val="000000"/>
                <w:sz w:val="16"/>
                <w:szCs w:val="16"/>
                <w:lang w:val="en-GB" w:eastAsia="en-GB"/>
              </w:rPr>
              <w:t xml:space="preserve">Very </w:t>
            </w:r>
            <w:r w:rsidRPr="001F3203">
              <w:rPr>
                <w:bCs/>
                <w:color w:val="000000"/>
                <w:sz w:val="16"/>
                <w:szCs w:val="16"/>
                <w:lang w:val="en-GB" w:eastAsia="en-GB"/>
              </w:rPr>
              <w:t xml:space="preserve">Partially) </w:t>
            </w:r>
          </w:p>
          <w:p w14:paraId="4C56A06C" w14:textId="77777777" w:rsidR="00792704" w:rsidRPr="001F3203" w:rsidRDefault="00792704">
            <w:pPr>
              <w:spacing w:line="256" w:lineRule="auto"/>
              <w:rPr>
                <w:bCs/>
                <w:color w:val="000000"/>
                <w:sz w:val="16"/>
                <w:szCs w:val="16"/>
                <w:lang w:val="en-GB" w:eastAsia="en-GB"/>
              </w:rPr>
            </w:pPr>
            <w:r w:rsidRPr="001F3203">
              <w:rPr>
                <w:b/>
                <w:bCs/>
                <w:color w:val="000000"/>
                <w:sz w:val="16"/>
                <w:szCs w:val="16"/>
                <w:lang w:val="en-GB" w:eastAsia="en-GB"/>
              </w:rPr>
              <w:t xml:space="preserve">Target: </w:t>
            </w:r>
            <w:r w:rsidR="002447A2" w:rsidRPr="001F3203">
              <w:rPr>
                <w:bCs/>
                <w:color w:val="000000"/>
                <w:sz w:val="16"/>
                <w:szCs w:val="16"/>
                <w:lang w:val="en-GB" w:eastAsia="en-GB"/>
              </w:rPr>
              <w:t>4</w:t>
            </w:r>
            <w:r w:rsidRPr="001F3203">
              <w:rPr>
                <w:bCs/>
                <w:color w:val="000000"/>
                <w:sz w:val="16"/>
                <w:szCs w:val="16"/>
                <w:lang w:val="en-GB" w:eastAsia="en-GB"/>
              </w:rPr>
              <w:t>(Largely)</w:t>
            </w:r>
          </w:p>
          <w:p w14:paraId="32553091" w14:textId="77777777" w:rsidR="00792704" w:rsidRPr="001F3203" w:rsidRDefault="00F17F62">
            <w:pPr>
              <w:tabs>
                <w:tab w:val="left" w:pos="423"/>
              </w:tabs>
              <w:rPr>
                <w:iCs/>
                <w:color w:val="000000"/>
                <w:sz w:val="16"/>
                <w:szCs w:val="16"/>
                <w:lang w:eastAsia="en-GB"/>
              </w:rPr>
            </w:pPr>
            <w:r w:rsidRPr="001F3203">
              <w:rPr>
                <w:b/>
                <w:iCs/>
                <w:color w:val="000000"/>
                <w:sz w:val="16"/>
                <w:szCs w:val="16"/>
                <w:lang w:eastAsia="en-GB"/>
              </w:rPr>
              <w:t>Source</w:t>
            </w:r>
            <w:r w:rsidR="00792704" w:rsidRPr="001F3203">
              <w:rPr>
                <w:b/>
                <w:iCs/>
                <w:color w:val="000000"/>
                <w:sz w:val="16"/>
                <w:szCs w:val="16"/>
                <w:lang w:eastAsia="en-GB"/>
              </w:rPr>
              <w:t xml:space="preserve">: </w:t>
            </w:r>
            <w:r w:rsidR="00792704" w:rsidRPr="001F3203">
              <w:rPr>
                <w:iCs/>
                <w:color w:val="000000"/>
                <w:sz w:val="16"/>
                <w:szCs w:val="16"/>
                <w:lang w:eastAsia="en-GB"/>
              </w:rPr>
              <w:t>Project evaluation</w:t>
            </w:r>
          </w:p>
          <w:p w14:paraId="093502A5" w14:textId="77777777" w:rsidR="000A6B8A" w:rsidRPr="001F3203" w:rsidRDefault="000A6B8A">
            <w:pPr>
              <w:tabs>
                <w:tab w:val="left" w:pos="423"/>
              </w:tabs>
              <w:rPr>
                <w:iCs/>
                <w:color w:val="000000"/>
                <w:sz w:val="16"/>
                <w:szCs w:val="16"/>
                <w:lang w:eastAsia="en-GB"/>
              </w:rPr>
            </w:pPr>
          </w:p>
          <w:p w14:paraId="51B330DB" w14:textId="7A41A995" w:rsidR="000A6B8A" w:rsidRPr="001F3203" w:rsidRDefault="000A6B8A">
            <w:pPr>
              <w:tabs>
                <w:tab w:val="left" w:pos="423"/>
              </w:tabs>
              <w:rPr>
                <w:b/>
                <w:iCs/>
                <w:color w:val="000000"/>
                <w:sz w:val="16"/>
                <w:szCs w:val="16"/>
                <w:lang w:eastAsia="en-GB"/>
              </w:rPr>
            </w:pPr>
            <w:r w:rsidRPr="001F3203">
              <w:rPr>
                <w:b/>
                <w:iCs/>
                <w:color w:val="000000"/>
                <w:sz w:val="16"/>
                <w:szCs w:val="16"/>
                <w:lang w:eastAsia="en-GB"/>
              </w:rPr>
              <w:t>4.4</w:t>
            </w:r>
            <w:r w:rsidR="004648AF" w:rsidRPr="001F3203">
              <w:rPr>
                <w:b/>
                <w:iCs/>
                <w:color w:val="000000"/>
                <w:sz w:val="16"/>
                <w:szCs w:val="16"/>
                <w:lang w:eastAsia="en-GB"/>
              </w:rPr>
              <w:t>-</w:t>
            </w:r>
            <w:r w:rsidR="004648AF" w:rsidRPr="001F3203">
              <w:rPr>
                <w:b/>
              </w:rPr>
              <w:t xml:space="preserve"> </w:t>
            </w:r>
            <w:r w:rsidR="004648AF" w:rsidRPr="001F3203">
              <w:rPr>
                <w:b/>
                <w:iCs/>
                <w:color w:val="000000"/>
                <w:sz w:val="16"/>
                <w:szCs w:val="16"/>
                <w:lang w:eastAsia="en-GB"/>
              </w:rPr>
              <w:t xml:space="preserve">South-South and </w:t>
            </w:r>
            <w:r w:rsidR="00AF65F1">
              <w:rPr>
                <w:b/>
                <w:iCs/>
                <w:color w:val="000000"/>
                <w:sz w:val="16"/>
                <w:szCs w:val="16"/>
                <w:lang w:eastAsia="en-GB"/>
              </w:rPr>
              <w:t>t</w:t>
            </w:r>
            <w:r w:rsidR="00AF65F1" w:rsidRPr="001F3203">
              <w:rPr>
                <w:b/>
                <w:iCs/>
                <w:color w:val="000000"/>
                <w:sz w:val="16"/>
                <w:szCs w:val="16"/>
                <w:lang w:eastAsia="en-GB"/>
              </w:rPr>
              <w:t xml:space="preserve">riangular </w:t>
            </w:r>
            <w:r w:rsidR="004648AF" w:rsidRPr="001F3203">
              <w:rPr>
                <w:b/>
                <w:iCs/>
                <w:color w:val="000000"/>
                <w:sz w:val="16"/>
                <w:szCs w:val="16"/>
                <w:lang w:eastAsia="en-GB"/>
              </w:rPr>
              <w:t>cooperation partnerships established and/or strengthened for development solutions.</w:t>
            </w:r>
          </w:p>
          <w:p w14:paraId="6266353F" w14:textId="77777777" w:rsidR="004648AF" w:rsidRPr="001F3203" w:rsidRDefault="004648AF">
            <w:pPr>
              <w:tabs>
                <w:tab w:val="left" w:pos="423"/>
              </w:tabs>
              <w:rPr>
                <w:iCs/>
                <w:color w:val="000000"/>
                <w:sz w:val="16"/>
                <w:szCs w:val="16"/>
                <w:lang w:eastAsia="en-GB"/>
              </w:rPr>
            </w:pPr>
          </w:p>
          <w:p w14:paraId="06159D1D" w14:textId="4E695AA7" w:rsidR="004648AF" w:rsidRPr="001F3203" w:rsidRDefault="004648AF">
            <w:pPr>
              <w:tabs>
                <w:tab w:val="left" w:pos="423"/>
              </w:tabs>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Number of partnerships that deliver measurable and sustainable develo</w:t>
            </w:r>
            <w:r w:rsidR="00D33A93" w:rsidRPr="001F3203">
              <w:rPr>
                <w:iCs/>
                <w:color w:val="000000"/>
                <w:sz w:val="16"/>
                <w:szCs w:val="16"/>
                <w:lang w:eastAsia="en-GB"/>
              </w:rPr>
              <w:t>pment benefits for participants</w:t>
            </w:r>
          </w:p>
          <w:p w14:paraId="0639123E" w14:textId="77777777" w:rsidR="004648AF" w:rsidRPr="001F3203" w:rsidRDefault="004648AF">
            <w:pPr>
              <w:tabs>
                <w:tab w:val="left" w:pos="423"/>
              </w:tabs>
              <w:rPr>
                <w:iCs/>
                <w:color w:val="000000"/>
                <w:sz w:val="16"/>
                <w:szCs w:val="16"/>
                <w:lang w:eastAsia="en-GB"/>
              </w:rPr>
            </w:pPr>
            <w:r w:rsidRPr="001F3203">
              <w:rPr>
                <w:b/>
                <w:iCs/>
                <w:color w:val="000000"/>
                <w:sz w:val="16"/>
                <w:szCs w:val="16"/>
                <w:lang w:eastAsia="en-GB"/>
              </w:rPr>
              <w:t>Baseline(2011-2015):</w:t>
            </w:r>
            <w:r w:rsidR="00D33A93" w:rsidRPr="001F3203">
              <w:rPr>
                <w:iCs/>
                <w:color w:val="000000"/>
                <w:sz w:val="16"/>
                <w:szCs w:val="16"/>
                <w:lang w:eastAsia="en-GB"/>
              </w:rPr>
              <w:t xml:space="preserve"> 11</w:t>
            </w:r>
          </w:p>
          <w:p w14:paraId="567D8A8C" w14:textId="77777777" w:rsidR="004648AF" w:rsidRPr="001F3203" w:rsidRDefault="004648AF">
            <w:pPr>
              <w:tabs>
                <w:tab w:val="left" w:pos="423"/>
              </w:tabs>
              <w:rPr>
                <w:iCs/>
                <w:color w:val="000000"/>
                <w:sz w:val="16"/>
                <w:szCs w:val="16"/>
                <w:lang w:eastAsia="en-GB"/>
              </w:rPr>
            </w:pPr>
            <w:r w:rsidRPr="001F3203">
              <w:rPr>
                <w:b/>
                <w:iCs/>
                <w:color w:val="000000"/>
                <w:sz w:val="16"/>
                <w:szCs w:val="16"/>
                <w:lang w:eastAsia="en-GB"/>
              </w:rPr>
              <w:t>Target:</w:t>
            </w:r>
            <w:r w:rsidRPr="001F3203">
              <w:rPr>
                <w:iCs/>
                <w:color w:val="000000"/>
                <w:sz w:val="16"/>
                <w:szCs w:val="16"/>
                <w:lang w:eastAsia="en-GB"/>
              </w:rPr>
              <w:t xml:space="preserve"> 25</w:t>
            </w:r>
          </w:p>
          <w:p w14:paraId="2938F547" w14:textId="77777777" w:rsidR="004648AF" w:rsidRPr="001F3203" w:rsidRDefault="004648AF">
            <w:pPr>
              <w:tabs>
                <w:tab w:val="left" w:pos="423"/>
              </w:tabs>
              <w:rPr>
                <w:iCs/>
                <w:color w:val="000000"/>
                <w:sz w:val="16"/>
                <w:szCs w:val="16"/>
                <w:lang w:eastAsia="en-GB"/>
              </w:rPr>
            </w:pPr>
          </w:p>
          <w:p w14:paraId="09266529" w14:textId="5F0B2861" w:rsidR="004648AF" w:rsidRPr="001F3203" w:rsidRDefault="004648AF">
            <w:pPr>
              <w:tabs>
                <w:tab w:val="left" w:pos="423"/>
              </w:tabs>
              <w:rPr>
                <w:iCs/>
                <w:color w:val="000000"/>
                <w:sz w:val="16"/>
                <w:szCs w:val="16"/>
                <w:lang w:eastAsia="en-GB"/>
              </w:rPr>
            </w:pPr>
            <w:r w:rsidRPr="001F3203">
              <w:rPr>
                <w:b/>
                <w:iCs/>
                <w:color w:val="000000"/>
                <w:sz w:val="16"/>
                <w:szCs w:val="16"/>
                <w:lang w:eastAsia="en-GB"/>
              </w:rPr>
              <w:t>Indicator:</w:t>
            </w:r>
            <w:r w:rsidRPr="001F3203">
              <w:rPr>
                <w:iCs/>
                <w:color w:val="000000"/>
                <w:sz w:val="16"/>
                <w:szCs w:val="16"/>
                <w:lang w:eastAsia="en-GB"/>
              </w:rPr>
              <w:t xml:space="preserve"> </w:t>
            </w:r>
            <w:r w:rsidR="00B957AF">
              <w:rPr>
                <w:iCs/>
                <w:color w:val="000000"/>
                <w:sz w:val="16"/>
                <w:szCs w:val="16"/>
                <w:lang w:eastAsia="en-GB"/>
              </w:rPr>
              <w:t xml:space="preserve">Mechanism for a One Gate Policy established for </w:t>
            </w:r>
            <w:r w:rsidR="007E3A32">
              <w:rPr>
                <w:iCs/>
                <w:color w:val="000000"/>
                <w:sz w:val="16"/>
                <w:szCs w:val="16"/>
                <w:lang w:eastAsia="en-GB"/>
              </w:rPr>
              <w:t>South-South and triangular cooperation</w:t>
            </w:r>
            <w:r w:rsidRPr="001F3203">
              <w:rPr>
                <w:iCs/>
                <w:color w:val="000000"/>
                <w:sz w:val="16"/>
                <w:szCs w:val="16"/>
                <w:lang w:eastAsia="en-GB"/>
              </w:rPr>
              <w:t>.</w:t>
            </w:r>
          </w:p>
          <w:p w14:paraId="21038A7F" w14:textId="3318A812" w:rsidR="004648AF" w:rsidRPr="001F3203" w:rsidRDefault="004648AF">
            <w:pPr>
              <w:tabs>
                <w:tab w:val="left" w:pos="423"/>
              </w:tabs>
              <w:rPr>
                <w:iCs/>
                <w:color w:val="000000"/>
                <w:sz w:val="16"/>
                <w:szCs w:val="16"/>
                <w:lang w:eastAsia="en-GB"/>
              </w:rPr>
            </w:pPr>
            <w:r w:rsidRPr="001F3203">
              <w:rPr>
                <w:b/>
                <w:iCs/>
                <w:color w:val="000000"/>
                <w:sz w:val="16"/>
                <w:szCs w:val="16"/>
                <w:lang w:eastAsia="en-GB"/>
              </w:rPr>
              <w:t>Baseline</w:t>
            </w:r>
            <w:r w:rsidR="0056307F">
              <w:rPr>
                <w:b/>
                <w:iCs/>
                <w:color w:val="000000"/>
                <w:sz w:val="16"/>
                <w:szCs w:val="16"/>
                <w:lang w:eastAsia="en-GB"/>
              </w:rPr>
              <w:t xml:space="preserve"> </w:t>
            </w:r>
            <w:r w:rsidRPr="001F3203">
              <w:rPr>
                <w:b/>
                <w:iCs/>
                <w:color w:val="000000"/>
                <w:sz w:val="16"/>
                <w:szCs w:val="16"/>
                <w:lang w:eastAsia="en-GB"/>
              </w:rPr>
              <w:t>(2014):</w:t>
            </w:r>
            <w:r w:rsidRPr="001F3203">
              <w:rPr>
                <w:iCs/>
                <w:color w:val="000000"/>
                <w:sz w:val="16"/>
                <w:szCs w:val="16"/>
                <w:lang w:eastAsia="en-GB"/>
              </w:rPr>
              <w:t xml:space="preserve"> </w:t>
            </w:r>
            <w:r w:rsidR="004D698C">
              <w:rPr>
                <w:iCs/>
                <w:color w:val="000000"/>
                <w:sz w:val="16"/>
                <w:szCs w:val="16"/>
                <w:lang w:eastAsia="en-GB"/>
              </w:rPr>
              <w:t xml:space="preserve">Indonesia does not have </w:t>
            </w:r>
            <w:r w:rsidR="00E47C80">
              <w:rPr>
                <w:iCs/>
                <w:color w:val="000000"/>
                <w:sz w:val="16"/>
                <w:szCs w:val="16"/>
                <w:lang w:eastAsia="en-GB"/>
              </w:rPr>
              <w:t xml:space="preserve">a </w:t>
            </w:r>
            <w:r w:rsidR="00B957AF">
              <w:rPr>
                <w:iCs/>
                <w:color w:val="000000"/>
                <w:sz w:val="16"/>
                <w:szCs w:val="16"/>
                <w:lang w:eastAsia="en-GB"/>
              </w:rPr>
              <w:t>One Gate Policy</w:t>
            </w:r>
            <w:r w:rsidRPr="001F3203">
              <w:rPr>
                <w:iCs/>
                <w:color w:val="000000"/>
                <w:sz w:val="16"/>
                <w:szCs w:val="16"/>
                <w:lang w:eastAsia="en-GB"/>
              </w:rPr>
              <w:t>.</w:t>
            </w:r>
          </w:p>
          <w:p w14:paraId="2D07BFD3" w14:textId="53F48CCF" w:rsidR="00792704" w:rsidRPr="0056307F" w:rsidRDefault="004648AF" w:rsidP="0056307F">
            <w:pPr>
              <w:tabs>
                <w:tab w:val="left" w:pos="423"/>
              </w:tabs>
              <w:rPr>
                <w:iCs/>
                <w:color w:val="000000"/>
                <w:sz w:val="16"/>
                <w:szCs w:val="16"/>
                <w:lang w:eastAsia="en-GB"/>
              </w:rPr>
            </w:pPr>
            <w:r w:rsidRPr="001F3203">
              <w:rPr>
                <w:b/>
                <w:iCs/>
                <w:color w:val="000000"/>
                <w:sz w:val="16"/>
                <w:szCs w:val="16"/>
                <w:lang w:eastAsia="en-GB"/>
              </w:rPr>
              <w:t>Target:</w:t>
            </w:r>
            <w:r w:rsidRPr="001F3203">
              <w:rPr>
                <w:iCs/>
                <w:color w:val="000000"/>
                <w:sz w:val="16"/>
                <w:szCs w:val="16"/>
                <w:lang w:eastAsia="en-GB"/>
              </w:rPr>
              <w:t xml:space="preserve"> </w:t>
            </w:r>
            <w:r w:rsidR="00EC3289" w:rsidRPr="001F3203">
              <w:rPr>
                <w:iCs/>
                <w:color w:val="000000"/>
                <w:sz w:val="16"/>
                <w:szCs w:val="16"/>
                <w:lang w:eastAsia="en-GB"/>
              </w:rPr>
              <w:t xml:space="preserve">Indonesia has </w:t>
            </w:r>
            <w:r w:rsidR="00B957AF">
              <w:rPr>
                <w:iCs/>
                <w:color w:val="000000"/>
                <w:sz w:val="16"/>
                <w:szCs w:val="16"/>
                <w:lang w:eastAsia="en-GB"/>
              </w:rPr>
              <w:t xml:space="preserve">the institutional and regulatory framework for a One Gate Policy. </w:t>
            </w:r>
          </w:p>
        </w:tc>
        <w:tc>
          <w:tcPr>
            <w:tcW w:w="1079" w:type="pct"/>
            <w:vMerge w:val="restart"/>
          </w:tcPr>
          <w:p w14:paraId="1D56D580"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lastRenderedPageBreak/>
              <w:t>BAPPENAS</w:t>
            </w:r>
          </w:p>
          <w:p w14:paraId="27494CCB"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t>Supreme Court</w:t>
            </w:r>
          </w:p>
          <w:p w14:paraId="4213D18D"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t>Ministry of Law and Human Rights</w:t>
            </w:r>
          </w:p>
          <w:p w14:paraId="0D5AE4D8" w14:textId="77777777" w:rsidR="00792704" w:rsidRPr="001F3203" w:rsidRDefault="00792704">
            <w:pPr>
              <w:spacing w:after="120"/>
              <w:rPr>
                <w:color w:val="000000"/>
                <w:sz w:val="16"/>
                <w:szCs w:val="16"/>
              </w:rPr>
            </w:pPr>
            <w:r w:rsidRPr="001F3203">
              <w:rPr>
                <w:iCs/>
                <w:color w:val="000000"/>
                <w:sz w:val="16"/>
                <w:szCs w:val="16"/>
                <w:lang w:val="en-GB"/>
              </w:rPr>
              <w:t xml:space="preserve">Ministry of </w:t>
            </w:r>
            <w:r w:rsidRPr="001F3203">
              <w:rPr>
                <w:sz w:val="16"/>
                <w:szCs w:val="16"/>
              </w:rPr>
              <w:t>Village, Disadvantaged Regions and Transmigration</w:t>
            </w:r>
          </w:p>
          <w:p w14:paraId="7309E50B" w14:textId="61B5ADF7" w:rsidR="00792704" w:rsidRPr="001F3203" w:rsidRDefault="00792704">
            <w:pPr>
              <w:spacing w:after="120"/>
              <w:rPr>
                <w:iCs/>
                <w:color w:val="000000"/>
                <w:sz w:val="16"/>
                <w:szCs w:val="16"/>
                <w:lang w:val="en-GB" w:eastAsia="en-GB"/>
              </w:rPr>
            </w:pPr>
            <w:r w:rsidRPr="001F3203">
              <w:rPr>
                <w:iCs/>
                <w:color w:val="000000"/>
                <w:sz w:val="16"/>
                <w:szCs w:val="16"/>
                <w:lang w:val="en-GB" w:eastAsia="en-GB"/>
              </w:rPr>
              <w:t xml:space="preserve">Subnational </w:t>
            </w:r>
            <w:r w:rsidR="00AF65F1">
              <w:rPr>
                <w:iCs/>
                <w:color w:val="000000"/>
                <w:sz w:val="16"/>
                <w:szCs w:val="16"/>
                <w:lang w:val="en-GB" w:eastAsia="en-GB"/>
              </w:rPr>
              <w:t>g</w:t>
            </w:r>
            <w:r w:rsidR="00AF65F1" w:rsidRPr="001F3203">
              <w:rPr>
                <w:iCs/>
                <w:color w:val="000000"/>
                <w:sz w:val="16"/>
                <w:szCs w:val="16"/>
                <w:lang w:val="en-GB" w:eastAsia="en-GB"/>
              </w:rPr>
              <w:t xml:space="preserve">overnment </w:t>
            </w:r>
            <w:r w:rsidR="00AF65F1">
              <w:rPr>
                <w:iCs/>
                <w:color w:val="000000"/>
                <w:sz w:val="16"/>
                <w:szCs w:val="16"/>
                <w:lang w:val="en-GB" w:eastAsia="en-GB"/>
              </w:rPr>
              <w:t>i</w:t>
            </w:r>
            <w:r w:rsidR="00AF65F1" w:rsidRPr="001F3203">
              <w:rPr>
                <w:iCs/>
                <w:color w:val="000000"/>
                <w:sz w:val="16"/>
                <w:szCs w:val="16"/>
                <w:lang w:val="en-GB" w:eastAsia="en-GB"/>
              </w:rPr>
              <w:t>nstitutions</w:t>
            </w:r>
          </w:p>
          <w:p w14:paraId="5DA4C823" w14:textId="4F6E8512" w:rsidR="00792704" w:rsidRPr="001F3203" w:rsidRDefault="00792704">
            <w:pPr>
              <w:spacing w:after="120"/>
              <w:rPr>
                <w:iCs/>
                <w:color w:val="000000"/>
                <w:sz w:val="16"/>
                <w:szCs w:val="16"/>
                <w:lang w:val="en-GB" w:eastAsia="en-GB"/>
              </w:rPr>
            </w:pPr>
            <w:r w:rsidRPr="001F3203">
              <w:rPr>
                <w:iCs/>
                <w:color w:val="000000"/>
                <w:sz w:val="16"/>
                <w:szCs w:val="16"/>
                <w:lang w:val="en-GB" w:eastAsia="en-GB"/>
              </w:rPr>
              <w:t xml:space="preserve">CSOs and </w:t>
            </w:r>
            <w:r w:rsidR="00AF65F1">
              <w:rPr>
                <w:iCs/>
                <w:color w:val="000000"/>
                <w:sz w:val="16"/>
                <w:szCs w:val="16"/>
                <w:lang w:val="en-GB" w:eastAsia="en-GB"/>
              </w:rPr>
              <w:t>t</w:t>
            </w:r>
            <w:r w:rsidR="00AF65F1" w:rsidRPr="001F3203">
              <w:rPr>
                <w:iCs/>
                <w:color w:val="000000"/>
                <w:sz w:val="16"/>
                <w:szCs w:val="16"/>
                <w:lang w:val="en-GB" w:eastAsia="en-GB"/>
              </w:rPr>
              <w:t xml:space="preserve">hink </w:t>
            </w:r>
            <w:r w:rsidR="00AF65F1">
              <w:rPr>
                <w:iCs/>
                <w:color w:val="000000"/>
                <w:sz w:val="16"/>
                <w:szCs w:val="16"/>
                <w:lang w:val="en-GB" w:eastAsia="en-GB"/>
              </w:rPr>
              <w:t>t</w:t>
            </w:r>
            <w:r w:rsidR="00AF65F1" w:rsidRPr="001F3203">
              <w:rPr>
                <w:iCs/>
                <w:color w:val="000000"/>
                <w:sz w:val="16"/>
                <w:szCs w:val="16"/>
                <w:lang w:val="en-GB" w:eastAsia="en-GB"/>
              </w:rPr>
              <w:t>anks</w:t>
            </w:r>
          </w:p>
          <w:p w14:paraId="159ECB59" w14:textId="5DF3E9AA" w:rsidR="00792704" w:rsidRPr="001F3203" w:rsidRDefault="00792704">
            <w:pPr>
              <w:spacing w:after="120"/>
              <w:rPr>
                <w:iCs/>
                <w:color w:val="000000"/>
                <w:sz w:val="16"/>
                <w:szCs w:val="16"/>
                <w:lang w:val="en-GB" w:eastAsia="en-GB"/>
              </w:rPr>
            </w:pPr>
            <w:r w:rsidRPr="001F3203">
              <w:rPr>
                <w:iCs/>
                <w:color w:val="000000"/>
                <w:sz w:val="16"/>
                <w:szCs w:val="16"/>
                <w:lang w:val="en-GB" w:eastAsia="en-GB"/>
              </w:rPr>
              <w:t>UN</w:t>
            </w:r>
            <w:r w:rsidR="00AF65F1">
              <w:rPr>
                <w:iCs/>
                <w:color w:val="000000"/>
                <w:sz w:val="16"/>
                <w:szCs w:val="16"/>
                <w:lang w:val="en-GB" w:eastAsia="en-GB"/>
              </w:rPr>
              <w:t>-</w:t>
            </w:r>
            <w:r w:rsidR="00AF65F1" w:rsidRPr="001F3203">
              <w:rPr>
                <w:iCs/>
                <w:color w:val="000000"/>
                <w:sz w:val="16"/>
                <w:szCs w:val="16"/>
                <w:lang w:val="en-GB" w:eastAsia="en-GB"/>
              </w:rPr>
              <w:t>W</w:t>
            </w:r>
            <w:r w:rsidR="00AF65F1">
              <w:rPr>
                <w:iCs/>
                <w:color w:val="000000"/>
                <w:sz w:val="16"/>
                <w:szCs w:val="16"/>
                <w:lang w:val="en-GB" w:eastAsia="en-GB"/>
              </w:rPr>
              <w:t>omen</w:t>
            </w:r>
          </w:p>
          <w:p w14:paraId="07EBC6A3" w14:textId="77777777" w:rsidR="00792704" w:rsidRPr="001F3203" w:rsidRDefault="00792704">
            <w:pPr>
              <w:spacing w:after="120"/>
              <w:rPr>
                <w:iCs/>
                <w:color w:val="000000"/>
                <w:sz w:val="16"/>
                <w:szCs w:val="16"/>
                <w:lang w:val="en-GB" w:eastAsia="en-GB"/>
              </w:rPr>
            </w:pPr>
            <w:r w:rsidRPr="001F3203">
              <w:rPr>
                <w:iCs/>
                <w:color w:val="000000"/>
                <w:sz w:val="16"/>
                <w:szCs w:val="16"/>
                <w:lang w:val="en-GB" w:eastAsia="en-GB"/>
              </w:rPr>
              <w:lastRenderedPageBreak/>
              <w:t>ILO</w:t>
            </w:r>
          </w:p>
          <w:p w14:paraId="7B30229E" w14:textId="77777777" w:rsidR="00792704" w:rsidRPr="001F3203" w:rsidRDefault="00792704">
            <w:pPr>
              <w:spacing w:after="120"/>
              <w:rPr>
                <w:iCs/>
                <w:color w:val="000000"/>
                <w:sz w:val="16"/>
                <w:szCs w:val="16"/>
                <w:lang w:val="en-GB" w:eastAsia="en-GB"/>
              </w:rPr>
            </w:pPr>
          </w:p>
          <w:p w14:paraId="00AD0B93" w14:textId="77777777" w:rsidR="00792704" w:rsidRPr="001F3203" w:rsidRDefault="00792704">
            <w:pPr>
              <w:spacing w:after="120"/>
              <w:rPr>
                <w:i/>
                <w:iCs/>
                <w:color w:val="000000"/>
                <w:sz w:val="16"/>
                <w:szCs w:val="16"/>
                <w:lang w:val="en-GB" w:eastAsia="en-GB"/>
              </w:rPr>
            </w:pPr>
          </w:p>
          <w:p w14:paraId="09A1C9C4" w14:textId="77777777" w:rsidR="00792704" w:rsidRPr="001F3203" w:rsidRDefault="00792704">
            <w:pPr>
              <w:rPr>
                <w:i/>
                <w:iCs/>
                <w:color w:val="000000"/>
                <w:sz w:val="16"/>
                <w:szCs w:val="16"/>
                <w:lang w:val="en-GB"/>
              </w:rPr>
            </w:pPr>
          </w:p>
        </w:tc>
        <w:tc>
          <w:tcPr>
            <w:tcW w:w="589" w:type="pct"/>
            <w:tcMar>
              <w:top w:w="15" w:type="dxa"/>
              <w:left w:w="108" w:type="dxa"/>
              <w:bottom w:w="0" w:type="dxa"/>
              <w:right w:w="108" w:type="dxa"/>
            </w:tcMar>
          </w:tcPr>
          <w:p w14:paraId="1EC622FF" w14:textId="77777777" w:rsidR="00792704" w:rsidRPr="001F3203" w:rsidRDefault="00792704">
            <w:pPr>
              <w:rPr>
                <w:b/>
                <w:color w:val="000000"/>
                <w:sz w:val="16"/>
                <w:szCs w:val="16"/>
              </w:rPr>
            </w:pPr>
            <w:r w:rsidRPr="001F3203">
              <w:rPr>
                <w:b/>
                <w:color w:val="000000"/>
                <w:sz w:val="16"/>
                <w:szCs w:val="16"/>
              </w:rPr>
              <w:lastRenderedPageBreak/>
              <w:t>Regular</w:t>
            </w:r>
          </w:p>
          <w:p w14:paraId="323957DB" w14:textId="77777777" w:rsidR="00792704" w:rsidRPr="001F3203" w:rsidRDefault="005A2FD8" w:rsidP="005A2FD8">
            <w:pPr>
              <w:rPr>
                <w:b/>
                <w:color w:val="000000"/>
                <w:sz w:val="16"/>
                <w:szCs w:val="16"/>
              </w:rPr>
            </w:pPr>
            <w:r>
              <w:rPr>
                <w:b/>
                <w:color w:val="000000"/>
                <w:sz w:val="16"/>
                <w:szCs w:val="16"/>
              </w:rPr>
              <w:t>1</w:t>
            </w:r>
            <w:r w:rsidR="00792704" w:rsidRPr="001F3203">
              <w:rPr>
                <w:b/>
                <w:color w:val="000000"/>
                <w:sz w:val="16"/>
                <w:szCs w:val="16"/>
              </w:rPr>
              <w:t>,</w:t>
            </w:r>
            <w:r>
              <w:rPr>
                <w:b/>
                <w:color w:val="000000"/>
                <w:sz w:val="16"/>
                <w:szCs w:val="16"/>
              </w:rPr>
              <w:t>621</w:t>
            </w:r>
            <w:r w:rsidR="00792704" w:rsidRPr="001F3203">
              <w:rPr>
                <w:b/>
                <w:color w:val="000000"/>
                <w:sz w:val="16"/>
                <w:szCs w:val="16"/>
              </w:rPr>
              <w:t>,</w:t>
            </w:r>
            <w:r>
              <w:rPr>
                <w:b/>
                <w:color w:val="000000"/>
                <w:sz w:val="16"/>
                <w:szCs w:val="16"/>
              </w:rPr>
              <w:t>0</w:t>
            </w:r>
            <w:r w:rsidR="00792704" w:rsidRPr="001F3203">
              <w:rPr>
                <w:b/>
                <w:color w:val="000000"/>
                <w:sz w:val="16"/>
                <w:szCs w:val="16"/>
              </w:rPr>
              <w:t>00</w:t>
            </w:r>
          </w:p>
        </w:tc>
      </w:tr>
      <w:tr w:rsidR="00C85128" w:rsidRPr="001F3203" w14:paraId="64B3401C" w14:textId="77777777" w:rsidTr="00C91B7F">
        <w:trPr>
          <w:gridAfter w:val="1"/>
          <w:wAfter w:w="11" w:type="pct"/>
        </w:trPr>
        <w:tc>
          <w:tcPr>
            <w:tcW w:w="1044" w:type="pct"/>
            <w:vMerge/>
            <w:tcMar>
              <w:top w:w="72" w:type="dxa"/>
              <w:left w:w="144" w:type="dxa"/>
              <w:bottom w:w="72" w:type="dxa"/>
              <w:right w:w="144" w:type="dxa"/>
            </w:tcMar>
          </w:tcPr>
          <w:p w14:paraId="70316ED5" w14:textId="77777777" w:rsidR="00C85128" w:rsidRPr="001F3203" w:rsidRDefault="00C85128">
            <w:pPr>
              <w:spacing w:line="256" w:lineRule="auto"/>
              <w:rPr>
                <w:b/>
                <w:bCs/>
                <w:iCs/>
                <w:sz w:val="16"/>
                <w:szCs w:val="16"/>
                <w:lang w:val="en-GB" w:eastAsia="en-GB"/>
              </w:rPr>
            </w:pPr>
          </w:p>
        </w:tc>
        <w:tc>
          <w:tcPr>
            <w:tcW w:w="977" w:type="pct"/>
            <w:vMerge/>
          </w:tcPr>
          <w:p w14:paraId="3375C5A2" w14:textId="77777777" w:rsidR="00C85128" w:rsidRPr="001F3203" w:rsidRDefault="00C85128">
            <w:pPr>
              <w:rPr>
                <w:iCs/>
                <w:sz w:val="16"/>
                <w:szCs w:val="16"/>
                <w:lang w:val="en-GB" w:eastAsia="en-GB"/>
              </w:rPr>
            </w:pPr>
          </w:p>
        </w:tc>
        <w:tc>
          <w:tcPr>
            <w:tcW w:w="1300" w:type="pct"/>
            <w:vMerge/>
            <w:tcMar>
              <w:top w:w="72" w:type="dxa"/>
              <w:left w:w="144" w:type="dxa"/>
              <w:bottom w:w="72" w:type="dxa"/>
              <w:right w:w="144" w:type="dxa"/>
            </w:tcMar>
          </w:tcPr>
          <w:p w14:paraId="482BB330" w14:textId="77777777" w:rsidR="00C85128" w:rsidRPr="001F3203" w:rsidRDefault="00C85128">
            <w:pPr>
              <w:spacing w:line="256" w:lineRule="auto"/>
              <w:rPr>
                <w:b/>
                <w:iCs/>
                <w:color w:val="000000"/>
                <w:sz w:val="16"/>
                <w:szCs w:val="16"/>
                <w:lang w:val="en-GB" w:eastAsia="en-GB"/>
              </w:rPr>
            </w:pPr>
          </w:p>
        </w:tc>
        <w:tc>
          <w:tcPr>
            <w:tcW w:w="1079" w:type="pct"/>
            <w:vMerge/>
          </w:tcPr>
          <w:p w14:paraId="4F862263" w14:textId="77777777" w:rsidR="00C85128" w:rsidRPr="001F3203" w:rsidRDefault="00C85128">
            <w:pPr>
              <w:spacing w:after="120"/>
              <w:rPr>
                <w:iCs/>
                <w:color w:val="000000"/>
                <w:sz w:val="16"/>
                <w:szCs w:val="16"/>
                <w:lang w:val="en-GB" w:eastAsia="en-GB"/>
              </w:rPr>
            </w:pPr>
          </w:p>
        </w:tc>
        <w:tc>
          <w:tcPr>
            <w:tcW w:w="589" w:type="pct"/>
            <w:tcMar>
              <w:top w:w="15" w:type="dxa"/>
              <w:left w:w="108" w:type="dxa"/>
              <w:bottom w:w="0" w:type="dxa"/>
              <w:right w:w="108" w:type="dxa"/>
            </w:tcMar>
          </w:tcPr>
          <w:p w14:paraId="67E203A8" w14:textId="77777777" w:rsidR="00C85128" w:rsidRPr="001F3203" w:rsidRDefault="00C85128">
            <w:pPr>
              <w:rPr>
                <w:b/>
                <w:color w:val="000000"/>
                <w:sz w:val="16"/>
                <w:szCs w:val="16"/>
              </w:rPr>
            </w:pPr>
          </w:p>
        </w:tc>
      </w:tr>
      <w:tr w:rsidR="00C85128" w:rsidRPr="001F3203" w14:paraId="7A7C299B" w14:textId="77777777" w:rsidTr="00C91B7F">
        <w:trPr>
          <w:gridAfter w:val="1"/>
          <w:wAfter w:w="11" w:type="pct"/>
        </w:trPr>
        <w:tc>
          <w:tcPr>
            <w:tcW w:w="1044" w:type="pct"/>
            <w:vMerge/>
            <w:tcMar>
              <w:top w:w="72" w:type="dxa"/>
              <w:left w:w="144" w:type="dxa"/>
              <w:bottom w:w="72" w:type="dxa"/>
              <w:right w:w="144" w:type="dxa"/>
            </w:tcMar>
          </w:tcPr>
          <w:p w14:paraId="4BAF6A95" w14:textId="77777777" w:rsidR="00C85128" w:rsidRPr="001F3203" w:rsidRDefault="00C85128">
            <w:pPr>
              <w:spacing w:line="256" w:lineRule="auto"/>
              <w:rPr>
                <w:b/>
                <w:bCs/>
                <w:iCs/>
                <w:sz w:val="16"/>
                <w:szCs w:val="16"/>
                <w:lang w:val="en-GB" w:eastAsia="en-GB"/>
              </w:rPr>
            </w:pPr>
          </w:p>
        </w:tc>
        <w:tc>
          <w:tcPr>
            <w:tcW w:w="977" w:type="pct"/>
            <w:vMerge/>
          </w:tcPr>
          <w:p w14:paraId="2398AC00" w14:textId="77777777" w:rsidR="00C85128" w:rsidRPr="001F3203" w:rsidRDefault="00C85128">
            <w:pPr>
              <w:rPr>
                <w:iCs/>
                <w:sz w:val="16"/>
                <w:szCs w:val="16"/>
                <w:lang w:val="en-GB" w:eastAsia="en-GB"/>
              </w:rPr>
            </w:pPr>
          </w:p>
        </w:tc>
        <w:tc>
          <w:tcPr>
            <w:tcW w:w="1300" w:type="pct"/>
            <w:vMerge/>
            <w:tcMar>
              <w:top w:w="72" w:type="dxa"/>
              <w:left w:w="144" w:type="dxa"/>
              <w:bottom w:w="72" w:type="dxa"/>
              <w:right w:w="144" w:type="dxa"/>
            </w:tcMar>
          </w:tcPr>
          <w:p w14:paraId="330B359F" w14:textId="77777777" w:rsidR="00C85128" w:rsidRPr="001F3203" w:rsidRDefault="00C85128">
            <w:pPr>
              <w:spacing w:line="256" w:lineRule="auto"/>
              <w:rPr>
                <w:b/>
                <w:iCs/>
                <w:color w:val="000000"/>
                <w:sz w:val="16"/>
                <w:szCs w:val="16"/>
                <w:lang w:val="en-GB" w:eastAsia="en-GB"/>
              </w:rPr>
            </w:pPr>
          </w:p>
        </w:tc>
        <w:tc>
          <w:tcPr>
            <w:tcW w:w="1079" w:type="pct"/>
            <w:vMerge/>
          </w:tcPr>
          <w:p w14:paraId="5014E263" w14:textId="77777777" w:rsidR="00C85128" w:rsidRPr="001F3203" w:rsidRDefault="00C85128">
            <w:pPr>
              <w:spacing w:after="120"/>
              <w:rPr>
                <w:iCs/>
                <w:color w:val="000000"/>
                <w:sz w:val="16"/>
                <w:szCs w:val="16"/>
                <w:lang w:val="en-GB" w:eastAsia="en-GB"/>
              </w:rPr>
            </w:pPr>
          </w:p>
        </w:tc>
        <w:tc>
          <w:tcPr>
            <w:tcW w:w="589" w:type="pct"/>
            <w:tcMar>
              <w:top w:w="15" w:type="dxa"/>
              <w:left w:w="108" w:type="dxa"/>
              <w:bottom w:w="0" w:type="dxa"/>
              <w:right w:w="108" w:type="dxa"/>
            </w:tcMar>
          </w:tcPr>
          <w:p w14:paraId="4C3DD0B2" w14:textId="77777777" w:rsidR="00C85128" w:rsidRPr="001F3203" w:rsidRDefault="00C85128">
            <w:pPr>
              <w:rPr>
                <w:b/>
                <w:color w:val="000000"/>
                <w:sz w:val="16"/>
                <w:szCs w:val="16"/>
              </w:rPr>
            </w:pPr>
          </w:p>
        </w:tc>
      </w:tr>
      <w:tr w:rsidR="00792704" w:rsidRPr="001F3203" w14:paraId="2793574A" w14:textId="77777777" w:rsidTr="00C91B7F">
        <w:trPr>
          <w:gridAfter w:val="1"/>
          <w:wAfter w:w="11" w:type="pct"/>
        </w:trPr>
        <w:tc>
          <w:tcPr>
            <w:tcW w:w="1044" w:type="pct"/>
            <w:vMerge/>
            <w:tcMar>
              <w:top w:w="72" w:type="dxa"/>
              <w:left w:w="144" w:type="dxa"/>
              <w:bottom w:w="72" w:type="dxa"/>
              <w:right w:w="144" w:type="dxa"/>
            </w:tcMar>
          </w:tcPr>
          <w:p w14:paraId="08552390" w14:textId="77777777" w:rsidR="00792704" w:rsidRPr="001F3203" w:rsidRDefault="00792704">
            <w:pPr>
              <w:rPr>
                <w:i/>
                <w:iCs/>
                <w:color w:val="000000"/>
                <w:sz w:val="16"/>
                <w:szCs w:val="16"/>
                <w:lang w:val="en-GB"/>
              </w:rPr>
            </w:pPr>
          </w:p>
        </w:tc>
        <w:tc>
          <w:tcPr>
            <w:tcW w:w="977" w:type="pct"/>
            <w:vMerge/>
          </w:tcPr>
          <w:p w14:paraId="4541EF5A" w14:textId="77777777" w:rsidR="00792704" w:rsidRPr="001F3203" w:rsidRDefault="00792704">
            <w:pPr>
              <w:rPr>
                <w:i/>
                <w:iCs/>
                <w:color w:val="000000"/>
                <w:sz w:val="16"/>
                <w:szCs w:val="16"/>
                <w:lang w:val="en-GB"/>
              </w:rPr>
            </w:pPr>
          </w:p>
        </w:tc>
        <w:tc>
          <w:tcPr>
            <w:tcW w:w="1300" w:type="pct"/>
            <w:vMerge/>
            <w:tcMar>
              <w:top w:w="72" w:type="dxa"/>
              <w:left w:w="144" w:type="dxa"/>
              <w:bottom w:w="72" w:type="dxa"/>
              <w:right w:w="144" w:type="dxa"/>
            </w:tcMar>
          </w:tcPr>
          <w:p w14:paraId="0D8837B3" w14:textId="77777777" w:rsidR="00792704" w:rsidRPr="001F3203" w:rsidRDefault="00792704">
            <w:pPr>
              <w:rPr>
                <w:i/>
                <w:iCs/>
                <w:color w:val="000000"/>
                <w:sz w:val="16"/>
                <w:szCs w:val="16"/>
                <w:lang w:val="en-GB"/>
              </w:rPr>
            </w:pPr>
          </w:p>
        </w:tc>
        <w:tc>
          <w:tcPr>
            <w:tcW w:w="1079" w:type="pct"/>
            <w:vMerge/>
          </w:tcPr>
          <w:p w14:paraId="3DCD8600" w14:textId="77777777" w:rsidR="00792704" w:rsidRPr="001F3203" w:rsidRDefault="00792704">
            <w:pPr>
              <w:rPr>
                <w:i/>
                <w:iCs/>
                <w:color w:val="000000"/>
                <w:sz w:val="16"/>
                <w:szCs w:val="16"/>
                <w:lang w:val="en-GB"/>
              </w:rPr>
            </w:pPr>
          </w:p>
        </w:tc>
        <w:tc>
          <w:tcPr>
            <w:tcW w:w="589" w:type="pct"/>
            <w:tcMar>
              <w:top w:w="15" w:type="dxa"/>
              <w:left w:w="108" w:type="dxa"/>
              <w:bottom w:w="0" w:type="dxa"/>
              <w:right w:w="108" w:type="dxa"/>
            </w:tcMar>
          </w:tcPr>
          <w:p w14:paraId="109A7BC7" w14:textId="77777777" w:rsidR="00792704" w:rsidRPr="001F3203" w:rsidRDefault="00792704">
            <w:pPr>
              <w:rPr>
                <w:b/>
                <w:color w:val="000000"/>
                <w:sz w:val="16"/>
                <w:szCs w:val="16"/>
              </w:rPr>
            </w:pPr>
            <w:r w:rsidRPr="001F3203">
              <w:rPr>
                <w:b/>
                <w:color w:val="000000"/>
                <w:sz w:val="16"/>
                <w:szCs w:val="16"/>
              </w:rPr>
              <w:t>Other</w:t>
            </w:r>
          </w:p>
          <w:p w14:paraId="118B499A" w14:textId="77777777" w:rsidR="00792704" w:rsidRPr="001F3203" w:rsidRDefault="00792704" w:rsidP="003B20F2">
            <w:pPr>
              <w:rPr>
                <w:b/>
                <w:color w:val="000000"/>
                <w:sz w:val="16"/>
                <w:szCs w:val="16"/>
              </w:rPr>
            </w:pPr>
            <w:r w:rsidRPr="001F3203">
              <w:rPr>
                <w:b/>
                <w:color w:val="000000"/>
                <w:sz w:val="16"/>
                <w:szCs w:val="16"/>
              </w:rPr>
              <w:t>10,658,600</w:t>
            </w:r>
          </w:p>
        </w:tc>
      </w:tr>
      <w:tr w:rsidR="00C85128" w:rsidRPr="001F3203" w14:paraId="31CD9106" w14:textId="77777777" w:rsidTr="00C91B7F">
        <w:trPr>
          <w:gridAfter w:val="1"/>
          <w:wAfter w:w="11" w:type="pct"/>
        </w:trPr>
        <w:tc>
          <w:tcPr>
            <w:tcW w:w="1044" w:type="pct"/>
            <w:tcMar>
              <w:top w:w="72" w:type="dxa"/>
              <w:left w:w="144" w:type="dxa"/>
              <w:bottom w:w="72" w:type="dxa"/>
              <w:right w:w="144" w:type="dxa"/>
            </w:tcMar>
          </w:tcPr>
          <w:p w14:paraId="5A886A27" w14:textId="77777777" w:rsidR="00C85128" w:rsidRPr="001F3203" w:rsidRDefault="00C85128">
            <w:pPr>
              <w:rPr>
                <w:i/>
                <w:iCs/>
                <w:color w:val="000000"/>
                <w:sz w:val="16"/>
                <w:szCs w:val="16"/>
                <w:lang w:val="en-GB"/>
              </w:rPr>
            </w:pPr>
          </w:p>
        </w:tc>
        <w:tc>
          <w:tcPr>
            <w:tcW w:w="977" w:type="pct"/>
          </w:tcPr>
          <w:p w14:paraId="3E5D43D1" w14:textId="77777777" w:rsidR="00C85128" w:rsidRPr="001F3203" w:rsidRDefault="00C85128">
            <w:pPr>
              <w:rPr>
                <w:i/>
                <w:iCs/>
                <w:color w:val="000000"/>
                <w:sz w:val="16"/>
                <w:szCs w:val="16"/>
                <w:lang w:val="en-GB"/>
              </w:rPr>
            </w:pPr>
          </w:p>
        </w:tc>
        <w:tc>
          <w:tcPr>
            <w:tcW w:w="1300" w:type="pct"/>
            <w:tcMar>
              <w:top w:w="72" w:type="dxa"/>
              <w:left w:w="144" w:type="dxa"/>
              <w:bottom w:w="72" w:type="dxa"/>
              <w:right w:w="144" w:type="dxa"/>
            </w:tcMar>
          </w:tcPr>
          <w:p w14:paraId="1AFF871D" w14:textId="77777777" w:rsidR="00C85128" w:rsidRPr="001F3203" w:rsidRDefault="00C85128">
            <w:pPr>
              <w:rPr>
                <w:i/>
                <w:iCs/>
                <w:color w:val="000000"/>
                <w:sz w:val="16"/>
                <w:szCs w:val="16"/>
                <w:lang w:val="en-GB"/>
              </w:rPr>
            </w:pPr>
          </w:p>
        </w:tc>
        <w:tc>
          <w:tcPr>
            <w:tcW w:w="1079" w:type="pct"/>
          </w:tcPr>
          <w:p w14:paraId="57EF235F" w14:textId="77777777" w:rsidR="00C85128" w:rsidRPr="00C85128" w:rsidRDefault="00C85128" w:rsidP="00C85128">
            <w:pPr>
              <w:jc w:val="right"/>
              <w:rPr>
                <w:iCs/>
                <w:color w:val="000000"/>
                <w:sz w:val="16"/>
                <w:szCs w:val="16"/>
                <w:lang w:val="en-GB"/>
              </w:rPr>
            </w:pPr>
          </w:p>
        </w:tc>
        <w:tc>
          <w:tcPr>
            <w:tcW w:w="589" w:type="pct"/>
            <w:tcMar>
              <w:top w:w="15" w:type="dxa"/>
              <w:left w:w="108" w:type="dxa"/>
              <w:bottom w:w="0" w:type="dxa"/>
              <w:right w:w="108" w:type="dxa"/>
            </w:tcMar>
          </w:tcPr>
          <w:p w14:paraId="0C2CEA6D" w14:textId="77777777" w:rsidR="00C85128" w:rsidRDefault="00C85128">
            <w:pPr>
              <w:rPr>
                <w:b/>
                <w:color w:val="000000"/>
                <w:sz w:val="16"/>
                <w:szCs w:val="16"/>
              </w:rPr>
            </w:pPr>
            <w:r>
              <w:rPr>
                <w:b/>
                <w:color w:val="000000"/>
                <w:sz w:val="16"/>
                <w:szCs w:val="16"/>
              </w:rPr>
              <w:t>Total</w:t>
            </w:r>
          </w:p>
          <w:p w14:paraId="322A1531" w14:textId="77777777" w:rsidR="00C85128" w:rsidRDefault="00C85128">
            <w:pPr>
              <w:rPr>
                <w:b/>
                <w:color w:val="000000"/>
                <w:sz w:val="16"/>
                <w:szCs w:val="16"/>
              </w:rPr>
            </w:pPr>
          </w:p>
          <w:p w14:paraId="137BB81E" w14:textId="77777777" w:rsidR="00C85128" w:rsidRDefault="00C85128">
            <w:pPr>
              <w:rPr>
                <w:b/>
                <w:color w:val="000000"/>
                <w:sz w:val="16"/>
                <w:szCs w:val="16"/>
              </w:rPr>
            </w:pPr>
            <w:r>
              <w:rPr>
                <w:b/>
                <w:color w:val="000000"/>
                <w:sz w:val="16"/>
                <w:szCs w:val="16"/>
              </w:rPr>
              <w:t>Regular: 4,610,000</w:t>
            </w:r>
          </w:p>
          <w:p w14:paraId="0C531D09" w14:textId="77777777" w:rsidR="00C85128" w:rsidRDefault="00C85128">
            <w:pPr>
              <w:rPr>
                <w:b/>
                <w:color w:val="000000"/>
                <w:sz w:val="16"/>
                <w:szCs w:val="16"/>
              </w:rPr>
            </w:pPr>
          </w:p>
          <w:p w14:paraId="6B8D9658" w14:textId="77777777" w:rsidR="00C85128" w:rsidRPr="001F3203" w:rsidRDefault="00C85128">
            <w:pPr>
              <w:rPr>
                <w:b/>
                <w:color w:val="000000"/>
                <w:sz w:val="16"/>
                <w:szCs w:val="16"/>
              </w:rPr>
            </w:pPr>
            <w:r>
              <w:rPr>
                <w:b/>
                <w:color w:val="000000"/>
                <w:sz w:val="16"/>
                <w:szCs w:val="16"/>
              </w:rPr>
              <w:t>Other: 188,717,800</w:t>
            </w:r>
          </w:p>
        </w:tc>
      </w:tr>
    </w:tbl>
    <w:p w14:paraId="3641721D" w14:textId="77777777" w:rsidR="00792704" w:rsidRPr="001F3203" w:rsidRDefault="00792704">
      <w:pPr>
        <w:rPr>
          <w:color w:val="000000"/>
        </w:rPr>
      </w:pPr>
    </w:p>
    <w:p w14:paraId="07C3A1B3" w14:textId="77777777" w:rsidR="001E580D" w:rsidRDefault="001E580D" w:rsidP="001E580D">
      <w:pPr>
        <w:pStyle w:val="ListParagraph"/>
        <w:spacing w:after="160" w:line="259" w:lineRule="auto"/>
        <w:contextualSpacing/>
        <w:jc w:val="center"/>
      </w:pPr>
    </w:p>
    <w:p w14:paraId="771EF75D" w14:textId="77777777" w:rsidR="00C42EE0" w:rsidRPr="00395C31" w:rsidRDefault="001E580D" w:rsidP="001E580D">
      <w:pPr>
        <w:pStyle w:val="ListParagraph"/>
        <w:spacing w:after="160" w:line="259" w:lineRule="auto"/>
        <w:contextualSpacing/>
        <w:jc w:val="center"/>
      </w:pPr>
      <w:r w:rsidRPr="009F42A2">
        <w:rPr>
          <w:noProof/>
          <w:color w:val="000000"/>
          <w:sz w:val="16"/>
          <w:szCs w:val="16"/>
        </w:rPr>
        <w:drawing>
          <wp:inline distT="0" distB="0" distL="0" distR="0" wp14:anchorId="7A04927C" wp14:editId="1C7487E0">
            <wp:extent cx="94297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C42EE0" w:rsidRPr="00395C31" w:rsidSect="00792704">
      <w:headerReference w:type="even" r:id="rId20"/>
      <w:headerReference w:type="default" r:id="rId21"/>
      <w:headerReference w:type="firs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D945D" w14:textId="77777777" w:rsidR="00044EE9" w:rsidRDefault="00044EE9" w:rsidP="00441061">
      <w:r>
        <w:separator/>
      </w:r>
    </w:p>
  </w:endnote>
  <w:endnote w:type="continuationSeparator" w:id="0">
    <w:p w14:paraId="6CE16426" w14:textId="77777777" w:rsidR="00044EE9" w:rsidRDefault="00044EE9" w:rsidP="00441061">
      <w:r>
        <w:continuationSeparator/>
      </w:r>
    </w:p>
  </w:endnote>
  <w:endnote w:type="continuationNotice" w:id="1">
    <w:p w14:paraId="33E790E4" w14:textId="77777777" w:rsidR="00044EE9" w:rsidRDefault="0004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20381"/>
      <w:docPartObj>
        <w:docPartGallery w:val="Page Numbers (Bottom of Page)"/>
        <w:docPartUnique/>
      </w:docPartObj>
    </w:sdtPr>
    <w:sdtEndPr>
      <w:rPr>
        <w:noProof/>
      </w:rPr>
    </w:sdtEndPr>
    <w:sdtContent>
      <w:p w14:paraId="4CF45E90" w14:textId="77777777" w:rsidR="007F38CA" w:rsidRDefault="007F38CA">
        <w:pPr>
          <w:pStyle w:val="Footer"/>
        </w:pPr>
        <w:r w:rsidRPr="005435FF">
          <w:rPr>
            <w:b/>
            <w:sz w:val="17"/>
            <w:szCs w:val="17"/>
          </w:rPr>
          <w:fldChar w:fldCharType="begin"/>
        </w:r>
        <w:r w:rsidRPr="005435FF">
          <w:rPr>
            <w:b/>
            <w:sz w:val="17"/>
            <w:szCs w:val="17"/>
          </w:rPr>
          <w:instrText xml:space="preserve"> PAGE   \* MERGEFORMAT </w:instrText>
        </w:r>
        <w:r w:rsidRPr="005435FF">
          <w:rPr>
            <w:b/>
            <w:sz w:val="17"/>
            <w:szCs w:val="17"/>
          </w:rPr>
          <w:fldChar w:fldCharType="separate"/>
        </w:r>
        <w:r w:rsidR="003813C4">
          <w:rPr>
            <w:b/>
            <w:noProof/>
            <w:sz w:val="17"/>
            <w:szCs w:val="17"/>
          </w:rPr>
          <w:t>16</w:t>
        </w:r>
        <w:r w:rsidRPr="005435FF">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169238"/>
      <w:docPartObj>
        <w:docPartGallery w:val="Page Numbers (Bottom of Page)"/>
        <w:docPartUnique/>
      </w:docPartObj>
    </w:sdtPr>
    <w:sdtEndPr>
      <w:rPr>
        <w:b/>
        <w:noProof/>
        <w:sz w:val="17"/>
        <w:szCs w:val="17"/>
      </w:rPr>
    </w:sdtEndPr>
    <w:sdtContent>
      <w:p w14:paraId="0855030E" w14:textId="77777777" w:rsidR="007F38CA" w:rsidRPr="005435FF" w:rsidRDefault="007F38CA" w:rsidP="005435FF">
        <w:pPr>
          <w:pStyle w:val="Footer"/>
          <w:jc w:val="right"/>
          <w:rPr>
            <w:b/>
            <w:sz w:val="17"/>
            <w:szCs w:val="17"/>
          </w:rPr>
        </w:pPr>
        <w:r w:rsidRPr="005435FF">
          <w:rPr>
            <w:b/>
            <w:sz w:val="17"/>
            <w:szCs w:val="17"/>
          </w:rPr>
          <w:fldChar w:fldCharType="begin"/>
        </w:r>
        <w:r w:rsidRPr="005435FF">
          <w:rPr>
            <w:b/>
            <w:sz w:val="17"/>
            <w:szCs w:val="17"/>
          </w:rPr>
          <w:instrText xml:space="preserve"> PAGE   \* MERGEFORMAT </w:instrText>
        </w:r>
        <w:r w:rsidRPr="005435FF">
          <w:rPr>
            <w:b/>
            <w:sz w:val="17"/>
            <w:szCs w:val="17"/>
          </w:rPr>
          <w:fldChar w:fldCharType="separate"/>
        </w:r>
        <w:r w:rsidR="003813C4">
          <w:rPr>
            <w:b/>
            <w:noProof/>
            <w:sz w:val="17"/>
            <w:szCs w:val="17"/>
          </w:rPr>
          <w:t>17</w:t>
        </w:r>
        <w:r w:rsidRPr="005435FF">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D4AC" w14:textId="77777777" w:rsidR="00044EE9" w:rsidRDefault="00044EE9" w:rsidP="00441061">
      <w:r>
        <w:separator/>
      </w:r>
    </w:p>
  </w:footnote>
  <w:footnote w:type="continuationSeparator" w:id="0">
    <w:p w14:paraId="0D8F5AAC" w14:textId="77777777" w:rsidR="00044EE9" w:rsidRDefault="00044EE9" w:rsidP="00441061">
      <w:r>
        <w:continuationSeparator/>
      </w:r>
    </w:p>
  </w:footnote>
  <w:footnote w:type="continuationNotice" w:id="1">
    <w:p w14:paraId="4EF62FFA" w14:textId="77777777" w:rsidR="00044EE9" w:rsidRDefault="00044EE9"/>
  </w:footnote>
  <w:footnote w:id="2">
    <w:p w14:paraId="7914B060" w14:textId="77777777" w:rsidR="007F38CA" w:rsidRPr="00FB6E67" w:rsidRDefault="007F38CA" w:rsidP="007A6560">
      <w:pPr>
        <w:widowControl w:val="0"/>
        <w:jc w:val="both"/>
        <w:rPr>
          <w:sz w:val="14"/>
          <w:szCs w:val="14"/>
        </w:rPr>
      </w:pPr>
      <w:r w:rsidRPr="00FB6E67">
        <w:rPr>
          <w:sz w:val="14"/>
          <w:szCs w:val="14"/>
          <w:vertAlign w:val="superscript"/>
        </w:rPr>
        <w:footnoteRef/>
      </w:r>
      <w:r w:rsidRPr="00FB6E67">
        <w:rPr>
          <w:sz w:val="14"/>
          <w:szCs w:val="14"/>
        </w:rPr>
        <w:t xml:space="preserve"> World Bank Indicator database</w:t>
      </w:r>
      <w:r>
        <w:rPr>
          <w:sz w:val="14"/>
          <w:szCs w:val="14"/>
        </w:rPr>
        <w:t>, 2010-2014</w:t>
      </w:r>
      <w:r w:rsidRPr="00FB6E67">
        <w:rPr>
          <w:sz w:val="14"/>
          <w:szCs w:val="14"/>
        </w:rPr>
        <w:t>.</w:t>
      </w:r>
    </w:p>
  </w:footnote>
  <w:footnote w:id="3">
    <w:p w14:paraId="29BF54E1" w14:textId="6050B73F" w:rsidR="007F38CA" w:rsidRDefault="007F38CA" w:rsidP="007C5DFC">
      <w:pPr>
        <w:pStyle w:val="FootnoteText"/>
      </w:pPr>
      <w:r w:rsidRPr="00C31909">
        <w:rPr>
          <w:rStyle w:val="FootnoteReference"/>
          <w:sz w:val="14"/>
          <w:szCs w:val="14"/>
        </w:rPr>
        <w:footnoteRef/>
      </w:r>
      <w:r>
        <w:rPr>
          <w:rFonts w:ascii="Times New Roman" w:hAnsi="Times New Roman"/>
          <w:sz w:val="14"/>
          <w:szCs w:val="14"/>
        </w:rPr>
        <w:t xml:space="preserve"> Ibid.</w:t>
      </w:r>
    </w:p>
  </w:footnote>
  <w:footnote w:id="4">
    <w:p w14:paraId="2C27F4E9" w14:textId="77777777" w:rsidR="007F38CA" w:rsidRPr="00FB6E67" w:rsidRDefault="007F38CA" w:rsidP="007A6560">
      <w:pPr>
        <w:widowControl w:val="0"/>
        <w:jc w:val="both"/>
        <w:rPr>
          <w:sz w:val="14"/>
          <w:szCs w:val="14"/>
        </w:rPr>
      </w:pPr>
      <w:r w:rsidRPr="00FB6E67">
        <w:rPr>
          <w:sz w:val="14"/>
          <w:szCs w:val="14"/>
          <w:vertAlign w:val="superscript"/>
        </w:rPr>
        <w:footnoteRef/>
      </w:r>
      <w:r w:rsidRPr="00FB6E67">
        <w:rPr>
          <w:sz w:val="14"/>
          <w:szCs w:val="14"/>
        </w:rPr>
        <w:t xml:space="preserve"> National Medium Term Development Plan 2015-2019.</w:t>
      </w:r>
    </w:p>
  </w:footnote>
  <w:footnote w:id="5">
    <w:p w14:paraId="13EB58D4" w14:textId="77777777" w:rsidR="007F38CA" w:rsidRPr="00FB6E67" w:rsidRDefault="007F38CA" w:rsidP="00887B53">
      <w:pPr>
        <w:widowControl w:val="0"/>
        <w:jc w:val="both"/>
        <w:rPr>
          <w:sz w:val="14"/>
          <w:szCs w:val="14"/>
        </w:rPr>
      </w:pPr>
      <w:r w:rsidRPr="00FB6E67">
        <w:rPr>
          <w:sz w:val="14"/>
          <w:szCs w:val="14"/>
          <w:vertAlign w:val="superscript"/>
        </w:rPr>
        <w:footnoteRef/>
      </w:r>
      <w:r w:rsidRPr="00FB6E67">
        <w:rPr>
          <w:sz w:val="14"/>
          <w:szCs w:val="14"/>
        </w:rPr>
        <w:t xml:space="preserve"> </w:t>
      </w:r>
      <w:r>
        <w:rPr>
          <w:sz w:val="14"/>
          <w:szCs w:val="14"/>
        </w:rPr>
        <w:t xml:space="preserve">Indonesia Central </w:t>
      </w:r>
      <w:r w:rsidRPr="00293D8C">
        <w:rPr>
          <w:sz w:val="14"/>
          <w:szCs w:val="14"/>
        </w:rPr>
        <w:t xml:space="preserve">Statistics </w:t>
      </w:r>
      <w:r>
        <w:rPr>
          <w:sz w:val="14"/>
          <w:szCs w:val="14"/>
        </w:rPr>
        <w:t>Agency (BPS) 2014</w:t>
      </w:r>
      <w:r w:rsidRPr="00FB6E67">
        <w:rPr>
          <w:sz w:val="14"/>
          <w:szCs w:val="14"/>
        </w:rPr>
        <w:t xml:space="preserve">. </w:t>
      </w:r>
    </w:p>
  </w:footnote>
  <w:footnote w:id="6">
    <w:p w14:paraId="46BB69BF" w14:textId="77777777" w:rsidR="007F38CA" w:rsidRPr="00FB6E67" w:rsidRDefault="007F38CA" w:rsidP="007A6560">
      <w:pPr>
        <w:widowControl w:val="0"/>
        <w:jc w:val="both"/>
        <w:rPr>
          <w:sz w:val="14"/>
          <w:szCs w:val="14"/>
        </w:rPr>
      </w:pPr>
      <w:r w:rsidRPr="00FB6E67">
        <w:rPr>
          <w:sz w:val="14"/>
          <w:szCs w:val="14"/>
          <w:vertAlign w:val="superscript"/>
        </w:rPr>
        <w:footnoteRef/>
      </w:r>
      <w:r w:rsidRPr="00FB6E67">
        <w:rPr>
          <w:sz w:val="14"/>
          <w:szCs w:val="14"/>
        </w:rPr>
        <w:t xml:space="preserve"> World Bank Indicator database</w:t>
      </w:r>
      <w:r>
        <w:rPr>
          <w:sz w:val="14"/>
          <w:szCs w:val="14"/>
        </w:rPr>
        <w:t xml:space="preserve"> 2014</w:t>
      </w:r>
      <w:r w:rsidRPr="00FB6E67">
        <w:rPr>
          <w:sz w:val="14"/>
          <w:szCs w:val="14"/>
        </w:rPr>
        <w:t>.</w:t>
      </w:r>
    </w:p>
  </w:footnote>
  <w:footnote w:id="7">
    <w:p w14:paraId="1ED4AF16" w14:textId="77777777" w:rsidR="007F38CA" w:rsidRPr="00FB6E67" w:rsidRDefault="007F38CA" w:rsidP="006F0779">
      <w:pPr>
        <w:widowControl w:val="0"/>
        <w:jc w:val="both"/>
        <w:rPr>
          <w:sz w:val="14"/>
          <w:szCs w:val="14"/>
        </w:rPr>
      </w:pPr>
      <w:r w:rsidRPr="00FB6E67">
        <w:rPr>
          <w:sz w:val="14"/>
          <w:szCs w:val="14"/>
          <w:vertAlign w:val="superscript"/>
        </w:rPr>
        <w:footnoteRef/>
      </w:r>
      <w:r w:rsidRPr="00FB6E67">
        <w:rPr>
          <w:sz w:val="14"/>
          <w:szCs w:val="14"/>
        </w:rPr>
        <w:t xml:space="preserve"> </w:t>
      </w:r>
      <w:r>
        <w:rPr>
          <w:sz w:val="14"/>
          <w:szCs w:val="14"/>
        </w:rPr>
        <w:t>BPS,</w:t>
      </w:r>
      <w:r w:rsidRPr="00FB6E67" w:rsidDel="00C02468">
        <w:rPr>
          <w:sz w:val="14"/>
          <w:szCs w:val="14"/>
        </w:rPr>
        <w:t xml:space="preserve"> </w:t>
      </w:r>
      <w:r>
        <w:rPr>
          <w:sz w:val="14"/>
          <w:szCs w:val="14"/>
        </w:rPr>
        <w:t>2014</w:t>
      </w:r>
      <w:r w:rsidRPr="00FB6E67">
        <w:rPr>
          <w:sz w:val="14"/>
          <w:szCs w:val="14"/>
        </w:rPr>
        <w:t>.</w:t>
      </w:r>
    </w:p>
  </w:footnote>
  <w:footnote w:id="8">
    <w:p w14:paraId="604DABA4" w14:textId="77777777" w:rsidR="007F38CA" w:rsidRPr="00FB6E67" w:rsidRDefault="007F38CA" w:rsidP="00887B53">
      <w:pPr>
        <w:widowControl w:val="0"/>
        <w:jc w:val="both"/>
        <w:rPr>
          <w:sz w:val="14"/>
          <w:szCs w:val="14"/>
        </w:rPr>
      </w:pPr>
      <w:r w:rsidRPr="00FB6E67">
        <w:rPr>
          <w:sz w:val="14"/>
          <w:szCs w:val="14"/>
          <w:vertAlign w:val="superscript"/>
        </w:rPr>
        <w:footnoteRef/>
      </w:r>
      <w:r w:rsidRPr="00FB6E67">
        <w:rPr>
          <w:sz w:val="14"/>
          <w:szCs w:val="14"/>
        </w:rPr>
        <w:t xml:space="preserve"> </w:t>
      </w:r>
      <w:r>
        <w:rPr>
          <w:sz w:val="14"/>
          <w:szCs w:val="14"/>
        </w:rPr>
        <w:t>Ibid</w:t>
      </w:r>
      <w:r w:rsidRPr="00FB6E67">
        <w:rPr>
          <w:sz w:val="14"/>
          <w:szCs w:val="14"/>
        </w:rPr>
        <w:t>.</w:t>
      </w:r>
    </w:p>
  </w:footnote>
  <w:footnote w:id="9">
    <w:p w14:paraId="1EBEABD1" w14:textId="76618502" w:rsidR="007F38CA" w:rsidRPr="001C2F3C" w:rsidRDefault="007F38CA" w:rsidP="006F0779">
      <w:pPr>
        <w:widowControl w:val="0"/>
        <w:jc w:val="both"/>
        <w:rPr>
          <w:sz w:val="14"/>
          <w:szCs w:val="14"/>
        </w:rPr>
      </w:pPr>
      <w:r w:rsidRPr="001C2F3C">
        <w:rPr>
          <w:sz w:val="14"/>
          <w:szCs w:val="14"/>
          <w:vertAlign w:val="superscript"/>
        </w:rPr>
        <w:footnoteRef/>
      </w:r>
      <w:r w:rsidRPr="001C2F3C">
        <w:rPr>
          <w:sz w:val="14"/>
          <w:szCs w:val="14"/>
        </w:rPr>
        <w:t xml:space="preserve"> Global Nutrition Report</w:t>
      </w:r>
      <w:r>
        <w:rPr>
          <w:sz w:val="14"/>
          <w:szCs w:val="14"/>
        </w:rPr>
        <w:t>,</w:t>
      </w:r>
      <w:r w:rsidRPr="001C2F3C">
        <w:rPr>
          <w:sz w:val="14"/>
          <w:szCs w:val="14"/>
        </w:rPr>
        <w:t xml:space="preserve"> 2014.</w:t>
      </w:r>
    </w:p>
  </w:footnote>
  <w:footnote w:id="10">
    <w:p w14:paraId="13D2205C" w14:textId="5A38D11A" w:rsidR="007F38CA" w:rsidRPr="001C2F3C" w:rsidRDefault="007F38CA" w:rsidP="00887B53">
      <w:pPr>
        <w:widowControl w:val="0"/>
        <w:jc w:val="both"/>
        <w:rPr>
          <w:sz w:val="14"/>
          <w:szCs w:val="14"/>
        </w:rPr>
      </w:pPr>
      <w:r w:rsidRPr="001C2F3C">
        <w:rPr>
          <w:sz w:val="14"/>
          <w:szCs w:val="14"/>
          <w:vertAlign w:val="superscript"/>
        </w:rPr>
        <w:footnoteRef/>
      </w:r>
      <w:r w:rsidRPr="001C2F3C">
        <w:rPr>
          <w:sz w:val="14"/>
          <w:szCs w:val="14"/>
        </w:rPr>
        <w:t xml:space="preserve"> UNICEF Indonesia Issues Brief, October</w:t>
      </w:r>
      <w:r>
        <w:rPr>
          <w:sz w:val="14"/>
          <w:szCs w:val="14"/>
        </w:rPr>
        <w:t xml:space="preserve"> </w:t>
      </w:r>
      <w:r w:rsidRPr="001C2F3C">
        <w:rPr>
          <w:sz w:val="14"/>
          <w:szCs w:val="14"/>
        </w:rPr>
        <w:t>2012</w:t>
      </w:r>
      <w:r>
        <w:rPr>
          <w:sz w:val="14"/>
          <w:szCs w:val="14"/>
        </w:rPr>
        <w:t>.</w:t>
      </w:r>
    </w:p>
  </w:footnote>
  <w:footnote w:id="11">
    <w:p w14:paraId="7F301C12" w14:textId="77777777" w:rsidR="007F38CA" w:rsidRPr="001C2F3C" w:rsidRDefault="007F38CA" w:rsidP="00887B53">
      <w:pPr>
        <w:widowControl w:val="0"/>
        <w:jc w:val="both"/>
        <w:rPr>
          <w:sz w:val="14"/>
          <w:szCs w:val="14"/>
        </w:rPr>
      </w:pPr>
      <w:r w:rsidRPr="00D370EE">
        <w:rPr>
          <w:sz w:val="14"/>
          <w:szCs w:val="14"/>
          <w:vertAlign w:val="superscript"/>
        </w:rPr>
        <w:footnoteRef/>
      </w:r>
      <w:r w:rsidRPr="001C2F3C">
        <w:rPr>
          <w:sz w:val="14"/>
          <w:szCs w:val="14"/>
        </w:rPr>
        <w:t xml:space="preserve"> World Bank</w:t>
      </w:r>
      <w:r w:rsidRPr="00D370EE">
        <w:rPr>
          <w:sz w:val="14"/>
          <w:szCs w:val="14"/>
        </w:rPr>
        <w:t xml:space="preserve">, Development Policy Review 2014, </w:t>
      </w:r>
      <w:r>
        <w:rPr>
          <w:sz w:val="14"/>
          <w:szCs w:val="14"/>
        </w:rPr>
        <w:t>“</w:t>
      </w:r>
      <w:r w:rsidRPr="00D370EE">
        <w:rPr>
          <w:sz w:val="14"/>
          <w:szCs w:val="14"/>
        </w:rPr>
        <w:t>Indonesia: Avoiding The Trap</w:t>
      </w:r>
      <w:r w:rsidRPr="001C2F3C">
        <w:rPr>
          <w:sz w:val="14"/>
          <w:szCs w:val="14"/>
        </w:rPr>
        <w:t>.</w:t>
      </w:r>
      <w:r>
        <w:rPr>
          <w:sz w:val="14"/>
          <w:szCs w:val="14"/>
        </w:rPr>
        <w:t>”</w:t>
      </w:r>
      <w:bookmarkStart w:id="0" w:name="_GoBack"/>
      <w:bookmarkEnd w:id="0"/>
    </w:p>
  </w:footnote>
  <w:footnote w:id="12">
    <w:p w14:paraId="73B1D6A5" w14:textId="77777777" w:rsidR="007F38CA" w:rsidRPr="001C2F3C" w:rsidRDefault="007F38CA" w:rsidP="00887B53">
      <w:pPr>
        <w:widowControl w:val="0"/>
        <w:jc w:val="both"/>
        <w:rPr>
          <w:sz w:val="14"/>
          <w:szCs w:val="14"/>
        </w:rPr>
      </w:pPr>
      <w:r w:rsidRPr="001C2F3C">
        <w:rPr>
          <w:sz w:val="14"/>
          <w:szCs w:val="14"/>
          <w:vertAlign w:val="superscript"/>
        </w:rPr>
        <w:footnoteRef/>
      </w:r>
      <w:r w:rsidRPr="001C2F3C">
        <w:rPr>
          <w:sz w:val="14"/>
          <w:szCs w:val="14"/>
        </w:rPr>
        <w:t xml:space="preserve"> BPS, 2014.</w:t>
      </w:r>
    </w:p>
  </w:footnote>
  <w:footnote w:id="13">
    <w:p w14:paraId="08847EBE" w14:textId="77777777" w:rsidR="007F38CA" w:rsidRPr="00FB6E67" w:rsidRDefault="007F38CA" w:rsidP="00887B53">
      <w:pPr>
        <w:widowControl w:val="0"/>
        <w:jc w:val="both"/>
        <w:rPr>
          <w:sz w:val="14"/>
          <w:szCs w:val="14"/>
        </w:rPr>
      </w:pPr>
      <w:r w:rsidRPr="001C2F3C">
        <w:rPr>
          <w:sz w:val="14"/>
          <w:szCs w:val="14"/>
          <w:vertAlign w:val="superscript"/>
        </w:rPr>
        <w:footnoteRef/>
      </w:r>
      <w:r w:rsidRPr="001C2F3C">
        <w:rPr>
          <w:sz w:val="14"/>
          <w:szCs w:val="14"/>
        </w:rPr>
        <w:t xml:space="preserve"> Ibid.</w:t>
      </w:r>
    </w:p>
  </w:footnote>
  <w:footnote w:id="14">
    <w:p w14:paraId="5DFEE9CE" w14:textId="50BAB7D3" w:rsidR="007F38CA" w:rsidRPr="005476C3" w:rsidRDefault="007F38CA" w:rsidP="007A6560">
      <w:pPr>
        <w:pStyle w:val="FootnoteText"/>
        <w:rPr>
          <w:rFonts w:ascii="Times New Roman" w:hAnsi="Times New Roman"/>
          <w:sz w:val="14"/>
          <w:szCs w:val="14"/>
        </w:rPr>
      </w:pPr>
      <w:r w:rsidRPr="00D370EE">
        <w:rPr>
          <w:rFonts w:ascii="Times New Roman" w:hAnsi="Times New Roman"/>
          <w:sz w:val="14"/>
          <w:szCs w:val="14"/>
          <w:vertAlign w:val="superscript"/>
        </w:rPr>
        <w:footnoteRef/>
      </w:r>
      <w:r w:rsidRPr="005476C3">
        <w:rPr>
          <w:rFonts w:ascii="Times New Roman" w:hAnsi="Times New Roman"/>
          <w:sz w:val="14"/>
          <w:szCs w:val="14"/>
        </w:rPr>
        <w:t xml:space="preserve"> Ministry of </w:t>
      </w:r>
      <w:r w:rsidRPr="00D370EE">
        <w:rPr>
          <w:rFonts w:ascii="Times New Roman" w:hAnsi="Times New Roman"/>
          <w:sz w:val="14"/>
          <w:szCs w:val="14"/>
        </w:rPr>
        <w:t>Energy and Mineral Resources</w:t>
      </w:r>
      <w:r>
        <w:rPr>
          <w:rFonts w:ascii="Times New Roman" w:hAnsi="Times New Roman"/>
          <w:sz w:val="14"/>
          <w:szCs w:val="14"/>
        </w:rPr>
        <w:t xml:space="preserve">, </w:t>
      </w:r>
      <w:r w:rsidRPr="00D370EE">
        <w:rPr>
          <w:rFonts w:ascii="Times New Roman" w:hAnsi="Times New Roman"/>
          <w:sz w:val="14"/>
          <w:szCs w:val="14"/>
        </w:rPr>
        <w:t>2014</w:t>
      </w:r>
      <w:r w:rsidRPr="005476C3">
        <w:rPr>
          <w:rFonts w:ascii="Times New Roman" w:hAnsi="Times New Roman"/>
          <w:sz w:val="14"/>
          <w:szCs w:val="14"/>
        </w:rPr>
        <w:t>.</w:t>
      </w:r>
    </w:p>
  </w:footnote>
  <w:footnote w:id="15">
    <w:p w14:paraId="175C792D" w14:textId="262AEA47" w:rsidR="007F38CA" w:rsidRPr="005476C3" w:rsidRDefault="007F38CA" w:rsidP="007A6560">
      <w:pPr>
        <w:pStyle w:val="FootnoteText"/>
        <w:rPr>
          <w:rFonts w:ascii="Times New Roman" w:hAnsi="Times New Roman"/>
          <w:sz w:val="14"/>
          <w:szCs w:val="14"/>
        </w:rPr>
      </w:pPr>
      <w:r w:rsidRPr="005476C3">
        <w:rPr>
          <w:rStyle w:val="FootnoteReference"/>
          <w:rFonts w:ascii="Times New Roman" w:hAnsi="Times New Roman"/>
          <w:sz w:val="14"/>
          <w:szCs w:val="14"/>
        </w:rPr>
        <w:footnoteRef/>
      </w:r>
      <w:r w:rsidRPr="005476C3">
        <w:rPr>
          <w:rFonts w:ascii="Times New Roman" w:hAnsi="Times New Roman"/>
          <w:sz w:val="14"/>
          <w:szCs w:val="14"/>
        </w:rPr>
        <w:t xml:space="preserve"> </w:t>
      </w:r>
      <w:r w:rsidRPr="005476C3">
        <w:rPr>
          <w:rFonts w:ascii="Times New Roman" w:eastAsiaTheme="minorHAnsi" w:hAnsi="Times New Roman"/>
          <w:sz w:val="14"/>
          <w:szCs w:val="14"/>
        </w:rPr>
        <w:t>World Bank</w:t>
      </w:r>
      <w:r>
        <w:rPr>
          <w:rFonts w:ascii="Times New Roman" w:eastAsiaTheme="minorHAnsi" w:hAnsi="Times New Roman"/>
          <w:sz w:val="14"/>
          <w:szCs w:val="14"/>
        </w:rPr>
        <w:t>,</w:t>
      </w:r>
      <w:r w:rsidRPr="005476C3">
        <w:rPr>
          <w:rFonts w:ascii="Times New Roman" w:eastAsiaTheme="minorHAnsi" w:hAnsi="Times New Roman"/>
          <w:sz w:val="14"/>
          <w:szCs w:val="14"/>
        </w:rPr>
        <w:t xml:space="preserve"> </w:t>
      </w:r>
      <w:r>
        <w:rPr>
          <w:rFonts w:ascii="Times New Roman" w:eastAsiaTheme="minorHAnsi" w:hAnsi="Times New Roman"/>
          <w:sz w:val="14"/>
          <w:szCs w:val="14"/>
        </w:rPr>
        <w:t>'</w:t>
      </w:r>
      <w:r w:rsidRPr="00855433">
        <w:rPr>
          <w:rFonts w:ascii="Times New Roman" w:eastAsiaTheme="minorHAnsi" w:hAnsi="Times New Roman"/>
          <w:sz w:val="14"/>
          <w:szCs w:val="14"/>
        </w:rPr>
        <w:t>Toward Energy Access to Clean Cooking</w:t>
      </w:r>
      <w:r>
        <w:rPr>
          <w:rFonts w:ascii="Times New Roman" w:eastAsiaTheme="minorHAnsi" w:hAnsi="Times New Roman"/>
          <w:sz w:val="14"/>
          <w:szCs w:val="14"/>
        </w:rPr>
        <w:t>'</w:t>
      </w:r>
      <w:r>
        <w:rPr>
          <w:rFonts w:ascii="Times New Roman" w:eastAsiaTheme="minorHAnsi" w:hAnsi="Times New Roman"/>
          <w:i/>
          <w:sz w:val="14"/>
          <w:szCs w:val="14"/>
        </w:rPr>
        <w:t xml:space="preserve">, </w:t>
      </w:r>
      <w:r w:rsidRPr="00855433">
        <w:rPr>
          <w:rFonts w:ascii="Times New Roman" w:eastAsiaTheme="minorHAnsi" w:hAnsi="Times New Roman"/>
          <w:sz w:val="14"/>
          <w:szCs w:val="14"/>
        </w:rPr>
        <w:t>2013</w:t>
      </w:r>
      <w:r w:rsidRPr="005476C3">
        <w:rPr>
          <w:rFonts w:ascii="Times New Roman" w:eastAsiaTheme="minorHAnsi" w:hAnsi="Times New Roman"/>
          <w:sz w:val="14"/>
          <w:szCs w:val="14"/>
        </w:rPr>
        <w:t>.</w:t>
      </w:r>
    </w:p>
  </w:footnote>
  <w:footnote w:id="16">
    <w:p w14:paraId="51A1780E" w14:textId="4394E41A" w:rsidR="007F38CA" w:rsidRPr="005476C3" w:rsidRDefault="007F38CA" w:rsidP="007A6560">
      <w:pPr>
        <w:pStyle w:val="FootnoteText"/>
        <w:rPr>
          <w:rFonts w:ascii="Times New Roman" w:hAnsi="Times New Roman"/>
          <w:sz w:val="14"/>
          <w:szCs w:val="14"/>
        </w:rPr>
      </w:pPr>
      <w:r w:rsidRPr="005476C3">
        <w:rPr>
          <w:rStyle w:val="FootnoteReference"/>
          <w:rFonts w:ascii="Times New Roman" w:hAnsi="Times New Roman"/>
          <w:sz w:val="14"/>
          <w:szCs w:val="14"/>
        </w:rPr>
        <w:footnoteRef/>
      </w:r>
      <w:r w:rsidRPr="005476C3">
        <w:rPr>
          <w:rFonts w:ascii="Times New Roman" w:hAnsi="Times New Roman"/>
          <w:sz w:val="14"/>
          <w:szCs w:val="14"/>
        </w:rPr>
        <w:t xml:space="preserve"> BPS</w:t>
      </w:r>
      <w:r w:rsidR="003813C4">
        <w:rPr>
          <w:rFonts w:ascii="Times New Roman" w:hAnsi="Times New Roman"/>
          <w:sz w:val="14"/>
          <w:szCs w:val="14"/>
        </w:rPr>
        <w:t>,</w:t>
      </w:r>
      <w:r w:rsidR="003813C4" w:rsidRPr="005476C3">
        <w:rPr>
          <w:rFonts w:ascii="Times New Roman" w:eastAsiaTheme="minorHAnsi" w:hAnsi="Times New Roman"/>
          <w:sz w:val="14"/>
          <w:szCs w:val="14"/>
        </w:rPr>
        <w:t xml:space="preserve"> 2010</w:t>
      </w:r>
      <w:r w:rsidRPr="005476C3">
        <w:rPr>
          <w:rFonts w:ascii="Times New Roman" w:eastAsiaTheme="minorHAnsi" w:hAnsi="Times New Roman"/>
          <w:sz w:val="14"/>
          <w:szCs w:val="14"/>
        </w:rPr>
        <w:t>.</w:t>
      </w:r>
    </w:p>
  </w:footnote>
  <w:footnote w:id="17">
    <w:p w14:paraId="3A87A094" w14:textId="77777777" w:rsidR="007F38CA" w:rsidRPr="00FB6E67" w:rsidRDefault="007F38CA" w:rsidP="007A6560">
      <w:pPr>
        <w:widowControl w:val="0"/>
        <w:jc w:val="both"/>
        <w:rPr>
          <w:sz w:val="14"/>
          <w:szCs w:val="14"/>
        </w:rPr>
      </w:pPr>
      <w:r w:rsidRPr="005476C3">
        <w:rPr>
          <w:sz w:val="14"/>
          <w:szCs w:val="14"/>
          <w:vertAlign w:val="superscript"/>
        </w:rPr>
        <w:footnoteRef/>
      </w:r>
      <w:r w:rsidRPr="005476C3">
        <w:rPr>
          <w:sz w:val="14"/>
          <w:szCs w:val="14"/>
        </w:rPr>
        <w:t xml:space="preserve"> International Union for Conservation of Nature.</w:t>
      </w:r>
      <w:r w:rsidRPr="00FB6E67" w:rsidDel="00C57DAD">
        <w:rPr>
          <w:sz w:val="14"/>
          <w:szCs w:val="14"/>
        </w:rPr>
        <w:t xml:space="preserve">  </w:t>
      </w:r>
    </w:p>
  </w:footnote>
  <w:footnote w:id="18">
    <w:p w14:paraId="00283266" w14:textId="77777777" w:rsidR="007F38CA" w:rsidRPr="00FB6E67" w:rsidRDefault="007F38CA" w:rsidP="007A6560">
      <w:pPr>
        <w:pStyle w:val="FootnoteText"/>
        <w:rPr>
          <w:rFonts w:ascii="Times New Roman" w:hAnsi="Times New Roman"/>
          <w:sz w:val="14"/>
          <w:szCs w:val="14"/>
        </w:rPr>
      </w:pPr>
      <w:r w:rsidRPr="00FB6E67">
        <w:rPr>
          <w:rStyle w:val="FootnoteReference"/>
          <w:rFonts w:ascii="Times New Roman" w:hAnsi="Times New Roman"/>
          <w:sz w:val="14"/>
          <w:szCs w:val="14"/>
        </w:rPr>
        <w:footnoteRef/>
      </w:r>
      <w:r>
        <w:rPr>
          <w:rFonts w:ascii="Times New Roman" w:hAnsi="Times New Roman"/>
          <w:sz w:val="14"/>
          <w:szCs w:val="14"/>
        </w:rPr>
        <w:t>.Indonesia’s National Conflict Monitoring System.</w:t>
      </w:r>
      <w:r w:rsidRPr="00FB6E67">
        <w:rPr>
          <w:rStyle w:val="FootnoteReference"/>
          <w:rFonts w:ascii="Times New Roman" w:hAnsi="Times New Roman"/>
          <w:sz w:val="14"/>
          <w:szCs w:val="14"/>
        </w:rPr>
        <w:t xml:space="preserve"> </w:t>
      </w:r>
    </w:p>
  </w:footnote>
  <w:footnote w:id="19">
    <w:p w14:paraId="2122245C" w14:textId="266DE41F" w:rsidR="007F38CA" w:rsidRPr="00FB6E67" w:rsidRDefault="007F38CA" w:rsidP="003B7EB7">
      <w:pPr>
        <w:pStyle w:val="FootnoteText"/>
        <w:rPr>
          <w:rStyle w:val="FootnoteReference"/>
          <w:rFonts w:ascii="Times New Roman" w:hAnsi="Times New Roman"/>
          <w:sz w:val="14"/>
          <w:szCs w:val="14"/>
        </w:rPr>
      </w:pPr>
      <w:r w:rsidRPr="00FB6E67">
        <w:rPr>
          <w:rStyle w:val="FootnoteReference"/>
          <w:rFonts w:ascii="Times New Roman" w:hAnsi="Times New Roman"/>
          <w:sz w:val="14"/>
          <w:szCs w:val="14"/>
        </w:rPr>
        <w:footnoteRef/>
      </w:r>
      <w:r w:rsidRPr="00FB6E67">
        <w:rPr>
          <w:rStyle w:val="FootnoteReference"/>
          <w:rFonts w:ascii="Times New Roman" w:hAnsi="Times New Roman"/>
          <w:sz w:val="14"/>
          <w:szCs w:val="14"/>
        </w:rPr>
        <w:t xml:space="preserve"> </w:t>
      </w:r>
      <w:r>
        <w:rPr>
          <w:rFonts w:ascii="Times New Roman" w:hAnsi="Times New Roman"/>
          <w:sz w:val="14"/>
          <w:szCs w:val="14"/>
        </w:rPr>
        <w:t>World Bank, 'Transforming the Public Sector in Indonesia', 2012.</w:t>
      </w:r>
    </w:p>
  </w:footnote>
  <w:footnote w:id="20">
    <w:p w14:paraId="35D9A4D5" w14:textId="1158DC8E" w:rsidR="007F38CA" w:rsidRPr="00FB6E67" w:rsidRDefault="007F38CA" w:rsidP="007A6560">
      <w:pPr>
        <w:pStyle w:val="FootnoteText"/>
        <w:rPr>
          <w:rFonts w:ascii="Times New Roman" w:hAnsi="Times New Roman"/>
          <w:sz w:val="14"/>
          <w:szCs w:val="14"/>
        </w:rPr>
      </w:pPr>
      <w:r w:rsidRPr="00FB6E67">
        <w:rPr>
          <w:rStyle w:val="FootnoteReference"/>
          <w:rFonts w:ascii="Times New Roman" w:hAnsi="Times New Roman"/>
          <w:sz w:val="14"/>
          <w:szCs w:val="14"/>
        </w:rPr>
        <w:footnoteRef/>
      </w:r>
      <w:r w:rsidRPr="00FB6E67">
        <w:rPr>
          <w:rStyle w:val="FootnoteReference"/>
          <w:rFonts w:ascii="Times New Roman" w:hAnsi="Times New Roman"/>
          <w:sz w:val="14"/>
          <w:szCs w:val="14"/>
        </w:rPr>
        <w:t xml:space="preserve"> </w:t>
      </w:r>
      <w:r>
        <w:rPr>
          <w:rFonts w:ascii="Times New Roman" w:hAnsi="Times New Roman"/>
          <w:sz w:val="14"/>
          <w:szCs w:val="14"/>
        </w:rPr>
        <w:t>National Law Development Agency, 'Status of Legal Aid', presentation, 2014.</w:t>
      </w:r>
    </w:p>
  </w:footnote>
  <w:footnote w:id="21">
    <w:p w14:paraId="79954535" w14:textId="74F35B46" w:rsidR="007F38CA" w:rsidRPr="00FB6E67" w:rsidRDefault="007F38CA" w:rsidP="00174EB1">
      <w:pPr>
        <w:pStyle w:val="FootnoteText"/>
        <w:rPr>
          <w:rFonts w:ascii="Times New Roman" w:hAnsi="Times New Roman"/>
          <w:sz w:val="14"/>
          <w:szCs w:val="14"/>
        </w:rPr>
      </w:pPr>
      <w:r w:rsidRPr="00FB6E67">
        <w:rPr>
          <w:rStyle w:val="FootnoteReference"/>
          <w:rFonts w:ascii="Times New Roman" w:hAnsi="Times New Roman"/>
          <w:sz w:val="14"/>
          <w:szCs w:val="14"/>
        </w:rPr>
        <w:footnoteRef/>
      </w:r>
      <w:r w:rsidRPr="00FB6E67">
        <w:rPr>
          <w:rFonts w:ascii="Times New Roman" w:hAnsi="Times New Roman"/>
          <w:sz w:val="14"/>
          <w:szCs w:val="14"/>
        </w:rPr>
        <w:t xml:space="preserve"> </w:t>
      </w:r>
      <w:r>
        <w:rPr>
          <w:rFonts w:ascii="Times New Roman" w:hAnsi="Times New Roman"/>
          <w:sz w:val="14"/>
          <w:szCs w:val="14"/>
        </w:rPr>
        <w:t>BAPPENAS/UNDP report, 'Enhancing Local Development Performance. 2010.</w:t>
      </w:r>
    </w:p>
  </w:footnote>
  <w:footnote w:id="22">
    <w:p w14:paraId="6E8D0D8B" w14:textId="77777777" w:rsidR="007F38CA" w:rsidRPr="00FB6E67" w:rsidRDefault="007F38CA" w:rsidP="00736752">
      <w:pPr>
        <w:pStyle w:val="FootnoteText"/>
        <w:rPr>
          <w:rFonts w:ascii="Times New Roman" w:hAnsi="Times New Roman"/>
          <w:sz w:val="14"/>
          <w:szCs w:val="14"/>
        </w:rPr>
      </w:pPr>
      <w:r w:rsidRPr="00FB6E67">
        <w:rPr>
          <w:rStyle w:val="FootnoteReference"/>
          <w:rFonts w:ascii="Times New Roman" w:hAnsi="Times New Roman"/>
          <w:sz w:val="14"/>
          <w:szCs w:val="14"/>
        </w:rPr>
        <w:footnoteRef/>
      </w:r>
      <w:r w:rsidRPr="00FB6E67">
        <w:rPr>
          <w:rFonts w:ascii="Times New Roman" w:hAnsi="Times New Roman"/>
          <w:sz w:val="14"/>
          <w:szCs w:val="14"/>
        </w:rPr>
        <w:t xml:space="preserve"> Data collected annually unless otherwise stated. All targets for 2020.</w:t>
      </w:r>
    </w:p>
  </w:footnote>
  <w:footnote w:id="23">
    <w:p w14:paraId="344D811D" w14:textId="77777777" w:rsidR="007F38CA" w:rsidRPr="00FB6E67" w:rsidRDefault="007F38CA">
      <w:pPr>
        <w:pStyle w:val="FootnoteText"/>
        <w:rPr>
          <w:rFonts w:ascii="Times New Roman" w:hAnsi="Times New Roman"/>
          <w:sz w:val="14"/>
          <w:szCs w:val="14"/>
        </w:rPr>
      </w:pPr>
      <w:r w:rsidRPr="00FB6E67">
        <w:rPr>
          <w:rStyle w:val="FootnoteReference"/>
          <w:rFonts w:ascii="Times New Roman" w:hAnsi="Times New Roman"/>
          <w:sz w:val="14"/>
          <w:szCs w:val="14"/>
        </w:rPr>
        <w:footnoteRef/>
      </w:r>
      <w:r w:rsidRPr="00FB6E67">
        <w:rPr>
          <w:rFonts w:ascii="Times New Roman" w:hAnsi="Times New Roman"/>
          <w:sz w:val="14"/>
          <w:szCs w:val="14"/>
        </w:rPr>
        <w:t xml:space="preserve"> Gender disaggregated baseline and target to be collected.</w:t>
      </w:r>
    </w:p>
  </w:footnote>
  <w:footnote w:id="24">
    <w:p w14:paraId="1C5EF381" w14:textId="77777777" w:rsidR="007F38CA" w:rsidRPr="00FB6E67" w:rsidRDefault="007F38CA">
      <w:pPr>
        <w:pStyle w:val="FootnoteText"/>
        <w:rPr>
          <w:rFonts w:ascii="Times New Roman" w:hAnsi="Times New Roman"/>
          <w:sz w:val="14"/>
          <w:szCs w:val="14"/>
        </w:rPr>
      </w:pPr>
      <w:r w:rsidRPr="00FB6E67">
        <w:rPr>
          <w:rStyle w:val="FootnoteReference"/>
          <w:rFonts w:ascii="Times New Roman" w:hAnsi="Times New Roman"/>
          <w:sz w:val="14"/>
          <w:szCs w:val="14"/>
        </w:rPr>
        <w:footnoteRef/>
      </w:r>
      <w:r w:rsidRPr="00FB6E67">
        <w:rPr>
          <w:rFonts w:ascii="Times New Roman" w:hAnsi="Times New Roman"/>
          <w:sz w:val="14"/>
          <w:szCs w:val="14"/>
        </w:rPr>
        <w:t xml:space="preserve"> As defined in Law No.7/2012</w:t>
      </w:r>
      <w:r>
        <w:rPr>
          <w:rFonts w:ascii="Times New Roman" w:hAnsi="Times New Roman"/>
          <w:sz w:val="14"/>
          <w:szCs w:val="14"/>
        </w:rPr>
        <w:t xml:space="preserve"> on Social Conflict Management</w:t>
      </w:r>
      <w:r w:rsidRPr="00FB6E67">
        <w:rPr>
          <w:rFonts w:ascii="Times New Roman" w:hAnsi="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F38CA" w:rsidRPr="00143829" w14:paraId="1F112E89" w14:textId="77777777" w:rsidTr="004F31EC">
      <w:trPr>
        <w:trHeight w:hRule="exact" w:val="864"/>
      </w:trPr>
      <w:tc>
        <w:tcPr>
          <w:tcW w:w="4838" w:type="dxa"/>
          <w:tcBorders>
            <w:bottom w:val="single" w:sz="4" w:space="0" w:color="auto"/>
          </w:tcBorders>
          <w:vAlign w:val="bottom"/>
        </w:tcPr>
        <w:p w14:paraId="0E4C9596" w14:textId="77777777" w:rsidR="007F38CA" w:rsidRPr="00143829" w:rsidRDefault="007F38CA" w:rsidP="00143829">
          <w:pPr>
            <w:widowControl w:val="0"/>
            <w:tabs>
              <w:tab w:val="center" w:pos="4320"/>
              <w:tab w:val="right" w:pos="8640"/>
            </w:tabs>
            <w:spacing w:after="80"/>
            <w:rPr>
              <w:b/>
              <w:sz w:val="17"/>
              <w:szCs w:val="17"/>
            </w:rPr>
          </w:pPr>
          <w:r w:rsidRPr="00143829">
            <w:rPr>
              <w:b/>
              <w:sz w:val="17"/>
              <w:szCs w:val="17"/>
            </w:rPr>
            <w:t>DP/DCP/</w:t>
          </w:r>
          <w:r>
            <w:rPr>
              <w:b/>
              <w:sz w:val="17"/>
              <w:szCs w:val="17"/>
            </w:rPr>
            <w:t>ID</w:t>
          </w:r>
          <w:r w:rsidRPr="00143829">
            <w:rPr>
              <w:b/>
              <w:sz w:val="17"/>
              <w:szCs w:val="17"/>
            </w:rPr>
            <w:t>N/3</w:t>
          </w:r>
        </w:p>
      </w:tc>
      <w:tc>
        <w:tcPr>
          <w:tcW w:w="5047" w:type="dxa"/>
          <w:tcBorders>
            <w:bottom w:val="single" w:sz="4" w:space="0" w:color="auto"/>
          </w:tcBorders>
          <w:vAlign w:val="bottom"/>
        </w:tcPr>
        <w:p w14:paraId="2B1350D8" w14:textId="77777777" w:rsidR="007F38CA" w:rsidRPr="00143829" w:rsidRDefault="007F38CA" w:rsidP="00143829">
          <w:pPr>
            <w:widowControl w:val="0"/>
            <w:tabs>
              <w:tab w:val="center" w:pos="4320"/>
              <w:tab w:val="right" w:pos="8640"/>
            </w:tabs>
            <w:rPr>
              <w:sz w:val="17"/>
              <w:szCs w:val="17"/>
            </w:rPr>
          </w:pPr>
        </w:p>
      </w:tc>
    </w:tr>
  </w:tbl>
  <w:p w14:paraId="7132FCDB" w14:textId="77777777" w:rsidR="007F38CA" w:rsidRDefault="007F3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F38CA" w:rsidRPr="005435FF" w14:paraId="2B046C38" w14:textId="77777777" w:rsidTr="004F31EC">
      <w:trPr>
        <w:trHeight w:hRule="exact" w:val="864"/>
      </w:trPr>
      <w:tc>
        <w:tcPr>
          <w:tcW w:w="4838" w:type="dxa"/>
          <w:shd w:val="clear" w:color="auto" w:fill="auto"/>
          <w:vAlign w:val="bottom"/>
        </w:tcPr>
        <w:p w14:paraId="50929777" w14:textId="77777777" w:rsidR="007F38CA" w:rsidRPr="005435FF" w:rsidRDefault="007F38CA" w:rsidP="005435FF">
          <w:pPr>
            <w:tabs>
              <w:tab w:val="center" w:pos="4320"/>
              <w:tab w:val="right" w:pos="8640"/>
            </w:tabs>
            <w:spacing w:after="80"/>
            <w:rPr>
              <w:b/>
              <w:noProof/>
              <w:sz w:val="17"/>
            </w:rPr>
          </w:pPr>
        </w:p>
      </w:tc>
      <w:tc>
        <w:tcPr>
          <w:tcW w:w="5033" w:type="dxa"/>
          <w:shd w:val="clear" w:color="auto" w:fill="auto"/>
          <w:vAlign w:val="bottom"/>
        </w:tcPr>
        <w:p w14:paraId="22C99922" w14:textId="77777777" w:rsidR="007F38CA" w:rsidRPr="005435FF" w:rsidRDefault="007F38CA" w:rsidP="005435FF">
          <w:pPr>
            <w:tabs>
              <w:tab w:val="center" w:pos="4320"/>
              <w:tab w:val="right" w:pos="8640"/>
            </w:tabs>
            <w:jc w:val="right"/>
            <w:rPr>
              <w:noProof/>
              <w:sz w:val="17"/>
            </w:rPr>
          </w:pPr>
          <w:r w:rsidRPr="005435FF">
            <w:rPr>
              <w:b/>
              <w:noProof/>
              <w:sz w:val="17"/>
            </w:rPr>
            <w:t>DP/DCP/</w:t>
          </w:r>
          <w:r>
            <w:rPr>
              <w:b/>
              <w:noProof/>
              <w:sz w:val="17"/>
            </w:rPr>
            <w:t>IDN</w:t>
          </w:r>
          <w:r w:rsidRPr="005435FF">
            <w:rPr>
              <w:b/>
              <w:noProof/>
              <w:sz w:val="17"/>
            </w:rPr>
            <w:t>/</w:t>
          </w:r>
          <w:r w:rsidRPr="005435FF">
            <w:rPr>
              <w:b/>
              <w:noProof/>
              <w:sz w:val="17"/>
            </w:rPr>
            <w:fldChar w:fldCharType="begin"/>
          </w:r>
          <w:r w:rsidRPr="005435FF">
            <w:rPr>
              <w:b/>
              <w:noProof/>
              <w:sz w:val="17"/>
            </w:rPr>
            <w:instrText xml:space="preserve"> DOCVARIABLE "sss1" \* MERGEFORMAT </w:instrText>
          </w:r>
          <w:r w:rsidRPr="005435FF">
            <w:rPr>
              <w:b/>
              <w:noProof/>
              <w:sz w:val="17"/>
            </w:rPr>
            <w:fldChar w:fldCharType="end"/>
          </w:r>
          <w:r w:rsidRPr="005435FF">
            <w:rPr>
              <w:b/>
              <w:noProof/>
              <w:sz w:val="17"/>
            </w:rPr>
            <w:t>3</w:t>
          </w:r>
        </w:p>
      </w:tc>
    </w:tr>
  </w:tbl>
  <w:p w14:paraId="63B86307" w14:textId="77777777" w:rsidR="007F38CA" w:rsidRDefault="007F3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F38CA" w:rsidRPr="00143829" w14:paraId="333B55F5" w14:textId="77777777" w:rsidTr="004F31EC">
      <w:trPr>
        <w:trHeight w:hRule="exact" w:val="864"/>
      </w:trPr>
      <w:tc>
        <w:tcPr>
          <w:tcW w:w="1267" w:type="dxa"/>
          <w:tcBorders>
            <w:bottom w:val="single" w:sz="4" w:space="0" w:color="auto"/>
          </w:tcBorders>
          <w:shd w:val="clear" w:color="auto" w:fill="auto"/>
          <w:vAlign w:val="bottom"/>
        </w:tcPr>
        <w:p w14:paraId="2A7C371C" w14:textId="77777777" w:rsidR="007F38CA" w:rsidRPr="00143829" w:rsidRDefault="007F38CA" w:rsidP="0014382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A5AFB05" w14:textId="77777777" w:rsidR="007F38CA" w:rsidRPr="00143829" w:rsidRDefault="007F38CA" w:rsidP="00143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143829">
            <w:rPr>
              <w:spacing w:val="2"/>
              <w:w w:val="96"/>
              <w:kern w:val="14"/>
              <w:sz w:val="28"/>
              <w:lang w:val="en-GB"/>
            </w:rPr>
            <w:t>United Nations</w:t>
          </w:r>
        </w:p>
      </w:tc>
      <w:tc>
        <w:tcPr>
          <w:tcW w:w="245" w:type="dxa"/>
          <w:tcBorders>
            <w:bottom w:val="single" w:sz="4" w:space="0" w:color="auto"/>
          </w:tcBorders>
          <w:shd w:val="clear" w:color="auto" w:fill="auto"/>
          <w:vAlign w:val="bottom"/>
        </w:tcPr>
        <w:p w14:paraId="0F5CE475" w14:textId="77777777" w:rsidR="007F38CA" w:rsidRPr="00143829" w:rsidRDefault="007F38CA" w:rsidP="0014382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9B516DF" w14:textId="77777777" w:rsidR="007F38CA" w:rsidRPr="00143829" w:rsidRDefault="007F38CA" w:rsidP="00143829">
          <w:pPr>
            <w:suppressAutoHyphens/>
            <w:spacing w:after="80"/>
            <w:jc w:val="right"/>
            <w:rPr>
              <w:spacing w:val="4"/>
              <w:w w:val="103"/>
              <w:kern w:val="14"/>
              <w:position w:val="-4"/>
              <w:lang w:val="en-GB"/>
            </w:rPr>
          </w:pPr>
          <w:r w:rsidRPr="00143829">
            <w:rPr>
              <w:spacing w:val="4"/>
              <w:w w:val="103"/>
              <w:kern w:val="14"/>
              <w:position w:val="-4"/>
              <w:sz w:val="40"/>
              <w:lang w:val="en-GB"/>
            </w:rPr>
            <w:t>DP</w:t>
          </w:r>
          <w:r w:rsidRPr="00143829">
            <w:rPr>
              <w:spacing w:val="4"/>
              <w:w w:val="103"/>
              <w:kern w:val="14"/>
              <w:position w:val="-4"/>
              <w:lang w:val="en-GB"/>
            </w:rPr>
            <w:t>/DCP/</w:t>
          </w:r>
          <w:r>
            <w:rPr>
              <w:spacing w:val="4"/>
              <w:w w:val="103"/>
              <w:kern w:val="14"/>
              <w:position w:val="-4"/>
              <w:lang w:val="en-GB"/>
            </w:rPr>
            <w:t>ID</w:t>
          </w:r>
          <w:r w:rsidRPr="00143829">
            <w:rPr>
              <w:spacing w:val="4"/>
              <w:w w:val="103"/>
              <w:kern w:val="14"/>
              <w:position w:val="-4"/>
              <w:lang w:val="en-GB"/>
            </w:rPr>
            <w:t>N/3</w:t>
          </w:r>
        </w:p>
      </w:tc>
    </w:tr>
    <w:tr w:rsidR="007F38CA" w:rsidRPr="00143829" w14:paraId="574AC1D1" w14:textId="77777777" w:rsidTr="004F31EC">
      <w:trPr>
        <w:gridAfter w:val="1"/>
        <w:wAfter w:w="28" w:type="dxa"/>
        <w:trHeight w:hRule="exact" w:val="2880"/>
      </w:trPr>
      <w:tc>
        <w:tcPr>
          <w:tcW w:w="1267" w:type="dxa"/>
          <w:tcBorders>
            <w:top w:val="single" w:sz="4" w:space="0" w:color="auto"/>
            <w:bottom w:val="single" w:sz="12" w:space="0" w:color="auto"/>
          </w:tcBorders>
          <w:shd w:val="clear" w:color="auto" w:fill="auto"/>
        </w:tcPr>
        <w:p w14:paraId="065D760B" w14:textId="77777777" w:rsidR="007F38CA" w:rsidRPr="00143829" w:rsidRDefault="007F38CA" w:rsidP="00143829">
          <w:pPr>
            <w:tabs>
              <w:tab w:val="center" w:pos="4320"/>
              <w:tab w:val="right" w:pos="8640"/>
            </w:tabs>
            <w:spacing w:before="109"/>
            <w:rPr>
              <w:noProof/>
              <w:sz w:val="17"/>
            </w:rPr>
          </w:pPr>
          <w:r w:rsidRPr="00143829">
            <w:rPr>
              <w:noProof/>
              <w:sz w:val="17"/>
            </w:rPr>
            <w:t xml:space="preserve"> </w:t>
          </w:r>
          <w:r w:rsidRPr="00143829">
            <w:rPr>
              <w:noProof/>
              <w:sz w:val="17"/>
            </w:rPr>
            <w:drawing>
              <wp:inline distT="0" distB="0" distL="0" distR="0" wp14:anchorId="2B4B0D7C" wp14:editId="795129E8">
                <wp:extent cx="704850"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4A8635E6" w14:textId="77777777" w:rsidR="007F38CA" w:rsidRPr="00143829" w:rsidRDefault="007F38CA" w:rsidP="0014382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9CE9159" w14:textId="77777777" w:rsidR="007F38CA" w:rsidRPr="00143829" w:rsidRDefault="007F38CA" w:rsidP="00143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43829">
            <w:rPr>
              <w:b/>
              <w:sz w:val="34"/>
            </w:rPr>
            <w:t>Executive Board of the</w:t>
          </w:r>
          <w:r w:rsidRPr="00143829">
            <w:rPr>
              <w:b/>
              <w:sz w:val="34"/>
            </w:rPr>
            <w:br/>
            <w:t>United Nations Development</w:t>
          </w:r>
          <w:r w:rsidRPr="00143829">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24AAC02D" w14:textId="77777777" w:rsidR="007F38CA" w:rsidRPr="00143829" w:rsidRDefault="007F38CA" w:rsidP="0014382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59B44B5" w14:textId="77777777" w:rsidR="007F38CA" w:rsidRPr="00143829" w:rsidRDefault="007F38CA" w:rsidP="00143829">
          <w:pPr>
            <w:suppressAutoHyphens/>
            <w:spacing w:before="240" w:line="240" w:lineRule="exact"/>
            <w:rPr>
              <w:spacing w:val="4"/>
              <w:w w:val="103"/>
              <w:kern w:val="14"/>
              <w:lang w:val="en-GB"/>
            </w:rPr>
          </w:pPr>
          <w:r w:rsidRPr="00143829">
            <w:rPr>
              <w:spacing w:val="4"/>
              <w:w w:val="103"/>
              <w:kern w:val="14"/>
              <w:lang w:val="en-GB"/>
            </w:rPr>
            <w:t>Distr.: General</w:t>
          </w:r>
        </w:p>
        <w:p w14:paraId="70A79CBB" w14:textId="3BC666A6" w:rsidR="007F38CA" w:rsidRPr="00143829" w:rsidRDefault="007F38CA" w:rsidP="00143829">
          <w:pPr>
            <w:suppressAutoHyphens/>
            <w:spacing w:line="240" w:lineRule="exact"/>
            <w:rPr>
              <w:spacing w:val="4"/>
              <w:w w:val="103"/>
              <w:kern w:val="14"/>
              <w:lang w:val="en-GB"/>
            </w:rPr>
          </w:pPr>
          <w:r>
            <w:rPr>
              <w:spacing w:val="4"/>
              <w:w w:val="103"/>
              <w:kern w:val="14"/>
              <w:lang w:val="en-GB"/>
            </w:rPr>
            <w:t>9 June</w:t>
          </w:r>
          <w:r w:rsidRPr="00143829">
            <w:rPr>
              <w:spacing w:val="4"/>
              <w:w w:val="103"/>
              <w:kern w:val="14"/>
              <w:lang w:val="en-GB"/>
            </w:rPr>
            <w:t xml:space="preserve"> 2015</w:t>
          </w:r>
        </w:p>
        <w:p w14:paraId="6934AEFD" w14:textId="77777777" w:rsidR="007F38CA" w:rsidRPr="00143829" w:rsidRDefault="007F38CA" w:rsidP="00143829">
          <w:pPr>
            <w:suppressAutoHyphens/>
            <w:spacing w:line="240" w:lineRule="exact"/>
            <w:rPr>
              <w:spacing w:val="4"/>
              <w:w w:val="103"/>
              <w:kern w:val="14"/>
              <w:lang w:val="en-GB"/>
            </w:rPr>
          </w:pPr>
        </w:p>
        <w:p w14:paraId="2529FFE5" w14:textId="77777777" w:rsidR="007F38CA" w:rsidRPr="00143829" w:rsidRDefault="007F38CA" w:rsidP="00143829">
          <w:pPr>
            <w:suppressAutoHyphens/>
            <w:spacing w:line="240" w:lineRule="exact"/>
            <w:rPr>
              <w:spacing w:val="4"/>
              <w:w w:val="103"/>
              <w:kern w:val="14"/>
              <w:lang w:val="en-GB"/>
            </w:rPr>
          </w:pPr>
          <w:r w:rsidRPr="00143829">
            <w:rPr>
              <w:spacing w:val="4"/>
              <w:w w:val="103"/>
              <w:kern w:val="14"/>
              <w:lang w:val="en-GB"/>
            </w:rPr>
            <w:t>Original: English</w:t>
          </w:r>
        </w:p>
      </w:tc>
    </w:tr>
  </w:tbl>
  <w:p w14:paraId="69FA4FA8" w14:textId="77777777" w:rsidR="007F38CA" w:rsidRDefault="007F3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70B5" w14:textId="77777777" w:rsidR="007F38CA" w:rsidRDefault="007F38CA">
    <w:pPr>
      <w:pStyle w:val="Header"/>
    </w:pPr>
    <w:r>
      <w:rPr>
        <w:noProof/>
      </w:rPr>
      <mc:AlternateContent>
        <mc:Choice Requires="wps">
          <w:drawing>
            <wp:anchor distT="0" distB="0" distL="114300" distR="114300" simplePos="0" relativeHeight="251661824" behindDoc="0" locked="0" layoutInCell="0" allowOverlap="1" wp14:anchorId="39C19DA5" wp14:editId="53C9A03A">
              <wp:simplePos x="0" y="0"/>
              <wp:positionH relativeFrom="column">
                <wp:posOffset>-72301</wp:posOffset>
              </wp:positionH>
              <wp:positionV relativeFrom="paragraph">
                <wp:posOffset>-297712</wp:posOffset>
              </wp:positionV>
              <wp:extent cx="8537944"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7944"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Ind w:w="17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38CA" w:rsidRPr="005841A3" w14:paraId="12C0EFFC" w14:textId="77777777" w:rsidTr="001E580D">
                            <w:trPr>
                              <w:trHeight w:hRule="exact" w:val="864"/>
                            </w:trPr>
                            <w:tc>
                              <w:tcPr>
                                <w:tcW w:w="4838" w:type="dxa"/>
                                <w:tcBorders>
                                  <w:bottom w:val="single" w:sz="4" w:space="0" w:color="auto"/>
                                </w:tcBorders>
                                <w:vAlign w:val="bottom"/>
                              </w:tcPr>
                              <w:p w14:paraId="0946FD0D" w14:textId="77777777" w:rsidR="007F38CA" w:rsidRPr="007C6F85" w:rsidRDefault="007F38CA"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IDN/3</w:t>
                                </w:r>
                              </w:p>
                            </w:tc>
                            <w:tc>
                              <w:tcPr>
                                <w:tcW w:w="8276" w:type="dxa"/>
                                <w:tcBorders>
                                  <w:bottom w:val="single" w:sz="4" w:space="0" w:color="auto"/>
                                </w:tcBorders>
                                <w:vAlign w:val="bottom"/>
                              </w:tcPr>
                              <w:p w14:paraId="03669DD0" w14:textId="77777777" w:rsidR="007F38CA" w:rsidRPr="007C6F85" w:rsidRDefault="007F38CA">
                                <w:pPr>
                                  <w:pStyle w:val="Header"/>
                                  <w:rPr>
                                    <w:rFonts w:ascii="Times New Roman" w:hAnsi="Times New Roman"/>
                                    <w:sz w:val="17"/>
                                    <w:szCs w:val="17"/>
                                  </w:rPr>
                                </w:pPr>
                              </w:p>
                            </w:tc>
                          </w:tr>
                        </w:tbl>
                        <w:p w14:paraId="0EC34B99" w14:textId="77777777" w:rsidR="007F38CA" w:rsidRDefault="007F38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9C19DA5" id="_x0000_t202" coordsize="21600,21600" o:spt="202" path="m,l,21600r21600,l21600,xe">
              <v:stroke joinstyle="miter"/>
              <v:path gradientshapeok="t" o:connecttype="rect"/>
            </v:shapetype>
            <v:shape id="Text Box 4" o:spid="_x0000_s1026" type="#_x0000_t202" style="position:absolute;margin-left:-5.7pt;margin-top:-23.45pt;width:672.3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" o:allowincell="f" stroked="f">
              <v:textbox inset="0,0,0,0">
                <w:txbxContent>
                  <w:tbl>
                    <w:tblPr>
                      <w:tblW w:w="13114" w:type="dxa"/>
                      <w:tblInd w:w="17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38CA" w:rsidRPr="005841A3" w14:paraId="12C0EFFC" w14:textId="77777777" w:rsidTr="001E580D">
                      <w:trPr>
                        <w:trHeight w:hRule="exact" w:val="864"/>
                      </w:trPr>
                      <w:tc>
                        <w:tcPr>
                          <w:tcW w:w="4838" w:type="dxa"/>
                          <w:tcBorders>
                            <w:bottom w:val="single" w:sz="4" w:space="0" w:color="auto"/>
                          </w:tcBorders>
                          <w:vAlign w:val="bottom"/>
                        </w:tcPr>
                        <w:p w14:paraId="0946FD0D" w14:textId="77777777" w:rsidR="007F38CA" w:rsidRPr="007C6F85" w:rsidRDefault="007F38CA"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IDN/3</w:t>
                          </w:r>
                        </w:p>
                      </w:tc>
                      <w:tc>
                        <w:tcPr>
                          <w:tcW w:w="8276" w:type="dxa"/>
                          <w:tcBorders>
                            <w:bottom w:val="single" w:sz="4" w:space="0" w:color="auto"/>
                          </w:tcBorders>
                          <w:vAlign w:val="bottom"/>
                        </w:tcPr>
                        <w:p w14:paraId="03669DD0" w14:textId="77777777" w:rsidR="007F38CA" w:rsidRPr="007C6F85" w:rsidRDefault="007F38CA">
                          <w:pPr>
                            <w:pStyle w:val="Header"/>
                            <w:rPr>
                              <w:rFonts w:ascii="Times New Roman" w:hAnsi="Times New Roman"/>
                              <w:sz w:val="17"/>
                              <w:szCs w:val="17"/>
                            </w:rPr>
                          </w:pPr>
                        </w:p>
                      </w:tc>
                    </w:tr>
                  </w:tbl>
                  <w:p w14:paraId="0EC34B99" w14:textId="77777777" w:rsidR="007F38CA" w:rsidRDefault="007F38CA"/>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38CA" w:rsidRPr="001E580D" w14:paraId="19AC7199" w14:textId="77777777" w:rsidTr="004F31EC">
      <w:trPr>
        <w:trHeight w:hRule="exact" w:val="864"/>
      </w:trPr>
      <w:tc>
        <w:tcPr>
          <w:tcW w:w="4838" w:type="dxa"/>
          <w:tcBorders>
            <w:bottom w:val="single" w:sz="4" w:space="0" w:color="auto"/>
          </w:tcBorders>
          <w:vAlign w:val="bottom"/>
        </w:tcPr>
        <w:p w14:paraId="153DF8AA" w14:textId="77777777" w:rsidR="007F38CA" w:rsidRPr="001E580D" w:rsidRDefault="007F38CA" w:rsidP="001E580D">
          <w:pPr>
            <w:widowControl w:val="0"/>
            <w:tabs>
              <w:tab w:val="center" w:pos="4320"/>
              <w:tab w:val="right" w:pos="8640"/>
            </w:tabs>
            <w:spacing w:after="80"/>
            <w:rPr>
              <w:b/>
              <w:sz w:val="17"/>
              <w:szCs w:val="17"/>
            </w:rPr>
          </w:pPr>
        </w:p>
      </w:tc>
      <w:tc>
        <w:tcPr>
          <w:tcW w:w="8276" w:type="dxa"/>
          <w:tcBorders>
            <w:bottom w:val="single" w:sz="4" w:space="0" w:color="auto"/>
          </w:tcBorders>
          <w:vAlign w:val="bottom"/>
        </w:tcPr>
        <w:p w14:paraId="05794DDB" w14:textId="77777777" w:rsidR="007F38CA" w:rsidRPr="001E580D" w:rsidRDefault="007F38CA" w:rsidP="001E580D">
          <w:pPr>
            <w:widowControl w:val="0"/>
            <w:tabs>
              <w:tab w:val="center" w:pos="4320"/>
              <w:tab w:val="right" w:pos="8640"/>
            </w:tabs>
            <w:jc w:val="right"/>
            <w:rPr>
              <w:b/>
              <w:sz w:val="17"/>
              <w:szCs w:val="17"/>
            </w:rPr>
          </w:pPr>
          <w:r w:rsidRPr="001E580D">
            <w:rPr>
              <w:b/>
              <w:sz w:val="17"/>
              <w:szCs w:val="17"/>
            </w:rPr>
            <w:t>DP/DCP/</w:t>
          </w:r>
          <w:r>
            <w:rPr>
              <w:b/>
              <w:sz w:val="17"/>
              <w:szCs w:val="17"/>
            </w:rPr>
            <w:t>ID</w:t>
          </w:r>
          <w:r w:rsidRPr="001E580D">
            <w:rPr>
              <w:b/>
              <w:sz w:val="17"/>
              <w:szCs w:val="17"/>
            </w:rPr>
            <w:t>N/3</w:t>
          </w:r>
        </w:p>
      </w:tc>
    </w:tr>
  </w:tbl>
  <w:p w14:paraId="078EC66A" w14:textId="77777777" w:rsidR="007F38CA" w:rsidRPr="006338F7" w:rsidRDefault="007F38CA" w:rsidP="006338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B81E" w14:textId="77777777" w:rsidR="007F38CA" w:rsidRDefault="007F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29B"/>
    <w:multiLevelType w:val="hybridMultilevel"/>
    <w:tmpl w:val="87AE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178"/>
    <w:multiLevelType w:val="hybridMultilevel"/>
    <w:tmpl w:val="4558CF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DC7"/>
    <w:multiLevelType w:val="hybridMultilevel"/>
    <w:tmpl w:val="3B74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B44EB"/>
    <w:multiLevelType w:val="hybridMultilevel"/>
    <w:tmpl w:val="78A8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E1F0F"/>
    <w:multiLevelType w:val="hybridMultilevel"/>
    <w:tmpl w:val="3FCE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866FB"/>
    <w:multiLevelType w:val="hybridMultilevel"/>
    <w:tmpl w:val="BB02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A5AE2"/>
    <w:multiLevelType w:val="hybridMultilevel"/>
    <w:tmpl w:val="A91AEF16"/>
    <w:lvl w:ilvl="0" w:tplc="6C462AA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E2EFC"/>
    <w:multiLevelType w:val="hybridMultilevel"/>
    <w:tmpl w:val="8D3CA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B17B2F"/>
    <w:multiLevelType w:val="hybridMultilevel"/>
    <w:tmpl w:val="F92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E043A8"/>
    <w:multiLevelType w:val="hybridMultilevel"/>
    <w:tmpl w:val="8654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2B4FA4"/>
    <w:multiLevelType w:val="hybridMultilevel"/>
    <w:tmpl w:val="0242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2531FB"/>
    <w:multiLevelType w:val="hybridMultilevel"/>
    <w:tmpl w:val="A3F4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10262"/>
    <w:multiLevelType w:val="hybridMultilevel"/>
    <w:tmpl w:val="0F62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8F2311"/>
    <w:multiLevelType w:val="hybridMultilevel"/>
    <w:tmpl w:val="A2401B4A"/>
    <w:lvl w:ilvl="0" w:tplc="E60A9932">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63D9"/>
    <w:multiLevelType w:val="hybridMultilevel"/>
    <w:tmpl w:val="88FE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B055A2"/>
    <w:multiLevelType w:val="hybridMultilevel"/>
    <w:tmpl w:val="EDE2B910"/>
    <w:lvl w:ilvl="0" w:tplc="463CE5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D774D"/>
    <w:multiLevelType w:val="hybridMultilevel"/>
    <w:tmpl w:val="AA306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996F89"/>
    <w:multiLevelType w:val="hybridMultilevel"/>
    <w:tmpl w:val="D04CA9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D1FCC"/>
    <w:multiLevelType w:val="hybridMultilevel"/>
    <w:tmpl w:val="4068597A"/>
    <w:lvl w:ilvl="0" w:tplc="8B20B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D50E6"/>
    <w:multiLevelType w:val="hybridMultilevel"/>
    <w:tmpl w:val="9D9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655FD"/>
    <w:multiLevelType w:val="hybridMultilevel"/>
    <w:tmpl w:val="1F742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6D35DCE"/>
    <w:multiLevelType w:val="hybridMultilevel"/>
    <w:tmpl w:val="EEF8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F675B3"/>
    <w:multiLevelType w:val="hybridMultilevel"/>
    <w:tmpl w:val="56A8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685CA7"/>
    <w:multiLevelType w:val="hybridMultilevel"/>
    <w:tmpl w:val="922C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712DC2"/>
    <w:multiLevelType w:val="hybridMultilevel"/>
    <w:tmpl w:val="67E4313E"/>
    <w:lvl w:ilvl="0" w:tplc="84263FF2">
      <w:start w:val="1"/>
      <w:numFmt w:val="decimal"/>
      <w:lvlText w:val="%1."/>
      <w:lvlJc w:val="left"/>
      <w:pPr>
        <w:ind w:left="720" w:hanging="360"/>
      </w:pPr>
      <w:rPr>
        <w:rFonts w:ascii="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A3166F"/>
    <w:multiLevelType w:val="hybridMultilevel"/>
    <w:tmpl w:val="BAFA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C3386C"/>
    <w:multiLevelType w:val="hybridMultilevel"/>
    <w:tmpl w:val="A71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7F7A39"/>
    <w:multiLevelType w:val="hybridMultilevel"/>
    <w:tmpl w:val="3CEC8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8E6C04"/>
    <w:multiLevelType w:val="hybridMultilevel"/>
    <w:tmpl w:val="6CE06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D60E44"/>
    <w:multiLevelType w:val="hybridMultilevel"/>
    <w:tmpl w:val="12A24DFE"/>
    <w:lvl w:ilvl="0" w:tplc="FD149A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A113E"/>
    <w:multiLevelType w:val="hybridMultilevel"/>
    <w:tmpl w:val="84763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52082"/>
    <w:multiLevelType w:val="hybridMultilevel"/>
    <w:tmpl w:val="1152DE72"/>
    <w:lvl w:ilvl="0" w:tplc="726E5F4C">
      <w:start w:val="1"/>
      <w:numFmt w:val="bullet"/>
      <w:lvlText w:val=""/>
      <w:lvlJc w:val="left"/>
      <w:pPr>
        <w:tabs>
          <w:tab w:val="num" w:pos="648"/>
        </w:tabs>
        <w:ind w:left="648" w:hanging="288"/>
      </w:pPr>
      <w:rPr>
        <w:rFonts w:ascii="Wingdings" w:hAnsi="Wingdings" w:hint="default"/>
      </w:rPr>
    </w:lvl>
    <w:lvl w:ilvl="1" w:tplc="131A12FE">
      <w:start w:val="1"/>
      <w:numFmt w:val="bullet"/>
      <w:lvlText w:val="-"/>
      <w:lvlJc w:val="left"/>
      <w:pPr>
        <w:tabs>
          <w:tab w:val="num" w:pos="936"/>
        </w:tabs>
        <w:ind w:left="936" w:hanging="216"/>
      </w:pPr>
      <w:rPr>
        <w:rFonts w:ascii="Times New Roman" w:hAnsi="Times New Roman" w:hint="default"/>
      </w:rPr>
    </w:lvl>
    <w:lvl w:ilvl="2" w:tplc="200A8826">
      <w:start w:val="1"/>
      <w:numFmt w:val="bullet"/>
      <w:lvlText w:val=""/>
      <w:lvlJc w:val="left"/>
      <w:pPr>
        <w:tabs>
          <w:tab w:val="num" w:pos="2760"/>
        </w:tabs>
        <w:ind w:left="2760" w:hanging="420"/>
      </w:pPr>
      <w:rPr>
        <w:rFonts w:ascii="Wingdings" w:hAnsi="Wingdings" w:hint="default"/>
        <w:sz w:val="13"/>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EC34D7"/>
    <w:multiLevelType w:val="hybridMultilevel"/>
    <w:tmpl w:val="1BBC6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2E0E1D"/>
    <w:multiLevelType w:val="hybridMultilevel"/>
    <w:tmpl w:val="5E44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7"/>
  </w:num>
  <w:num w:numId="3">
    <w:abstractNumId w:val="15"/>
  </w:num>
  <w:num w:numId="4">
    <w:abstractNumId w:val="35"/>
  </w:num>
  <w:num w:numId="5">
    <w:abstractNumId w:val="10"/>
  </w:num>
  <w:num w:numId="6">
    <w:abstractNumId w:val="13"/>
  </w:num>
  <w:num w:numId="7">
    <w:abstractNumId w:val="24"/>
  </w:num>
  <w:num w:numId="8">
    <w:abstractNumId w:val="26"/>
  </w:num>
  <w:num w:numId="9">
    <w:abstractNumId w:val="12"/>
  </w:num>
  <w:num w:numId="10">
    <w:abstractNumId w:val="16"/>
  </w:num>
  <w:num w:numId="11">
    <w:abstractNumId w:val="2"/>
  </w:num>
  <w:num w:numId="12">
    <w:abstractNumId w:val="5"/>
  </w:num>
  <w:num w:numId="13">
    <w:abstractNumId w:val="32"/>
  </w:num>
  <w:num w:numId="14">
    <w:abstractNumId w:val="28"/>
  </w:num>
  <w:num w:numId="15">
    <w:abstractNumId w:val="14"/>
  </w:num>
  <w:num w:numId="16">
    <w:abstractNumId w:val="30"/>
  </w:num>
  <w:num w:numId="17">
    <w:abstractNumId w:val="3"/>
  </w:num>
  <w:num w:numId="18">
    <w:abstractNumId w:val="34"/>
  </w:num>
  <w:num w:numId="19">
    <w:abstractNumId w:val="31"/>
  </w:num>
  <w:num w:numId="20">
    <w:abstractNumId w:val="41"/>
  </w:num>
  <w:num w:numId="21">
    <w:abstractNumId w:val="9"/>
  </w:num>
  <w:num w:numId="22">
    <w:abstractNumId w:val="33"/>
  </w:num>
  <w:num w:numId="23">
    <w:abstractNumId w:val="39"/>
  </w:num>
  <w:num w:numId="24">
    <w:abstractNumId w:val="11"/>
  </w:num>
  <w:num w:numId="25">
    <w:abstractNumId w:val="25"/>
  </w:num>
  <w:num w:numId="26">
    <w:abstractNumId w:val="4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1"/>
  </w:num>
  <w:num w:numId="31">
    <w:abstractNumId w:val="6"/>
  </w:num>
  <w:num w:numId="32">
    <w:abstractNumId w:val="29"/>
  </w:num>
  <w:num w:numId="33">
    <w:abstractNumId w:val="0"/>
  </w:num>
  <w:num w:numId="34">
    <w:abstractNumId w:val="18"/>
  </w:num>
  <w:num w:numId="35">
    <w:abstractNumId w:val="8"/>
  </w:num>
  <w:num w:numId="36">
    <w:abstractNumId w:val="23"/>
  </w:num>
  <w:num w:numId="37">
    <w:abstractNumId w:val="36"/>
  </w:num>
  <w:num w:numId="38">
    <w:abstractNumId w:val="20"/>
  </w:num>
  <w:num w:numId="39">
    <w:abstractNumId w:val="3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290"/>
    <w:rsid w:val="000027D2"/>
    <w:rsid w:val="0000347A"/>
    <w:rsid w:val="00004F04"/>
    <w:rsid w:val="00005E26"/>
    <w:rsid w:val="00010423"/>
    <w:rsid w:val="00010C5D"/>
    <w:rsid w:val="00010DD4"/>
    <w:rsid w:val="00013719"/>
    <w:rsid w:val="00015EF6"/>
    <w:rsid w:val="00015FDE"/>
    <w:rsid w:val="00016217"/>
    <w:rsid w:val="00016861"/>
    <w:rsid w:val="000200CF"/>
    <w:rsid w:val="000205F1"/>
    <w:rsid w:val="00022047"/>
    <w:rsid w:val="0002403A"/>
    <w:rsid w:val="000250F7"/>
    <w:rsid w:val="00025DA9"/>
    <w:rsid w:val="000274B9"/>
    <w:rsid w:val="0002758B"/>
    <w:rsid w:val="000276A0"/>
    <w:rsid w:val="000301CD"/>
    <w:rsid w:val="00030B46"/>
    <w:rsid w:val="00032862"/>
    <w:rsid w:val="000330DB"/>
    <w:rsid w:val="0003429F"/>
    <w:rsid w:val="0003562A"/>
    <w:rsid w:val="00036095"/>
    <w:rsid w:val="00036AF4"/>
    <w:rsid w:val="00037E9C"/>
    <w:rsid w:val="00041C10"/>
    <w:rsid w:val="00043804"/>
    <w:rsid w:val="000441A1"/>
    <w:rsid w:val="00044EE9"/>
    <w:rsid w:val="00050869"/>
    <w:rsid w:val="000511AB"/>
    <w:rsid w:val="000536B2"/>
    <w:rsid w:val="00055E96"/>
    <w:rsid w:val="000561C1"/>
    <w:rsid w:val="00056204"/>
    <w:rsid w:val="000570D1"/>
    <w:rsid w:val="000571A9"/>
    <w:rsid w:val="0005775E"/>
    <w:rsid w:val="00060290"/>
    <w:rsid w:val="00060DC1"/>
    <w:rsid w:val="00062471"/>
    <w:rsid w:val="000624EE"/>
    <w:rsid w:val="00063E24"/>
    <w:rsid w:val="000643C7"/>
    <w:rsid w:val="00064785"/>
    <w:rsid w:val="0006725D"/>
    <w:rsid w:val="00067298"/>
    <w:rsid w:val="000711FD"/>
    <w:rsid w:val="00072229"/>
    <w:rsid w:val="00073CF1"/>
    <w:rsid w:val="0007405F"/>
    <w:rsid w:val="00074BD0"/>
    <w:rsid w:val="00074D9A"/>
    <w:rsid w:val="00074DB9"/>
    <w:rsid w:val="000753C4"/>
    <w:rsid w:val="00075DF0"/>
    <w:rsid w:val="000762CA"/>
    <w:rsid w:val="000802B1"/>
    <w:rsid w:val="000803A4"/>
    <w:rsid w:val="0008100A"/>
    <w:rsid w:val="0008339E"/>
    <w:rsid w:val="00090AD1"/>
    <w:rsid w:val="00090F4F"/>
    <w:rsid w:val="00090FD2"/>
    <w:rsid w:val="00091476"/>
    <w:rsid w:val="00092879"/>
    <w:rsid w:val="00094E87"/>
    <w:rsid w:val="00097FB2"/>
    <w:rsid w:val="000A0DFA"/>
    <w:rsid w:val="000A151D"/>
    <w:rsid w:val="000A1BE0"/>
    <w:rsid w:val="000A1DF2"/>
    <w:rsid w:val="000A24C5"/>
    <w:rsid w:val="000A3A87"/>
    <w:rsid w:val="000A3F7F"/>
    <w:rsid w:val="000A561C"/>
    <w:rsid w:val="000A6B8A"/>
    <w:rsid w:val="000A6FB4"/>
    <w:rsid w:val="000A741D"/>
    <w:rsid w:val="000A7D68"/>
    <w:rsid w:val="000B1627"/>
    <w:rsid w:val="000B35AD"/>
    <w:rsid w:val="000B3A13"/>
    <w:rsid w:val="000B4BB2"/>
    <w:rsid w:val="000B72D3"/>
    <w:rsid w:val="000B72F0"/>
    <w:rsid w:val="000C2935"/>
    <w:rsid w:val="000C5002"/>
    <w:rsid w:val="000C563F"/>
    <w:rsid w:val="000C5BDC"/>
    <w:rsid w:val="000C6415"/>
    <w:rsid w:val="000C6EE8"/>
    <w:rsid w:val="000C76B0"/>
    <w:rsid w:val="000C7BBE"/>
    <w:rsid w:val="000D07BC"/>
    <w:rsid w:val="000D1BDD"/>
    <w:rsid w:val="000D2475"/>
    <w:rsid w:val="000D3614"/>
    <w:rsid w:val="000D3ABB"/>
    <w:rsid w:val="000D442C"/>
    <w:rsid w:val="000D4473"/>
    <w:rsid w:val="000D4BDA"/>
    <w:rsid w:val="000D4DC4"/>
    <w:rsid w:val="000D4EF4"/>
    <w:rsid w:val="000D514E"/>
    <w:rsid w:val="000D6405"/>
    <w:rsid w:val="000D73AF"/>
    <w:rsid w:val="000D76CC"/>
    <w:rsid w:val="000E3E2E"/>
    <w:rsid w:val="000E45CC"/>
    <w:rsid w:val="000E612D"/>
    <w:rsid w:val="000E63F2"/>
    <w:rsid w:val="000E745A"/>
    <w:rsid w:val="000E7E9E"/>
    <w:rsid w:val="000F0044"/>
    <w:rsid w:val="000F2689"/>
    <w:rsid w:val="000F2FA6"/>
    <w:rsid w:val="000F703B"/>
    <w:rsid w:val="00100471"/>
    <w:rsid w:val="00104B44"/>
    <w:rsid w:val="00106EF8"/>
    <w:rsid w:val="001101A2"/>
    <w:rsid w:val="001108A9"/>
    <w:rsid w:val="00111489"/>
    <w:rsid w:val="00111797"/>
    <w:rsid w:val="00111B19"/>
    <w:rsid w:val="00112EAD"/>
    <w:rsid w:val="001130BE"/>
    <w:rsid w:val="00114A64"/>
    <w:rsid w:val="00115B8A"/>
    <w:rsid w:val="00115F59"/>
    <w:rsid w:val="00116C1A"/>
    <w:rsid w:val="00120B38"/>
    <w:rsid w:val="00121F3E"/>
    <w:rsid w:val="0012229E"/>
    <w:rsid w:val="00123849"/>
    <w:rsid w:val="00123A5E"/>
    <w:rsid w:val="00125010"/>
    <w:rsid w:val="00125266"/>
    <w:rsid w:val="00125B82"/>
    <w:rsid w:val="001305E6"/>
    <w:rsid w:val="001314CD"/>
    <w:rsid w:val="0013218C"/>
    <w:rsid w:val="0013239A"/>
    <w:rsid w:val="0013503C"/>
    <w:rsid w:val="00135F99"/>
    <w:rsid w:val="0013761A"/>
    <w:rsid w:val="00141454"/>
    <w:rsid w:val="00143829"/>
    <w:rsid w:val="00143CF3"/>
    <w:rsid w:val="0014423A"/>
    <w:rsid w:val="001451CB"/>
    <w:rsid w:val="0014601F"/>
    <w:rsid w:val="00147042"/>
    <w:rsid w:val="001471A7"/>
    <w:rsid w:val="00150548"/>
    <w:rsid w:val="001506F6"/>
    <w:rsid w:val="00154032"/>
    <w:rsid w:val="00154283"/>
    <w:rsid w:val="001547D3"/>
    <w:rsid w:val="001559BD"/>
    <w:rsid w:val="00157F79"/>
    <w:rsid w:val="00161D26"/>
    <w:rsid w:val="00163E84"/>
    <w:rsid w:val="0016583A"/>
    <w:rsid w:val="001668AA"/>
    <w:rsid w:val="001675B1"/>
    <w:rsid w:val="0016789D"/>
    <w:rsid w:val="00167C87"/>
    <w:rsid w:val="0017208F"/>
    <w:rsid w:val="00172EE3"/>
    <w:rsid w:val="001730F2"/>
    <w:rsid w:val="00174969"/>
    <w:rsid w:val="00174EB1"/>
    <w:rsid w:val="00176199"/>
    <w:rsid w:val="00177E7E"/>
    <w:rsid w:val="00182D36"/>
    <w:rsid w:val="0018356F"/>
    <w:rsid w:val="00184537"/>
    <w:rsid w:val="00185751"/>
    <w:rsid w:val="001876C5"/>
    <w:rsid w:val="00187D68"/>
    <w:rsid w:val="00190155"/>
    <w:rsid w:val="0019048D"/>
    <w:rsid w:val="001906B5"/>
    <w:rsid w:val="00191E88"/>
    <w:rsid w:val="001929BC"/>
    <w:rsid w:val="00192FD1"/>
    <w:rsid w:val="00193D39"/>
    <w:rsid w:val="00194163"/>
    <w:rsid w:val="00194FEB"/>
    <w:rsid w:val="0019554E"/>
    <w:rsid w:val="00195807"/>
    <w:rsid w:val="001970A4"/>
    <w:rsid w:val="00197AD1"/>
    <w:rsid w:val="001A2029"/>
    <w:rsid w:val="001A24C9"/>
    <w:rsid w:val="001A59F7"/>
    <w:rsid w:val="001A736D"/>
    <w:rsid w:val="001A7D75"/>
    <w:rsid w:val="001B0020"/>
    <w:rsid w:val="001B2003"/>
    <w:rsid w:val="001B3F87"/>
    <w:rsid w:val="001B4026"/>
    <w:rsid w:val="001B444A"/>
    <w:rsid w:val="001B598C"/>
    <w:rsid w:val="001B76A6"/>
    <w:rsid w:val="001C07F8"/>
    <w:rsid w:val="001C2F3C"/>
    <w:rsid w:val="001C2F59"/>
    <w:rsid w:val="001C3209"/>
    <w:rsid w:val="001C438E"/>
    <w:rsid w:val="001C45A9"/>
    <w:rsid w:val="001C6766"/>
    <w:rsid w:val="001C6C08"/>
    <w:rsid w:val="001C757C"/>
    <w:rsid w:val="001D2056"/>
    <w:rsid w:val="001D42D1"/>
    <w:rsid w:val="001D6066"/>
    <w:rsid w:val="001D64E5"/>
    <w:rsid w:val="001D6EB8"/>
    <w:rsid w:val="001E03BC"/>
    <w:rsid w:val="001E05EC"/>
    <w:rsid w:val="001E2A88"/>
    <w:rsid w:val="001E4809"/>
    <w:rsid w:val="001E4F4F"/>
    <w:rsid w:val="001E580D"/>
    <w:rsid w:val="001F0918"/>
    <w:rsid w:val="001F103C"/>
    <w:rsid w:val="001F27F4"/>
    <w:rsid w:val="001F3203"/>
    <w:rsid w:val="001F3DC0"/>
    <w:rsid w:val="001F4C5A"/>
    <w:rsid w:val="001F57A2"/>
    <w:rsid w:val="001F6425"/>
    <w:rsid w:val="001F6772"/>
    <w:rsid w:val="001F7300"/>
    <w:rsid w:val="001F7421"/>
    <w:rsid w:val="001F78DF"/>
    <w:rsid w:val="00200195"/>
    <w:rsid w:val="00200AE1"/>
    <w:rsid w:val="00200B5F"/>
    <w:rsid w:val="00201A0D"/>
    <w:rsid w:val="00201EEF"/>
    <w:rsid w:val="002028AD"/>
    <w:rsid w:val="002047C8"/>
    <w:rsid w:val="002052B3"/>
    <w:rsid w:val="002058F9"/>
    <w:rsid w:val="0020619E"/>
    <w:rsid w:val="00210AFF"/>
    <w:rsid w:val="00212B1F"/>
    <w:rsid w:val="00212F8A"/>
    <w:rsid w:val="00213D7C"/>
    <w:rsid w:val="00214513"/>
    <w:rsid w:val="002155B7"/>
    <w:rsid w:val="00216992"/>
    <w:rsid w:val="0021766A"/>
    <w:rsid w:val="00220395"/>
    <w:rsid w:val="00221709"/>
    <w:rsid w:val="002221B6"/>
    <w:rsid w:val="002225D3"/>
    <w:rsid w:val="00222A35"/>
    <w:rsid w:val="00222FA9"/>
    <w:rsid w:val="0022301D"/>
    <w:rsid w:val="00224B2C"/>
    <w:rsid w:val="00227E55"/>
    <w:rsid w:val="00230860"/>
    <w:rsid w:val="00232AA0"/>
    <w:rsid w:val="00234153"/>
    <w:rsid w:val="00234CDF"/>
    <w:rsid w:val="00236B91"/>
    <w:rsid w:val="002370E1"/>
    <w:rsid w:val="00241A1B"/>
    <w:rsid w:val="002424C0"/>
    <w:rsid w:val="00242CAA"/>
    <w:rsid w:val="002438F1"/>
    <w:rsid w:val="002441EB"/>
    <w:rsid w:val="002447A2"/>
    <w:rsid w:val="00244FEA"/>
    <w:rsid w:val="00245D74"/>
    <w:rsid w:val="00246ABC"/>
    <w:rsid w:val="00246DDF"/>
    <w:rsid w:val="0025059E"/>
    <w:rsid w:val="00251A1A"/>
    <w:rsid w:val="0025369A"/>
    <w:rsid w:val="002538D6"/>
    <w:rsid w:val="00253F9D"/>
    <w:rsid w:val="00254203"/>
    <w:rsid w:val="002563B7"/>
    <w:rsid w:val="00256500"/>
    <w:rsid w:val="002573CC"/>
    <w:rsid w:val="0025790B"/>
    <w:rsid w:val="00260E75"/>
    <w:rsid w:val="00260FAA"/>
    <w:rsid w:val="00261D82"/>
    <w:rsid w:val="00262338"/>
    <w:rsid w:val="00263938"/>
    <w:rsid w:val="00263C58"/>
    <w:rsid w:val="00263F2A"/>
    <w:rsid w:val="002646D7"/>
    <w:rsid w:val="0026606B"/>
    <w:rsid w:val="002668D4"/>
    <w:rsid w:val="002669ED"/>
    <w:rsid w:val="002671D7"/>
    <w:rsid w:val="0027259C"/>
    <w:rsid w:val="0027292C"/>
    <w:rsid w:val="00273543"/>
    <w:rsid w:val="002744CC"/>
    <w:rsid w:val="00274C82"/>
    <w:rsid w:val="00275BFE"/>
    <w:rsid w:val="0027654D"/>
    <w:rsid w:val="00276713"/>
    <w:rsid w:val="00276E51"/>
    <w:rsid w:val="002810DF"/>
    <w:rsid w:val="002812AB"/>
    <w:rsid w:val="002816D8"/>
    <w:rsid w:val="00282256"/>
    <w:rsid w:val="002822BB"/>
    <w:rsid w:val="002827EA"/>
    <w:rsid w:val="00282A8C"/>
    <w:rsid w:val="00282FFF"/>
    <w:rsid w:val="00283628"/>
    <w:rsid w:val="002854EE"/>
    <w:rsid w:val="0028565C"/>
    <w:rsid w:val="00286164"/>
    <w:rsid w:val="002875DE"/>
    <w:rsid w:val="00287E07"/>
    <w:rsid w:val="00290C98"/>
    <w:rsid w:val="00290EB3"/>
    <w:rsid w:val="00290F01"/>
    <w:rsid w:val="00291A81"/>
    <w:rsid w:val="00292846"/>
    <w:rsid w:val="00292A90"/>
    <w:rsid w:val="002931FD"/>
    <w:rsid w:val="00293261"/>
    <w:rsid w:val="00294B09"/>
    <w:rsid w:val="002971D6"/>
    <w:rsid w:val="00297227"/>
    <w:rsid w:val="002A0D56"/>
    <w:rsid w:val="002A2A45"/>
    <w:rsid w:val="002A2ECB"/>
    <w:rsid w:val="002A2F08"/>
    <w:rsid w:val="002A302E"/>
    <w:rsid w:val="002A3641"/>
    <w:rsid w:val="002A3911"/>
    <w:rsid w:val="002A495F"/>
    <w:rsid w:val="002A706F"/>
    <w:rsid w:val="002A70EA"/>
    <w:rsid w:val="002A7363"/>
    <w:rsid w:val="002A7F43"/>
    <w:rsid w:val="002B02DF"/>
    <w:rsid w:val="002B2FEF"/>
    <w:rsid w:val="002B365E"/>
    <w:rsid w:val="002B489A"/>
    <w:rsid w:val="002B6341"/>
    <w:rsid w:val="002C0526"/>
    <w:rsid w:val="002C08D8"/>
    <w:rsid w:val="002C27A8"/>
    <w:rsid w:val="002C2C98"/>
    <w:rsid w:val="002C2F8A"/>
    <w:rsid w:val="002C31D7"/>
    <w:rsid w:val="002C333E"/>
    <w:rsid w:val="002C36C8"/>
    <w:rsid w:val="002C51A0"/>
    <w:rsid w:val="002D0584"/>
    <w:rsid w:val="002D1C12"/>
    <w:rsid w:val="002D2E2A"/>
    <w:rsid w:val="002D302D"/>
    <w:rsid w:val="002D5064"/>
    <w:rsid w:val="002D51FD"/>
    <w:rsid w:val="002D5295"/>
    <w:rsid w:val="002D52BF"/>
    <w:rsid w:val="002D68FA"/>
    <w:rsid w:val="002D7B61"/>
    <w:rsid w:val="002D7ECA"/>
    <w:rsid w:val="002E0141"/>
    <w:rsid w:val="002E08B0"/>
    <w:rsid w:val="002E0B5D"/>
    <w:rsid w:val="002E1495"/>
    <w:rsid w:val="002E2900"/>
    <w:rsid w:val="002E2A61"/>
    <w:rsid w:val="002E3C0D"/>
    <w:rsid w:val="002E43EC"/>
    <w:rsid w:val="002E5B3C"/>
    <w:rsid w:val="002E7A79"/>
    <w:rsid w:val="002F05E5"/>
    <w:rsid w:val="002F1D8B"/>
    <w:rsid w:val="002F216A"/>
    <w:rsid w:val="002F2C6E"/>
    <w:rsid w:val="002F3C88"/>
    <w:rsid w:val="002F4067"/>
    <w:rsid w:val="002F5BBF"/>
    <w:rsid w:val="002F647E"/>
    <w:rsid w:val="002F7339"/>
    <w:rsid w:val="002F7461"/>
    <w:rsid w:val="003025E2"/>
    <w:rsid w:val="0030335B"/>
    <w:rsid w:val="003045EF"/>
    <w:rsid w:val="00304790"/>
    <w:rsid w:val="003059A5"/>
    <w:rsid w:val="00306771"/>
    <w:rsid w:val="00306D24"/>
    <w:rsid w:val="00307712"/>
    <w:rsid w:val="00307AAF"/>
    <w:rsid w:val="00311E44"/>
    <w:rsid w:val="0031228A"/>
    <w:rsid w:val="0031404A"/>
    <w:rsid w:val="00314B7C"/>
    <w:rsid w:val="00314E49"/>
    <w:rsid w:val="00315445"/>
    <w:rsid w:val="00317183"/>
    <w:rsid w:val="003204AE"/>
    <w:rsid w:val="003208EF"/>
    <w:rsid w:val="00321858"/>
    <w:rsid w:val="00324846"/>
    <w:rsid w:val="00324ABD"/>
    <w:rsid w:val="00324D9B"/>
    <w:rsid w:val="00325C30"/>
    <w:rsid w:val="00326301"/>
    <w:rsid w:val="003272A6"/>
    <w:rsid w:val="003273CB"/>
    <w:rsid w:val="0033125E"/>
    <w:rsid w:val="003321F4"/>
    <w:rsid w:val="00336913"/>
    <w:rsid w:val="0033718C"/>
    <w:rsid w:val="00337407"/>
    <w:rsid w:val="00340E02"/>
    <w:rsid w:val="00340E35"/>
    <w:rsid w:val="003424A4"/>
    <w:rsid w:val="00342A07"/>
    <w:rsid w:val="00343E6E"/>
    <w:rsid w:val="003450C8"/>
    <w:rsid w:val="0034782B"/>
    <w:rsid w:val="00347854"/>
    <w:rsid w:val="00350231"/>
    <w:rsid w:val="003514C5"/>
    <w:rsid w:val="00351E5C"/>
    <w:rsid w:val="00352EEE"/>
    <w:rsid w:val="00354031"/>
    <w:rsid w:val="0035580F"/>
    <w:rsid w:val="00355CE2"/>
    <w:rsid w:val="00357CB4"/>
    <w:rsid w:val="003604EE"/>
    <w:rsid w:val="003621B2"/>
    <w:rsid w:val="0036286B"/>
    <w:rsid w:val="00363371"/>
    <w:rsid w:val="00364989"/>
    <w:rsid w:val="003664C0"/>
    <w:rsid w:val="00366FFF"/>
    <w:rsid w:val="00367364"/>
    <w:rsid w:val="003679DD"/>
    <w:rsid w:val="00367E04"/>
    <w:rsid w:val="00373D24"/>
    <w:rsid w:val="00375BEB"/>
    <w:rsid w:val="003761F2"/>
    <w:rsid w:val="00376A05"/>
    <w:rsid w:val="003774FE"/>
    <w:rsid w:val="003802A2"/>
    <w:rsid w:val="003813C4"/>
    <w:rsid w:val="003838DB"/>
    <w:rsid w:val="0038455D"/>
    <w:rsid w:val="00384F30"/>
    <w:rsid w:val="00386ACA"/>
    <w:rsid w:val="00386B9B"/>
    <w:rsid w:val="00387FA5"/>
    <w:rsid w:val="00390E30"/>
    <w:rsid w:val="00393ABE"/>
    <w:rsid w:val="0039458D"/>
    <w:rsid w:val="00394D61"/>
    <w:rsid w:val="00395C31"/>
    <w:rsid w:val="003A1F5A"/>
    <w:rsid w:val="003A2A6E"/>
    <w:rsid w:val="003A2ECE"/>
    <w:rsid w:val="003A4252"/>
    <w:rsid w:val="003A539A"/>
    <w:rsid w:val="003A6132"/>
    <w:rsid w:val="003A62A4"/>
    <w:rsid w:val="003A6E29"/>
    <w:rsid w:val="003A725C"/>
    <w:rsid w:val="003A7476"/>
    <w:rsid w:val="003A7D86"/>
    <w:rsid w:val="003B0AA1"/>
    <w:rsid w:val="003B0CC3"/>
    <w:rsid w:val="003B1DDD"/>
    <w:rsid w:val="003B20F2"/>
    <w:rsid w:val="003B243D"/>
    <w:rsid w:val="003B304F"/>
    <w:rsid w:val="003B5D18"/>
    <w:rsid w:val="003B645E"/>
    <w:rsid w:val="003B67CD"/>
    <w:rsid w:val="003B709E"/>
    <w:rsid w:val="003B795D"/>
    <w:rsid w:val="003B7EB7"/>
    <w:rsid w:val="003C26A6"/>
    <w:rsid w:val="003C26C1"/>
    <w:rsid w:val="003C40DA"/>
    <w:rsid w:val="003C591C"/>
    <w:rsid w:val="003C5C11"/>
    <w:rsid w:val="003C6A5A"/>
    <w:rsid w:val="003C6AAD"/>
    <w:rsid w:val="003D1D4D"/>
    <w:rsid w:val="003D37DD"/>
    <w:rsid w:val="003D45DF"/>
    <w:rsid w:val="003D47C6"/>
    <w:rsid w:val="003D5F33"/>
    <w:rsid w:val="003D6D54"/>
    <w:rsid w:val="003D7177"/>
    <w:rsid w:val="003D7E38"/>
    <w:rsid w:val="003D7EAC"/>
    <w:rsid w:val="003D7ED1"/>
    <w:rsid w:val="003E0B88"/>
    <w:rsid w:val="003E2594"/>
    <w:rsid w:val="003E379A"/>
    <w:rsid w:val="003E52B0"/>
    <w:rsid w:val="003E64DC"/>
    <w:rsid w:val="003E7A43"/>
    <w:rsid w:val="003F0B58"/>
    <w:rsid w:val="003F0D40"/>
    <w:rsid w:val="003F2236"/>
    <w:rsid w:val="003F27B7"/>
    <w:rsid w:val="003F4051"/>
    <w:rsid w:val="003F4125"/>
    <w:rsid w:val="003F5812"/>
    <w:rsid w:val="003F697E"/>
    <w:rsid w:val="00400CBA"/>
    <w:rsid w:val="00400E4A"/>
    <w:rsid w:val="00402E9A"/>
    <w:rsid w:val="00403FA8"/>
    <w:rsid w:val="00404040"/>
    <w:rsid w:val="00404213"/>
    <w:rsid w:val="004048AC"/>
    <w:rsid w:val="00404B8E"/>
    <w:rsid w:val="00405288"/>
    <w:rsid w:val="004057BD"/>
    <w:rsid w:val="004068C2"/>
    <w:rsid w:val="0041296F"/>
    <w:rsid w:val="004131C3"/>
    <w:rsid w:val="0041515D"/>
    <w:rsid w:val="0041521B"/>
    <w:rsid w:val="00415E7F"/>
    <w:rsid w:val="00417284"/>
    <w:rsid w:val="00420288"/>
    <w:rsid w:val="00420FCC"/>
    <w:rsid w:val="00421C78"/>
    <w:rsid w:val="004224CE"/>
    <w:rsid w:val="00424A78"/>
    <w:rsid w:val="004254DB"/>
    <w:rsid w:val="00425DDA"/>
    <w:rsid w:val="00427EEA"/>
    <w:rsid w:val="00431836"/>
    <w:rsid w:val="004321E6"/>
    <w:rsid w:val="0043278E"/>
    <w:rsid w:val="0043384D"/>
    <w:rsid w:val="004341E6"/>
    <w:rsid w:val="00435A01"/>
    <w:rsid w:val="004360AC"/>
    <w:rsid w:val="00436B83"/>
    <w:rsid w:val="00441061"/>
    <w:rsid w:val="00441CA7"/>
    <w:rsid w:val="00444046"/>
    <w:rsid w:val="00450C70"/>
    <w:rsid w:val="004513C1"/>
    <w:rsid w:val="004526E9"/>
    <w:rsid w:val="004530E4"/>
    <w:rsid w:val="00453344"/>
    <w:rsid w:val="00453878"/>
    <w:rsid w:val="00453B11"/>
    <w:rsid w:val="00454170"/>
    <w:rsid w:val="00454E76"/>
    <w:rsid w:val="00457080"/>
    <w:rsid w:val="00457D9A"/>
    <w:rsid w:val="00460891"/>
    <w:rsid w:val="00461D43"/>
    <w:rsid w:val="0046323D"/>
    <w:rsid w:val="0046452E"/>
    <w:rsid w:val="004648AF"/>
    <w:rsid w:val="00464FB2"/>
    <w:rsid w:val="004650EF"/>
    <w:rsid w:val="004665F2"/>
    <w:rsid w:val="0046745E"/>
    <w:rsid w:val="00467B89"/>
    <w:rsid w:val="004736BE"/>
    <w:rsid w:val="0047556D"/>
    <w:rsid w:val="00475789"/>
    <w:rsid w:val="00475BC7"/>
    <w:rsid w:val="00476170"/>
    <w:rsid w:val="004773C0"/>
    <w:rsid w:val="00477D40"/>
    <w:rsid w:val="00481E0E"/>
    <w:rsid w:val="004820B0"/>
    <w:rsid w:val="00482E2F"/>
    <w:rsid w:val="004859B4"/>
    <w:rsid w:val="00486000"/>
    <w:rsid w:val="00486ACD"/>
    <w:rsid w:val="004907D0"/>
    <w:rsid w:val="004917C2"/>
    <w:rsid w:val="00492C65"/>
    <w:rsid w:val="0049403F"/>
    <w:rsid w:val="00494323"/>
    <w:rsid w:val="00494349"/>
    <w:rsid w:val="00494485"/>
    <w:rsid w:val="00494F61"/>
    <w:rsid w:val="004958C0"/>
    <w:rsid w:val="00496FBF"/>
    <w:rsid w:val="004A0360"/>
    <w:rsid w:val="004A08FD"/>
    <w:rsid w:val="004A0F27"/>
    <w:rsid w:val="004A0F37"/>
    <w:rsid w:val="004A0F68"/>
    <w:rsid w:val="004A3608"/>
    <w:rsid w:val="004A3D05"/>
    <w:rsid w:val="004A4FBD"/>
    <w:rsid w:val="004A7810"/>
    <w:rsid w:val="004A7E93"/>
    <w:rsid w:val="004B2EBA"/>
    <w:rsid w:val="004B3CFB"/>
    <w:rsid w:val="004B3FB8"/>
    <w:rsid w:val="004B4309"/>
    <w:rsid w:val="004B5643"/>
    <w:rsid w:val="004B5D6B"/>
    <w:rsid w:val="004B76F8"/>
    <w:rsid w:val="004C0360"/>
    <w:rsid w:val="004C0AB6"/>
    <w:rsid w:val="004C0C1A"/>
    <w:rsid w:val="004C15F1"/>
    <w:rsid w:val="004C1FA6"/>
    <w:rsid w:val="004C5CFD"/>
    <w:rsid w:val="004D12C0"/>
    <w:rsid w:val="004D3713"/>
    <w:rsid w:val="004D5E77"/>
    <w:rsid w:val="004D691D"/>
    <w:rsid w:val="004D698C"/>
    <w:rsid w:val="004D7E99"/>
    <w:rsid w:val="004E12ED"/>
    <w:rsid w:val="004E2BDB"/>
    <w:rsid w:val="004E2C4E"/>
    <w:rsid w:val="004E40C4"/>
    <w:rsid w:val="004E7BE9"/>
    <w:rsid w:val="004F1438"/>
    <w:rsid w:val="004F19FB"/>
    <w:rsid w:val="004F2600"/>
    <w:rsid w:val="004F31EC"/>
    <w:rsid w:val="004F50AF"/>
    <w:rsid w:val="004F58BF"/>
    <w:rsid w:val="004F65C5"/>
    <w:rsid w:val="004F681D"/>
    <w:rsid w:val="005009B0"/>
    <w:rsid w:val="00502857"/>
    <w:rsid w:val="005030D8"/>
    <w:rsid w:val="00503DE7"/>
    <w:rsid w:val="005044A9"/>
    <w:rsid w:val="005044AD"/>
    <w:rsid w:val="00504E60"/>
    <w:rsid w:val="00505994"/>
    <w:rsid w:val="00505FD4"/>
    <w:rsid w:val="00506E25"/>
    <w:rsid w:val="005100D2"/>
    <w:rsid w:val="005109F3"/>
    <w:rsid w:val="0051132C"/>
    <w:rsid w:val="00513483"/>
    <w:rsid w:val="00514A55"/>
    <w:rsid w:val="00514CD1"/>
    <w:rsid w:val="00514EF5"/>
    <w:rsid w:val="005162A5"/>
    <w:rsid w:val="005163D4"/>
    <w:rsid w:val="0051782D"/>
    <w:rsid w:val="0052087E"/>
    <w:rsid w:val="0052315E"/>
    <w:rsid w:val="00526208"/>
    <w:rsid w:val="0052665F"/>
    <w:rsid w:val="00530ED3"/>
    <w:rsid w:val="005331D8"/>
    <w:rsid w:val="0053438E"/>
    <w:rsid w:val="005355EE"/>
    <w:rsid w:val="00535B16"/>
    <w:rsid w:val="005366D0"/>
    <w:rsid w:val="00537E27"/>
    <w:rsid w:val="00540B4D"/>
    <w:rsid w:val="00540FFA"/>
    <w:rsid w:val="00542930"/>
    <w:rsid w:val="005435B3"/>
    <w:rsid w:val="005435FF"/>
    <w:rsid w:val="00544EC4"/>
    <w:rsid w:val="00544F00"/>
    <w:rsid w:val="0054609A"/>
    <w:rsid w:val="005476C3"/>
    <w:rsid w:val="00550678"/>
    <w:rsid w:val="00550849"/>
    <w:rsid w:val="005531F3"/>
    <w:rsid w:val="00553671"/>
    <w:rsid w:val="00554BF3"/>
    <w:rsid w:val="0055535C"/>
    <w:rsid w:val="00555AB1"/>
    <w:rsid w:val="00555ADC"/>
    <w:rsid w:val="0055655F"/>
    <w:rsid w:val="0055657D"/>
    <w:rsid w:val="00560166"/>
    <w:rsid w:val="00560567"/>
    <w:rsid w:val="00560876"/>
    <w:rsid w:val="00560D0D"/>
    <w:rsid w:val="0056307F"/>
    <w:rsid w:val="00565FB1"/>
    <w:rsid w:val="005662FB"/>
    <w:rsid w:val="00567781"/>
    <w:rsid w:val="00567ECC"/>
    <w:rsid w:val="005709F3"/>
    <w:rsid w:val="005713B1"/>
    <w:rsid w:val="005717FE"/>
    <w:rsid w:val="00572FDD"/>
    <w:rsid w:val="0057405B"/>
    <w:rsid w:val="00575D17"/>
    <w:rsid w:val="005778D7"/>
    <w:rsid w:val="005779A9"/>
    <w:rsid w:val="00580D6E"/>
    <w:rsid w:val="00581616"/>
    <w:rsid w:val="00583090"/>
    <w:rsid w:val="005835F4"/>
    <w:rsid w:val="00583EFE"/>
    <w:rsid w:val="005841A3"/>
    <w:rsid w:val="00585694"/>
    <w:rsid w:val="0059035D"/>
    <w:rsid w:val="00590EAE"/>
    <w:rsid w:val="0059112A"/>
    <w:rsid w:val="005916D3"/>
    <w:rsid w:val="00592EF2"/>
    <w:rsid w:val="00593216"/>
    <w:rsid w:val="00594BC3"/>
    <w:rsid w:val="00594CA0"/>
    <w:rsid w:val="005958A6"/>
    <w:rsid w:val="00596129"/>
    <w:rsid w:val="00596CA7"/>
    <w:rsid w:val="00596D60"/>
    <w:rsid w:val="00596DC8"/>
    <w:rsid w:val="00596E16"/>
    <w:rsid w:val="005A157B"/>
    <w:rsid w:val="005A16A3"/>
    <w:rsid w:val="005A1985"/>
    <w:rsid w:val="005A1C48"/>
    <w:rsid w:val="005A2258"/>
    <w:rsid w:val="005A253A"/>
    <w:rsid w:val="005A2FD8"/>
    <w:rsid w:val="005A324A"/>
    <w:rsid w:val="005A40BF"/>
    <w:rsid w:val="005A591F"/>
    <w:rsid w:val="005A610B"/>
    <w:rsid w:val="005A72F4"/>
    <w:rsid w:val="005A7F4D"/>
    <w:rsid w:val="005B4421"/>
    <w:rsid w:val="005B5EF2"/>
    <w:rsid w:val="005B7929"/>
    <w:rsid w:val="005C25D1"/>
    <w:rsid w:val="005C35A9"/>
    <w:rsid w:val="005C464B"/>
    <w:rsid w:val="005C74A0"/>
    <w:rsid w:val="005C7E5C"/>
    <w:rsid w:val="005D052C"/>
    <w:rsid w:val="005D16FE"/>
    <w:rsid w:val="005D4084"/>
    <w:rsid w:val="005D4777"/>
    <w:rsid w:val="005D4C2B"/>
    <w:rsid w:val="005D5A3C"/>
    <w:rsid w:val="005E00CC"/>
    <w:rsid w:val="005E2375"/>
    <w:rsid w:val="005E2702"/>
    <w:rsid w:val="005E2E3E"/>
    <w:rsid w:val="005E39FA"/>
    <w:rsid w:val="005E7953"/>
    <w:rsid w:val="005E7E82"/>
    <w:rsid w:val="005F05DD"/>
    <w:rsid w:val="005F30CA"/>
    <w:rsid w:val="005F4CEF"/>
    <w:rsid w:val="005F6C28"/>
    <w:rsid w:val="005F7AB6"/>
    <w:rsid w:val="005F7E3C"/>
    <w:rsid w:val="00600FA8"/>
    <w:rsid w:val="00603DD9"/>
    <w:rsid w:val="00603E68"/>
    <w:rsid w:val="00603EF6"/>
    <w:rsid w:val="00605EED"/>
    <w:rsid w:val="006063DA"/>
    <w:rsid w:val="006064D9"/>
    <w:rsid w:val="00606CE3"/>
    <w:rsid w:val="0061106C"/>
    <w:rsid w:val="00611AA9"/>
    <w:rsid w:val="00611DD3"/>
    <w:rsid w:val="00611EF0"/>
    <w:rsid w:val="00612219"/>
    <w:rsid w:val="00612E04"/>
    <w:rsid w:val="006173A4"/>
    <w:rsid w:val="00617C44"/>
    <w:rsid w:val="0062088B"/>
    <w:rsid w:val="00621552"/>
    <w:rsid w:val="00621CAB"/>
    <w:rsid w:val="00622CE4"/>
    <w:rsid w:val="006234A7"/>
    <w:rsid w:val="00623589"/>
    <w:rsid w:val="00624B71"/>
    <w:rsid w:val="00624FE5"/>
    <w:rsid w:val="00625917"/>
    <w:rsid w:val="006276ED"/>
    <w:rsid w:val="0062789F"/>
    <w:rsid w:val="00627967"/>
    <w:rsid w:val="006301BE"/>
    <w:rsid w:val="00630603"/>
    <w:rsid w:val="0063096E"/>
    <w:rsid w:val="00630BD3"/>
    <w:rsid w:val="00630C41"/>
    <w:rsid w:val="00633349"/>
    <w:rsid w:val="006338F7"/>
    <w:rsid w:val="00633D61"/>
    <w:rsid w:val="0063402B"/>
    <w:rsid w:val="006350E0"/>
    <w:rsid w:val="00636113"/>
    <w:rsid w:val="00636570"/>
    <w:rsid w:val="00636C45"/>
    <w:rsid w:val="00637901"/>
    <w:rsid w:val="00637E1B"/>
    <w:rsid w:val="006402DF"/>
    <w:rsid w:val="0064164B"/>
    <w:rsid w:val="00641A50"/>
    <w:rsid w:val="00642C01"/>
    <w:rsid w:val="00642F1A"/>
    <w:rsid w:val="00643309"/>
    <w:rsid w:val="00643C8F"/>
    <w:rsid w:val="00644468"/>
    <w:rsid w:val="00644C49"/>
    <w:rsid w:val="00645F5E"/>
    <w:rsid w:val="00646C56"/>
    <w:rsid w:val="00647B1E"/>
    <w:rsid w:val="00647C55"/>
    <w:rsid w:val="0065008B"/>
    <w:rsid w:val="00653A3B"/>
    <w:rsid w:val="00653FD9"/>
    <w:rsid w:val="00654D42"/>
    <w:rsid w:val="00656328"/>
    <w:rsid w:val="00660279"/>
    <w:rsid w:val="00661874"/>
    <w:rsid w:val="006622B9"/>
    <w:rsid w:val="0066267B"/>
    <w:rsid w:val="00662E1E"/>
    <w:rsid w:val="0066371E"/>
    <w:rsid w:val="00664355"/>
    <w:rsid w:val="00664A7D"/>
    <w:rsid w:val="006650EC"/>
    <w:rsid w:val="00665797"/>
    <w:rsid w:val="006658F7"/>
    <w:rsid w:val="0066607E"/>
    <w:rsid w:val="00670C6F"/>
    <w:rsid w:val="00670D3E"/>
    <w:rsid w:val="006713AA"/>
    <w:rsid w:val="006715FA"/>
    <w:rsid w:val="006724AD"/>
    <w:rsid w:val="00672BAB"/>
    <w:rsid w:val="00672D79"/>
    <w:rsid w:val="0067314A"/>
    <w:rsid w:val="00673D1E"/>
    <w:rsid w:val="006779CF"/>
    <w:rsid w:val="00677A8F"/>
    <w:rsid w:val="00677F8A"/>
    <w:rsid w:val="006821E3"/>
    <w:rsid w:val="00683AD6"/>
    <w:rsid w:val="006842AE"/>
    <w:rsid w:val="00684DD5"/>
    <w:rsid w:val="006871B8"/>
    <w:rsid w:val="0069097D"/>
    <w:rsid w:val="006922E8"/>
    <w:rsid w:val="00693A76"/>
    <w:rsid w:val="0069799F"/>
    <w:rsid w:val="006A114B"/>
    <w:rsid w:val="006A1154"/>
    <w:rsid w:val="006A4A41"/>
    <w:rsid w:val="006A5773"/>
    <w:rsid w:val="006A5804"/>
    <w:rsid w:val="006A58F0"/>
    <w:rsid w:val="006B0372"/>
    <w:rsid w:val="006B0764"/>
    <w:rsid w:val="006B149C"/>
    <w:rsid w:val="006B3B90"/>
    <w:rsid w:val="006B4467"/>
    <w:rsid w:val="006B6C46"/>
    <w:rsid w:val="006B6E78"/>
    <w:rsid w:val="006B759D"/>
    <w:rsid w:val="006B7EEF"/>
    <w:rsid w:val="006C0039"/>
    <w:rsid w:val="006C1927"/>
    <w:rsid w:val="006C2585"/>
    <w:rsid w:val="006C3BBA"/>
    <w:rsid w:val="006C4008"/>
    <w:rsid w:val="006C562A"/>
    <w:rsid w:val="006C5931"/>
    <w:rsid w:val="006C620B"/>
    <w:rsid w:val="006C73EF"/>
    <w:rsid w:val="006D1411"/>
    <w:rsid w:val="006D1723"/>
    <w:rsid w:val="006D1B00"/>
    <w:rsid w:val="006D1CCB"/>
    <w:rsid w:val="006D3892"/>
    <w:rsid w:val="006D3A1D"/>
    <w:rsid w:val="006D4F8F"/>
    <w:rsid w:val="006D5446"/>
    <w:rsid w:val="006D5D3F"/>
    <w:rsid w:val="006D60ED"/>
    <w:rsid w:val="006E1166"/>
    <w:rsid w:val="006E249E"/>
    <w:rsid w:val="006E2B75"/>
    <w:rsid w:val="006E37A0"/>
    <w:rsid w:val="006E596E"/>
    <w:rsid w:val="006E7589"/>
    <w:rsid w:val="006F033F"/>
    <w:rsid w:val="006F0779"/>
    <w:rsid w:val="006F0BBC"/>
    <w:rsid w:val="006F0E06"/>
    <w:rsid w:val="006F24D8"/>
    <w:rsid w:val="006F33B8"/>
    <w:rsid w:val="006F4C9C"/>
    <w:rsid w:val="006F521F"/>
    <w:rsid w:val="006F55C6"/>
    <w:rsid w:val="006F640F"/>
    <w:rsid w:val="006F762A"/>
    <w:rsid w:val="00701B6B"/>
    <w:rsid w:val="0070384F"/>
    <w:rsid w:val="00703A9E"/>
    <w:rsid w:val="00703D6D"/>
    <w:rsid w:val="00704152"/>
    <w:rsid w:val="00704FB5"/>
    <w:rsid w:val="00706B71"/>
    <w:rsid w:val="00707D71"/>
    <w:rsid w:val="0071154B"/>
    <w:rsid w:val="00712A09"/>
    <w:rsid w:val="00712EE5"/>
    <w:rsid w:val="0071343E"/>
    <w:rsid w:val="00713493"/>
    <w:rsid w:val="00713494"/>
    <w:rsid w:val="00714031"/>
    <w:rsid w:val="0071466E"/>
    <w:rsid w:val="00714A6C"/>
    <w:rsid w:val="00714CD3"/>
    <w:rsid w:val="007154E8"/>
    <w:rsid w:val="007173F3"/>
    <w:rsid w:val="007206A8"/>
    <w:rsid w:val="0072116D"/>
    <w:rsid w:val="007211D7"/>
    <w:rsid w:val="00721975"/>
    <w:rsid w:val="0072226F"/>
    <w:rsid w:val="00725B78"/>
    <w:rsid w:val="00726664"/>
    <w:rsid w:val="00727082"/>
    <w:rsid w:val="00730CDC"/>
    <w:rsid w:val="0073233C"/>
    <w:rsid w:val="00732D0C"/>
    <w:rsid w:val="007338AA"/>
    <w:rsid w:val="00733EAD"/>
    <w:rsid w:val="00734103"/>
    <w:rsid w:val="00734F54"/>
    <w:rsid w:val="007351A6"/>
    <w:rsid w:val="00736752"/>
    <w:rsid w:val="00737149"/>
    <w:rsid w:val="007372CB"/>
    <w:rsid w:val="00737C04"/>
    <w:rsid w:val="007410D7"/>
    <w:rsid w:val="00742014"/>
    <w:rsid w:val="00744110"/>
    <w:rsid w:val="00744595"/>
    <w:rsid w:val="007459D1"/>
    <w:rsid w:val="007466C0"/>
    <w:rsid w:val="0074688D"/>
    <w:rsid w:val="007473D4"/>
    <w:rsid w:val="00747A52"/>
    <w:rsid w:val="00750796"/>
    <w:rsid w:val="00750E41"/>
    <w:rsid w:val="00750F1E"/>
    <w:rsid w:val="00751C12"/>
    <w:rsid w:val="00752691"/>
    <w:rsid w:val="007528F2"/>
    <w:rsid w:val="00753CE0"/>
    <w:rsid w:val="007541EE"/>
    <w:rsid w:val="007542E8"/>
    <w:rsid w:val="00755ADD"/>
    <w:rsid w:val="00760A9B"/>
    <w:rsid w:val="00763700"/>
    <w:rsid w:val="0076427C"/>
    <w:rsid w:val="00765217"/>
    <w:rsid w:val="007659AA"/>
    <w:rsid w:val="00765CE9"/>
    <w:rsid w:val="007673C3"/>
    <w:rsid w:val="00770F58"/>
    <w:rsid w:val="00771CB5"/>
    <w:rsid w:val="00771E40"/>
    <w:rsid w:val="00771E7F"/>
    <w:rsid w:val="0077266C"/>
    <w:rsid w:val="00772802"/>
    <w:rsid w:val="00773568"/>
    <w:rsid w:val="00774E4C"/>
    <w:rsid w:val="00775066"/>
    <w:rsid w:val="00776406"/>
    <w:rsid w:val="0078005A"/>
    <w:rsid w:val="00781B6F"/>
    <w:rsid w:val="00781F9C"/>
    <w:rsid w:val="00782DFD"/>
    <w:rsid w:val="00784424"/>
    <w:rsid w:val="00785474"/>
    <w:rsid w:val="007866A0"/>
    <w:rsid w:val="007872B3"/>
    <w:rsid w:val="007878A5"/>
    <w:rsid w:val="00787B99"/>
    <w:rsid w:val="00791CEA"/>
    <w:rsid w:val="00792704"/>
    <w:rsid w:val="007932D9"/>
    <w:rsid w:val="0079421C"/>
    <w:rsid w:val="0079526D"/>
    <w:rsid w:val="00795A2C"/>
    <w:rsid w:val="00797390"/>
    <w:rsid w:val="007A05B6"/>
    <w:rsid w:val="007A1A01"/>
    <w:rsid w:val="007A1C0A"/>
    <w:rsid w:val="007A1C59"/>
    <w:rsid w:val="007A3FB0"/>
    <w:rsid w:val="007A43BA"/>
    <w:rsid w:val="007A5B41"/>
    <w:rsid w:val="007A6560"/>
    <w:rsid w:val="007A770D"/>
    <w:rsid w:val="007B5792"/>
    <w:rsid w:val="007C23E8"/>
    <w:rsid w:val="007C2E8F"/>
    <w:rsid w:val="007C31E2"/>
    <w:rsid w:val="007C517B"/>
    <w:rsid w:val="007C5A1A"/>
    <w:rsid w:val="007C5CE1"/>
    <w:rsid w:val="007C5DFC"/>
    <w:rsid w:val="007C66BB"/>
    <w:rsid w:val="007C6F85"/>
    <w:rsid w:val="007D0569"/>
    <w:rsid w:val="007D16B1"/>
    <w:rsid w:val="007D19E4"/>
    <w:rsid w:val="007D3047"/>
    <w:rsid w:val="007D3E53"/>
    <w:rsid w:val="007D7400"/>
    <w:rsid w:val="007D7761"/>
    <w:rsid w:val="007D79FF"/>
    <w:rsid w:val="007D7BBD"/>
    <w:rsid w:val="007E02A7"/>
    <w:rsid w:val="007E1EE3"/>
    <w:rsid w:val="007E1FC4"/>
    <w:rsid w:val="007E219E"/>
    <w:rsid w:val="007E3A32"/>
    <w:rsid w:val="007E468A"/>
    <w:rsid w:val="007E51A5"/>
    <w:rsid w:val="007E6B19"/>
    <w:rsid w:val="007E75A4"/>
    <w:rsid w:val="007E7B87"/>
    <w:rsid w:val="007E7F4C"/>
    <w:rsid w:val="007F1CFD"/>
    <w:rsid w:val="007F3018"/>
    <w:rsid w:val="007F38CA"/>
    <w:rsid w:val="007F4FE0"/>
    <w:rsid w:val="007F5503"/>
    <w:rsid w:val="007F68E0"/>
    <w:rsid w:val="00801B17"/>
    <w:rsid w:val="00805177"/>
    <w:rsid w:val="008060C3"/>
    <w:rsid w:val="008063A1"/>
    <w:rsid w:val="00806A43"/>
    <w:rsid w:val="00807C6E"/>
    <w:rsid w:val="00807F00"/>
    <w:rsid w:val="00810011"/>
    <w:rsid w:val="008126EF"/>
    <w:rsid w:val="008134BD"/>
    <w:rsid w:val="00814656"/>
    <w:rsid w:val="00815883"/>
    <w:rsid w:val="00816289"/>
    <w:rsid w:val="00820E45"/>
    <w:rsid w:val="00821E2C"/>
    <w:rsid w:val="00822835"/>
    <w:rsid w:val="00826758"/>
    <w:rsid w:val="00827C29"/>
    <w:rsid w:val="00827D7E"/>
    <w:rsid w:val="0083249E"/>
    <w:rsid w:val="008333BE"/>
    <w:rsid w:val="008353E0"/>
    <w:rsid w:val="008365F0"/>
    <w:rsid w:val="00840C5F"/>
    <w:rsid w:val="00841534"/>
    <w:rsid w:val="00841C16"/>
    <w:rsid w:val="00841CB8"/>
    <w:rsid w:val="00842AF1"/>
    <w:rsid w:val="008462F1"/>
    <w:rsid w:val="00850FDE"/>
    <w:rsid w:val="00852876"/>
    <w:rsid w:val="00853D61"/>
    <w:rsid w:val="008543F5"/>
    <w:rsid w:val="00855004"/>
    <w:rsid w:val="00855433"/>
    <w:rsid w:val="008572C4"/>
    <w:rsid w:val="0085733E"/>
    <w:rsid w:val="00857F20"/>
    <w:rsid w:val="008604A8"/>
    <w:rsid w:val="008605FB"/>
    <w:rsid w:val="00861AFA"/>
    <w:rsid w:val="00863C61"/>
    <w:rsid w:val="00865522"/>
    <w:rsid w:val="00865603"/>
    <w:rsid w:val="00865ADF"/>
    <w:rsid w:val="0086644C"/>
    <w:rsid w:val="008666B5"/>
    <w:rsid w:val="00867A51"/>
    <w:rsid w:val="008703B3"/>
    <w:rsid w:val="008735A2"/>
    <w:rsid w:val="00874A02"/>
    <w:rsid w:val="0087613C"/>
    <w:rsid w:val="00876985"/>
    <w:rsid w:val="0088197A"/>
    <w:rsid w:val="00881DD8"/>
    <w:rsid w:val="00881FB7"/>
    <w:rsid w:val="00883780"/>
    <w:rsid w:val="00883B99"/>
    <w:rsid w:val="00884BF0"/>
    <w:rsid w:val="00884E23"/>
    <w:rsid w:val="00885066"/>
    <w:rsid w:val="00885355"/>
    <w:rsid w:val="00885F85"/>
    <w:rsid w:val="0088665E"/>
    <w:rsid w:val="00886EF6"/>
    <w:rsid w:val="00887B53"/>
    <w:rsid w:val="00890576"/>
    <w:rsid w:val="008911C9"/>
    <w:rsid w:val="008923C8"/>
    <w:rsid w:val="008924B6"/>
    <w:rsid w:val="00893260"/>
    <w:rsid w:val="008932A8"/>
    <w:rsid w:val="00893756"/>
    <w:rsid w:val="00893BB0"/>
    <w:rsid w:val="00894A9E"/>
    <w:rsid w:val="008950F6"/>
    <w:rsid w:val="00896815"/>
    <w:rsid w:val="008969DA"/>
    <w:rsid w:val="00897F12"/>
    <w:rsid w:val="008A0744"/>
    <w:rsid w:val="008A084E"/>
    <w:rsid w:val="008A091E"/>
    <w:rsid w:val="008A0A6E"/>
    <w:rsid w:val="008A0D0F"/>
    <w:rsid w:val="008A2FB3"/>
    <w:rsid w:val="008A31E6"/>
    <w:rsid w:val="008A398B"/>
    <w:rsid w:val="008A3EF6"/>
    <w:rsid w:val="008A526F"/>
    <w:rsid w:val="008A5601"/>
    <w:rsid w:val="008A59AD"/>
    <w:rsid w:val="008B0EEB"/>
    <w:rsid w:val="008B2BE4"/>
    <w:rsid w:val="008B3F62"/>
    <w:rsid w:val="008B431D"/>
    <w:rsid w:val="008B4C87"/>
    <w:rsid w:val="008B51FD"/>
    <w:rsid w:val="008B7681"/>
    <w:rsid w:val="008C1939"/>
    <w:rsid w:val="008C2EBE"/>
    <w:rsid w:val="008C3396"/>
    <w:rsid w:val="008C621C"/>
    <w:rsid w:val="008C697C"/>
    <w:rsid w:val="008C75ED"/>
    <w:rsid w:val="008C7649"/>
    <w:rsid w:val="008C79FC"/>
    <w:rsid w:val="008D0E7C"/>
    <w:rsid w:val="008D4241"/>
    <w:rsid w:val="008D4435"/>
    <w:rsid w:val="008D7F00"/>
    <w:rsid w:val="008E0991"/>
    <w:rsid w:val="008E338E"/>
    <w:rsid w:val="008E390F"/>
    <w:rsid w:val="008E3A58"/>
    <w:rsid w:val="008E3C5F"/>
    <w:rsid w:val="008E3D20"/>
    <w:rsid w:val="008E57FE"/>
    <w:rsid w:val="008E7565"/>
    <w:rsid w:val="008E7937"/>
    <w:rsid w:val="008F2665"/>
    <w:rsid w:val="008F5DE6"/>
    <w:rsid w:val="008F6376"/>
    <w:rsid w:val="008F6C69"/>
    <w:rsid w:val="0090041F"/>
    <w:rsid w:val="00900781"/>
    <w:rsid w:val="009019FB"/>
    <w:rsid w:val="00904E25"/>
    <w:rsid w:val="00905B05"/>
    <w:rsid w:val="00906B94"/>
    <w:rsid w:val="00906DB3"/>
    <w:rsid w:val="0090753C"/>
    <w:rsid w:val="00911B66"/>
    <w:rsid w:val="00912A7E"/>
    <w:rsid w:val="00915330"/>
    <w:rsid w:val="00915D87"/>
    <w:rsid w:val="00916E69"/>
    <w:rsid w:val="009170AC"/>
    <w:rsid w:val="00917525"/>
    <w:rsid w:val="0091777D"/>
    <w:rsid w:val="0092057D"/>
    <w:rsid w:val="009218DE"/>
    <w:rsid w:val="00922D00"/>
    <w:rsid w:val="00923752"/>
    <w:rsid w:val="00923F17"/>
    <w:rsid w:val="00924A4B"/>
    <w:rsid w:val="009266DA"/>
    <w:rsid w:val="00930DE8"/>
    <w:rsid w:val="009311D3"/>
    <w:rsid w:val="009318DD"/>
    <w:rsid w:val="009320C4"/>
    <w:rsid w:val="0093215C"/>
    <w:rsid w:val="00934228"/>
    <w:rsid w:val="00935413"/>
    <w:rsid w:val="00935AFD"/>
    <w:rsid w:val="00935F5D"/>
    <w:rsid w:val="009368E0"/>
    <w:rsid w:val="0093794F"/>
    <w:rsid w:val="0094260B"/>
    <w:rsid w:val="00942661"/>
    <w:rsid w:val="00943598"/>
    <w:rsid w:val="00943A03"/>
    <w:rsid w:val="009452FE"/>
    <w:rsid w:val="00945307"/>
    <w:rsid w:val="0094558D"/>
    <w:rsid w:val="009460AA"/>
    <w:rsid w:val="00946677"/>
    <w:rsid w:val="00946FCE"/>
    <w:rsid w:val="009515BC"/>
    <w:rsid w:val="00952A38"/>
    <w:rsid w:val="00953ED0"/>
    <w:rsid w:val="0095492E"/>
    <w:rsid w:val="00955F7D"/>
    <w:rsid w:val="00956652"/>
    <w:rsid w:val="009567D4"/>
    <w:rsid w:val="009618F7"/>
    <w:rsid w:val="00961D29"/>
    <w:rsid w:val="0096242F"/>
    <w:rsid w:val="00962E3B"/>
    <w:rsid w:val="00962FF5"/>
    <w:rsid w:val="009640F4"/>
    <w:rsid w:val="00964A4E"/>
    <w:rsid w:val="00965B02"/>
    <w:rsid w:val="00965B3C"/>
    <w:rsid w:val="00965C07"/>
    <w:rsid w:val="00965D2D"/>
    <w:rsid w:val="009704C2"/>
    <w:rsid w:val="00970D4F"/>
    <w:rsid w:val="00970E0D"/>
    <w:rsid w:val="00971847"/>
    <w:rsid w:val="00972964"/>
    <w:rsid w:val="0097695C"/>
    <w:rsid w:val="0097762F"/>
    <w:rsid w:val="009816B8"/>
    <w:rsid w:val="00983B45"/>
    <w:rsid w:val="00985DA2"/>
    <w:rsid w:val="009863B6"/>
    <w:rsid w:val="00986C7A"/>
    <w:rsid w:val="0098766F"/>
    <w:rsid w:val="00990BC3"/>
    <w:rsid w:val="00992914"/>
    <w:rsid w:val="00993912"/>
    <w:rsid w:val="00994050"/>
    <w:rsid w:val="00994264"/>
    <w:rsid w:val="00994B2B"/>
    <w:rsid w:val="00995580"/>
    <w:rsid w:val="009962CF"/>
    <w:rsid w:val="009969D6"/>
    <w:rsid w:val="00996E75"/>
    <w:rsid w:val="009A335D"/>
    <w:rsid w:val="009A3AFE"/>
    <w:rsid w:val="009A5DB1"/>
    <w:rsid w:val="009A68A4"/>
    <w:rsid w:val="009A7C5A"/>
    <w:rsid w:val="009A7E51"/>
    <w:rsid w:val="009B0F3E"/>
    <w:rsid w:val="009B17CC"/>
    <w:rsid w:val="009B21B9"/>
    <w:rsid w:val="009B4CD0"/>
    <w:rsid w:val="009B4DA7"/>
    <w:rsid w:val="009C0F7B"/>
    <w:rsid w:val="009C21C6"/>
    <w:rsid w:val="009C383B"/>
    <w:rsid w:val="009C3A80"/>
    <w:rsid w:val="009C4C7B"/>
    <w:rsid w:val="009C5238"/>
    <w:rsid w:val="009C64A0"/>
    <w:rsid w:val="009D12B4"/>
    <w:rsid w:val="009D1E70"/>
    <w:rsid w:val="009D2135"/>
    <w:rsid w:val="009D2FA7"/>
    <w:rsid w:val="009D453C"/>
    <w:rsid w:val="009D4CAE"/>
    <w:rsid w:val="009D55F9"/>
    <w:rsid w:val="009D5A11"/>
    <w:rsid w:val="009D7760"/>
    <w:rsid w:val="009E16E6"/>
    <w:rsid w:val="009E2953"/>
    <w:rsid w:val="009E2B66"/>
    <w:rsid w:val="009E30CE"/>
    <w:rsid w:val="009E7A86"/>
    <w:rsid w:val="009F04C3"/>
    <w:rsid w:val="009F0760"/>
    <w:rsid w:val="009F115B"/>
    <w:rsid w:val="009F1755"/>
    <w:rsid w:val="009F1C84"/>
    <w:rsid w:val="009F1F40"/>
    <w:rsid w:val="009F2F77"/>
    <w:rsid w:val="009F4860"/>
    <w:rsid w:val="009F517E"/>
    <w:rsid w:val="009F53D7"/>
    <w:rsid w:val="009F765C"/>
    <w:rsid w:val="009F7C64"/>
    <w:rsid w:val="00A00057"/>
    <w:rsid w:val="00A00485"/>
    <w:rsid w:val="00A005FE"/>
    <w:rsid w:val="00A0142D"/>
    <w:rsid w:val="00A01A5F"/>
    <w:rsid w:val="00A01CC9"/>
    <w:rsid w:val="00A02C96"/>
    <w:rsid w:val="00A02E65"/>
    <w:rsid w:val="00A030B2"/>
    <w:rsid w:val="00A0340A"/>
    <w:rsid w:val="00A0440C"/>
    <w:rsid w:val="00A047D6"/>
    <w:rsid w:val="00A0585F"/>
    <w:rsid w:val="00A0694A"/>
    <w:rsid w:val="00A10198"/>
    <w:rsid w:val="00A102C1"/>
    <w:rsid w:val="00A102D4"/>
    <w:rsid w:val="00A108AD"/>
    <w:rsid w:val="00A10A30"/>
    <w:rsid w:val="00A1137C"/>
    <w:rsid w:val="00A113D7"/>
    <w:rsid w:val="00A11F0F"/>
    <w:rsid w:val="00A16126"/>
    <w:rsid w:val="00A17F5B"/>
    <w:rsid w:val="00A24133"/>
    <w:rsid w:val="00A257B5"/>
    <w:rsid w:val="00A262BF"/>
    <w:rsid w:val="00A26393"/>
    <w:rsid w:val="00A27809"/>
    <w:rsid w:val="00A317B0"/>
    <w:rsid w:val="00A3404E"/>
    <w:rsid w:val="00A34535"/>
    <w:rsid w:val="00A34591"/>
    <w:rsid w:val="00A34E44"/>
    <w:rsid w:val="00A3640F"/>
    <w:rsid w:val="00A40CE2"/>
    <w:rsid w:val="00A43967"/>
    <w:rsid w:val="00A46539"/>
    <w:rsid w:val="00A47176"/>
    <w:rsid w:val="00A475C5"/>
    <w:rsid w:val="00A4768C"/>
    <w:rsid w:val="00A50A68"/>
    <w:rsid w:val="00A50D3B"/>
    <w:rsid w:val="00A518AA"/>
    <w:rsid w:val="00A52726"/>
    <w:rsid w:val="00A551F1"/>
    <w:rsid w:val="00A56348"/>
    <w:rsid w:val="00A5703F"/>
    <w:rsid w:val="00A57AE1"/>
    <w:rsid w:val="00A57D39"/>
    <w:rsid w:val="00A6316B"/>
    <w:rsid w:val="00A64C3E"/>
    <w:rsid w:val="00A64C4C"/>
    <w:rsid w:val="00A65316"/>
    <w:rsid w:val="00A66817"/>
    <w:rsid w:val="00A674A0"/>
    <w:rsid w:val="00A674FF"/>
    <w:rsid w:val="00A67BC6"/>
    <w:rsid w:val="00A70F69"/>
    <w:rsid w:val="00A72611"/>
    <w:rsid w:val="00A72C1E"/>
    <w:rsid w:val="00A73ABB"/>
    <w:rsid w:val="00A7588D"/>
    <w:rsid w:val="00A767F7"/>
    <w:rsid w:val="00A76D2C"/>
    <w:rsid w:val="00A77746"/>
    <w:rsid w:val="00A806AA"/>
    <w:rsid w:val="00A8333B"/>
    <w:rsid w:val="00A83BF6"/>
    <w:rsid w:val="00A86D92"/>
    <w:rsid w:val="00A87F31"/>
    <w:rsid w:val="00A9015F"/>
    <w:rsid w:val="00A90D27"/>
    <w:rsid w:val="00A9103B"/>
    <w:rsid w:val="00A91284"/>
    <w:rsid w:val="00A91785"/>
    <w:rsid w:val="00A91811"/>
    <w:rsid w:val="00A91894"/>
    <w:rsid w:val="00A918A7"/>
    <w:rsid w:val="00A92871"/>
    <w:rsid w:val="00A955EB"/>
    <w:rsid w:val="00A97BC3"/>
    <w:rsid w:val="00AA1F49"/>
    <w:rsid w:val="00AA3A2E"/>
    <w:rsid w:val="00AA4099"/>
    <w:rsid w:val="00AA493B"/>
    <w:rsid w:val="00AA6913"/>
    <w:rsid w:val="00AB1243"/>
    <w:rsid w:val="00AB1B40"/>
    <w:rsid w:val="00AB2190"/>
    <w:rsid w:val="00AB39EB"/>
    <w:rsid w:val="00AB3F27"/>
    <w:rsid w:val="00AB3FD9"/>
    <w:rsid w:val="00AB720E"/>
    <w:rsid w:val="00AB7DE7"/>
    <w:rsid w:val="00AC1BE7"/>
    <w:rsid w:val="00AC275F"/>
    <w:rsid w:val="00AC50A4"/>
    <w:rsid w:val="00AC5A95"/>
    <w:rsid w:val="00AC6074"/>
    <w:rsid w:val="00AC6471"/>
    <w:rsid w:val="00AD1751"/>
    <w:rsid w:val="00AD1AC1"/>
    <w:rsid w:val="00AD2B6E"/>
    <w:rsid w:val="00AD3443"/>
    <w:rsid w:val="00AD414F"/>
    <w:rsid w:val="00AD4B3C"/>
    <w:rsid w:val="00AD68A5"/>
    <w:rsid w:val="00AE185D"/>
    <w:rsid w:val="00AE1BFE"/>
    <w:rsid w:val="00AE3842"/>
    <w:rsid w:val="00AE3D83"/>
    <w:rsid w:val="00AE4374"/>
    <w:rsid w:val="00AE485C"/>
    <w:rsid w:val="00AE7D4F"/>
    <w:rsid w:val="00AE7FE4"/>
    <w:rsid w:val="00AF17D3"/>
    <w:rsid w:val="00AF1D77"/>
    <w:rsid w:val="00AF38BA"/>
    <w:rsid w:val="00AF4A90"/>
    <w:rsid w:val="00AF4F67"/>
    <w:rsid w:val="00AF5811"/>
    <w:rsid w:val="00AF6509"/>
    <w:rsid w:val="00AF65F1"/>
    <w:rsid w:val="00B00BBE"/>
    <w:rsid w:val="00B03BEC"/>
    <w:rsid w:val="00B0456E"/>
    <w:rsid w:val="00B064E2"/>
    <w:rsid w:val="00B06A05"/>
    <w:rsid w:val="00B06BF6"/>
    <w:rsid w:val="00B06F7F"/>
    <w:rsid w:val="00B07268"/>
    <w:rsid w:val="00B07CF3"/>
    <w:rsid w:val="00B100F0"/>
    <w:rsid w:val="00B106FA"/>
    <w:rsid w:val="00B11670"/>
    <w:rsid w:val="00B13403"/>
    <w:rsid w:val="00B1402E"/>
    <w:rsid w:val="00B14865"/>
    <w:rsid w:val="00B15D4B"/>
    <w:rsid w:val="00B21D50"/>
    <w:rsid w:val="00B22F9B"/>
    <w:rsid w:val="00B23747"/>
    <w:rsid w:val="00B24090"/>
    <w:rsid w:val="00B257E3"/>
    <w:rsid w:val="00B25F59"/>
    <w:rsid w:val="00B260C7"/>
    <w:rsid w:val="00B27494"/>
    <w:rsid w:val="00B279B9"/>
    <w:rsid w:val="00B30F0B"/>
    <w:rsid w:val="00B33C4B"/>
    <w:rsid w:val="00B34705"/>
    <w:rsid w:val="00B34F48"/>
    <w:rsid w:val="00B44F0B"/>
    <w:rsid w:val="00B45A35"/>
    <w:rsid w:val="00B47742"/>
    <w:rsid w:val="00B479BF"/>
    <w:rsid w:val="00B50BE9"/>
    <w:rsid w:val="00B51BA0"/>
    <w:rsid w:val="00B51DCB"/>
    <w:rsid w:val="00B535BD"/>
    <w:rsid w:val="00B53701"/>
    <w:rsid w:val="00B55983"/>
    <w:rsid w:val="00B55EF1"/>
    <w:rsid w:val="00B56A26"/>
    <w:rsid w:val="00B6110A"/>
    <w:rsid w:val="00B6176A"/>
    <w:rsid w:val="00B61BF3"/>
    <w:rsid w:val="00B6301A"/>
    <w:rsid w:val="00B64CAD"/>
    <w:rsid w:val="00B64EB6"/>
    <w:rsid w:val="00B66751"/>
    <w:rsid w:val="00B67AA6"/>
    <w:rsid w:val="00B67B6A"/>
    <w:rsid w:val="00B7066C"/>
    <w:rsid w:val="00B7084D"/>
    <w:rsid w:val="00B713CB"/>
    <w:rsid w:val="00B717D8"/>
    <w:rsid w:val="00B72DF3"/>
    <w:rsid w:val="00B74146"/>
    <w:rsid w:val="00B76F6C"/>
    <w:rsid w:val="00B771D4"/>
    <w:rsid w:val="00B77A15"/>
    <w:rsid w:val="00B805BB"/>
    <w:rsid w:val="00B8080B"/>
    <w:rsid w:val="00B811EF"/>
    <w:rsid w:val="00B8166D"/>
    <w:rsid w:val="00B833AF"/>
    <w:rsid w:val="00B83820"/>
    <w:rsid w:val="00B86EF1"/>
    <w:rsid w:val="00B875BE"/>
    <w:rsid w:val="00B90674"/>
    <w:rsid w:val="00B934E3"/>
    <w:rsid w:val="00B94323"/>
    <w:rsid w:val="00B957AF"/>
    <w:rsid w:val="00B961B7"/>
    <w:rsid w:val="00B963D4"/>
    <w:rsid w:val="00B96E12"/>
    <w:rsid w:val="00B9772B"/>
    <w:rsid w:val="00B97A9A"/>
    <w:rsid w:val="00BA2DEF"/>
    <w:rsid w:val="00BA42FB"/>
    <w:rsid w:val="00BA4768"/>
    <w:rsid w:val="00BA4ABD"/>
    <w:rsid w:val="00BA516F"/>
    <w:rsid w:val="00BA628C"/>
    <w:rsid w:val="00BA6C00"/>
    <w:rsid w:val="00BA7059"/>
    <w:rsid w:val="00BB0051"/>
    <w:rsid w:val="00BB02C6"/>
    <w:rsid w:val="00BB03CC"/>
    <w:rsid w:val="00BB1082"/>
    <w:rsid w:val="00BB132B"/>
    <w:rsid w:val="00BB2127"/>
    <w:rsid w:val="00BB2D44"/>
    <w:rsid w:val="00BB3805"/>
    <w:rsid w:val="00BB52A5"/>
    <w:rsid w:val="00BB5CAE"/>
    <w:rsid w:val="00BB6740"/>
    <w:rsid w:val="00BB7EA1"/>
    <w:rsid w:val="00BB7F81"/>
    <w:rsid w:val="00BC02A4"/>
    <w:rsid w:val="00BC269B"/>
    <w:rsid w:val="00BC27D2"/>
    <w:rsid w:val="00BC6CB6"/>
    <w:rsid w:val="00BC7094"/>
    <w:rsid w:val="00BD1D57"/>
    <w:rsid w:val="00BD35E1"/>
    <w:rsid w:val="00BD3831"/>
    <w:rsid w:val="00BD47F7"/>
    <w:rsid w:val="00BD54FC"/>
    <w:rsid w:val="00BD63C3"/>
    <w:rsid w:val="00BD76A4"/>
    <w:rsid w:val="00BE1572"/>
    <w:rsid w:val="00BE1C8A"/>
    <w:rsid w:val="00BE21B8"/>
    <w:rsid w:val="00BE35C0"/>
    <w:rsid w:val="00BE450E"/>
    <w:rsid w:val="00BE477E"/>
    <w:rsid w:val="00BE4857"/>
    <w:rsid w:val="00BE5847"/>
    <w:rsid w:val="00BE5BE0"/>
    <w:rsid w:val="00BE70E8"/>
    <w:rsid w:val="00BE7F4F"/>
    <w:rsid w:val="00BF0E76"/>
    <w:rsid w:val="00BF19DC"/>
    <w:rsid w:val="00BF1D19"/>
    <w:rsid w:val="00BF2850"/>
    <w:rsid w:val="00BF2B3E"/>
    <w:rsid w:val="00BF2DAF"/>
    <w:rsid w:val="00BF3CFD"/>
    <w:rsid w:val="00BF4E1B"/>
    <w:rsid w:val="00BF63F7"/>
    <w:rsid w:val="00BF70B7"/>
    <w:rsid w:val="00BF7E44"/>
    <w:rsid w:val="00C00E98"/>
    <w:rsid w:val="00C016C7"/>
    <w:rsid w:val="00C02468"/>
    <w:rsid w:val="00C033B1"/>
    <w:rsid w:val="00C03BBA"/>
    <w:rsid w:val="00C0480F"/>
    <w:rsid w:val="00C05D08"/>
    <w:rsid w:val="00C06ED8"/>
    <w:rsid w:val="00C1043C"/>
    <w:rsid w:val="00C10693"/>
    <w:rsid w:val="00C112EF"/>
    <w:rsid w:val="00C12A51"/>
    <w:rsid w:val="00C13F63"/>
    <w:rsid w:val="00C14BB9"/>
    <w:rsid w:val="00C15565"/>
    <w:rsid w:val="00C1591E"/>
    <w:rsid w:val="00C167AF"/>
    <w:rsid w:val="00C179BE"/>
    <w:rsid w:val="00C20D36"/>
    <w:rsid w:val="00C21038"/>
    <w:rsid w:val="00C22703"/>
    <w:rsid w:val="00C2396B"/>
    <w:rsid w:val="00C2785F"/>
    <w:rsid w:val="00C30390"/>
    <w:rsid w:val="00C3046B"/>
    <w:rsid w:val="00C30BA6"/>
    <w:rsid w:val="00C31467"/>
    <w:rsid w:val="00C31909"/>
    <w:rsid w:val="00C328DA"/>
    <w:rsid w:val="00C34CCB"/>
    <w:rsid w:val="00C34CEC"/>
    <w:rsid w:val="00C34D57"/>
    <w:rsid w:val="00C36696"/>
    <w:rsid w:val="00C36720"/>
    <w:rsid w:val="00C37518"/>
    <w:rsid w:val="00C37F00"/>
    <w:rsid w:val="00C421C9"/>
    <w:rsid w:val="00C42A3A"/>
    <w:rsid w:val="00C42EE0"/>
    <w:rsid w:val="00C4517F"/>
    <w:rsid w:val="00C45232"/>
    <w:rsid w:val="00C4551E"/>
    <w:rsid w:val="00C45A6B"/>
    <w:rsid w:val="00C46E94"/>
    <w:rsid w:val="00C475CF"/>
    <w:rsid w:val="00C51371"/>
    <w:rsid w:val="00C52BA5"/>
    <w:rsid w:val="00C53323"/>
    <w:rsid w:val="00C540AD"/>
    <w:rsid w:val="00C54D8C"/>
    <w:rsid w:val="00C54FF7"/>
    <w:rsid w:val="00C66CEF"/>
    <w:rsid w:val="00C670FE"/>
    <w:rsid w:val="00C71E3C"/>
    <w:rsid w:val="00C722F8"/>
    <w:rsid w:val="00C72413"/>
    <w:rsid w:val="00C75492"/>
    <w:rsid w:val="00C76436"/>
    <w:rsid w:val="00C77C78"/>
    <w:rsid w:val="00C80171"/>
    <w:rsid w:val="00C8072C"/>
    <w:rsid w:val="00C8146C"/>
    <w:rsid w:val="00C82741"/>
    <w:rsid w:val="00C846DD"/>
    <w:rsid w:val="00C84BED"/>
    <w:rsid w:val="00C85128"/>
    <w:rsid w:val="00C85B3B"/>
    <w:rsid w:val="00C85CA6"/>
    <w:rsid w:val="00C861C1"/>
    <w:rsid w:val="00C90B07"/>
    <w:rsid w:val="00C9147E"/>
    <w:rsid w:val="00C91B26"/>
    <w:rsid w:val="00C91B7F"/>
    <w:rsid w:val="00C925ED"/>
    <w:rsid w:val="00C9339F"/>
    <w:rsid w:val="00C9483E"/>
    <w:rsid w:val="00C94B8F"/>
    <w:rsid w:val="00C94D33"/>
    <w:rsid w:val="00C96A10"/>
    <w:rsid w:val="00C9753B"/>
    <w:rsid w:val="00CA0B9F"/>
    <w:rsid w:val="00CA142C"/>
    <w:rsid w:val="00CA1828"/>
    <w:rsid w:val="00CA19CD"/>
    <w:rsid w:val="00CA21C5"/>
    <w:rsid w:val="00CA2652"/>
    <w:rsid w:val="00CA3AA2"/>
    <w:rsid w:val="00CA4A62"/>
    <w:rsid w:val="00CA54C1"/>
    <w:rsid w:val="00CA597B"/>
    <w:rsid w:val="00CA659E"/>
    <w:rsid w:val="00CB23DD"/>
    <w:rsid w:val="00CB2757"/>
    <w:rsid w:val="00CB2FE7"/>
    <w:rsid w:val="00CB38C7"/>
    <w:rsid w:val="00CB3B57"/>
    <w:rsid w:val="00CB42AE"/>
    <w:rsid w:val="00CB6768"/>
    <w:rsid w:val="00CB77E3"/>
    <w:rsid w:val="00CB7E59"/>
    <w:rsid w:val="00CC1577"/>
    <w:rsid w:val="00CC17DB"/>
    <w:rsid w:val="00CC2EFF"/>
    <w:rsid w:val="00CC2F01"/>
    <w:rsid w:val="00CC6429"/>
    <w:rsid w:val="00CC6453"/>
    <w:rsid w:val="00CC6A5E"/>
    <w:rsid w:val="00CD14ED"/>
    <w:rsid w:val="00CD22CE"/>
    <w:rsid w:val="00CD2D8A"/>
    <w:rsid w:val="00CD31EA"/>
    <w:rsid w:val="00CD692F"/>
    <w:rsid w:val="00CE0392"/>
    <w:rsid w:val="00CE1D70"/>
    <w:rsid w:val="00CE2348"/>
    <w:rsid w:val="00CE3ABD"/>
    <w:rsid w:val="00CE4690"/>
    <w:rsid w:val="00CE5481"/>
    <w:rsid w:val="00CE5866"/>
    <w:rsid w:val="00CE61E6"/>
    <w:rsid w:val="00CE7F95"/>
    <w:rsid w:val="00CF0045"/>
    <w:rsid w:val="00CF0149"/>
    <w:rsid w:val="00CF0F8B"/>
    <w:rsid w:val="00CF1FB7"/>
    <w:rsid w:val="00CF2763"/>
    <w:rsid w:val="00CF7194"/>
    <w:rsid w:val="00CF7C90"/>
    <w:rsid w:val="00CF7EA0"/>
    <w:rsid w:val="00D00600"/>
    <w:rsid w:val="00D011E8"/>
    <w:rsid w:val="00D0260D"/>
    <w:rsid w:val="00D02961"/>
    <w:rsid w:val="00D0329F"/>
    <w:rsid w:val="00D06299"/>
    <w:rsid w:val="00D06F9E"/>
    <w:rsid w:val="00D1045D"/>
    <w:rsid w:val="00D118E6"/>
    <w:rsid w:val="00D120F2"/>
    <w:rsid w:val="00D12B00"/>
    <w:rsid w:val="00D133AA"/>
    <w:rsid w:val="00D13B0B"/>
    <w:rsid w:val="00D13CCF"/>
    <w:rsid w:val="00D14CF7"/>
    <w:rsid w:val="00D15E67"/>
    <w:rsid w:val="00D17AC1"/>
    <w:rsid w:val="00D20ABB"/>
    <w:rsid w:val="00D2118F"/>
    <w:rsid w:val="00D2328C"/>
    <w:rsid w:val="00D24AEE"/>
    <w:rsid w:val="00D261FB"/>
    <w:rsid w:val="00D2793C"/>
    <w:rsid w:val="00D27E61"/>
    <w:rsid w:val="00D27F9D"/>
    <w:rsid w:val="00D3073E"/>
    <w:rsid w:val="00D31676"/>
    <w:rsid w:val="00D316C8"/>
    <w:rsid w:val="00D31DAD"/>
    <w:rsid w:val="00D337D5"/>
    <w:rsid w:val="00D33A93"/>
    <w:rsid w:val="00D341FF"/>
    <w:rsid w:val="00D34788"/>
    <w:rsid w:val="00D34817"/>
    <w:rsid w:val="00D365BB"/>
    <w:rsid w:val="00D370EE"/>
    <w:rsid w:val="00D371EF"/>
    <w:rsid w:val="00D37357"/>
    <w:rsid w:val="00D3795A"/>
    <w:rsid w:val="00D37AB5"/>
    <w:rsid w:val="00D40C74"/>
    <w:rsid w:val="00D4173C"/>
    <w:rsid w:val="00D43282"/>
    <w:rsid w:val="00D43EA4"/>
    <w:rsid w:val="00D44508"/>
    <w:rsid w:val="00D467B7"/>
    <w:rsid w:val="00D47810"/>
    <w:rsid w:val="00D5128E"/>
    <w:rsid w:val="00D52FD0"/>
    <w:rsid w:val="00D53017"/>
    <w:rsid w:val="00D53E5E"/>
    <w:rsid w:val="00D53F14"/>
    <w:rsid w:val="00D54385"/>
    <w:rsid w:val="00D55615"/>
    <w:rsid w:val="00D55E06"/>
    <w:rsid w:val="00D575B8"/>
    <w:rsid w:val="00D6259C"/>
    <w:rsid w:val="00D62ED7"/>
    <w:rsid w:val="00D636EB"/>
    <w:rsid w:val="00D63A27"/>
    <w:rsid w:val="00D63B91"/>
    <w:rsid w:val="00D64A4A"/>
    <w:rsid w:val="00D6679C"/>
    <w:rsid w:val="00D70236"/>
    <w:rsid w:val="00D71306"/>
    <w:rsid w:val="00D71B08"/>
    <w:rsid w:val="00D72EF5"/>
    <w:rsid w:val="00D73EE6"/>
    <w:rsid w:val="00D742D2"/>
    <w:rsid w:val="00D744DC"/>
    <w:rsid w:val="00D75324"/>
    <w:rsid w:val="00D75748"/>
    <w:rsid w:val="00D75940"/>
    <w:rsid w:val="00D75AC8"/>
    <w:rsid w:val="00D75CF7"/>
    <w:rsid w:val="00D75F59"/>
    <w:rsid w:val="00D776C3"/>
    <w:rsid w:val="00D80153"/>
    <w:rsid w:val="00D814D8"/>
    <w:rsid w:val="00D81AC7"/>
    <w:rsid w:val="00D82035"/>
    <w:rsid w:val="00D84812"/>
    <w:rsid w:val="00D8495C"/>
    <w:rsid w:val="00D86737"/>
    <w:rsid w:val="00D8696A"/>
    <w:rsid w:val="00D87815"/>
    <w:rsid w:val="00D9153B"/>
    <w:rsid w:val="00D9357F"/>
    <w:rsid w:val="00D95903"/>
    <w:rsid w:val="00D95D78"/>
    <w:rsid w:val="00D961CD"/>
    <w:rsid w:val="00DA02D5"/>
    <w:rsid w:val="00DA0810"/>
    <w:rsid w:val="00DA118D"/>
    <w:rsid w:val="00DA1705"/>
    <w:rsid w:val="00DA2C4F"/>
    <w:rsid w:val="00DA3FCE"/>
    <w:rsid w:val="00DA4C36"/>
    <w:rsid w:val="00DA56C5"/>
    <w:rsid w:val="00DA770E"/>
    <w:rsid w:val="00DB02DF"/>
    <w:rsid w:val="00DB229F"/>
    <w:rsid w:val="00DB2431"/>
    <w:rsid w:val="00DB4203"/>
    <w:rsid w:val="00DB42D9"/>
    <w:rsid w:val="00DB74D1"/>
    <w:rsid w:val="00DB7CA1"/>
    <w:rsid w:val="00DC25DA"/>
    <w:rsid w:val="00DC5063"/>
    <w:rsid w:val="00DC5149"/>
    <w:rsid w:val="00DD0282"/>
    <w:rsid w:val="00DD0A8C"/>
    <w:rsid w:val="00DD0CD3"/>
    <w:rsid w:val="00DD19B7"/>
    <w:rsid w:val="00DD1B88"/>
    <w:rsid w:val="00DD1F47"/>
    <w:rsid w:val="00DD3C08"/>
    <w:rsid w:val="00DD584D"/>
    <w:rsid w:val="00DD7557"/>
    <w:rsid w:val="00DD7CE1"/>
    <w:rsid w:val="00DE0476"/>
    <w:rsid w:val="00DE2AAC"/>
    <w:rsid w:val="00DE529A"/>
    <w:rsid w:val="00DE764F"/>
    <w:rsid w:val="00DE7674"/>
    <w:rsid w:val="00DE77A1"/>
    <w:rsid w:val="00DF1125"/>
    <w:rsid w:val="00DF1AA8"/>
    <w:rsid w:val="00DF27AC"/>
    <w:rsid w:val="00DF28E7"/>
    <w:rsid w:val="00DF3883"/>
    <w:rsid w:val="00DF399A"/>
    <w:rsid w:val="00DF3D1D"/>
    <w:rsid w:val="00DF5311"/>
    <w:rsid w:val="00DF6195"/>
    <w:rsid w:val="00DF6280"/>
    <w:rsid w:val="00DF7B14"/>
    <w:rsid w:val="00E00009"/>
    <w:rsid w:val="00E01EF4"/>
    <w:rsid w:val="00E01F9A"/>
    <w:rsid w:val="00E02CF2"/>
    <w:rsid w:val="00E04939"/>
    <w:rsid w:val="00E04947"/>
    <w:rsid w:val="00E04A3D"/>
    <w:rsid w:val="00E051CF"/>
    <w:rsid w:val="00E069F7"/>
    <w:rsid w:val="00E06C35"/>
    <w:rsid w:val="00E06E7C"/>
    <w:rsid w:val="00E0710D"/>
    <w:rsid w:val="00E07F71"/>
    <w:rsid w:val="00E114D8"/>
    <w:rsid w:val="00E12811"/>
    <w:rsid w:val="00E1347F"/>
    <w:rsid w:val="00E146C6"/>
    <w:rsid w:val="00E14E59"/>
    <w:rsid w:val="00E1621B"/>
    <w:rsid w:val="00E168D3"/>
    <w:rsid w:val="00E20A78"/>
    <w:rsid w:val="00E21114"/>
    <w:rsid w:val="00E21915"/>
    <w:rsid w:val="00E22B84"/>
    <w:rsid w:val="00E22F67"/>
    <w:rsid w:val="00E234E4"/>
    <w:rsid w:val="00E2534C"/>
    <w:rsid w:val="00E26045"/>
    <w:rsid w:val="00E269D6"/>
    <w:rsid w:val="00E26BDB"/>
    <w:rsid w:val="00E270BB"/>
    <w:rsid w:val="00E27304"/>
    <w:rsid w:val="00E316A4"/>
    <w:rsid w:val="00E3196C"/>
    <w:rsid w:val="00E337F5"/>
    <w:rsid w:val="00E339E4"/>
    <w:rsid w:val="00E34AA4"/>
    <w:rsid w:val="00E34EBC"/>
    <w:rsid w:val="00E35E6F"/>
    <w:rsid w:val="00E366C6"/>
    <w:rsid w:val="00E37211"/>
    <w:rsid w:val="00E37848"/>
    <w:rsid w:val="00E4034D"/>
    <w:rsid w:val="00E404B3"/>
    <w:rsid w:val="00E41EE7"/>
    <w:rsid w:val="00E42035"/>
    <w:rsid w:val="00E42084"/>
    <w:rsid w:val="00E4258C"/>
    <w:rsid w:val="00E44D16"/>
    <w:rsid w:val="00E47C80"/>
    <w:rsid w:val="00E5074B"/>
    <w:rsid w:val="00E52FF4"/>
    <w:rsid w:val="00E53010"/>
    <w:rsid w:val="00E533A0"/>
    <w:rsid w:val="00E55808"/>
    <w:rsid w:val="00E559EA"/>
    <w:rsid w:val="00E5639C"/>
    <w:rsid w:val="00E5696D"/>
    <w:rsid w:val="00E56E45"/>
    <w:rsid w:val="00E57D14"/>
    <w:rsid w:val="00E57F63"/>
    <w:rsid w:val="00E6161C"/>
    <w:rsid w:val="00E62DEC"/>
    <w:rsid w:val="00E63233"/>
    <w:rsid w:val="00E651BE"/>
    <w:rsid w:val="00E65F8A"/>
    <w:rsid w:val="00E66ECB"/>
    <w:rsid w:val="00E67486"/>
    <w:rsid w:val="00E7102C"/>
    <w:rsid w:val="00E727CE"/>
    <w:rsid w:val="00E749E1"/>
    <w:rsid w:val="00E74A17"/>
    <w:rsid w:val="00E7579E"/>
    <w:rsid w:val="00E75A5D"/>
    <w:rsid w:val="00E75D3A"/>
    <w:rsid w:val="00E8007A"/>
    <w:rsid w:val="00E80578"/>
    <w:rsid w:val="00E80B43"/>
    <w:rsid w:val="00E833CB"/>
    <w:rsid w:val="00E83995"/>
    <w:rsid w:val="00E83BD3"/>
    <w:rsid w:val="00E83CBA"/>
    <w:rsid w:val="00E83D2E"/>
    <w:rsid w:val="00E83FB2"/>
    <w:rsid w:val="00E84C30"/>
    <w:rsid w:val="00E84C8B"/>
    <w:rsid w:val="00E90615"/>
    <w:rsid w:val="00E91691"/>
    <w:rsid w:val="00E91FE0"/>
    <w:rsid w:val="00E9287A"/>
    <w:rsid w:val="00E93059"/>
    <w:rsid w:val="00E94BE8"/>
    <w:rsid w:val="00E95AC2"/>
    <w:rsid w:val="00E95BCC"/>
    <w:rsid w:val="00E97167"/>
    <w:rsid w:val="00E97881"/>
    <w:rsid w:val="00E97B45"/>
    <w:rsid w:val="00E97DBB"/>
    <w:rsid w:val="00EA0169"/>
    <w:rsid w:val="00EA26A5"/>
    <w:rsid w:val="00EA3781"/>
    <w:rsid w:val="00EA5023"/>
    <w:rsid w:val="00EA50F4"/>
    <w:rsid w:val="00EA7061"/>
    <w:rsid w:val="00EB13FE"/>
    <w:rsid w:val="00EB183A"/>
    <w:rsid w:val="00EB2087"/>
    <w:rsid w:val="00EB254B"/>
    <w:rsid w:val="00EB2A1A"/>
    <w:rsid w:val="00EB3859"/>
    <w:rsid w:val="00EB39F1"/>
    <w:rsid w:val="00EB41D3"/>
    <w:rsid w:val="00EB472E"/>
    <w:rsid w:val="00EB5319"/>
    <w:rsid w:val="00EB5434"/>
    <w:rsid w:val="00EB5D6C"/>
    <w:rsid w:val="00EB6A9B"/>
    <w:rsid w:val="00EB76D6"/>
    <w:rsid w:val="00EC0178"/>
    <w:rsid w:val="00EC049F"/>
    <w:rsid w:val="00EC0650"/>
    <w:rsid w:val="00EC2FDA"/>
    <w:rsid w:val="00EC3289"/>
    <w:rsid w:val="00EC3A84"/>
    <w:rsid w:val="00EC6404"/>
    <w:rsid w:val="00EC7095"/>
    <w:rsid w:val="00EC7C34"/>
    <w:rsid w:val="00ED024E"/>
    <w:rsid w:val="00ED0696"/>
    <w:rsid w:val="00ED0C60"/>
    <w:rsid w:val="00ED194C"/>
    <w:rsid w:val="00ED2C26"/>
    <w:rsid w:val="00ED3898"/>
    <w:rsid w:val="00ED4A1C"/>
    <w:rsid w:val="00ED54EB"/>
    <w:rsid w:val="00ED556D"/>
    <w:rsid w:val="00ED5EC2"/>
    <w:rsid w:val="00EE0DF2"/>
    <w:rsid w:val="00EE21DD"/>
    <w:rsid w:val="00EE56DF"/>
    <w:rsid w:val="00EF1415"/>
    <w:rsid w:val="00EF1A24"/>
    <w:rsid w:val="00EF1BF1"/>
    <w:rsid w:val="00EF4B99"/>
    <w:rsid w:val="00EF4CF6"/>
    <w:rsid w:val="00EF60BB"/>
    <w:rsid w:val="00EF71E1"/>
    <w:rsid w:val="00EF7B38"/>
    <w:rsid w:val="00F01BD5"/>
    <w:rsid w:val="00F0264E"/>
    <w:rsid w:val="00F05EAF"/>
    <w:rsid w:val="00F0631D"/>
    <w:rsid w:val="00F06D7C"/>
    <w:rsid w:val="00F1049D"/>
    <w:rsid w:val="00F10C6E"/>
    <w:rsid w:val="00F119F0"/>
    <w:rsid w:val="00F147FD"/>
    <w:rsid w:val="00F14AD8"/>
    <w:rsid w:val="00F15FC1"/>
    <w:rsid w:val="00F17762"/>
    <w:rsid w:val="00F17F62"/>
    <w:rsid w:val="00F2113F"/>
    <w:rsid w:val="00F22793"/>
    <w:rsid w:val="00F2293E"/>
    <w:rsid w:val="00F22CF2"/>
    <w:rsid w:val="00F23C5A"/>
    <w:rsid w:val="00F23E91"/>
    <w:rsid w:val="00F25757"/>
    <w:rsid w:val="00F277D4"/>
    <w:rsid w:val="00F31104"/>
    <w:rsid w:val="00F3259A"/>
    <w:rsid w:val="00F34E93"/>
    <w:rsid w:val="00F350FA"/>
    <w:rsid w:val="00F40D54"/>
    <w:rsid w:val="00F412D8"/>
    <w:rsid w:val="00F415B7"/>
    <w:rsid w:val="00F437D3"/>
    <w:rsid w:val="00F4474B"/>
    <w:rsid w:val="00F44969"/>
    <w:rsid w:val="00F45967"/>
    <w:rsid w:val="00F47FD6"/>
    <w:rsid w:val="00F513E5"/>
    <w:rsid w:val="00F5219B"/>
    <w:rsid w:val="00F53138"/>
    <w:rsid w:val="00F534C0"/>
    <w:rsid w:val="00F54930"/>
    <w:rsid w:val="00F549B1"/>
    <w:rsid w:val="00F54D8C"/>
    <w:rsid w:val="00F5523B"/>
    <w:rsid w:val="00F55FE2"/>
    <w:rsid w:val="00F60352"/>
    <w:rsid w:val="00F608E7"/>
    <w:rsid w:val="00F6119F"/>
    <w:rsid w:val="00F623B6"/>
    <w:rsid w:val="00F6280F"/>
    <w:rsid w:val="00F62819"/>
    <w:rsid w:val="00F6394B"/>
    <w:rsid w:val="00F63F32"/>
    <w:rsid w:val="00F6565D"/>
    <w:rsid w:val="00F708D9"/>
    <w:rsid w:val="00F7127B"/>
    <w:rsid w:val="00F720FB"/>
    <w:rsid w:val="00F72D5F"/>
    <w:rsid w:val="00F7404D"/>
    <w:rsid w:val="00F74172"/>
    <w:rsid w:val="00F7496B"/>
    <w:rsid w:val="00F8000B"/>
    <w:rsid w:val="00F80602"/>
    <w:rsid w:val="00F81376"/>
    <w:rsid w:val="00F83D66"/>
    <w:rsid w:val="00F84A09"/>
    <w:rsid w:val="00F84C20"/>
    <w:rsid w:val="00F8605D"/>
    <w:rsid w:val="00F90912"/>
    <w:rsid w:val="00F9103C"/>
    <w:rsid w:val="00F92112"/>
    <w:rsid w:val="00F9230A"/>
    <w:rsid w:val="00F92366"/>
    <w:rsid w:val="00F92753"/>
    <w:rsid w:val="00F94C90"/>
    <w:rsid w:val="00F9598E"/>
    <w:rsid w:val="00F95AD4"/>
    <w:rsid w:val="00F96B32"/>
    <w:rsid w:val="00F9735A"/>
    <w:rsid w:val="00FA0BEA"/>
    <w:rsid w:val="00FA3B9A"/>
    <w:rsid w:val="00FA42F4"/>
    <w:rsid w:val="00FA45FF"/>
    <w:rsid w:val="00FA617E"/>
    <w:rsid w:val="00FA65A7"/>
    <w:rsid w:val="00FA6803"/>
    <w:rsid w:val="00FB0730"/>
    <w:rsid w:val="00FB0BC1"/>
    <w:rsid w:val="00FB14A0"/>
    <w:rsid w:val="00FB2204"/>
    <w:rsid w:val="00FB2585"/>
    <w:rsid w:val="00FB273D"/>
    <w:rsid w:val="00FB4E4A"/>
    <w:rsid w:val="00FB6D3A"/>
    <w:rsid w:val="00FB6E67"/>
    <w:rsid w:val="00FB7924"/>
    <w:rsid w:val="00FB7F35"/>
    <w:rsid w:val="00FC11D6"/>
    <w:rsid w:val="00FC1ADF"/>
    <w:rsid w:val="00FC2A2D"/>
    <w:rsid w:val="00FC4655"/>
    <w:rsid w:val="00FC48DD"/>
    <w:rsid w:val="00FC569E"/>
    <w:rsid w:val="00FC67E5"/>
    <w:rsid w:val="00FC6BFF"/>
    <w:rsid w:val="00FC7563"/>
    <w:rsid w:val="00FD01BC"/>
    <w:rsid w:val="00FD04EB"/>
    <w:rsid w:val="00FD1036"/>
    <w:rsid w:val="00FD131D"/>
    <w:rsid w:val="00FD5177"/>
    <w:rsid w:val="00FD5B4C"/>
    <w:rsid w:val="00FE35E1"/>
    <w:rsid w:val="00FE5BCF"/>
    <w:rsid w:val="00FE6571"/>
    <w:rsid w:val="00FE6D86"/>
    <w:rsid w:val="00FE6F7F"/>
    <w:rsid w:val="00FF0884"/>
    <w:rsid w:val="00FF0A7E"/>
    <w:rsid w:val="00FF0DA7"/>
    <w:rsid w:val="00FF3276"/>
    <w:rsid w:val="00FF5918"/>
    <w:rsid w:val="00FF5B26"/>
    <w:rsid w:val="00FF703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83922A"/>
  <w15:docId w15:val="{26F28C67-2C1B-4046-AF10-D105386C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Bullets,List Paragraph1,List Paragraph (numbered (a)),Akapit z listą B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Spacing">
    <w:name w:val="No Spacing"/>
    <w:link w:val="NoSpacingChar"/>
    <w:uiPriority w:val="1"/>
    <w:qFormat/>
    <w:rsid w:val="005C7E5C"/>
    <w:rPr>
      <w:rFonts w:asciiTheme="minorHAnsi" w:eastAsiaTheme="minorEastAsia" w:hAnsiTheme="minorHAnsi" w:cstheme="minorBidi"/>
      <w:sz w:val="22"/>
      <w:szCs w:val="22"/>
      <w:lang w:val="en-US" w:eastAsia="en-US"/>
    </w:rPr>
  </w:style>
  <w:style w:type="paragraph" w:customStyle="1" w:styleId="Char2">
    <w:name w:val="Char2"/>
    <w:basedOn w:val="Normal"/>
    <w:link w:val="FootnoteReference"/>
    <w:rsid w:val="005C7E5C"/>
    <w:pPr>
      <w:spacing w:after="160" w:line="240" w:lineRule="exact"/>
    </w:pPr>
    <w:rPr>
      <w:vertAlign w:val="superscript"/>
      <w:lang w:val="en-GB" w:eastAsia="en-GB"/>
    </w:rPr>
  </w:style>
  <w:style w:type="paragraph" w:customStyle="1" w:styleId="Default">
    <w:name w:val="Default"/>
    <w:rsid w:val="005C7E5C"/>
    <w:pPr>
      <w:autoSpaceDE w:val="0"/>
      <w:autoSpaceDN w:val="0"/>
      <w:adjustRightInd w:val="0"/>
    </w:pPr>
    <w:rPr>
      <w:rFonts w:ascii="Calibri" w:eastAsiaTheme="minorEastAsia" w:hAnsi="Calibri" w:cs="Calibri"/>
      <w:color w:val="000000"/>
      <w:sz w:val="24"/>
      <w:szCs w:val="24"/>
      <w:lang w:val="en-US" w:eastAsia="en-US"/>
    </w:rPr>
  </w:style>
  <w:style w:type="character" w:customStyle="1" w:styleId="ListParagraphChar">
    <w:name w:val="List Paragraph Char"/>
    <w:aliases w:val="Bullets Char,List Paragraph1 Char,List Paragraph (numbered (a)) Char,Akapit z listą BS Char,WB Para Char"/>
    <w:basedOn w:val="DefaultParagraphFont"/>
    <w:link w:val="ListParagraph"/>
    <w:uiPriority w:val="34"/>
    <w:rsid w:val="005C7E5C"/>
    <w:rPr>
      <w:lang w:val="en-US" w:eastAsia="en-US"/>
    </w:rPr>
  </w:style>
  <w:style w:type="table" w:styleId="TableGrid">
    <w:name w:val="Table Grid"/>
    <w:basedOn w:val="TableNormal"/>
    <w:uiPriority w:val="59"/>
    <w:rsid w:val="000301C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3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3A7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SpacingChar">
    <w:name w:val="No Spacing Char"/>
    <w:basedOn w:val="DefaultParagraphFont"/>
    <w:link w:val="NoSpacing"/>
    <w:uiPriority w:val="99"/>
    <w:locked/>
    <w:rsid w:val="00A102D4"/>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25C30"/>
    <w:rPr>
      <w:color w:val="800080" w:themeColor="followedHyperlink"/>
      <w:u w:val="single"/>
    </w:rPr>
  </w:style>
  <w:style w:type="character" w:customStyle="1" w:styleId="Heading2Char">
    <w:name w:val="Heading 2 Char"/>
    <w:basedOn w:val="DefaultParagraphFont"/>
    <w:link w:val="Heading2"/>
    <w:rsid w:val="00CA21C5"/>
    <w:rPr>
      <w:rFonts w:ascii="Arial" w:hAnsi="Arial"/>
      <w:b/>
      <w:sz w:val="28"/>
      <w:lang w:val="en-US" w:eastAsia="en-US"/>
    </w:rPr>
  </w:style>
  <w:style w:type="paragraph" w:styleId="EndnoteText">
    <w:name w:val="endnote text"/>
    <w:basedOn w:val="Normal"/>
    <w:link w:val="EndnoteTextChar"/>
    <w:uiPriority w:val="99"/>
    <w:unhideWhenUsed/>
    <w:rsid w:val="00395C31"/>
    <w:rPr>
      <w:rFonts w:eastAsia="SimSun"/>
    </w:rPr>
  </w:style>
  <w:style w:type="character" w:customStyle="1" w:styleId="EndnoteTextChar">
    <w:name w:val="Endnote Text Char"/>
    <w:basedOn w:val="DefaultParagraphFont"/>
    <w:link w:val="EndnoteText"/>
    <w:uiPriority w:val="99"/>
    <w:rsid w:val="00395C31"/>
    <w:rPr>
      <w:rFonts w:eastAsia="SimSun"/>
      <w:lang w:val="en-US" w:eastAsia="en-US"/>
    </w:rPr>
  </w:style>
  <w:style w:type="character" w:styleId="EndnoteReference">
    <w:name w:val="endnote reference"/>
    <w:uiPriority w:val="99"/>
    <w:unhideWhenUsed/>
    <w:rsid w:val="00395C31"/>
    <w:rPr>
      <w:vertAlign w:val="superscript"/>
    </w:rPr>
  </w:style>
  <w:style w:type="paragraph" w:styleId="PlainText">
    <w:name w:val="Plain Text"/>
    <w:basedOn w:val="Normal"/>
    <w:link w:val="PlainTextChar"/>
    <w:uiPriority w:val="99"/>
    <w:unhideWhenUsed/>
    <w:rsid w:val="00395C31"/>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395C31"/>
    <w:rPr>
      <w:rFonts w:ascii="Calibri" w:eastAsiaTheme="minorEastAsia" w:hAnsi="Calibri" w:cs="Consolas"/>
      <w:sz w:val="22"/>
      <w:szCs w:val="21"/>
      <w:lang w:val="en-US" w:eastAsia="zh-CN"/>
    </w:rPr>
  </w:style>
  <w:style w:type="paragraph" w:styleId="NormalWeb">
    <w:name w:val="Normal (Web)"/>
    <w:basedOn w:val="Normal"/>
    <w:uiPriority w:val="99"/>
    <w:semiHidden/>
    <w:unhideWhenUsed/>
    <w:rsid w:val="002A0D56"/>
    <w:rPr>
      <w:rFonts w:eastAsiaTheme="minorEastAsia"/>
      <w:sz w:val="24"/>
      <w:szCs w:val="24"/>
      <w:lang w:eastAsia="zh-CN"/>
    </w:rPr>
  </w:style>
  <w:style w:type="character" w:customStyle="1" w:styleId="st1">
    <w:name w:val="st1"/>
    <w:basedOn w:val="DefaultParagraphFont"/>
    <w:rsid w:val="002A0D56"/>
  </w:style>
  <w:style w:type="paragraph" w:styleId="Revision">
    <w:name w:val="Revision"/>
    <w:hidden/>
    <w:uiPriority w:val="99"/>
    <w:semiHidden/>
    <w:rsid w:val="00477D40"/>
    <w:rPr>
      <w:lang w:val="en-US" w:eastAsia="en-US"/>
    </w:rPr>
  </w:style>
  <w:style w:type="character" w:customStyle="1" w:styleId="apple-converted-space">
    <w:name w:val="apple-converted-space"/>
    <w:basedOn w:val="DefaultParagraphFont"/>
    <w:rsid w:val="0018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7927126">
      <w:bodyDiv w:val="1"/>
      <w:marLeft w:val="0"/>
      <w:marRight w:val="0"/>
      <w:marTop w:val="0"/>
      <w:marBottom w:val="0"/>
      <w:divBdr>
        <w:top w:val="none" w:sz="0" w:space="0" w:color="auto"/>
        <w:left w:val="none" w:sz="0" w:space="0" w:color="auto"/>
        <w:bottom w:val="none" w:sz="0" w:space="0" w:color="auto"/>
        <w:right w:val="none" w:sz="0" w:space="0" w:color="auto"/>
      </w:divBdr>
    </w:div>
    <w:div w:id="354431803">
      <w:bodyDiv w:val="1"/>
      <w:marLeft w:val="0"/>
      <w:marRight w:val="0"/>
      <w:marTop w:val="0"/>
      <w:marBottom w:val="0"/>
      <w:divBdr>
        <w:top w:val="none" w:sz="0" w:space="0" w:color="auto"/>
        <w:left w:val="none" w:sz="0" w:space="0" w:color="auto"/>
        <w:bottom w:val="none" w:sz="0" w:space="0" w:color="auto"/>
        <w:right w:val="none" w:sz="0" w:space="0" w:color="auto"/>
      </w:divBdr>
    </w:div>
    <w:div w:id="360864833">
      <w:bodyDiv w:val="1"/>
      <w:marLeft w:val="0"/>
      <w:marRight w:val="0"/>
      <w:marTop w:val="0"/>
      <w:marBottom w:val="0"/>
      <w:divBdr>
        <w:top w:val="none" w:sz="0" w:space="0" w:color="auto"/>
        <w:left w:val="none" w:sz="0" w:space="0" w:color="auto"/>
        <w:bottom w:val="none" w:sz="0" w:space="0" w:color="auto"/>
        <w:right w:val="none" w:sz="0" w:space="0" w:color="auto"/>
      </w:divBdr>
    </w:div>
    <w:div w:id="414061554">
      <w:bodyDiv w:val="1"/>
      <w:marLeft w:val="0"/>
      <w:marRight w:val="0"/>
      <w:marTop w:val="0"/>
      <w:marBottom w:val="0"/>
      <w:divBdr>
        <w:top w:val="none" w:sz="0" w:space="0" w:color="auto"/>
        <w:left w:val="none" w:sz="0" w:space="0" w:color="auto"/>
        <w:bottom w:val="none" w:sz="0" w:space="0" w:color="auto"/>
        <w:right w:val="none" w:sz="0" w:space="0" w:color="auto"/>
      </w:divBdr>
    </w:div>
    <w:div w:id="431819619">
      <w:bodyDiv w:val="1"/>
      <w:marLeft w:val="0"/>
      <w:marRight w:val="0"/>
      <w:marTop w:val="0"/>
      <w:marBottom w:val="0"/>
      <w:divBdr>
        <w:top w:val="none" w:sz="0" w:space="0" w:color="auto"/>
        <w:left w:val="none" w:sz="0" w:space="0" w:color="auto"/>
        <w:bottom w:val="none" w:sz="0" w:space="0" w:color="auto"/>
        <w:right w:val="none" w:sz="0" w:space="0" w:color="auto"/>
      </w:divBdr>
    </w:div>
    <w:div w:id="694430308">
      <w:bodyDiv w:val="1"/>
      <w:marLeft w:val="0"/>
      <w:marRight w:val="0"/>
      <w:marTop w:val="0"/>
      <w:marBottom w:val="0"/>
      <w:divBdr>
        <w:top w:val="none" w:sz="0" w:space="0" w:color="auto"/>
        <w:left w:val="none" w:sz="0" w:space="0" w:color="auto"/>
        <w:bottom w:val="none" w:sz="0" w:space="0" w:color="auto"/>
        <w:right w:val="none" w:sz="0" w:space="0" w:color="auto"/>
      </w:divBdr>
    </w:div>
    <w:div w:id="718364503">
      <w:bodyDiv w:val="1"/>
      <w:marLeft w:val="0"/>
      <w:marRight w:val="0"/>
      <w:marTop w:val="0"/>
      <w:marBottom w:val="0"/>
      <w:divBdr>
        <w:top w:val="none" w:sz="0" w:space="0" w:color="auto"/>
        <w:left w:val="none" w:sz="0" w:space="0" w:color="auto"/>
        <w:bottom w:val="none" w:sz="0" w:space="0" w:color="auto"/>
        <w:right w:val="none" w:sz="0" w:space="0" w:color="auto"/>
      </w:divBdr>
    </w:div>
    <w:div w:id="835800169">
      <w:bodyDiv w:val="1"/>
      <w:marLeft w:val="0"/>
      <w:marRight w:val="0"/>
      <w:marTop w:val="0"/>
      <w:marBottom w:val="0"/>
      <w:divBdr>
        <w:top w:val="none" w:sz="0" w:space="0" w:color="auto"/>
        <w:left w:val="none" w:sz="0" w:space="0" w:color="auto"/>
        <w:bottom w:val="none" w:sz="0" w:space="0" w:color="auto"/>
        <w:right w:val="none" w:sz="0" w:space="0" w:color="auto"/>
      </w:divBdr>
    </w:div>
    <w:div w:id="878123561">
      <w:bodyDiv w:val="1"/>
      <w:marLeft w:val="0"/>
      <w:marRight w:val="0"/>
      <w:marTop w:val="0"/>
      <w:marBottom w:val="0"/>
      <w:divBdr>
        <w:top w:val="none" w:sz="0" w:space="0" w:color="auto"/>
        <w:left w:val="none" w:sz="0" w:space="0" w:color="auto"/>
        <w:bottom w:val="none" w:sz="0" w:space="0" w:color="auto"/>
        <w:right w:val="none" w:sz="0" w:space="0" w:color="auto"/>
      </w:divBdr>
    </w:div>
    <w:div w:id="881406870">
      <w:bodyDiv w:val="1"/>
      <w:marLeft w:val="0"/>
      <w:marRight w:val="0"/>
      <w:marTop w:val="0"/>
      <w:marBottom w:val="0"/>
      <w:divBdr>
        <w:top w:val="none" w:sz="0" w:space="0" w:color="auto"/>
        <w:left w:val="none" w:sz="0" w:space="0" w:color="auto"/>
        <w:bottom w:val="none" w:sz="0" w:space="0" w:color="auto"/>
        <w:right w:val="none" w:sz="0" w:space="0" w:color="auto"/>
      </w:divBdr>
    </w:div>
    <w:div w:id="963267230">
      <w:bodyDiv w:val="1"/>
      <w:marLeft w:val="0"/>
      <w:marRight w:val="0"/>
      <w:marTop w:val="0"/>
      <w:marBottom w:val="0"/>
      <w:divBdr>
        <w:top w:val="none" w:sz="0" w:space="0" w:color="auto"/>
        <w:left w:val="none" w:sz="0" w:space="0" w:color="auto"/>
        <w:bottom w:val="none" w:sz="0" w:space="0" w:color="auto"/>
        <w:right w:val="none" w:sz="0" w:space="0" w:color="auto"/>
      </w:divBdr>
    </w:div>
    <w:div w:id="1020277610">
      <w:bodyDiv w:val="1"/>
      <w:marLeft w:val="0"/>
      <w:marRight w:val="0"/>
      <w:marTop w:val="0"/>
      <w:marBottom w:val="0"/>
      <w:divBdr>
        <w:top w:val="none" w:sz="0" w:space="0" w:color="auto"/>
        <w:left w:val="none" w:sz="0" w:space="0" w:color="auto"/>
        <w:bottom w:val="none" w:sz="0" w:space="0" w:color="auto"/>
        <w:right w:val="none" w:sz="0" w:space="0" w:color="auto"/>
      </w:divBdr>
    </w:div>
    <w:div w:id="11614325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0282189">
      <w:bodyDiv w:val="1"/>
      <w:marLeft w:val="0"/>
      <w:marRight w:val="0"/>
      <w:marTop w:val="0"/>
      <w:marBottom w:val="0"/>
      <w:divBdr>
        <w:top w:val="none" w:sz="0" w:space="0" w:color="auto"/>
        <w:left w:val="none" w:sz="0" w:space="0" w:color="auto"/>
        <w:bottom w:val="none" w:sz="0" w:space="0" w:color="auto"/>
        <w:right w:val="none" w:sz="0" w:space="0" w:color="auto"/>
      </w:divBdr>
    </w:div>
    <w:div w:id="1381977386">
      <w:bodyDiv w:val="1"/>
      <w:marLeft w:val="0"/>
      <w:marRight w:val="0"/>
      <w:marTop w:val="0"/>
      <w:marBottom w:val="0"/>
      <w:divBdr>
        <w:top w:val="none" w:sz="0" w:space="0" w:color="auto"/>
        <w:left w:val="none" w:sz="0" w:space="0" w:color="auto"/>
        <w:bottom w:val="none" w:sz="0" w:space="0" w:color="auto"/>
        <w:right w:val="none" w:sz="0" w:space="0" w:color="auto"/>
      </w:divBdr>
    </w:div>
    <w:div w:id="1432583706">
      <w:bodyDiv w:val="1"/>
      <w:marLeft w:val="0"/>
      <w:marRight w:val="0"/>
      <w:marTop w:val="0"/>
      <w:marBottom w:val="0"/>
      <w:divBdr>
        <w:top w:val="none" w:sz="0" w:space="0" w:color="auto"/>
        <w:left w:val="none" w:sz="0" w:space="0" w:color="auto"/>
        <w:bottom w:val="none" w:sz="0" w:space="0" w:color="auto"/>
        <w:right w:val="none" w:sz="0" w:space="0" w:color="auto"/>
      </w:divBdr>
    </w:div>
    <w:div w:id="1504129396">
      <w:bodyDiv w:val="1"/>
      <w:marLeft w:val="0"/>
      <w:marRight w:val="0"/>
      <w:marTop w:val="0"/>
      <w:marBottom w:val="0"/>
      <w:divBdr>
        <w:top w:val="none" w:sz="0" w:space="0" w:color="auto"/>
        <w:left w:val="none" w:sz="0" w:space="0" w:color="auto"/>
        <w:bottom w:val="none" w:sz="0" w:space="0" w:color="auto"/>
        <w:right w:val="none" w:sz="0" w:space="0" w:color="auto"/>
      </w:divBdr>
    </w:div>
    <w:div w:id="1573662792">
      <w:bodyDiv w:val="1"/>
      <w:marLeft w:val="0"/>
      <w:marRight w:val="0"/>
      <w:marTop w:val="0"/>
      <w:marBottom w:val="0"/>
      <w:divBdr>
        <w:top w:val="none" w:sz="0" w:space="0" w:color="auto"/>
        <w:left w:val="none" w:sz="0" w:space="0" w:color="auto"/>
        <w:bottom w:val="none" w:sz="0" w:space="0" w:color="auto"/>
        <w:right w:val="none" w:sz="0" w:space="0" w:color="auto"/>
      </w:divBdr>
    </w:div>
    <w:div w:id="1710841614">
      <w:bodyDiv w:val="1"/>
      <w:marLeft w:val="0"/>
      <w:marRight w:val="0"/>
      <w:marTop w:val="0"/>
      <w:marBottom w:val="0"/>
      <w:divBdr>
        <w:top w:val="none" w:sz="0" w:space="0" w:color="auto"/>
        <w:left w:val="none" w:sz="0" w:space="0" w:color="auto"/>
        <w:bottom w:val="none" w:sz="0" w:space="0" w:color="auto"/>
        <w:right w:val="none" w:sz="0" w:space="0" w:color="auto"/>
      </w:divBdr>
    </w:div>
    <w:div w:id="17492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UNITOFFICE-440-132</_dlc_DocId>
    <_dlc_DocIdUrl xmlns="5ebeba3d-fd60-4dcb-8548-a9fd3c51d9ff">
      <Url>https://intranet.undp.org/unit/office/exo/sp2014/SP201417/_layouts/DocIdRedir.aspx?ID=UNITOFFICE-440-132</Url>
      <Description>UNITOFFICE-440-132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976110BA-0F6E-47A2-90E3-9C708177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51C3DB2C-57DE-4C94-8B13-A3B01F44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6423</Words>
  <Characters>36616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42954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2015-05-08T12:43:00Z</cp:lastPrinted>
  <dcterms:created xsi:type="dcterms:W3CDTF">2015-06-06T20:40:00Z</dcterms:created>
  <dcterms:modified xsi:type="dcterms:W3CDTF">2015-06-06T20:49:00Z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3fc9bbe4-ca43-4869-92da-0d167ed62c16</vt:lpwstr>
  </property>
</Properties>
</file>